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3A696A">
      <w:pPr>
        <w:spacing w:line="259" w:lineRule="auto"/>
        <w:ind w:firstLine="0"/>
        <w:jc w:val="center"/>
        <w:rPr>
          <w:rFonts w:cs="Times New Roman"/>
          <w:szCs w:val="28"/>
          <w:highlight w:val="none"/>
        </w:rPr>
      </w:pPr>
      <w:r>
        <w:rPr>
          <w:rFonts w:cs="Times New Roman"/>
          <w:szCs w:val="28"/>
          <w:highlight w:val="none"/>
        </w:rPr>
        <w:t>МІНІСТЕРСТВО ОХОРОНИ ЗДОРОВ’Я УКРАЇНИ</w:t>
      </w:r>
    </w:p>
    <w:p w14:paraId="1DBD849C">
      <w:pPr>
        <w:spacing w:line="259" w:lineRule="auto"/>
        <w:ind w:firstLine="0"/>
        <w:jc w:val="center"/>
        <w:rPr>
          <w:rFonts w:cs="Times New Roman"/>
          <w:szCs w:val="28"/>
          <w:highlight w:val="none"/>
        </w:rPr>
      </w:pPr>
      <w:r>
        <w:rPr>
          <w:rFonts w:cs="Times New Roman"/>
          <w:szCs w:val="28"/>
          <w:highlight w:val="none"/>
        </w:rPr>
        <w:t>ХАРКІВСЬКИЙ НАЦІОНАЛЬНИЙ МЕДИЧНИЙ УНІВЕРСИТЕТ</w:t>
      </w:r>
    </w:p>
    <w:p w14:paraId="6AF5A85B">
      <w:pPr>
        <w:spacing w:line="259" w:lineRule="auto"/>
        <w:ind w:firstLine="0"/>
        <w:jc w:val="center"/>
        <w:rPr>
          <w:rFonts w:cs="Times New Roman"/>
          <w:szCs w:val="28"/>
          <w:highlight w:val="none"/>
        </w:rPr>
      </w:pPr>
      <w:r>
        <w:rPr>
          <w:rFonts w:cs="Times New Roman"/>
          <w:szCs w:val="28"/>
          <w:highlight w:val="none"/>
        </w:rPr>
        <w:t>МІНІСТЕРСТВО ОХОРОНИ ЗДОРОВ’Я УКРАЇНИ</w:t>
      </w:r>
    </w:p>
    <w:p w14:paraId="73CE185E">
      <w:pPr>
        <w:spacing w:line="259" w:lineRule="auto"/>
        <w:ind w:firstLine="0"/>
        <w:jc w:val="center"/>
        <w:rPr>
          <w:rFonts w:cs="Times New Roman"/>
          <w:szCs w:val="28"/>
          <w:highlight w:val="none"/>
        </w:rPr>
      </w:pPr>
      <w:r>
        <w:rPr>
          <w:rFonts w:cs="Times New Roman"/>
          <w:szCs w:val="28"/>
          <w:highlight w:val="none"/>
        </w:rPr>
        <w:t>ХАРКІВСЬКИЙ НАЦІОНАЛЬНИЙ МЕДИЧНИЙ УНІВЕРСИТЕТ</w:t>
      </w:r>
    </w:p>
    <w:p w14:paraId="1E98EFFA">
      <w:pPr>
        <w:shd w:val="clear" w:color="auto" w:fill="FFFFFF" w:themeFill="background1"/>
        <w:ind w:firstLine="0"/>
        <w:jc w:val="right"/>
        <w:rPr>
          <w:rFonts w:cs="Times New Roman"/>
          <w:szCs w:val="28"/>
          <w:highlight w:val="none"/>
          <w:shd w:val="clear" w:color="auto" w:fill="FFFFFF" w:themeFill="background1"/>
        </w:rPr>
      </w:pPr>
    </w:p>
    <w:p w14:paraId="419A2019">
      <w:pPr>
        <w:shd w:val="clear" w:color="auto" w:fill="FFFFFF" w:themeFill="background1"/>
        <w:spacing w:line="240" w:lineRule="auto"/>
        <w:ind w:left="5954" w:firstLine="0"/>
        <w:jc w:val="left"/>
        <w:rPr>
          <w:rFonts w:cs="Times New Roman"/>
          <w:szCs w:val="28"/>
          <w:highlight w:val="none"/>
          <w:shd w:val="clear" w:color="auto" w:fill="FFFFFF" w:themeFill="background1"/>
        </w:rPr>
      </w:pPr>
      <w:r>
        <w:rPr>
          <w:rFonts w:cs="Times New Roman"/>
          <w:szCs w:val="28"/>
          <w:highlight w:val="none"/>
          <w:shd w:val="clear" w:color="auto" w:fill="FFFFFF" w:themeFill="background1"/>
        </w:rPr>
        <w:t xml:space="preserve">Кваліфікаційна наукова </w:t>
      </w:r>
      <w:r>
        <w:rPr>
          <w:rFonts w:cs="Times New Roman"/>
          <w:szCs w:val="28"/>
          <w:highlight w:val="none"/>
          <w:shd w:val="clear" w:color="auto" w:fill="FFFFFF" w:themeFill="background1"/>
        </w:rPr>
        <w:br w:type="textWrapping"/>
      </w:r>
      <w:r>
        <w:rPr>
          <w:rFonts w:cs="Times New Roman"/>
          <w:szCs w:val="28"/>
          <w:highlight w:val="none"/>
          <w:shd w:val="clear" w:color="auto" w:fill="FFFFFF" w:themeFill="background1"/>
        </w:rPr>
        <w:t>праця на правах рукопису</w:t>
      </w:r>
    </w:p>
    <w:p w14:paraId="513A4735">
      <w:pPr>
        <w:shd w:val="clear" w:color="auto" w:fill="FFFFFF" w:themeFill="background1"/>
        <w:ind w:firstLine="0"/>
        <w:jc w:val="center"/>
        <w:rPr>
          <w:rFonts w:cs="Times New Roman"/>
          <w:b/>
          <w:highlight w:val="none"/>
          <w:shd w:val="clear" w:color="auto" w:fill="FFFFFF" w:themeFill="background1"/>
        </w:rPr>
      </w:pPr>
    </w:p>
    <w:p w14:paraId="00B11EC5">
      <w:pPr>
        <w:shd w:val="clear" w:color="auto" w:fill="FFFFFF" w:themeFill="background1"/>
        <w:ind w:firstLine="0"/>
        <w:jc w:val="center"/>
        <w:rPr>
          <w:rFonts w:cs="Times New Roman"/>
          <w:b/>
          <w:bCs/>
          <w:szCs w:val="28"/>
          <w:highlight w:val="none"/>
          <w:shd w:val="clear" w:color="auto" w:fill="FFFFFF" w:themeFill="background1"/>
        </w:rPr>
      </w:pPr>
      <w:r>
        <w:rPr>
          <w:rFonts w:cs="Times New Roman"/>
          <w:b/>
          <w:bCs/>
          <w:szCs w:val="28"/>
          <w:highlight w:val="none"/>
          <w:shd w:val="clear" w:color="auto" w:fill="FFFFFF" w:themeFill="background1"/>
        </w:rPr>
        <w:t>АКСЬОНОВА АНАСТАСІЯ ГЕННАДІЇВНА</w:t>
      </w:r>
    </w:p>
    <w:p w14:paraId="4DD314C3">
      <w:pPr>
        <w:shd w:val="clear" w:color="auto" w:fill="FFFFFF" w:themeFill="background1"/>
        <w:ind w:firstLine="0"/>
        <w:jc w:val="center"/>
        <w:rPr>
          <w:rFonts w:cs="Times New Roman"/>
          <w:bCs/>
          <w:szCs w:val="28"/>
          <w:highlight w:val="none"/>
          <w:shd w:val="clear" w:color="auto" w:fill="FFFFFF" w:themeFill="background1"/>
        </w:rPr>
      </w:pPr>
    </w:p>
    <w:p w14:paraId="26586490">
      <w:pPr>
        <w:shd w:val="clear" w:color="auto" w:fill="FFFFFF" w:themeFill="background1"/>
        <w:ind w:firstLine="0"/>
        <w:jc w:val="right"/>
        <w:rPr>
          <w:rFonts w:cs="Times New Roman"/>
          <w:szCs w:val="28"/>
          <w:highlight w:val="none"/>
          <w:shd w:val="clear" w:color="auto" w:fill="FFFFFF" w:themeFill="background1"/>
        </w:rPr>
      </w:pPr>
      <w:r>
        <w:rPr>
          <w:rFonts w:cs="Times New Roman"/>
          <w:szCs w:val="28"/>
          <w:highlight w:val="none"/>
          <w:shd w:val="clear" w:color="auto" w:fill="FFFFFF" w:themeFill="background1"/>
        </w:rPr>
        <w:t>УДК: ____________________________</w:t>
      </w:r>
    </w:p>
    <w:p w14:paraId="74D4A04C">
      <w:pPr>
        <w:shd w:val="clear" w:color="auto" w:fill="FFFFFF" w:themeFill="background1"/>
        <w:ind w:firstLine="0"/>
        <w:jc w:val="right"/>
        <w:rPr>
          <w:rFonts w:cs="Times New Roman"/>
          <w:szCs w:val="28"/>
          <w:highlight w:val="none"/>
          <w:shd w:val="clear" w:color="auto" w:fill="FFFFFF" w:themeFill="background1"/>
        </w:rPr>
      </w:pPr>
      <w:bookmarkStart w:id="0" w:name="_Hlk503188313"/>
    </w:p>
    <w:p w14:paraId="18BFC647">
      <w:pPr>
        <w:shd w:val="clear" w:color="auto" w:fill="FFFFFF" w:themeFill="background1"/>
        <w:ind w:firstLine="0"/>
        <w:jc w:val="right"/>
        <w:rPr>
          <w:rFonts w:cs="Times New Roman"/>
          <w:szCs w:val="28"/>
          <w:highlight w:val="none"/>
          <w:shd w:val="clear" w:color="auto" w:fill="FFFFFF" w:themeFill="background1"/>
        </w:rPr>
      </w:pPr>
    </w:p>
    <w:p w14:paraId="48CEB678">
      <w:pPr>
        <w:shd w:val="clear" w:color="auto" w:fill="FFFFFF" w:themeFill="background1"/>
        <w:ind w:firstLine="0"/>
        <w:jc w:val="center"/>
        <w:rPr>
          <w:rFonts w:cs="Times New Roman"/>
          <w:b/>
          <w:szCs w:val="28"/>
          <w:highlight w:val="none"/>
          <w:shd w:val="clear" w:color="auto" w:fill="FFFFFF" w:themeFill="background1"/>
        </w:rPr>
      </w:pPr>
      <w:r>
        <w:rPr>
          <w:rFonts w:cs="Times New Roman"/>
          <w:b/>
          <w:szCs w:val="28"/>
          <w:highlight w:val="none"/>
          <w:shd w:val="clear" w:color="auto" w:fill="FFFFFF" w:themeFill="background1"/>
        </w:rPr>
        <w:t>ДИСЕРТАЦІЯ</w:t>
      </w:r>
    </w:p>
    <w:bookmarkEnd w:id="0"/>
    <w:p w14:paraId="59C8A4D3">
      <w:pPr>
        <w:pStyle w:val="37"/>
        <w:spacing w:line="360" w:lineRule="auto"/>
        <w:ind w:left="-57" w:right="-57"/>
        <w:jc w:val="center"/>
        <w:rPr>
          <w:rFonts w:eastAsiaTheme="minorHAnsi"/>
          <w:color w:val="auto"/>
          <w:spacing w:val="-6"/>
          <w:sz w:val="28"/>
          <w:szCs w:val="28"/>
          <w:highlight w:val="none"/>
          <w:shd w:val="clear" w:color="auto" w:fill="FFFFFF" w:themeFill="background1"/>
          <w:lang w:val="uk-UA" w:eastAsia="en-US"/>
        </w:rPr>
      </w:pPr>
      <w:r>
        <w:rPr>
          <w:rFonts w:eastAsiaTheme="minorHAnsi"/>
          <w:color w:val="auto"/>
          <w:spacing w:val="-6"/>
          <w:sz w:val="28"/>
          <w:szCs w:val="28"/>
          <w:highlight w:val="none"/>
          <w:shd w:val="clear" w:color="auto" w:fill="FFFFFF" w:themeFill="background1"/>
          <w:lang w:val="uk-UA" w:eastAsia="en-US"/>
        </w:rPr>
        <w:t xml:space="preserve">ДІАГНОСТИЧНА ТА ПРОГНОСТИЧНА ЗНАЧИМІСТЬ ВМІСТУ ОСТЕОПОНТИНУ ТА ВІТАМІНУ D У ХВОРИХ НА ХРОНІЧНИЙ ГЕПАТИТ С </w:t>
      </w:r>
    </w:p>
    <w:p w14:paraId="75D2EDD1">
      <w:pPr>
        <w:pStyle w:val="37"/>
        <w:spacing w:line="360" w:lineRule="auto"/>
        <w:jc w:val="center"/>
        <w:rPr>
          <w:i/>
          <w:iCs/>
          <w:color w:val="auto"/>
          <w:sz w:val="28"/>
          <w:szCs w:val="28"/>
          <w:highlight w:val="none"/>
          <w:lang w:val="uk-UA"/>
        </w:rPr>
      </w:pPr>
      <w:r>
        <w:rPr>
          <w:color w:val="auto"/>
          <w:sz w:val="28"/>
          <w:szCs w:val="28"/>
          <w:highlight w:val="none"/>
          <w:lang w:val="uk-UA"/>
        </w:rPr>
        <w:t>за спеціальністю 222 «</w:t>
      </w:r>
      <w:r>
        <w:rPr>
          <w:iCs/>
          <w:color w:val="auto"/>
          <w:sz w:val="28"/>
          <w:szCs w:val="28"/>
          <w:highlight w:val="none"/>
          <w:lang w:val="uk-UA"/>
        </w:rPr>
        <w:t>Медицина»</w:t>
      </w:r>
    </w:p>
    <w:p w14:paraId="7A36362C">
      <w:pPr>
        <w:pStyle w:val="37"/>
        <w:spacing w:line="360" w:lineRule="auto"/>
        <w:jc w:val="center"/>
        <w:rPr>
          <w:color w:val="auto"/>
          <w:sz w:val="28"/>
          <w:szCs w:val="28"/>
          <w:highlight w:val="none"/>
          <w:lang w:val="uk-UA"/>
        </w:rPr>
      </w:pPr>
      <w:r>
        <w:rPr>
          <w:color w:val="auto"/>
          <w:sz w:val="28"/>
          <w:szCs w:val="28"/>
          <w:highlight w:val="none"/>
          <w:lang w:val="uk-UA"/>
        </w:rPr>
        <w:t>спеціалізація «Інфекційні хвороби»</w:t>
      </w:r>
    </w:p>
    <w:p w14:paraId="5CB56346">
      <w:pPr>
        <w:shd w:val="clear" w:color="auto" w:fill="FFFFFF" w:themeFill="background1"/>
        <w:ind w:firstLine="0"/>
        <w:jc w:val="center"/>
        <w:rPr>
          <w:rFonts w:cs="Times New Roman"/>
          <w:szCs w:val="28"/>
          <w:highlight w:val="none"/>
          <w:shd w:val="clear" w:color="auto" w:fill="FFFFFF" w:themeFill="background1"/>
        </w:rPr>
      </w:pPr>
    </w:p>
    <w:p w14:paraId="705F4CA1">
      <w:pPr>
        <w:shd w:val="clear" w:color="auto" w:fill="FFFFFF" w:themeFill="background1"/>
        <w:ind w:firstLine="0"/>
        <w:jc w:val="center"/>
        <w:rPr>
          <w:rFonts w:cs="Times New Roman"/>
          <w:szCs w:val="28"/>
          <w:highlight w:val="none"/>
          <w:shd w:val="clear" w:color="auto" w:fill="FFFFFF" w:themeFill="background1"/>
        </w:rPr>
      </w:pPr>
    </w:p>
    <w:p w14:paraId="7708727B">
      <w:pPr>
        <w:shd w:val="clear" w:color="auto" w:fill="FFFFFF" w:themeFill="background1"/>
        <w:ind w:firstLine="0"/>
        <w:jc w:val="center"/>
        <w:rPr>
          <w:rFonts w:cs="Times New Roman"/>
          <w:szCs w:val="28"/>
          <w:highlight w:val="none"/>
          <w:shd w:val="clear" w:color="auto" w:fill="FFFFFF" w:themeFill="background1"/>
        </w:rPr>
      </w:pPr>
    </w:p>
    <w:p w14:paraId="089ECC9A">
      <w:pPr>
        <w:shd w:val="clear" w:color="auto" w:fill="FFFFFF" w:themeFill="background1"/>
        <w:ind w:firstLine="0"/>
        <w:rPr>
          <w:rFonts w:cs="Times New Roman"/>
          <w:szCs w:val="28"/>
          <w:highlight w:val="none"/>
          <w:shd w:val="clear" w:color="auto" w:fill="FFFFFF" w:themeFill="background1"/>
        </w:rPr>
      </w:pPr>
      <w:r>
        <w:rPr>
          <w:rFonts w:cs="Times New Roman"/>
          <w:szCs w:val="28"/>
          <w:highlight w:val="none"/>
          <w:shd w:val="clear" w:color="auto" w:fill="FFFFFF" w:themeFill="background1"/>
        </w:rPr>
        <w:t>Подається на здобуття наукового ступеня доктора філософії.</w:t>
      </w:r>
    </w:p>
    <w:p w14:paraId="7E1B137A">
      <w:pPr>
        <w:shd w:val="clear" w:color="auto" w:fill="FFFFFF" w:themeFill="background1"/>
        <w:ind w:firstLine="0"/>
        <w:rPr>
          <w:rFonts w:cs="Times New Roman"/>
          <w:szCs w:val="28"/>
          <w:highlight w:val="none"/>
          <w:shd w:val="clear" w:color="auto" w:fill="FFFFFF" w:themeFill="background1"/>
        </w:rPr>
      </w:pPr>
      <w:r>
        <w:rPr>
          <w:rFonts w:cs="Times New Roman"/>
          <w:szCs w:val="28"/>
          <w:highlight w:val="none"/>
          <w:shd w:val="clear" w:color="auto" w:fill="FFFFFF" w:themeFill="background1"/>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14:paraId="3A377164">
      <w:pPr>
        <w:shd w:val="clear" w:color="auto" w:fill="FFFFFF" w:themeFill="background1"/>
        <w:ind w:firstLine="0"/>
        <w:rPr>
          <w:rFonts w:cs="Times New Roman"/>
          <w:szCs w:val="28"/>
          <w:highlight w:val="none"/>
          <w:shd w:val="clear" w:color="auto" w:fill="FFFFFF" w:themeFill="background1"/>
        </w:rPr>
      </w:pPr>
      <w:r>
        <w:rPr>
          <w:rFonts w:cs="Times New Roman"/>
          <w:szCs w:val="28"/>
          <w:highlight w:val="none"/>
          <w:shd w:val="clear" w:color="auto" w:fill="FFFFFF" w:themeFill="background1"/>
        </w:rPr>
        <w:t>____________ А. Г. Аксьонова</w:t>
      </w:r>
    </w:p>
    <w:p w14:paraId="5FD7EC88">
      <w:pPr>
        <w:shd w:val="clear" w:color="auto" w:fill="FFFFFF" w:themeFill="background1"/>
        <w:ind w:firstLine="0"/>
        <w:rPr>
          <w:rFonts w:cs="Times New Roman"/>
          <w:szCs w:val="28"/>
          <w:highlight w:val="none"/>
          <w:shd w:val="clear" w:color="auto" w:fill="FFFFFF" w:themeFill="background1"/>
        </w:rPr>
      </w:pPr>
    </w:p>
    <w:p w14:paraId="77FE269D">
      <w:pPr>
        <w:shd w:val="clear" w:color="auto" w:fill="FFFFFF" w:themeFill="background1"/>
        <w:ind w:firstLine="0"/>
        <w:rPr>
          <w:rFonts w:cs="Times New Roman"/>
          <w:szCs w:val="28"/>
          <w:highlight w:val="none"/>
          <w:shd w:val="clear" w:color="auto" w:fill="FFFFFF" w:themeFill="background1"/>
        </w:rPr>
      </w:pPr>
    </w:p>
    <w:p w14:paraId="22BDEE07">
      <w:pPr>
        <w:shd w:val="clear" w:color="auto" w:fill="FFFFFF" w:themeFill="background1"/>
        <w:ind w:firstLine="0"/>
        <w:rPr>
          <w:rFonts w:cs="Times New Roman"/>
          <w:szCs w:val="28"/>
          <w:highlight w:val="none"/>
          <w:shd w:val="clear" w:color="auto" w:fill="FFFFFF" w:themeFill="background1"/>
        </w:rPr>
      </w:pPr>
      <w:r>
        <w:rPr>
          <w:rFonts w:cs="Times New Roman"/>
          <w:szCs w:val="28"/>
          <w:highlight w:val="none"/>
          <w:shd w:val="clear" w:color="auto" w:fill="FFFFFF" w:themeFill="background1"/>
        </w:rPr>
        <w:t>Науковий керівник: Юрко Катерина Володимирівна, д. мед. н., професор, завідувачка кафедри інфекційних хвороб ХНМУ</w:t>
      </w:r>
    </w:p>
    <w:p w14:paraId="1E47CAB0">
      <w:pPr>
        <w:shd w:val="clear" w:color="auto" w:fill="FFFFFF" w:themeFill="background1"/>
        <w:ind w:firstLine="0"/>
        <w:rPr>
          <w:rFonts w:cs="Times New Roman"/>
          <w:highlight w:val="none"/>
          <w:shd w:val="clear" w:color="auto" w:fill="FFFFFF" w:themeFill="background1"/>
        </w:rPr>
      </w:pPr>
    </w:p>
    <w:p w14:paraId="4088439F">
      <w:pPr>
        <w:shd w:val="clear" w:color="auto" w:fill="FFFFFF" w:themeFill="background1"/>
        <w:ind w:firstLine="0"/>
        <w:jc w:val="center"/>
        <w:rPr>
          <w:rFonts w:cs="Times New Roman"/>
          <w:szCs w:val="28"/>
          <w:highlight w:val="none"/>
          <w:shd w:val="clear" w:color="auto" w:fill="FFFFFF" w:themeFill="background1"/>
        </w:rPr>
      </w:pPr>
    </w:p>
    <w:p w14:paraId="5BAA8478">
      <w:pPr>
        <w:shd w:val="clear" w:color="auto" w:fill="FFFFFF" w:themeFill="background1"/>
        <w:ind w:firstLine="0"/>
        <w:jc w:val="center"/>
        <w:rPr>
          <w:rFonts w:cs="Times New Roman"/>
          <w:szCs w:val="28"/>
          <w:highlight w:val="none"/>
          <w:shd w:val="clear" w:color="auto" w:fill="FFFFFF" w:themeFill="background1"/>
        </w:rPr>
      </w:pPr>
      <w:r>
        <w:rPr>
          <w:rFonts w:cs="Times New Roman"/>
          <w:szCs w:val="28"/>
          <w:highlight w:val="none"/>
          <w:shd w:val="clear" w:color="auto" w:fill="FFFFFF" w:themeFill="background1"/>
        </w:rPr>
        <w:t>Харків – 2023</w:t>
      </w:r>
      <w:r>
        <w:rPr>
          <w:rFonts w:cs="Times New Roman"/>
          <w:szCs w:val="28"/>
          <w:highlight w:val="none"/>
          <w:shd w:val="clear" w:color="auto" w:fill="FFFFFF" w:themeFill="background1"/>
        </w:rPr>
        <w:br w:type="page"/>
      </w:r>
    </w:p>
    <w:p w14:paraId="2A737477">
      <w:pPr>
        <w:pStyle w:val="2"/>
        <w:rPr>
          <w:rFonts w:cs="Times New Roman"/>
          <w:szCs w:val="28"/>
          <w:highlight w:val="none"/>
          <w:lang w:val="uk-UA"/>
        </w:rPr>
      </w:pPr>
      <w:bookmarkStart w:id="1" w:name="_Toc153923936"/>
      <w:r>
        <w:rPr>
          <w:rFonts w:cs="Times New Roman"/>
          <w:szCs w:val="28"/>
          <w:highlight w:val="none"/>
          <w:lang w:val="uk-UA"/>
        </w:rPr>
        <w:t>АНОТАЦІЯ</w:t>
      </w:r>
      <w:bookmarkEnd w:id="1"/>
    </w:p>
    <w:p w14:paraId="360D2395">
      <w:pPr>
        <w:pStyle w:val="19"/>
        <w:spacing w:after="0"/>
        <w:rPr>
          <w:rFonts w:cs="Times New Roman"/>
          <w:spacing w:val="-4"/>
          <w:highlight w:val="none"/>
        </w:rPr>
      </w:pPr>
      <w:r>
        <w:rPr>
          <w:i/>
          <w:spacing w:val="-4"/>
          <w:highlight w:val="none"/>
        </w:rPr>
        <w:t xml:space="preserve">Аксьонова А. Г. </w:t>
      </w:r>
      <w:r>
        <w:rPr>
          <w:spacing w:val="-4"/>
          <w:szCs w:val="28"/>
          <w:highlight w:val="none"/>
          <w:shd w:val="clear" w:color="auto" w:fill="FFFFFF" w:themeFill="background1"/>
        </w:rPr>
        <w:t xml:space="preserve">Діагностична та прогностична значимість вмісту остеопонтину </w:t>
      </w:r>
      <w:r>
        <w:rPr>
          <w:rFonts w:cs="Times New Roman"/>
          <w:spacing w:val="-4"/>
          <w:szCs w:val="28"/>
          <w:highlight w:val="none"/>
          <w:shd w:val="clear" w:color="auto" w:fill="FFFFFF" w:themeFill="background1"/>
        </w:rPr>
        <w:t>та вітаміну D у хворих на хронічний гепатит С</w:t>
      </w:r>
      <w:r>
        <w:rPr>
          <w:rFonts w:cs="Times New Roman"/>
          <w:spacing w:val="-4"/>
          <w:highlight w:val="none"/>
        </w:rPr>
        <w:t>. –– Кваліфікаційна наукова праця на правах рукопису.</w:t>
      </w:r>
    </w:p>
    <w:p w14:paraId="57C36A96">
      <w:pPr>
        <w:pStyle w:val="19"/>
        <w:spacing w:after="0"/>
        <w:rPr>
          <w:rFonts w:cs="Times New Roman"/>
          <w:spacing w:val="-4"/>
          <w:highlight w:val="none"/>
        </w:rPr>
      </w:pPr>
      <w:r>
        <w:rPr>
          <w:rFonts w:cs="Times New Roman"/>
          <w:spacing w:val="-4"/>
          <w:highlight w:val="none"/>
        </w:rPr>
        <w:t>Дисертація на здобуття наукового ступеня доктора філософії за спеціальністю 222 «Медицина», спеціалізація «Інфекційні хвороби». –– Харківський національний медичний університет МОЗ України. –– Харків, 2023. Захист відбудеться у ХНМУ, Харків, _____ __________ 2024 р.</w:t>
      </w:r>
    </w:p>
    <w:p w14:paraId="5EE6DD9C">
      <w:pPr>
        <w:widowControl w:val="0"/>
        <w:rPr>
          <w:rFonts w:cs="Times New Roman"/>
          <w:spacing w:val="-4"/>
          <w:szCs w:val="30"/>
          <w:highlight w:val="none"/>
          <w:shd w:val="clear" w:color="auto" w:fill="FFFFFF"/>
        </w:rPr>
      </w:pPr>
      <w:r>
        <w:rPr>
          <w:rFonts w:cs="Times New Roman"/>
          <w:spacing w:val="-4"/>
          <w:highlight w:val="none"/>
        </w:rPr>
        <w:t>Вірусний гепатит за визначенням Всесвітньої організації охорони здоров’я (ВООЗ) має статус загрози світовій охороні здоров’я через її значні медико-соціальні наслідки, які проявляються загрозливими рівнями поширення й інвалідизації та смертності населення</w:t>
      </w:r>
      <w:r>
        <w:rPr>
          <w:rFonts w:cs="Times New Roman"/>
          <w:spacing w:val="-4"/>
          <w:szCs w:val="27"/>
          <w:highlight w:val="none"/>
          <w:shd w:val="clear" w:color="auto" w:fill="FFFFFF"/>
        </w:rPr>
        <w:t xml:space="preserve">. </w:t>
      </w:r>
      <w:r>
        <w:rPr>
          <w:spacing w:val="-4"/>
          <w:highlight w:val="none"/>
        </w:rPr>
        <w:t>Негативні медико-соціальні наслідки ХГС пов’язують із розвитком фіброзу печінки (ФП) і прогресування його до цирозу печінки (ЦП). Відповідно вивчення патогенетичних механізмів дії ОП і вітаміну D на процеси реплікації вірусу гепатиту С, формування вірусного навантаження та стимуляцію процесів фіброзування, поряд зі створенням математичних моделей прогнозування перебігу та визначення діагностичних і терапевтичних можливостей хронічного гепатиту С постає вагомим питанням сучасної інфектології та є актуальним напрямком проведення досліджень.</w:t>
      </w:r>
    </w:p>
    <w:p w14:paraId="3EA3AC5D">
      <w:pPr>
        <w:pStyle w:val="19"/>
        <w:spacing w:after="0"/>
        <w:rPr>
          <w:highlight w:val="none"/>
        </w:rPr>
      </w:pPr>
      <w:r>
        <w:rPr>
          <w:highlight w:val="none"/>
        </w:rPr>
        <w:t>З метою</w:t>
      </w:r>
      <w:r>
        <w:rPr>
          <w:spacing w:val="-4"/>
          <w:highlight w:val="none"/>
        </w:rPr>
        <w:t xml:space="preserve"> підвищення ефективності діагностики фіброзу печінки у хворих на хронічний гепатит С та прогнозування</w:t>
      </w:r>
      <w:r>
        <w:rPr>
          <w:spacing w:val="-4"/>
          <w:highlight w:val="none"/>
        </w:rPr>
        <w:t xml:space="preserve"> </w:t>
      </w:r>
      <w:r>
        <w:rPr>
          <w:highlight w:val="none"/>
        </w:rPr>
        <w:t xml:space="preserve">несприятливого наслідку </w:t>
      </w:r>
      <w:r>
        <w:rPr>
          <w:highlight w:val="none"/>
        </w:rPr>
        <w:t xml:space="preserve">хвороби на підставі визначення остеопонтину та вітаміну D було проведено комплексне обстеження </w:t>
      </w:r>
      <w:r>
        <w:rPr>
          <w:szCs w:val="28"/>
          <w:highlight w:val="none"/>
        </w:rPr>
        <w:t xml:space="preserve">78 осіб, </w:t>
      </w:r>
      <w:r>
        <w:rPr>
          <w:spacing w:val="-4"/>
          <w:szCs w:val="28"/>
          <w:highlight w:val="none"/>
        </w:rPr>
        <w:t>віком 18–60 років: 47 хворих (основна група) на ХГС із ФП, які знаходилися на лікуванні в комунальному некомерційному підприємстві (КНП) «Обласна клінічна інфекційна лікарня» Харківської обласної ради (ХОР) та 31 обстежений контрольної групи (практично здорові особи, рандомізовані за віком і статтю)</w:t>
      </w:r>
      <w:r>
        <w:rPr>
          <w:szCs w:val="28"/>
          <w:highlight w:val="none"/>
        </w:rPr>
        <w:t xml:space="preserve"> у період з 2019 по 2023 рр. Пацієнти були залучені в дослідження виключно за власним бажанням та після підписання інформованої згоди.</w:t>
      </w:r>
    </w:p>
    <w:p w14:paraId="5ACDDB3A">
      <w:pPr>
        <w:widowControl w:val="0"/>
        <w:rPr>
          <w:spacing w:val="-4"/>
          <w:highlight w:val="none"/>
        </w:rPr>
      </w:pPr>
      <w:r>
        <w:rPr>
          <w:spacing w:val="-4"/>
          <w:highlight w:val="none"/>
        </w:rPr>
        <w:t xml:space="preserve">Діагноз </w:t>
      </w:r>
      <w:r>
        <w:rPr>
          <w:spacing w:val="-4"/>
          <w:szCs w:val="28"/>
          <w:highlight w:val="none"/>
        </w:rPr>
        <w:t xml:space="preserve">ХГС був встановлений згідно </w:t>
      </w:r>
      <w:r>
        <w:rPr>
          <w:spacing w:val="-4"/>
          <w:highlight w:val="none"/>
        </w:rPr>
        <w:t>Наказу МОЗ України від 15 січня 2021 № 51, «Стандарт медичної допомоги «Вірусний гепатит С у дорослих»» та з</w:t>
      </w:r>
      <w:r>
        <w:rPr>
          <w:spacing w:val="-4"/>
          <w:szCs w:val="28"/>
          <w:highlight w:val="none"/>
        </w:rPr>
        <w:t xml:space="preserve"> урахуванням рекомендацій Американського товариства фахівців з інфекційних хвороб (IDSA), Американської асоціації з вивчення захворювань печінки (AASLD), </w:t>
      </w:r>
      <w:r>
        <w:rPr>
          <w:rFonts w:eastAsia="Times New Roman"/>
          <w:spacing w:val="-4"/>
          <w:szCs w:val="36"/>
          <w:highlight w:val="none"/>
          <w:lang w:eastAsia="ru-RU"/>
        </w:rPr>
        <w:t>Європейської асоціації з дослідження печінки (</w:t>
      </w:r>
      <w:r>
        <w:rPr>
          <w:spacing w:val="-4"/>
          <w:highlight w:val="none"/>
        </w:rPr>
        <w:t xml:space="preserve">EASL). Верифікацію </w:t>
      </w:r>
      <w:r>
        <w:rPr>
          <w:spacing w:val="-4"/>
          <w:szCs w:val="28"/>
          <w:highlight w:val="none"/>
        </w:rPr>
        <w:t xml:space="preserve">ФП проводили згідно рекомендацій </w:t>
      </w:r>
      <w:r>
        <w:rPr>
          <w:spacing w:val="-4"/>
          <w:highlight w:val="none"/>
        </w:rPr>
        <w:t>МОЗ України</w:t>
      </w:r>
      <w:r>
        <w:rPr>
          <w:spacing w:val="-4"/>
          <w:szCs w:val="28"/>
          <w:highlight w:val="none"/>
        </w:rPr>
        <w:t xml:space="preserve"> та AASLD,</w:t>
      </w:r>
      <w:r>
        <w:rPr>
          <w:spacing w:val="-4"/>
          <w:highlight w:val="none"/>
        </w:rPr>
        <w:t xml:space="preserve"> EASL-A</w:t>
      </w:r>
      <w:r>
        <w:rPr>
          <w:spacing w:val="-4"/>
          <w:highlight w:val="none"/>
        </w:rPr>
        <w:t xml:space="preserve">LEH,. </w:t>
      </w:r>
      <w:r>
        <w:rPr>
          <w:spacing w:val="-4"/>
          <w:szCs w:val="28"/>
          <w:highlight w:val="none"/>
        </w:rPr>
        <w:t>Ст</w:t>
      </w:r>
      <w:r>
        <w:rPr>
          <w:spacing w:val="-4"/>
          <w:szCs w:val="28"/>
          <w:highlight w:val="none"/>
        </w:rPr>
        <w:t xml:space="preserve">адійність ФП </w:t>
      </w:r>
      <w:r>
        <w:rPr>
          <w:spacing w:val="-4"/>
          <w:highlight w:val="none"/>
        </w:rPr>
        <w:t xml:space="preserve">(F0–F4) </w:t>
      </w:r>
      <w:r>
        <w:rPr>
          <w:spacing w:val="-4"/>
          <w:szCs w:val="28"/>
          <w:highlight w:val="none"/>
        </w:rPr>
        <w:t xml:space="preserve">класифікували згідно </w:t>
      </w:r>
      <w:r>
        <w:rPr>
          <w:spacing w:val="-4"/>
          <w:highlight w:val="none"/>
        </w:rPr>
        <w:t>шкали оцінки ступеня ФП (METAVIR). Поряд з цим, пацієнти основної групи отримували лікування згідно діючих лікувальних рекомендацій.</w:t>
      </w:r>
    </w:p>
    <w:p w14:paraId="1E9752AB">
      <w:pPr>
        <w:widowControl w:val="0"/>
        <w:rPr>
          <w:rFonts w:eastAsia="Times New Roman"/>
          <w:spacing w:val="-4"/>
          <w:szCs w:val="28"/>
          <w:highlight w:val="none"/>
          <w:lang w:eastAsia="ru-RU"/>
        </w:rPr>
      </w:pPr>
      <w:r>
        <w:rPr>
          <w:rStyle w:val="108"/>
          <w:color w:val="000000"/>
          <w:szCs w:val="28"/>
          <w:highlight w:val="none"/>
        </w:rPr>
        <w:t>У клінічній картині хронічного г</w:t>
      </w:r>
      <w:r>
        <w:rPr>
          <w:color w:val="000000"/>
          <w:szCs w:val="28"/>
          <w:highlight w:val="none"/>
        </w:rPr>
        <w:t>епатиту С переважали такі прояви астено-вегетативного синдрому, як загальна слабкість (76,6 %), зниження працездатності (74,5 %) та емоційна лабільність (76,6 %). Диспептичний синдром характеризувався зниженням апетиту (в 63,83 % випадків) та важкістю у правому підребер’ї (68,1 %). Структура жовтяничного синдрому включала в себе жовтяницю склер, шкіри та холурію, які визначалися в пацієнтів з ХГС в 21,3 % випадків. Констатовано, що абдомінально-больовий синдром частіше характеризувався болем у правому підребер’ї, артралгічний — болем в суглобах (15,5 %), в 31,9 % випадків реєстрували підвищення температури тіла. Прояви гепатомегалічного синдрому включали превалювання збільшених розмірів печінки та її болючість: відповідно 93,6 % та 80,9 % випадків.</w:t>
      </w:r>
      <w:r>
        <w:rPr>
          <w:rFonts w:eastAsia="Times New Roman"/>
          <w:spacing w:val="-4"/>
          <w:szCs w:val="28"/>
          <w:highlight w:val="none"/>
          <w:lang w:eastAsia="ru-RU"/>
        </w:rPr>
        <w:t xml:space="preserve"> </w:t>
      </w:r>
    </w:p>
    <w:p w14:paraId="2237E1B2">
      <w:pPr>
        <w:widowControl w:val="0"/>
        <w:rPr>
          <w:spacing w:val="-4"/>
          <w:szCs w:val="28"/>
          <w:highlight w:val="none"/>
        </w:rPr>
      </w:pPr>
      <w:r>
        <w:rPr>
          <w:spacing w:val="-4"/>
          <w:szCs w:val="28"/>
          <w:highlight w:val="none"/>
        </w:rPr>
        <w:t>Визначено достовірні зміни в гемограмі пацієнтів з ХГС порівняно з контрольною групою, зокрема переважання значення середньої концентрації гемоглобіну на 5 % (р&lt;0,001), достовірно нижча медіана тромбоцитів (208,0*10</w:t>
      </w:r>
      <w:r>
        <w:rPr>
          <w:spacing w:val="-4"/>
          <w:szCs w:val="28"/>
          <w:highlight w:val="none"/>
          <w:vertAlign w:val="superscript"/>
        </w:rPr>
        <w:t>9</w:t>
      </w:r>
      <w:r>
        <w:rPr>
          <w:spacing w:val="-4"/>
          <w:szCs w:val="28"/>
          <w:highlight w:val="none"/>
        </w:rPr>
        <w:t>/л та 275,0*10</w:t>
      </w:r>
      <w:r>
        <w:rPr>
          <w:spacing w:val="-4"/>
          <w:szCs w:val="28"/>
          <w:highlight w:val="none"/>
          <w:vertAlign w:val="superscript"/>
        </w:rPr>
        <w:t>9</w:t>
      </w:r>
      <w:r>
        <w:rPr>
          <w:spacing w:val="-4"/>
          <w:szCs w:val="28"/>
          <w:highlight w:val="none"/>
        </w:rPr>
        <w:t>/л, р&lt;0,001), на 10 % нижча медіана тромбокриту (р=0,009), трикратне переважання ШОЕ (9,0 мм/год та 3,0 мм/год, р&lt;0,001), в 3,5 рази достовірно нижча відносна кількість п/я нейтрофілів (р&lt;0,001) та на 20 % нижча відносна кількість с/я нейтрофілів (р&lt;0,001). В той же час достовірно (р&lt;0,001) в 4,5 рази вищою була медіана відносної кількості лімфоцитів та на 1,4 % більша медіана моноцитів (р=0,012).</w:t>
      </w:r>
    </w:p>
    <w:p w14:paraId="5334D884">
      <w:pPr>
        <w:widowControl w:val="0"/>
        <w:rPr>
          <w:spacing w:val="-4"/>
          <w:szCs w:val="28"/>
          <w:highlight w:val="none"/>
        </w:rPr>
      </w:pPr>
      <w:r>
        <w:rPr>
          <w:spacing w:val="-4"/>
          <w:szCs w:val="28"/>
          <w:highlight w:val="none"/>
        </w:rPr>
        <w:t>Стосовно змін в біохімічному анал</w:t>
      </w:r>
      <w:r>
        <w:rPr>
          <w:spacing w:val="-4"/>
          <w:szCs w:val="28"/>
          <w:highlight w:val="none"/>
        </w:rPr>
        <w:t>ізі крові, результати визначили (було встановлено) достовірне (р&lt;0</w:t>
      </w:r>
      <w:r>
        <w:rPr>
          <w:spacing w:val="-4"/>
          <w:szCs w:val="28"/>
          <w:highlight w:val="none"/>
        </w:rPr>
        <w:t xml:space="preserve">,001) двократне перевищення рівнів АЛТ та АСТ і трикратне переважання медіани рівнів ГГТ у пацієнтів з ХГС (р&lt;0,001). Медіанні рівні тимолової проби у пацієнтів з ХГС були в 3 рази достовірно вищими за контроль (р&lt;0,001). Достовірне зниження </w:t>
      </w:r>
      <w:r>
        <w:rPr>
          <w:spacing w:val="-4"/>
          <w:szCs w:val="28"/>
          <w:highlight w:val="none"/>
        </w:rPr>
        <w:t>було отримано</w:t>
      </w:r>
      <w:r>
        <w:rPr>
          <w:spacing w:val="-4"/>
          <w:szCs w:val="28"/>
          <w:highlight w:val="none"/>
        </w:rPr>
        <w:t xml:space="preserve"> </w:t>
      </w:r>
      <w:r>
        <w:rPr>
          <w:spacing w:val="-4"/>
          <w:szCs w:val="28"/>
          <w:highlight w:val="none"/>
        </w:rPr>
        <w:t>(встановлено)</w:t>
      </w:r>
      <w:r>
        <w:rPr>
          <w:spacing w:val="-4"/>
          <w:szCs w:val="28"/>
          <w:highlight w:val="none"/>
        </w:rPr>
        <w:t xml:space="preserve"> відносно рівнів загального білку (р=0,005), хоча рівні альбуміну достовірно не різнилися. </w:t>
      </w:r>
    </w:p>
    <w:p w14:paraId="50CF153C">
      <w:pPr>
        <w:widowControl w:val="0"/>
        <w:rPr>
          <w:spacing w:val="-4"/>
          <w:szCs w:val="28"/>
          <w:highlight w:val="none"/>
        </w:rPr>
      </w:pPr>
      <w:r>
        <w:rPr>
          <w:spacing w:val="-4"/>
          <w:szCs w:val="28"/>
          <w:highlight w:val="none"/>
        </w:rPr>
        <w:t>Важливо відзначити, що медіана рівнів остеопонтину більше, ніж в 1,5 рази переважал</w:t>
      </w:r>
      <w:r>
        <w:rPr>
          <w:spacing w:val="-4"/>
          <w:szCs w:val="28"/>
          <w:highlight w:val="none"/>
        </w:rPr>
        <w:t>о</w:t>
      </w:r>
      <w:r>
        <w:rPr>
          <w:spacing w:val="-4"/>
          <w:szCs w:val="28"/>
          <w:highlight w:val="none"/>
        </w:rPr>
        <w:t xml:space="preserve"> у пацієнтів з ХГС, ніж в контрольній групі (р&lt;0,001); в обох досліджених групах медіанні рівні вітаміну D характеризувалися його недостатністю, при цьому, достовірно (р&lt;0,001) були нижчими саме у пацієнтів з ХГС.</w:t>
      </w:r>
    </w:p>
    <w:p w14:paraId="0BF7F087">
      <w:pPr>
        <w:widowControl w:val="0"/>
        <w:rPr>
          <w:spacing w:val="-4"/>
          <w:szCs w:val="28"/>
          <w:highlight w:val="none"/>
        </w:rPr>
      </w:pPr>
      <w:r>
        <w:rPr>
          <w:spacing w:val="-4"/>
          <w:szCs w:val="28"/>
          <w:highlight w:val="none"/>
        </w:rPr>
        <w:t xml:space="preserve">При аналізі лабораторних показників пацієнтів </w:t>
      </w:r>
      <w:r>
        <w:rPr>
          <w:spacing w:val="-4"/>
          <w:szCs w:val="28"/>
          <w:highlight w:val="none"/>
        </w:rPr>
        <w:t>основної групи</w:t>
      </w:r>
      <w:r>
        <w:rPr>
          <w:spacing w:val="-4"/>
          <w:szCs w:val="28"/>
          <w:highlight w:val="none"/>
        </w:rPr>
        <w:t xml:space="preserve"> було визначено, що середня концентрація гемоглобіну була достовірно вища (р=0,025) у пацієнтів зі значним (3–4 стадії) фіброзом, проте рівні тромбоцитів були майже на чверть достовірно нижчими (р=0,012). Параметри біохімічного аналізу крові також показали суттєві відмінності в залежності від стадії фіброзу печінки. Так, медіана АЛТ достовірно (р&lt;0,001) переважала у пацієнтів з 3-4 стадією фіброзу; двократне збільшення рівнів АСТ (р&lt;0,001) також спостерігалося в даній підгрупі. При значному фіброзі також достовірно (р=0,002) була вища медіана ГГТ. Концентрація остеопонтину достовірно (р&lt;0,001) переважала зі збільшенням стадії фіброзного процесу, подібна динаміка відзначилася й стосовно рівнів вітаміну D (р&lt;0,001).</w:t>
      </w:r>
    </w:p>
    <w:p w14:paraId="31861628">
      <w:pPr>
        <w:widowControl w:val="0"/>
        <w:rPr>
          <w:spacing w:val="-4"/>
          <w:highlight w:val="none"/>
        </w:rPr>
      </w:pPr>
      <w:r>
        <w:rPr>
          <w:spacing w:val="-4"/>
          <w:highlight w:val="none"/>
        </w:rPr>
        <w:t>Після проведеного лікування на повторному візиті було повторно оцінено параметри клінічного та біохімічного аналізів крові. Так, отримано дані щодо суттєвої нормалізації показників клінічного аналізу крові, проте медіана тромбоцитів майже на 10 % була нижчою, ніж в групі контролю (р=0,004), вдвічі переважала відносна кількість п/я нейтрофілів в контролі (р=0,001) та вищою була медіана відносної кількості с/я нейтрофілів (р=0,001). Слід зазначити, що відносна кількість лімфоцитів знизилася після лікування у пацієнтів з ХГС, проте все ж в три рази була вищою за контроль (р=0,001).</w:t>
      </w:r>
    </w:p>
    <w:p w14:paraId="6E855D5E">
      <w:pPr>
        <w:widowControl w:val="0"/>
        <w:rPr>
          <w:spacing w:val="-4"/>
          <w:highlight w:val="none"/>
        </w:rPr>
      </w:pPr>
      <w:r>
        <w:rPr>
          <w:spacing w:val="-4"/>
          <w:highlight w:val="none"/>
        </w:rPr>
        <w:t xml:space="preserve">Варто наголосити на нормалізації </w:t>
      </w:r>
      <w:r>
        <w:rPr>
          <w:spacing w:val="-4"/>
          <w:highlight w:val="none"/>
        </w:rPr>
        <w:t>параметрів активності печінки</w:t>
      </w:r>
      <w:r>
        <w:rPr>
          <w:spacing w:val="-4"/>
          <w:highlight w:val="none"/>
        </w:rPr>
        <w:t xml:space="preserve"> та інших показників біохімічного аналізу крові у пацієнтів з ХГС після лікування. Так, рівні АЛТ, АСТ </w:t>
      </w:r>
      <w:r>
        <w:rPr>
          <w:spacing w:val="-4"/>
          <w:highlight w:val="none"/>
        </w:rPr>
        <w:t>прийшли</w:t>
      </w:r>
      <w:r>
        <w:rPr>
          <w:spacing w:val="-4"/>
          <w:highlight w:val="none"/>
        </w:rPr>
        <w:t xml:space="preserve"> до нормальних значень, проте все ж достовірно (відповідно р=0,025, р=0,003) </w:t>
      </w:r>
      <w:r>
        <w:rPr>
          <w:spacing w:val="-4"/>
          <w:highlight w:val="none"/>
        </w:rPr>
        <w:t>були</w:t>
      </w:r>
      <w:r>
        <w:rPr>
          <w:spacing w:val="-4"/>
          <w:highlight w:val="none"/>
        </w:rPr>
        <w:t xml:space="preserve"> нижчі за групу контроля. Порівняно з першим візитом на етапі залучення до дослідження у пацієнтів основної групи достовірно (р=0,008) підвищилася кількість тромбоцитів до 244*10</w:t>
      </w:r>
      <w:r>
        <w:rPr>
          <w:spacing w:val="-4"/>
          <w:highlight w:val="none"/>
          <w:vertAlign w:val="superscript"/>
        </w:rPr>
        <w:t>9</w:t>
      </w:r>
      <w:r>
        <w:rPr>
          <w:spacing w:val="-4"/>
          <w:highlight w:val="none"/>
        </w:rPr>
        <w:t xml:space="preserve">/л; достовірно вдвічі знизилася ШОЕ (р=0,005), кількість лімфоцитів стала нижчою після проведеного лікування, а рівні п/я та с/я нейтрофілів вищими (відповідно, р=0,008, р=0,021 та р=0,011). Отримано дані щодо достовірної (р&lt;0,001) нормалізації рівнів активності печінкових ферментів після проведення лікування, зниження в 3 рази показника тимолової проби, достовірне (р&lt;0,001) підвищення альбуміну та зниження концентрації загального білку. </w:t>
      </w:r>
    </w:p>
    <w:p w14:paraId="2584B788">
      <w:pPr>
        <w:widowControl w:val="0"/>
        <w:rPr>
          <w:spacing w:val="-4"/>
          <w:highlight w:val="none"/>
        </w:rPr>
      </w:pPr>
      <w:r>
        <w:rPr>
          <w:spacing w:val="-4"/>
          <w:highlight w:val="none"/>
        </w:rPr>
        <w:t xml:space="preserve">Дослідження визначило, що медіана тромбоцитів і тромбокриту достовірно (відповідно р=0,005 та р=0,017) переважала у пацієнтів з важким фіброзом, при цьому, рівень ШОЕ та лейкоцитів був достовірно нижчим. Вдвічі була вищою медіана п/я нейтрофілів, ніж у пацієнтів 1 підгрупи (0–2 стадія ФП): відповідно 5,0 % та 2,0 % (р=0,004), в той час як кількість с/я нейтрофілів переважала </w:t>
      </w:r>
      <w:r>
        <w:rPr>
          <w:spacing w:val="-4"/>
          <w:highlight w:val="none"/>
        </w:rPr>
        <w:t>у пацієнті</w:t>
      </w:r>
      <w:r>
        <w:rPr>
          <w:spacing w:val="-4"/>
          <w:highlight w:val="none"/>
        </w:rPr>
        <w:t>в з більш важким фіброзом (р=0,002). Відносна кількість лімфоцитів у пацієнтів з важким фіброзом була в 4 рази достовірно (р=0,001) нижчою, ніж з легким. Після проведеного лікування показники біохімічного аналізу крові в обох підгрупах нормалізувалися та незначно кількісно різнилися між собою.</w:t>
      </w:r>
    </w:p>
    <w:p w14:paraId="50CF7EDC">
      <w:pPr>
        <w:widowControl w:val="0"/>
        <w:rPr>
          <w:spacing w:val="-4"/>
          <w:highlight w:val="none"/>
          <w:lang w:eastAsia="ru-RU"/>
        </w:rPr>
      </w:pPr>
      <w:r>
        <w:rPr>
          <w:spacing w:val="-4"/>
          <w:highlight w:val="none"/>
          <w:lang w:eastAsia="ru-RU"/>
        </w:rPr>
        <w:t xml:space="preserve">При дослідженні факторів, асоційованих з розвитком важкого фіброзу у пацієнтів з хронічним гепатитом С отримано наступні результати. Так, вищі рівні середньої концентрації гемоглобіну достовірно (р=0,026) збільшували вірогідність важкого фіброзу в 4 рази, більш високі рівні тромбоцитів достовірно (р=0,011) асоціювалися з більш легким перебігом фіброзу печінки. Збільшення рівнів АСТ показало достовірну (р=0,043) асоціацію з підвищенням вірогідності розвитку важкого фіброзу на 30 % за кожні 10 Од/л підвищення. На 20 % збільшується ризик погіршення фібротичних процесів зі збільшенням рівнів загального білку (р=0,046). Варто зазначити, що підвищення рівню остеопонтину на 10 пг/мл достовірно (р=0,025) асоційовано зі збільшенням вірогідності важкого фіброзу при ХГС в 25 разів. При сукупній оцінці рівнів АСТ, загального білку та остеопонтину розроблене прогностичне рівняння має високі предикторні якості: 87,5 % чутливості та 83,9 % специфічності. Подальший аналіз показав, що додаткова оцінка рівнів лімфоцитів, які </w:t>
      </w:r>
      <w:r>
        <w:rPr>
          <w:spacing w:val="-4"/>
          <w:highlight w:val="none"/>
          <w:lang w:eastAsia="ru-RU"/>
        </w:rPr>
        <w:t>асоціювалися</w:t>
      </w:r>
      <w:r>
        <w:rPr>
          <w:spacing w:val="-4"/>
          <w:highlight w:val="none"/>
          <w:lang w:eastAsia="ru-RU"/>
        </w:rPr>
        <w:t xml:space="preserve"> зворотно з розвитком важкого фіброзу (р=0,048), прогностичні характеристики розробленого рівняння покращилися до 93,8 % чутливості та 83,9 % специфічності.</w:t>
      </w:r>
    </w:p>
    <w:p w14:paraId="57EC3DEE">
      <w:pPr>
        <w:widowControl w:val="0"/>
        <w:rPr>
          <w:spacing w:val="-4"/>
          <w:szCs w:val="28"/>
          <w:highlight w:val="none"/>
          <w:lang w:eastAsia="ru-RU"/>
        </w:rPr>
      </w:pPr>
      <w:r>
        <w:rPr>
          <w:rFonts w:eastAsia="Times New Roman"/>
          <w:b/>
          <w:bCs/>
          <w:spacing w:val="-4"/>
          <w:szCs w:val="28"/>
          <w:highlight w:val="none"/>
          <w:lang w:eastAsia="ru-RU"/>
        </w:rPr>
        <w:t>Наукова новизна одержаних результатів</w:t>
      </w:r>
      <w:r>
        <w:rPr>
          <w:b/>
          <w:bCs/>
          <w:spacing w:val="-4"/>
          <w:szCs w:val="28"/>
          <w:highlight w:val="none"/>
          <w:lang w:eastAsia="ru-RU"/>
        </w:rPr>
        <w:t xml:space="preserve">. </w:t>
      </w:r>
      <w:bookmarkStart w:id="2" w:name="_Hlk153879769"/>
      <w:r>
        <w:rPr>
          <w:spacing w:val="-4"/>
          <w:szCs w:val="28"/>
          <w:highlight w:val="none"/>
          <w:lang w:eastAsia="ru-RU"/>
        </w:rPr>
        <w:t>Отримано нові наукові дані щодо діагностичної значимості та прогностичної цінності рівнів остеопонтину та вітаміну D в прогнозуванні перебігу хронічного гепатиту С. Доведено достовірне (р&lt;0,001) збільшення медіанних рівнів остеопонтину у пацієнтів з ХГС в півтора рази порівняно з контролем. Показано, що незважаючи на вітамін-</w:t>
      </w:r>
      <w:r>
        <w:rPr>
          <w:spacing w:val="-4"/>
          <w:szCs w:val="28"/>
          <w:highlight w:val="none"/>
          <w:lang w:val="en-US" w:eastAsia="ru-RU"/>
        </w:rPr>
        <w:t>D</w:t>
      </w:r>
      <w:r>
        <w:rPr>
          <w:spacing w:val="-4"/>
          <w:szCs w:val="28"/>
          <w:highlight w:val="none"/>
          <w:lang w:eastAsia="ru-RU"/>
        </w:rPr>
        <w:t>-дефіцитний стан обстеженої когорти пацієнтів, медіана рівнів вітаміну D була достовірно (р&lt;0,001) нижчою саме в групі з хронічним гепатитом С. Досліджено, що при більш важкій стадії фіброзного процесу рівні остеопонтину значно достовірно (р&lt;0,001) збільшуються, порівняно з більш легким перебігом ФП (0–2 стадія); більш важкий фібротичний процес при ХГС також характеризується достовірним переважанням рівнів вітаміну D (р&lt;0,001).</w:t>
      </w:r>
    </w:p>
    <w:p w14:paraId="5DC427A7">
      <w:pPr>
        <w:widowControl w:val="0"/>
        <w:rPr>
          <w:spacing w:val="-4"/>
          <w:szCs w:val="28"/>
          <w:highlight w:val="none"/>
          <w:lang w:eastAsia="ru-RU"/>
        </w:rPr>
      </w:pPr>
      <w:r>
        <w:rPr>
          <w:spacing w:val="-4"/>
          <w:szCs w:val="28"/>
          <w:highlight w:val="none"/>
          <w:lang w:eastAsia="ru-RU"/>
        </w:rPr>
        <w:t xml:space="preserve">Доповнено наукові дані щодо прогнозування перебігу процесів фіброзу при хронічному гепатиті С. Визначено, що достовірними предикторами більш важкого фіброзу печінки постали вищі рівні АСТ (р&lt;0,001), загального білку (р=0,046) та остеопонтину (р=0,025), при підвищенні останнього на 10 пг/мл вірогідність розвитку важкого фіброзу збільшується в 25 разів. При одночасній оцінці даних параметрів в запропонованій математичній моделі, важкий фіброз можна спрогнозувати з 87,5 % чутливості та 83,9 % специфічності. Додаткова оцінка відносної кількості лімфоцитів, який показав достовірну асоціацію з прогнозуванням фіброзу (р=0,048), дозволяє більш точно провести предикцію більш важких порушень морфології печінки: 93,8 % чутливість та 83,9 % специфічність. </w:t>
      </w:r>
    </w:p>
    <w:p w14:paraId="20ACC9FC">
      <w:pPr>
        <w:widowControl w:val="0"/>
        <w:rPr>
          <w:color w:val="000000"/>
          <w:szCs w:val="28"/>
          <w:highlight w:val="none"/>
        </w:rPr>
      </w:pPr>
      <w:r>
        <w:rPr>
          <w:spacing w:val="-4"/>
          <w:szCs w:val="28"/>
          <w:highlight w:val="none"/>
          <w:lang w:eastAsia="ru-RU"/>
        </w:rPr>
        <w:t xml:space="preserve">Уточнено наявні дані щодо характеру порушень клінічних і лабораторних показників у пацієнтів з хронічним гепатитом С, які характеризуються </w:t>
      </w:r>
      <w:r>
        <w:rPr>
          <w:color w:val="000000"/>
          <w:szCs w:val="28"/>
          <w:highlight w:val="none"/>
        </w:rPr>
        <w:t>загальною слабкістю (76,6 %), зниженням працездатності (74,5 %) та емоційною лабільністю (76,6 %), зниженням апетиту (63,83 %) та важкістю у правому підребер’ї (68,1 %). Структура жовтяничного синдрому включала в себе переважно жовтяницю склер, шкіри та холурію, які визначалися в 21,</w:t>
      </w:r>
      <w:r>
        <w:rPr>
          <w:color w:val="000000"/>
          <w:szCs w:val="28"/>
          <w:highlight w:val="none"/>
        </w:rPr>
        <w:t>3 ;</w:t>
      </w:r>
      <w:r>
        <w:rPr>
          <w:color w:val="000000"/>
          <w:szCs w:val="28"/>
          <w:highlight w:val="none"/>
        </w:rPr>
        <w:t xml:space="preserve"> випадків. Абдомінально-больовий синдром частіше характеризувався болем у правому підребер’ї, артралгічний — болем в суглобах (15,5 %), в 31,9 % випадків реєстрували підвищення температури тіла. Прояви гепатомегалічного синдрому включали превалювання збільшених розмірів печінки та її болючість: відповідно 93,6 % та 80,9 % випадків.</w:t>
      </w:r>
    </w:p>
    <w:p w14:paraId="74E97FF0">
      <w:pPr>
        <w:widowControl w:val="0"/>
        <w:rPr>
          <w:spacing w:val="-4"/>
          <w:szCs w:val="28"/>
          <w:highlight w:val="none"/>
          <w:lang w:eastAsia="ru-RU"/>
        </w:rPr>
      </w:pPr>
      <w:r>
        <w:rPr>
          <w:spacing w:val="-4"/>
          <w:szCs w:val="28"/>
          <w:highlight w:val="none"/>
          <w:lang w:eastAsia="ru-RU"/>
        </w:rPr>
        <w:t>Доповнено дані щодо змін лабораторних показників у пацієнтів з ХГС, які характеризувалися достовірно (р&lt;0,001) вищими рівнями МСН, зниженням медіани тромбоцитів (р&lt;0,001) та тромбокриту (р=0,009), підвищенням ШОЕ (р&lt;0,001), достовірним (р&lt;0,001) зниженням відносної кількості п/я та с/я нейтрофілів при достовірному (</w:t>
      </w:r>
      <w:r>
        <w:rPr>
          <w:spacing w:val="-4"/>
          <w:szCs w:val="28"/>
          <w:highlight w:val="none"/>
          <w:lang w:eastAsia="ru-RU"/>
        </w:rPr>
        <w:t>р&lt;0,001</w:t>
      </w:r>
      <w:r>
        <w:rPr>
          <w:spacing w:val="-4"/>
          <w:szCs w:val="28"/>
          <w:highlight w:val="none"/>
          <w:lang w:eastAsia="ru-RU"/>
        </w:rPr>
        <w:t>) підвищенні відносної кількості лімфоцитів і моноцитів. Перебіг ХГС, що супроводжується більш важким фіброзом печінки (3–4 стадія), зміни лабораторних показників включають 2–3 кратне достовірне збільшення медіани АЛТ, АСТ та ГГТ, підвищення медіани МСН при зниженні медіани тромбоцитів на чверть (р=0,012).</w:t>
      </w:r>
    </w:p>
    <w:bookmarkEnd w:id="2"/>
    <w:p w14:paraId="2377177C">
      <w:pPr>
        <w:widowControl w:val="0"/>
        <w:rPr>
          <w:b/>
          <w:bCs/>
          <w:spacing w:val="-4"/>
          <w:szCs w:val="28"/>
          <w:highlight w:val="none"/>
        </w:rPr>
      </w:pPr>
      <w:r>
        <w:rPr>
          <w:rFonts w:eastAsia="Times New Roman"/>
          <w:b/>
          <w:bCs/>
          <w:spacing w:val="-4"/>
          <w:szCs w:val="28"/>
          <w:highlight w:val="none"/>
          <w:lang w:eastAsia="ru-RU"/>
        </w:rPr>
        <w:t>Практичне значення отриманих результатів.</w:t>
      </w:r>
    </w:p>
    <w:p w14:paraId="695307C1">
      <w:pPr>
        <w:widowControl w:val="0"/>
        <w:rPr>
          <w:spacing w:val="-4"/>
          <w:szCs w:val="28"/>
          <w:highlight w:val="none"/>
        </w:rPr>
      </w:pPr>
      <w:bookmarkStart w:id="3" w:name="_Hlk153880338"/>
      <w:r>
        <w:rPr>
          <w:spacing w:val="-4"/>
          <w:szCs w:val="28"/>
          <w:highlight w:val="none"/>
        </w:rPr>
        <w:t xml:space="preserve">Рекомендовано до застосування в клінічній практиці оцінювати рівень остеопонтину та вітаміну D з урахуванням їх діагностичної та прогностичної значимості відносно перебігу хронічного гепатиту С та розвитку важкого фіброзу печінки. </w:t>
      </w:r>
    </w:p>
    <w:p w14:paraId="69524D0F">
      <w:pPr>
        <w:widowControl w:val="0"/>
        <w:rPr>
          <w:spacing w:val="-4"/>
          <w:szCs w:val="28"/>
          <w:highlight w:val="none"/>
        </w:rPr>
      </w:pPr>
      <w:r>
        <w:rPr>
          <w:spacing w:val="-4"/>
          <w:szCs w:val="28"/>
          <w:highlight w:val="none"/>
        </w:rPr>
        <w:t>Запропоновано, з метою раннього прогнозування розвитку значних морфологічних змін печінки (розвитку фіброзу 3–4 стадії), сукупно оцінювати рівні остеопонтину, загального білку та аспартатамінотрансферази за формулою «</w:t>
      </w:r>
      <w:r>
        <w:rPr>
          <w:szCs w:val="28"/>
          <w:highlight w:val="none"/>
        </w:rPr>
        <w:t>-24,152 + [0,028 </w:t>
      </w:r>
      <w:r>
        <w:rPr>
          <w:rFonts w:cs="Times New Roman"/>
          <w:szCs w:val="28"/>
          <w:highlight w:val="none"/>
        </w:rPr>
        <w:t>×</w:t>
      </w:r>
      <w:r>
        <w:rPr>
          <w:szCs w:val="28"/>
          <w:highlight w:val="none"/>
        </w:rPr>
        <w:t> АСТ, Од/л] + + [0,178 </w:t>
      </w:r>
      <w:r>
        <w:rPr>
          <w:rFonts w:cs="Times New Roman"/>
          <w:szCs w:val="28"/>
          <w:highlight w:val="none"/>
        </w:rPr>
        <w:t>×</w:t>
      </w:r>
      <w:r>
        <w:rPr>
          <w:szCs w:val="28"/>
          <w:highlight w:val="none"/>
        </w:rPr>
        <w:t> Заг. білок, г/л] +</w:t>
      </w:r>
      <w:r>
        <w:rPr>
          <w:szCs w:val="28"/>
          <w:highlight w:val="none"/>
        </w:rPr>
        <w:br w:type="textWrapping"/>
      </w:r>
      <w:r>
        <w:rPr>
          <w:szCs w:val="28"/>
          <w:highlight w:val="none"/>
        </w:rPr>
        <w:t xml:space="preserve"> + [0,920 </w:t>
      </w:r>
      <w:r>
        <w:rPr>
          <w:rFonts w:cs="Times New Roman"/>
          <w:szCs w:val="28"/>
          <w:highlight w:val="none"/>
        </w:rPr>
        <w:t>×</w:t>
      </w:r>
      <w:r>
        <w:rPr>
          <w:szCs w:val="28"/>
          <w:highlight w:val="none"/>
        </w:rPr>
        <w:t> Остеопонтин, пг/мл]</w:t>
      </w:r>
      <w:r>
        <w:rPr>
          <w:spacing w:val="-4"/>
          <w:szCs w:val="28"/>
          <w:highlight w:val="none"/>
        </w:rPr>
        <w:t>, з вираховуванням прогностичного коефіцієнту, який при значенні моделі -0,9750 має чутливість 87,5 % та 83,9 %.</w:t>
      </w:r>
    </w:p>
    <w:p w14:paraId="41587080">
      <w:pPr>
        <w:widowControl w:val="0"/>
        <w:rPr>
          <w:spacing w:val="-4"/>
          <w:szCs w:val="28"/>
          <w:highlight w:val="none"/>
        </w:rPr>
      </w:pPr>
      <w:r>
        <w:rPr>
          <w:spacing w:val="-4"/>
          <w:szCs w:val="28"/>
          <w:highlight w:val="none"/>
        </w:rPr>
        <w:t>Рекомендовано з метою уточнення прогнозу розвитку важкого фіброзу у пацієнтів з ХГС додатково оцінювати параметр відносної кількості лімфоцитів та застосовувати розроблену математичну формулу: «-31,781+[0,034 × АСТ, Од/л] + [0,274 × Білок загальний, г/л] – [0,202 × Лімфоцити, %] + [1,668 × остеопонтин, пг/мл]», предикційні характеристики якої складають 93,8 % чутливості та 83,9 % специфічності при значенні моделі -1,1568.</w:t>
      </w:r>
    </w:p>
    <w:bookmarkEnd w:id="3"/>
    <w:p w14:paraId="34FA89AA">
      <w:pPr>
        <w:widowControl w:val="0"/>
        <w:rPr>
          <w:highlight w:val="none"/>
        </w:rPr>
      </w:pPr>
      <w:r>
        <w:rPr>
          <w:b/>
          <w:highlight w:val="none"/>
        </w:rPr>
        <w:t>Публікації результатів дослідження.</w:t>
      </w:r>
      <w:r>
        <w:rPr>
          <w:highlight w:val="none"/>
        </w:rPr>
        <w:t xml:space="preserve"> За матеріалами дисертації опубліковано 5 наукових робіт, з них 3 статті, зокрема 1 стаття у фахових виданнях України, 2 статті у виданнях, що відносяться до міжнародної наукометричної бази «Scopus/Web of science», 2 </w:t>
      </w:r>
      <w:r>
        <w:rPr>
          <w:highlight w:val="none"/>
        </w:rPr>
        <w:t>тез</w:t>
      </w:r>
      <w:r>
        <w:rPr>
          <w:highlight w:val="none"/>
        </w:rPr>
        <w:t xml:space="preserve"> доповідей у матеріалах науково-практичних конференцій та конгресів.</w:t>
      </w:r>
    </w:p>
    <w:p w14:paraId="5FAC3FA6">
      <w:pPr>
        <w:widowControl w:val="0"/>
        <w:rPr>
          <w:rFonts w:cs="Times New Roman"/>
          <w:i/>
          <w:spacing w:val="-4"/>
          <w:szCs w:val="28"/>
          <w:highlight w:val="none"/>
        </w:rPr>
      </w:pPr>
      <w:r>
        <w:rPr>
          <w:b/>
          <w:i/>
          <w:spacing w:val="-4"/>
          <w:highlight w:val="none"/>
        </w:rPr>
        <w:t>Ключові слова:</w:t>
      </w:r>
      <w:r>
        <w:rPr>
          <w:i/>
          <w:spacing w:val="-4"/>
          <w:highlight w:val="none"/>
        </w:rPr>
        <w:t xml:space="preserve"> хронічний гепатит С, фіброз печінки, остеопонтин, вітамін D, тяжкість фіброзного процесу, клініко-лабораторні характеристики, клініко-інструментальні характеристики,</w:t>
      </w:r>
      <w:r>
        <w:rPr>
          <w:highlight w:val="none"/>
        </w:rPr>
        <w:t xml:space="preserve"> </w:t>
      </w:r>
      <w:r>
        <w:rPr>
          <w:i/>
          <w:spacing w:val="-4"/>
          <w:highlight w:val="none"/>
        </w:rPr>
        <w:t>метаболізм гепатоцитів, захворювання печінки, функція печінки, цироз печінки.</w:t>
      </w:r>
      <w:r>
        <w:rPr>
          <w:rFonts w:cs="Times New Roman"/>
          <w:i/>
          <w:spacing w:val="-4"/>
          <w:szCs w:val="28"/>
          <w:highlight w:val="none"/>
        </w:rPr>
        <w:br w:type="page"/>
      </w:r>
    </w:p>
    <w:p w14:paraId="43112F41">
      <w:pPr>
        <w:pStyle w:val="2"/>
        <w:rPr>
          <w:rFonts w:cs="Times New Roman"/>
          <w:szCs w:val="28"/>
          <w:highlight w:val="none"/>
          <w:lang w:val="en-US"/>
        </w:rPr>
      </w:pPr>
      <w:bookmarkStart w:id="4" w:name="_Toc153923937"/>
      <w:r>
        <w:rPr>
          <w:rFonts w:cs="Times New Roman"/>
          <w:szCs w:val="28"/>
          <w:highlight w:val="none"/>
          <w:lang w:val="en-US"/>
        </w:rPr>
        <w:t>RESUME</w:t>
      </w:r>
      <w:bookmarkEnd w:id="4"/>
    </w:p>
    <w:p w14:paraId="68C38772">
      <w:pPr>
        <w:pStyle w:val="19"/>
        <w:spacing w:after="0"/>
        <w:rPr>
          <w:rFonts w:cs="Times New Roman"/>
          <w:spacing w:val="-4"/>
          <w:highlight w:val="none"/>
          <w:lang w:val="en-US"/>
        </w:rPr>
      </w:pPr>
      <w:r>
        <w:rPr>
          <w:i/>
          <w:spacing w:val="-4"/>
          <w:highlight w:val="none"/>
          <w:lang w:val="en-US"/>
        </w:rPr>
        <w:t xml:space="preserve">Aksonova A. G. </w:t>
      </w:r>
      <w:r>
        <w:rPr>
          <w:spacing w:val="-4"/>
          <w:szCs w:val="28"/>
          <w:highlight w:val="none"/>
          <w:shd w:val="clear" w:color="auto" w:fill="FFFFFF" w:themeFill="background1"/>
          <w:lang w:val="en-US"/>
        </w:rPr>
        <w:t xml:space="preserve">Diagnostic and prognostic significance of osteopontin and </w:t>
      </w:r>
      <w:r>
        <w:rPr>
          <w:rFonts w:cs="Times New Roman"/>
          <w:spacing w:val="-4"/>
          <w:szCs w:val="28"/>
          <w:highlight w:val="none"/>
          <w:shd w:val="clear" w:color="auto" w:fill="FFFFFF" w:themeFill="background1"/>
          <w:lang w:val="en-US"/>
        </w:rPr>
        <w:t>vitamin D content in patients with chronic hepatitis C</w:t>
      </w:r>
      <w:r>
        <w:rPr>
          <w:rFonts w:cs="Times New Roman"/>
          <w:spacing w:val="-4"/>
          <w:highlight w:val="none"/>
          <w:lang w:val="en-US"/>
        </w:rPr>
        <w:t>. –– Qualifying scientific work as a manuscript.</w:t>
      </w:r>
    </w:p>
    <w:p w14:paraId="098E0053">
      <w:pPr>
        <w:pStyle w:val="19"/>
        <w:spacing w:after="0"/>
        <w:rPr>
          <w:rFonts w:cs="Times New Roman"/>
          <w:spacing w:val="-4"/>
          <w:highlight w:val="none"/>
          <w:lang w:val="en-US"/>
        </w:rPr>
      </w:pPr>
      <w:r>
        <w:rPr>
          <w:rFonts w:cs="Times New Roman"/>
          <w:spacing w:val="-4"/>
          <w:highlight w:val="none"/>
          <w:lang w:val="en-US"/>
        </w:rPr>
        <w:t>Dissertation for the degree of Doctor of Philosophy in specialty 222 "Medicine", specialization "Infectious Diseases". –– Kharkiv National Medical University of the Ministry of Health of Ukraine. –– Kharkiv, 2023. The defense will take place at KhNMU, Kharkiv, _____ __________ 2024.</w:t>
      </w:r>
    </w:p>
    <w:p w14:paraId="6535D875">
      <w:pPr>
        <w:widowControl w:val="0"/>
        <w:rPr>
          <w:rFonts w:cs="Times New Roman"/>
          <w:spacing w:val="-4"/>
          <w:szCs w:val="30"/>
          <w:highlight w:val="none"/>
          <w:shd w:val="clear" w:color="auto" w:fill="FFFFFF"/>
          <w:lang w:val="en-US"/>
        </w:rPr>
      </w:pPr>
      <w:r>
        <w:rPr>
          <w:rFonts w:cs="Times New Roman"/>
          <w:spacing w:val="-4"/>
          <w:highlight w:val="none"/>
          <w:lang w:val="en-US"/>
        </w:rPr>
        <w:t>Viral hepatitis, as defined by the World Health Organization (WHO), has the status of a threat to global health due to its significant medical and social consequences, which are manifested by alarming levels of prevalence and disability and mortality of the population</w:t>
      </w:r>
      <w:r>
        <w:rPr>
          <w:rFonts w:cs="Times New Roman"/>
          <w:spacing w:val="-4"/>
          <w:szCs w:val="27"/>
          <w:highlight w:val="none"/>
          <w:shd w:val="clear" w:color="auto" w:fill="FFFFFF"/>
          <w:lang w:val="en-US"/>
        </w:rPr>
        <w:t xml:space="preserve">. </w:t>
      </w:r>
      <w:r>
        <w:rPr>
          <w:spacing w:val="-4"/>
          <w:highlight w:val="none"/>
          <w:lang w:val="en-US"/>
        </w:rPr>
        <w:t>The negative medical and social consequences of CHC are associated with the development of hepatic fibrosis (AF) and its progression to liver cirrhosis (CP). Accordingly, the study of the pathogenetic mechanisms of action of OP and vitamin D on the processes of hepatitis C virus replication, the formation of viral load and the stimulation of fibrosis processes, along with the creation of mathematical models for predicting the course and determining the diagnostic and therapeutic capabilities of chronic hepatitis C is an important issue of modern infectology and is a relevant area of research.</w:t>
      </w:r>
    </w:p>
    <w:p w14:paraId="0D448086">
      <w:pPr>
        <w:pStyle w:val="19"/>
        <w:spacing w:after="0"/>
        <w:rPr>
          <w:highlight w:val="none"/>
          <w:lang w:val="en-US"/>
        </w:rPr>
      </w:pPr>
      <w:r>
        <w:rPr>
          <w:highlight w:val="none"/>
          <w:lang w:val="en-US"/>
        </w:rPr>
        <w:t xml:space="preserve">In order to improve the efficiency of diagnosing liver fibrosis in patients with chronic hepatitis C and predicting the adverse outcome of the disease based on the determination of osteopontin and vitamin D, a comprehensive examination of </w:t>
      </w:r>
      <w:r>
        <w:rPr>
          <w:szCs w:val="28"/>
          <w:highlight w:val="none"/>
          <w:lang w:val="en-US"/>
        </w:rPr>
        <w:t>78 people aged 18–60 years was conducted: 47 patients (main group) with CHC with AF, who were treated in the municipal non-profit enterprise (KNP) "Regional Clinical Infectious Diseases Hospital" of the Kharkiv Regional Council (CHOR) and 31 examined control groups (practically healthy individuals, randomized by age and sex) in the period from 2019 to 2023. Patients were enrolled in the study solely at their own request and after signing informed consent.</w:t>
      </w:r>
    </w:p>
    <w:p w14:paraId="2CF0E070">
      <w:pPr>
        <w:widowControl w:val="0"/>
        <w:rPr>
          <w:spacing w:val="-4"/>
          <w:highlight w:val="none"/>
          <w:lang w:val="en-US"/>
        </w:rPr>
      </w:pPr>
      <w:r>
        <w:rPr>
          <w:spacing w:val="-4"/>
          <w:highlight w:val="none"/>
          <w:lang w:val="en-US"/>
        </w:rPr>
        <w:t xml:space="preserve">The diagnosis </w:t>
      </w:r>
      <w:r>
        <w:rPr>
          <w:spacing w:val="-4"/>
          <w:szCs w:val="28"/>
          <w:highlight w:val="none"/>
          <w:lang w:val="en-US"/>
        </w:rPr>
        <w:t>of CHC was established in accordance with the Order of the Ministry of Health of Ukraine dated January 15, 2021 No. 51, "Standard of medical care "Viral hepatitis C in adults</w:t>
      </w:r>
      <w:r>
        <w:rPr>
          <w:spacing w:val="-4"/>
          <w:szCs w:val="28"/>
          <w:highlight w:val="none"/>
          <w:lang w:val="en-US"/>
        </w:rPr>
        <w:t>""</w:t>
      </w:r>
      <w:r>
        <w:rPr>
          <w:spacing w:val="-4"/>
          <w:szCs w:val="28"/>
          <w:highlight w:val="none"/>
          <w:lang w:val="en-US"/>
        </w:rPr>
        <w:t xml:space="preserve"> and taking</w:t>
      </w:r>
      <w:r>
        <w:rPr>
          <w:spacing w:val="-4"/>
          <w:highlight w:val="none"/>
          <w:lang w:val="en-US"/>
        </w:rPr>
        <w:t xml:space="preserve"> into account the recommendations of the American Society of Infectious Disease Specialists (IDSA), the American Association </w:t>
      </w:r>
      <w:r>
        <w:rPr>
          <w:spacing w:val="-4"/>
          <w:szCs w:val="28"/>
          <w:highlight w:val="none"/>
          <w:lang w:val="en-US"/>
        </w:rPr>
        <w:t>for the Study of Liver Diseases (AASLD), the European Association for Liver Research (</w:t>
      </w:r>
      <w:r>
        <w:rPr>
          <w:rFonts w:eastAsia="Times New Roman"/>
          <w:spacing w:val="-4"/>
          <w:szCs w:val="36"/>
          <w:highlight w:val="none"/>
          <w:lang w:val="en-US" w:eastAsia="ru-RU"/>
        </w:rPr>
        <w:t xml:space="preserve">EASL). Verification of </w:t>
      </w:r>
      <w:r>
        <w:rPr>
          <w:spacing w:val="-4"/>
          <w:highlight w:val="none"/>
          <w:lang w:val="en-US"/>
        </w:rPr>
        <w:t xml:space="preserve">AF was carried out in accordance with the recommendations </w:t>
      </w:r>
      <w:r>
        <w:rPr>
          <w:spacing w:val="-4"/>
          <w:szCs w:val="28"/>
          <w:highlight w:val="none"/>
          <w:lang w:val="en-US"/>
        </w:rPr>
        <w:t xml:space="preserve">of the Ministry of Health of Ukraine </w:t>
      </w:r>
      <w:r>
        <w:rPr>
          <w:spacing w:val="-4"/>
          <w:highlight w:val="none"/>
          <w:lang w:val="en-US"/>
        </w:rPr>
        <w:t>and AASLD,</w:t>
      </w:r>
      <w:r>
        <w:rPr>
          <w:spacing w:val="-4"/>
          <w:szCs w:val="28"/>
          <w:highlight w:val="none"/>
          <w:lang w:val="en-US"/>
        </w:rPr>
        <w:t xml:space="preserve"> </w:t>
      </w:r>
      <w:r>
        <w:rPr>
          <w:spacing w:val="-4"/>
          <w:highlight w:val="none"/>
          <w:lang w:val="en-US"/>
        </w:rPr>
        <w:t>EASL-ALEH</w:t>
      </w:r>
      <w:r>
        <w:rPr>
          <w:spacing w:val="-4"/>
          <w:highlight w:val="none"/>
          <w:lang w:val="en-US"/>
        </w:rPr>
        <w:t>,.</w:t>
      </w:r>
      <w:r>
        <w:rPr>
          <w:spacing w:val="-4"/>
          <w:highlight w:val="none"/>
          <w:lang w:val="en-US"/>
        </w:rPr>
        <w:t xml:space="preserve"> </w:t>
      </w:r>
      <w:r>
        <w:rPr>
          <w:spacing w:val="-4"/>
          <w:szCs w:val="28"/>
          <w:highlight w:val="none"/>
          <w:lang w:val="en-US"/>
        </w:rPr>
        <w:t xml:space="preserve">The staging of AF </w:t>
      </w:r>
      <w:r>
        <w:rPr>
          <w:spacing w:val="-4"/>
          <w:highlight w:val="none"/>
          <w:lang w:val="en-US"/>
        </w:rPr>
        <w:t xml:space="preserve">(F0–F4) </w:t>
      </w:r>
      <w:r>
        <w:rPr>
          <w:spacing w:val="-4"/>
          <w:szCs w:val="28"/>
          <w:highlight w:val="none"/>
          <w:lang w:val="en-US"/>
        </w:rPr>
        <w:t xml:space="preserve">was classified according to the AF </w:t>
      </w:r>
      <w:r>
        <w:rPr>
          <w:spacing w:val="-4"/>
          <w:highlight w:val="none"/>
          <w:lang w:val="en-US"/>
        </w:rPr>
        <w:t>Grade Rating Scale (METAVIR). At the same time, patients of the main group received treatment in accordance with current medical recommendations.</w:t>
      </w:r>
    </w:p>
    <w:p w14:paraId="1F61E53E">
      <w:pPr>
        <w:widowControl w:val="0"/>
        <w:rPr>
          <w:rFonts w:eastAsia="Times New Roman"/>
          <w:spacing w:val="-4"/>
          <w:szCs w:val="28"/>
          <w:highlight w:val="none"/>
          <w:lang w:val="en-US" w:eastAsia="ru-RU"/>
        </w:rPr>
      </w:pPr>
      <w:r>
        <w:rPr>
          <w:rStyle w:val="108"/>
          <w:color w:val="000000"/>
          <w:szCs w:val="28"/>
          <w:highlight w:val="none"/>
          <w:lang w:val="en-US"/>
        </w:rPr>
        <w:t xml:space="preserve">The clinical picture of chronic hepatitis C was dominated by such manifestations of astheno-vegetative syndrome as general weakness (76.6 %), decreased ability to work (74.5 %) and emotional lability (76.6 %). Dyspeptic syndrome was characterized by decreased appetite (in 63.83 % of cases) and heaviness in the right hypochondrium (68.1 %). The structure of jaundice syndrome included jaundice of the sclera, skin and choluria, which were detected in patients with CHC in 21.3 % of cases. It was stated that abdominal-pain syndrome was more often characterized by pain in the right hypochondrium, arthralgic — pain in the joints (15.5 %), in 31.9 % of cases an increase in body temperature was recorded. Manifestations of hepatomegalic syndrome included the prevalence of enlarged liver size and its tenderness: 93.6 % and 80.9 % of cases, respectively. </w:t>
      </w:r>
    </w:p>
    <w:p w14:paraId="25731D5C">
      <w:pPr>
        <w:widowControl w:val="0"/>
        <w:rPr>
          <w:spacing w:val="-4"/>
          <w:szCs w:val="28"/>
          <w:highlight w:val="none"/>
          <w:lang w:val="en-US"/>
        </w:rPr>
      </w:pPr>
      <w:r>
        <w:rPr>
          <w:spacing w:val="-4"/>
          <w:szCs w:val="28"/>
          <w:highlight w:val="none"/>
          <w:lang w:val="en-US"/>
        </w:rPr>
        <w:t>Significant changes in the hemogram of patients with CHC compared to the control group were determined, in particular, the predominance of the average hemoglobin concentration by 5 % (</w:t>
      </w:r>
      <w:r>
        <w:rPr>
          <w:spacing w:val="-4"/>
          <w:szCs w:val="28"/>
          <w:highlight w:val="none"/>
          <w:lang w:val="en-US"/>
        </w:rPr>
        <w:t>p &lt; 0.001</w:t>
      </w:r>
      <w:r>
        <w:rPr>
          <w:spacing w:val="-4"/>
          <w:szCs w:val="28"/>
          <w:highlight w:val="none"/>
          <w:lang w:val="en-US"/>
        </w:rPr>
        <w:t>), a significantly lower median platelet (208.0 * 109/l and 275.0 * 109/l, p &lt; 0.001), a 10 % lower median thrombocrit (p = 0.009), a threefold predominance of ESR (9.0 mm/h and 3.0 mm/h, p &lt; 0.001), 3.5 times lower relative number of subcutaneous neutrophils (p &lt; 0.001) and 20 % lower relative number of neutrophils (p &lt; 0.001). At the same time, the median relative number of lymphocytes was significantly higher (p &lt; 0.001) and the median of monocytes was 1.4 % higher (p = 0.012).</w:t>
      </w:r>
    </w:p>
    <w:p w14:paraId="403789A8">
      <w:pPr>
        <w:widowControl w:val="0"/>
        <w:rPr>
          <w:spacing w:val="-4"/>
          <w:szCs w:val="28"/>
          <w:highlight w:val="none"/>
          <w:lang w:val="en-US"/>
        </w:rPr>
      </w:pPr>
      <w:r>
        <w:rPr>
          <w:spacing w:val="-4"/>
          <w:szCs w:val="28"/>
          <w:highlight w:val="none"/>
          <w:lang w:val="en-US"/>
        </w:rPr>
        <w:t xml:space="preserve">Regarding changes in the biochemical blood test, the results revealed a significant (p &lt; 0.001) twofold excess of ALT and AST levels and a threefold predominance of median GGT levels in patients with CHC (p &lt; 0.001). Median levels of the thymol test in patients with CHC were 3-fold significantly (p &lt; 0.001) higher than the control. A significant decrease was obtained relative to the levels of total protein (p = 0.005), although the levels of albumin did not differ significantly. </w:t>
      </w:r>
    </w:p>
    <w:p w14:paraId="0B9A7628">
      <w:pPr>
        <w:widowControl w:val="0"/>
        <w:rPr>
          <w:spacing w:val="-4"/>
          <w:szCs w:val="28"/>
          <w:highlight w:val="none"/>
          <w:lang w:val="en-US"/>
        </w:rPr>
      </w:pPr>
      <w:r>
        <w:rPr>
          <w:spacing w:val="-4"/>
          <w:szCs w:val="28"/>
          <w:highlight w:val="none"/>
          <w:lang w:val="en-US"/>
        </w:rPr>
        <w:t>It is important to note that the median levels of osteopontin were more than 1.5 times prevalent in patients with CHC than in the control group (p &lt; 0.001); in both studied groups, the median levels of vitamin D were characterized by its insufficiency, while significantly (p &lt; 0.001) they were lower in patients with CHC.</w:t>
      </w:r>
    </w:p>
    <w:p w14:paraId="34CCE852">
      <w:pPr>
        <w:widowControl w:val="0"/>
        <w:rPr>
          <w:spacing w:val="-4"/>
          <w:szCs w:val="28"/>
          <w:highlight w:val="none"/>
          <w:lang w:val="en-US"/>
        </w:rPr>
      </w:pPr>
      <w:r>
        <w:rPr>
          <w:spacing w:val="-4"/>
          <w:szCs w:val="28"/>
          <w:highlight w:val="none"/>
          <w:lang w:val="en-US"/>
        </w:rPr>
        <w:t>When analyzing the laboratory parameters of patients in the main group, it was determined that the average hemoglobin concentration was significantly higher (p = 0.025) in patients with significant (3–4 stages) fibrosis, but platelet levels were almost a quarter significantly lower (p = 0.012). The parameters of the biochemical blood test also showed significant differences depending on the stage of liver fibrosis. Thus, the median ALT significantly (p &lt; 0.001) prevailed in patients with stage 3-4 fibrosis; a twofold increase in AST levels (p &lt; 0.001) was also observed in this subgroup. With significant fibrosis, the median GGT was also significantly higher (p = 0.002). The concentration of osteopontin significantly (p &lt; 0.001) prevailed with an increase in the stage of the fibrotic process, similar dynamics were observed in relation to the levels of vitamin D (p &lt; 0.001).</w:t>
      </w:r>
    </w:p>
    <w:p w14:paraId="2FACF41C">
      <w:pPr>
        <w:widowControl w:val="0"/>
        <w:rPr>
          <w:spacing w:val="-4"/>
          <w:highlight w:val="none"/>
          <w:lang w:val="en-US"/>
        </w:rPr>
      </w:pPr>
      <w:r>
        <w:rPr>
          <w:spacing w:val="-4"/>
          <w:highlight w:val="none"/>
          <w:lang w:val="en-US"/>
        </w:rPr>
        <w:t>After the treatment, the parameters of clinical and biochemical blood tests were re-evaluated at the second visit. Thus, data on a significant normalization of clinical blood test parameters were obtained, but the median platelet was almost 10 % lower than in the control group (p = 0.004), the relative number of subcutaneous neutrophils in the control was twice as high (p = 0.001) and the median relative number of s/n neutrophils was higher (p = 0.001). It should be noted that the relative number of lymphocytes decreased after treatment in patients with CHC, but was still three times higher than the control (p = 0.001).</w:t>
      </w:r>
    </w:p>
    <w:p w14:paraId="5150CA40">
      <w:pPr>
        <w:widowControl w:val="0"/>
        <w:rPr>
          <w:spacing w:val="-4"/>
          <w:highlight w:val="none"/>
          <w:lang w:val="en-US"/>
        </w:rPr>
      </w:pPr>
      <w:r>
        <w:rPr>
          <w:spacing w:val="-4"/>
          <w:highlight w:val="none"/>
          <w:lang w:val="en-US"/>
        </w:rPr>
        <w:t xml:space="preserve">It is worth emphasizing the normalization of liver activity parameters and other indicators of biochemical blood test in patients with CHC after treatment. Thus, the levels of ALT and AST came to normal values, but still significantly (respectively p = 0.025, p = 0.003) lower than the control group. Compared to the first visit, at the stage of inclusion in the study, the platelet count in patients of the main group increased significantly (p = 0.008) to 244*109/l; ESR significantly halved (p = 0.005), the number of lymphocytes became lower after treatment, and the levels of subcutaneous and s/n neutrophils were higher (p = 0.008, p = 0.021 and p = 0.011, respectively). Data were obtained on a significant (p &lt; 0.001) normalization of the levels of activity of liver enzymes after treatment, a 3-fold decrease in the thymol test, a significant (p &lt; 0.001) increase in albumin and a decrease in the concentration of total protein. </w:t>
      </w:r>
    </w:p>
    <w:p w14:paraId="22D3B8D6">
      <w:pPr>
        <w:widowControl w:val="0"/>
        <w:rPr>
          <w:spacing w:val="-4"/>
          <w:highlight w:val="none"/>
          <w:lang w:val="en-US"/>
        </w:rPr>
      </w:pPr>
      <w:r>
        <w:rPr>
          <w:spacing w:val="-4"/>
          <w:highlight w:val="none"/>
          <w:lang w:val="en-US"/>
        </w:rPr>
        <w:t>The study determined that the median platelet and platelet levels were significantly (p = 0.005 and p = 0.017, respectively) in patients with severe fibrosis, while ESR and leukocyte counts were significantly lower. The median subcutaneous neutrophil count was twice as high as in patients of subgroup 1 (AF stage 0–2): 5.0 % and 2.0 % respectively (p = 0.004), while the number of neutrophils predominated with more severe fibrosis (p = 0.002). The relative number of lymphocytes in patients with severe fibrosis was 4 times significantly lower (p = 0.001) than in patients with mild fibrosis. After the treatment, the indicators of the biochemical blood test in both subgroups normalized and slightly differed from each other.</w:t>
      </w:r>
    </w:p>
    <w:p w14:paraId="62F912C4">
      <w:pPr>
        <w:widowControl w:val="0"/>
        <w:rPr>
          <w:spacing w:val="-4"/>
          <w:highlight w:val="none"/>
          <w:lang w:val="en-US" w:eastAsia="ru-RU"/>
        </w:rPr>
      </w:pPr>
      <w:r>
        <w:rPr>
          <w:spacing w:val="-4"/>
          <w:highlight w:val="none"/>
          <w:lang w:val="en-US" w:eastAsia="ru-RU"/>
        </w:rPr>
        <w:t>When studying the factors associated with the development of severe fibrosis in patients with chronic hepatitis C, the following results were obtained. Thus, higher levels of the average concentration of hemoglobin significantly (p = 0.026) significantly increased the probability of severe fibrosis by 4 times, higher levels of platelets were significantly (p = 0.011) associated with a milder course of liver fibrosis. An increase in AST levels showed a significant (p = 0.043) association with a 30 % increase in the likelihood of severe fibrosis for every 10 U/L increase. There is a 20 % increase in the risk of deterioration of fibrotic processes with an increase in total protein levels (p = 0.046). It should be noted that an increase in the level of osteopontin by 10 pg/ml is significantly (p = 0.025) associated with a 25-fold increase in the likelihood of severe fibrosis in CHC. In the aggregate assessment of the levels of AST, total protein and osteopontin, the developed predictive equation has high predictive qualities: 87.5 % sensitivity and 83.9 % specificity. Further analysis showed that an additional assessment of lymphocyte levels that were associated inversely with the development of severe fibrosis (p = 0.048), the predictive characteristics of the developed equation improved to 93.8 % sensitivity and 83.9 % specificity.</w:t>
      </w:r>
    </w:p>
    <w:p w14:paraId="459BF5CA">
      <w:pPr>
        <w:widowControl w:val="0"/>
        <w:rPr>
          <w:spacing w:val="-4"/>
          <w:szCs w:val="28"/>
          <w:highlight w:val="none"/>
          <w:lang w:val="en-US" w:eastAsia="ru-RU"/>
        </w:rPr>
      </w:pPr>
      <w:r>
        <w:rPr>
          <w:rFonts w:eastAsia="Times New Roman"/>
          <w:b/>
          <w:bCs/>
          <w:spacing w:val="-4"/>
          <w:szCs w:val="28"/>
          <w:highlight w:val="none"/>
          <w:lang w:val="en-US" w:eastAsia="ru-RU"/>
        </w:rPr>
        <w:t>Scientific novelty of the results obtained</w:t>
      </w:r>
      <w:r>
        <w:rPr>
          <w:b/>
          <w:bCs/>
          <w:spacing w:val="-4"/>
          <w:szCs w:val="28"/>
          <w:highlight w:val="none"/>
          <w:lang w:val="en-US" w:eastAsia="ru-RU"/>
        </w:rPr>
        <w:t xml:space="preserve">. </w:t>
      </w:r>
      <w:r>
        <w:rPr>
          <w:spacing w:val="-4"/>
          <w:szCs w:val="28"/>
          <w:highlight w:val="none"/>
          <w:lang w:val="en-US" w:eastAsia="ru-RU"/>
        </w:rPr>
        <w:t>New scientific data on the diagnostic significance and prognostic value of osteopontin and vitamin D levels in predicting the course of chronic hepatitis C have been obtained. It was shown that despite the vitamin-D-deficient state of the examined cohort of patients, the median levels of vitamin D was significantly (p &lt; 0.001) lower in the group with chronic hepatitis C. that in a more severe stage of the fibrotic process, osteopontin levels increase significantly (p &lt; 0.001) compared to a milder course of AF (stage 0-2); the more severe fibrotic process in CHC is also characterized by a significant predominance of vitamin D levels (p &lt; 0.001).</w:t>
      </w:r>
    </w:p>
    <w:p w14:paraId="4900CEB2">
      <w:pPr>
        <w:widowControl w:val="0"/>
        <w:rPr>
          <w:spacing w:val="-4"/>
          <w:szCs w:val="28"/>
          <w:highlight w:val="none"/>
          <w:lang w:val="en-US" w:eastAsia="ru-RU"/>
        </w:rPr>
      </w:pPr>
      <w:r>
        <w:rPr>
          <w:spacing w:val="-4"/>
          <w:szCs w:val="28"/>
          <w:highlight w:val="none"/>
          <w:lang w:val="en-US" w:eastAsia="ru-RU"/>
        </w:rPr>
        <w:t xml:space="preserve">It was determined that higher levels of AST (p &lt; 0.001), total protein (p = 046) and osteopontin (p = 0.025) appeared as reliable predictors of more severe liver fibrosis, with an increase of the latter by 10 pg/ml, the probability of developing severe fibrosis increases 25 times. With simultaneous assessment of these parameters in the proposed mathematical model, severe fibrosis can be predicted with 87.5 % sensitivity and 83.9 % specificity. An additional assessment of the relative number of lymphocytes, which showed a significant association with the prediction of fibrosis (p = 0.048), allows for a more accurate prediction of more severe disorders of liver morphology: 93.8 % sensitivity and 83.9 % specificity. </w:t>
      </w:r>
    </w:p>
    <w:p w14:paraId="14C5A5DD">
      <w:pPr>
        <w:widowControl w:val="0"/>
        <w:rPr>
          <w:color w:val="000000"/>
          <w:szCs w:val="28"/>
          <w:highlight w:val="none"/>
          <w:lang w:val="en-US"/>
        </w:rPr>
      </w:pPr>
      <w:r>
        <w:rPr>
          <w:spacing w:val="-4"/>
          <w:szCs w:val="28"/>
          <w:highlight w:val="none"/>
          <w:lang w:val="en-US" w:eastAsia="ru-RU"/>
        </w:rPr>
        <w:t xml:space="preserve">The available data on the nature of disorders of clinical and laboratory parameters in patients with chronic hepatitis C, which are characterized by general weakness (76.6 %), decreased </w:t>
      </w:r>
      <w:r>
        <w:rPr>
          <w:color w:val="000000"/>
          <w:szCs w:val="28"/>
          <w:highlight w:val="none"/>
          <w:lang w:val="en-US"/>
        </w:rPr>
        <w:t>ability to work (74.5 %) and emotional lability (76.6 %), decreased appetite (63.83 %) and heaviness in the right hypochondrium (68.1 %) were clarified. The structure of jaundice syndrome included predominantly jaundice of the sclera, skin and choluria, which were determined in 21.3 % cases. Abdominal pain syndrome is more common It was characterized by pain in the right hypochondrium, arthralgic — pain in the joints (15.5 %), in 31.9 % of cases an increase in body temperature was recorded. Manifestations of hepatomegalic syndrome included the prevalence of enlarged liver size and its tenderness: 93.6 % and 80.9 % of cases, respectively.</w:t>
      </w:r>
    </w:p>
    <w:p w14:paraId="554CFE4B">
      <w:pPr>
        <w:widowControl w:val="0"/>
        <w:rPr>
          <w:spacing w:val="-4"/>
          <w:szCs w:val="28"/>
          <w:highlight w:val="none"/>
          <w:lang w:val="en-US" w:eastAsia="ru-RU"/>
        </w:rPr>
      </w:pPr>
      <w:r>
        <w:rPr>
          <w:spacing w:val="-4"/>
          <w:szCs w:val="28"/>
          <w:highlight w:val="none"/>
          <w:lang w:val="en-US" w:eastAsia="ru-RU"/>
        </w:rPr>
        <w:t>The data on changes in laboratory parameters in patients with CHC, which were characterized by significantly (p &lt; 0.001) higher levels of SIT, a decrease in the median platelet (p &lt; 0.001) and thrombocrit (p &lt; 0.009), an increase in ESR (p = 0.001), a significant (p &lt; 0.001) decrease in the relative number of subcutaneous and s/n neutrophils with a significant (p &lt; 0.001) increase in the relative number of lymphocytes and monocytes were supplemented. The course of CHC, accompanied by more severe hepatic fibrosis (stage 3-4), changes in laboratory parameters include a 2-3-fold significant increase in the median of ALT, AST and GGT, an increase in the median SIT with a decrease in the median platelet by a quarter (p = 0.012).</w:t>
      </w:r>
    </w:p>
    <w:p w14:paraId="2EC12907">
      <w:pPr>
        <w:widowControl w:val="0"/>
        <w:rPr>
          <w:b/>
          <w:bCs/>
          <w:spacing w:val="-4"/>
          <w:szCs w:val="28"/>
          <w:highlight w:val="none"/>
          <w:lang w:val="en-US"/>
        </w:rPr>
      </w:pPr>
      <w:r>
        <w:rPr>
          <w:rFonts w:eastAsia="Times New Roman"/>
          <w:b/>
          <w:bCs/>
          <w:spacing w:val="-4"/>
          <w:szCs w:val="28"/>
          <w:highlight w:val="none"/>
          <w:lang w:val="en-US" w:eastAsia="ru-RU"/>
        </w:rPr>
        <w:t>Practical significance of the results obtained.</w:t>
      </w:r>
    </w:p>
    <w:p w14:paraId="382986BB">
      <w:pPr>
        <w:widowControl w:val="0"/>
        <w:rPr>
          <w:spacing w:val="-4"/>
          <w:szCs w:val="28"/>
          <w:highlight w:val="none"/>
          <w:lang w:val="en-US"/>
        </w:rPr>
      </w:pPr>
      <w:r>
        <w:rPr>
          <w:spacing w:val="-4"/>
          <w:szCs w:val="28"/>
          <w:highlight w:val="none"/>
          <w:lang w:val="en-US"/>
        </w:rPr>
        <w:t xml:space="preserve">It is recommended to assess the level of osteopontin and vitamin D for use in clinical practice, considering their diagnostic and prognostic significance in relation to the course of chronic hepatitis C and the development of severe liver fibrosis. </w:t>
      </w:r>
    </w:p>
    <w:p w14:paraId="14E490CD">
      <w:pPr>
        <w:widowControl w:val="0"/>
        <w:rPr>
          <w:spacing w:val="-4"/>
          <w:szCs w:val="28"/>
          <w:highlight w:val="none"/>
          <w:lang w:val="en-US"/>
        </w:rPr>
      </w:pPr>
      <w:r>
        <w:rPr>
          <w:spacing w:val="-4"/>
          <w:szCs w:val="28"/>
          <w:highlight w:val="none"/>
          <w:lang w:val="en-US"/>
        </w:rPr>
        <w:t xml:space="preserve">For early prediction of the development of significant morphological changes in the liver (development of fibrosis of stages 3–4), it was proposed to assess the levels of osteopontin, total protein and aspartate aminotransferase according to the formula "-24.152 + [0.028 </w:t>
      </w:r>
      <w:r>
        <w:rPr>
          <w:rFonts w:cs="Times New Roman"/>
          <w:szCs w:val="28"/>
          <w:highlight w:val="none"/>
          <w:lang w:val="en-US"/>
        </w:rPr>
        <w:t xml:space="preserve">× </w:t>
      </w:r>
      <w:r>
        <w:rPr>
          <w:szCs w:val="28"/>
          <w:highlight w:val="none"/>
          <w:lang w:val="en-US"/>
        </w:rPr>
        <w:t xml:space="preserve">AST, U/l] + + [0.178 </w:t>
      </w:r>
      <w:r>
        <w:rPr>
          <w:rFonts w:cs="Times New Roman"/>
          <w:szCs w:val="28"/>
          <w:highlight w:val="none"/>
          <w:lang w:val="en-US"/>
        </w:rPr>
        <w:t>×</w:t>
      </w:r>
      <w:r>
        <w:rPr>
          <w:szCs w:val="28"/>
          <w:highlight w:val="none"/>
          <w:lang w:val="en-US"/>
        </w:rPr>
        <w:t xml:space="preserve"> total. protein, g/l] + +</w:t>
      </w:r>
      <w:r>
        <w:rPr>
          <w:szCs w:val="28"/>
          <w:highlight w:val="none"/>
          <w:lang w:val="en-US"/>
        </w:rPr>
        <w:br w:type="textWrapping"/>
      </w:r>
      <w:r>
        <w:rPr>
          <w:szCs w:val="28"/>
          <w:highlight w:val="none"/>
          <w:lang w:val="en-US"/>
        </w:rPr>
        <w:t xml:space="preserve"> [0.920 ×</w:t>
      </w:r>
      <w:r>
        <w:rPr>
          <w:rFonts w:cs="Times New Roman"/>
          <w:szCs w:val="28"/>
          <w:highlight w:val="none"/>
          <w:lang w:val="en-US"/>
        </w:rPr>
        <w:t xml:space="preserve"> Osteopontin, pg/ml], with the prognostic coefficient, which, with a model value of -0.9750, has a sensitivity of 87.5 % and 83.9 %.</w:t>
      </w:r>
      <w:r>
        <w:rPr>
          <w:szCs w:val="28"/>
          <w:highlight w:val="none"/>
          <w:lang w:val="en-US"/>
        </w:rPr>
        <w:t xml:space="preserve"> </w:t>
      </w:r>
    </w:p>
    <w:p w14:paraId="3B925D0F">
      <w:pPr>
        <w:widowControl w:val="0"/>
        <w:rPr>
          <w:spacing w:val="-4"/>
          <w:szCs w:val="28"/>
          <w:highlight w:val="none"/>
          <w:lang w:val="en-US"/>
        </w:rPr>
      </w:pPr>
      <w:r>
        <w:rPr>
          <w:spacing w:val="-4"/>
          <w:szCs w:val="28"/>
          <w:highlight w:val="none"/>
          <w:lang w:val="en-US"/>
        </w:rPr>
        <w:t>In order to clarify the prognosis of severe fibrosis in patients with CHC, it is recommended to additionally assess the parameter of the relative number of lymphocytes and apply the developed mathematical formula: "-31.781 + [0.034 × AST, U/l] + [0.274 × Total protein, g/l] – [0.202 × Lymphocytes, %] + [1.668 × osteopontin, pg/ml]", the predictive characteristics of which are 93.8 % sensitivity and 83.9 % specificity at the model value -1.1568.</w:t>
      </w:r>
    </w:p>
    <w:p w14:paraId="7FA0DE92">
      <w:pPr>
        <w:widowControl w:val="0"/>
        <w:rPr>
          <w:highlight w:val="none"/>
          <w:lang w:val="en-US"/>
        </w:rPr>
      </w:pPr>
      <w:r>
        <w:rPr>
          <w:b/>
          <w:highlight w:val="none"/>
          <w:lang w:val="en-US"/>
        </w:rPr>
        <w:t>Publication of research results.</w:t>
      </w:r>
      <w:r>
        <w:rPr>
          <w:highlight w:val="none"/>
          <w:lang w:val="en-US"/>
        </w:rPr>
        <w:t xml:space="preserve"> Based on the materials of the dissertation, 65 scientific papers were published, including 3 articles, including 1 article in professional journals of Ukraine, 2 articles in journals related to the international scientometric database "Scopus/Web of science", 2 abstracts of reports in the materials of scientific and practical conferences and congresses.</w:t>
      </w:r>
    </w:p>
    <w:p w14:paraId="7A3FDEE0">
      <w:pPr>
        <w:rPr>
          <w:spacing w:val="-4"/>
          <w:szCs w:val="28"/>
          <w:highlight w:val="none"/>
          <w:lang w:val="en-US"/>
        </w:rPr>
      </w:pPr>
      <w:r>
        <w:rPr>
          <w:b/>
          <w:i/>
          <w:spacing w:val="-4"/>
          <w:highlight w:val="none"/>
          <w:lang w:val="en-US"/>
        </w:rPr>
        <w:t>Key words:</w:t>
      </w:r>
      <w:r>
        <w:rPr>
          <w:i/>
          <w:spacing w:val="-4"/>
          <w:highlight w:val="none"/>
          <w:lang w:val="en-US"/>
        </w:rPr>
        <w:t xml:space="preserve"> chronic hepatitis C, liver fibrosis, osteopontin, vitamin D, severity of fibrotic process, clinical and laboratory characteristics, clinical and instrumental characteristics, hepatocytes metabolism, liver disease, liver function, liver cirrhosis </w:t>
      </w:r>
      <w:r>
        <w:rPr>
          <w:spacing w:val="-4"/>
          <w:szCs w:val="28"/>
          <w:highlight w:val="none"/>
          <w:lang w:val="en-US"/>
        </w:rPr>
        <w:br w:type="page"/>
      </w:r>
    </w:p>
    <w:p w14:paraId="353230D8">
      <w:pPr>
        <w:pStyle w:val="46"/>
        <w:ind w:firstLine="0"/>
        <w:jc w:val="center"/>
        <w:rPr>
          <w:b/>
          <w:bCs/>
          <w:highlight w:val="none"/>
        </w:rPr>
      </w:pPr>
      <w:r>
        <w:rPr>
          <w:b/>
          <w:bCs/>
          <w:highlight w:val="none"/>
        </w:rPr>
        <w:t>СПИСОК ОПУБЛІКОВАНИХ ПРАЦЬ ЗА ТЕМОЮ ДИСЕРТАЦІЇ</w:t>
      </w:r>
    </w:p>
    <w:p w14:paraId="6348B405">
      <w:pPr>
        <w:pStyle w:val="23"/>
        <w:tabs>
          <w:tab w:val="left" w:pos="1134"/>
        </w:tabs>
        <w:spacing w:before="0" w:beforeAutospacing="0" w:after="0" w:afterAutospacing="0" w:line="360" w:lineRule="auto"/>
        <w:ind w:left="709"/>
        <w:jc w:val="both"/>
        <w:rPr>
          <w:rFonts w:eastAsiaTheme="minorHAnsi" w:cstheme="minorBidi"/>
          <w:b/>
          <w:bCs/>
          <w:sz w:val="28"/>
          <w:szCs w:val="22"/>
          <w:highlight w:val="none"/>
          <w:lang w:eastAsia="en-US"/>
        </w:rPr>
      </w:pPr>
    </w:p>
    <w:p w14:paraId="1E9F7CF3">
      <w:pPr>
        <w:tabs>
          <w:tab w:val="left" w:pos="1134"/>
        </w:tabs>
        <w:rPr>
          <w:rFonts w:cs="Times New Roman"/>
          <w:bCs/>
          <w:i/>
          <w:iCs/>
          <w:szCs w:val="28"/>
          <w:highlight w:val="none"/>
        </w:rPr>
      </w:pPr>
      <w:r>
        <w:rPr>
          <w:rFonts w:cs="Times New Roman"/>
          <w:bCs/>
          <w:i/>
          <w:iCs/>
          <w:szCs w:val="28"/>
          <w:highlight w:val="none"/>
        </w:rPr>
        <w:t>Наукові праці, в яких опубліковані основні наукові результати дисертації:</w:t>
      </w:r>
    </w:p>
    <w:p w14:paraId="7D5771D5">
      <w:pPr>
        <w:pStyle w:val="23"/>
        <w:numPr>
          <w:ilvl w:val="0"/>
          <w:numId w:val="1"/>
        </w:numPr>
        <w:tabs>
          <w:tab w:val="left" w:pos="1134"/>
        </w:tabs>
        <w:spacing w:before="0" w:beforeAutospacing="0" w:after="0" w:afterAutospacing="0" w:line="360" w:lineRule="auto"/>
        <w:ind w:left="0" w:firstLine="709"/>
        <w:jc w:val="both"/>
        <w:rPr>
          <w:sz w:val="28"/>
          <w:szCs w:val="28"/>
          <w:highlight w:val="none"/>
        </w:rPr>
      </w:pPr>
      <w:r>
        <w:rPr>
          <w:b/>
          <w:bCs/>
          <w:sz w:val="28"/>
          <w:szCs w:val="28"/>
          <w:highlight w:val="none"/>
        </w:rPr>
        <w:t>Sheiko, A. G.</w:t>
      </w:r>
      <w:r>
        <w:rPr>
          <w:sz w:val="28"/>
          <w:szCs w:val="28"/>
          <w:highlight w:val="none"/>
        </w:rPr>
        <w:t xml:space="preserve">, &amp; Yurko, K. V. (2023). The value of osteopontin in predicting fibrosis in patients with chronic viral hepatitis C. </w:t>
      </w:r>
      <w:r>
        <w:rPr>
          <w:i/>
          <w:iCs/>
          <w:sz w:val="28"/>
          <w:szCs w:val="28"/>
          <w:highlight w:val="none"/>
        </w:rPr>
        <w:t>Gastroenterology (Ukraine)</w:t>
      </w:r>
      <w:r>
        <w:rPr>
          <w:sz w:val="28"/>
          <w:szCs w:val="28"/>
          <w:highlight w:val="none"/>
        </w:rPr>
        <w:t xml:space="preserve">, </w:t>
      </w:r>
      <w:r>
        <w:rPr>
          <w:i/>
          <w:iCs/>
          <w:sz w:val="28"/>
          <w:szCs w:val="28"/>
          <w:highlight w:val="none"/>
        </w:rPr>
        <w:t>57</w:t>
      </w:r>
      <w:r>
        <w:rPr>
          <w:sz w:val="28"/>
          <w:szCs w:val="28"/>
          <w:highlight w:val="none"/>
        </w:rPr>
        <w:t xml:space="preserve">(3), 166–171. </w:t>
      </w:r>
      <w:r>
        <w:rPr>
          <w:highlight w:val="none"/>
        </w:rPr>
        <w:fldChar w:fldCharType="begin"/>
      </w:r>
      <w:r>
        <w:rPr>
          <w:highlight w:val="none"/>
        </w:rPr>
        <w:instrText xml:space="preserve"> HYPERLINK "https://doi.org/10.22141/2308-2097.57.3.2023.556" </w:instrText>
      </w:r>
      <w:r>
        <w:rPr>
          <w:highlight w:val="none"/>
        </w:rPr>
        <w:fldChar w:fldCharType="separate"/>
      </w:r>
      <w:r>
        <w:rPr>
          <w:rStyle w:val="11"/>
          <w:sz w:val="28"/>
          <w:szCs w:val="28"/>
          <w:highlight w:val="none"/>
        </w:rPr>
        <w:t>https://doi.org/10.22141/2308-2097.57.3.2023.556</w:t>
      </w:r>
      <w:r>
        <w:rPr>
          <w:rStyle w:val="11"/>
          <w:sz w:val="28"/>
          <w:szCs w:val="28"/>
          <w:highlight w:val="none"/>
        </w:rPr>
        <w:fldChar w:fldCharType="end"/>
      </w:r>
      <w:r>
        <w:rPr>
          <w:sz w:val="28"/>
          <w:szCs w:val="28"/>
          <w:highlight w:val="none"/>
        </w:rPr>
        <w:t xml:space="preserve"> </w:t>
      </w:r>
      <w:r>
        <w:rPr>
          <w:i/>
          <w:iCs/>
          <w:sz w:val="28"/>
          <w:szCs w:val="28"/>
          <w:highlight w:val="none"/>
        </w:rPr>
        <w:t>(Здобувачем сформовано групи, проведено клініко-лабораторне та клініко-інструментальне обстеження хворих, аналіз і статистичну обробку отриманих даних, підготовлено статтю до друку)</w:t>
      </w:r>
      <w:r>
        <w:rPr>
          <w:sz w:val="28"/>
          <w:szCs w:val="28"/>
          <w:highlight w:val="none"/>
          <w:lang w:val="ru-RU"/>
        </w:rPr>
        <w:t xml:space="preserve">. </w:t>
      </w:r>
    </w:p>
    <w:p w14:paraId="0239A593">
      <w:pPr>
        <w:pStyle w:val="23"/>
        <w:numPr>
          <w:ilvl w:val="0"/>
          <w:numId w:val="1"/>
        </w:numPr>
        <w:tabs>
          <w:tab w:val="left" w:pos="1134"/>
        </w:tabs>
        <w:spacing w:before="0" w:beforeAutospacing="0" w:after="0" w:afterAutospacing="0" w:line="360" w:lineRule="auto"/>
        <w:ind w:left="0" w:firstLine="709"/>
        <w:jc w:val="both"/>
        <w:rPr>
          <w:sz w:val="28"/>
          <w:szCs w:val="28"/>
          <w:highlight w:val="none"/>
        </w:rPr>
      </w:pPr>
      <w:r>
        <w:rPr>
          <w:b/>
          <w:bCs/>
          <w:sz w:val="28"/>
          <w:szCs w:val="28"/>
          <w:highlight w:val="none"/>
        </w:rPr>
        <w:t>Шейко, А.</w:t>
      </w:r>
      <w:r>
        <w:rPr>
          <w:sz w:val="28"/>
          <w:szCs w:val="28"/>
          <w:highlight w:val="none"/>
        </w:rPr>
        <w:t xml:space="preserve"> (2023). Значення показників клінічного аналізу крові для визначення ступеня фіброзного процесу у хворих на хронічний гепатит С. </w:t>
      </w:r>
      <w:r>
        <w:rPr>
          <w:i/>
          <w:iCs/>
          <w:sz w:val="28"/>
          <w:szCs w:val="28"/>
          <w:highlight w:val="none"/>
        </w:rPr>
        <w:t>Інфекційні Хвороби</w:t>
      </w:r>
      <w:r>
        <w:rPr>
          <w:sz w:val="28"/>
          <w:szCs w:val="28"/>
          <w:highlight w:val="none"/>
        </w:rPr>
        <w:t xml:space="preserve">, </w:t>
      </w:r>
      <w:r>
        <w:rPr>
          <w:i/>
          <w:iCs/>
          <w:sz w:val="28"/>
          <w:szCs w:val="28"/>
          <w:highlight w:val="none"/>
        </w:rPr>
        <w:t>4</w:t>
      </w:r>
      <w:r>
        <w:rPr>
          <w:sz w:val="28"/>
          <w:szCs w:val="28"/>
          <w:highlight w:val="none"/>
        </w:rPr>
        <w:t xml:space="preserve">(114), 29–33. </w:t>
      </w:r>
      <w:r>
        <w:rPr>
          <w:highlight w:val="none"/>
        </w:rPr>
        <w:fldChar w:fldCharType="begin"/>
      </w:r>
      <w:r>
        <w:rPr>
          <w:highlight w:val="none"/>
        </w:rPr>
        <w:instrText xml:space="preserve"> HYPERLINK "https://doi.org/DOI%2010.11603/1681-2727.2023.4.14244" </w:instrText>
      </w:r>
      <w:r>
        <w:rPr>
          <w:highlight w:val="none"/>
        </w:rPr>
        <w:fldChar w:fldCharType="separate"/>
      </w:r>
      <w:r>
        <w:rPr>
          <w:rStyle w:val="11"/>
          <w:sz w:val="28"/>
          <w:szCs w:val="28"/>
          <w:highlight w:val="none"/>
        </w:rPr>
        <w:t>https://doi.org/DOI 10.11603/1681-2727.2023.4.14244</w:t>
      </w:r>
      <w:r>
        <w:rPr>
          <w:rStyle w:val="11"/>
          <w:sz w:val="28"/>
          <w:szCs w:val="28"/>
          <w:highlight w:val="none"/>
        </w:rPr>
        <w:fldChar w:fldCharType="end"/>
      </w:r>
      <w:r>
        <w:rPr>
          <w:sz w:val="28"/>
          <w:szCs w:val="28"/>
          <w:highlight w:val="none"/>
        </w:rPr>
        <w:t xml:space="preserve"> </w:t>
      </w:r>
      <w:r>
        <w:rPr>
          <w:i/>
          <w:iCs/>
          <w:sz w:val="28"/>
          <w:szCs w:val="28"/>
          <w:highlight w:val="none"/>
        </w:rPr>
        <w:t>(Здобувачем сформовано групи, проведено клініко-лабораторне та клініко-інструментальне обстеження хворих, аналіз і статистичну обробку отриманих даних, підготовлено статтю до друку)</w:t>
      </w:r>
      <w:r>
        <w:rPr>
          <w:sz w:val="28"/>
          <w:szCs w:val="28"/>
          <w:highlight w:val="none"/>
          <w:lang w:val="ru-RU"/>
        </w:rPr>
        <w:t>.</w:t>
      </w:r>
    </w:p>
    <w:p w14:paraId="4122D1E6">
      <w:pPr>
        <w:pStyle w:val="23"/>
        <w:numPr>
          <w:ilvl w:val="0"/>
          <w:numId w:val="1"/>
        </w:numPr>
        <w:tabs>
          <w:tab w:val="left" w:pos="1134"/>
        </w:tabs>
        <w:spacing w:before="0" w:beforeAutospacing="0" w:after="0" w:afterAutospacing="0" w:line="360" w:lineRule="auto"/>
        <w:ind w:left="0" w:firstLine="709"/>
        <w:jc w:val="both"/>
        <w:rPr>
          <w:rFonts w:eastAsiaTheme="minorHAnsi"/>
          <w:bCs/>
          <w:i/>
          <w:iCs/>
          <w:sz w:val="28"/>
          <w:szCs w:val="28"/>
          <w:highlight w:val="none"/>
          <w:lang w:eastAsia="en-US"/>
        </w:rPr>
      </w:pPr>
      <w:bookmarkStart w:id="5" w:name="_Hlk154336889"/>
      <w:r>
        <w:rPr>
          <w:b/>
          <w:bCs/>
          <w:sz w:val="28"/>
          <w:szCs w:val="28"/>
          <w:highlight w:val="none"/>
        </w:rPr>
        <w:t>Sheiko, A. H.,</w:t>
      </w:r>
      <w:r>
        <w:rPr>
          <w:sz w:val="28"/>
          <w:szCs w:val="28"/>
          <w:highlight w:val="none"/>
        </w:rPr>
        <w:t xml:space="preserve"> Yurko, K. V., Solomennyk, H. O., &amp; Kucheriavchenko, V. V. (2023). The prognostic value of blood markers in prediction of the probability of the development of fibrotic process in patients with chronic hepatitis C virus. </w:t>
      </w:r>
      <w:r>
        <w:rPr>
          <w:i/>
          <w:iCs/>
          <w:sz w:val="28"/>
          <w:szCs w:val="28"/>
          <w:highlight w:val="none"/>
        </w:rPr>
        <w:t>Клінічна Та Профілактична Медицина</w:t>
      </w:r>
      <w:r>
        <w:rPr>
          <w:sz w:val="28"/>
          <w:szCs w:val="28"/>
          <w:highlight w:val="none"/>
        </w:rPr>
        <w:t xml:space="preserve">, </w:t>
      </w:r>
      <w:r>
        <w:rPr>
          <w:sz w:val="28"/>
          <w:szCs w:val="28"/>
          <w:highlight w:val="none"/>
          <w:lang w:val="ru-RU"/>
        </w:rPr>
        <w:t>29</w:t>
      </w:r>
      <w:r>
        <w:rPr>
          <w:sz w:val="28"/>
          <w:szCs w:val="28"/>
          <w:highlight w:val="none"/>
        </w:rPr>
        <w:t>(</w:t>
      </w:r>
      <w:r>
        <w:rPr>
          <w:sz w:val="28"/>
          <w:szCs w:val="28"/>
          <w:highlight w:val="none"/>
          <w:lang w:val="ru-RU"/>
        </w:rPr>
        <w:t>7</w:t>
      </w:r>
      <w:r>
        <w:rPr>
          <w:sz w:val="28"/>
          <w:szCs w:val="28"/>
          <w:highlight w:val="none"/>
        </w:rPr>
        <w:t xml:space="preserve">), 6-12. </w:t>
      </w:r>
      <w:r>
        <w:rPr>
          <w:highlight w:val="none"/>
        </w:rPr>
        <w:fldChar w:fldCharType="begin"/>
      </w:r>
      <w:r>
        <w:rPr>
          <w:highlight w:val="none"/>
        </w:rPr>
        <w:instrText xml:space="preserve"> HYPERLINK "https://doi.org/10.31612/2616-4868.7.2023.01" </w:instrText>
      </w:r>
      <w:r>
        <w:rPr>
          <w:highlight w:val="none"/>
        </w:rPr>
        <w:fldChar w:fldCharType="separate"/>
      </w:r>
      <w:r>
        <w:rPr>
          <w:rStyle w:val="11"/>
          <w:sz w:val="28"/>
          <w:szCs w:val="28"/>
          <w:highlight w:val="none"/>
        </w:rPr>
        <w:t>https://doi.org/10.31612/2616-4868.</w:t>
      </w:r>
      <w:r>
        <w:rPr>
          <w:rStyle w:val="11"/>
          <w:sz w:val="28"/>
          <w:szCs w:val="28"/>
          <w:highlight w:val="none"/>
          <w:lang w:val="ru-RU"/>
        </w:rPr>
        <w:t>7</w:t>
      </w:r>
      <w:r>
        <w:rPr>
          <w:rStyle w:val="11"/>
          <w:sz w:val="28"/>
          <w:szCs w:val="28"/>
          <w:highlight w:val="none"/>
        </w:rPr>
        <w:t>.2023.</w:t>
      </w:r>
      <w:r>
        <w:rPr>
          <w:rStyle w:val="11"/>
          <w:sz w:val="28"/>
          <w:szCs w:val="28"/>
          <w:highlight w:val="none"/>
          <w:lang w:val="ru-RU"/>
        </w:rPr>
        <w:t>0</w:t>
      </w:r>
      <w:r>
        <w:rPr>
          <w:rStyle w:val="11"/>
          <w:sz w:val="28"/>
          <w:szCs w:val="28"/>
          <w:highlight w:val="none"/>
        </w:rPr>
        <w:t>1</w:t>
      </w:r>
      <w:r>
        <w:rPr>
          <w:rStyle w:val="11"/>
          <w:sz w:val="28"/>
          <w:szCs w:val="28"/>
          <w:highlight w:val="none"/>
        </w:rPr>
        <w:fldChar w:fldCharType="end"/>
      </w:r>
      <w:bookmarkEnd w:id="5"/>
      <w:r>
        <w:rPr>
          <w:sz w:val="28"/>
          <w:szCs w:val="28"/>
          <w:highlight w:val="none"/>
        </w:rPr>
        <w:t xml:space="preserve"> </w:t>
      </w:r>
      <w:r>
        <w:rPr>
          <w:i/>
          <w:iCs/>
          <w:sz w:val="28"/>
          <w:szCs w:val="28"/>
          <w:highlight w:val="none"/>
        </w:rPr>
        <w:t xml:space="preserve">(Здобувачем сформовано групи, проведено клініко-лабораторне та клініко-інструментальне обстеження хворих, аналіз і </w:t>
      </w:r>
      <w:r>
        <w:rPr>
          <w:rFonts w:eastAsiaTheme="minorHAnsi"/>
          <w:bCs/>
          <w:i/>
          <w:iCs/>
          <w:sz w:val="28"/>
          <w:szCs w:val="28"/>
          <w:highlight w:val="none"/>
          <w:lang w:eastAsia="en-US"/>
        </w:rPr>
        <w:t xml:space="preserve">статистичну обробку отриманих даних, підготовлено статтю до друку). </w:t>
      </w:r>
    </w:p>
    <w:p w14:paraId="52F5E9BB">
      <w:pPr>
        <w:pStyle w:val="40"/>
        <w:tabs>
          <w:tab w:val="left" w:pos="1134"/>
        </w:tabs>
        <w:spacing w:after="0" w:line="360" w:lineRule="auto"/>
        <w:ind w:left="0" w:firstLine="425"/>
        <w:jc w:val="both"/>
        <w:rPr>
          <w:rFonts w:ascii="Times New Roman" w:hAnsi="Times New Roman" w:eastAsiaTheme="minorHAnsi"/>
          <w:bCs/>
          <w:i/>
          <w:iCs/>
          <w:sz w:val="28"/>
          <w:szCs w:val="28"/>
          <w:highlight w:val="none"/>
          <w:lang w:val="uk-UA"/>
        </w:rPr>
      </w:pPr>
    </w:p>
    <w:p w14:paraId="57A99788">
      <w:pPr>
        <w:pStyle w:val="40"/>
        <w:tabs>
          <w:tab w:val="left" w:pos="1134"/>
        </w:tabs>
        <w:spacing w:after="0" w:line="360" w:lineRule="auto"/>
        <w:ind w:left="0" w:firstLine="425"/>
        <w:jc w:val="both"/>
        <w:rPr>
          <w:rFonts w:ascii="Times New Roman" w:hAnsi="Times New Roman" w:eastAsiaTheme="minorHAnsi"/>
          <w:bCs/>
          <w:i/>
          <w:iCs/>
          <w:sz w:val="28"/>
          <w:szCs w:val="28"/>
          <w:highlight w:val="none"/>
          <w:lang w:val="uk-UA"/>
        </w:rPr>
      </w:pPr>
      <w:r>
        <w:rPr>
          <w:rFonts w:ascii="Times New Roman" w:hAnsi="Times New Roman" w:eastAsiaTheme="minorHAnsi"/>
          <w:bCs/>
          <w:i/>
          <w:iCs/>
          <w:sz w:val="28"/>
          <w:szCs w:val="28"/>
          <w:highlight w:val="none"/>
          <w:lang w:val="uk-UA"/>
        </w:rPr>
        <w:t>Опубліковані наукові праці апробаційного характеру:</w:t>
      </w:r>
    </w:p>
    <w:p w14:paraId="09568B24">
      <w:pPr>
        <w:pStyle w:val="23"/>
        <w:numPr>
          <w:ilvl w:val="0"/>
          <w:numId w:val="1"/>
        </w:numPr>
        <w:tabs>
          <w:tab w:val="left" w:pos="1134"/>
        </w:tabs>
        <w:spacing w:before="0" w:beforeAutospacing="0" w:after="0" w:afterAutospacing="0" w:line="360" w:lineRule="auto"/>
        <w:ind w:left="0" w:firstLine="709"/>
        <w:jc w:val="both"/>
        <w:rPr>
          <w:sz w:val="28"/>
          <w:szCs w:val="28"/>
          <w:highlight w:val="none"/>
        </w:rPr>
      </w:pPr>
      <w:r>
        <w:rPr>
          <w:sz w:val="28"/>
          <w:szCs w:val="28"/>
          <w:highlight w:val="none"/>
        </w:rPr>
        <w:t xml:space="preserve">Юрко, К. В., &amp; </w:t>
      </w:r>
      <w:r>
        <w:rPr>
          <w:b/>
          <w:bCs/>
          <w:sz w:val="28"/>
          <w:szCs w:val="28"/>
          <w:highlight w:val="none"/>
        </w:rPr>
        <w:t>Шейко, А.</w:t>
      </w:r>
      <w:r>
        <w:rPr>
          <w:sz w:val="28"/>
          <w:szCs w:val="28"/>
          <w:highlight w:val="none"/>
        </w:rPr>
        <w:t xml:space="preserve"> (2023). Остеопонтин як неінвазивний предиктор процесів фіброзу в пацієнтів із хронічним вірусним гепатитом С. </w:t>
      </w:r>
      <w:r>
        <w:rPr>
          <w:i/>
          <w:iCs/>
          <w:sz w:val="28"/>
          <w:szCs w:val="28"/>
          <w:highlight w:val="none"/>
        </w:rPr>
        <w:t>«Інфекційні Захворювання — Виклики Сьогодення. Сучасні Аспекти Клініки, Діагностики, Лікування Та Профілактики</w:t>
      </w:r>
      <w:r>
        <w:rPr>
          <w:sz w:val="28"/>
          <w:szCs w:val="28"/>
          <w:highlight w:val="none"/>
        </w:rPr>
        <w:t xml:space="preserve">, 213. </w:t>
      </w:r>
      <w:r>
        <w:rPr>
          <w:highlight w:val="none"/>
        </w:rPr>
        <w:fldChar w:fldCharType="begin"/>
      </w:r>
      <w:r>
        <w:rPr>
          <w:highlight w:val="none"/>
        </w:rPr>
        <w:instrText xml:space="preserve"> HYPERLINK "https://doi.org/https://doi.org/10.22141/2224-0586.19.3.2023.1581" </w:instrText>
      </w:r>
      <w:r>
        <w:rPr>
          <w:highlight w:val="none"/>
        </w:rPr>
        <w:fldChar w:fldCharType="separate"/>
      </w:r>
      <w:r>
        <w:rPr>
          <w:rStyle w:val="11"/>
          <w:sz w:val="28"/>
          <w:szCs w:val="28"/>
          <w:highlight w:val="none"/>
        </w:rPr>
        <w:t>https://doi.org/https://doi.org/10.22141/2224-0586.19.3.2023.1581</w:t>
      </w:r>
      <w:r>
        <w:rPr>
          <w:rStyle w:val="11"/>
          <w:sz w:val="28"/>
          <w:szCs w:val="28"/>
          <w:highlight w:val="none"/>
        </w:rPr>
        <w:fldChar w:fldCharType="end"/>
      </w:r>
      <w:r>
        <w:rPr>
          <w:sz w:val="28"/>
          <w:szCs w:val="28"/>
          <w:highlight w:val="none"/>
        </w:rPr>
        <w:t xml:space="preserve"> </w:t>
      </w:r>
      <w:r>
        <w:rPr>
          <w:i/>
          <w:iCs/>
          <w:sz w:val="28"/>
          <w:szCs w:val="28"/>
          <w:highlight w:val="none"/>
        </w:rPr>
        <w:t>(Здобувачем проведено аналіз літературних даних, статистичну обробку отриманих даних та підготовлено тези до друку)</w:t>
      </w:r>
      <w:r>
        <w:rPr>
          <w:sz w:val="28"/>
          <w:szCs w:val="28"/>
          <w:highlight w:val="none"/>
          <w:lang w:val="ru-RU"/>
        </w:rPr>
        <w:t xml:space="preserve">. </w:t>
      </w:r>
    </w:p>
    <w:p w14:paraId="6EF1C38F">
      <w:pPr>
        <w:pStyle w:val="23"/>
        <w:numPr>
          <w:ilvl w:val="0"/>
          <w:numId w:val="1"/>
        </w:numPr>
        <w:tabs>
          <w:tab w:val="left" w:pos="1134"/>
        </w:tabs>
        <w:spacing w:before="0" w:beforeAutospacing="0" w:after="0" w:afterAutospacing="0" w:line="360" w:lineRule="auto"/>
        <w:ind w:left="0" w:firstLine="709"/>
        <w:jc w:val="both"/>
        <w:rPr>
          <w:sz w:val="28"/>
          <w:szCs w:val="28"/>
          <w:highlight w:val="none"/>
        </w:rPr>
      </w:pPr>
      <w:r>
        <w:rPr>
          <w:b/>
          <w:bCs/>
          <w:sz w:val="28"/>
          <w:szCs w:val="28"/>
          <w:highlight w:val="none"/>
        </w:rPr>
        <w:t>Шейко, А.</w:t>
      </w:r>
      <w:r>
        <w:rPr>
          <w:sz w:val="28"/>
          <w:szCs w:val="28"/>
          <w:highlight w:val="none"/>
        </w:rPr>
        <w:t xml:space="preserve"> (2023). Маркерні можливості остеопонтину в прогнозуванні значного фіброзного процесу у хворих на хронічний вірусний гепатит С. </w:t>
      </w:r>
      <w:r>
        <w:rPr>
          <w:i/>
          <w:iCs/>
          <w:sz w:val="28"/>
          <w:szCs w:val="28"/>
          <w:highlight w:val="none"/>
        </w:rPr>
        <w:t>Мечниковські Читання - 2023</w:t>
      </w:r>
      <w:r>
        <w:rPr>
          <w:sz w:val="28"/>
          <w:szCs w:val="28"/>
          <w:highlight w:val="none"/>
        </w:rPr>
        <w:t>, 89–90 (</w:t>
      </w:r>
      <w:r>
        <w:rPr>
          <w:i/>
          <w:iCs/>
          <w:sz w:val="28"/>
          <w:szCs w:val="28"/>
          <w:highlight w:val="none"/>
        </w:rPr>
        <w:t>Здобувачем проведено аналіз отриманих даних, статистичну обробку отриманих даних та підготовлено тези та доповідь до друку)</w:t>
      </w:r>
      <w:r>
        <w:rPr>
          <w:sz w:val="28"/>
          <w:szCs w:val="28"/>
          <w:highlight w:val="none"/>
        </w:rPr>
        <w:t>.</w:t>
      </w:r>
    </w:p>
    <w:p w14:paraId="52AA2ADD">
      <w:pPr>
        <w:spacing w:after="160" w:line="259" w:lineRule="auto"/>
        <w:ind w:firstLine="0"/>
        <w:jc w:val="left"/>
        <w:rPr>
          <w:rFonts w:cs="Times New Roman"/>
          <w:szCs w:val="28"/>
          <w:highlight w:val="none"/>
        </w:rPr>
      </w:pPr>
      <w:r>
        <w:rPr>
          <w:rFonts w:cs="Times New Roman"/>
          <w:szCs w:val="28"/>
          <w:highlight w:val="none"/>
        </w:rPr>
        <w:br w:type="page"/>
      </w:r>
    </w:p>
    <w:p w14:paraId="1A063B41">
      <w:pPr>
        <w:ind w:firstLine="0"/>
        <w:jc w:val="center"/>
        <w:rPr>
          <w:rFonts w:cs="Times New Roman"/>
          <w:szCs w:val="28"/>
          <w:highlight w:val="none"/>
        </w:rPr>
      </w:pPr>
      <w:r>
        <w:rPr>
          <w:rFonts w:cs="Times New Roman"/>
          <w:szCs w:val="28"/>
          <w:highlight w:val="none"/>
        </w:rPr>
        <w:t>ЗМІСТ</w:t>
      </w:r>
    </w:p>
    <w:p w14:paraId="4BF73D69">
      <w:pPr>
        <w:pStyle w:val="20"/>
        <w:rPr>
          <w:rFonts w:asciiTheme="minorHAnsi" w:hAnsiTheme="minorHAnsi" w:eastAsiaTheme="minorEastAsia" w:cstheme="minorBidi"/>
          <w:b w:val="0"/>
          <w:bCs w:val="0"/>
          <w:kern w:val="2"/>
          <w:sz w:val="22"/>
          <w:highlight w:val="none"/>
          <w:lang w:val="en-US" w:eastAsia="en-US"/>
        </w:rPr>
      </w:pPr>
      <w:r>
        <w:rPr>
          <w:b w:val="0"/>
          <w:bCs w:val="0"/>
          <w:szCs w:val="28"/>
          <w:highlight w:val="none"/>
        </w:rPr>
        <w:fldChar w:fldCharType="begin"/>
      </w:r>
      <w:r>
        <w:rPr>
          <w:b w:val="0"/>
          <w:bCs w:val="0"/>
          <w:szCs w:val="28"/>
          <w:highlight w:val="none"/>
        </w:rPr>
        <w:instrText xml:space="preserve"> TOC \o "1-2" \h \z \u </w:instrText>
      </w:r>
      <w:r>
        <w:rPr>
          <w:b w:val="0"/>
          <w:bCs w:val="0"/>
          <w:szCs w:val="28"/>
          <w:highlight w:val="none"/>
        </w:rPr>
        <w:fldChar w:fldCharType="separate"/>
      </w:r>
      <w:r>
        <w:rPr>
          <w:highlight w:val="none"/>
        </w:rPr>
        <w:fldChar w:fldCharType="begin"/>
      </w:r>
      <w:r>
        <w:rPr>
          <w:highlight w:val="none"/>
        </w:rPr>
        <w:instrText xml:space="preserve"> HYPERLINK \l "_Toc153923936" </w:instrText>
      </w:r>
      <w:r>
        <w:rPr>
          <w:highlight w:val="none"/>
        </w:rPr>
        <w:fldChar w:fldCharType="separate"/>
      </w:r>
      <w:r>
        <w:rPr>
          <w:rStyle w:val="11"/>
          <w:b w:val="0"/>
          <w:bCs w:val="0"/>
          <w:highlight w:val="none"/>
        </w:rPr>
        <w:t>АНОТАЦІЯ</w:t>
      </w:r>
      <w:r>
        <w:rPr>
          <w:b w:val="0"/>
          <w:bCs w:val="0"/>
          <w:highlight w:val="none"/>
        </w:rPr>
        <w:tab/>
      </w:r>
      <w:r>
        <w:rPr>
          <w:b w:val="0"/>
          <w:bCs w:val="0"/>
          <w:highlight w:val="none"/>
        </w:rPr>
        <w:fldChar w:fldCharType="begin"/>
      </w:r>
      <w:r>
        <w:rPr>
          <w:b w:val="0"/>
          <w:bCs w:val="0"/>
          <w:highlight w:val="none"/>
        </w:rPr>
        <w:instrText xml:space="preserve"> PAGEREF _Toc153923936 \h </w:instrText>
      </w:r>
      <w:r>
        <w:rPr>
          <w:b w:val="0"/>
          <w:bCs w:val="0"/>
          <w:highlight w:val="none"/>
        </w:rPr>
        <w:fldChar w:fldCharType="separate"/>
      </w:r>
      <w:r>
        <w:rPr>
          <w:b w:val="0"/>
          <w:bCs w:val="0"/>
          <w:highlight w:val="none"/>
        </w:rPr>
        <w:t>2</w:t>
      </w:r>
      <w:r>
        <w:rPr>
          <w:b w:val="0"/>
          <w:bCs w:val="0"/>
          <w:highlight w:val="none"/>
        </w:rPr>
        <w:fldChar w:fldCharType="end"/>
      </w:r>
      <w:r>
        <w:rPr>
          <w:b w:val="0"/>
          <w:bCs w:val="0"/>
          <w:highlight w:val="none"/>
        </w:rPr>
        <w:fldChar w:fldCharType="end"/>
      </w:r>
    </w:p>
    <w:p w14:paraId="6E0033F0">
      <w:pPr>
        <w:pStyle w:val="20"/>
        <w:rPr>
          <w:rFonts w:asciiTheme="minorHAnsi" w:hAnsiTheme="minorHAnsi" w:eastAsiaTheme="minorEastAsia" w:cstheme="minorBidi"/>
          <w:b w:val="0"/>
          <w:bCs w:val="0"/>
          <w:kern w:val="2"/>
          <w:sz w:val="22"/>
          <w:highlight w:val="none"/>
          <w:lang w:val="en-US" w:eastAsia="en-US"/>
        </w:rPr>
      </w:pPr>
      <w:r>
        <w:rPr>
          <w:highlight w:val="none"/>
        </w:rPr>
        <w:fldChar w:fldCharType="begin"/>
      </w:r>
      <w:r>
        <w:rPr>
          <w:highlight w:val="none"/>
        </w:rPr>
        <w:instrText xml:space="preserve"> HYPERLINK \l "_Toc153923937" </w:instrText>
      </w:r>
      <w:r>
        <w:rPr>
          <w:highlight w:val="none"/>
        </w:rPr>
        <w:fldChar w:fldCharType="separate"/>
      </w:r>
      <w:r>
        <w:rPr>
          <w:rStyle w:val="11"/>
          <w:b w:val="0"/>
          <w:bCs w:val="0"/>
          <w:highlight w:val="none"/>
          <w:lang w:val="en-US"/>
        </w:rPr>
        <w:t>RESUME</w:t>
      </w:r>
      <w:r>
        <w:rPr>
          <w:b w:val="0"/>
          <w:bCs w:val="0"/>
          <w:highlight w:val="none"/>
        </w:rPr>
        <w:tab/>
      </w:r>
      <w:r>
        <w:rPr>
          <w:b w:val="0"/>
          <w:bCs w:val="0"/>
          <w:highlight w:val="none"/>
        </w:rPr>
        <w:fldChar w:fldCharType="begin"/>
      </w:r>
      <w:r>
        <w:rPr>
          <w:b w:val="0"/>
          <w:bCs w:val="0"/>
          <w:highlight w:val="none"/>
        </w:rPr>
        <w:instrText xml:space="preserve"> PAGEREF _Toc153923937 \h </w:instrText>
      </w:r>
      <w:r>
        <w:rPr>
          <w:b w:val="0"/>
          <w:bCs w:val="0"/>
          <w:highlight w:val="none"/>
        </w:rPr>
        <w:fldChar w:fldCharType="separate"/>
      </w:r>
      <w:r>
        <w:rPr>
          <w:b w:val="0"/>
          <w:bCs w:val="0"/>
          <w:highlight w:val="none"/>
        </w:rPr>
        <w:t>9</w:t>
      </w:r>
      <w:r>
        <w:rPr>
          <w:b w:val="0"/>
          <w:bCs w:val="0"/>
          <w:highlight w:val="none"/>
        </w:rPr>
        <w:fldChar w:fldCharType="end"/>
      </w:r>
      <w:r>
        <w:rPr>
          <w:b w:val="0"/>
          <w:bCs w:val="0"/>
          <w:highlight w:val="none"/>
        </w:rPr>
        <w:fldChar w:fldCharType="end"/>
      </w:r>
    </w:p>
    <w:p w14:paraId="5E64D230">
      <w:pPr>
        <w:pStyle w:val="20"/>
        <w:rPr>
          <w:rFonts w:asciiTheme="minorHAnsi" w:hAnsiTheme="minorHAnsi" w:eastAsiaTheme="minorEastAsia" w:cstheme="minorBidi"/>
          <w:b w:val="0"/>
          <w:bCs w:val="0"/>
          <w:kern w:val="2"/>
          <w:sz w:val="22"/>
          <w:highlight w:val="none"/>
          <w:lang w:val="en-US" w:eastAsia="en-US"/>
        </w:rPr>
      </w:pPr>
      <w:r>
        <w:rPr>
          <w:highlight w:val="none"/>
        </w:rPr>
        <w:fldChar w:fldCharType="begin"/>
      </w:r>
      <w:r>
        <w:rPr>
          <w:highlight w:val="none"/>
        </w:rPr>
        <w:instrText xml:space="preserve"> HYPERLINK \l "_Toc153923938" </w:instrText>
      </w:r>
      <w:r>
        <w:rPr>
          <w:highlight w:val="none"/>
        </w:rPr>
        <w:fldChar w:fldCharType="separate"/>
      </w:r>
      <w:r>
        <w:rPr>
          <w:rStyle w:val="11"/>
          <w:b w:val="0"/>
          <w:bCs w:val="0"/>
          <w:highlight w:val="none"/>
        </w:rPr>
        <w:t>ПЕРЕЛІК СКОРОЧЕНЬ, УМОВНИХ ПОЗНАЧЕНЬ ТА ТЕРМІНІВ</w:t>
      </w:r>
      <w:r>
        <w:rPr>
          <w:b w:val="0"/>
          <w:bCs w:val="0"/>
          <w:highlight w:val="none"/>
        </w:rPr>
        <w:tab/>
      </w:r>
      <w:r>
        <w:rPr>
          <w:b w:val="0"/>
          <w:bCs w:val="0"/>
          <w:highlight w:val="none"/>
        </w:rPr>
        <w:fldChar w:fldCharType="begin"/>
      </w:r>
      <w:r>
        <w:rPr>
          <w:b w:val="0"/>
          <w:bCs w:val="0"/>
          <w:highlight w:val="none"/>
        </w:rPr>
        <w:instrText xml:space="preserve"> PAGEREF _Toc153923938 \h </w:instrText>
      </w:r>
      <w:r>
        <w:rPr>
          <w:b w:val="0"/>
          <w:bCs w:val="0"/>
          <w:highlight w:val="none"/>
        </w:rPr>
        <w:fldChar w:fldCharType="separate"/>
      </w:r>
      <w:r>
        <w:rPr>
          <w:b w:val="0"/>
          <w:bCs w:val="0"/>
          <w:highlight w:val="none"/>
        </w:rPr>
        <w:t>21</w:t>
      </w:r>
      <w:r>
        <w:rPr>
          <w:b w:val="0"/>
          <w:bCs w:val="0"/>
          <w:highlight w:val="none"/>
        </w:rPr>
        <w:fldChar w:fldCharType="end"/>
      </w:r>
      <w:r>
        <w:rPr>
          <w:b w:val="0"/>
          <w:bCs w:val="0"/>
          <w:highlight w:val="none"/>
        </w:rPr>
        <w:fldChar w:fldCharType="end"/>
      </w:r>
    </w:p>
    <w:p w14:paraId="2889DE79">
      <w:pPr>
        <w:pStyle w:val="20"/>
        <w:rPr>
          <w:rFonts w:asciiTheme="minorHAnsi" w:hAnsiTheme="minorHAnsi" w:eastAsiaTheme="minorEastAsia" w:cstheme="minorBidi"/>
          <w:b w:val="0"/>
          <w:bCs w:val="0"/>
          <w:kern w:val="2"/>
          <w:sz w:val="22"/>
          <w:highlight w:val="none"/>
          <w:lang w:val="en-US" w:eastAsia="en-US"/>
        </w:rPr>
      </w:pPr>
      <w:r>
        <w:rPr>
          <w:highlight w:val="none"/>
        </w:rPr>
        <w:fldChar w:fldCharType="begin"/>
      </w:r>
      <w:r>
        <w:rPr>
          <w:highlight w:val="none"/>
        </w:rPr>
        <w:instrText xml:space="preserve"> HYPERLINK \l "_Toc153923939" </w:instrText>
      </w:r>
      <w:r>
        <w:rPr>
          <w:highlight w:val="none"/>
        </w:rPr>
        <w:fldChar w:fldCharType="separate"/>
      </w:r>
      <w:r>
        <w:rPr>
          <w:rStyle w:val="11"/>
          <w:b w:val="0"/>
          <w:bCs w:val="0"/>
          <w:highlight w:val="none"/>
        </w:rPr>
        <w:t>ВСТУП</w:t>
      </w:r>
      <w:r>
        <w:rPr>
          <w:b w:val="0"/>
          <w:bCs w:val="0"/>
          <w:highlight w:val="none"/>
        </w:rPr>
        <w:tab/>
      </w:r>
      <w:r>
        <w:rPr>
          <w:b w:val="0"/>
          <w:bCs w:val="0"/>
          <w:highlight w:val="none"/>
        </w:rPr>
        <w:fldChar w:fldCharType="begin"/>
      </w:r>
      <w:r>
        <w:rPr>
          <w:b w:val="0"/>
          <w:bCs w:val="0"/>
          <w:highlight w:val="none"/>
        </w:rPr>
        <w:instrText xml:space="preserve"> PAGEREF _Toc153923939 \h </w:instrText>
      </w:r>
      <w:r>
        <w:rPr>
          <w:b w:val="0"/>
          <w:bCs w:val="0"/>
          <w:highlight w:val="none"/>
        </w:rPr>
        <w:fldChar w:fldCharType="separate"/>
      </w:r>
      <w:r>
        <w:rPr>
          <w:b w:val="0"/>
          <w:bCs w:val="0"/>
          <w:highlight w:val="none"/>
        </w:rPr>
        <w:t>25</w:t>
      </w:r>
      <w:r>
        <w:rPr>
          <w:b w:val="0"/>
          <w:bCs w:val="0"/>
          <w:highlight w:val="none"/>
        </w:rPr>
        <w:fldChar w:fldCharType="end"/>
      </w:r>
      <w:r>
        <w:rPr>
          <w:b w:val="0"/>
          <w:bCs w:val="0"/>
          <w:highlight w:val="none"/>
        </w:rPr>
        <w:fldChar w:fldCharType="end"/>
      </w:r>
    </w:p>
    <w:p w14:paraId="36CF20B1">
      <w:pPr>
        <w:pStyle w:val="20"/>
        <w:rPr>
          <w:rFonts w:asciiTheme="minorHAnsi" w:hAnsiTheme="minorHAnsi" w:eastAsiaTheme="minorEastAsia" w:cstheme="minorBidi"/>
          <w:b w:val="0"/>
          <w:bCs w:val="0"/>
          <w:kern w:val="2"/>
          <w:sz w:val="22"/>
          <w:highlight w:val="none"/>
          <w:lang w:val="en-US" w:eastAsia="en-US"/>
        </w:rPr>
      </w:pPr>
      <w:r>
        <w:rPr>
          <w:highlight w:val="none"/>
        </w:rPr>
        <w:fldChar w:fldCharType="begin"/>
      </w:r>
      <w:r>
        <w:rPr>
          <w:highlight w:val="none"/>
        </w:rPr>
        <w:instrText xml:space="preserve"> HYPERLINK \l "_Toc153923940" </w:instrText>
      </w:r>
      <w:r>
        <w:rPr>
          <w:highlight w:val="none"/>
        </w:rPr>
        <w:fldChar w:fldCharType="separate"/>
      </w:r>
      <w:r>
        <w:rPr>
          <w:rStyle w:val="11"/>
          <w:b w:val="0"/>
          <w:bCs w:val="0"/>
          <w:highlight w:val="none"/>
        </w:rPr>
        <w:t>РОЗДІЛ 1 ОГЛЯД ЛІТЕРАТУРИ. СУЧАСНИЙ СТАН ГЕПАТИТУ С В УКРАЇНІ ТА СВІТІ. МАРКЕРИ ДІАГНОСТИКИ ТА ПРОГНОСТИЧНІ МОЖЛИВОСТІ</w:t>
      </w:r>
      <w:r>
        <w:rPr>
          <w:b w:val="0"/>
          <w:bCs w:val="0"/>
          <w:highlight w:val="none"/>
        </w:rPr>
        <w:tab/>
      </w:r>
      <w:r>
        <w:rPr>
          <w:b w:val="0"/>
          <w:bCs w:val="0"/>
          <w:highlight w:val="none"/>
        </w:rPr>
        <w:fldChar w:fldCharType="begin"/>
      </w:r>
      <w:r>
        <w:rPr>
          <w:b w:val="0"/>
          <w:bCs w:val="0"/>
          <w:highlight w:val="none"/>
        </w:rPr>
        <w:instrText xml:space="preserve"> PAGEREF _Toc153923940 \h </w:instrText>
      </w:r>
      <w:r>
        <w:rPr>
          <w:b w:val="0"/>
          <w:bCs w:val="0"/>
          <w:highlight w:val="none"/>
        </w:rPr>
        <w:fldChar w:fldCharType="separate"/>
      </w:r>
      <w:r>
        <w:rPr>
          <w:b w:val="0"/>
          <w:bCs w:val="0"/>
          <w:highlight w:val="none"/>
        </w:rPr>
        <w:t>32</w:t>
      </w:r>
      <w:r>
        <w:rPr>
          <w:b w:val="0"/>
          <w:bCs w:val="0"/>
          <w:highlight w:val="none"/>
        </w:rPr>
        <w:fldChar w:fldCharType="end"/>
      </w:r>
      <w:r>
        <w:rPr>
          <w:b w:val="0"/>
          <w:bCs w:val="0"/>
          <w:highlight w:val="none"/>
        </w:rPr>
        <w:fldChar w:fldCharType="end"/>
      </w:r>
    </w:p>
    <w:p w14:paraId="4262E8B9">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"_Toc153923941" </w:instrText>
      </w:r>
      <w:r>
        <w:rPr>
          <w:highlight w:val="none"/>
        </w:rPr>
        <w:fldChar w:fldCharType="separate"/>
      </w:r>
      <w:r>
        <w:rPr>
          <w:rStyle w:val="11"/>
          <w:highlight w:val="none"/>
        </w:rPr>
        <w:t>1.1 Клініко-епідеміологічні особливості хронічного гепатиту С</w:t>
      </w:r>
      <w:r>
        <w:rPr>
          <w:highlight w:val="none"/>
        </w:rPr>
        <w:tab/>
      </w:r>
      <w:r>
        <w:rPr>
          <w:highlight w:val="none"/>
        </w:rPr>
        <w:fldChar w:fldCharType="begin"/>
      </w:r>
      <w:r>
        <w:rPr>
          <w:highlight w:val="none"/>
        </w:rPr>
        <w:instrText xml:space="preserve"> PAGEREF _Toc153923941 \h </w:instrText>
      </w:r>
      <w:r>
        <w:rPr>
          <w:highlight w:val="none"/>
        </w:rPr>
        <w:fldChar w:fldCharType="separate"/>
      </w:r>
      <w:r>
        <w:rPr>
          <w:highlight w:val="none"/>
        </w:rPr>
        <w:t>32</w:t>
      </w:r>
      <w:r>
        <w:rPr>
          <w:highlight w:val="none"/>
        </w:rPr>
        <w:fldChar w:fldCharType="end"/>
      </w:r>
      <w:r>
        <w:rPr>
          <w:highlight w:val="none"/>
        </w:rPr>
        <w:fldChar w:fldCharType="end"/>
      </w:r>
    </w:p>
    <w:p w14:paraId="22202AFB">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"_Toc153923942" </w:instrText>
      </w:r>
      <w:r>
        <w:rPr>
          <w:highlight w:val="none"/>
        </w:rPr>
        <w:fldChar w:fldCharType="separate"/>
      </w:r>
      <w:r>
        <w:rPr>
          <w:rStyle w:val="11"/>
          <w:highlight w:val="none"/>
        </w:rPr>
        <w:t>1.2 Патогенетичні та патофізіологічні механізми розвитку запалення печінки при хронічному гепатиті С</w:t>
      </w:r>
      <w:r>
        <w:rPr>
          <w:highlight w:val="none"/>
        </w:rPr>
        <w:tab/>
      </w:r>
      <w:r>
        <w:rPr>
          <w:highlight w:val="none"/>
        </w:rPr>
        <w:fldChar w:fldCharType="begin"/>
      </w:r>
      <w:r>
        <w:rPr>
          <w:highlight w:val="none"/>
        </w:rPr>
        <w:instrText xml:space="preserve"> PAGEREF _Toc153923942 \h </w:instrText>
      </w:r>
      <w:r>
        <w:rPr>
          <w:highlight w:val="none"/>
        </w:rPr>
        <w:fldChar w:fldCharType="separate"/>
      </w:r>
      <w:r>
        <w:rPr>
          <w:highlight w:val="none"/>
        </w:rPr>
        <w:t>42</w:t>
      </w:r>
      <w:r>
        <w:rPr>
          <w:highlight w:val="none"/>
        </w:rPr>
        <w:fldChar w:fldCharType="end"/>
      </w:r>
      <w:r>
        <w:rPr>
          <w:highlight w:val="none"/>
        </w:rPr>
        <w:fldChar w:fldCharType="end"/>
      </w:r>
    </w:p>
    <w:p w14:paraId="0081851F">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"_Toc153923943" </w:instrText>
      </w:r>
      <w:r>
        <w:rPr>
          <w:highlight w:val="none"/>
        </w:rPr>
        <w:fldChar w:fldCharType="separate"/>
      </w:r>
      <w:r>
        <w:rPr>
          <w:rStyle w:val="11"/>
          <w:highlight w:val="none"/>
        </w:rPr>
        <w:t>1.3 Діагностичні принципи визначення гепатиту С</w:t>
      </w:r>
      <w:r>
        <w:rPr>
          <w:highlight w:val="none"/>
        </w:rPr>
        <w:tab/>
      </w:r>
      <w:r>
        <w:rPr>
          <w:highlight w:val="none"/>
        </w:rPr>
        <w:fldChar w:fldCharType="begin"/>
      </w:r>
      <w:r>
        <w:rPr>
          <w:highlight w:val="none"/>
        </w:rPr>
        <w:instrText xml:space="preserve"> PAGEREF _Toc153923943 \h </w:instrText>
      </w:r>
      <w:r>
        <w:rPr>
          <w:highlight w:val="none"/>
        </w:rPr>
        <w:fldChar w:fldCharType="separate"/>
      </w:r>
      <w:r>
        <w:rPr>
          <w:highlight w:val="none"/>
        </w:rPr>
        <w:t>47</w:t>
      </w:r>
      <w:r>
        <w:rPr>
          <w:highlight w:val="none"/>
        </w:rPr>
        <w:fldChar w:fldCharType="end"/>
      </w:r>
      <w:r>
        <w:rPr>
          <w:highlight w:val="none"/>
        </w:rPr>
        <w:fldChar w:fldCharType="end"/>
      </w:r>
    </w:p>
    <w:p w14:paraId="4AC323CE">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"_Toc153923944" </w:instrText>
      </w:r>
      <w:r>
        <w:rPr>
          <w:highlight w:val="none"/>
        </w:rPr>
        <w:fldChar w:fldCharType="separate"/>
      </w:r>
      <w:r>
        <w:rPr>
          <w:rStyle w:val="11"/>
          <w:highlight w:val="none"/>
        </w:rPr>
        <w:t>1.4 Маркерні можливості системи цитокінів, хемокінів і вітамінів у діагностуванні перебігу гепатиту С</w:t>
      </w:r>
      <w:r>
        <w:rPr>
          <w:highlight w:val="none"/>
        </w:rPr>
        <w:tab/>
      </w:r>
      <w:r>
        <w:rPr>
          <w:highlight w:val="none"/>
        </w:rPr>
        <w:fldChar w:fldCharType="begin"/>
      </w:r>
      <w:r>
        <w:rPr>
          <w:highlight w:val="none"/>
        </w:rPr>
        <w:instrText xml:space="preserve"> PAGEREF _Toc153923944 \h </w:instrText>
      </w:r>
      <w:r>
        <w:rPr>
          <w:highlight w:val="none"/>
        </w:rPr>
        <w:fldChar w:fldCharType="separate"/>
      </w:r>
      <w:r>
        <w:rPr>
          <w:highlight w:val="none"/>
        </w:rPr>
        <w:t>50</w:t>
      </w:r>
      <w:r>
        <w:rPr>
          <w:highlight w:val="none"/>
        </w:rPr>
        <w:fldChar w:fldCharType="end"/>
      </w:r>
      <w:r>
        <w:rPr>
          <w:highlight w:val="none"/>
        </w:rPr>
        <w:fldChar w:fldCharType="end"/>
      </w:r>
    </w:p>
    <w:p w14:paraId="7D98D4C4">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"_Toc153923945" </w:instrText>
      </w:r>
      <w:r>
        <w:rPr>
          <w:highlight w:val="none"/>
        </w:rPr>
        <w:fldChar w:fldCharType="separate"/>
      </w:r>
      <w:r>
        <w:rPr>
          <w:rStyle w:val="11"/>
          <w:highlight w:val="none"/>
        </w:rPr>
        <w:t>1.4.1 Визначення маркерної ролі прозапальних цитокінів, хемокінів і остеопонтину у процесі перебігу гепатиту С</w:t>
      </w:r>
      <w:r>
        <w:rPr>
          <w:highlight w:val="none"/>
        </w:rPr>
        <w:tab/>
      </w:r>
      <w:r>
        <w:rPr>
          <w:highlight w:val="none"/>
        </w:rPr>
        <w:fldChar w:fldCharType="begin"/>
      </w:r>
      <w:r>
        <w:rPr>
          <w:highlight w:val="none"/>
        </w:rPr>
        <w:instrText xml:space="preserve"> PAGEREF _Toc153923945 \h </w:instrText>
      </w:r>
      <w:r>
        <w:rPr>
          <w:highlight w:val="none"/>
        </w:rPr>
        <w:fldChar w:fldCharType="separate"/>
      </w:r>
      <w:r>
        <w:rPr>
          <w:highlight w:val="none"/>
        </w:rPr>
        <w:t>51</w:t>
      </w:r>
      <w:r>
        <w:rPr>
          <w:highlight w:val="none"/>
        </w:rPr>
        <w:fldChar w:fldCharType="end"/>
      </w:r>
      <w:r>
        <w:rPr>
          <w:highlight w:val="none"/>
        </w:rPr>
        <w:fldChar w:fldCharType="end"/>
      </w:r>
    </w:p>
    <w:p w14:paraId="12580A69">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"_Toc153923946" </w:instrText>
      </w:r>
      <w:r>
        <w:rPr>
          <w:highlight w:val="none"/>
        </w:rPr>
        <w:fldChar w:fldCharType="separate"/>
      </w:r>
      <w:r>
        <w:rPr>
          <w:rStyle w:val="11"/>
          <w:highlight w:val="none"/>
        </w:rPr>
        <w:t>1.4.2 Маркерна активність вітаміну D при хронічному гепатиті С</w:t>
      </w:r>
      <w:r>
        <w:rPr>
          <w:highlight w:val="none"/>
        </w:rPr>
        <w:tab/>
      </w:r>
      <w:r>
        <w:rPr>
          <w:highlight w:val="none"/>
        </w:rPr>
        <w:fldChar w:fldCharType="begin"/>
      </w:r>
      <w:r>
        <w:rPr>
          <w:highlight w:val="none"/>
        </w:rPr>
        <w:instrText xml:space="preserve"> PAGEREF _Toc153923946 \h </w:instrText>
      </w:r>
      <w:r>
        <w:rPr>
          <w:highlight w:val="none"/>
        </w:rPr>
        <w:fldChar w:fldCharType="separate"/>
      </w:r>
      <w:r>
        <w:rPr>
          <w:highlight w:val="none"/>
        </w:rPr>
        <w:t>57</w:t>
      </w:r>
      <w:r>
        <w:rPr>
          <w:highlight w:val="none"/>
        </w:rPr>
        <w:fldChar w:fldCharType="end"/>
      </w:r>
      <w:r>
        <w:rPr>
          <w:highlight w:val="none"/>
        </w:rPr>
        <w:fldChar w:fldCharType="end"/>
      </w:r>
    </w:p>
    <w:p w14:paraId="0D922E6F">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"_Toc153923947" </w:instrText>
      </w:r>
      <w:r>
        <w:rPr>
          <w:highlight w:val="none"/>
        </w:rPr>
        <w:fldChar w:fldCharType="separate"/>
      </w:r>
      <w:r>
        <w:rPr>
          <w:rStyle w:val="11"/>
          <w:highlight w:val="none"/>
        </w:rPr>
        <w:t>1.5 Терапевтичні можливості сучасної противірусної терапії гепатиту С</w:t>
      </w:r>
      <w:r>
        <w:rPr>
          <w:highlight w:val="none"/>
        </w:rPr>
        <w:tab/>
      </w:r>
      <w:r>
        <w:rPr>
          <w:highlight w:val="none"/>
        </w:rPr>
        <w:fldChar w:fldCharType="begin"/>
      </w:r>
      <w:r>
        <w:rPr>
          <w:highlight w:val="none"/>
        </w:rPr>
        <w:instrText xml:space="preserve"> PAGEREF _Toc153923947 \h </w:instrText>
      </w:r>
      <w:r>
        <w:rPr>
          <w:highlight w:val="none"/>
        </w:rPr>
        <w:fldChar w:fldCharType="separate"/>
      </w:r>
      <w:r>
        <w:rPr>
          <w:highlight w:val="none"/>
        </w:rPr>
        <w:t>61</w:t>
      </w:r>
      <w:r>
        <w:rPr>
          <w:highlight w:val="none"/>
        </w:rPr>
        <w:fldChar w:fldCharType="end"/>
      </w:r>
      <w:r>
        <w:rPr>
          <w:highlight w:val="none"/>
        </w:rPr>
        <w:fldChar w:fldCharType="end"/>
      </w:r>
    </w:p>
    <w:p w14:paraId="731539EB">
      <w:pPr>
        <w:pStyle w:val="20"/>
        <w:rPr>
          <w:rFonts w:asciiTheme="minorHAnsi" w:hAnsiTheme="minorHAnsi" w:eastAsiaTheme="minorEastAsia" w:cstheme="minorBidi"/>
          <w:b w:val="0"/>
          <w:bCs w:val="0"/>
          <w:kern w:val="2"/>
          <w:sz w:val="22"/>
          <w:highlight w:val="none"/>
          <w:lang w:val="en-US" w:eastAsia="en-US"/>
        </w:rPr>
      </w:pPr>
      <w:r>
        <w:rPr>
          <w:highlight w:val="none"/>
        </w:rPr>
        <w:fldChar w:fldCharType="begin"/>
      </w:r>
      <w:r>
        <w:rPr>
          <w:highlight w:val="none"/>
        </w:rPr>
        <w:instrText xml:space="preserve"> HYPERLINK \l "_Toc153923948" </w:instrText>
      </w:r>
      <w:r>
        <w:rPr>
          <w:highlight w:val="none"/>
        </w:rPr>
        <w:fldChar w:fldCharType="separate"/>
      </w:r>
      <w:r>
        <w:rPr>
          <w:rStyle w:val="11"/>
          <w:b w:val="0"/>
          <w:bCs w:val="0"/>
          <w:highlight w:val="none"/>
        </w:rPr>
        <w:t>РОЗДІЛ 2 МАТЕРІАЛИ І МЕТОДИ ДОСЛІДЖЕННЯ</w:t>
      </w:r>
      <w:r>
        <w:rPr>
          <w:b w:val="0"/>
          <w:bCs w:val="0"/>
          <w:highlight w:val="none"/>
        </w:rPr>
        <w:tab/>
      </w:r>
      <w:r>
        <w:rPr>
          <w:b w:val="0"/>
          <w:bCs w:val="0"/>
          <w:highlight w:val="none"/>
        </w:rPr>
        <w:fldChar w:fldCharType="begin"/>
      </w:r>
      <w:r>
        <w:rPr>
          <w:b w:val="0"/>
          <w:bCs w:val="0"/>
          <w:highlight w:val="none"/>
        </w:rPr>
        <w:instrText xml:space="preserve"> PAGEREF _Toc153923948 \h </w:instrText>
      </w:r>
      <w:r>
        <w:rPr>
          <w:b w:val="0"/>
          <w:bCs w:val="0"/>
          <w:highlight w:val="none"/>
        </w:rPr>
        <w:fldChar w:fldCharType="separate"/>
      </w:r>
      <w:r>
        <w:rPr>
          <w:b w:val="0"/>
          <w:bCs w:val="0"/>
          <w:highlight w:val="none"/>
        </w:rPr>
        <w:t>65</w:t>
      </w:r>
      <w:r>
        <w:rPr>
          <w:b w:val="0"/>
          <w:bCs w:val="0"/>
          <w:highlight w:val="none"/>
        </w:rPr>
        <w:fldChar w:fldCharType="end"/>
      </w:r>
      <w:r>
        <w:rPr>
          <w:b w:val="0"/>
          <w:bCs w:val="0"/>
          <w:highlight w:val="none"/>
        </w:rPr>
        <w:fldChar w:fldCharType="end"/>
      </w:r>
    </w:p>
    <w:p w14:paraId="50C05B37">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"_Toc153923949" </w:instrText>
      </w:r>
      <w:r>
        <w:rPr>
          <w:highlight w:val="none"/>
        </w:rPr>
        <w:fldChar w:fldCharType="separate"/>
      </w:r>
      <w:r>
        <w:rPr>
          <w:rStyle w:val="11"/>
          <w:highlight w:val="none"/>
        </w:rPr>
        <w:t>2.1 Програмно-методологічний апарат дослідження</w:t>
      </w:r>
      <w:r>
        <w:rPr>
          <w:highlight w:val="none"/>
        </w:rPr>
        <w:tab/>
      </w:r>
      <w:r>
        <w:rPr>
          <w:highlight w:val="none"/>
        </w:rPr>
        <w:fldChar w:fldCharType="begin"/>
      </w:r>
      <w:r>
        <w:rPr>
          <w:highlight w:val="none"/>
        </w:rPr>
        <w:instrText xml:space="preserve"> PAGEREF _Toc153923949 \h </w:instrText>
      </w:r>
      <w:r>
        <w:rPr>
          <w:highlight w:val="none"/>
        </w:rPr>
        <w:fldChar w:fldCharType="separate"/>
      </w:r>
      <w:r>
        <w:rPr>
          <w:highlight w:val="none"/>
        </w:rPr>
        <w:t>66</w:t>
      </w:r>
      <w:r>
        <w:rPr>
          <w:highlight w:val="none"/>
        </w:rPr>
        <w:fldChar w:fldCharType="end"/>
      </w:r>
      <w:r>
        <w:rPr>
          <w:highlight w:val="none"/>
        </w:rPr>
        <w:fldChar w:fldCharType="end"/>
      </w:r>
    </w:p>
    <w:p w14:paraId="36F71E34">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"_Toc153923950" </w:instrText>
      </w:r>
      <w:r>
        <w:rPr>
          <w:highlight w:val="none"/>
        </w:rPr>
        <w:fldChar w:fldCharType="separate"/>
      </w:r>
      <w:r>
        <w:rPr>
          <w:rStyle w:val="11"/>
          <w:highlight w:val="none"/>
          <w:lang w:eastAsia="ru-RU"/>
        </w:rPr>
        <w:t>2.2 Загальна характеристика обстежених пацієнтів</w:t>
      </w:r>
      <w:r>
        <w:rPr>
          <w:highlight w:val="none"/>
        </w:rPr>
        <w:tab/>
      </w:r>
      <w:r>
        <w:rPr>
          <w:highlight w:val="none"/>
        </w:rPr>
        <w:fldChar w:fldCharType="begin"/>
      </w:r>
      <w:r>
        <w:rPr>
          <w:highlight w:val="none"/>
        </w:rPr>
        <w:instrText xml:space="preserve"> PAGEREF _Toc153923950 \h </w:instrText>
      </w:r>
      <w:r>
        <w:rPr>
          <w:highlight w:val="none"/>
        </w:rPr>
        <w:fldChar w:fldCharType="separate"/>
      </w:r>
      <w:r>
        <w:rPr>
          <w:highlight w:val="none"/>
        </w:rPr>
        <w:t>69</w:t>
      </w:r>
      <w:r>
        <w:rPr>
          <w:highlight w:val="none"/>
        </w:rPr>
        <w:fldChar w:fldCharType="end"/>
      </w:r>
      <w:r>
        <w:rPr>
          <w:highlight w:val="none"/>
        </w:rPr>
        <w:fldChar w:fldCharType="end"/>
      </w:r>
    </w:p>
    <w:p w14:paraId="3499D993">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"_Toc153923951" </w:instrText>
      </w:r>
      <w:r>
        <w:rPr>
          <w:highlight w:val="none"/>
        </w:rPr>
        <w:fldChar w:fldCharType="separate"/>
      </w:r>
      <w:r>
        <w:rPr>
          <w:rStyle w:val="11"/>
          <w:highlight w:val="none"/>
          <w:lang w:eastAsia="ru-RU"/>
        </w:rPr>
        <w:t>2.3 Методичний та методологічний апарат дослідження</w:t>
      </w:r>
      <w:r>
        <w:rPr>
          <w:highlight w:val="none"/>
        </w:rPr>
        <w:tab/>
      </w:r>
      <w:r>
        <w:rPr>
          <w:highlight w:val="none"/>
        </w:rPr>
        <w:fldChar w:fldCharType="begin"/>
      </w:r>
      <w:r>
        <w:rPr>
          <w:highlight w:val="none"/>
        </w:rPr>
        <w:instrText xml:space="preserve"> PAGEREF _Toc153923951 \h </w:instrText>
      </w:r>
      <w:r>
        <w:rPr>
          <w:highlight w:val="none"/>
        </w:rPr>
        <w:fldChar w:fldCharType="separate"/>
      </w:r>
      <w:r>
        <w:rPr>
          <w:highlight w:val="none"/>
        </w:rPr>
        <w:t>73</w:t>
      </w:r>
      <w:r>
        <w:rPr>
          <w:highlight w:val="none"/>
        </w:rPr>
        <w:fldChar w:fldCharType="end"/>
      </w:r>
      <w:r>
        <w:rPr>
          <w:highlight w:val="none"/>
        </w:rPr>
        <w:fldChar w:fldCharType="end"/>
      </w:r>
    </w:p>
    <w:p w14:paraId="3F882676">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"_Toc153923952" </w:instrText>
      </w:r>
      <w:r>
        <w:rPr>
          <w:highlight w:val="none"/>
        </w:rPr>
        <w:fldChar w:fldCharType="separate"/>
      </w:r>
      <w:r>
        <w:rPr>
          <w:rStyle w:val="11"/>
          <w:highlight w:val="none"/>
          <w:lang w:eastAsia="ru-RU"/>
        </w:rPr>
        <w:t>2.3.1 Медико-епідеміологічні та клініко-лабораторні й клініко-інструментальні методи дослідження</w:t>
      </w:r>
      <w:r>
        <w:rPr>
          <w:highlight w:val="none"/>
        </w:rPr>
        <w:tab/>
      </w:r>
      <w:r>
        <w:rPr>
          <w:highlight w:val="none"/>
        </w:rPr>
        <w:fldChar w:fldCharType="begin"/>
      </w:r>
      <w:r>
        <w:rPr>
          <w:highlight w:val="none"/>
        </w:rPr>
        <w:instrText xml:space="preserve"> PAGEREF _Toc153923952 \h </w:instrText>
      </w:r>
      <w:r>
        <w:rPr>
          <w:highlight w:val="none"/>
        </w:rPr>
        <w:fldChar w:fldCharType="separate"/>
      </w:r>
      <w:r>
        <w:rPr>
          <w:highlight w:val="none"/>
        </w:rPr>
        <w:t>74</w:t>
      </w:r>
      <w:r>
        <w:rPr>
          <w:highlight w:val="none"/>
        </w:rPr>
        <w:fldChar w:fldCharType="end"/>
      </w:r>
      <w:r>
        <w:rPr>
          <w:highlight w:val="none"/>
        </w:rPr>
        <w:fldChar w:fldCharType="end"/>
      </w:r>
    </w:p>
    <w:p w14:paraId="54C343B0">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"_Toc153923953" </w:instrText>
      </w:r>
      <w:r>
        <w:rPr>
          <w:highlight w:val="none"/>
        </w:rPr>
        <w:fldChar w:fldCharType="separate"/>
      </w:r>
      <w:r>
        <w:rPr>
          <w:rStyle w:val="11"/>
          <w:highlight w:val="none"/>
        </w:rPr>
        <w:t>2.3.2 Медико-статистичні методи статистичної обробки результатів дослідження</w:t>
      </w:r>
      <w:r>
        <w:rPr>
          <w:highlight w:val="none"/>
        </w:rPr>
        <w:tab/>
      </w:r>
      <w:r>
        <w:rPr>
          <w:highlight w:val="none"/>
        </w:rPr>
        <w:fldChar w:fldCharType="begin"/>
      </w:r>
      <w:r>
        <w:rPr>
          <w:highlight w:val="none"/>
        </w:rPr>
        <w:instrText xml:space="preserve"> PAGEREF _Toc153923953 \h </w:instrText>
      </w:r>
      <w:r>
        <w:rPr>
          <w:highlight w:val="none"/>
        </w:rPr>
        <w:fldChar w:fldCharType="separate"/>
      </w:r>
      <w:r>
        <w:rPr>
          <w:highlight w:val="none"/>
        </w:rPr>
        <w:t>81</w:t>
      </w:r>
      <w:r>
        <w:rPr>
          <w:highlight w:val="none"/>
        </w:rPr>
        <w:fldChar w:fldCharType="end"/>
      </w:r>
      <w:r>
        <w:rPr>
          <w:highlight w:val="none"/>
        </w:rPr>
        <w:fldChar w:fldCharType="end"/>
      </w:r>
    </w:p>
    <w:p w14:paraId="2729EE44">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"_Toc153923954" </w:instrText>
      </w:r>
      <w:r>
        <w:rPr>
          <w:highlight w:val="none"/>
        </w:rPr>
        <w:fldChar w:fldCharType="separate"/>
      </w:r>
      <w:r>
        <w:rPr>
          <w:rStyle w:val="11"/>
          <w:highlight w:val="none"/>
          <w:lang w:eastAsia="ru-RU"/>
        </w:rPr>
        <w:t>Висновки до розділу 2</w:t>
      </w:r>
      <w:r>
        <w:rPr>
          <w:highlight w:val="none"/>
        </w:rPr>
        <w:tab/>
      </w:r>
      <w:r>
        <w:rPr>
          <w:highlight w:val="none"/>
        </w:rPr>
        <w:fldChar w:fldCharType="begin"/>
      </w:r>
      <w:r>
        <w:rPr>
          <w:highlight w:val="none"/>
        </w:rPr>
        <w:instrText xml:space="preserve"> PAGEREF _Toc153923954 \h </w:instrText>
      </w:r>
      <w:r>
        <w:rPr>
          <w:highlight w:val="none"/>
        </w:rPr>
        <w:fldChar w:fldCharType="separate"/>
      </w:r>
      <w:r>
        <w:rPr>
          <w:highlight w:val="none"/>
        </w:rPr>
        <w:t>83</w:t>
      </w:r>
      <w:r>
        <w:rPr>
          <w:highlight w:val="none"/>
        </w:rPr>
        <w:fldChar w:fldCharType="end"/>
      </w:r>
      <w:r>
        <w:rPr>
          <w:highlight w:val="none"/>
        </w:rPr>
        <w:fldChar w:fldCharType="end"/>
      </w:r>
    </w:p>
    <w:p w14:paraId="2341FED3">
      <w:pPr>
        <w:pStyle w:val="20"/>
        <w:rPr>
          <w:rFonts w:asciiTheme="minorHAnsi" w:hAnsiTheme="minorHAnsi" w:eastAsiaTheme="minorEastAsia" w:cstheme="minorBidi"/>
          <w:b w:val="0"/>
          <w:bCs w:val="0"/>
          <w:kern w:val="2"/>
          <w:sz w:val="22"/>
          <w:highlight w:val="none"/>
          <w:lang w:val="en-US" w:eastAsia="en-US"/>
        </w:rPr>
      </w:pPr>
      <w:r>
        <w:rPr>
          <w:highlight w:val="none"/>
        </w:rPr>
        <w:fldChar w:fldCharType="begin"/>
      </w:r>
      <w:r>
        <w:rPr>
          <w:highlight w:val="none"/>
        </w:rPr>
        <w:instrText xml:space="preserve"> HYPERLINK \l "_Toc153923955" </w:instrText>
      </w:r>
      <w:r>
        <w:rPr>
          <w:highlight w:val="none"/>
        </w:rPr>
        <w:fldChar w:fldCharType="separate"/>
      </w:r>
      <w:r>
        <w:rPr>
          <w:rStyle w:val="11"/>
          <w:b w:val="0"/>
          <w:bCs w:val="0"/>
          <w:highlight w:val="none"/>
        </w:rPr>
        <w:t>РОЗДІЛ 3 ВЛАСНІ ДОСЛІДЖЕННЯ</w:t>
      </w:r>
      <w:r>
        <w:rPr>
          <w:b w:val="0"/>
          <w:bCs w:val="0"/>
          <w:highlight w:val="none"/>
        </w:rPr>
        <w:tab/>
      </w:r>
      <w:r>
        <w:rPr>
          <w:b w:val="0"/>
          <w:bCs w:val="0"/>
          <w:highlight w:val="none"/>
        </w:rPr>
        <w:fldChar w:fldCharType="begin"/>
      </w:r>
      <w:r>
        <w:rPr>
          <w:b w:val="0"/>
          <w:bCs w:val="0"/>
          <w:highlight w:val="none"/>
        </w:rPr>
        <w:instrText xml:space="preserve"> PAGEREF _Toc153923955 \h </w:instrText>
      </w:r>
      <w:r>
        <w:rPr>
          <w:b w:val="0"/>
          <w:bCs w:val="0"/>
          <w:highlight w:val="none"/>
        </w:rPr>
        <w:fldChar w:fldCharType="separate"/>
      </w:r>
      <w:r>
        <w:rPr>
          <w:b w:val="0"/>
          <w:bCs w:val="0"/>
          <w:highlight w:val="none"/>
        </w:rPr>
        <w:t>85</w:t>
      </w:r>
      <w:r>
        <w:rPr>
          <w:b w:val="0"/>
          <w:bCs w:val="0"/>
          <w:highlight w:val="none"/>
        </w:rPr>
        <w:fldChar w:fldCharType="end"/>
      </w:r>
      <w:r>
        <w:rPr>
          <w:b w:val="0"/>
          <w:bCs w:val="0"/>
          <w:highlight w:val="none"/>
        </w:rPr>
        <w:fldChar w:fldCharType="end"/>
      </w:r>
    </w:p>
    <w:p w14:paraId="19F71735">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"_Toc153923956" </w:instrText>
      </w:r>
      <w:r>
        <w:rPr>
          <w:highlight w:val="none"/>
        </w:rPr>
        <w:fldChar w:fldCharType="separate"/>
      </w:r>
      <w:r>
        <w:rPr>
          <w:rStyle w:val="11"/>
          <w:highlight w:val="none"/>
        </w:rPr>
        <w:t>3.1 Показники обстежених пацієнтів за основними групами дослідження</w:t>
      </w:r>
      <w:r>
        <w:rPr>
          <w:highlight w:val="none"/>
        </w:rPr>
        <w:tab/>
      </w:r>
      <w:r>
        <w:rPr>
          <w:highlight w:val="none"/>
        </w:rPr>
        <w:fldChar w:fldCharType="begin"/>
      </w:r>
      <w:r>
        <w:rPr>
          <w:highlight w:val="none"/>
        </w:rPr>
        <w:instrText xml:space="preserve"> PAGEREF _Toc153923956 \h </w:instrText>
      </w:r>
      <w:r>
        <w:rPr>
          <w:highlight w:val="none"/>
        </w:rPr>
        <w:fldChar w:fldCharType="separate"/>
      </w:r>
      <w:r>
        <w:rPr>
          <w:highlight w:val="none"/>
        </w:rPr>
        <w:t>85</w:t>
      </w:r>
      <w:r>
        <w:rPr>
          <w:highlight w:val="none"/>
        </w:rPr>
        <w:fldChar w:fldCharType="end"/>
      </w:r>
      <w:r>
        <w:rPr>
          <w:highlight w:val="none"/>
        </w:rPr>
        <w:fldChar w:fldCharType="end"/>
      </w:r>
    </w:p>
    <w:p w14:paraId="299F42B3">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"_Toc153923957" </w:instrText>
      </w:r>
      <w:r>
        <w:rPr>
          <w:highlight w:val="none"/>
        </w:rPr>
        <w:fldChar w:fldCharType="separate"/>
      </w:r>
      <w:r>
        <w:rPr>
          <w:rStyle w:val="11"/>
          <w:highlight w:val="none"/>
        </w:rPr>
        <w:t>3.2 Показники обстежених пацієнтів в залежності від ступеню фіброзу до лікування</w:t>
      </w:r>
      <w:r>
        <w:rPr>
          <w:highlight w:val="none"/>
        </w:rPr>
        <w:tab/>
      </w:r>
      <w:r>
        <w:rPr>
          <w:highlight w:val="none"/>
        </w:rPr>
        <w:fldChar w:fldCharType="begin"/>
      </w:r>
      <w:r>
        <w:rPr>
          <w:highlight w:val="none"/>
        </w:rPr>
        <w:instrText xml:space="preserve"> PAGEREF _Toc153923957 \h </w:instrText>
      </w:r>
      <w:r>
        <w:rPr>
          <w:highlight w:val="none"/>
        </w:rPr>
        <w:fldChar w:fldCharType="separate"/>
      </w:r>
      <w:r>
        <w:rPr>
          <w:highlight w:val="none"/>
        </w:rPr>
        <w:t>91</w:t>
      </w:r>
      <w:r>
        <w:rPr>
          <w:highlight w:val="none"/>
        </w:rPr>
        <w:fldChar w:fldCharType="end"/>
      </w:r>
      <w:r>
        <w:rPr>
          <w:highlight w:val="none"/>
        </w:rPr>
        <w:fldChar w:fldCharType="end"/>
      </w:r>
    </w:p>
    <w:p w14:paraId="74C34AF5">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"_Toc153923958" </w:instrText>
      </w:r>
      <w:r>
        <w:rPr>
          <w:highlight w:val="none"/>
        </w:rPr>
        <w:fldChar w:fldCharType="separate"/>
      </w:r>
      <w:r>
        <w:rPr>
          <w:rStyle w:val="11"/>
          <w:rFonts w:cs="Times New Roman"/>
          <w:highlight w:val="none"/>
        </w:rPr>
        <w:t>Висновки за розділом 3</w:t>
      </w:r>
      <w:r>
        <w:rPr>
          <w:highlight w:val="none"/>
        </w:rPr>
        <w:tab/>
      </w:r>
      <w:r>
        <w:rPr>
          <w:highlight w:val="none"/>
        </w:rPr>
        <w:fldChar w:fldCharType="begin"/>
      </w:r>
      <w:r>
        <w:rPr>
          <w:highlight w:val="none"/>
        </w:rPr>
        <w:instrText xml:space="preserve"> PAGEREF _Toc153923958 \h </w:instrText>
      </w:r>
      <w:r>
        <w:rPr>
          <w:highlight w:val="none"/>
        </w:rPr>
        <w:fldChar w:fldCharType="separate"/>
      </w:r>
      <w:r>
        <w:rPr>
          <w:highlight w:val="none"/>
        </w:rPr>
        <w:t>96</w:t>
      </w:r>
      <w:r>
        <w:rPr>
          <w:highlight w:val="none"/>
        </w:rPr>
        <w:fldChar w:fldCharType="end"/>
      </w:r>
      <w:r>
        <w:rPr>
          <w:highlight w:val="none"/>
        </w:rPr>
        <w:fldChar w:fldCharType="end"/>
      </w:r>
    </w:p>
    <w:p w14:paraId="6873ED16">
      <w:pPr>
        <w:pStyle w:val="20"/>
        <w:rPr>
          <w:rFonts w:asciiTheme="minorHAnsi" w:hAnsiTheme="minorHAnsi" w:eastAsiaTheme="minorEastAsia" w:cstheme="minorBidi"/>
          <w:b w:val="0"/>
          <w:bCs w:val="0"/>
          <w:kern w:val="2"/>
          <w:sz w:val="22"/>
          <w:highlight w:val="none"/>
          <w:lang w:val="en-US" w:eastAsia="en-US"/>
        </w:rPr>
      </w:pPr>
      <w:r>
        <w:rPr>
          <w:highlight w:val="none"/>
        </w:rPr>
        <w:fldChar w:fldCharType="begin"/>
      </w:r>
      <w:r>
        <w:rPr>
          <w:highlight w:val="none"/>
        </w:rPr>
        <w:instrText xml:space="preserve"> HYPERLINK \l "_Toc153923959" </w:instrText>
      </w:r>
      <w:r>
        <w:rPr>
          <w:highlight w:val="none"/>
        </w:rPr>
        <w:fldChar w:fldCharType="separate"/>
      </w:r>
      <w:r>
        <w:rPr>
          <w:rStyle w:val="11"/>
          <w:b w:val="0"/>
          <w:bCs w:val="0"/>
          <w:highlight w:val="none"/>
        </w:rPr>
        <w:t>РОЗДІЛ 4 ОЦІНКА ЗМІН РІВНІВ ОСТЕОПОНТИНУ, ВІТАМІНУ D ТА ЛАБОРАТОРНИХ ПОКАЗНИКІВ ПІСЛЯ ЛІКУВАННЯ</w:t>
      </w:r>
      <w:r>
        <w:rPr>
          <w:b w:val="0"/>
          <w:bCs w:val="0"/>
          <w:highlight w:val="none"/>
        </w:rPr>
        <w:tab/>
      </w:r>
      <w:r>
        <w:rPr>
          <w:b w:val="0"/>
          <w:bCs w:val="0"/>
          <w:highlight w:val="none"/>
        </w:rPr>
        <w:fldChar w:fldCharType="begin"/>
      </w:r>
      <w:r>
        <w:rPr>
          <w:b w:val="0"/>
          <w:bCs w:val="0"/>
          <w:highlight w:val="none"/>
        </w:rPr>
        <w:instrText xml:space="preserve"> PAGEREF _Toc153923959 \h </w:instrText>
      </w:r>
      <w:r>
        <w:rPr>
          <w:b w:val="0"/>
          <w:bCs w:val="0"/>
          <w:highlight w:val="none"/>
        </w:rPr>
        <w:fldChar w:fldCharType="separate"/>
      </w:r>
      <w:r>
        <w:rPr>
          <w:b w:val="0"/>
          <w:bCs w:val="0"/>
          <w:highlight w:val="none"/>
        </w:rPr>
        <w:t>98</w:t>
      </w:r>
      <w:r>
        <w:rPr>
          <w:b w:val="0"/>
          <w:bCs w:val="0"/>
          <w:highlight w:val="none"/>
        </w:rPr>
        <w:fldChar w:fldCharType="end"/>
      </w:r>
      <w:r>
        <w:rPr>
          <w:b w:val="0"/>
          <w:bCs w:val="0"/>
          <w:highlight w:val="none"/>
        </w:rPr>
        <w:fldChar w:fldCharType="end"/>
      </w:r>
    </w:p>
    <w:p w14:paraId="6C737C7B">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"_Toc153923960" </w:instrText>
      </w:r>
      <w:r>
        <w:rPr>
          <w:highlight w:val="none"/>
        </w:rPr>
        <w:fldChar w:fldCharType="separate"/>
      </w:r>
      <w:r>
        <w:rPr>
          <w:rStyle w:val="11"/>
          <w:highlight w:val="none"/>
        </w:rPr>
        <w:t>4.1 Характеристика рівнів остеопонтину та вітаміну D, параметрів клінічного та біохімічного аналізів крові обстежених пацієнтів після лікування</w:t>
      </w:r>
      <w:r>
        <w:rPr>
          <w:highlight w:val="none"/>
        </w:rPr>
        <w:tab/>
      </w:r>
      <w:r>
        <w:rPr>
          <w:highlight w:val="none"/>
        </w:rPr>
        <w:fldChar w:fldCharType="begin"/>
      </w:r>
      <w:r>
        <w:rPr>
          <w:highlight w:val="none"/>
        </w:rPr>
        <w:instrText xml:space="preserve"> PAGEREF _Toc153923960 \h </w:instrText>
      </w:r>
      <w:r>
        <w:rPr>
          <w:highlight w:val="none"/>
        </w:rPr>
        <w:fldChar w:fldCharType="separate"/>
      </w:r>
      <w:r>
        <w:rPr>
          <w:highlight w:val="none"/>
        </w:rPr>
        <w:t>98</w:t>
      </w:r>
      <w:r>
        <w:rPr>
          <w:highlight w:val="none"/>
        </w:rPr>
        <w:fldChar w:fldCharType="end"/>
      </w:r>
      <w:r>
        <w:rPr>
          <w:highlight w:val="none"/>
        </w:rPr>
        <w:fldChar w:fldCharType="end"/>
      </w:r>
    </w:p>
    <w:p w14:paraId="22E69126">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"_Toc153923961" </w:instrText>
      </w:r>
      <w:r>
        <w:rPr>
          <w:highlight w:val="none"/>
        </w:rPr>
        <w:fldChar w:fldCharType="separate"/>
      </w:r>
      <w:r>
        <w:rPr>
          <w:rStyle w:val="11"/>
          <w:highlight w:val="none"/>
        </w:rPr>
        <w:t>4.2 Визначення динаміки змін вивчених лабораторних показників у пацієнтів з хронічним гепатитом С</w:t>
      </w:r>
      <w:r>
        <w:rPr>
          <w:rStyle w:val="11"/>
          <w:highlight w:val="none"/>
          <w:lang w:val="en-US"/>
        </w:rPr>
        <w:t xml:space="preserve"> </w:t>
      </w:r>
      <w:r>
        <w:rPr>
          <w:rStyle w:val="11"/>
          <w:highlight w:val="none"/>
        </w:rPr>
        <w:t>після проведення курсу лікування</w:t>
      </w:r>
      <w:r>
        <w:rPr>
          <w:highlight w:val="none"/>
        </w:rPr>
        <w:tab/>
      </w:r>
      <w:r>
        <w:rPr>
          <w:highlight w:val="none"/>
        </w:rPr>
        <w:fldChar w:fldCharType="begin"/>
      </w:r>
      <w:r>
        <w:rPr>
          <w:highlight w:val="none"/>
        </w:rPr>
        <w:instrText xml:space="preserve"> PAGEREF _Toc153923961 \h </w:instrText>
      </w:r>
      <w:r>
        <w:rPr>
          <w:highlight w:val="none"/>
        </w:rPr>
        <w:fldChar w:fldCharType="separate"/>
      </w:r>
      <w:r>
        <w:rPr>
          <w:highlight w:val="none"/>
        </w:rPr>
        <w:t>101</w:t>
      </w:r>
      <w:r>
        <w:rPr>
          <w:highlight w:val="none"/>
        </w:rPr>
        <w:fldChar w:fldCharType="end"/>
      </w:r>
      <w:r>
        <w:rPr>
          <w:highlight w:val="none"/>
        </w:rPr>
        <w:fldChar w:fldCharType="end"/>
      </w:r>
    </w:p>
    <w:p w14:paraId="2BD25841">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"_Toc153923962" </w:instrText>
      </w:r>
      <w:r>
        <w:rPr>
          <w:highlight w:val="none"/>
        </w:rPr>
        <w:fldChar w:fldCharType="separate"/>
      </w:r>
      <w:r>
        <w:rPr>
          <w:rStyle w:val="11"/>
          <w:highlight w:val="none"/>
        </w:rPr>
        <w:t>4.3 Показники в залежності від ступеню фіброзу печінки після лікування в основній групі</w:t>
      </w:r>
      <w:r>
        <w:rPr>
          <w:highlight w:val="none"/>
        </w:rPr>
        <w:tab/>
      </w:r>
      <w:r>
        <w:rPr>
          <w:highlight w:val="none"/>
        </w:rPr>
        <w:fldChar w:fldCharType="begin"/>
      </w:r>
      <w:r>
        <w:rPr>
          <w:highlight w:val="none"/>
        </w:rPr>
        <w:instrText xml:space="preserve"> PAGEREF _Toc153923962 \h </w:instrText>
      </w:r>
      <w:r>
        <w:rPr>
          <w:highlight w:val="none"/>
        </w:rPr>
        <w:fldChar w:fldCharType="separate"/>
      </w:r>
      <w:r>
        <w:rPr>
          <w:highlight w:val="none"/>
        </w:rPr>
        <w:t>104</w:t>
      </w:r>
      <w:r>
        <w:rPr>
          <w:highlight w:val="none"/>
        </w:rPr>
        <w:fldChar w:fldCharType="end"/>
      </w:r>
      <w:r>
        <w:rPr>
          <w:highlight w:val="none"/>
        </w:rPr>
        <w:fldChar w:fldCharType="end"/>
      </w:r>
    </w:p>
    <w:p w14:paraId="2CA2133C">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"_Toc153923963" </w:instrText>
      </w:r>
      <w:r>
        <w:rPr>
          <w:highlight w:val="none"/>
        </w:rPr>
        <w:fldChar w:fldCharType="separate"/>
      </w:r>
      <w:r>
        <w:rPr>
          <w:rStyle w:val="11"/>
          <w:highlight w:val="none"/>
        </w:rPr>
        <w:t>4.4 Показники до та після лікування в основній групі у пацієнтів в 1 підгрупі фіброзу</w:t>
      </w:r>
      <w:r>
        <w:rPr>
          <w:highlight w:val="none"/>
        </w:rPr>
        <w:tab/>
      </w:r>
      <w:r>
        <w:rPr>
          <w:highlight w:val="none"/>
        </w:rPr>
        <w:fldChar w:fldCharType="begin"/>
      </w:r>
      <w:r>
        <w:rPr>
          <w:highlight w:val="none"/>
        </w:rPr>
        <w:instrText xml:space="preserve"> PAGEREF _Toc153923963 \h </w:instrText>
      </w:r>
      <w:r>
        <w:rPr>
          <w:highlight w:val="none"/>
        </w:rPr>
        <w:fldChar w:fldCharType="separate"/>
      </w:r>
      <w:r>
        <w:rPr>
          <w:highlight w:val="none"/>
        </w:rPr>
        <w:t>106</w:t>
      </w:r>
      <w:r>
        <w:rPr>
          <w:highlight w:val="none"/>
        </w:rPr>
        <w:fldChar w:fldCharType="end"/>
      </w:r>
      <w:r>
        <w:rPr>
          <w:highlight w:val="none"/>
        </w:rPr>
        <w:fldChar w:fldCharType="end"/>
      </w:r>
    </w:p>
    <w:p w14:paraId="072B1AB3">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"_Toc153923964" </w:instrText>
      </w:r>
      <w:r>
        <w:rPr>
          <w:highlight w:val="none"/>
        </w:rPr>
        <w:fldChar w:fldCharType="separate"/>
      </w:r>
      <w:r>
        <w:rPr>
          <w:rStyle w:val="11"/>
          <w:highlight w:val="none"/>
        </w:rPr>
        <w:t>4.5 Показники до та після лікування в основній групі у пацієнтів в 2 підгрупі фіброзу</w:t>
      </w:r>
      <w:r>
        <w:rPr>
          <w:highlight w:val="none"/>
        </w:rPr>
        <w:tab/>
      </w:r>
      <w:r>
        <w:rPr>
          <w:highlight w:val="none"/>
        </w:rPr>
        <w:fldChar w:fldCharType="begin"/>
      </w:r>
      <w:r>
        <w:rPr>
          <w:highlight w:val="none"/>
        </w:rPr>
        <w:instrText xml:space="preserve"> PAGEREF _Toc153923964 \h </w:instrText>
      </w:r>
      <w:r>
        <w:rPr>
          <w:highlight w:val="none"/>
        </w:rPr>
        <w:fldChar w:fldCharType="separate"/>
      </w:r>
      <w:r>
        <w:rPr>
          <w:highlight w:val="none"/>
        </w:rPr>
        <w:t>109</w:t>
      </w:r>
      <w:r>
        <w:rPr>
          <w:highlight w:val="none"/>
        </w:rPr>
        <w:fldChar w:fldCharType="end"/>
      </w:r>
      <w:r>
        <w:rPr>
          <w:highlight w:val="none"/>
        </w:rPr>
        <w:fldChar w:fldCharType="end"/>
      </w:r>
    </w:p>
    <w:p w14:paraId="326DCF1C">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"_Toc153923965" </w:instrText>
      </w:r>
      <w:r>
        <w:rPr>
          <w:highlight w:val="none"/>
        </w:rPr>
        <w:fldChar w:fldCharType="separate"/>
      </w:r>
      <w:r>
        <w:rPr>
          <w:rStyle w:val="11"/>
          <w:rFonts w:cs="Times New Roman"/>
          <w:highlight w:val="none"/>
        </w:rPr>
        <w:t>Висновки за розділом 4</w:t>
      </w:r>
      <w:r>
        <w:rPr>
          <w:highlight w:val="none"/>
        </w:rPr>
        <w:tab/>
      </w:r>
      <w:r>
        <w:rPr>
          <w:highlight w:val="none"/>
        </w:rPr>
        <w:fldChar w:fldCharType="begin"/>
      </w:r>
      <w:r>
        <w:rPr>
          <w:highlight w:val="none"/>
        </w:rPr>
        <w:instrText xml:space="preserve"> PAGEREF _Toc153923965 \h </w:instrText>
      </w:r>
      <w:r>
        <w:rPr>
          <w:highlight w:val="none"/>
        </w:rPr>
        <w:fldChar w:fldCharType="separate"/>
      </w:r>
      <w:r>
        <w:rPr>
          <w:highlight w:val="none"/>
        </w:rPr>
        <w:t>112</w:t>
      </w:r>
      <w:r>
        <w:rPr>
          <w:highlight w:val="none"/>
        </w:rPr>
        <w:fldChar w:fldCharType="end"/>
      </w:r>
      <w:r>
        <w:rPr>
          <w:highlight w:val="none"/>
        </w:rPr>
        <w:fldChar w:fldCharType="end"/>
      </w:r>
    </w:p>
    <w:p w14:paraId="7D46413F">
      <w:pPr>
        <w:pStyle w:val="20"/>
        <w:rPr>
          <w:rFonts w:asciiTheme="minorHAnsi" w:hAnsiTheme="minorHAnsi" w:eastAsiaTheme="minorEastAsia" w:cstheme="minorBidi"/>
          <w:b w:val="0"/>
          <w:bCs w:val="0"/>
          <w:kern w:val="2"/>
          <w:sz w:val="22"/>
          <w:highlight w:val="none"/>
          <w:lang w:val="en-US" w:eastAsia="en-US"/>
        </w:rPr>
      </w:pPr>
      <w:r>
        <w:rPr>
          <w:highlight w:val="none"/>
        </w:rPr>
        <w:fldChar w:fldCharType="begin"/>
      </w:r>
      <w:r>
        <w:rPr>
          <w:highlight w:val="none"/>
        </w:rPr>
        <w:instrText xml:space="preserve"> HYPERLINK \l "_Toc153923966" </w:instrText>
      </w:r>
      <w:r>
        <w:rPr>
          <w:highlight w:val="none"/>
        </w:rPr>
        <w:fldChar w:fldCharType="separate"/>
      </w:r>
      <w:r>
        <w:rPr>
          <w:rStyle w:val="11"/>
          <w:b w:val="0"/>
          <w:bCs w:val="0"/>
          <w:spacing w:val="-6"/>
          <w:highlight w:val="none"/>
        </w:rPr>
        <w:t>РОЗДІЛ 5 ПРОГНОЗУВАННЯ ПЕРЕБІГУ ПРОЦЕСІВ ФІБРОЗУ У ПАЦІЄНТІВ З ХРОНІЧНИМ ГЕПАТИТОМ С</w:t>
      </w:r>
      <w:r>
        <w:rPr>
          <w:b w:val="0"/>
          <w:bCs w:val="0"/>
          <w:highlight w:val="none"/>
        </w:rPr>
        <w:tab/>
      </w:r>
      <w:r>
        <w:rPr>
          <w:b w:val="0"/>
          <w:bCs w:val="0"/>
          <w:highlight w:val="none"/>
        </w:rPr>
        <w:fldChar w:fldCharType="begin"/>
      </w:r>
      <w:r>
        <w:rPr>
          <w:b w:val="0"/>
          <w:bCs w:val="0"/>
          <w:highlight w:val="none"/>
        </w:rPr>
        <w:instrText xml:space="preserve"> PAGEREF _Toc153923966 \h </w:instrText>
      </w:r>
      <w:r>
        <w:rPr>
          <w:b w:val="0"/>
          <w:bCs w:val="0"/>
          <w:highlight w:val="none"/>
        </w:rPr>
        <w:fldChar w:fldCharType="separate"/>
      </w:r>
      <w:r>
        <w:rPr>
          <w:b w:val="0"/>
          <w:bCs w:val="0"/>
          <w:highlight w:val="none"/>
        </w:rPr>
        <w:t>114</w:t>
      </w:r>
      <w:r>
        <w:rPr>
          <w:b w:val="0"/>
          <w:bCs w:val="0"/>
          <w:highlight w:val="none"/>
        </w:rPr>
        <w:fldChar w:fldCharType="end"/>
      </w:r>
      <w:r>
        <w:rPr>
          <w:b w:val="0"/>
          <w:bCs w:val="0"/>
          <w:highlight w:val="none"/>
        </w:rPr>
        <w:fldChar w:fldCharType="end"/>
      </w:r>
    </w:p>
    <w:p w14:paraId="5C030DDE">
      <w:pPr>
        <w:pStyle w:val="21"/>
        <w:rPr>
          <w:rFonts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"_Toc153923967" </w:instrText>
      </w:r>
      <w:r>
        <w:rPr>
          <w:highlight w:val="none"/>
        </w:rPr>
        <w:fldChar w:fldCharType="separate"/>
      </w:r>
      <w:r>
        <w:rPr>
          <w:rStyle w:val="11"/>
          <w:rFonts w:cs="Times New Roman"/>
          <w:highlight w:val="none"/>
        </w:rPr>
        <w:t>Висновки за розділом 5</w:t>
      </w:r>
      <w:r>
        <w:rPr>
          <w:highlight w:val="none"/>
        </w:rPr>
        <w:tab/>
      </w:r>
      <w:r>
        <w:rPr>
          <w:highlight w:val="none"/>
        </w:rPr>
        <w:fldChar w:fldCharType="begin"/>
      </w:r>
      <w:r>
        <w:rPr>
          <w:highlight w:val="none"/>
        </w:rPr>
        <w:instrText xml:space="preserve"> PAGEREF _Toc153923967 \h </w:instrText>
      </w:r>
      <w:r>
        <w:rPr>
          <w:highlight w:val="none"/>
        </w:rPr>
        <w:fldChar w:fldCharType="separate"/>
      </w:r>
      <w:r>
        <w:rPr>
          <w:highlight w:val="none"/>
        </w:rPr>
        <w:t>121</w:t>
      </w:r>
      <w:r>
        <w:rPr>
          <w:highlight w:val="none"/>
        </w:rPr>
        <w:fldChar w:fldCharType="end"/>
      </w:r>
      <w:r>
        <w:rPr>
          <w:highlight w:val="none"/>
        </w:rPr>
        <w:fldChar w:fldCharType="end"/>
      </w:r>
    </w:p>
    <w:p w14:paraId="4F3415F3">
      <w:pPr>
        <w:pStyle w:val="20"/>
        <w:rPr>
          <w:rFonts w:hint="default" w:asciiTheme="minorHAnsi" w:hAnsiTheme="minorHAnsi" w:eastAsiaTheme="minorEastAsia" w:cstheme="minorBidi"/>
          <w:b w:val="0"/>
          <w:bCs w:val="0"/>
          <w:kern w:val="2"/>
          <w:sz w:val="22"/>
          <w:highlight w:val="none"/>
          <w:lang w:val="en-US" w:eastAsia="en-US"/>
        </w:rPr>
      </w:pPr>
      <w:r>
        <w:rPr>
          <w:highlight w:val="none"/>
        </w:rPr>
        <w:fldChar w:fldCharType="begin"/>
      </w:r>
      <w:r>
        <w:rPr>
          <w:highlight w:val="none"/>
        </w:rPr>
        <w:instrText xml:space="preserve"> HYPERLINK \l "_Toc153923968" </w:instrText>
      </w:r>
      <w:r>
        <w:rPr>
          <w:highlight w:val="none"/>
        </w:rPr>
        <w:fldChar w:fldCharType="separate"/>
      </w:r>
      <w:r>
        <w:rPr>
          <w:rStyle w:val="11"/>
          <w:b w:val="0"/>
          <w:bCs w:val="0"/>
          <w:highlight w:val="none"/>
        </w:rPr>
        <w:t>ВИСНОВКИ</w:t>
      </w:r>
      <w:r>
        <w:rPr>
          <w:b w:val="0"/>
          <w:bCs w:val="0"/>
          <w:highlight w:val="none"/>
        </w:rPr>
        <w:tab/>
      </w:r>
      <w:r>
        <w:rPr>
          <w:b w:val="0"/>
          <w:bCs w:val="0"/>
          <w:highlight w:val="none"/>
        </w:rPr>
        <w:fldChar w:fldCharType="begin"/>
      </w:r>
      <w:r>
        <w:rPr>
          <w:b w:val="0"/>
          <w:bCs w:val="0"/>
          <w:highlight w:val="none"/>
        </w:rPr>
        <w:instrText xml:space="preserve"> PAGEREF _Toc153923968 \h </w:instrText>
      </w:r>
      <w:r>
        <w:rPr>
          <w:b w:val="0"/>
          <w:bCs w:val="0"/>
          <w:highlight w:val="none"/>
        </w:rPr>
        <w:fldChar w:fldCharType="separate"/>
      </w:r>
      <w:r>
        <w:rPr>
          <w:b w:val="0"/>
          <w:bCs w:val="0"/>
          <w:highlight w:val="none"/>
        </w:rPr>
        <w:t>12</w:t>
      </w:r>
      <w:r>
        <w:rPr>
          <w:b w:val="0"/>
          <w:bCs w:val="0"/>
          <w:highlight w:val="none"/>
        </w:rPr>
        <w:fldChar w:fldCharType="end"/>
      </w:r>
      <w:r>
        <w:rPr>
          <w:b w:val="0"/>
          <w:bCs w:val="0"/>
          <w:highlight w:val="none"/>
        </w:rPr>
        <w:fldChar w:fldCharType="end"/>
      </w:r>
      <w:r>
        <w:rPr>
          <w:rFonts w:hint="default"/>
          <w:b w:val="0"/>
          <w:bCs w:val="0"/>
          <w:highlight w:val="none"/>
          <w:lang w:val="en-US"/>
        </w:rPr>
        <w:t>4</w:t>
      </w:r>
    </w:p>
    <w:p w14:paraId="21AABC08">
      <w:pPr>
        <w:pStyle w:val="20"/>
        <w:rPr>
          <w:rFonts w:hint="default" w:asciiTheme="minorHAnsi" w:hAnsiTheme="minorHAnsi" w:eastAsiaTheme="minorEastAsia" w:cstheme="minorBidi"/>
          <w:b w:val="0"/>
          <w:bCs w:val="0"/>
          <w:kern w:val="2"/>
          <w:sz w:val="22"/>
          <w:highlight w:val="none"/>
          <w:lang w:val="en-US" w:eastAsia="en-US"/>
        </w:rPr>
      </w:pPr>
      <w:r>
        <w:rPr>
          <w:highlight w:val="none"/>
        </w:rPr>
        <w:fldChar w:fldCharType="begin"/>
      </w:r>
      <w:r>
        <w:rPr>
          <w:highlight w:val="none"/>
        </w:rPr>
        <w:instrText xml:space="preserve"> HYPERLINK \l "_Toc153923969" </w:instrText>
      </w:r>
      <w:r>
        <w:rPr>
          <w:highlight w:val="none"/>
        </w:rPr>
        <w:fldChar w:fldCharType="separate"/>
      </w:r>
      <w:r>
        <w:rPr>
          <w:rStyle w:val="11"/>
          <w:b w:val="0"/>
          <w:bCs w:val="0"/>
          <w:highlight w:val="none"/>
        </w:rPr>
        <w:t>ПРАКТИЧНІ РЕКОМЕНДАЦІЇ</w:t>
      </w:r>
      <w:r>
        <w:rPr>
          <w:b w:val="0"/>
          <w:bCs w:val="0"/>
          <w:highlight w:val="none"/>
        </w:rPr>
        <w:tab/>
      </w:r>
      <w:r>
        <w:rPr>
          <w:b w:val="0"/>
          <w:bCs w:val="0"/>
          <w:highlight w:val="none"/>
        </w:rPr>
        <w:fldChar w:fldCharType="begin"/>
      </w:r>
      <w:r>
        <w:rPr>
          <w:b w:val="0"/>
          <w:bCs w:val="0"/>
          <w:highlight w:val="none"/>
        </w:rPr>
        <w:instrText xml:space="preserve"> PAGEREF _Toc153923969 \h </w:instrText>
      </w:r>
      <w:r>
        <w:rPr>
          <w:b w:val="0"/>
          <w:bCs w:val="0"/>
          <w:highlight w:val="none"/>
        </w:rPr>
        <w:fldChar w:fldCharType="separate"/>
      </w:r>
      <w:r>
        <w:rPr>
          <w:b w:val="0"/>
          <w:bCs w:val="0"/>
          <w:highlight w:val="none"/>
        </w:rPr>
        <w:t>12</w:t>
      </w:r>
      <w:r>
        <w:rPr>
          <w:b w:val="0"/>
          <w:bCs w:val="0"/>
          <w:highlight w:val="none"/>
        </w:rPr>
        <w:fldChar w:fldCharType="end"/>
      </w:r>
      <w:r>
        <w:rPr>
          <w:b w:val="0"/>
          <w:bCs w:val="0"/>
          <w:highlight w:val="none"/>
        </w:rPr>
        <w:fldChar w:fldCharType="end"/>
      </w:r>
      <w:r>
        <w:rPr>
          <w:rFonts w:hint="default"/>
          <w:b w:val="0"/>
          <w:bCs w:val="0"/>
          <w:highlight w:val="none"/>
          <w:lang w:val="en-US"/>
        </w:rPr>
        <w:t>6</w:t>
      </w:r>
    </w:p>
    <w:p w14:paraId="64E0E77E">
      <w:pPr>
        <w:pStyle w:val="20"/>
        <w:rPr>
          <w:rFonts w:hint="default" w:asciiTheme="minorHAnsi" w:hAnsiTheme="minorHAnsi" w:eastAsiaTheme="minorEastAsia" w:cstheme="minorBidi"/>
          <w:b w:val="0"/>
          <w:bCs w:val="0"/>
          <w:kern w:val="2"/>
          <w:sz w:val="22"/>
          <w:highlight w:val="none"/>
          <w:lang w:val="en-US" w:eastAsia="en-US"/>
        </w:rPr>
      </w:pPr>
      <w:r>
        <w:rPr>
          <w:highlight w:val="none"/>
        </w:rPr>
        <w:fldChar w:fldCharType="begin"/>
      </w:r>
      <w:r>
        <w:rPr>
          <w:highlight w:val="none"/>
        </w:rPr>
        <w:instrText xml:space="preserve"> HYPERLINK \l "_Toc153923970" </w:instrText>
      </w:r>
      <w:r>
        <w:rPr>
          <w:highlight w:val="none"/>
        </w:rPr>
        <w:fldChar w:fldCharType="separate"/>
      </w:r>
      <w:r>
        <w:rPr>
          <w:rStyle w:val="11"/>
          <w:b w:val="0"/>
          <w:bCs w:val="0"/>
          <w:highlight w:val="none"/>
        </w:rPr>
        <w:t>СПИСОК ВИКОРИСТАНИХ ДЖЕРЕЛ</w:t>
      </w:r>
      <w:r>
        <w:rPr>
          <w:b w:val="0"/>
          <w:bCs w:val="0"/>
          <w:highlight w:val="none"/>
        </w:rPr>
        <w:tab/>
      </w:r>
      <w:r>
        <w:rPr>
          <w:b w:val="0"/>
          <w:bCs w:val="0"/>
          <w:highlight w:val="none"/>
        </w:rPr>
        <w:fldChar w:fldCharType="begin"/>
      </w:r>
      <w:r>
        <w:rPr>
          <w:b w:val="0"/>
          <w:bCs w:val="0"/>
          <w:highlight w:val="none"/>
        </w:rPr>
        <w:instrText xml:space="preserve"> PAGEREF _Toc153923970 \h </w:instrText>
      </w:r>
      <w:r>
        <w:rPr>
          <w:b w:val="0"/>
          <w:bCs w:val="0"/>
          <w:highlight w:val="none"/>
        </w:rPr>
        <w:fldChar w:fldCharType="separate"/>
      </w:r>
      <w:r>
        <w:rPr>
          <w:b w:val="0"/>
          <w:bCs w:val="0"/>
          <w:highlight w:val="none"/>
        </w:rPr>
        <w:t>12</w:t>
      </w:r>
      <w:r>
        <w:rPr>
          <w:b w:val="0"/>
          <w:bCs w:val="0"/>
          <w:highlight w:val="none"/>
        </w:rPr>
        <w:fldChar w:fldCharType="end"/>
      </w:r>
      <w:r>
        <w:rPr>
          <w:b w:val="0"/>
          <w:bCs w:val="0"/>
          <w:highlight w:val="none"/>
        </w:rPr>
        <w:fldChar w:fldCharType="end"/>
      </w:r>
      <w:r>
        <w:rPr>
          <w:rFonts w:hint="default"/>
          <w:b w:val="0"/>
          <w:bCs w:val="0"/>
          <w:highlight w:val="none"/>
          <w:lang w:val="en-US"/>
        </w:rPr>
        <w:t>7</w:t>
      </w:r>
    </w:p>
    <w:p w14:paraId="50903996">
      <w:pPr>
        <w:pStyle w:val="20"/>
        <w:rPr>
          <w:rFonts w:hint="default" w:asciiTheme="minorHAnsi" w:hAnsiTheme="minorHAnsi" w:eastAsiaTheme="minorEastAsia" w:cstheme="minorBidi"/>
          <w:b w:val="0"/>
          <w:bCs w:val="0"/>
          <w:kern w:val="2"/>
          <w:sz w:val="22"/>
          <w:highlight w:val="none"/>
          <w:lang w:val="en-US" w:eastAsia="en-US"/>
        </w:rPr>
      </w:pPr>
      <w:r>
        <w:rPr>
          <w:highlight w:val="none"/>
        </w:rPr>
        <w:fldChar w:fldCharType="begin"/>
      </w:r>
      <w:r>
        <w:rPr>
          <w:highlight w:val="none"/>
        </w:rPr>
        <w:instrText xml:space="preserve"> HYPERLINK \l "_Toc153923971" </w:instrText>
      </w:r>
      <w:r>
        <w:rPr>
          <w:highlight w:val="none"/>
        </w:rPr>
        <w:fldChar w:fldCharType="separate"/>
      </w:r>
      <w:r>
        <w:rPr>
          <w:rStyle w:val="11"/>
          <w:b w:val="0"/>
          <w:bCs w:val="0"/>
          <w:highlight w:val="none"/>
        </w:rPr>
        <w:t>ДОДАТКИ</w:t>
      </w:r>
      <w:r>
        <w:rPr>
          <w:b w:val="0"/>
          <w:bCs w:val="0"/>
          <w:highlight w:val="none"/>
        </w:rPr>
        <w:tab/>
      </w:r>
      <w:r>
        <w:rPr>
          <w:b w:val="0"/>
          <w:bCs w:val="0"/>
          <w:highlight w:val="none"/>
        </w:rPr>
        <w:fldChar w:fldCharType="begin"/>
      </w:r>
      <w:r>
        <w:rPr>
          <w:b w:val="0"/>
          <w:bCs w:val="0"/>
          <w:highlight w:val="none"/>
        </w:rPr>
        <w:instrText xml:space="preserve"> PAGEREF _Toc153923971 \h </w:instrText>
      </w:r>
      <w:r>
        <w:rPr>
          <w:b w:val="0"/>
          <w:bCs w:val="0"/>
          <w:highlight w:val="none"/>
        </w:rPr>
        <w:fldChar w:fldCharType="separate"/>
      </w:r>
      <w:r>
        <w:rPr>
          <w:b w:val="0"/>
          <w:bCs w:val="0"/>
          <w:highlight w:val="none"/>
        </w:rPr>
        <w:t>16</w:t>
      </w:r>
      <w:r>
        <w:rPr>
          <w:b w:val="0"/>
          <w:bCs w:val="0"/>
          <w:highlight w:val="none"/>
        </w:rPr>
        <w:fldChar w:fldCharType="end"/>
      </w:r>
      <w:r>
        <w:rPr>
          <w:b w:val="0"/>
          <w:bCs w:val="0"/>
          <w:highlight w:val="none"/>
        </w:rPr>
        <w:fldChar w:fldCharType="end"/>
      </w:r>
      <w:r>
        <w:rPr>
          <w:rFonts w:hint="default"/>
          <w:b w:val="0"/>
          <w:bCs w:val="0"/>
          <w:highlight w:val="none"/>
          <w:lang w:val="en-US"/>
        </w:rPr>
        <w:t>7</w:t>
      </w:r>
      <w:bookmarkStart w:id="83" w:name="_GoBack"/>
      <w:bookmarkEnd w:id="83"/>
    </w:p>
    <w:p w14:paraId="41F10576">
      <w:pPr>
        <w:pStyle w:val="21"/>
        <w:rPr>
          <w:rFonts w:hint="default"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"_Toc153923972" </w:instrText>
      </w:r>
      <w:r>
        <w:rPr>
          <w:highlight w:val="none"/>
        </w:rPr>
        <w:fldChar w:fldCharType="separate"/>
      </w:r>
      <w:r>
        <w:rPr>
          <w:rStyle w:val="11"/>
          <w:highlight w:val="none"/>
          <w:lang w:eastAsia="ru-RU"/>
        </w:rPr>
        <w:t xml:space="preserve">Додаток А </w:t>
      </w:r>
      <w:r>
        <w:rPr>
          <w:rStyle w:val="11"/>
          <w:highlight w:val="none"/>
        </w:rPr>
        <w:t>Список опублікованих праць за темою дисертації</w:t>
      </w:r>
      <w:r>
        <w:rPr>
          <w:highlight w:val="none"/>
        </w:rPr>
        <w:tab/>
      </w:r>
      <w:r>
        <w:rPr>
          <w:highlight w:val="none"/>
        </w:rPr>
        <w:fldChar w:fldCharType="begin"/>
      </w:r>
      <w:r>
        <w:rPr>
          <w:highlight w:val="none"/>
        </w:rPr>
        <w:instrText xml:space="preserve"> PAGEREF _Toc153923972 \h </w:instrText>
      </w:r>
      <w:r>
        <w:rPr>
          <w:highlight w:val="none"/>
        </w:rPr>
        <w:fldChar w:fldCharType="separate"/>
      </w:r>
      <w:r>
        <w:rPr>
          <w:highlight w:val="none"/>
        </w:rPr>
        <w:t>16</w:t>
      </w:r>
      <w:r>
        <w:rPr>
          <w:highlight w:val="none"/>
        </w:rPr>
        <w:fldChar w:fldCharType="end"/>
      </w:r>
      <w:r>
        <w:rPr>
          <w:highlight w:val="none"/>
        </w:rPr>
        <w:fldChar w:fldCharType="end"/>
      </w:r>
      <w:r>
        <w:rPr>
          <w:rFonts w:hint="default"/>
          <w:highlight w:val="none"/>
          <w:lang w:val="en-US"/>
        </w:rPr>
        <w:t>8</w:t>
      </w:r>
    </w:p>
    <w:p w14:paraId="4D29FCC8">
      <w:pPr>
        <w:pStyle w:val="21"/>
        <w:rPr>
          <w:rFonts w:hint="default"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"_Toc153923973" </w:instrText>
      </w:r>
      <w:r>
        <w:rPr>
          <w:highlight w:val="none"/>
        </w:rPr>
        <w:fldChar w:fldCharType="separate"/>
      </w:r>
      <w:r>
        <w:rPr>
          <w:rStyle w:val="11"/>
          <w:highlight w:val="none"/>
          <w:lang w:eastAsia="ru-RU"/>
        </w:rPr>
        <w:t>Додаток Б</w:t>
      </w:r>
      <w:r>
        <w:rPr>
          <w:highlight w:val="none"/>
        </w:rPr>
        <w:tab/>
      </w:r>
      <w:r>
        <w:rPr>
          <w:highlight w:val="none"/>
        </w:rPr>
        <w:fldChar w:fldCharType="begin"/>
      </w:r>
      <w:r>
        <w:rPr>
          <w:highlight w:val="none"/>
        </w:rPr>
        <w:instrText xml:space="preserve"> PAGEREF _Toc153923973 \h </w:instrText>
      </w:r>
      <w:r>
        <w:rPr>
          <w:highlight w:val="none"/>
        </w:rPr>
        <w:fldChar w:fldCharType="separate"/>
      </w:r>
      <w:r>
        <w:rPr>
          <w:highlight w:val="none"/>
        </w:rPr>
        <w:t>1</w:t>
      </w:r>
      <w:r>
        <w:rPr>
          <w:highlight w:val="none"/>
        </w:rPr>
        <w:fldChar w:fldCharType="end"/>
      </w:r>
      <w:r>
        <w:rPr>
          <w:highlight w:val="none"/>
        </w:rPr>
        <w:fldChar w:fldCharType="end"/>
      </w:r>
      <w:r>
        <w:rPr>
          <w:rFonts w:hint="default"/>
          <w:highlight w:val="none"/>
          <w:lang w:val="en-US"/>
        </w:rPr>
        <w:t>70</w:t>
      </w:r>
    </w:p>
    <w:p w14:paraId="278FE124">
      <w:pPr>
        <w:pStyle w:val="21"/>
        <w:rPr>
          <w:rFonts w:hint="default"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"_Toc153923974" </w:instrText>
      </w:r>
      <w:r>
        <w:rPr>
          <w:highlight w:val="none"/>
        </w:rPr>
        <w:fldChar w:fldCharType="separate"/>
      </w:r>
      <w:r>
        <w:rPr>
          <w:rStyle w:val="11"/>
          <w:highlight w:val="none"/>
          <w:lang w:eastAsia="ru-RU"/>
        </w:rPr>
        <w:t>Додаток В</w:t>
      </w:r>
      <w:r>
        <w:rPr>
          <w:highlight w:val="none"/>
        </w:rPr>
        <w:tab/>
      </w:r>
      <w:r>
        <w:rPr>
          <w:highlight w:val="none"/>
        </w:rPr>
        <w:fldChar w:fldCharType="begin"/>
      </w:r>
      <w:r>
        <w:rPr>
          <w:highlight w:val="none"/>
        </w:rPr>
        <w:instrText xml:space="preserve"> PAGEREF _Toc153923974 \h </w:instrText>
      </w:r>
      <w:r>
        <w:rPr>
          <w:highlight w:val="none"/>
        </w:rPr>
        <w:fldChar w:fldCharType="separate"/>
      </w:r>
      <w:r>
        <w:rPr>
          <w:highlight w:val="none"/>
        </w:rPr>
        <w:t>17</w:t>
      </w:r>
      <w:r>
        <w:rPr>
          <w:highlight w:val="none"/>
        </w:rPr>
        <w:fldChar w:fldCharType="end"/>
      </w:r>
      <w:r>
        <w:rPr>
          <w:highlight w:val="none"/>
        </w:rPr>
        <w:fldChar w:fldCharType="end"/>
      </w:r>
      <w:r>
        <w:rPr>
          <w:rFonts w:hint="default"/>
          <w:highlight w:val="none"/>
          <w:lang w:val="en-US"/>
        </w:rPr>
        <w:t>1</w:t>
      </w:r>
    </w:p>
    <w:p w14:paraId="11620157">
      <w:pPr>
        <w:pStyle w:val="21"/>
        <w:rPr>
          <w:rFonts w:hint="default" w:asciiTheme="minorHAnsi" w:hAnsiTheme="minorHAnsi" w:eastAsiaTheme="minorEastAsia"/>
          <w:kern w:val="2"/>
          <w:sz w:val="22"/>
          <w:highlight w:val="none"/>
          <w:lang w:val="en-US"/>
        </w:rPr>
      </w:pPr>
      <w:r>
        <w:rPr>
          <w:highlight w:val="none"/>
        </w:rPr>
        <w:fldChar w:fldCharType="begin"/>
      </w:r>
      <w:r>
        <w:rPr>
          <w:highlight w:val="none"/>
        </w:rPr>
        <w:instrText xml:space="preserve"> HYPERLINK \l "_Toc153923975" </w:instrText>
      </w:r>
      <w:r>
        <w:rPr>
          <w:highlight w:val="none"/>
        </w:rPr>
        <w:fldChar w:fldCharType="separate"/>
      </w:r>
      <w:r>
        <w:rPr>
          <w:rStyle w:val="11"/>
          <w:highlight w:val="none"/>
          <w:lang w:eastAsia="ru-RU"/>
        </w:rPr>
        <w:t>Додаток Г</w:t>
      </w:r>
      <w:r>
        <w:rPr>
          <w:highlight w:val="none"/>
        </w:rPr>
        <w:tab/>
      </w:r>
      <w:r>
        <w:rPr>
          <w:highlight w:val="none"/>
        </w:rPr>
        <w:fldChar w:fldCharType="begin"/>
      </w:r>
      <w:r>
        <w:rPr>
          <w:highlight w:val="none"/>
        </w:rPr>
        <w:instrText xml:space="preserve"> PAGEREF _Toc153923975 \h </w:instrText>
      </w:r>
      <w:r>
        <w:rPr>
          <w:highlight w:val="none"/>
        </w:rPr>
        <w:fldChar w:fldCharType="separate"/>
      </w:r>
      <w:r>
        <w:rPr>
          <w:highlight w:val="none"/>
        </w:rPr>
        <w:t>17</w:t>
      </w:r>
      <w:r>
        <w:rPr>
          <w:highlight w:val="none"/>
        </w:rPr>
        <w:fldChar w:fldCharType="end"/>
      </w:r>
      <w:r>
        <w:rPr>
          <w:highlight w:val="none"/>
        </w:rPr>
        <w:fldChar w:fldCharType="end"/>
      </w:r>
      <w:r>
        <w:rPr>
          <w:rFonts w:hint="default"/>
          <w:highlight w:val="none"/>
          <w:lang w:val="en-US"/>
        </w:rPr>
        <w:t>2</w:t>
      </w:r>
    </w:p>
    <w:p w14:paraId="758E239A">
      <w:pPr>
        <w:pStyle w:val="20"/>
        <w:rPr>
          <w:rFonts w:eastAsiaTheme="majorEastAsia"/>
          <w:b w:val="0"/>
          <w:bCs w:val="0"/>
          <w:szCs w:val="28"/>
          <w:highlight w:val="none"/>
          <w:lang w:eastAsia="ru-RU"/>
        </w:rPr>
      </w:pPr>
      <w:r>
        <w:rPr>
          <w:b w:val="0"/>
          <w:bCs w:val="0"/>
          <w:szCs w:val="28"/>
          <w:highlight w:val="none"/>
        </w:rPr>
        <w:fldChar w:fldCharType="end"/>
      </w:r>
      <w:r>
        <w:rPr>
          <w:b w:val="0"/>
          <w:bCs w:val="0"/>
          <w:szCs w:val="28"/>
          <w:highlight w:val="none"/>
        </w:rPr>
        <w:br w:type="page"/>
      </w:r>
    </w:p>
    <w:p w14:paraId="7CDCE33E">
      <w:pPr>
        <w:pStyle w:val="2"/>
        <w:rPr>
          <w:rFonts w:cs="Times New Roman"/>
          <w:szCs w:val="28"/>
          <w:highlight w:val="none"/>
          <w:lang w:val="uk-UA"/>
        </w:rPr>
      </w:pPr>
      <w:bookmarkStart w:id="6" w:name="_Toc153923938"/>
      <w:r>
        <w:rPr>
          <w:rFonts w:cs="Times New Roman"/>
          <w:szCs w:val="28"/>
          <w:highlight w:val="none"/>
          <w:lang w:val="uk-UA"/>
        </w:rPr>
        <w:t>ПЕРЕЛІК СКОРОЧЕНЬ, УМОВНИХ ПОЗНАЧЕНЬ ТА ТЕРМІНІВ</w:t>
      </w:r>
      <w:bookmarkEnd w:id="6"/>
    </w:p>
    <w:tbl>
      <w:tblPr>
        <w:tblStyle w:val="8"/>
        <w:tblW w:w="0" w:type="auto"/>
        <w:tblInd w:w="0" w:type="dxa"/>
        <w:tblLayout w:type="autofit"/>
        <w:tblCellMar>
          <w:top w:w="0" w:type="dxa"/>
          <w:left w:w="108" w:type="dxa"/>
          <w:bottom w:w="0" w:type="dxa"/>
          <w:right w:w="108" w:type="dxa"/>
        </w:tblCellMar>
      </w:tblPr>
      <w:tblGrid>
        <w:gridCol w:w="1492"/>
        <w:gridCol w:w="566"/>
        <w:gridCol w:w="7286"/>
      </w:tblGrid>
      <w:tr w14:paraId="5B5D3A24">
        <w:tc>
          <w:tcPr>
            <w:tcW w:w="1492" w:type="dxa"/>
          </w:tcPr>
          <w:p w14:paraId="0256FD42">
            <w:pPr>
              <w:ind w:left="-57" w:right="-57" w:firstLine="0"/>
              <w:rPr>
                <w:rFonts w:cs="Times New Roman"/>
                <w:szCs w:val="28"/>
                <w:highlight w:val="none"/>
                <w:lang w:eastAsia="ru-RU"/>
              </w:rPr>
            </w:pPr>
            <w:r>
              <w:rPr>
                <w:szCs w:val="28"/>
                <w:highlight w:val="none"/>
              </w:rPr>
              <w:t>АЛТ</w:t>
            </w:r>
          </w:p>
        </w:tc>
        <w:tc>
          <w:tcPr>
            <w:tcW w:w="566" w:type="dxa"/>
            <w:vAlign w:val="center"/>
          </w:tcPr>
          <w:p w14:paraId="3D8A26AD">
            <w:pPr>
              <w:ind w:left="-57" w:right="-57" w:firstLine="0"/>
              <w:jc w:val="center"/>
              <w:rPr>
                <w:rFonts w:cs="Times New Roman"/>
                <w:szCs w:val="28"/>
                <w:highlight w:val="none"/>
                <w:lang w:eastAsia="ru-RU"/>
              </w:rPr>
            </w:pPr>
            <w:r>
              <w:rPr>
                <w:rFonts w:cs="Times New Roman"/>
                <w:szCs w:val="28"/>
                <w:highlight w:val="none"/>
                <w:lang w:eastAsia="ru-RU"/>
              </w:rPr>
              <w:t>–</w:t>
            </w:r>
          </w:p>
        </w:tc>
        <w:tc>
          <w:tcPr>
            <w:tcW w:w="7286" w:type="dxa"/>
          </w:tcPr>
          <w:p w14:paraId="4EB31D65">
            <w:pPr>
              <w:ind w:left="-57" w:right="-57" w:firstLine="0"/>
              <w:rPr>
                <w:rFonts w:cs="Times New Roman"/>
                <w:szCs w:val="28"/>
                <w:highlight w:val="none"/>
                <w:lang w:eastAsia="ru-RU"/>
              </w:rPr>
            </w:pPr>
            <w:r>
              <w:rPr>
                <w:rFonts w:cs="Times New Roman"/>
                <w:highlight w:val="none"/>
                <w:lang w:eastAsia="ru-RU"/>
              </w:rPr>
              <w:t>аланінамінотрансфераза</w:t>
            </w:r>
          </w:p>
        </w:tc>
      </w:tr>
      <w:tr w14:paraId="3AF4559F">
        <w:tblPrEx>
          <w:tblCellMar>
            <w:top w:w="0" w:type="dxa"/>
            <w:left w:w="108" w:type="dxa"/>
            <w:bottom w:w="0" w:type="dxa"/>
            <w:right w:w="108" w:type="dxa"/>
          </w:tblCellMar>
        </w:tblPrEx>
        <w:tc>
          <w:tcPr>
            <w:tcW w:w="1492" w:type="dxa"/>
          </w:tcPr>
          <w:p w14:paraId="4BC0E8D4">
            <w:pPr>
              <w:ind w:left="-57" w:right="-57" w:firstLine="0"/>
              <w:rPr>
                <w:szCs w:val="28"/>
                <w:highlight w:val="none"/>
              </w:rPr>
            </w:pPr>
            <w:r>
              <w:rPr>
                <w:szCs w:val="28"/>
                <w:highlight w:val="none"/>
              </w:rPr>
              <w:t>АСТ</w:t>
            </w:r>
          </w:p>
        </w:tc>
        <w:tc>
          <w:tcPr>
            <w:tcW w:w="566" w:type="dxa"/>
            <w:vAlign w:val="center"/>
          </w:tcPr>
          <w:p w14:paraId="2347145B">
            <w:pPr>
              <w:ind w:left="-57" w:right="-57" w:firstLine="0"/>
              <w:jc w:val="center"/>
              <w:rPr>
                <w:rFonts w:cs="Times New Roman"/>
                <w:szCs w:val="28"/>
                <w:highlight w:val="none"/>
                <w:lang w:eastAsia="ru-RU"/>
              </w:rPr>
            </w:pPr>
            <w:r>
              <w:rPr>
                <w:rFonts w:cs="Times New Roman"/>
                <w:szCs w:val="28"/>
                <w:highlight w:val="none"/>
                <w:lang w:eastAsia="ru-RU"/>
              </w:rPr>
              <w:t>–</w:t>
            </w:r>
          </w:p>
        </w:tc>
        <w:tc>
          <w:tcPr>
            <w:tcW w:w="7286" w:type="dxa"/>
          </w:tcPr>
          <w:p w14:paraId="1F386423">
            <w:pPr>
              <w:ind w:left="-57" w:right="-57" w:firstLine="0"/>
              <w:rPr>
                <w:rFonts w:cs="Times New Roman"/>
                <w:highlight w:val="none"/>
                <w:lang w:eastAsia="ru-RU"/>
              </w:rPr>
            </w:pPr>
            <w:r>
              <w:rPr>
                <w:rFonts w:cs="Times New Roman"/>
                <w:highlight w:val="none"/>
              </w:rPr>
              <w:t>аспартатамінотрансфераза</w:t>
            </w:r>
          </w:p>
        </w:tc>
      </w:tr>
      <w:tr w14:paraId="331D6D11">
        <w:tblPrEx>
          <w:tblCellMar>
            <w:top w:w="0" w:type="dxa"/>
            <w:left w:w="108" w:type="dxa"/>
            <w:bottom w:w="0" w:type="dxa"/>
            <w:right w:w="108" w:type="dxa"/>
          </w:tblCellMar>
        </w:tblPrEx>
        <w:tc>
          <w:tcPr>
            <w:tcW w:w="1492" w:type="dxa"/>
          </w:tcPr>
          <w:p w14:paraId="5A093C10">
            <w:pPr>
              <w:ind w:left="-57" w:right="-57" w:firstLine="0"/>
              <w:rPr>
                <w:rFonts w:cs="Times New Roman"/>
                <w:szCs w:val="28"/>
                <w:highlight w:val="none"/>
              </w:rPr>
            </w:pPr>
            <w:r>
              <w:rPr>
                <w:rFonts w:cs="Times New Roman"/>
                <w:szCs w:val="28"/>
                <w:highlight w:val="none"/>
              </w:rPr>
              <w:t>АФК</w:t>
            </w:r>
          </w:p>
        </w:tc>
        <w:tc>
          <w:tcPr>
            <w:tcW w:w="566" w:type="dxa"/>
          </w:tcPr>
          <w:p w14:paraId="74AD5607">
            <w:pPr>
              <w:ind w:left="-57" w:right="-57" w:firstLine="0"/>
              <w:jc w:val="center"/>
              <w:rPr>
                <w:rFonts w:cs="Times New Roman"/>
                <w:szCs w:val="28"/>
                <w:highlight w:val="none"/>
              </w:rPr>
            </w:pPr>
            <w:r>
              <w:rPr>
                <w:rFonts w:cs="Times New Roman"/>
                <w:szCs w:val="28"/>
                <w:highlight w:val="none"/>
              </w:rPr>
              <w:t>–</w:t>
            </w:r>
          </w:p>
        </w:tc>
        <w:tc>
          <w:tcPr>
            <w:tcW w:w="7286" w:type="dxa"/>
          </w:tcPr>
          <w:p w14:paraId="4ADF00DF">
            <w:pPr>
              <w:ind w:left="-57" w:right="-57" w:firstLine="0"/>
              <w:rPr>
                <w:rFonts w:cs="Times New Roman"/>
                <w:szCs w:val="28"/>
                <w:highlight w:val="none"/>
              </w:rPr>
            </w:pPr>
            <w:r>
              <w:rPr>
                <w:rFonts w:cs="Times New Roman"/>
                <w:szCs w:val="28"/>
                <w:highlight w:val="none"/>
              </w:rPr>
              <w:t>активні форми кисню</w:t>
            </w:r>
          </w:p>
        </w:tc>
      </w:tr>
      <w:tr w14:paraId="60D3FC7E">
        <w:tblPrEx>
          <w:tblCellMar>
            <w:top w:w="0" w:type="dxa"/>
            <w:left w:w="108" w:type="dxa"/>
            <w:bottom w:w="0" w:type="dxa"/>
            <w:right w:w="108" w:type="dxa"/>
          </w:tblCellMar>
        </w:tblPrEx>
        <w:tc>
          <w:tcPr>
            <w:tcW w:w="1492" w:type="dxa"/>
          </w:tcPr>
          <w:p w14:paraId="512548ED">
            <w:pPr>
              <w:ind w:left="-57" w:right="-57" w:firstLine="0"/>
              <w:rPr>
                <w:szCs w:val="28"/>
                <w:highlight w:val="none"/>
              </w:rPr>
            </w:pPr>
            <w:r>
              <w:rPr>
                <w:szCs w:val="28"/>
                <w:highlight w:val="none"/>
              </w:rPr>
              <w:t>ВГС</w:t>
            </w:r>
          </w:p>
        </w:tc>
        <w:tc>
          <w:tcPr>
            <w:tcW w:w="566" w:type="dxa"/>
            <w:vAlign w:val="center"/>
          </w:tcPr>
          <w:p w14:paraId="13066419">
            <w:pPr>
              <w:ind w:left="-57" w:right="-57" w:firstLine="0"/>
              <w:jc w:val="center"/>
              <w:rPr>
                <w:rFonts w:cs="Times New Roman"/>
                <w:szCs w:val="28"/>
                <w:highlight w:val="none"/>
                <w:lang w:eastAsia="ru-RU"/>
              </w:rPr>
            </w:pPr>
            <w:r>
              <w:rPr>
                <w:szCs w:val="28"/>
                <w:highlight w:val="none"/>
                <w:lang w:eastAsia="ru-RU"/>
              </w:rPr>
              <w:t>–</w:t>
            </w:r>
          </w:p>
        </w:tc>
        <w:tc>
          <w:tcPr>
            <w:tcW w:w="7286" w:type="dxa"/>
          </w:tcPr>
          <w:p w14:paraId="4B65F81F">
            <w:pPr>
              <w:ind w:left="-57" w:right="-57" w:firstLine="0"/>
              <w:rPr>
                <w:rFonts w:cs="Times New Roman"/>
                <w:highlight w:val="none"/>
              </w:rPr>
            </w:pPr>
            <w:r>
              <w:rPr>
                <w:szCs w:val="28"/>
                <w:highlight w:val="none"/>
              </w:rPr>
              <w:t>вірусний гепатит С</w:t>
            </w:r>
          </w:p>
        </w:tc>
      </w:tr>
      <w:tr w14:paraId="133C206C">
        <w:tblPrEx>
          <w:tblCellMar>
            <w:top w:w="0" w:type="dxa"/>
            <w:left w:w="108" w:type="dxa"/>
            <w:bottom w:w="0" w:type="dxa"/>
            <w:right w:w="108" w:type="dxa"/>
          </w:tblCellMar>
        </w:tblPrEx>
        <w:tc>
          <w:tcPr>
            <w:tcW w:w="1492" w:type="dxa"/>
          </w:tcPr>
          <w:p w14:paraId="4217C336">
            <w:pPr>
              <w:ind w:left="-57" w:right="-57" w:firstLine="0"/>
              <w:rPr>
                <w:szCs w:val="28"/>
                <w:highlight w:val="none"/>
              </w:rPr>
            </w:pPr>
            <w:r>
              <w:rPr>
                <w:highlight w:val="none"/>
              </w:rPr>
              <w:t>ВІЛ</w:t>
            </w:r>
          </w:p>
        </w:tc>
        <w:tc>
          <w:tcPr>
            <w:tcW w:w="566" w:type="dxa"/>
            <w:vAlign w:val="center"/>
          </w:tcPr>
          <w:p w14:paraId="54E9B50F">
            <w:pPr>
              <w:ind w:left="-57" w:right="-57" w:firstLine="0"/>
              <w:jc w:val="center"/>
              <w:rPr>
                <w:szCs w:val="28"/>
                <w:highlight w:val="none"/>
                <w:lang w:eastAsia="ru-RU"/>
              </w:rPr>
            </w:pPr>
            <w:r>
              <w:rPr>
                <w:rFonts w:cs="Times New Roman"/>
                <w:szCs w:val="28"/>
                <w:highlight w:val="none"/>
                <w:lang w:eastAsia="ru-RU"/>
              </w:rPr>
              <w:t>–</w:t>
            </w:r>
          </w:p>
        </w:tc>
        <w:tc>
          <w:tcPr>
            <w:tcW w:w="7286" w:type="dxa"/>
          </w:tcPr>
          <w:p w14:paraId="5654083A">
            <w:pPr>
              <w:ind w:left="-57" w:right="-57" w:firstLine="0"/>
              <w:rPr>
                <w:szCs w:val="28"/>
                <w:highlight w:val="none"/>
              </w:rPr>
            </w:pPr>
            <w:r>
              <w:rPr>
                <w:szCs w:val="28"/>
                <w:highlight w:val="none"/>
              </w:rPr>
              <w:t>вірус імунодефіциту людини</w:t>
            </w:r>
          </w:p>
        </w:tc>
      </w:tr>
      <w:tr w14:paraId="2EF50967">
        <w:tblPrEx>
          <w:tblCellMar>
            <w:top w:w="0" w:type="dxa"/>
            <w:left w:w="108" w:type="dxa"/>
            <w:bottom w:w="0" w:type="dxa"/>
            <w:right w:w="108" w:type="dxa"/>
          </w:tblCellMar>
        </w:tblPrEx>
        <w:tc>
          <w:tcPr>
            <w:tcW w:w="1492" w:type="dxa"/>
          </w:tcPr>
          <w:p w14:paraId="73A05D8A">
            <w:pPr>
              <w:ind w:left="-57" w:right="-57" w:firstLine="0"/>
              <w:rPr>
                <w:rFonts w:cs="Times New Roman"/>
                <w:szCs w:val="28"/>
                <w:highlight w:val="none"/>
                <w:lang w:eastAsia="ru-RU"/>
              </w:rPr>
            </w:pPr>
            <w:r>
              <w:rPr>
                <w:rFonts w:cs="Times New Roman"/>
                <w:szCs w:val="28"/>
                <w:highlight w:val="none"/>
                <w:lang w:eastAsia="ru-RU"/>
              </w:rPr>
              <w:t>ВН</w:t>
            </w:r>
          </w:p>
        </w:tc>
        <w:tc>
          <w:tcPr>
            <w:tcW w:w="566" w:type="dxa"/>
            <w:vAlign w:val="center"/>
          </w:tcPr>
          <w:p w14:paraId="7C833E29">
            <w:pPr>
              <w:ind w:left="-57" w:right="-57" w:firstLine="0"/>
              <w:jc w:val="center"/>
              <w:rPr>
                <w:rFonts w:cs="Times New Roman"/>
                <w:szCs w:val="28"/>
                <w:highlight w:val="none"/>
                <w:lang w:eastAsia="ru-RU"/>
              </w:rPr>
            </w:pPr>
            <w:r>
              <w:rPr>
                <w:szCs w:val="28"/>
                <w:highlight w:val="none"/>
                <w:lang w:eastAsia="ru-RU"/>
              </w:rPr>
              <w:t>–</w:t>
            </w:r>
          </w:p>
        </w:tc>
        <w:tc>
          <w:tcPr>
            <w:tcW w:w="7286" w:type="dxa"/>
          </w:tcPr>
          <w:p w14:paraId="640512D2">
            <w:pPr>
              <w:ind w:left="-57" w:right="-57" w:firstLine="0"/>
              <w:rPr>
                <w:rFonts w:cs="Times New Roman"/>
                <w:szCs w:val="28"/>
                <w:highlight w:val="none"/>
                <w:lang w:eastAsia="ru-RU"/>
              </w:rPr>
            </w:pPr>
            <w:r>
              <w:rPr>
                <w:rFonts w:cs="Times New Roman"/>
                <w:szCs w:val="28"/>
                <w:highlight w:val="none"/>
                <w:lang w:eastAsia="ru-RU"/>
              </w:rPr>
              <w:t>вірусне навантаження</w:t>
            </w:r>
          </w:p>
        </w:tc>
      </w:tr>
      <w:tr w14:paraId="3BED47A5">
        <w:tblPrEx>
          <w:tblCellMar>
            <w:top w:w="0" w:type="dxa"/>
            <w:left w:w="108" w:type="dxa"/>
            <w:bottom w:w="0" w:type="dxa"/>
            <w:right w:w="108" w:type="dxa"/>
          </w:tblCellMar>
        </w:tblPrEx>
        <w:tc>
          <w:tcPr>
            <w:tcW w:w="1492" w:type="dxa"/>
          </w:tcPr>
          <w:p w14:paraId="696076B6">
            <w:pPr>
              <w:ind w:left="-57" w:right="-57" w:firstLine="0"/>
              <w:rPr>
                <w:highlight w:val="none"/>
              </w:rPr>
            </w:pPr>
            <w:r>
              <w:rPr>
                <w:szCs w:val="28"/>
                <w:highlight w:val="none"/>
              </w:rPr>
              <w:t>ВООЗ</w:t>
            </w:r>
          </w:p>
        </w:tc>
        <w:tc>
          <w:tcPr>
            <w:tcW w:w="566" w:type="dxa"/>
            <w:vAlign w:val="center"/>
          </w:tcPr>
          <w:p w14:paraId="6FA1C8F6">
            <w:pPr>
              <w:ind w:left="-57" w:right="-57" w:firstLine="0"/>
              <w:jc w:val="center"/>
              <w:rPr>
                <w:rFonts w:cs="Times New Roman"/>
                <w:szCs w:val="28"/>
                <w:highlight w:val="none"/>
                <w:lang w:eastAsia="ru-RU"/>
              </w:rPr>
            </w:pPr>
            <w:r>
              <w:rPr>
                <w:szCs w:val="28"/>
                <w:highlight w:val="none"/>
                <w:lang w:eastAsia="ru-RU"/>
              </w:rPr>
              <w:t>–</w:t>
            </w:r>
          </w:p>
        </w:tc>
        <w:tc>
          <w:tcPr>
            <w:tcW w:w="7286" w:type="dxa"/>
          </w:tcPr>
          <w:p w14:paraId="0A30B814">
            <w:pPr>
              <w:ind w:left="-57" w:right="-57" w:firstLine="0"/>
              <w:rPr>
                <w:szCs w:val="28"/>
                <w:highlight w:val="none"/>
              </w:rPr>
            </w:pPr>
            <w:r>
              <w:rPr>
                <w:szCs w:val="28"/>
                <w:highlight w:val="none"/>
              </w:rPr>
              <w:t>Всесвітня організація охорони здоров’я</w:t>
            </w:r>
          </w:p>
        </w:tc>
      </w:tr>
      <w:tr w14:paraId="18786366">
        <w:tblPrEx>
          <w:tblCellMar>
            <w:top w:w="0" w:type="dxa"/>
            <w:left w:w="108" w:type="dxa"/>
            <w:bottom w:w="0" w:type="dxa"/>
            <w:right w:w="108" w:type="dxa"/>
          </w:tblCellMar>
        </w:tblPrEx>
        <w:tc>
          <w:tcPr>
            <w:tcW w:w="1492" w:type="dxa"/>
          </w:tcPr>
          <w:p w14:paraId="0875545C">
            <w:pPr>
              <w:ind w:left="-57" w:right="-57" w:firstLine="0"/>
              <w:rPr>
                <w:szCs w:val="28"/>
                <w:highlight w:val="none"/>
              </w:rPr>
            </w:pPr>
            <w:r>
              <w:rPr>
                <w:szCs w:val="28"/>
                <w:highlight w:val="none"/>
              </w:rPr>
              <w:t>ВШ</w:t>
            </w:r>
          </w:p>
        </w:tc>
        <w:tc>
          <w:tcPr>
            <w:tcW w:w="566" w:type="dxa"/>
            <w:vAlign w:val="center"/>
          </w:tcPr>
          <w:p w14:paraId="22E87562">
            <w:pPr>
              <w:ind w:left="-57" w:right="-57" w:firstLine="0"/>
              <w:jc w:val="center"/>
              <w:rPr>
                <w:szCs w:val="28"/>
                <w:highlight w:val="none"/>
                <w:lang w:eastAsia="ru-RU"/>
              </w:rPr>
            </w:pPr>
            <w:r>
              <w:rPr>
                <w:szCs w:val="28"/>
                <w:highlight w:val="none"/>
                <w:lang w:eastAsia="ru-RU"/>
              </w:rPr>
              <w:t>–</w:t>
            </w:r>
          </w:p>
        </w:tc>
        <w:tc>
          <w:tcPr>
            <w:tcW w:w="7286" w:type="dxa"/>
          </w:tcPr>
          <w:p w14:paraId="15E4DA3F">
            <w:pPr>
              <w:ind w:left="-57" w:right="-57" w:firstLine="0"/>
              <w:rPr>
                <w:szCs w:val="28"/>
                <w:highlight w:val="none"/>
              </w:rPr>
            </w:pPr>
            <w:r>
              <w:rPr>
                <w:szCs w:val="28"/>
                <w:highlight w:val="none"/>
              </w:rPr>
              <w:t>відношення шансів</w:t>
            </w:r>
          </w:p>
        </w:tc>
      </w:tr>
      <w:tr w14:paraId="01091A4E">
        <w:tblPrEx>
          <w:tblCellMar>
            <w:top w:w="0" w:type="dxa"/>
            <w:left w:w="108" w:type="dxa"/>
            <w:bottom w:w="0" w:type="dxa"/>
            <w:right w:w="108" w:type="dxa"/>
          </w:tblCellMar>
        </w:tblPrEx>
        <w:tc>
          <w:tcPr>
            <w:tcW w:w="1492" w:type="dxa"/>
          </w:tcPr>
          <w:p w14:paraId="5B35322E">
            <w:pPr>
              <w:ind w:left="-57" w:right="-57" w:firstLine="0"/>
              <w:rPr>
                <w:szCs w:val="28"/>
                <w:highlight w:val="none"/>
              </w:rPr>
            </w:pPr>
            <w:r>
              <w:rPr>
                <w:szCs w:val="28"/>
                <w:highlight w:val="none"/>
              </w:rPr>
              <w:t>ГГТ</w:t>
            </w:r>
          </w:p>
        </w:tc>
        <w:tc>
          <w:tcPr>
            <w:tcW w:w="566" w:type="dxa"/>
            <w:vAlign w:val="center"/>
          </w:tcPr>
          <w:p w14:paraId="5A6E7A93">
            <w:pPr>
              <w:ind w:left="-57" w:right="-57" w:firstLine="0"/>
              <w:jc w:val="center"/>
              <w:rPr>
                <w:szCs w:val="28"/>
                <w:highlight w:val="none"/>
                <w:lang w:eastAsia="ru-RU"/>
              </w:rPr>
            </w:pPr>
            <w:r>
              <w:rPr>
                <w:rFonts w:cs="Times New Roman"/>
                <w:szCs w:val="28"/>
                <w:highlight w:val="none"/>
                <w:lang w:eastAsia="ru-RU"/>
              </w:rPr>
              <w:t>–</w:t>
            </w:r>
          </w:p>
        </w:tc>
        <w:tc>
          <w:tcPr>
            <w:tcW w:w="7286" w:type="dxa"/>
          </w:tcPr>
          <w:p w14:paraId="14DAA028">
            <w:pPr>
              <w:ind w:left="-57" w:right="-57" w:firstLine="0"/>
              <w:rPr>
                <w:szCs w:val="28"/>
                <w:highlight w:val="none"/>
              </w:rPr>
            </w:pPr>
            <w:r>
              <w:rPr>
                <w:rFonts w:cs="Times New Roman"/>
                <w:highlight w:val="none"/>
                <w:shd w:val="clear" w:color="auto" w:fill="FFFFFF"/>
              </w:rPr>
              <w:t>гамма-глутамінтрансфераза</w:t>
            </w:r>
          </w:p>
        </w:tc>
      </w:tr>
      <w:tr w14:paraId="1CD9036B">
        <w:tblPrEx>
          <w:tblCellMar>
            <w:top w:w="0" w:type="dxa"/>
            <w:left w:w="108" w:type="dxa"/>
            <w:bottom w:w="0" w:type="dxa"/>
            <w:right w:w="108" w:type="dxa"/>
          </w:tblCellMar>
        </w:tblPrEx>
        <w:tc>
          <w:tcPr>
            <w:tcW w:w="1492" w:type="dxa"/>
          </w:tcPr>
          <w:p w14:paraId="66477423">
            <w:pPr>
              <w:ind w:left="-57" w:right="-57" w:firstLine="0"/>
              <w:rPr>
                <w:rFonts w:cs="Times New Roman"/>
                <w:szCs w:val="28"/>
                <w:highlight w:val="none"/>
              </w:rPr>
            </w:pPr>
            <w:r>
              <w:rPr>
                <w:rFonts w:cs="Times New Roman"/>
                <w:szCs w:val="28"/>
                <w:highlight w:val="none"/>
                <w:lang w:eastAsia="ru-RU"/>
              </w:rPr>
              <w:t>ГЦК</w:t>
            </w:r>
          </w:p>
        </w:tc>
        <w:tc>
          <w:tcPr>
            <w:tcW w:w="566" w:type="dxa"/>
          </w:tcPr>
          <w:p w14:paraId="1F4B1EF4">
            <w:pPr>
              <w:ind w:left="-57" w:right="-57" w:firstLine="0"/>
              <w:jc w:val="center"/>
              <w:rPr>
                <w:rFonts w:cs="Times New Roman"/>
                <w:szCs w:val="28"/>
                <w:highlight w:val="none"/>
              </w:rPr>
            </w:pPr>
            <w:r>
              <w:rPr>
                <w:rFonts w:cs="Times New Roman"/>
                <w:szCs w:val="28"/>
                <w:highlight w:val="none"/>
              </w:rPr>
              <w:t>–</w:t>
            </w:r>
          </w:p>
        </w:tc>
        <w:tc>
          <w:tcPr>
            <w:tcW w:w="7286" w:type="dxa"/>
          </w:tcPr>
          <w:p w14:paraId="264B011E">
            <w:pPr>
              <w:ind w:left="-57" w:right="-57" w:firstLine="0"/>
              <w:rPr>
                <w:rFonts w:cs="Times New Roman"/>
                <w:szCs w:val="28"/>
                <w:highlight w:val="none"/>
              </w:rPr>
            </w:pPr>
            <w:r>
              <w:rPr>
                <w:rFonts w:cs="Times New Roman"/>
                <w:szCs w:val="28"/>
                <w:highlight w:val="none"/>
                <w:lang w:eastAsia="ru-RU"/>
              </w:rPr>
              <w:t>гепатоцелюлярна карцинома</w:t>
            </w:r>
          </w:p>
        </w:tc>
      </w:tr>
      <w:tr w14:paraId="25705CCD">
        <w:tblPrEx>
          <w:tblCellMar>
            <w:top w:w="0" w:type="dxa"/>
            <w:left w:w="108" w:type="dxa"/>
            <w:bottom w:w="0" w:type="dxa"/>
            <w:right w:w="108" w:type="dxa"/>
          </w:tblCellMar>
        </w:tblPrEx>
        <w:tc>
          <w:tcPr>
            <w:tcW w:w="1492" w:type="dxa"/>
          </w:tcPr>
          <w:p w14:paraId="6E5E2349">
            <w:pPr>
              <w:ind w:left="-57" w:right="-57" w:firstLine="0"/>
              <w:rPr>
                <w:rFonts w:cs="Times New Roman"/>
                <w:szCs w:val="28"/>
                <w:highlight w:val="none"/>
                <w:lang w:eastAsia="ru-RU"/>
              </w:rPr>
            </w:pPr>
            <w:r>
              <w:rPr>
                <w:rFonts w:cs="Times New Roman"/>
                <w:szCs w:val="28"/>
                <w:highlight w:val="none"/>
                <w:lang w:eastAsia="ru-RU"/>
              </w:rPr>
              <w:t>ДВ</w:t>
            </w:r>
          </w:p>
        </w:tc>
        <w:tc>
          <w:tcPr>
            <w:tcW w:w="566" w:type="dxa"/>
            <w:vAlign w:val="center"/>
          </w:tcPr>
          <w:p w14:paraId="711C4F4A">
            <w:pPr>
              <w:ind w:left="-57" w:right="-57" w:firstLine="0"/>
              <w:jc w:val="center"/>
              <w:rPr>
                <w:rFonts w:cs="Times New Roman"/>
                <w:szCs w:val="28"/>
                <w:highlight w:val="none"/>
                <w:lang w:eastAsia="ru-RU"/>
              </w:rPr>
            </w:pPr>
            <w:r>
              <w:rPr>
                <w:szCs w:val="28"/>
                <w:highlight w:val="none"/>
                <w:lang w:eastAsia="ru-RU"/>
              </w:rPr>
              <w:t>–</w:t>
            </w:r>
          </w:p>
        </w:tc>
        <w:tc>
          <w:tcPr>
            <w:tcW w:w="7286" w:type="dxa"/>
          </w:tcPr>
          <w:p w14:paraId="1670E2DE">
            <w:pPr>
              <w:ind w:left="-57" w:right="-57" w:firstLine="0"/>
              <w:rPr>
                <w:rFonts w:cs="Times New Roman"/>
                <w:szCs w:val="28"/>
                <w:highlight w:val="none"/>
                <w:lang w:eastAsia="ru-RU"/>
              </w:rPr>
            </w:pPr>
            <w:r>
              <w:rPr>
                <w:rFonts w:cs="Times New Roman"/>
                <w:szCs w:val="28"/>
                <w:highlight w:val="none"/>
                <w:lang w:eastAsia="ru-RU"/>
              </w:rPr>
              <w:t>дефіцит вітамінів</w:t>
            </w:r>
          </w:p>
        </w:tc>
      </w:tr>
      <w:tr w14:paraId="197449CF">
        <w:tblPrEx>
          <w:tblCellMar>
            <w:top w:w="0" w:type="dxa"/>
            <w:left w:w="108" w:type="dxa"/>
            <w:bottom w:w="0" w:type="dxa"/>
            <w:right w:w="108" w:type="dxa"/>
          </w:tblCellMar>
        </w:tblPrEx>
        <w:tc>
          <w:tcPr>
            <w:tcW w:w="1492" w:type="dxa"/>
          </w:tcPr>
          <w:p w14:paraId="5E022B08">
            <w:pPr>
              <w:ind w:left="-57" w:right="-57" w:firstLine="0"/>
              <w:rPr>
                <w:szCs w:val="28"/>
                <w:highlight w:val="none"/>
              </w:rPr>
            </w:pPr>
            <w:r>
              <w:rPr>
                <w:szCs w:val="28"/>
                <w:highlight w:val="none"/>
              </w:rPr>
              <w:t>ДІ</w:t>
            </w:r>
          </w:p>
        </w:tc>
        <w:tc>
          <w:tcPr>
            <w:tcW w:w="566" w:type="dxa"/>
            <w:vAlign w:val="center"/>
          </w:tcPr>
          <w:p w14:paraId="62A6A77F">
            <w:pPr>
              <w:ind w:left="-57" w:right="-57" w:firstLine="0"/>
              <w:jc w:val="center"/>
              <w:rPr>
                <w:rFonts w:cs="Times New Roman"/>
                <w:szCs w:val="28"/>
                <w:highlight w:val="none"/>
                <w:lang w:eastAsia="ru-RU"/>
              </w:rPr>
            </w:pPr>
            <w:r>
              <w:rPr>
                <w:szCs w:val="28"/>
                <w:highlight w:val="none"/>
                <w:lang w:eastAsia="ru-RU"/>
              </w:rPr>
              <w:t>–</w:t>
            </w:r>
          </w:p>
        </w:tc>
        <w:tc>
          <w:tcPr>
            <w:tcW w:w="7286" w:type="dxa"/>
          </w:tcPr>
          <w:p w14:paraId="0F201F23">
            <w:pPr>
              <w:ind w:left="-57" w:right="-57" w:firstLine="0"/>
              <w:rPr>
                <w:rFonts w:cs="Times New Roman"/>
                <w:highlight w:val="none"/>
                <w:shd w:val="clear" w:color="auto" w:fill="FFFFFF"/>
              </w:rPr>
            </w:pPr>
            <w:r>
              <w:rPr>
                <w:szCs w:val="28"/>
                <w:highlight w:val="none"/>
              </w:rPr>
              <w:t>довірчі інтервали</w:t>
            </w:r>
          </w:p>
        </w:tc>
      </w:tr>
      <w:tr w14:paraId="3AA8EB7A">
        <w:tblPrEx>
          <w:tblCellMar>
            <w:top w:w="0" w:type="dxa"/>
            <w:left w:w="108" w:type="dxa"/>
            <w:bottom w:w="0" w:type="dxa"/>
            <w:right w:w="108" w:type="dxa"/>
          </w:tblCellMar>
        </w:tblPrEx>
        <w:tc>
          <w:tcPr>
            <w:tcW w:w="1492" w:type="dxa"/>
          </w:tcPr>
          <w:p w14:paraId="71C87E59">
            <w:pPr>
              <w:ind w:left="-57" w:right="-57" w:firstLine="0"/>
              <w:rPr>
                <w:szCs w:val="28"/>
                <w:highlight w:val="none"/>
              </w:rPr>
            </w:pPr>
            <w:r>
              <w:rPr>
                <w:szCs w:val="28"/>
                <w:highlight w:val="none"/>
              </w:rPr>
              <w:t>ЗХ</w:t>
            </w:r>
          </w:p>
        </w:tc>
        <w:tc>
          <w:tcPr>
            <w:tcW w:w="566" w:type="dxa"/>
            <w:vAlign w:val="center"/>
          </w:tcPr>
          <w:p w14:paraId="1C39BF51">
            <w:pPr>
              <w:ind w:left="-57" w:right="-57" w:firstLine="0"/>
              <w:jc w:val="center"/>
              <w:rPr>
                <w:szCs w:val="28"/>
                <w:highlight w:val="none"/>
                <w:lang w:eastAsia="ru-RU"/>
              </w:rPr>
            </w:pPr>
            <w:r>
              <w:rPr>
                <w:rFonts w:cs="Times New Roman"/>
                <w:szCs w:val="28"/>
                <w:highlight w:val="none"/>
                <w:lang w:eastAsia="ru-RU"/>
              </w:rPr>
              <w:t>–</w:t>
            </w:r>
          </w:p>
        </w:tc>
        <w:tc>
          <w:tcPr>
            <w:tcW w:w="7286" w:type="dxa"/>
          </w:tcPr>
          <w:p w14:paraId="30E548DC">
            <w:pPr>
              <w:ind w:left="-57" w:right="-57" w:firstLine="0"/>
              <w:rPr>
                <w:szCs w:val="28"/>
                <w:highlight w:val="none"/>
              </w:rPr>
            </w:pPr>
            <w:r>
              <w:rPr>
                <w:szCs w:val="28"/>
                <w:highlight w:val="none"/>
              </w:rPr>
              <w:t>загальний холестерин</w:t>
            </w:r>
          </w:p>
        </w:tc>
      </w:tr>
      <w:tr w14:paraId="256319CC">
        <w:tblPrEx>
          <w:tblCellMar>
            <w:top w:w="0" w:type="dxa"/>
            <w:left w:w="108" w:type="dxa"/>
            <w:bottom w:w="0" w:type="dxa"/>
            <w:right w:w="108" w:type="dxa"/>
          </w:tblCellMar>
        </w:tblPrEx>
        <w:tc>
          <w:tcPr>
            <w:tcW w:w="1492" w:type="dxa"/>
          </w:tcPr>
          <w:p w14:paraId="3E99F861">
            <w:pPr>
              <w:ind w:left="-57" w:right="-57" w:firstLine="0"/>
              <w:rPr>
                <w:rFonts w:cs="Times New Roman"/>
                <w:szCs w:val="28"/>
                <w:highlight w:val="none"/>
              </w:rPr>
            </w:pPr>
            <w:r>
              <w:rPr>
                <w:rFonts w:cs="Times New Roman"/>
                <w:szCs w:val="28"/>
                <w:highlight w:val="none"/>
                <w:lang w:eastAsia="ru-RU"/>
              </w:rPr>
              <w:t>ІЛ</w:t>
            </w:r>
          </w:p>
        </w:tc>
        <w:tc>
          <w:tcPr>
            <w:tcW w:w="566" w:type="dxa"/>
          </w:tcPr>
          <w:p w14:paraId="11CD4B90">
            <w:pPr>
              <w:ind w:left="-57" w:right="-57" w:firstLine="0"/>
              <w:jc w:val="center"/>
              <w:rPr>
                <w:rFonts w:cs="Times New Roman"/>
                <w:szCs w:val="28"/>
                <w:highlight w:val="none"/>
              </w:rPr>
            </w:pPr>
            <w:r>
              <w:rPr>
                <w:rFonts w:cs="Times New Roman"/>
                <w:szCs w:val="28"/>
                <w:highlight w:val="none"/>
              </w:rPr>
              <w:t>–</w:t>
            </w:r>
          </w:p>
        </w:tc>
        <w:tc>
          <w:tcPr>
            <w:tcW w:w="7286" w:type="dxa"/>
          </w:tcPr>
          <w:p w14:paraId="15119C75">
            <w:pPr>
              <w:ind w:left="-57" w:right="-57" w:firstLine="0"/>
              <w:rPr>
                <w:rFonts w:cs="Times New Roman"/>
                <w:szCs w:val="28"/>
                <w:highlight w:val="none"/>
              </w:rPr>
            </w:pPr>
            <w:r>
              <w:rPr>
                <w:rFonts w:cs="Times New Roman"/>
                <w:szCs w:val="28"/>
                <w:highlight w:val="none"/>
                <w:lang w:eastAsia="ru-RU"/>
              </w:rPr>
              <w:t>інтерлейкін</w:t>
            </w:r>
          </w:p>
        </w:tc>
      </w:tr>
      <w:tr w14:paraId="456238BA">
        <w:tblPrEx>
          <w:tblCellMar>
            <w:top w:w="0" w:type="dxa"/>
            <w:left w:w="108" w:type="dxa"/>
            <w:bottom w:w="0" w:type="dxa"/>
            <w:right w:w="108" w:type="dxa"/>
          </w:tblCellMar>
        </w:tblPrEx>
        <w:tc>
          <w:tcPr>
            <w:tcW w:w="1492" w:type="dxa"/>
          </w:tcPr>
          <w:p w14:paraId="79E87FBF">
            <w:pPr>
              <w:ind w:left="-57" w:right="-57" w:firstLine="0"/>
              <w:rPr>
                <w:szCs w:val="28"/>
                <w:highlight w:val="none"/>
              </w:rPr>
            </w:pPr>
            <w:r>
              <w:rPr>
                <w:szCs w:val="28"/>
                <w:highlight w:val="none"/>
              </w:rPr>
              <w:t>ІМТ</w:t>
            </w:r>
          </w:p>
        </w:tc>
        <w:tc>
          <w:tcPr>
            <w:tcW w:w="566" w:type="dxa"/>
            <w:vAlign w:val="center"/>
          </w:tcPr>
          <w:p w14:paraId="0289C026">
            <w:pPr>
              <w:ind w:left="-57" w:right="-57" w:firstLine="0"/>
              <w:jc w:val="center"/>
              <w:rPr>
                <w:rFonts w:cs="Times New Roman"/>
                <w:szCs w:val="28"/>
                <w:highlight w:val="none"/>
                <w:lang w:eastAsia="ru-RU"/>
              </w:rPr>
            </w:pPr>
            <w:r>
              <w:rPr>
                <w:szCs w:val="28"/>
                <w:highlight w:val="none"/>
                <w:lang w:eastAsia="ru-RU"/>
              </w:rPr>
              <w:t>–</w:t>
            </w:r>
          </w:p>
        </w:tc>
        <w:tc>
          <w:tcPr>
            <w:tcW w:w="7286" w:type="dxa"/>
          </w:tcPr>
          <w:p w14:paraId="63DE180B">
            <w:pPr>
              <w:ind w:left="-57" w:right="-57" w:firstLine="0"/>
              <w:rPr>
                <w:szCs w:val="28"/>
                <w:highlight w:val="none"/>
              </w:rPr>
            </w:pPr>
            <w:r>
              <w:rPr>
                <w:szCs w:val="28"/>
                <w:highlight w:val="none"/>
              </w:rPr>
              <w:t>індекс маси тіла</w:t>
            </w:r>
          </w:p>
        </w:tc>
      </w:tr>
      <w:tr w14:paraId="7C4DEBC8">
        <w:tblPrEx>
          <w:tblCellMar>
            <w:top w:w="0" w:type="dxa"/>
            <w:left w:w="108" w:type="dxa"/>
            <w:bottom w:w="0" w:type="dxa"/>
            <w:right w:w="108" w:type="dxa"/>
          </w:tblCellMar>
        </w:tblPrEx>
        <w:tc>
          <w:tcPr>
            <w:tcW w:w="1492" w:type="dxa"/>
          </w:tcPr>
          <w:p w14:paraId="7192A3DD">
            <w:pPr>
              <w:ind w:left="-57" w:right="-57" w:firstLine="0"/>
              <w:rPr>
                <w:rFonts w:cs="Times New Roman"/>
                <w:szCs w:val="28"/>
                <w:highlight w:val="none"/>
              </w:rPr>
            </w:pPr>
            <w:r>
              <w:rPr>
                <w:rFonts w:cs="Times New Roman"/>
                <w:szCs w:val="28"/>
                <w:highlight w:val="none"/>
                <w:lang w:eastAsia="ru-RU"/>
              </w:rPr>
              <w:t>ІФ</w:t>
            </w:r>
          </w:p>
        </w:tc>
        <w:tc>
          <w:tcPr>
            <w:tcW w:w="566" w:type="dxa"/>
          </w:tcPr>
          <w:p w14:paraId="78FDCA60">
            <w:pPr>
              <w:ind w:left="-57" w:right="-57" w:firstLine="0"/>
              <w:jc w:val="center"/>
              <w:rPr>
                <w:rFonts w:cs="Times New Roman"/>
                <w:szCs w:val="28"/>
                <w:highlight w:val="none"/>
              </w:rPr>
            </w:pPr>
            <w:r>
              <w:rPr>
                <w:rFonts w:cs="Times New Roman"/>
                <w:szCs w:val="28"/>
                <w:highlight w:val="none"/>
              </w:rPr>
              <w:t>–</w:t>
            </w:r>
          </w:p>
        </w:tc>
        <w:tc>
          <w:tcPr>
            <w:tcW w:w="7286" w:type="dxa"/>
          </w:tcPr>
          <w:p w14:paraId="4275B9B0">
            <w:pPr>
              <w:ind w:left="-57" w:right="-57" w:firstLine="0"/>
              <w:rPr>
                <w:rFonts w:cs="Times New Roman"/>
                <w:szCs w:val="28"/>
                <w:highlight w:val="none"/>
              </w:rPr>
            </w:pPr>
            <w:r>
              <w:rPr>
                <w:rFonts w:cs="Times New Roman"/>
                <w:szCs w:val="28"/>
                <w:highlight w:val="none"/>
                <w:lang w:eastAsia="ru-RU"/>
              </w:rPr>
              <w:t>інтерферон</w:t>
            </w:r>
          </w:p>
        </w:tc>
      </w:tr>
      <w:tr w14:paraId="69AD3DB9">
        <w:tblPrEx>
          <w:tblCellMar>
            <w:top w:w="0" w:type="dxa"/>
            <w:left w:w="108" w:type="dxa"/>
            <w:bottom w:w="0" w:type="dxa"/>
            <w:right w:w="108" w:type="dxa"/>
          </w:tblCellMar>
        </w:tblPrEx>
        <w:tc>
          <w:tcPr>
            <w:tcW w:w="1492" w:type="dxa"/>
          </w:tcPr>
          <w:p w14:paraId="26EBAA15">
            <w:pPr>
              <w:ind w:left="-57" w:right="-57" w:firstLine="0"/>
              <w:rPr>
                <w:szCs w:val="28"/>
                <w:highlight w:val="none"/>
              </w:rPr>
            </w:pPr>
            <w:r>
              <w:rPr>
                <w:szCs w:val="28"/>
                <w:highlight w:val="none"/>
              </w:rPr>
              <w:t>ІФА</w:t>
            </w:r>
          </w:p>
        </w:tc>
        <w:tc>
          <w:tcPr>
            <w:tcW w:w="566" w:type="dxa"/>
            <w:vAlign w:val="center"/>
          </w:tcPr>
          <w:p w14:paraId="441C4031">
            <w:pPr>
              <w:ind w:left="-57" w:right="-57" w:firstLine="0"/>
              <w:jc w:val="center"/>
              <w:rPr>
                <w:szCs w:val="28"/>
                <w:highlight w:val="none"/>
                <w:lang w:eastAsia="ru-RU"/>
              </w:rPr>
            </w:pPr>
            <w:r>
              <w:rPr>
                <w:rFonts w:cs="Times New Roman"/>
                <w:szCs w:val="28"/>
                <w:highlight w:val="none"/>
                <w:lang w:eastAsia="ru-RU"/>
              </w:rPr>
              <w:t>–</w:t>
            </w:r>
          </w:p>
        </w:tc>
        <w:tc>
          <w:tcPr>
            <w:tcW w:w="7286" w:type="dxa"/>
          </w:tcPr>
          <w:p w14:paraId="2D8BF1FC">
            <w:pPr>
              <w:ind w:left="-57" w:right="-57" w:firstLine="0"/>
              <w:rPr>
                <w:szCs w:val="28"/>
                <w:highlight w:val="none"/>
              </w:rPr>
            </w:pPr>
            <w:r>
              <w:rPr>
                <w:szCs w:val="28"/>
                <w:highlight w:val="none"/>
              </w:rPr>
              <w:t>імуноферментний аналіз</w:t>
            </w:r>
          </w:p>
        </w:tc>
      </w:tr>
      <w:tr w14:paraId="4A683BA6">
        <w:tblPrEx>
          <w:tblCellMar>
            <w:top w:w="0" w:type="dxa"/>
            <w:left w:w="108" w:type="dxa"/>
            <w:bottom w:w="0" w:type="dxa"/>
            <w:right w:w="108" w:type="dxa"/>
          </w:tblCellMar>
        </w:tblPrEx>
        <w:tc>
          <w:tcPr>
            <w:tcW w:w="1492" w:type="dxa"/>
          </w:tcPr>
          <w:p w14:paraId="01E56784">
            <w:pPr>
              <w:ind w:left="-57" w:right="-57" w:firstLine="0"/>
              <w:rPr>
                <w:szCs w:val="28"/>
                <w:highlight w:val="none"/>
              </w:rPr>
            </w:pPr>
            <w:r>
              <w:rPr>
                <w:szCs w:val="28"/>
                <w:highlight w:val="none"/>
              </w:rPr>
              <w:t>КА</w:t>
            </w:r>
          </w:p>
        </w:tc>
        <w:tc>
          <w:tcPr>
            <w:tcW w:w="566" w:type="dxa"/>
            <w:vAlign w:val="center"/>
          </w:tcPr>
          <w:p w14:paraId="7CF51A35">
            <w:pPr>
              <w:ind w:left="-57" w:right="-57" w:firstLine="0"/>
              <w:jc w:val="center"/>
              <w:rPr>
                <w:rFonts w:cs="Times New Roman"/>
                <w:szCs w:val="28"/>
                <w:highlight w:val="none"/>
                <w:lang w:eastAsia="ru-RU"/>
              </w:rPr>
            </w:pPr>
            <w:r>
              <w:rPr>
                <w:rFonts w:cs="Times New Roman"/>
                <w:szCs w:val="28"/>
                <w:highlight w:val="none"/>
                <w:lang w:eastAsia="ru-RU"/>
              </w:rPr>
              <w:t>–</w:t>
            </w:r>
          </w:p>
        </w:tc>
        <w:tc>
          <w:tcPr>
            <w:tcW w:w="7286" w:type="dxa"/>
          </w:tcPr>
          <w:p w14:paraId="33A1C9BF">
            <w:pPr>
              <w:ind w:left="-57" w:right="-57" w:firstLine="0"/>
              <w:rPr>
                <w:szCs w:val="28"/>
                <w:highlight w:val="none"/>
              </w:rPr>
            </w:pPr>
            <w:r>
              <w:rPr>
                <w:szCs w:val="28"/>
                <w:highlight w:val="none"/>
              </w:rPr>
              <w:t>коефіцієнт атерогенності</w:t>
            </w:r>
          </w:p>
        </w:tc>
      </w:tr>
      <w:tr w14:paraId="01B759E6">
        <w:tblPrEx>
          <w:tblCellMar>
            <w:top w:w="0" w:type="dxa"/>
            <w:left w:w="108" w:type="dxa"/>
            <w:bottom w:w="0" w:type="dxa"/>
            <w:right w:w="108" w:type="dxa"/>
          </w:tblCellMar>
        </w:tblPrEx>
        <w:tc>
          <w:tcPr>
            <w:tcW w:w="1492" w:type="dxa"/>
          </w:tcPr>
          <w:p w14:paraId="3AA0CF75">
            <w:pPr>
              <w:ind w:left="-57" w:right="-57" w:firstLine="0"/>
              <w:rPr>
                <w:szCs w:val="28"/>
                <w:highlight w:val="none"/>
              </w:rPr>
            </w:pPr>
            <w:r>
              <w:rPr>
                <w:szCs w:val="28"/>
                <w:highlight w:val="none"/>
              </w:rPr>
              <w:t>КНП</w:t>
            </w:r>
          </w:p>
        </w:tc>
        <w:tc>
          <w:tcPr>
            <w:tcW w:w="566" w:type="dxa"/>
            <w:vAlign w:val="center"/>
          </w:tcPr>
          <w:p w14:paraId="15D51860">
            <w:pPr>
              <w:ind w:left="-57" w:right="-57" w:firstLine="0"/>
              <w:jc w:val="center"/>
              <w:rPr>
                <w:rFonts w:cs="Times New Roman"/>
                <w:szCs w:val="28"/>
                <w:highlight w:val="none"/>
                <w:lang w:eastAsia="ru-RU"/>
              </w:rPr>
            </w:pPr>
            <w:r>
              <w:rPr>
                <w:szCs w:val="28"/>
                <w:highlight w:val="none"/>
                <w:lang w:eastAsia="ru-RU"/>
              </w:rPr>
              <w:t>–</w:t>
            </w:r>
          </w:p>
        </w:tc>
        <w:tc>
          <w:tcPr>
            <w:tcW w:w="7286" w:type="dxa"/>
          </w:tcPr>
          <w:p w14:paraId="4454F88F">
            <w:pPr>
              <w:ind w:left="-57" w:right="-57" w:firstLine="0"/>
              <w:rPr>
                <w:szCs w:val="28"/>
                <w:highlight w:val="none"/>
              </w:rPr>
            </w:pPr>
            <w:r>
              <w:rPr>
                <w:szCs w:val="28"/>
                <w:highlight w:val="none"/>
              </w:rPr>
              <w:t>комунальне некомерційне підприємство</w:t>
            </w:r>
          </w:p>
        </w:tc>
      </w:tr>
      <w:tr w14:paraId="37CF73F2">
        <w:tc>
          <w:tcPr>
            <w:tcW w:w="1492" w:type="dxa"/>
          </w:tcPr>
          <w:p w14:paraId="522014CF">
            <w:pPr>
              <w:ind w:left="-57" w:right="-57" w:firstLine="0"/>
              <w:rPr>
                <w:szCs w:val="28"/>
                <w:highlight w:val="none"/>
              </w:rPr>
            </w:pPr>
            <w:r>
              <w:rPr>
                <w:szCs w:val="28"/>
                <w:highlight w:val="none"/>
              </w:rPr>
              <w:t>КП</w:t>
            </w:r>
          </w:p>
        </w:tc>
        <w:tc>
          <w:tcPr>
            <w:tcW w:w="566" w:type="dxa"/>
            <w:vAlign w:val="center"/>
          </w:tcPr>
          <w:p w14:paraId="5349599C">
            <w:pPr>
              <w:ind w:left="-57" w:right="-57" w:firstLine="0"/>
              <w:jc w:val="center"/>
              <w:rPr>
                <w:szCs w:val="28"/>
                <w:highlight w:val="none"/>
                <w:lang w:eastAsia="ru-RU"/>
              </w:rPr>
            </w:pPr>
            <w:r>
              <w:rPr>
                <w:szCs w:val="28"/>
                <w:highlight w:val="none"/>
                <w:lang w:eastAsia="ru-RU"/>
              </w:rPr>
              <w:t>–</w:t>
            </w:r>
          </w:p>
        </w:tc>
        <w:tc>
          <w:tcPr>
            <w:tcW w:w="7286" w:type="dxa"/>
          </w:tcPr>
          <w:p w14:paraId="61199235">
            <w:pPr>
              <w:ind w:left="-57" w:right="-57" w:firstLine="0"/>
              <w:rPr>
                <w:szCs w:val="28"/>
                <w:highlight w:val="none"/>
              </w:rPr>
            </w:pPr>
            <w:r>
              <w:rPr>
                <w:szCs w:val="28"/>
                <w:highlight w:val="none"/>
              </w:rPr>
              <w:t>кольоровий показник</w:t>
            </w:r>
          </w:p>
        </w:tc>
      </w:tr>
      <w:tr w14:paraId="6F0B89C9">
        <w:tblPrEx>
          <w:tblCellMar>
            <w:top w:w="0" w:type="dxa"/>
            <w:left w:w="108" w:type="dxa"/>
            <w:bottom w:w="0" w:type="dxa"/>
            <w:right w:w="108" w:type="dxa"/>
          </w:tblCellMar>
        </w:tblPrEx>
        <w:tc>
          <w:tcPr>
            <w:tcW w:w="1492" w:type="dxa"/>
          </w:tcPr>
          <w:p w14:paraId="2AE87A9F">
            <w:pPr>
              <w:ind w:left="-57" w:right="-57" w:firstLine="0"/>
              <w:rPr>
                <w:szCs w:val="28"/>
                <w:highlight w:val="none"/>
              </w:rPr>
            </w:pPr>
            <w:r>
              <w:rPr>
                <w:szCs w:val="28"/>
                <w:highlight w:val="none"/>
              </w:rPr>
              <w:t>ЛФ</w:t>
            </w:r>
          </w:p>
        </w:tc>
        <w:tc>
          <w:tcPr>
            <w:tcW w:w="566" w:type="dxa"/>
            <w:vAlign w:val="center"/>
          </w:tcPr>
          <w:p w14:paraId="5D55EC51">
            <w:pPr>
              <w:ind w:left="-57" w:right="-57" w:firstLine="0"/>
              <w:jc w:val="center"/>
              <w:rPr>
                <w:szCs w:val="28"/>
                <w:highlight w:val="none"/>
                <w:lang w:eastAsia="ru-RU"/>
              </w:rPr>
            </w:pPr>
            <w:r>
              <w:rPr>
                <w:rFonts w:cs="Times New Roman"/>
                <w:szCs w:val="28"/>
                <w:highlight w:val="none"/>
                <w:lang w:eastAsia="ru-RU"/>
              </w:rPr>
              <w:t>–</w:t>
            </w:r>
          </w:p>
        </w:tc>
        <w:tc>
          <w:tcPr>
            <w:tcW w:w="7286" w:type="dxa"/>
          </w:tcPr>
          <w:p w14:paraId="3A53DE22">
            <w:pPr>
              <w:ind w:left="-57" w:right="-57" w:firstLine="0"/>
              <w:rPr>
                <w:szCs w:val="28"/>
                <w:highlight w:val="none"/>
              </w:rPr>
            </w:pPr>
            <w:r>
              <w:rPr>
                <w:rFonts w:cs="Times New Roman"/>
                <w:highlight w:val="none"/>
              </w:rPr>
              <w:t>лужна фосфатаза</w:t>
            </w:r>
          </w:p>
        </w:tc>
      </w:tr>
      <w:tr w14:paraId="7F1CF453">
        <w:tblPrEx>
          <w:tblCellMar>
            <w:top w:w="0" w:type="dxa"/>
            <w:left w:w="108" w:type="dxa"/>
            <w:bottom w:w="0" w:type="dxa"/>
            <w:right w:w="108" w:type="dxa"/>
          </w:tblCellMar>
        </w:tblPrEx>
        <w:tc>
          <w:tcPr>
            <w:tcW w:w="1492" w:type="dxa"/>
          </w:tcPr>
          <w:p w14:paraId="442FD46A">
            <w:pPr>
              <w:ind w:left="-57" w:right="-57" w:firstLine="0"/>
              <w:rPr>
                <w:szCs w:val="28"/>
                <w:highlight w:val="none"/>
              </w:rPr>
            </w:pPr>
            <w:r>
              <w:rPr>
                <w:szCs w:val="28"/>
                <w:highlight w:val="none"/>
              </w:rPr>
              <w:t>МОЗ</w:t>
            </w:r>
          </w:p>
        </w:tc>
        <w:tc>
          <w:tcPr>
            <w:tcW w:w="566" w:type="dxa"/>
            <w:vAlign w:val="center"/>
          </w:tcPr>
          <w:p w14:paraId="688330F0">
            <w:pPr>
              <w:ind w:left="-57" w:right="-57" w:firstLine="0"/>
              <w:jc w:val="center"/>
              <w:rPr>
                <w:rFonts w:cs="Times New Roman"/>
                <w:szCs w:val="28"/>
                <w:highlight w:val="none"/>
                <w:lang w:eastAsia="ru-RU"/>
              </w:rPr>
            </w:pPr>
            <w:r>
              <w:rPr>
                <w:szCs w:val="28"/>
                <w:highlight w:val="none"/>
                <w:lang w:eastAsia="ru-RU"/>
              </w:rPr>
              <w:t>–</w:t>
            </w:r>
          </w:p>
        </w:tc>
        <w:tc>
          <w:tcPr>
            <w:tcW w:w="7286" w:type="dxa"/>
          </w:tcPr>
          <w:p w14:paraId="7D501AAC">
            <w:pPr>
              <w:ind w:left="-57" w:right="-57" w:firstLine="0"/>
              <w:rPr>
                <w:rFonts w:cs="Times New Roman"/>
                <w:highlight w:val="none"/>
              </w:rPr>
            </w:pPr>
            <w:r>
              <w:rPr>
                <w:rFonts w:eastAsia="Times New Roman"/>
                <w:bCs/>
                <w:szCs w:val="28"/>
                <w:highlight w:val="none"/>
                <w:lang w:eastAsia="ru-RU"/>
              </w:rPr>
              <w:t>Міністерство охорони здоров’я</w:t>
            </w:r>
          </w:p>
        </w:tc>
      </w:tr>
      <w:tr w14:paraId="3D1D8D33">
        <w:tblPrEx>
          <w:tblCellMar>
            <w:top w:w="0" w:type="dxa"/>
            <w:left w:w="108" w:type="dxa"/>
            <w:bottom w:w="0" w:type="dxa"/>
            <w:right w:w="108" w:type="dxa"/>
          </w:tblCellMar>
        </w:tblPrEx>
        <w:tc>
          <w:tcPr>
            <w:tcW w:w="1492" w:type="dxa"/>
          </w:tcPr>
          <w:p w14:paraId="7317488C">
            <w:pPr>
              <w:ind w:left="-57" w:right="-57" w:firstLine="0"/>
              <w:rPr>
                <w:szCs w:val="28"/>
                <w:highlight w:val="none"/>
              </w:rPr>
            </w:pPr>
            <w:r>
              <w:rPr>
                <w:szCs w:val="28"/>
                <w:highlight w:val="none"/>
              </w:rPr>
              <w:t>ОП</w:t>
            </w:r>
          </w:p>
        </w:tc>
        <w:tc>
          <w:tcPr>
            <w:tcW w:w="566" w:type="dxa"/>
            <w:vAlign w:val="center"/>
          </w:tcPr>
          <w:p w14:paraId="41E31688">
            <w:pPr>
              <w:ind w:left="-57" w:right="-57" w:firstLine="0"/>
              <w:jc w:val="center"/>
              <w:rPr>
                <w:szCs w:val="28"/>
                <w:highlight w:val="none"/>
                <w:lang w:eastAsia="ru-RU"/>
              </w:rPr>
            </w:pPr>
            <w:r>
              <w:rPr>
                <w:szCs w:val="28"/>
                <w:highlight w:val="none"/>
                <w:lang w:eastAsia="ru-RU"/>
              </w:rPr>
              <w:t>–</w:t>
            </w:r>
          </w:p>
        </w:tc>
        <w:tc>
          <w:tcPr>
            <w:tcW w:w="7286" w:type="dxa"/>
          </w:tcPr>
          <w:p w14:paraId="393BAC0C">
            <w:pPr>
              <w:ind w:left="-57" w:right="-57" w:firstLine="0"/>
              <w:rPr>
                <w:rFonts w:eastAsia="Times New Roman"/>
                <w:bCs/>
                <w:szCs w:val="28"/>
                <w:highlight w:val="none"/>
                <w:lang w:eastAsia="ru-RU"/>
              </w:rPr>
            </w:pPr>
            <w:r>
              <w:rPr>
                <w:szCs w:val="28"/>
                <w:highlight w:val="none"/>
              </w:rPr>
              <w:t>остеопонтин</w:t>
            </w:r>
          </w:p>
        </w:tc>
      </w:tr>
      <w:tr w14:paraId="24F12F0F">
        <w:tblPrEx>
          <w:tblCellMar>
            <w:top w:w="0" w:type="dxa"/>
            <w:left w:w="108" w:type="dxa"/>
            <w:bottom w:w="0" w:type="dxa"/>
            <w:right w:w="108" w:type="dxa"/>
          </w:tblCellMar>
        </w:tblPrEx>
        <w:tc>
          <w:tcPr>
            <w:tcW w:w="1492" w:type="dxa"/>
          </w:tcPr>
          <w:p w14:paraId="06F2CCEC">
            <w:pPr>
              <w:ind w:left="-57" w:right="-57" w:firstLine="0"/>
              <w:rPr>
                <w:szCs w:val="28"/>
                <w:highlight w:val="none"/>
              </w:rPr>
            </w:pPr>
            <w:r>
              <w:rPr>
                <w:szCs w:val="28"/>
                <w:highlight w:val="none"/>
              </w:rPr>
              <w:t>п/я</w:t>
            </w:r>
          </w:p>
        </w:tc>
        <w:tc>
          <w:tcPr>
            <w:tcW w:w="566" w:type="dxa"/>
            <w:vAlign w:val="center"/>
          </w:tcPr>
          <w:p w14:paraId="59179E67">
            <w:pPr>
              <w:ind w:left="-57" w:right="-57" w:firstLine="0"/>
              <w:jc w:val="center"/>
              <w:rPr>
                <w:szCs w:val="28"/>
                <w:highlight w:val="none"/>
                <w:lang w:eastAsia="ru-RU"/>
              </w:rPr>
            </w:pPr>
            <w:r>
              <w:rPr>
                <w:szCs w:val="28"/>
                <w:highlight w:val="none"/>
                <w:lang w:eastAsia="ru-RU"/>
              </w:rPr>
              <w:t>–</w:t>
            </w:r>
          </w:p>
        </w:tc>
        <w:tc>
          <w:tcPr>
            <w:tcW w:w="7286" w:type="dxa"/>
          </w:tcPr>
          <w:p w14:paraId="7FB20C9B">
            <w:pPr>
              <w:ind w:left="-57" w:right="-57" w:firstLine="0"/>
              <w:rPr>
                <w:szCs w:val="28"/>
                <w:highlight w:val="none"/>
              </w:rPr>
            </w:pPr>
            <w:r>
              <w:rPr>
                <w:szCs w:val="28"/>
                <w:highlight w:val="none"/>
              </w:rPr>
              <w:t>паличкоядерні нейтрофіли</w:t>
            </w:r>
          </w:p>
        </w:tc>
      </w:tr>
      <w:tr w14:paraId="4AD6845A">
        <w:tblPrEx>
          <w:tblCellMar>
            <w:top w:w="0" w:type="dxa"/>
            <w:left w:w="108" w:type="dxa"/>
            <w:bottom w:w="0" w:type="dxa"/>
            <w:right w:w="108" w:type="dxa"/>
          </w:tblCellMar>
        </w:tblPrEx>
        <w:tc>
          <w:tcPr>
            <w:tcW w:w="1492" w:type="dxa"/>
          </w:tcPr>
          <w:p w14:paraId="3DCA7611">
            <w:pPr>
              <w:ind w:left="-57" w:right="-57" w:firstLine="0"/>
              <w:rPr>
                <w:rFonts w:cs="Times New Roman"/>
                <w:szCs w:val="28"/>
                <w:highlight w:val="none"/>
                <w:lang w:eastAsia="ru-RU"/>
              </w:rPr>
            </w:pPr>
            <w:r>
              <w:rPr>
                <w:rFonts w:cs="Times New Roman"/>
                <w:szCs w:val="28"/>
                <w:highlight w:val="none"/>
                <w:lang w:eastAsia="ru-RU"/>
              </w:rPr>
              <w:t>ПАВ</w:t>
            </w:r>
          </w:p>
        </w:tc>
        <w:tc>
          <w:tcPr>
            <w:tcW w:w="566" w:type="dxa"/>
            <w:vAlign w:val="center"/>
          </w:tcPr>
          <w:p w14:paraId="5FC43DFE">
            <w:pPr>
              <w:ind w:left="-57" w:right="-57" w:firstLine="0"/>
              <w:jc w:val="center"/>
              <w:rPr>
                <w:rFonts w:cs="Times New Roman"/>
                <w:szCs w:val="28"/>
                <w:highlight w:val="none"/>
                <w:lang w:eastAsia="ru-RU"/>
              </w:rPr>
            </w:pPr>
            <w:r>
              <w:rPr>
                <w:szCs w:val="28"/>
                <w:highlight w:val="none"/>
                <w:lang w:eastAsia="ru-RU"/>
              </w:rPr>
              <w:t>–</w:t>
            </w:r>
          </w:p>
        </w:tc>
        <w:tc>
          <w:tcPr>
            <w:tcW w:w="7286" w:type="dxa"/>
          </w:tcPr>
          <w:p w14:paraId="0A1A60A9">
            <w:pPr>
              <w:ind w:left="-57" w:right="-57" w:firstLine="0"/>
              <w:rPr>
                <w:rFonts w:cs="Times New Roman"/>
                <w:szCs w:val="28"/>
                <w:highlight w:val="none"/>
                <w:lang w:eastAsia="ru-RU"/>
              </w:rPr>
            </w:pPr>
            <w:r>
              <w:rPr>
                <w:rFonts w:cs="Times New Roman"/>
                <w:szCs w:val="28"/>
                <w:highlight w:val="none"/>
                <w:lang w:eastAsia="ru-RU"/>
              </w:rPr>
              <w:t>прямий антивірусний препарат</w:t>
            </w:r>
          </w:p>
        </w:tc>
      </w:tr>
      <w:tr w14:paraId="00625EBE">
        <w:tblPrEx>
          <w:tblCellMar>
            <w:top w:w="0" w:type="dxa"/>
            <w:left w:w="108" w:type="dxa"/>
            <w:bottom w:w="0" w:type="dxa"/>
            <w:right w:w="108" w:type="dxa"/>
          </w:tblCellMar>
        </w:tblPrEx>
        <w:tc>
          <w:tcPr>
            <w:tcW w:w="1492" w:type="dxa"/>
          </w:tcPr>
          <w:p w14:paraId="13F8554E">
            <w:pPr>
              <w:ind w:left="-57" w:right="-57" w:firstLine="0"/>
              <w:rPr>
                <w:rFonts w:cs="Times New Roman"/>
                <w:szCs w:val="28"/>
                <w:highlight w:val="none"/>
              </w:rPr>
            </w:pPr>
            <w:r>
              <w:rPr>
                <w:rFonts w:cs="Times New Roman"/>
                <w:szCs w:val="28"/>
                <w:highlight w:val="none"/>
                <w:lang w:eastAsia="ru-RU"/>
              </w:rPr>
              <w:t>ПЕГ-ІФ</w:t>
            </w:r>
          </w:p>
        </w:tc>
        <w:tc>
          <w:tcPr>
            <w:tcW w:w="566" w:type="dxa"/>
          </w:tcPr>
          <w:p w14:paraId="05A4D205">
            <w:pPr>
              <w:ind w:left="-57" w:right="-57" w:firstLine="0"/>
              <w:jc w:val="center"/>
              <w:rPr>
                <w:rFonts w:cs="Times New Roman"/>
                <w:szCs w:val="28"/>
                <w:highlight w:val="none"/>
              </w:rPr>
            </w:pPr>
            <w:r>
              <w:rPr>
                <w:rFonts w:cs="Times New Roman"/>
                <w:szCs w:val="28"/>
                <w:highlight w:val="none"/>
              </w:rPr>
              <w:t>–</w:t>
            </w:r>
          </w:p>
        </w:tc>
        <w:tc>
          <w:tcPr>
            <w:tcW w:w="7286" w:type="dxa"/>
          </w:tcPr>
          <w:p w14:paraId="084D6771">
            <w:pPr>
              <w:ind w:left="-57" w:right="-57" w:firstLine="0"/>
              <w:rPr>
                <w:rFonts w:cs="Times New Roman"/>
                <w:szCs w:val="28"/>
                <w:highlight w:val="none"/>
              </w:rPr>
            </w:pPr>
            <w:r>
              <w:rPr>
                <w:rFonts w:cs="Times New Roman"/>
                <w:szCs w:val="28"/>
                <w:highlight w:val="none"/>
                <w:lang w:eastAsia="ru-RU"/>
              </w:rPr>
              <w:t>пегільований ІФ</w:t>
            </w:r>
          </w:p>
        </w:tc>
      </w:tr>
      <w:tr w14:paraId="271430D4">
        <w:tblPrEx>
          <w:tblCellMar>
            <w:top w:w="0" w:type="dxa"/>
            <w:left w:w="108" w:type="dxa"/>
            <w:bottom w:w="0" w:type="dxa"/>
            <w:right w:w="108" w:type="dxa"/>
          </w:tblCellMar>
        </w:tblPrEx>
        <w:tc>
          <w:tcPr>
            <w:tcW w:w="1492" w:type="dxa"/>
          </w:tcPr>
          <w:p w14:paraId="2FE54992">
            <w:pPr>
              <w:ind w:left="-57" w:right="-57" w:firstLine="0"/>
              <w:rPr>
                <w:szCs w:val="28"/>
                <w:highlight w:val="none"/>
              </w:rPr>
            </w:pPr>
            <w:r>
              <w:rPr>
                <w:szCs w:val="28"/>
                <w:highlight w:val="none"/>
              </w:rPr>
              <w:t>ПЛР</w:t>
            </w:r>
          </w:p>
        </w:tc>
        <w:tc>
          <w:tcPr>
            <w:tcW w:w="566" w:type="dxa"/>
            <w:vAlign w:val="center"/>
          </w:tcPr>
          <w:p w14:paraId="412CF469">
            <w:pPr>
              <w:ind w:left="-57" w:right="-57" w:firstLine="0"/>
              <w:jc w:val="center"/>
              <w:rPr>
                <w:szCs w:val="28"/>
                <w:highlight w:val="none"/>
                <w:lang w:eastAsia="ru-RU"/>
              </w:rPr>
            </w:pPr>
            <w:r>
              <w:rPr>
                <w:rFonts w:cs="Times New Roman"/>
                <w:szCs w:val="28"/>
                <w:highlight w:val="none"/>
                <w:lang w:eastAsia="ru-RU"/>
              </w:rPr>
              <w:t>–</w:t>
            </w:r>
          </w:p>
        </w:tc>
        <w:tc>
          <w:tcPr>
            <w:tcW w:w="7286" w:type="dxa"/>
          </w:tcPr>
          <w:p w14:paraId="1C74E5EF">
            <w:pPr>
              <w:ind w:left="-57" w:right="-57" w:firstLine="0"/>
              <w:rPr>
                <w:szCs w:val="28"/>
                <w:highlight w:val="none"/>
              </w:rPr>
            </w:pPr>
            <w:r>
              <w:rPr>
                <w:szCs w:val="28"/>
                <w:highlight w:val="none"/>
              </w:rPr>
              <w:t>полімеразна ланцюгова реакція</w:t>
            </w:r>
          </w:p>
        </w:tc>
      </w:tr>
      <w:tr w14:paraId="507391E8">
        <w:tblPrEx>
          <w:tblCellMar>
            <w:top w:w="0" w:type="dxa"/>
            <w:left w:w="108" w:type="dxa"/>
            <w:bottom w:w="0" w:type="dxa"/>
            <w:right w:w="108" w:type="dxa"/>
          </w:tblCellMar>
        </w:tblPrEx>
        <w:tc>
          <w:tcPr>
            <w:tcW w:w="1492" w:type="dxa"/>
          </w:tcPr>
          <w:p w14:paraId="4CE0FBAF">
            <w:pPr>
              <w:ind w:left="-57" w:right="-57" w:firstLine="0"/>
              <w:rPr>
                <w:rFonts w:cs="Times New Roman"/>
                <w:szCs w:val="28"/>
                <w:highlight w:val="none"/>
              </w:rPr>
            </w:pPr>
            <w:r>
              <w:rPr>
                <w:rFonts w:cs="Times New Roman"/>
                <w:szCs w:val="28"/>
                <w:highlight w:val="none"/>
                <w:lang w:eastAsia="ru-RU"/>
              </w:rPr>
              <w:t>ППП</w:t>
            </w:r>
          </w:p>
        </w:tc>
        <w:tc>
          <w:tcPr>
            <w:tcW w:w="566" w:type="dxa"/>
          </w:tcPr>
          <w:p w14:paraId="68B2B734">
            <w:pPr>
              <w:ind w:left="-57" w:right="-57" w:firstLine="0"/>
              <w:jc w:val="center"/>
              <w:rPr>
                <w:rFonts w:cs="Times New Roman"/>
                <w:szCs w:val="28"/>
                <w:highlight w:val="none"/>
              </w:rPr>
            </w:pPr>
            <w:r>
              <w:rPr>
                <w:rFonts w:cs="Times New Roman"/>
                <w:szCs w:val="28"/>
                <w:highlight w:val="none"/>
              </w:rPr>
              <w:t>–</w:t>
            </w:r>
          </w:p>
        </w:tc>
        <w:tc>
          <w:tcPr>
            <w:tcW w:w="7286" w:type="dxa"/>
          </w:tcPr>
          <w:p w14:paraId="0326A923">
            <w:pPr>
              <w:ind w:left="-57" w:right="-57" w:firstLine="0"/>
              <w:rPr>
                <w:rFonts w:cs="Times New Roman"/>
                <w:szCs w:val="28"/>
                <w:highlight w:val="none"/>
              </w:rPr>
            </w:pPr>
            <w:r>
              <w:rPr>
                <w:rFonts w:cs="Times New Roman"/>
                <w:szCs w:val="28"/>
                <w:highlight w:val="none"/>
                <w:lang w:eastAsia="ru-RU"/>
              </w:rPr>
              <w:t>позапечінкові прояви</w:t>
            </w:r>
          </w:p>
        </w:tc>
      </w:tr>
      <w:tr w14:paraId="6301721D">
        <w:tblPrEx>
          <w:tblCellMar>
            <w:top w:w="0" w:type="dxa"/>
            <w:left w:w="108" w:type="dxa"/>
            <w:bottom w:w="0" w:type="dxa"/>
            <w:right w:w="108" w:type="dxa"/>
          </w:tblCellMar>
        </w:tblPrEx>
        <w:tc>
          <w:tcPr>
            <w:tcW w:w="1492" w:type="dxa"/>
          </w:tcPr>
          <w:p w14:paraId="5B43BF02">
            <w:pPr>
              <w:ind w:left="-57" w:right="-57" w:firstLine="0"/>
              <w:rPr>
                <w:rFonts w:cs="Times New Roman"/>
                <w:szCs w:val="28"/>
                <w:highlight w:val="none"/>
              </w:rPr>
            </w:pPr>
            <w:r>
              <w:rPr>
                <w:rFonts w:cs="Times New Roman"/>
                <w:szCs w:val="28"/>
                <w:highlight w:val="none"/>
                <w:shd w:val="clear" w:color="auto" w:fill="FCFCFC"/>
              </w:rPr>
              <w:t>ПППД</w:t>
            </w:r>
          </w:p>
        </w:tc>
        <w:tc>
          <w:tcPr>
            <w:tcW w:w="566" w:type="dxa"/>
          </w:tcPr>
          <w:p w14:paraId="4A6956B6">
            <w:pPr>
              <w:ind w:left="-57" w:right="-57" w:firstLine="0"/>
              <w:jc w:val="center"/>
              <w:rPr>
                <w:rFonts w:cs="Times New Roman"/>
                <w:szCs w:val="28"/>
                <w:highlight w:val="none"/>
              </w:rPr>
            </w:pPr>
            <w:r>
              <w:rPr>
                <w:rFonts w:cs="Times New Roman"/>
                <w:szCs w:val="28"/>
                <w:highlight w:val="none"/>
              </w:rPr>
              <w:t>–</w:t>
            </w:r>
          </w:p>
        </w:tc>
        <w:tc>
          <w:tcPr>
            <w:tcW w:w="7286" w:type="dxa"/>
          </w:tcPr>
          <w:p w14:paraId="10228708">
            <w:pPr>
              <w:ind w:left="-57" w:right="-57" w:firstLine="0"/>
              <w:rPr>
                <w:rFonts w:cs="Times New Roman"/>
                <w:szCs w:val="28"/>
                <w:highlight w:val="none"/>
              </w:rPr>
            </w:pPr>
            <w:r>
              <w:rPr>
                <w:rFonts w:cs="Times New Roman"/>
                <w:szCs w:val="28"/>
                <w:highlight w:val="none"/>
                <w:shd w:val="clear" w:color="auto" w:fill="FCFCFC"/>
              </w:rPr>
              <w:t>противірусні препарати прямої дії</w:t>
            </w:r>
          </w:p>
        </w:tc>
      </w:tr>
      <w:tr w14:paraId="378E096F">
        <w:tblPrEx>
          <w:tblCellMar>
            <w:top w:w="0" w:type="dxa"/>
            <w:left w:w="108" w:type="dxa"/>
            <w:bottom w:w="0" w:type="dxa"/>
            <w:right w:w="108" w:type="dxa"/>
          </w:tblCellMar>
        </w:tblPrEx>
        <w:tc>
          <w:tcPr>
            <w:tcW w:w="1492" w:type="dxa"/>
          </w:tcPr>
          <w:p w14:paraId="5405CD33">
            <w:pPr>
              <w:ind w:left="-57" w:right="-57" w:firstLine="0"/>
              <w:rPr>
                <w:szCs w:val="28"/>
                <w:highlight w:val="none"/>
              </w:rPr>
            </w:pPr>
            <w:r>
              <w:rPr>
                <w:szCs w:val="28"/>
                <w:highlight w:val="none"/>
              </w:rPr>
              <w:t>РНК</w:t>
            </w:r>
          </w:p>
        </w:tc>
        <w:tc>
          <w:tcPr>
            <w:tcW w:w="566" w:type="dxa"/>
            <w:vAlign w:val="center"/>
          </w:tcPr>
          <w:p w14:paraId="115F4369">
            <w:pPr>
              <w:ind w:left="-57" w:right="-57" w:firstLine="0"/>
              <w:jc w:val="center"/>
              <w:rPr>
                <w:rFonts w:cs="Times New Roman"/>
                <w:szCs w:val="28"/>
                <w:highlight w:val="none"/>
                <w:lang w:eastAsia="ru-RU"/>
              </w:rPr>
            </w:pPr>
            <w:r>
              <w:rPr>
                <w:szCs w:val="28"/>
                <w:highlight w:val="none"/>
                <w:lang w:eastAsia="ru-RU"/>
              </w:rPr>
              <w:t>–</w:t>
            </w:r>
          </w:p>
        </w:tc>
        <w:tc>
          <w:tcPr>
            <w:tcW w:w="7286" w:type="dxa"/>
          </w:tcPr>
          <w:p w14:paraId="72A7CEBC">
            <w:pPr>
              <w:ind w:left="-57" w:right="-57" w:firstLine="0"/>
              <w:rPr>
                <w:szCs w:val="28"/>
                <w:highlight w:val="none"/>
              </w:rPr>
            </w:pPr>
            <w:r>
              <w:rPr>
                <w:szCs w:val="28"/>
                <w:highlight w:val="none"/>
              </w:rPr>
              <w:t>рибонуклеїнова кислота</w:t>
            </w:r>
          </w:p>
        </w:tc>
      </w:tr>
      <w:tr w14:paraId="2C681D26">
        <w:tblPrEx>
          <w:tblCellMar>
            <w:top w:w="0" w:type="dxa"/>
            <w:left w:w="108" w:type="dxa"/>
            <w:bottom w:w="0" w:type="dxa"/>
            <w:right w:w="108" w:type="dxa"/>
          </w:tblCellMar>
        </w:tblPrEx>
        <w:tc>
          <w:tcPr>
            <w:tcW w:w="1492" w:type="dxa"/>
          </w:tcPr>
          <w:p w14:paraId="5ED4D506">
            <w:pPr>
              <w:ind w:left="-57" w:right="-57" w:firstLine="0"/>
              <w:rPr>
                <w:szCs w:val="28"/>
                <w:highlight w:val="none"/>
              </w:rPr>
            </w:pPr>
            <w:r>
              <w:rPr>
                <w:szCs w:val="28"/>
                <w:highlight w:val="none"/>
              </w:rPr>
              <w:t>с/я</w:t>
            </w:r>
          </w:p>
        </w:tc>
        <w:tc>
          <w:tcPr>
            <w:tcW w:w="566" w:type="dxa"/>
            <w:vAlign w:val="center"/>
          </w:tcPr>
          <w:p w14:paraId="258D2ABC">
            <w:pPr>
              <w:ind w:left="-57" w:right="-57" w:firstLine="0"/>
              <w:jc w:val="center"/>
              <w:rPr>
                <w:szCs w:val="28"/>
                <w:highlight w:val="none"/>
                <w:lang w:eastAsia="ru-RU"/>
              </w:rPr>
            </w:pPr>
            <w:r>
              <w:rPr>
                <w:szCs w:val="28"/>
                <w:highlight w:val="none"/>
                <w:lang w:eastAsia="ru-RU"/>
              </w:rPr>
              <w:t>–</w:t>
            </w:r>
          </w:p>
        </w:tc>
        <w:tc>
          <w:tcPr>
            <w:tcW w:w="7286" w:type="dxa"/>
          </w:tcPr>
          <w:p w14:paraId="3F4E3D91">
            <w:pPr>
              <w:ind w:left="-57" w:right="-57" w:firstLine="0"/>
              <w:rPr>
                <w:szCs w:val="28"/>
                <w:highlight w:val="none"/>
              </w:rPr>
            </w:pPr>
            <w:r>
              <w:rPr>
                <w:szCs w:val="28"/>
                <w:highlight w:val="none"/>
              </w:rPr>
              <w:t>сегментоядерні нейтрофіли</w:t>
            </w:r>
          </w:p>
        </w:tc>
      </w:tr>
      <w:tr w14:paraId="60E3B3AD">
        <w:tblPrEx>
          <w:tblCellMar>
            <w:top w:w="0" w:type="dxa"/>
            <w:left w:w="108" w:type="dxa"/>
            <w:bottom w:w="0" w:type="dxa"/>
            <w:right w:w="108" w:type="dxa"/>
          </w:tblCellMar>
        </w:tblPrEx>
        <w:tc>
          <w:tcPr>
            <w:tcW w:w="1492" w:type="dxa"/>
          </w:tcPr>
          <w:p w14:paraId="1BF94979">
            <w:pPr>
              <w:ind w:left="-57" w:right="-57" w:firstLine="0"/>
              <w:rPr>
                <w:rFonts w:cs="Times New Roman"/>
                <w:szCs w:val="28"/>
                <w:highlight w:val="none"/>
                <w:lang w:eastAsia="ru-RU"/>
              </w:rPr>
            </w:pPr>
            <w:r>
              <w:rPr>
                <w:rFonts w:cs="Times New Roman"/>
                <w:szCs w:val="28"/>
                <w:highlight w:val="none"/>
                <w:lang w:eastAsia="ru-RU"/>
              </w:rPr>
              <w:t>СВВ</w:t>
            </w:r>
          </w:p>
        </w:tc>
        <w:tc>
          <w:tcPr>
            <w:tcW w:w="566" w:type="dxa"/>
            <w:vAlign w:val="center"/>
          </w:tcPr>
          <w:p w14:paraId="4D0BA414">
            <w:pPr>
              <w:ind w:left="-57" w:right="-57" w:firstLine="0"/>
              <w:jc w:val="center"/>
              <w:rPr>
                <w:rFonts w:cs="Times New Roman"/>
                <w:szCs w:val="28"/>
                <w:highlight w:val="none"/>
                <w:lang w:eastAsia="ru-RU"/>
              </w:rPr>
            </w:pPr>
            <w:r>
              <w:rPr>
                <w:szCs w:val="28"/>
                <w:highlight w:val="none"/>
                <w:lang w:eastAsia="ru-RU"/>
              </w:rPr>
              <w:t>–</w:t>
            </w:r>
          </w:p>
        </w:tc>
        <w:tc>
          <w:tcPr>
            <w:tcW w:w="7286" w:type="dxa"/>
          </w:tcPr>
          <w:p w14:paraId="2AE547EB">
            <w:pPr>
              <w:ind w:left="-57" w:right="-57" w:firstLine="0"/>
              <w:rPr>
                <w:rFonts w:cs="Times New Roman"/>
                <w:szCs w:val="28"/>
                <w:highlight w:val="none"/>
                <w:lang w:eastAsia="ru-RU"/>
              </w:rPr>
            </w:pPr>
            <w:r>
              <w:rPr>
                <w:rFonts w:cs="Times New Roman"/>
                <w:szCs w:val="28"/>
                <w:highlight w:val="none"/>
                <w:lang w:eastAsia="ru-RU"/>
              </w:rPr>
              <w:t>стійка вірусна відповідь</w:t>
            </w:r>
          </w:p>
        </w:tc>
      </w:tr>
      <w:tr w14:paraId="28FBC9AB">
        <w:tblPrEx>
          <w:tblCellMar>
            <w:top w:w="0" w:type="dxa"/>
            <w:left w:w="108" w:type="dxa"/>
            <w:bottom w:w="0" w:type="dxa"/>
            <w:right w:w="108" w:type="dxa"/>
          </w:tblCellMar>
        </w:tblPrEx>
        <w:tc>
          <w:tcPr>
            <w:tcW w:w="1492" w:type="dxa"/>
          </w:tcPr>
          <w:p w14:paraId="719DD375">
            <w:pPr>
              <w:ind w:left="-57" w:right="-57" w:firstLine="0"/>
              <w:rPr>
                <w:rFonts w:cs="Times New Roman"/>
                <w:szCs w:val="28"/>
                <w:highlight w:val="none"/>
              </w:rPr>
            </w:pPr>
            <w:r>
              <w:rPr>
                <w:rFonts w:cs="Times New Roman"/>
                <w:szCs w:val="28"/>
                <w:highlight w:val="none"/>
                <w:shd w:val="clear" w:color="auto" w:fill="FFFFFF"/>
              </w:rPr>
              <w:t>США</w:t>
            </w:r>
          </w:p>
        </w:tc>
        <w:tc>
          <w:tcPr>
            <w:tcW w:w="566" w:type="dxa"/>
          </w:tcPr>
          <w:p w14:paraId="691D3734">
            <w:pPr>
              <w:ind w:left="-57" w:right="-57" w:firstLine="0"/>
              <w:jc w:val="center"/>
              <w:rPr>
                <w:rFonts w:cs="Times New Roman"/>
                <w:szCs w:val="28"/>
                <w:highlight w:val="none"/>
              </w:rPr>
            </w:pPr>
            <w:r>
              <w:rPr>
                <w:rFonts w:cs="Times New Roman"/>
                <w:szCs w:val="28"/>
                <w:highlight w:val="none"/>
              </w:rPr>
              <w:t>–</w:t>
            </w:r>
          </w:p>
        </w:tc>
        <w:tc>
          <w:tcPr>
            <w:tcW w:w="7286" w:type="dxa"/>
          </w:tcPr>
          <w:p w14:paraId="3923C06C">
            <w:pPr>
              <w:ind w:left="-57" w:right="-57" w:firstLine="0"/>
              <w:rPr>
                <w:rFonts w:cs="Times New Roman"/>
                <w:szCs w:val="28"/>
                <w:highlight w:val="none"/>
              </w:rPr>
            </w:pPr>
            <w:r>
              <w:rPr>
                <w:rFonts w:cs="Times New Roman"/>
                <w:szCs w:val="28"/>
                <w:highlight w:val="none"/>
                <w:shd w:val="clear" w:color="auto" w:fill="FFFFFF"/>
              </w:rPr>
              <w:t>Сполучені Штати Америки</w:t>
            </w:r>
          </w:p>
        </w:tc>
      </w:tr>
      <w:tr w14:paraId="10D842D3">
        <w:tblPrEx>
          <w:tblCellMar>
            <w:top w:w="0" w:type="dxa"/>
            <w:left w:w="108" w:type="dxa"/>
            <w:bottom w:w="0" w:type="dxa"/>
            <w:right w:w="108" w:type="dxa"/>
          </w:tblCellMar>
        </w:tblPrEx>
        <w:tc>
          <w:tcPr>
            <w:tcW w:w="1492" w:type="dxa"/>
          </w:tcPr>
          <w:p w14:paraId="3E9A1178">
            <w:pPr>
              <w:ind w:left="-57" w:right="-57" w:firstLine="0"/>
              <w:rPr>
                <w:szCs w:val="28"/>
                <w:highlight w:val="none"/>
              </w:rPr>
            </w:pPr>
            <w:r>
              <w:rPr>
                <w:szCs w:val="28"/>
                <w:highlight w:val="none"/>
              </w:rPr>
              <w:t>ТГ</w:t>
            </w:r>
          </w:p>
        </w:tc>
        <w:tc>
          <w:tcPr>
            <w:tcW w:w="566" w:type="dxa"/>
            <w:vAlign w:val="center"/>
          </w:tcPr>
          <w:p w14:paraId="74E73825">
            <w:pPr>
              <w:ind w:left="-57" w:right="-57" w:firstLine="0"/>
              <w:jc w:val="center"/>
              <w:rPr>
                <w:szCs w:val="28"/>
                <w:highlight w:val="none"/>
                <w:lang w:eastAsia="ru-RU"/>
              </w:rPr>
            </w:pPr>
            <w:r>
              <w:rPr>
                <w:rFonts w:cs="Times New Roman"/>
                <w:szCs w:val="28"/>
                <w:highlight w:val="none"/>
                <w:lang w:eastAsia="ru-RU"/>
              </w:rPr>
              <w:t>–</w:t>
            </w:r>
          </w:p>
        </w:tc>
        <w:tc>
          <w:tcPr>
            <w:tcW w:w="7286" w:type="dxa"/>
          </w:tcPr>
          <w:p w14:paraId="4E0413EC">
            <w:pPr>
              <w:ind w:left="-57" w:right="-57" w:firstLine="0"/>
              <w:rPr>
                <w:szCs w:val="28"/>
                <w:highlight w:val="none"/>
              </w:rPr>
            </w:pPr>
            <w:r>
              <w:rPr>
                <w:rFonts w:cs="Times New Roman"/>
                <w:bCs/>
                <w:highlight w:val="none"/>
                <w:lang w:eastAsia="ru-RU"/>
              </w:rPr>
              <w:t>Т</w:t>
            </w:r>
            <w:r>
              <w:rPr>
                <w:rFonts w:cs="Times New Roman"/>
                <w:bCs/>
                <w:highlight w:val="none"/>
                <w:lang w:eastAsia="ru-RU"/>
              </w:rPr>
              <w:t>ригліцерид</w:t>
            </w:r>
            <w:r>
              <w:rPr>
                <w:szCs w:val="28"/>
                <w:highlight w:val="none"/>
              </w:rPr>
              <w:t>и</w:t>
            </w:r>
          </w:p>
        </w:tc>
      </w:tr>
      <w:tr w14:paraId="0671842A">
        <w:tblPrEx>
          <w:tblCellMar>
            <w:top w:w="0" w:type="dxa"/>
            <w:left w:w="108" w:type="dxa"/>
            <w:bottom w:w="0" w:type="dxa"/>
            <w:right w:w="108" w:type="dxa"/>
          </w:tblCellMar>
        </w:tblPrEx>
        <w:tc>
          <w:tcPr>
            <w:tcW w:w="1492" w:type="dxa"/>
          </w:tcPr>
          <w:p w14:paraId="14606484">
            <w:pPr>
              <w:ind w:left="-57" w:right="-57" w:firstLine="0"/>
              <w:rPr>
                <w:szCs w:val="28"/>
                <w:highlight w:val="none"/>
              </w:rPr>
            </w:pPr>
            <w:r>
              <w:rPr>
                <w:szCs w:val="28"/>
                <w:highlight w:val="none"/>
              </w:rPr>
              <w:t>УЗД</w:t>
            </w:r>
          </w:p>
        </w:tc>
        <w:tc>
          <w:tcPr>
            <w:tcW w:w="566" w:type="dxa"/>
            <w:vAlign w:val="center"/>
          </w:tcPr>
          <w:p w14:paraId="796EC11C">
            <w:pPr>
              <w:ind w:left="-57" w:right="-57" w:firstLine="0"/>
              <w:jc w:val="center"/>
              <w:rPr>
                <w:rFonts w:cs="Times New Roman"/>
                <w:szCs w:val="28"/>
                <w:highlight w:val="none"/>
                <w:lang w:eastAsia="ru-RU"/>
              </w:rPr>
            </w:pPr>
            <w:r>
              <w:rPr>
                <w:rFonts w:cs="Times New Roman"/>
                <w:szCs w:val="28"/>
                <w:highlight w:val="none"/>
                <w:lang w:eastAsia="ru-RU"/>
              </w:rPr>
              <w:t>–</w:t>
            </w:r>
          </w:p>
        </w:tc>
        <w:tc>
          <w:tcPr>
            <w:tcW w:w="7286" w:type="dxa"/>
          </w:tcPr>
          <w:p w14:paraId="594CAC2F">
            <w:pPr>
              <w:ind w:left="-57" w:right="-57" w:firstLine="0"/>
              <w:rPr>
                <w:rFonts w:cs="Times New Roman"/>
                <w:bCs/>
                <w:highlight w:val="none"/>
                <w:lang w:eastAsia="ru-RU"/>
              </w:rPr>
            </w:pPr>
            <w:r>
              <w:rPr>
                <w:szCs w:val="28"/>
                <w:highlight w:val="none"/>
              </w:rPr>
              <w:t>ультразвукове дослідження</w:t>
            </w:r>
          </w:p>
        </w:tc>
      </w:tr>
      <w:tr w14:paraId="6DA191F6">
        <w:tblPrEx>
          <w:tblCellMar>
            <w:top w:w="0" w:type="dxa"/>
            <w:left w:w="108" w:type="dxa"/>
            <w:bottom w:w="0" w:type="dxa"/>
            <w:right w:w="108" w:type="dxa"/>
          </w:tblCellMar>
        </w:tblPrEx>
        <w:tc>
          <w:tcPr>
            <w:tcW w:w="1492" w:type="dxa"/>
          </w:tcPr>
          <w:p w14:paraId="5886E7B6">
            <w:pPr>
              <w:ind w:left="-57" w:right="-57" w:firstLine="0"/>
              <w:rPr>
                <w:rFonts w:cs="Times New Roman"/>
                <w:szCs w:val="28"/>
                <w:highlight w:val="none"/>
                <w:lang w:eastAsia="ru-RU"/>
              </w:rPr>
            </w:pPr>
            <w:r>
              <w:rPr>
                <w:rFonts w:cs="Times New Roman"/>
                <w:szCs w:val="28"/>
                <w:highlight w:val="none"/>
                <w:lang w:eastAsia="ru-RU"/>
              </w:rPr>
              <w:t>ФНП</w:t>
            </w:r>
          </w:p>
        </w:tc>
        <w:tc>
          <w:tcPr>
            <w:tcW w:w="566" w:type="dxa"/>
            <w:vAlign w:val="center"/>
          </w:tcPr>
          <w:p w14:paraId="141C4E43">
            <w:pPr>
              <w:ind w:left="-57" w:right="-57" w:firstLine="0"/>
              <w:jc w:val="center"/>
              <w:rPr>
                <w:rFonts w:cs="Times New Roman"/>
                <w:szCs w:val="28"/>
                <w:highlight w:val="none"/>
                <w:lang w:eastAsia="ru-RU"/>
              </w:rPr>
            </w:pPr>
            <w:r>
              <w:rPr>
                <w:szCs w:val="28"/>
                <w:highlight w:val="none"/>
                <w:lang w:eastAsia="ru-RU"/>
              </w:rPr>
              <w:t>–</w:t>
            </w:r>
          </w:p>
        </w:tc>
        <w:tc>
          <w:tcPr>
            <w:tcW w:w="7286" w:type="dxa"/>
          </w:tcPr>
          <w:p w14:paraId="04C361CE">
            <w:pPr>
              <w:ind w:left="-57" w:right="-57" w:firstLine="0"/>
              <w:rPr>
                <w:rFonts w:cs="Times New Roman"/>
                <w:szCs w:val="28"/>
                <w:highlight w:val="none"/>
                <w:lang w:eastAsia="ru-RU"/>
              </w:rPr>
            </w:pPr>
            <w:r>
              <w:rPr>
                <w:rFonts w:cs="Times New Roman"/>
                <w:szCs w:val="28"/>
                <w:highlight w:val="none"/>
                <w:lang w:eastAsia="ru-RU"/>
              </w:rPr>
              <w:t>фактор некрозу пухлин</w:t>
            </w:r>
          </w:p>
        </w:tc>
      </w:tr>
      <w:tr w14:paraId="0DC698D7">
        <w:tblPrEx>
          <w:tblCellMar>
            <w:top w:w="0" w:type="dxa"/>
            <w:left w:w="108" w:type="dxa"/>
            <w:bottom w:w="0" w:type="dxa"/>
            <w:right w:w="108" w:type="dxa"/>
          </w:tblCellMar>
        </w:tblPrEx>
        <w:tc>
          <w:tcPr>
            <w:tcW w:w="1492" w:type="dxa"/>
          </w:tcPr>
          <w:p w14:paraId="60034A79">
            <w:pPr>
              <w:ind w:left="-57" w:right="-57" w:firstLine="0"/>
              <w:rPr>
                <w:szCs w:val="28"/>
                <w:highlight w:val="none"/>
              </w:rPr>
            </w:pPr>
            <w:r>
              <w:rPr>
                <w:szCs w:val="28"/>
                <w:highlight w:val="none"/>
              </w:rPr>
              <w:t>ФП</w:t>
            </w:r>
          </w:p>
        </w:tc>
        <w:tc>
          <w:tcPr>
            <w:tcW w:w="566" w:type="dxa"/>
            <w:vAlign w:val="center"/>
          </w:tcPr>
          <w:p w14:paraId="3F98590B">
            <w:pPr>
              <w:ind w:left="-57" w:right="-57" w:firstLine="0"/>
              <w:jc w:val="center"/>
              <w:rPr>
                <w:rFonts w:cs="Times New Roman"/>
                <w:szCs w:val="28"/>
                <w:highlight w:val="none"/>
                <w:lang w:eastAsia="ru-RU"/>
              </w:rPr>
            </w:pPr>
            <w:r>
              <w:rPr>
                <w:szCs w:val="28"/>
                <w:highlight w:val="none"/>
                <w:lang w:eastAsia="ru-RU"/>
              </w:rPr>
              <w:t>–</w:t>
            </w:r>
          </w:p>
        </w:tc>
        <w:tc>
          <w:tcPr>
            <w:tcW w:w="7286" w:type="dxa"/>
          </w:tcPr>
          <w:p w14:paraId="7ACAED87">
            <w:pPr>
              <w:ind w:left="-57" w:right="-57" w:firstLine="0"/>
              <w:rPr>
                <w:szCs w:val="28"/>
                <w:highlight w:val="none"/>
              </w:rPr>
            </w:pPr>
            <w:r>
              <w:rPr>
                <w:szCs w:val="28"/>
                <w:highlight w:val="none"/>
              </w:rPr>
              <w:t>фіброз печінки</w:t>
            </w:r>
          </w:p>
        </w:tc>
      </w:tr>
      <w:tr w14:paraId="0A287216">
        <w:tblPrEx>
          <w:tblCellMar>
            <w:top w:w="0" w:type="dxa"/>
            <w:left w:w="108" w:type="dxa"/>
            <w:bottom w:w="0" w:type="dxa"/>
            <w:right w:w="108" w:type="dxa"/>
          </w:tblCellMar>
        </w:tblPrEx>
        <w:tc>
          <w:tcPr>
            <w:tcW w:w="1492" w:type="dxa"/>
          </w:tcPr>
          <w:p w14:paraId="52CA7734">
            <w:pPr>
              <w:ind w:left="-57" w:right="-57" w:firstLine="0"/>
              <w:rPr>
                <w:szCs w:val="28"/>
                <w:highlight w:val="none"/>
              </w:rPr>
            </w:pPr>
            <w:r>
              <w:rPr>
                <w:szCs w:val="28"/>
                <w:highlight w:val="none"/>
              </w:rPr>
              <w:t>ХГС</w:t>
            </w:r>
          </w:p>
        </w:tc>
        <w:tc>
          <w:tcPr>
            <w:tcW w:w="566" w:type="dxa"/>
            <w:vAlign w:val="center"/>
          </w:tcPr>
          <w:p w14:paraId="43C8E945">
            <w:pPr>
              <w:ind w:left="-57" w:right="-57" w:firstLine="0"/>
              <w:jc w:val="center"/>
              <w:rPr>
                <w:szCs w:val="28"/>
                <w:highlight w:val="none"/>
                <w:lang w:eastAsia="ru-RU"/>
              </w:rPr>
            </w:pPr>
            <w:r>
              <w:rPr>
                <w:szCs w:val="28"/>
                <w:highlight w:val="none"/>
                <w:lang w:eastAsia="ru-RU"/>
              </w:rPr>
              <w:t>–</w:t>
            </w:r>
          </w:p>
        </w:tc>
        <w:tc>
          <w:tcPr>
            <w:tcW w:w="7286" w:type="dxa"/>
          </w:tcPr>
          <w:p w14:paraId="07814EEB">
            <w:pPr>
              <w:ind w:left="-57" w:right="-57" w:firstLine="0"/>
              <w:rPr>
                <w:szCs w:val="28"/>
                <w:highlight w:val="none"/>
              </w:rPr>
            </w:pPr>
            <w:r>
              <w:rPr>
                <w:szCs w:val="28"/>
                <w:highlight w:val="none"/>
              </w:rPr>
              <w:t>хронічний гепатит С</w:t>
            </w:r>
          </w:p>
        </w:tc>
      </w:tr>
      <w:tr w14:paraId="116D29CD">
        <w:tblPrEx>
          <w:tblCellMar>
            <w:top w:w="0" w:type="dxa"/>
            <w:left w:w="108" w:type="dxa"/>
            <w:bottom w:w="0" w:type="dxa"/>
            <w:right w:w="108" w:type="dxa"/>
          </w:tblCellMar>
        </w:tblPrEx>
        <w:tc>
          <w:tcPr>
            <w:tcW w:w="1492" w:type="dxa"/>
          </w:tcPr>
          <w:p w14:paraId="0B6EC715">
            <w:pPr>
              <w:ind w:left="-57" w:right="-57" w:firstLine="0"/>
              <w:rPr>
                <w:szCs w:val="28"/>
                <w:highlight w:val="none"/>
              </w:rPr>
            </w:pPr>
            <w:r>
              <w:rPr>
                <w:szCs w:val="28"/>
                <w:highlight w:val="none"/>
              </w:rPr>
              <w:t>ХЛПВЩ</w:t>
            </w:r>
          </w:p>
        </w:tc>
        <w:tc>
          <w:tcPr>
            <w:tcW w:w="566" w:type="dxa"/>
            <w:vAlign w:val="center"/>
          </w:tcPr>
          <w:p w14:paraId="0735BC7B">
            <w:pPr>
              <w:ind w:left="-57" w:right="-57" w:firstLine="0"/>
              <w:jc w:val="center"/>
              <w:rPr>
                <w:szCs w:val="28"/>
                <w:highlight w:val="none"/>
                <w:lang w:eastAsia="ru-RU"/>
              </w:rPr>
            </w:pPr>
            <w:r>
              <w:rPr>
                <w:rFonts w:cs="Times New Roman"/>
                <w:szCs w:val="28"/>
                <w:highlight w:val="none"/>
                <w:lang w:eastAsia="ru-RU"/>
              </w:rPr>
              <w:t>–</w:t>
            </w:r>
          </w:p>
        </w:tc>
        <w:tc>
          <w:tcPr>
            <w:tcW w:w="7286" w:type="dxa"/>
          </w:tcPr>
          <w:p w14:paraId="582BC90C">
            <w:pPr>
              <w:ind w:left="-57" w:right="-57" w:firstLine="0"/>
              <w:rPr>
                <w:szCs w:val="28"/>
                <w:highlight w:val="none"/>
              </w:rPr>
            </w:pPr>
            <w:r>
              <w:rPr>
                <w:rFonts w:cs="Times New Roman"/>
                <w:highlight w:val="none"/>
              </w:rPr>
              <w:t>холестерин ліпопротеїнів високої щільності</w:t>
            </w:r>
          </w:p>
        </w:tc>
      </w:tr>
      <w:tr w14:paraId="42C914A0">
        <w:tblPrEx>
          <w:tblCellMar>
            <w:top w:w="0" w:type="dxa"/>
            <w:left w:w="108" w:type="dxa"/>
            <w:bottom w:w="0" w:type="dxa"/>
            <w:right w:w="108" w:type="dxa"/>
          </w:tblCellMar>
        </w:tblPrEx>
        <w:tc>
          <w:tcPr>
            <w:tcW w:w="1492" w:type="dxa"/>
          </w:tcPr>
          <w:p w14:paraId="019980B6">
            <w:pPr>
              <w:ind w:left="-57" w:right="-57" w:firstLine="0"/>
              <w:rPr>
                <w:szCs w:val="28"/>
                <w:highlight w:val="none"/>
              </w:rPr>
            </w:pPr>
            <w:r>
              <w:rPr>
                <w:szCs w:val="28"/>
                <w:highlight w:val="none"/>
              </w:rPr>
              <w:t>ХЛПДНЩ</w:t>
            </w:r>
          </w:p>
        </w:tc>
        <w:tc>
          <w:tcPr>
            <w:tcW w:w="566" w:type="dxa"/>
            <w:vAlign w:val="center"/>
          </w:tcPr>
          <w:p w14:paraId="4434AEB7">
            <w:pPr>
              <w:ind w:left="-57" w:right="-57" w:firstLine="0"/>
              <w:jc w:val="center"/>
              <w:rPr>
                <w:rFonts w:cs="Times New Roman"/>
                <w:szCs w:val="28"/>
                <w:highlight w:val="none"/>
                <w:lang w:eastAsia="ru-RU"/>
              </w:rPr>
            </w:pPr>
            <w:r>
              <w:rPr>
                <w:rFonts w:cs="Times New Roman"/>
                <w:szCs w:val="28"/>
                <w:highlight w:val="none"/>
                <w:lang w:eastAsia="ru-RU"/>
              </w:rPr>
              <w:t>–</w:t>
            </w:r>
          </w:p>
        </w:tc>
        <w:tc>
          <w:tcPr>
            <w:tcW w:w="7286" w:type="dxa"/>
          </w:tcPr>
          <w:p w14:paraId="399EF09A">
            <w:pPr>
              <w:ind w:left="-57" w:right="-57" w:firstLine="0"/>
              <w:rPr>
                <w:rFonts w:cs="Times New Roman"/>
                <w:highlight w:val="none"/>
              </w:rPr>
            </w:pPr>
            <w:r>
              <w:rPr>
                <w:rFonts w:cs="Times New Roman"/>
                <w:highlight w:val="none"/>
              </w:rPr>
              <w:t>холестерин ліпопротеїнів досить низької щільності</w:t>
            </w:r>
          </w:p>
        </w:tc>
      </w:tr>
      <w:tr w14:paraId="57E7D51C">
        <w:tblPrEx>
          <w:tblCellMar>
            <w:top w:w="0" w:type="dxa"/>
            <w:left w:w="108" w:type="dxa"/>
            <w:bottom w:w="0" w:type="dxa"/>
            <w:right w:w="108" w:type="dxa"/>
          </w:tblCellMar>
        </w:tblPrEx>
        <w:tc>
          <w:tcPr>
            <w:tcW w:w="1492" w:type="dxa"/>
          </w:tcPr>
          <w:p w14:paraId="26F9FB83">
            <w:pPr>
              <w:ind w:left="-57" w:right="-57" w:firstLine="0"/>
              <w:rPr>
                <w:szCs w:val="28"/>
                <w:highlight w:val="none"/>
              </w:rPr>
            </w:pPr>
            <w:r>
              <w:rPr>
                <w:szCs w:val="28"/>
                <w:highlight w:val="none"/>
              </w:rPr>
              <w:t>ХЛПНЩ</w:t>
            </w:r>
          </w:p>
        </w:tc>
        <w:tc>
          <w:tcPr>
            <w:tcW w:w="566" w:type="dxa"/>
            <w:vAlign w:val="center"/>
          </w:tcPr>
          <w:p w14:paraId="5EE3A9F1">
            <w:pPr>
              <w:ind w:left="-57" w:right="-57" w:firstLine="0"/>
              <w:jc w:val="center"/>
              <w:rPr>
                <w:rFonts w:cs="Times New Roman"/>
                <w:szCs w:val="28"/>
                <w:highlight w:val="none"/>
                <w:lang w:eastAsia="ru-RU"/>
              </w:rPr>
            </w:pPr>
            <w:r>
              <w:rPr>
                <w:rFonts w:cs="Times New Roman"/>
                <w:szCs w:val="28"/>
                <w:highlight w:val="none"/>
                <w:lang w:eastAsia="ru-RU"/>
              </w:rPr>
              <w:t>–</w:t>
            </w:r>
          </w:p>
        </w:tc>
        <w:tc>
          <w:tcPr>
            <w:tcW w:w="7286" w:type="dxa"/>
          </w:tcPr>
          <w:p w14:paraId="43AA2C91">
            <w:pPr>
              <w:ind w:left="-57" w:right="-57" w:firstLine="0"/>
              <w:rPr>
                <w:rFonts w:cs="Times New Roman"/>
                <w:highlight w:val="none"/>
              </w:rPr>
            </w:pPr>
            <w:r>
              <w:rPr>
                <w:rFonts w:cs="Times New Roman"/>
                <w:highlight w:val="none"/>
              </w:rPr>
              <w:t>холестерин ліпопротеїнів низької щільності</w:t>
            </w:r>
          </w:p>
        </w:tc>
      </w:tr>
      <w:tr w14:paraId="6FDFBA6F">
        <w:tblPrEx>
          <w:tblCellMar>
            <w:top w:w="0" w:type="dxa"/>
            <w:left w:w="108" w:type="dxa"/>
            <w:bottom w:w="0" w:type="dxa"/>
            <w:right w:w="108" w:type="dxa"/>
          </w:tblCellMar>
        </w:tblPrEx>
        <w:tc>
          <w:tcPr>
            <w:tcW w:w="1492" w:type="dxa"/>
          </w:tcPr>
          <w:p w14:paraId="732D9C61">
            <w:pPr>
              <w:ind w:left="-57" w:right="-57" w:firstLine="0"/>
              <w:rPr>
                <w:szCs w:val="28"/>
                <w:highlight w:val="none"/>
              </w:rPr>
            </w:pPr>
            <w:r>
              <w:rPr>
                <w:szCs w:val="28"/>
                <w:highlight w:val="none"/>
              </w:rPr>
              <w:t>ХНМУ</w:t>
            </w:r>
          </w:p>
        </w:tc>
        <w:tc>
          <w:tcPr>
            <w:tcW w:w="566" w:type="dxa"/>
            <w:vAlign w:val="center"/>
          </w:tcPr>
          <w:p w14:paraId="3F273DAA">
            <w:pPr>
              <w:ind w:left="-57" w:right="-57" w:firstLine="0"/>
              <w:jc w:val="center"/>
              <w:rPr>
                <w:rFonts w:cs="Times New Roman"/>
                <w:szCs w:val="28"/>
                <w:highlight w:val="none"/>
                <w:lang w:eastAsia="ru-RU"/>
              </w:rPr>
            </w:pPr>
            <w:r>
              <w:rPr>
                <w:szCs w:val="28"/>
                <w:highlight w:val="none"/>
                <w:lang w:eastAsia="ru-RU"/>
              </w:rPr>
              <w:t>–</w:t>
            </w:r>
          </w:p>
        </w:tc>
        <w:tc>
          <w:tcPr>
            <w:tcW w:w="7286" w:type="dxa"/>
          </w:tcPr>
          <w:p w14:paraId="35B399B9">
            <w:pPr>
              <w:ind w:left="-57" w:right="-57" w:firstLine="0"/>
              <w:rPr>
                <w:rFonts w:cs="Times New Roman"/>
                <w:highlight w:val="none"/>
              </w:rPr>
            </w:pPr>
            <w:r>
              <w:rPr>
                <w:szCs w:val="28"/>
                <w:highlight w:val="none"/>
              </w:rPr>
              <w:t>Харківський національний медичний університет</w:t>
            </w:r>
          </w:p>
        </w:tc>
      </w:tr>
      <w:tr w14:paraId="26CE140B">
        <w:tblPrEx>
          <w:tblCellMar>
            <w:top w:w="0" w:type="dxa"/>
            <w:left w:w="108" w:type="dxa"/>
            <w:bottom w:w="0" w:type="dxa"/>
            <w:right w:w="108" w:type="dxa"/>
          </w:tblCellMar>
        </w:tblPrEx>
        <w:tc>
          <w:tcPr>
            <w:tcW w:w="1492" w:type="dxa"/>
          </w:tcPr>
          <w:p w14:paraId="10CA7FA8">
            <w:pPr>
              <w:ind w:left="-57" w:right="-57" w:firstLine="0"/>
              <w:rPr>
                <w:szCs w:val="28"/>
                <w:highlight w:val="none"/>
              </w:rPr>
            </w:pPr>
            <w:r>
              <w:rPr>
                <w:szCs w:val="28"/>
                <w:highlight w:val="none"/>
              </w:rPr>
              <w:t>ХОР</w:t>
            </w:r>
          </w:p>
        </w:tc>
        <w:tc>
          <w:tcPr>
            <w:tcW w:w="566" w:type="dxa"/>
            <w:vAlign w:val="center"/>
          </w:tcPr>
          <w:p w14:paraId="0F1D594C">
            <w:pPr>
              <w:ind w:left="-57" w:right="-57" w:firstLine="0"/>
              <w:jc w:val="center"/>
              <w:rPr>
                <w:szCs w:val="28"/>
                <w:highlight w:val="none"/>
                <w:lang w:eastAsia="ru-RU"/>
              </w:rPr>
            </w:pPr>
            <w:r>
              <w:rPr>
                <w:szCs w:val="28"/>
                <w:highlight w:val="none"/>
                <w:lang w:eastAsia="ru-RU"/>
              </w:rPr>
              <w:t>–</w:t>
            </w:r>
          </w:p>
        </w:tc>
        <w:tc>
          <w:tcPr>
            <w:tcW w:w="7286" w:type="dxa"/>
          </w:tcPr>
          <w:p w14:paraId="1CC00C42">
            <w:pPr>
              <w:ind w:left="-57" w:right="-57" w:firstLine="0"/>
              <w:rPr>
                <w:szCs w:val="28"/>
                <w:highlight w:val="none"/>
              </w:rPr>
            </w:pPr>
            <w:r>
              <w:rPr>
                <w:szCs w:val="28"/>
                <w:highlight w:val="none"/>
              </w:rPr>
              <w:t>Харківська обласна рада</w:t>
            </w:r>
          </w:p>
        </w:tc>
      </w:tr>
      <w:tr w14:paraId="16DCD545">
        <w:tblPrEx>
          <w:tblCellMar>
            <w:top w:w="0" w:type="dxa"/>
            <w:left w:w="108" w:type="dxa"/>
            <w:bottom w:w="0" w:type="dxa"/>
            <w:right w:w="108" w:type="dxa"/>
          </w:tblCellMar>
        </w:tblPrEx>
        <w:tc>
          <w:tcPr>
            <w:tcW w:w="1492" w:type="dxa"/>
          </w:tcPr>
          <w:p w14:paraId="72CE24E1">
            <w:pPr>
              <w:ind w:left="-57" w:right="-57" w:firstLine="0"/>
              <w:rPr>
                <w:szCs w:val="28"/>
                <w:highlight w:val="none"/>
              </w:rPr>
            </w:pPr>
            <w:r>
              <w:rPr>
                <w:szCs w:val="28"/>
                <w:highlight w:val="none"/>
              </w:rPr>
              <w:t>ЦД</w:t>
            </w:r>
          </w:p>
        </w:tc>
        <w:tc>
          <w:tcPr>
            <w:tcW w:w="566" w:type="dxa"/>
            <w:vAlign w:val="center"/>
          </w:tcPr>
          <w:p w14:paraId="6A475028">
            <w:pPr>
              <w:ind w:left="-57" w:right="-57" w:firstLine="0"/>
              <w:jc w:val="center"/>
              <w:rPr>
                <w:szCs w:val="28"/>
                <w:highlight w:val="none"/>
                <w:lang w:eastAsia="ru-RU"/>
              </w:rPr>
            </w:pPr>
            <w:r>
              <w:rPr>
                <w:rFonts w:cs="Times New Roman"/>
                <w:szCs w:val="28"/>
                <w:highlight w:val="none"/>
                <w:lang w:eastAsia="ru-RU"/>
              </w:rPr>
              <w:t>–</w:t>
            </w:r>
          </w:p>
        </w:tc>
        <w:tc>
          <w:tcPr>
            <w:tcW w:w="7286" w:type="dxa"/>
          </w:tcPr>
          <w:p w14:paraId="33232B45">
            <w:pPr>
              <w:ind w:left="-57" w:right="-57" w:firstLine="0"/>
              <w:rPr>
                <w:szCs w:val="28"/>
                <w:highlight w:val="none"/>
              </w:rPr>
            </w:pPr>
            <w:r>
              <w:rPr>
                <w:szCs w:val="28"/>
                <w:highlight w:val="none"/>
              </w:rPr>
              <w:t>цукровий діабет</w:t>
            </w:r>
          </w:p>
        </w:tc>
      </w:tr>
      <w:tr w14:paraId="08DE6844">
        <w:tblPrEx>
          <w:tblCellMar>
            <w:top w:w="0" w:type="dxa"/>
            <w:left w:w="108" w:type="dxa"/>
            <w:bottom w:w="0" w:type="dxa"/>
            <w:right w:w="108" w:type="dxa"/>
          </w:tblCellMar>
        </w:tblPrEx>
        <w:tc>
          <w:tcPr>
            <w:tcW w:w="1492" w:type="dxa"/>
          </w:tcPr>
          <w:p w14:paraId="30ABAE1F">
            <w:pPr>
              <w:ind w:left="-57" w:right="-57" w:firstLine="0"/>
              <w:rPr>
                <w:szCs w:val="28"/>
                <w:highlight w:val="none"/>
              </w:rPr>
            </w:pPr>
            <w:r>
              <w:rPr>
                <w:szCs w:val="28"/>
                <w:highlight w:val="none"/>
              </w:rPr>
              <w:t>ЦП</w:t>
            </w:r>
          </w:p>
        </w:tc>
        <w:tc>
          <w:tcPr>
            <w:tcW w:w="566" w:type="dxa"/>
            <w:vAlign w:val="center"/>
          </w:tcPr>
          <w:p w14:paraId="104D3407">
            <w:pPr>
              <w:ind w:left="-57" w:right="-57" w:firstLine="0"/>
              <w:jc w:val="center"/>
              <w:rPr>
                <w:rFonts w:cs="Times New Roman"/>
                <w:szCs w:val="28"/>
                <w:highlight w:val="none"/>
                <w:lang w:eastAsia="ru-RU"/>
              </w:rPr>
            </w:pPr>
            <w:r>
              <w:rPr>
                <w:rFonts w:cs="Times New Roman"/>
                <w:szCs w:val="28"/>
                <w:highlight w:val="none"/>
                <w:lang w:eastAsia="ru-RU"/>
              </w:rPr>
              <w:t>–</w:t>
            </w:r>
          </w:p>
        </w:tc>
        <w:tc>
          <w:tcPr>
            <w:tcW w:w="7286" w:type="dxa"/>
          </w:tcPr>
          <w:p w14:paraId="37BFAE61">
            <w:pPr>
              <w:ind w:left="-57" w:right="-57" w:firstLine="0"/>
              <w:rPr>
                <w:szCs w:val="28"/>
                <w:highlight w:val="none"/>
              </w:rPr>
            </w:pPr>
            <w:r>
              <w:rPr>
                <w:szCs w:val="28"/>
                <w:highlight w:val="none"/>
              </w:rPr>
              <w:t>цироз печінки</w:t>
            </w:r>
          </w:p>
        </w:tc>
      </w:tr>
      <w:tr w14:paraId="0D3CD45B">
        <w:tblPrEx>
          <w:tblCellMar>
            <w:top w:w="0" w:type="dxa"/>
            <w:left w:w="108" w:type="dxa"/>
            <w:bottom w:w="0" w:type="dxa"/>
            <w:right w:w="108" w:type="dxa"/>
          </w:tblCellMar>
        </w:tblPrEx>
        <w:tc>
          <w:tcPr>
            <w:tcW w:w="1492" w:type="dxa"/>
          </w:tcPr>
          <w:p w14:paraId="57467075">
            <w:pPr>
              <w:ind w:left="-57" w:right="-57" w:firstLine="0"/>
              <w:rPr>
                <w:szCs w:val="28"/>
                <w:highlight w:val="none"/>
              </w:rPr>
            </w:pPr>
            <w:r>
              <w:rPr>
                <w:szCs w:val="28"/>
                <w:highlight w:val="none"/>
              </w:rPr>
              <w:t>ШОЕ</w:t>
            </w:r>
          </w:p>
        </w:tc>
        <w:tc>
          <w:tcPr>
            <w:tcW w:w="566" w:type="dxa"/>
            <w:vAlign w:val="center"/>
          </w:tcPr>
          <w:p w14:paraId="16ED0AC8">
            <w:pPr>
              <w:ind w:left="-57" w:right="-57" w:firstLine="0"/>
              <w:jc w:val="center"/>
              <w:rPr>
                <w:rFonts w:cs="Times New Roman"/>
                <w:szCs w:val="28"/>
                <w:highlight w:val="none"/>
                <w:lang w:eastAsia="ru-RU"/>
              </w:rPr>
            </w:pPr>
            <w:r>
              <w:rPr>
                <w:szCs w:val="28"/>
                <w:highlight w:val="none"/>
                <w:lang w:eastAsia="ru-RU"/>
              </w:rPr>
              <w:t>–</w:t>
            </w:r>
          </w:p>
        </w:tc>
        <w:tc>
          <w:tcPr>
            <w:tcW w:w="7286" w:type="dxa"/>
          </w:tcPr>
          <w:p w14:paraId="0ECBE65F">
            <w:pPr>
              <w:ind w:left="-57" w:right="-57" w:firstLine="0"/>
              <w:rPr>
                <w:szCs w:val="28"/>
                <w:highlight w:val="none"/>
              </w:rPr>
            </w:pPr>
            <w:r>
              <w:rPr>
                <w:szCs w:val="28"/>
                <w:highlight w:val="none"/>
              </w:rPr>
              <w:t>швидкість осідання еритроцитів</w:t>
            </w:r>
          </w:p>
        </w:tc>
      </w:tr>
      <w:tr w14:paraId="462A9E24">
        <w:tblPrEx>
          <w:tblCellMar>
            <w:top w:w="0" w:type="dxa"/>
            <w:left w:w="108" w:type="dxa"/>
            <w:bottom w:w="0" w:type="dxa"/>
            <w:right w:w="108" w:type="dxa"/>
          </w:tblCellMar>
        </w:tblPrEx>
        <w:tc>
          <w:tcPr>
            <w:tcW w:w="1492" w:type="dxa"/>
          </w:tcPr>
          <w:p w14:paraId="1B2976F9">
            <w:pPr>
              <w:ind w:left="-57" w:right="-57" w:firstLine="0"/>
              <w:rPr>
                <w:szCs w:val="28"/>
                <w:highlight w:val="none"/>
              </w:rPr>
            </w:pPr>
            <w:r>
              <w:rPr>
                <w:szCs w:val="28"/>
                <w:highlight w:val="none"/>
              </w:rPr>
              <w:t>AASLD</w:t>
            </w:r>
          </w:p>
        </w:tc>
        <w:tc>
          <w:tcPr>
            <w:tcW w:w="566" w:type="dxa"/>
            <w:vAlign w:val="center"/>
          </w:tcPr>
          <w:p w14:paraId="3F266C8B">
            <w:pPr>
              <w:ind w:left="-57" w:right="-57" w:firstLine="0"/>
              <w:jc w:val="center"/>
              <w:rPr>
                <w:szCs w:val="28"/>
                <w:highlight w:val="none"/>
                <w:lang w:eastAsia="ru-RU"/>
              </w:rPr>
            </w:pPr>
            <w:r>
              <w:rPr>
                <w:szCs w:val="28"/>
                <w:highlight w:val="none"/>
                <w:lang w:eastAsia="ru-RU"/>
              </w:rPr>
              <w:t>–</w:t>
            </w:r>
          </w:p>
        </w:tc>
        <w:tc>
          <w:tcPr>
            <w:tcW w:w="7286" w:type="dxa"/>
          </w:tcPr>
          <w:p w14:paraId="70557BD2">
            <w:pPr>
              <w:ind w:left="-57" w:right="-57" w:firstLine="0"/>
              <w:rPr>
                <w:szCs w:val="28"/>
                <w:highlight w:val="none"/>
              </w:rPr>
            </w:pPr>
            <w:r>
              <w:rPr>
                <w:szCs w:val="28"/>
                <w:highlight w:val="none"/>
              </w:rPr>
              <w:t>Американська асоціація з вивчення захворювань печінки (American Associations for the Study of Liver Diseases)</w:t>
            </w:r>
          </w:p>
        </w:tc>
      </w:tr>
      <w:tr w14:paraId="22A42EB1">
        <w:tblPrEx>
          <w:tblCellMar>
            <w:top w:w="0" w:type="dxa"/>
            <w:left w:w="108" w:type="dxa"/>
            <w:bottom w:w="0" w:type="dxa"/>
            <w:right w:w="108" w:type="dxa"/>
          </w:tblCellMar>
        </w:tblPrEx>
        <w:tc>
          <w:tcPr>
            <w:tcW w:w="1492" w:type="dxa"/>
          </w:tcPr>
          <w:p w14:paraId="0F138261">
            <w:pPr>
              <w:ind w:left="-57" w:right="-57" w:firstLine="0"/>
              <w:rPr>
                <w:szCs w:val="28"/>
                <w:highlight w:val="none"/>
              </w:rPr>
            </w:pPr>
            <w:r>
              <w:rPr>
                <w:szCs w:val="28"/>
                <w:highlight w:val="none"/>
              </w:rPr>
              <w:t>ARFI</w:t>
            </w:r>
          </w:p>
        </w:tc>
        <w:tc>
          <w:tcPr>
            <w:tcW w:w="566" w:type="dxa"/>
            <w:vAlign w:val="center"/>
          </w:tcPr>
          <w:p w14:paraId="08B91047">
            <w:pPr>
              <w:ind w:left="-57" w:right="-57" w:firstLine="0"/>
              <w:jc w:val="center"/>
              <w:rPr>
                <w:szCs w:val="28"/>
                <w:highlight w:val="none"/>
                <w:lang w:eastAsia="ru-RU"/>
              </w:rPr>
            </w:pPr>
            <w:r>
              <w:rPr>
                <w:szCs w:val="28"/>
                <w:highlight w:val="none"/>
                <w:lang w:eastAsia="ru-RU"/>
              </w:rPr>
              <w:t>–</w:t>
            </w:r>
          </w:p>
        </w:tc>
        <w:tc>
          <w:tcPr>
            <w:tcW w:w="7286" w:type="dxa"/>
          </w:tcPr>
          <w:p w14:paraId="24C5B5BF">
            <w:pPr>
              <w:ind w:left="-57" w:right="-57" w:firstLine="0"/>
              <w:rPr>
                <w:szCs w:val="28"/>
                <w:highlight w:val="none"/>
              </w:rPr>
            </w:pPr>
            <w:r>
              <w:rPr>
                <w:szCs w:val="28"/>
                <w:highlight w:val="none"/>
              </w:rPr>
              <w:t>акустичне імпульсно-хвильове УЗД (acoustic radiation force impulse imaging)</w:t>
            </w:r>
          </w:p>
        </w:tc>
      </w:tr>
      <w:tr w14:paraId="632686CF">
        <w:tblPrEx>
          <w:tblCellMar>
            <w:top w:w="0" w:type="dxa"/>
            <w:left w:w="108" w:type="dxa"/>
            <w:bottom w:w="0" w:type="dxa"/>
            <w:right w:w="108" w:type="dxa"/>
          </w:tblCellMar>
        </w:tblPrEx>
        <w:tc>
          <w:tcPr>
            <w:tcW w:w="1492" w:type="dxa"/>
          </w:tcPr>
          <w:p w14:paraId="6E958BF8">
            <w:pPr>
              <w:ind w:left="-57" w:right="-57" w:firstLine="0"/>
              <w:rPr>
                <w:rFonts w:cs="Times New Roman"/>
                <w:szCs w:val="28"/>
                <w:highlight w:val="none"/>
              </w:rPr>
            </w:pPr>
            <w:r>
              <w:rPr>
                <w:rFonts w:cs="Times New Roman"/>
                <w:bCs/>
                <w:szCs w:val="28"/>
                <w:highlight w:val="none"/>
                <w:shd w:val="clear" w:color="auto" w:fill="FFFFFF"/>
              </w:rPr>
              <w:t>ASC (PYCARD)</w:t>
            </w:r>
          </w:p>
        </w:tc>
        <w:tc>
          <w:tcPr>
            <w:tcW w:w="566" w:type="dxa"/>
          </w:tcPr>
          <w:p w14:paraId="23C61D6D">
            <w:pPr>
              <w:ind w:left="-57" w:right="-57" w:firstLine="0"/>
              <w:jc w:val="center"/>
              <w:rPr>
                <w:rFonts w:cs="Times New Roman"/>
                <w:szCs w:val="28"/>
                <w:highlight w:val="none"/>
              </w:rPr>
            </w:pPr>
            <w:r>
              <w:rPr>
                <w:rFonts w:cs="Times New Roman"/>
                <w:szCs w:val="28"/>
                <w:highlight w:val="none"/>
              </w:rPr>
              <w:t>–</w:t>
            </w:r>
          </w:p>
        </w:tc>
        <w:tc>
          <w:tcPr>
            <w:tcW w:w="7286" w:type="dxa"/>
          </w:tcPr>
          <w:p w14:paraId="3D61E5A1">
            <w:pPr>
              <w:ind w:left="-57" w:right="-57" w:firstLine="0"/>
              <w:rPr>
                <w:rFonts w:cs="Times New Roman"/>
                <w:szCs w:val="28"/>
                <w:highlight w:val="none"/>
              </w:rPr>
            </w:pPr>
            <w:r>
              <w:rPr>
                <w:rFonts w:cs="Times New Roman"/>
                <w:iCs/>
                <w:szCs w:val="28"/>
                <w:highlight w:val="none"/>
                <w:shd w:val="clear" w:color="auto" w:fill="FFFFFF"/>
              </w:rPr>
              <w:t>апоптоз-ассоційований Speck-подібний білок, що містить CARD (Apoptosis-Associated Speck-Like Protein Containing a CARD)</w:t>
            </w:r>
          </w:p>
        </w:tc>
      </w:tr>
      <w:tr w14:paraId="225DBF9C">
        <w:tblPrEx>
          <w:tblCellMar>
            <w:top w:w="0" w:type="dxa"/>
            <w:left w:w="108" w:type="dxa"/>
            <w:bottom w:w="0" w:type="dxa"/>
            <w:right w:w="108" w:type="dxa"/>
          </w:tblCellMar>
        </w:tblPrEx>
        <w:tc>
          <w:tcPr>
            <w:tcW w:w="1492" w:type="dxa"/>
          </w:tcPr>
          <w:p w14:paraId="5C28A4C3">
            <w:pPr>
              <w:ind w:left="-57" w:right="-57" w:firstLine="0"/>
              <w:rPr>
                <w:rFonts w:cs="Times New Roman"/>
                <w:szCs w:val="28"/>
                <w:highlight w:val="none"/>
              </w:rPr>
            </w:pPr>
            <w:r>
              <w:rPr>
                <w:rFonts w:cs="Times New Roman"/>
                <w:szCs w:val="28"/>
                <w:highlight w:val="none"/>
              </w:rPr>
              <w:t>CCL</w:t>
            </w:r>
          </w:p>
        </w:tc>
        <w:tc>
          <w:tcPr>
            <w:tcW w:w="566" w:type="dxa"/>
          </w:tcPr>
          <w:p w14:paraId="3155238D">
            <w:pPr>
              <w:ind w:left="-57" w:right="-57" w:firstLine="0"/>
              <w:jc w:val="center"/>
              <w:rPr>
                <w:rFonts w:cs="Times New Roman"/>
                <w:szCs w:val="28"/>
                <w:highlight w:val="none"/>
              </w:rPr>
            </w:pPr>
            <w:r>
              <w:rPr>
                <w:rFonts w:cs="Times New Roman"/>
                <w:szCs w:val="28"/>
                <w:highlight w:val="none"/>
              </w:rPr>
              <w:t>–</w:t>
            </w:r>
          </w:p>
        </w:tc>
        <w:tc>
          <w:tcPr>
            <w:tcW w:w="7286" w:type="dxa"/>
          </w:tcPr>
          <w:p w14:paraId="0D4D0CD8">
            <w:pPr>
              <w:ind w:left="-57" w:right="-57" w:firstLine="0"/>
              <w:rPr>
                <w:rFonts w:cs="Times New Roman"/>
                <w:szCs w:val="28"/>
                <w:highlight w:val="none"/>
              </w:rPr>
            </w:pPr>
            <w:r>
              <w:rPr>
                <w:rFonts w:cs="Times New Roman"/>
                <w:szCs w:val="28"/>
                <w:highlight w:val="none"/>
                <w:shd w:val="clear" w:color="auto" w:fill="FFFFFF"/>
              </w:rPr>
              <w:t>ліганд хемокінового мотиву CC (</w:t>
            </w:r>
            <w:r>
              <w:rPr>
                <w:rFonts w:cs="Times New Roman"/>
                <w:szCs w:val="28"/>
                <w:highlight w:val="none"/>
              </w:rPr>
              <w:t>CC Motif Chemokine Ligand)</w:t>
            </w:r>
          </w:p>
        </w:tc>
      </w:tr>
      <w:tr w14:paraId="39FA7208">
        <w:tblPrEx>
          <w:tblCellMar>
            <w:top w:w="0" w:type="dxa"/>
            <w:left w:w="108" w:type="dxa"/>
            <w:bottom w:w="0" w:type="dxa"/>
            <w:right w:w="108" w:type="dxa"/>
          </w:tblCellMar>
        </w:tblPrEx>
        <w:tc>
          <w:tcPr>
            <w:tcW w:w="1492" w:type="dxa"/>
          </w:tcPr>
          <w:p w14:paraId="2B0EA61D">
            <w:pPr>
              <w:ind w:left="-57" w:right="-57" w:firstLine="0"/>
              <w:rPr>
                <w:rFonts w:cs="Times New Roman"/>
                <w:szCs w:val="28"/>
                <w:highlight w:val="none"/>
              </w:rPr>
            </w:pPr>
            <w:r>
              <w:rPr>
                <w:rFonts w:cs="Times New Roman"/>
                <w:szCs w:val="28"/>
                <w:highlight w:val="none"/>
                <w:shd w:val="clear" w:color="auto" w:fill="FFFFFF"/>
              </w:rPr>
              <w:t>CDC</w:t>
            </w:r>
          </w:p>
        </w:tc>
        <w:tc>
          <w:tcPr>
            <w:tcW w:w="566" w:type="dxa"/>
          </w:tcPr>
          <w:p w14:paraId="682AB412">
            <w:pPr>
              <w:ind w:left="-57" w:right="-57" w:firstLine="0"/>
              <w:jc w:val="center"/>
              <w:rPr>
                <w:rFonts w:cs="Times New Roman"/>
                <w:szCs w:val="28"/>
                <w:highlight w:val="none"/>
              </w:rPr>
            </w:pPr>
            <w:r>
              <w:rPr>
                <w:rFonts w:cs="Times New Roman"/>
                <w:szCs w:val="28"/>
                <w:highlight w:val="none"/>
              </w:rPr>
              <w:t>–</w:t>
            </w:r>
          </w:p>
        </w:tc>
        <w:tc>
          <w:tcPr>
            <w:tcW w:w="7286" w:type="dxa"/>
          </w:tcPr>
          <w:p w14:paraId="3990AB5A">
            <w:pPr>
              <w:ind w:left="-57" w:right="-57" w:firstLine="0"/>
              <w:rPr>
                <w:rFonts w:cs="Times New Roman"/>
                <w:szCs w:val="28"/>
                <w:highlight w:val="none"/>
              </w:rPr>
            </w:pPr>
            <w:r>
              <w:rPr>
                <w:rFonts w:cs="Times New Roman"/>
                <w:szCs w:val="28"/>
                <w:highlight w:val="none"/>
                <w:shd w:val="clear" w:color="auto" w:fill="FFFFFF"/>
              </w:rPr>
              <w:t xml:space="preserve">Центри по </w:t>
            </w:r>
            <w:r>
              <w:rPr>
                <w:rStyle w:val="10"/>
                <w:rFonts w:cs="Times New Roman"/>
                <w:bCs/>
                <w:szCs w:val="28"/>
                <w:highlight w:val="none"/>
                <w:shd w:val="clear" w:color="auto" w:fill="FFFFFF"/>
              </w:rPr>
              <w:t xml:space="preserve">контролю та профілактиці захворювань </w:t>
            </w:r>
            <w:r>
              <w:rPr>
                <w:rFonts w:cs="Times New Roman"/>
                <w:szCs w:val="28"/>
                <w:highlight w:val="none"/>
                <w:shd w:val="clear" w:color="auto" w:fill="FFFFFF"/>
              </w:rPr>
              <w:t>США (Centers for Disease Control and Prevention)</w:t>
            </w:r>
          </w:p>
        </w:tc>
      </w:tr>
      <w:tr w14:paraId="3B95B156">
        <w:tblPrEx>
          <w:tblCellMar>
            <w:top w:w="0" w:type="dxa"/>
            <w:left w:w="108" w:type="dxa"/>
            <w:bottom w:w="0" w:type="dxa"/>
            <w:right w:w="108" w:type="dxa"/>
          </w:tblCellMar>
        </w:tblPrEx>
        <w:tc>
          <w:tcPr>
            <w:tcW w:w="1492" w:type="dxa"/>
          </w:tcPr>
          <w:p w14:paraId="22F4CD93">
            <w:pPr>
              <w:ind w:left="-57" w:right="-57" w:firstLine="0"/>
              <w:rPr>
                <w:rFonts w:cs="Times New Roman"/>
                <w:szCs w:val="28"/>
                <w:highlight w:val="none"/>
              </w:rPr>
            </w:pPr>
            <w:r>
              <w:rPr>
                <w:rFonts w:cs="Times New Roman"/>
                <w:szCs w:val="28"/>
                <w:highlight w:val="none"/>
              </w:rPr>
              <w:t>CXCL</w:t>
            </w:r>
          </w:p>
        </w:tc>
        <w:tc>
          <w:tcPr>
            <w:tcW w:w="566" w:type="dxa"/>
          </w:tcPr>
          <w:p w14:paraId="1BE9AF42">
            <w:pPr>
              <w:ind w:left="-57" w:right="-57" w:firstLine="0"/>
              <w:jc w:val="center"/>
              <w:rPr>
                <w:rFonts w:cs="Times New Roman"/>
                <w:szCs w:val="28"/>
                <w:highlight w:val="none"/>
              </w:rPr>
            </w:pPr>
            <w:r>
              <w:rPr>
                <w:rFonts w:cs="Times New Roman"/>
                <w:szCs w:val="28"/>
                <w:highlight w:val="none"/>
              </w:rPr>
              <w:t>–</w:t>
            </w:r>
          </w:p>
        </w:tc>
        <w:tc>
          <w:tcPr>
            <w:tcW w:w="7286" w:type="dxa"/>
          </w:tcPr>
          <w:p w14:paraId="60FA42B8">
            <w:pPr>
              <w:ind w:left="-57" w:right="-57" w:firstLine="0"/>
              <w:rPr>
                <w:rFonts w:cs="Times New Roman"/>
                <w:szCs w:val="28"/>
                <w:highlight w:val="none"/>
              </w:rPr>
            </w:pPr>
            <w:r>
              <w:rPr>
                <w:rFonts w:cs="Times New Roman"/>
                <w:szCs w:val="28"/>
                <w:highlight w:val="none"/>
              </w:rPr>
              <w:t>ліганд мотиву CXC (Motif Ligand CXC)</w:t>
            </w:r>
          </w:p>
        </w:tc>
      </w:tr>
      <w:tr w14:paraId="0EB6132D">
        <w:tblPrEx>
          <w:tblCellMar>
            <w:top w:w="0" w:type="dxa"/>
            <w:left w:w="108" w:type="dxa"/>
            <w:bottom w:w="0" w:type="dxa"/>
            <w:right w:w="108" w:type="dxa"/>
          </w:tblCellMar>
        </w:tblPrEx>
        <w:tc>
          <w:tcPr>
            <w:tcW w:w="1492" w:type="dxa"/>
          </w:tcPr>
          <w:p w14:paraId="30066F8D">
            <w:pPr>
              <w:ind w:left="-57" w:right="-57" w:firstLine="0"/>
              <w:rPr>
                <w:rFonts w:cs="Times New Roman"/>
                <w:szCs w:val="28"/>
                <w:highlight w:val="none"/>
              </w:rPr>
            </w:pPr>
            <w:r>
              <w:rPr>
                <w:rFonts w:cs="Times New Roman"/>
                <w:szCs w:val="28"/>
                <w:highlight w:val="none"/>
              </w:rPr>
              <w:t>DCV</w:t>
            </w:r>
          </w:p>
        </w:tc>
        <w:tc>
          <w:tcPr>
            <w:tcW w:w="566" w:type="dxa"/>
          </w:tcPr>
          <w:p w14:paraId="6CD71AE8">
            <w:pPr>
              <w:ind w:left="-57" w:right="-57" w:firstLine="0"/>
              <w:jc w:val="center"/>
              <w:rPr>
                <w:rFonts w:cs="Times New Roman"/>
                <w:szCs w:val="28"/>
                <w:highlight w:val="none"/>
              </w:rPr>
            </w:pPr>
            <w:r>
              <w:rPr>
                <w:rFonts w:cs="Times New Roman"/>
                <w:szCs w:val="28"/>
                <w:highlight w:val="none"/>
              </w:rPr>
              <w:t>–</w:t>
            </w:r>
          </w:p>
        </w:tc>
        <w:tc>
          <w:tcPr>
            <w:tcW w:w="7286" w:type="dxa"/>
          </w:tcPr>
          <w:p w14:paraId="6BFE1637">
            <w:pPr>
              <w:ind w:left="-57" w:right="-57" w:firstLine="0"/>
              <w:rPr>
                <w:rFonts w:cs="Times New Roman"/>
                <w:szCs w:val="28"/>
                <w:highlight w:val="none"/>
              </w:rPr>
            </w:pPr>
            <w:r>
              <w:rPr>
                <w:rFonts w:cs="Times New Roman"/>
                <w:szCs w:val="28"/>
                <w:highlight w:val="none"/>
              </w:rPr>
              <w:t>даклатасвіром (Daklatasvir)</w:t>
            </w:r>
          </w:p>
        </w:tc>
      </w:tr>
      <w:tr w14:paraId="415BBA70">
        <w:tblPrEx>
          <w:tblCellMar>
            <w:top w:w="0" w:type="dxa"/>
            <w:left w:w="108" w:type="dxa"/>
            <w:bottom w:w="0" w:type="dxa"/>
            <w:right w:w="108" w:type="dxa"/>
          </w:tblCellMar>
        </w:tblPrEx>
        <w:tc>
          <w:tcPr>
            <w:tcW w:w="1492" w:type="dxa"/>
          </w:tcPr>
          <w:p w14:paraId="2C7EC892">
            <w:pPr>
              <w:ind w:left="-57" w:right="-57" w:firstLine="0"/>
              <w:rPr>
                <w:szCs w:val="28"/>
                <w:highlight w:val="none"/>
              </w:rPr>
            </w:pPr>
            <w:r>
              <w:rPr>
                <w:szCs w:val="28"/>
                <w:highlight w:val="none"/>
              </w:rPr>
              <w:t>EASL</w:t>
            </w:r>
          </w:p>
        </w:tc>
        <w:tc>
          <w:tcPr>
            <w:tcW w:w="566" w:type="dxa"/>
            <w:vAlign w:val="center"/>
          </w:tcPr>
          <w:p w14:paraId="437A3508">
            <w:pPr>
              <w:ind w:left="-57" w:right="-57" w:firstLine="0"/>
              <w:jc w:val="center"/>
              <w:rPr>
                <w:szCs w:val="28"/>
                <w:highlight w:val="none"/>
                <w:lang w:eastAsia="ru-RU"/>
              </w:rPr>
            </w:pPr>
            <w:r>
              <w:rPr>
                <w:szCs w:val="28"/>
                <w:highlight w:val="none"/>
                <w:lang w:eastAsia="ru-RU"/>
              </w:rPr>
              <w:t>–</w:t>
            </w:r>
          </w:p>
        </w:tc>
        <w:tc>
          <w:tcPr>
            <w:tcW w:w="7286" w:type="dxa"/>
          </w:tcPr>
          <w:p w14:paraId="118D24E7">
            <w:pPr>
              <w:ind w:left="-57" w:right="-57" w:firstLine="0"/>
              <w:rPr>
                <w:szCs w:val="28"/>
                <w:highlight w:val="none"/>
              </w:rPr>
            </w:pPr>
            <w:r>
              <w:rPr>
                <w:szCs w:val="28"/>
                <w:highlight w:val="none"/>
              </w:rPr>
              <w:t>Європейська асоціація з дослідження печінки (European Association for the Study of the Liver)</w:t>
            </w:r>
          </w:p>
        </w:tc>
      </w:tr>
      <w:tr w14:paraId="5CB85088">
        <w:tblPrEx>
          <w:tblCellMar>
            <w:top w:w="0" w:type="dxa"/>
            <w:left w:w="108" w:type="dxa"/>
            <w:bottom w:w="0" w:type="dxa"/>
            <w:right w:w="108" w:type="dxa"/>
          </w:tblCellMar>
        </w:tblPrEx>
        <w:tc>
          <w:tcPr>
            <w:tcW w:w="1492" w:type="dxa"/>
          </w:tcPr>
          <w:p w14:paraId="68B546AC">
            <w:pPr>
              <w:ind w:left="-57" w:right="-57" w:firstLine="0"/>
              <w:rPr>
                <w:rFonts w:cs="Times New Roman"/>
                <w:szCs w:val="28"/>
                <w:highlight w:val="none"/>
              </w:rPr>
            </w:pPr>
            <w:r>
              <w:rPr>
                <w:rFonts w:cs="Times New Roman"/>
                <w:szCs w:val="28"/>
                <w:highlight w:val="none"/>
              </w:rPr>
              <w:t>EBR</w:t>
            </w:r>
          </w:p>
        </w:tc>
        <w:tc>
          <w:tcPr>
            <w:tcW w:w="566" w:type="dxa"/>
          </w:tcPr>
          <w:p w14:paraId="6227C872">
            <w:pPr>
              <w:ind w:left="-57" w:right="-57" w:firstLine="0"/>
              <w:jc w:val="center"/>
              <w:rPr>
                <w:rFonts w:cs="Times New Roman"/>
                <w:szCs w:val="28"/>
                <w:highlight w:val="none"/>
              </w:rPr>
            </w:pPr>
            <w:r>
              <w:rPr>
                <w:rFonts w:cs="Times New Roman"/>
                <w:szCs w:val="28"/>
                <w:highlight w:val="none"/>
              </w:rPr>
              <w:t>–</w:t>
            </w:r>
          </w:p>
        </w:tc>
        <w:tc>
          <w:tcPr>
            <w:tcW w:w="7286" w:type="dxa"/>
          </w:tcPr>
          <w:p w14:paraId="6534E175">
            <w:pPr>
              <w:ind w:left="-57" w:right="-57" w:firstLine="0"/>
              <w:rPr>
                <w:rFonts w:cs="Times New Roman"/>
                <w:szCs w:val="28"/>
                <w:highlight w:val="none"/>
              </w:rPr>
            </w:pPr>
            <w:r>
              <w:rPr>
                <w:rFonts w:cs="Times New Roman"/>
                <w:szCs w:val="28"/>
                <w:highlight w:val="none"/>
              </w:rPr>
              <w:t>елбасвір (Elbasvirum)</w:t>
            </w:r>
          </w:p>
        </w:tc>
      </w:tr>
      <w:tr w14:paraId="0E8BA0C5">
        <w:tblPrEx>
          <w:tblCellMar>
            <w:top w:w="0" w:type="dxa"/>
            <w:left w:w="108" w:type="dxa"/>
            <w:bottom w:w="0" w:type="dxa"/>
            <w:right w:w="108" w:type="dxa"/>
          </w:tblCellMar>
        </w:tblPrEx>
        <w:tc>
          <w:tcPr>
            <w:tcW w:w="1492" w:type="dxa"/>
          </w:tcPr>
          <w:p w14:paraId="7309C7B2">
            <w:pPr>
              <w:ind w:left="-57" w:right="-57" w:firstLine="0"/>
              <w:rPr>
                <w:rFonts w:cs="Times New Roman"/>
                <w:szCs w:val="28"/>
                <w:highlight w:val="none"/>
              </w:rPr>
            </w:pPr>
            <w:r>
              <w:rPr>
                <w:rFonts w:cs="Times New Roman"/>
                <w:szCs w:val="28"/>
                <w:highlight w:val="none"/>
              </w:rPr>
              <w:t>ER</w:t>
            </w:r>
          </w:p>
        </w:tc>
        <w:tc>
          <w:tcPr>
            <w:tcW w:w="566" w:type="dxa"/>
          </w:tcPr>
          <w:p w14:paraId="7A437F90">
            <w:pPr>
              <w:ind w:left="-57" w:right="-57" w:firstLine="0"/>
              <w:jc w:val="center"/>
              <w:rPr>
                <w:rFonts w:cs="Times New Roman"/>
                <w:szCs w:val="28"/>
                <w:highlight w:val="none"/>
              </w:rPr>
            </w:pPr>
            <w:r>
              <w:rPr>
                <w:rFonts w:cs="Times New Roman"/>
                <w:szCs w:val="28"/>
                <w:highlight w:val="none"/>
              </w:rPr>
              <w:t>–</w:t>
            </w:r>
          </w:p>
        </w:tc>
        <w:tc>
          <w:tcPr>
            <w:tcW w:w="7286" w:type="dxa"/>
          </w:tcPr>
          <w:p w14:paraId="5444ACE5">
            <w:pPr>
              <w:ind w:left="-57" w:right="-57" w:firstLine="0"/>
              <w:rPr>
                <w:rFonts w:cs="Times New Roman"/>
                <w:szCs w:val="28"/>
                <w:highlight w:val="none"/>
              </w:rPr>
            </w:pPr>
            <w:r>
              <w:rPr>
                <w:rFonts w:cs="Times New Roman"/>
                <w:szCs w:val="28"/>
                <w:highlight w:val="none"/>
              </w:rPr>
              <w:t>ендосироватцатичний ретикулум (Endoplasmic Reticulum)</w:t>
            </w:r>
          </w:p>
        </w:tc>
      </w:tr>
      <w:tr w14:paraId="6747E4BC">
        <w:tblPrEx>
          <w:tblCellMar>
            <w:top w:w="0" w:type="dxa"/>
            <w:left w:w="108" w:type="dxa"/>
            <w:bottom w:w="0" w:type="dxa"/>
            <w:right w:w="108" w:type="dxa"/>
          </w:tblCellMar>
        </w:tblPrEx>
        <w:tc>
          <w:tcPr>
            <w:tcW w:w="1492" w:type="dxa"/>
          </w:tcPr>
          <w:p w14:paraId="5B90AD25">
            <w:pPr>
              <w:ind w:left="-57" w:right="-57" w:firstLine="0"/>
              <w:rPr>
                <w:rFonts w:cs="Times New Roman"/>
                <w:szCs w:val="28"/>
                <w:highlight w:val="none"/>
              </w:rPr>
            </w:pPr>
            <w:r>
              <w:rPr>
                <w:rFonts w:cs="Times New Roman"/>
                <w:szCs w:val="28"/>
                <w:highlight w:val="none"/>
                <w:shd w:val="clear" w:color="auto" w:fill="FCFCFC"/>
              </w:rPr>
              <w:t>GLE</w:t>
            </w:r>
          </w:p>
        </w:tc>
        <w:tc>
          <w:tcPr>
            <w:tcW w:w="566" w:type="dxa"/>
          </w:tcPr>
          <w:p w14:paraId="6E5AA993">
            <w:pPr>
              <w:ind w:left="-57" w:right="-57" w:firstLine="0"/>
              <w:jc w:val="center"/>
              <w:rPr>
                <w:rFonts w:cs="Times New Roman"/>
                <w:szCs w:val="28"/>
                <w:highlight w:val="none"/>
              </w:rPr>
            </w:pPr>
            <w:r>
              <w:rPr>
                <w:rFonts w:cs="Times New Roman"/>
                <w:szCs w:val="28"/>
                <w:highlight w:val="none"/>
              </w:rPr>
              <w:t>–</w:t>
            </w:r>
          </w:p>
        </w:tc>
        <w:tc>
          <w:tcPr>
            <w:tcW w:w="7286" w:type="dxa"/>
          </w:tcPr>
          <w:p w14:paraId="4854CC17">
            <w:pPr>
              <w:ind w:left="-57" w:right="-57" w:firstLine="0"/>
              <w:rPr>
                <w:rFonts w:cs="Times New Roman"/>
                <w:szCs w:val="28"/>
                <w:highlight w:val="none"/>
              </w:rPr>
            </w:pPr>
            <w:r>
              <w:rPr>
                <w:rFonts w:cs="Times New Roman"/>
                <w:szCs w:val="28"/>
                <w:highlight w:val="none"/>
              </w:rPr>
              <w:t>глекапревір (Glecaprevir)</w:t>
            </w:r>
          </w:p>
        </w:tc>
      </w:tr>
      <w:tr w14:paraId="061E9D7D">
        <w:tblPrEx>
          <w:tblCellMar>
            <w:top w:w="0" w:type="dxa"/>
            <w:left w:w="108" w:type="dxa"/>
            <w:bottom w:w="0" w:type="dxa"/>
            <w:right w:w="108" w:type="dxa"/>
          </w:tblCellMar>
        </w:tblPrEx>
        <w:tc>
          <w:tcPr>
            <w:tcW w:w="1492" w:type="dxa"/>
          </w:tcPr>
          <w:p w14:paraId="0E02823F">
            <w:pPr>
              <w:ind w:left="-57" w:right="-57" w:firstLine="0"/>
              <w:rPr>
                <w:rFonts w:cs="Times New Roman"/>
                <w:szCs w:val="28"/>
                <w:highlight w:val="none"/>
              </w:rPr>
            </w:pPr>
            <w:r>
              <w:rPr>
                <w:rFonts w:cs="Times New Roman"/>
                <w:szCs w:val="28"/>
                <w:highlight w:val="none"/>
              </w:rPr>
              <w:t>GZR</w:t>
            </w:r>
          </w:p>
        </w:tc>
        <w:tc>
          <w:tcPr>
            <w:tcW w:w="566" w:type="dxa"/>
          </w:tcPr>
          <w:p w14:paraId="04CD4D4F">
            <w:pPr>
              <w:ind w:left="-57" w:right="-57" w:firstLine="0"/>
              <w:jc w:val="center"/>
              <w:rPr>
                <w:rFonts w:cs="Times New Roman"/>
                <w:szCs w:val="28"/>
                <w:highlight w:val="none"/>
              </w:rPr>
            </w:pPr>
            <w:r>
              <w:rPr>
                <w:rFonts w:cs="Times New Roman"/>
                <w:szCs w:val="28"/>
                <w:highlight w:val="none"/>
              </w:rPr>
              <w:t>–</w:t>
            </w:r>
          </w:p>
        </w:tc>
        <w:tc>
          <w:tcPr>
            <w:tcW w:w="7286" w:type="dxa"/>
          </w:tcPr>
          <w:p w14:paraId="34B31089">
            <w:pPr>
              <w:ind w:left="-57" w:right="-57" w:firstLine="0"/>
              <w:rPr>
                <w:rFonts w:cs="Times New Roman"/>
                <w:szCs w:val="28"/>
                <w:highlight w:val="none"/>
              </w:rPr>
            </w:pPr>
            <w:r>
              <w:rPr>
                <w:rFonts w:cs="Times New Roman"/>
                <w:szCs w:val="28"/>
                <w:highlight w:val="none"/>
              </w:rPr>
              <w:t>гразопревір (Grazoprevirum)</w:t>
            </w:r>
          </w:p>
        </w:tc>
      </w:tr>
      <w:tr w14:paraId="793A3983">
        <w:tblPrEx>
          <w:tblCellMar>
            <w:top w:w="0" w:type="dxa"/>
            <w:left w:w="108" w:type="dxa"/>
            <w:bottom w:w="0" w:type="dxa"/>
            <w:right w:w="108" w:type="dxa"/>
          </w:tblCellMar>
        </w:tblPrEx>
        <w:tc>
          <w:tcPr>
            <w:tcW w:w="1492" w:type="dxa"/>
          </w:tcPr>
          <w:p w14:paraId="0366771C">
            <w:pPr>
              <w:ind w:left="-57" w:right="-57" w:firstLine="0"/>
              <w:rPr>
                <w:szCs w:val="28"/>
                <w:highlight w:val="none"/>
              </w:rPr>
            </w:pPr>
            <w:r>
              <w:rPr>
                <w:szCs w:val="28"/>
                <w:highlight w:val="none"/>
              </w:rPr>
              <w:t>IDSA</w:t>
            </w:r>
          </w:p>
        </w:tc>
        <w:tc>
          <w:tcPr>
            <w:tcW w:w="566" w:type="dxa"/>
            <w:vAlign w:val="center"/>
          </w:tcPr>
          <w:p w14:paraId="034E4C9D">
            <w:pPr>
              <w:ind w:left="-57" w:right="-57" w:firstLine="0"/>
              <w:jc w:val="center"/>
              <w:rPr>
                <w:szCs w:val="28"/>
                <w:highlight w:val="none"/>
                <w:lang w:eastAsia="ru-RU"/>
              </w:rPr>
            </w:pPr>
            <w:r>
              <w:rPr>
                <w:szCs w:val="28"/>
                <w:highlight w:val="none"/>
                <w:lang w:eastAsia="ru-RU"/>
              </w:rPr>
              <w:t>–</w:t>
            </w:r>
          </w:p>
        </w:tc>
        <w:tc>
          <w:tcPr>
            <w:tcW w:w="7286" w:type="dxa"/>
          </w:tcPr>
          <w:p w14:paraId="2169C904">
            <w:pPr>
              <w:ind w:left="-57" w:right="-57" w:firstLine="0"/>
              <w:rPr>
                <w:szCs w:val="28"/>
                <w:highlight w:val="none"/>
              </w:rPr>
            </w:pPr>
            <w:r>
              <w:rPr>
                <w:szCs w:val="28"/>
                <w:highlight w:val="none"/>
              </w:rPr>
              <w:t>Американське товариство фахівців з інфекційних хвороб (Infectious Diseases Society of America)</w:t>
            </w:r>
          </w:p>
        </w:tc>
      </w:tr>
      <w:tr w14:paraId="3662850B">
        <w:tblPrEx>
          <w:tblCellMar>
            <w:top w:w="0" w:type="dxa"/>
            <w:left w:w="108" w:type="dxa"/>
            <w:bottom w:w="0" w:type="dxa"/>
            <w:right w:w="108" w:type="dxa"/>
          </w:tblCellMar>
        </w:tblPrEx>
        <w:tc>
          <w:tcPr>
            <w:tcW w:w="1492" w:type="dxa"/>
          </w:tcPr>
          <w:p w14:paraId="1706D62E">
            <w:pPr>
              <w:ind w:left="-57" w:right="-57" w:firstLine="0"/>
              <w:rPr>
                <w:rFonts w:cs="Times New Roman"/>
                <w:szCs w:val="28"/>
                <w:highlight w:val="none"/>
              </w:rPr>
            </w:pPr>
            <w:r>
              <w:rPr>
                <w:rFonts w:cs="Times New Roman"/>
                <w:szCs w:val="28"/>
                <w:highlight w:val="none"/>
              </w:rPr>
              <w:t>LDV</w:t>
            </w:r>
          </w:p>
        </w:tc>
        <w:tc>
          <w:tcPr>
            <w:tcW w:w="566" w:type="dxa"/>
          </w:tcPr>
          <w:p w14:paraId="5D8928B4">
            <w:pPr>
              <w:ind w:left="-57" w:right="-57" w:firstLine="0"/>
              <w:jc w:val="center"/>
              <w:rPr>
                <w:rFonts w:cs="Times New Roman"/>
                <w:szCs w:val="28"/>
                <w:highlight w:val="none"/>
              </w:rPr>
            </w:pPr>
            <w:r>
              <w:rPr>
                <w:rFonts w:cs="Times New Roman"/>
                <w:szCs w:val="28"/>
                <w:highlight w:val="none"/>
              </w:rPr>
              <w:t>–</w:t>
            </w:r>
          </w:p>
        </w:tc>
        <w:tc>
          <w:tcPr>
            <w:tcW w:w="7286" w:type="dxa"/>
          </w:tcPr>
          <w:p w14:paraId="6F288F66">
            <w:pPr>
              <w:ind w:left="-57" w:right="-57" w:firstLine="0"/>
              <w:rPr>
                <w:rFonts w:cs="Times New Roman"/>
                <w:szCs w:val="28"/>
                <w:highlight w:val="none"/>
              </w:rPr>
            </w:pPr>
            <w:r>
              <w:rPr>
                <w:rFonts w:cs="Times New Roman"/>
                <w:szCs w:val="28"/>
                <w:highlight w:val="none"/>
              </w:rPr>
              <w:t>ледіпасвір (Ladypasvir)</w:t>
            </w:r>
          </w:p>
        </w:tc>
      </w:tr>
      <w:tr w14:paraId="02094A4E">
        <w:tblPrEx>
          <w:tblCellMar>
            <w:top w:w="0" w:type="dxa"/>
            <w:left w:w="108" w:type="dxa"/>
            <w:bottom w:w="0" w:type="dxa"/>
            <w:right w:w="108" w:type="dxa"/>
          </w:tblCellMar>
        </w:tblPrEx>
        <w:tc>
          <w:tcPr>
            <w:tcW w:w="1492" w:type="dxa"/>
          </w:tcPr>
          <w:p w14:paraId="2E237129">
            <w:pPr>
              <w:ind w:left="-57" w:right="-57" w:firstLine="0"/>
              <w:rPr>
                <w:szCs w:val="28"/>
                <w:highlight w:val="none"/>
              </w:rPr>
            </w:pPr>
            <w:r>
              <w:rPr>
                <w:szCs w:val="28"/>
                <w:highlight w:val="none"/>
              </w:rPr>
              <w:t>LQ</w:t>
            </w:r>
          </w:p>
        </w:tc>
        <w:tc>
          <w:tcPr>
            <w:tcW w:w="566" w:type="dxa"/>
            <w:vAlign w:val="center"/>
          </w:tcPr>
          <w:p w14:paraId="6D6CE479">
            <w:pPr>
              <w:ind w:left="-57" w:right="-57" w:firstLine="0"/>
              <w:jc w:val="center"/>
              <w:rPr>
                <w:szCs w:val="28"/>
                <w:highlight w:val="none"/>
                <w:lang w:eastAsia="ru-RU"/>
              </w:rPr>
            </w:pPr>
            <w:r>
              <w:rPr>
                <w:szCs w:val="28"/>
                <w:highlight w:val="none"/>
                <w:lang w:eastAsia="ru-RU"/>
              </w:rPr>
              <w:t>–</w:t>
            </w:r>
          </w:p>
        </w:tc>
        <w:tc>
          <w:tcPr>
            <w:tcW w:w="7286" w:type="dxa"/>
          </w:tcPr>
          <w:p w14:paraId="2472CD80">
            <w:pPr>
              <w:ind w:left="-57" w:right="-57" w:firstLine="0"/>
              <w:rPr>
                <w:szCs w:val="28"/>
                <w:highlight w:val="none"/>
              </w:rPr>
            </w:pPr>
            <w:r>
              <w:rPr>
                <w:szCs w:val="28"/>
                <w:highlight w:val="none"/>
              </w:rPr>
              <w:t>25,0 % квартилі</w:t>
            </w:r>
          </w:p>
        </w:tc>
      </w:tr>
      <w:tr w14:paraId="21784085">
        <w:tblPrEx>
          <w:tblCellMar>
            <w:top w:w="0" w:type="dxa"/>
            <w:left w:w="108" w:type="dxa"/>
            <w:bottom w:w="0" w:type="dxa"/>
            <w:right w:w="108" w:type="dxa"/>
          </w:tblCellMar>
        </w:tblPrEx>
        <w:tc>
          <w:tcPr>
            <w:tcW w:w="1492" w:type="dxa"/>
          </w:tcPr>
          <w:p w14:paraId="5F45A25C">
            <w:pPr>
              <w:ind w:left="-57" w:right="-57" w:firstLine="0"/>
              <w:rPr>
                <w:szCs w:val="28"/>
                <w:highlight w:val="none"/>
              </w:rPr>
            </w:pPr>
            <w:r>
              <w:rPr>
                <w:szCs w:val="28"/>
                <w:highlight w:val="none"/>
              </w:rPr>
              <w:t>MCH</w:t>
            </w:r>
          </w:p>
        </w:tc>
        <w:tc>
          <w:tcPr>
            <w:tcW w:w="566" w:type="dxa"/>
            <w:vAlign w:val="center"/>
          </w:tcPr>
          <w:p w14:paraId="047A013D">
            <w:pPr>
              <w:ind w:left="-57" w:right="-57" w:firstLine="0"/>
              <w:jc w:val="center"/>
              <w:rPr>
                <w:szCs w:val="28"/>
                <w:highlight w:val="none"/>
                <w:lang w:eastAsia="ru-RU"/>
              </w:rPr>
            </w:pPr>
            <w:r>
              <w:rPr>
                <w:szCs w:val="28"/>
                <w:highlight w:val="none"/>
                <w:lang w:eastAsia="ru-RU"/>
              </w:rPr>
              <w:t>–</w:t>
            </w:r>
          </w:p>
        </w:tc>
        <w:tc>
          <w:tcPr>
            <w:tcW w:w="7286" w:type="dxa"/>
          </w:tcPr>
          <w:p w14:paraId="1019C9DE">
            <w:pPr>
              <w:ind w:left="-57" w:right="-57" w:firstLine="0"/>
              <w:rPr>
                <w:szCs w:val="28"/>
                <w:highlight w:val="none"/>
              </w:rPr>
            </w:pPr>
            <w:r>
              <w:rPr>
                <w:szCs w:val="28"/>
                <w:highlight w:val="none"/>
              </w:rPr>
              <w:t>середній вміст гемоглобіну в окремому еритроциті</w:t>
            </w:r>
          </w:p>
        </w:tc>
      </w:tr>
      <w:tr w14:paraId="1875E11E">
        <w:tblPrEx>
          <w:tblCellMar>
            <w:top w:w="0" w:type="dxa"/>
            <w:left w:w="108" w:type="dxa"/>
            <w:bottom w:w="0" w:type="dxa"/>
            <w:right w:w="108" w:type="dxa"/>
          </w:tblCellMar>
        </w:tblPrEx>
        <w:tc>
          <w:tcPr>
            <w:tcW w:w="1492" w:type="dxa"/>
          </w:tcPr>
          <w:p w14:paraId="0709A559">
            <w:pPr>
              <w:ind w:left="-57" w:right="-57" w:firstLine="0"/>
              <w:rPr>
                <w:szCs w:val="28"/>
                <w:highlight w:val="none"/>
              </w:rPr>
            </w:pPr>
            <w:r>
              <w:rPr>
                <w:szCs w:val="28"/>
                <w:highlight w:val="none"/>
              </w:rPr>
              <w:t>MCHC</w:t>
            </w:r>
          </w:p>
        </w:tc>
        <w:tc>
          <w:tcPr>
            <w:tcW w:w="566" w:type="dxa"/>
            <w:vAlign w:val="center"/>
          </w:tcPr>
          <w:p w14:paraId="633D7464">
            <w:pPr>
              <w:ind w:left="-57" w:right="-57" w:firstLine="0"/>
              <w:jc w:val="center"/>
              <w:rPr>
                <w:szCs w:val="28"/>
                <w:highlight w:val="none"/>
                <w:lang w:eastAsia="ru-RU"/>
              </w:rPr>
            </w:pPr>
            <w:r>
              <w:rPr>
                <w:szCs w:val="28"/>
                <w:highlight w:val="none"/>
                <w:lang w:eastAsia="ru-RU"/>
              </w:rPr>
              <w:t>–</w:t>
            </w:r>
          </w:p>
        </w:tc>
        <w:tc>
          <w:tcPr>
            <w:tcW w:w="7286" w:type="dxa"/>
          </w:tcPr>
          <w:p w14:paraId="77328A6D">
            <w:pPr>
              <w:ind w:left="-57" w:right="-57" w:firstLine="0"/>
              <w:rPr>
                <w:szCs w:val="28"/>
                <w:highlight w:val="none"/>
              </w:rPr>
            </w:pPr>
            <w:r>
              <w:rPr>
                <w:szCs w:val="28"/>
                <w:highlight w:val="none"/>
              </w:rPr>
              <w:t>середня концентрація гемоглобіну в еритроцитарній масі</w:t>
            </w:r>
          </w:p>
        </w:tc>
      </w:tr>
      <w:tr w14:paraId="58CB4DFC">
        <w:tblPrEx>
          <w:tblCellMar>
            <w:top w:w="0" w:type="dxa"/>
            <w:left w:w="108" w:type="dxa"/>
            <w:bottom w:w="0" w:type="dxa"/>
            <w:right w:w="108" w:type="dxa"/>
          </w:tblCellMar>
        </w:tblPrEx>
        <w:tc>
          <w:tcPr>
            <w:tcW w:w="1492" w:type="dxa"/>
          </w:tcPr>
          <w:p w14:paraId="1EAB3D16">
            <w:pPr>
              <w:ind w:left="-57" w:right="-57" w:firstLine="0"/>
              <w:rPr>
                <w:i/>
                <w:szCs w:val="28"/>
                <w:highlight w:val="none"/>
              </w:rPr>
            </w:pPr>
            <w:r>
              <w:rPr>
                <w:rStyle w:val="10"/>
                <w:i w:val="0"/>
                <w:szCs w:val="28"/>
                <w:highlight w:val="none"/>
              </w:rPr>
              <w:t>MCV</w:t>
            </w:r>
          </w:p>
        </w:tc>
        <w:tc>
          <w:tcPr>
            <w:tcW w:w="566" w:type="dxa"/>
            <w:vAlign w:val="center"/>
          </w:tcPr>
          <w:p w14:paraId="16BF786B">
            <w:pPr>
              <w:ind w:left="-57" w:right="-57" w:firstLine="0"/>
              <w:jc w:val="center"/>
              <w:rPr>
                <w:szCs w:val="28"/>
                <w:highlight w:val="none"/>
                <w:lang w:eastAsia="ru-RU"/>
              </w:rPr>
            </w:pPr>
            <w:r>
              <w:rPr>
                <w:szCs w:val="28"/>
                <w:highlight w:val="none"/>
                <w:lang w:eastAsia="ru-RU"/>
              </w:rPr>
              <w:t>–</w:t>
            </w:r>
          </w:p>
        </w:tc>
        <w:tc>
          <w:tcPr>
            <w:tcW w:w="7286" w:type="dxa"/>
          </w:tcPr>
          <w:p w14:paraId="61BDE84B">
            <w:pPr>
              <w:ind w:left="-57" w:right="-57" w:firstLine="0"/>
              <w:rPr>
                <w:szCs w:val="28"/>
                <w:highlight w:val="none"/>
              </w:rPr>
            </w:pPr>
            <w:r>
              <w:rPr>
                <w:szCs w:val="28"/>
                <w:highlight w:val="none"/>
              </w:rPr>
              <w:t>середній об’єм еритроциту</w:t>
            </w:r>
          </w:p>
        </w:tc>
      </w:tr>
      <w:tr w14:paraId="5E284D72">
        <w:tblPrEx>
          <w:tblCellMar>
            <w:top w:w="0" w:type="dxa"/>
            <w:left w:w="108" w:type="dxa"/>
            <w:bottom w:w="0" w:type="dxa"/>
            <w:right w:w="108" w:type="dxa"/>
          </w:tblCellMar>
        </w:tblPrEx>
        <w:tc>
          <w:tcPr>
            <w:tcW w:w="1492" w:type="dxa"/>
          </w:tcPr>
          <w:p w14:paraId="3D767A2D">
            <w:pPr>
              <w:ind w:left="-57" w:right="-57" w:firstLine="0"/>
              <w:rPr>
                <w:rStyle w:val="25"/>
                <w:szCs w:val="28"/>
                <w:highlight w:val="none"/>
                <w:lang w:val="uk-UA"/>
              </w:rPr>
            </w:pPr>
            <w:r>
              <w:rPr>
                <w:szCs w:val="28"/>
                <w:highlight w:val="none"/>
              </w:rPr>
              <w:t>Me</w:t>
            </w:r>
          </w:p>
        </w:tc>
        <w:tc>
          <w:tcPr>
            <w:tcW w:w="566" w:type="dxa"/>
            <w:vAlign w:val="center"/>
          </w:tcPr>
          <w:p w14:paraId="249C2D81">
            <w:pPr>
              <w:ind w:left="-57" w:right="-57" w:firstLine="0"/>
              <w:jc w:val="center"/>
              <w:rPr>
                <w:szCs w:val="28"/>
                <w:highlight w:val="none"/>
                <w:lang w:eastAsia="ru-RU"/>
              </w:rPr>
            </w:pPr>
            <w:r>
              <w:rPr>
                <w:szCs w:val="28"/>
                <w:highlight w:val="none"/>
                <w:lang w:eastAsia="ru-RU"/>
              </w:rPr>
              <w:t>–</w:t>
            </w:r>
          </w:p>
        </w:tc>
        <w:tc>
          <w:tcPr>
            <w:tcW w:w="7286" w:type="dxa"/>
          </w:tcPr>
          <w:p w14:paraId="5A0AAFD7">
            <w:pPr>
              <w:ind w:left="-57" w:right="-57" w:firstLine="0"/>
              <w:rPr>
                <w:szCs w:val="28"/>
                <w:highlight w:val="none"/>
              </w:rPr>
            </w:pPr>
            <w:r>
              <w:rPr>
                <w:szCs w:val="28"/>
                <w:highlight w:val="none"/>
              </w:rPr>
              <w:t>Медіана</w:t>
            </w:r>
          </w:p>
        </w:tc>
      </w:tr>
      <w:tr w14:paraId="71295BBF">
        <w:tblPrEx>
          <w:tblCellMar>
            <w:top w:w="0" w:type="dxa"/>
            <w:left w:w="108" w:type="dxa"/>
            <w:bottom w:w="0" w:type="dxa"/>
            <w:right w:w="108" w:type="dxa"/>
          </w:tblCellMar>
        </w:tblPrEx>
        <w:tc>
          <w:tcPr>
            <w:tcW w:w="1492" w:type="dxa"/>
          </w:tcPr>
          <w:p w14:paraId="323BFEF8">
            <w:pPr>
              <w:ind w:left="-57" w:right="-57" w:firstLine="0"/>
              <w:rPr>
                <w:szCs w:val="28"/>
                <w:highlight w:val="none"/>
              </w:rPr>
            </w:pPr>
            <w:r>
              <w:rPr>
                <w:szCs w:val="28"/>
                <w:highlight w:val="none"/>
              </w:rPr>
              <w:t>METAVIR</w:t>
            </w:r>
          </w:p>
        </w:tc>
        <w:tc>
          <w:tcPr>
            <w:tcW w:w="566" w:type="dxa"/>
            <w:vAlign w:val="center"/>
          </w:tcPr>
          <w:p w14:paraId="0E6896C2">
            <w:pPr>
              <w:ind w:left="-57" w:right="-57" w:firstLine="0"/>
              <w:jc w:val="center"/>
              <w:rPr>
                <w:szCs w:val="28"/>
                <w:highlight w:val="none"/>
                <w:lang w:eastAsia="ru-RU"/>
              </w:rPr>
            </w:pPr>
            <w:r>
              <w:rPr>
                <w:szCs w:val="28"/>
                <w:highlight w:val="none"/>
                <w:lang w:eastAsia="ru-RU"/>
              </w:rPr>
              <w:t>–</w:t>
            </w:r>
          </w:p>
        </w:tc>
        <w:tc>
          <w:tcPr>
            <w:tcW w:w="7286" w:type="dxa"/>
          </w:tcPr>
          <w:p w14:paraId="731E6FF7">
            <w:pPr>
              <w:ind w:left="-57" w:right="-57" w:firstLine="0"/>
              <w:rPr>
                <w:szCs w:val="28"/>
                <w:highlight w:val="none"/>
              </w:rPr>
            </w:pPr>
            <w:r>
              <w:rPr>
                <w:szCs w:val="28"/>
                <w:highlight w:val="none"/>
              </w:rPr>
              <w:t>шкала оцінки ступеня фіброзу печінки (meta-analysis of hisological data in viral hepatitis)</w:t>
            </w:r>
          </w:p>
        </w:tc>
      </w:tr>
      <w:tr w14:paraId="2DE4B460">
        <w:tblPrEx>
          <w:tblCellMar>
            <w:top w:w="0" w:type="dxa"/>
            <w:left w:w="108" w:type="dxa"/>
            <w:bottom w:w="0" w:type="dxa"/>
            <w:right w:w="108" w:type="dxa"/>
          </w:tblCellMar>
        </w:tblPrEx>
        <w:tc>
          <w:tcPr>
            <w:tcW w:w="1492" w:type="dxa"/>
          </w:tcPr>
          <w:p w14:paraId="213AAE9D">
            <w:pPr>
              <w:ind w:left="-57" w:right="-57" w:firstLine="0"/>
              <w:rPr>
                <w:rFonts w:cs="Times New Roman"/>
                <w:szCs w:val="28"/>
                <w:highlight w:val="none"/>
              </w:rPr>
            </w:pPr>
            <w:r>
              <w:rPr>
                <w:rFonts w:cs="Times New Roman"/>
                <w:szCs w:val="28"/>
                <w:highlight w:val="none"/>
                <w:shd w:val="clear" w:color="auto" w:fill="FFFFFF"/>
              </w:rPr>
              <w:t>MIP</w:t>
            </w:r>
          </w:p>
        </w:tc>
        <w:tc>
          <w:tcPr>
            <w:tcW w:w="566" w:type="dxa"/>
          </w:tcPr>
          <w:p w14:paraId="26279700">
            <w:pPr>
              <w:ind w:left="-57" w:right="-57" w:firstLine="0"/>
              <w:jc w:val="center"/>
              <w:rPr>
                <w:rFonts w:cs="Times New Roman"/>
                <w:szCs w:val="28"/>
                <w:highlight w:val="none"/>
              </w:rPr>
            </w:pPr>
            <w:r>
              <w:rPr>
                <w:rFonts w:cs="Times New Roman"/>
                <w:szCs w:val="28"/>
                <w:highlight w:val="none"/>
              </w:rPr>
              <w:t>–</w:t>
            </w:r>
          </w:p>
        </w:tc>
        <w:tc>
          <w:tcPr>
            <w:tcW w:w="7286" w:type="dxa"/>
          </w:tcPr>
          <w:p w14:paraId="3D3F4F78">
            <w:pPr>
              <w:ind w:left="-57" w:right="-57" w:firstLine="0"/>
              <w:rPr>
                <w:rFonts w:cs="Times New Roman"/>
                <w:szCs w:val="28"/>
                <w:highlight w:val="none"/>
              </w:rPr>
            </w:pPr>
            <w:r>
              <w:rPr>
                <w:rFonts w:cs="Times New Roman"/>
                <w:szCs w:val="28"/>
                <w:highlight w:val="none"/>
                <w:shd w:val="clear" w:color="auto" w:fill="FFFFFF"/>
              </w:rPr>
              <w:t>запальний білок макрофагів(Major Intrinsic Protein)</w:t>
            </w:r>
          </w:p>
        </w:tc>
      </w:tr>
      <w:tr w14:paraId="5DDE6B13">
        <w:tblPrEx>
          <w:tblCellMar>
            <w:top w:w="0" w:type="dxa"/>
            <w:left w:w="108" w:type="dxa"/>
            <w:bottom w:w="0" w:type="dxa"/>
            <w:right w:w="108" w:type="dxa"/>
          </w:tblCellMar>
        </w:tblPrEx>
        <w:tc>
          <w:tcPr>
            <w:tcW w:w="1492" w:type="dxa"/>
          </w:tcPr>
          <w:p w14:paraId="66392003">
            <w:pPr>
              <w:ind w:left="-57" w:right="-57" w:firstLine="0"/>
              <w:rPr>
                <w:rFonts w:cs="Times New Roman"/>
                <w:szCs w:val="28"/>
                <w:highlight w:val="none"/>
              </w:rPr>
            </w:pPr>
            <w:r>
              <w:rPr>
                <w:rFonts w:cs="Times New Roman"/>
                <w:iCs/>
                <w:szCs w:val="28"/>
                <w:highlight w:val="none"/>
                <w:shd w:val="clear" w:color="auto" w:fill="FFFFFF"/>
              </w:rPr>
              <w:t>NF-kB</w:t>
            </w:r>
          </w:p>
        </w:tc>
        <w:tc>
          <w:tcPr>
            <w:tcW w:w="566" w:type="dxa"/>
          </w:tcPr>
          <w:p w14:paraId="72C26947">
            <w:pPr>
              <w:ind w:left="-57" w:right="-57" w:firstLine="0"/>
              <w:jc w:val="center"/>
              <w:rPr>
                <w:rFonts w:cs="Times New Roman"/>
                <w:szCs w:val="28"/>
                <w:highlight w:val="none"/>
              </w:rPr>
            </w:pPr>
            <w:r>
              <w:rPr>
                <w:rFonts w:cs="Times New Roman"/>
                <w:szCs w:val="28"/>
                <w:highlight w:val="none"/>
              </w:rPr>
              <w:t>–</w:t>
            </w:r>
          </w:p>
        </w:tc>
        <w:tc>
          <w:tcPr>
            <w:tcW w:w="7286" w:type="dxa"/>
          </w:tcPr>
          <w:p w14:paraId="1DC0EE98">
            <w:pPr>
              <w:ind w:left="-57" w:right="-57" w:firstLine="0"/>
              <w:rPr>
                <w:rFonts w:cs="Times New Roman"/>
                <w:szCs w:val="28"/>
                <w:highlight w:val="none"/>
              </w:rPr>
            </w:pPr>
            <w:r>
              <w:rPr>
                <w:rFonts w:cs="Times New Roman"/>
                <w:szCs w:val="28"/>
                <w:highlight w:val="none"/>
              </w:rPr>
              <w:t>я</w:t>
            </w:r>
            <w:r>
              <w:rPr>
                <w:rFonts w:cs="Times New Roman"/>
                <w:szCs w:val="28"/>
                <w:highlight w:val="none"/>
                <w:shd w:val="clear" w:color="auto" w:fill="FFFFFF"/>
              </w:rPr>
              <w:t>дерний фактор каппа-підсилювача легкого ланцюга активованих В-клітин</w:t>
            </w:r>
            <w:r>
              <w:rPr>
                <w:rFonts w:cs="Times New Roman"/>
                <w:szCs w:val="28"/>
                <w:highlight w:val="none"/>
              </w:rPr>
              <w:t xml:space="preserve"> (</w:t>
            </w:r>
            <w:r>
              <w:rPr>
                <w:rFonts w:cs="Times New Roman"/>
                <w:iCs/>
                <w:szCs w:val="28"/>
                <w:highlight w:val="none"/>
                <w:shd w:val="clear" w:color="auto" w:fill="FFFFFF"/>
              </w:rPr>
              <w:t>Nuclear Factor Kappa-Light-Chain-Enhancer Of Activated B Cells)</w:t>
            </w:r>
          </w:p>
        </w:tc>
      </w:tr>
      <w:tr w14:paraId="681245DE">
        <w:tblPrEx>
          <w:tblCellMar>
            <w:top w:w="0" w:type="dxa"/>
            <w:left w:w="108" w:type="dxa"/>
            <w:bottom w:w="0" w:type="dxa"/>
            <w:right w:w="108" w:type="dxa"/>
          </w:tblCellMar>
        </w:tblPrEx>
        <w:tc>
          <w:tcPr>
            <w:tcW w:w="1492" w:type="dxa"/>
          </w:tcPr>
          <w:p w14:paraId="7AA111D7">
            <w:pPr>
              <w:ind w:left="-57" w:right="-57" w:firstLine="0"/>
              <w:rPr>
                <w:rFonts w:cs="Times New Roman"/>
                <w:szCs w:val="28"/>
                <w:highlight w:val="none"/>
              </w:rPr>
            </w:pPr>
            <w:r>
              <w:rPr>
                <w:rFonts w:cs="Times New Roman"/>
                <w:szCs w:val="28"/>
                <w:highlight w:val="none"/>
                <w:shd w:val="clear" w:color="auto" w:fill="FFFFFF"/>
              </w:rPr>
              <w:t>NHANES</w:t>
            </w:r>
          </w:p>
        </w:tc>
        <w:tc>
          <w:tcPr>
            <w:tcW w:w="566" w:type="dxa"/>
          </w:tcPr>
          <w:p w14:paraId="5838988D">
            <w:pPr>
              <w:ind w:left="-57" w:right="-57" w:firstLine="0"/>
              <w:jc w:val="center"/>
              <w:rPr>
                <w:rFonts w:cs="Times New Roman"/>
                <w:szCs w:val="28"/>
                <w:highlight w:val="none"/>
              </w:rPr>
            </w:pPr>
            <w:r>
              <w:rPr>
                <w:rFonts w:cs="Times New Roman"/>
                <w:szCs w:val="28"/>
                <w:highlight w:val="none"/>
              </w:rPr>
              <w:t>–</w:t>
            </w:r>
          </w:p>
        </w:tc>
        <w:tc>
          <w:tcPr>
            <w:tcW w:w="7286" w:type="dxa"/>
          </w:tcPr>
          <w:p w14:paraId="18C3DDD6">
            <w:pPr>
              <w:ind w:left="-57" w:right="-57" w:firstLine="0"/>
              <w:rPr>
                <w:rFonts w:cs="Times New Roman"/>
                <w:szCs w:val="28"/>
                <w:highlight w:val="none"/>
              </w:rPr>
            </w:pPr>
            <w:r>
              <w:rPr>
                <w:rFonts w:cs="Times New Roman"/>
                <w:szCs w:val="28"/>
                <w:highlight w:val="none"/>
              </w:rPr>
              <w:t>Національне дослідження здоров’я та харчування (</w:t>
            </w:r>
            <w:r>
              <w:rPr>
                <w:rFonts w:cs="Times New Roman"/>
                <w:szCs w:val="28"/>
                <w:highlight w:val="none"/>
                <w:shd w:val="clear" w:color="auto" w:fill="FFFFFF"/>
              </w:rPr>
              <w:t>National Health and Nutrition Examination Survey)</w:t>
            </w:r>
          </w:p>
        </w:tc>
      </w:tr>
      <w:tr w14:paraId="3CB287DF">
        <w:tblPrEx>
          <w:tblCellMar>
            <w:top w:w="0" w:type="dxa"/>
            <w:left w:w="108" w:type="dxa"/>
            <w:bottom w:w="0" w:type="dxa"/>
            <w:right w:w="108" w:type="dxa"/>
          </w:tblCellMar>
        </w:tblPrEx>
        <w:tc>
          <w:tcPr>
            <w:tcW w:w="1492" w:type="dxa"/>
          </w:tcPr>
          <w:p w14:paraId="2FF7A136">
            <w:pPr>
              <w:ind w:left="-57" w:right="-57" w:firstLine="0"/>
              <w:rPr>
                <w:rFonts w:cs="Times New Roman"/>
                <w:szCs w:val="28"/>
                <w:highlight w:val="none"/>
              </w:rPr>
            </w:pPr>
            <w:r>
              <w:rPr>
                <w:rFonts w:cs="Times New Roman"/>
                <w:szCs w:val="28"/>
                <w:highlight w:val="none"/>
                <w:shd w:val="clear" w:color="auto" w:fill="FCFCFC"/>
              </w:rPr>
              <w:t>PIB</w:t>
            </w:r>
          </w:p>
        </w:tc>
        <w:tc>
          <w:tcPr>
            <w:tcW w:w="566" w:type="dxa"/>
          </w:tcPr>
          <w:p w14:paraId="4E781259">
            <w:pPr>
              <w:ind w:left="-57" w:right="-57" w:firstLine="0"/>
              <w:jc w:val="center"/>
              <w:rPr>
                <w:rFonts w:cs="Times New Roman"/>
                <w:szCs w:val="28"/>
                <w:highlight w:val="none"/>
              </w:rPr>
            </w:pPr>
            <w:r>
              <w:rPr>
                <w:rFonts w:cs="Times New Roman"/>
                <w:szCs w:val="28"/>
                <w:highlight w:val="none"/>
              </w:rPr>
              <w:t>–</w:t>
            </w:r>
          </w:p>
        </w:tc>
        <w:tc>
          <w:tcPr>
            <w:tcW w:w="7286" w:type="dxa"/>
          </w:tcPr>
          <w:p w14:paraId="138B2100">
            <w:pPr>
              <w:ind w:left="-57" w:right="-57" w:firstLine="0"/>
              <w:rPr>
                <w:rFonts w:cs="Times New Roman"/>
                <w:szCs w:val="28"/>
                <w:highlight w:val="none"/>
              </w:rPr>
            </w:pPr>
            <w:r>
              <w:rPr>
                <w:rFonts w:cs="Times New Roman"/>
                <w:szCs w:val="28"/>
                <w:highlight w:val="none"/>
              </w:rPr>
              <w:t>пібрентасвір (Pibrentasvir)</w:t>
            </w:r>
          </w:p>
        </w:tc>
      </w:tr>
      <w:tr w14:paraId="3DF01BD1">
        <w:tblPrEx>
          <w:tblCellMar>
            <w:top w:w="0" w:type="dxa"/>
            <w:left w:w="108" w:type="dxa"/>
            <w:bottom w:w="0" w:type="dxa"/>
            <w:right w:w="108" w:type="dxa"/>
          </w:tblCellMar>
        </w:tblPrEx>
        <w:tc>
          <w:tcPr>
            <w:tcW w:w="1492" w:type="dxa"/>
          </w:tcPr>
          <w:p w14:paraId="41ED8CF4">
            <w:pPr>
              <w:ind w:left="-57" w:right="-57" w:firstLine="0"/>
              <w:rPr>
                <w:rFonts w:cs="Times New Roman"/>
                <w:szCs w:val="28"/>
                <w:highlight w:val="none"/>
              </w:rPr>
            </w:pPr>
            <w:r>
              <w:rPr>
                <w:rFonts w:cs="Times New Roman"/>
                <w:szCs w:val="28"/>
                <w:highlight w:val="none"/>
              </w:rPr>
              <w:t>RBV</w:t>
            </w:r>
          </w:p>
        </w:tc>
        <w:tc>
          <w:tcPr>
            <w:tcW w:w="566" w:type="dxa"/>
          </w:tcPr>
          <w:p w14:paraId="3EAE518B">
            <w:pPr>
              <w:ind w:left="-57" w:right="-57" w:firstLine="0"/>
              <w:jc w:val="center"/>
              <w:rPr>
                <w:rFonts w:cs="Times New Roman"/>
                <w:szCs w:val="28"/>
                <w:highlight w:val="none"/>
              </w:rPr>
            </w:pPr>
            <w:r>
              <w:rPr>
                <w:rFonts w:cs="Times New Roman"/>
                <w:szCs w:val="28"/>
                <w:highlight w:val="none"/>
              </w:rPr>
              <w:t>–</w:t>
            </w:r>
          </w:p>
        </w:tc>
        <w:tc>
          <w:tcPr>
            <w:tcW w:w="7286" w:type="dxa"/>
          </w:tcPr>
          <w:p w14:paraId="1678026D">
            <w:pPr>
              <w:ind w:left="-57" w:right="-57" w:firstLine="0"/>
              <w:rPr>
                <w:rFonts w:cs="Times New Roman"/>
                <w:szCs w:val="28"/>
                <w:highlight w:val="none"/>
              </w:rPr>
            </w:pPr>
            <w:r>
              <w:rPr>
                <w:rFonts w:cs="Times New Roman"/>
                <w:szCs w:val="28"/>
                <w:highlight w:val="none"/>
                <w:lang w:eastAsia="ru-RU"/>
              </w:rPr>
              <w:t xml:space="preserve">рибавірин </w:t>
            </w:r>
            <w:r>
              <w:rPr>
                <w:rFonts w:cs="Times New Roman"/>
                <w:szCs w:val="28"/>
                <w:highlight w:val="none"/>
              </w:rPr>
              <w:t>(</w:t>
            </w:r>
            <w:r>
              <w:rPr>
                <w:rStyle w:val="10"/>
                <w:rFonts w:cs="Times New Roman"/>
                <w:bCs/>
                <w:szCs w:val="28"/>
                <w:highlight w:val="none"/>
                <w:shd w:val="clear" w:color="auto" w:fill="FFFFFF"/>
              </w:rPr>
              <w:t>Ribavirin)</w:t>
            </w:r>
          </w:p>
        </w:tc>
      </w:tr>
      <w:tr w14:paraId="1BD49159">
        <w:tblPrEx>
          <w:tblCellMar>
            <w:top w:w="0" w:type="dxa"/>
            <w:left w:w="108" w:type="dxa"/>
            <w:bottom w:w="0" w:type="dxa"/>
            <w:right w:w="108" w:type="dxa"/>
          </w:tblCellMar>
        </w:tblPrEx>
        <w:tc>
          <w:tcPr>
            <w:tcW w:w="1492" w:type="dxa"/>
          </w:tcPr>
          <w:p w14:paraId="4ECA8D87">
            <w:pPr>
              <w:ind w:left="-57" w:right="-57" w:firstLine="0"/>
              <w:rPr>
                <w:rFonts w:cs="Times New Roman"/>
                <w:szCs w:val="28"/>
                <w:highlight w:val="none"/>
              </w:rPr>
            </w:pPr>
            <w:r>
              <w:rPr>
                <w:rFonts w:cs="Times New Roman"/>
                <w:szCs w:val="28"/>
                <w:highlight w:val="none"/>
              </w:rPr>
              <w:t>SIM</w:t>
            </w:r>
          </w:p>
        </w:tc>
        <w:tc>
          <w:tcPr>
            <w:tcW w:w="566" w:type="dxa"/>
          </w:tcPr>
          <w:p w14:paraId="799EA288">
            <w:pPr>
              <w:ind w:left="-57" w:right="-57" w:firstLine="0"/>
              <w:jc w:val="center"/>
              <w:rPr>
                <w:rFonts w:cs="Times New Roman"/>
                <w:szCs w:val="28"/>
                <w:highlight w:val="none"/>
              </w:rPr>
            </w:pPr>
            <w:r>
              <w:rPr>
                <w:rFonts w:cs="Times New Roman"/>
                <w:szCs w:val="28"/>
                <w:highlight w:val="none"/>
              </w:rPr>
              <w:t>–</w:t>
            </w:r>
          </w:p>
        </w:tc>
        <w:tc>
          <w:tcPr>
            <w:tcW w:w="7286" w:type="dxa"/>
          </w:tcPr>
          <w:p w14:paraId="368AF14B">
            <w:pPr>
              <w:ind w:left="-57" w:right="-57" w:firstLine="0"/>
              <w:rPr>
                <w:rFonts w:cs="Times New Roman"/>
                <w:szCs w:val="28"/>
                <w:highlight w:val="none"/>
              </w:rPr>
            </w:pPr>
            <w:r>
              <w:rPr>
                <w:rFonts w:cs="Times New Roman"/>
                <w:szCs w:val="28"/>
                <w:highlight w:val="none"/>
                <w:lang w:eastAsia="ru-RU"/>
              </w:rPr>
              <w:t>сімепревір (Simeprevir)</w:t>
            </w:r>
          </w:p>
        </w:tc>
      </w:tr>
      <w:tr w14:paraId="2AC42F25">
        <w:tblPrEx>
          <w:tblCellMar>
            <w:top w:w="0" w:type="dxa"/>
            <w:left w:w="108" w:type="dxa"/>
            <w:bottom w:w="0" w:type="dxa"/>
            <w:right w:w="108" w:type="dxa"/>
          </w:tblCellMar>
        </w:tblPrEx>
        <w:tc>
          <w:tcPr>
            <w:tcW w:w="1492" w:type="dxa"/>
          </w:tcPr>
          <w:p w14:paraId="7EB879C4">
            <w:pPr>
              <w:ind w:left="-57" w:right="-57" w:firstLine="0"/>
              <w:rPr>
                <w:rFonts w:cs="Times New Roman"/>
                <w:szCs w:val="28"/>
                <w:highlight w:val="none"/>
              </w:rPr>
            </w:pPr>
            <w:r>
              <w:rPr>
                <w:rFonts w:cs="Times New Roman"/>
                <w:szCs w:val="28"/>
                <w:highlight w:val="none"/>
              </w:rPr>
              <w:t>SOF</w:t>
            </w:r>
          </w:p>
        </w:tc>
        <w:tc>
          <w:tcPr>
            <w:tcW w:w="566" w:type="dxa"/>
          </w:tcPr>
          <w:p w14:paraId="16AA768D">
            <w:pPr>
              <w:ind w:left="-57" w:right="-57" w:firstLine="0"/>
              <w:jc w:val="center"/>
              <w:rPr>
                <w:rFonts w:cs="Times New Roman"/>
                <w:szCs w:val="28"/>
                <w:highlight w:val="none"/>
              </w:rPr>
            </w:pPr>
            <w:r>
              <w:rPr>
                <w:rFonts w:cs="Times New Roman"/>
                <w:szCs w:val="28"/>
                <w:highlight w:val="none"/>
              </w:rPr>
              <w:t>–</w:t>
            </w:r>
          </w:p>
        </w:tc>
        <w:tc>
          <w:tcPr>
            <w:tcW w:w="7286" w:type="dxa"/>
          </w:tcPr>
          <w:p w14:paraId="2B37E47E">
            <w:pPr>
              <w:ind w:left="-57" w:right="-57" w:firstLine="0"/>
              <w:rPr>
                <w:rFonts w:cs="Times New Roman"/>
                <w:szCs w:val="28"/>
                <w:highlight w:val="none"/>
              </w:rPr>
            </w:pPr>
            <w:r>
              <w:rPr>
                <w:rFonts w:cs="Times New Roman"/>
                <w:szCs w:val="28"/>
                <w:highlight w:val="none"/>
              </w:rPr>
              <w:t>софосбувір (Sofosbuvir)</w:t>
            </w:r>
          </w:p>
        </w:tc>
      </w:tr>
      <w:tr w14:paraId="3BD52662">
        <w:tblPrEx>
          <w:tblCellMar>
            <w:top w:w="0" w:type="dxa"/>
            <w:left w:w="108" w:type="dxa"/>
            <w:bottom w:w="0" w:type="dxa"/>
            <w:right w:w="108" w:type="dxa"/>
          </w:tblCellMar>
        </w:tblPrEx>
        <w:tc>
          <w:tcPr>
            <w:tcW w:w="1492" w:type="dxa"/>
          </w:tcPr>
          <w:p w14:paraId="30E2F5BD">
            <w:pPr>
              <w:ind w:left="-57" w:right="-57" w:firstLine="0"/>
              <w:rPr>
                <w:rFonts w:cs="Times New Roman"/>
                <w:szCs w:val="28"/>
                <w:highlight w:val="none"/>
              </w:rPr>
            </w:pPr>
            <w:r>
              <w:rPr>
                <w:rFonts w:cs="Times New Roman"/>
                <w:szCs w:val="28"/>
                <w:highlight w:val="none"/>
              </w:rPr>
              <w:t>STAT3</w:t>
            </w:r>
          </w:p>
        </w:tc>
        <w:tc>
          <w:tcPr>
            <w:tcW w:w="566" w:type="dxa"/>
          </w:tcPr>
          <w:p w14:paraId="741B5C30">
            <w:pPr>
              <w:ind w:left="-57" w:right="-57" w:firstLine="0"/>
              <w:jc w:val="center"/>
              <w:rPr>
                <w:rFonts w:cs="Times New Roman"/>
                <w:szCs w:val="28"/>
                <w:highlight w:val="none"/>
              </w:rPr>
            </w:pPr>
            <w:r>
              <w:rPr>
                <w:rFonts w:cs="Times New Roman"/>
                <w:szCs w:val="28"/>
                <w:highlight w:val="none"/>
              </w:rPr>
              <w:t>–</w:t>
            </w:r>
          </w:p>
        </w:tc>
        <w:tc>
          <w:tcPr>
            <w:tcW w:w="7286" w:type="dxa"/>
          </w:tcPr>
          <w:p w14:paraId="2DFCB98E">
            <w:pPr>
              <w:ind w:left="-57" w:right="-57" w:firstLine="0"/>
              <w:rPr>
                <w:rFonts w:cs="Times New Roman"/>
                <w:szCs w:val="28"/>
                <w:highlight w:val="none"/>
              </w:rPr>
            </w:pPr>
            <w:r>
              <w:rPr>
                <w:rFonts w:cs="Times New Roman"/>
                <w:szCs w:val="28"/>
                <w:highlight w:val="none"/>
                <w:shd w:val="clear" w:color="auto" w:fill="FFFFFF"/>
              </w:rPr>
              <w:t>перетворювач сигналу та активатор транскрипції 3 (Signal Transducer And Activator Of Transcription 3)</w:t>
            </w:r>
          </w:p>
        </w:tc>
      </w:tr>
      <w:tr w14:paraId="082B22FA">
        <w:tblPrEx>
          <w:tblCellMar>
            <w:top w:w="0" w:type="dxa"/>
            <w:left w:w="108" w:type="dxa"/>
            <w:bottom w:w="0" w:type="dxa"/>
            <w:right w:w="108" w:type="dxa"/>
          </w:tblCellMar>
        </w:tblPrEx>
        <w:tc>
          <w:tcPr>
            <w:tcW w:w="1492" w:type="dxa"/>
          </w:tcPr>
          <w:p w14:paraId="0E69B1FF">
            <w:pPr>
              <w:ind w:left="-57" w:right="-57" w:firstLine="0"/>
              <w:rPr>
                <w:rFonts w:cs="Times New Roman"/>
                <w:szCs w:val="28"/>
                <w:highlight w:val="none"/>
              </w:rPr>
            </w:pPr>
            <w:r>
              <w:rPr>
                <w:rFonts w:cs="Times New Roman"/>
                <w:szCs w:val="28"/>
                <w:highlight w:val="none"/>
              </w:rPr>
              <w:t>TGF</w:t>
            </w:r>
          </w:p>
        </w:tc>
        <w:tc>
          <w:tcPr>
            <w:tcW w:w="566" w:type="dxa"/>
          </w:tcPr>
          <w:p w14:paraId="1C83CE9C">
            <w:pPr>
              <w:ind w:left="-57" w:right="-57" w:firstLine="0"/>
              <w:jc w:val="center"/>
              <w:rPr>
                <w:rFonts w:cs="Times New Roman"/>
                <w:szCs w:val="28"/>
                <w:highlight w:val="none"/>
              </w:rPr>
            </w:pPr>
            <w:r>
              <w:rPr>
                <w:rFonts w:cs="Times New Roman"/>
                <w:szCs w:val="28"/>
                <w:highlight w:val="none"/>
              </w:rPr>
              <w:t>–</w:t>
            </w:r>
          </w:p>
        </w:tc>
        <w:tc>
          <w:tcPr>
            <w:tcW w:w="7286" w:type="dxa"/>
          </w:tcPr>
          <w:p w14:paraId="77758E34">
            <w:pPr>
              <w:ind w:left="-57" w:right="-57" w:firstLine="0"/>
              <w:rPr>
                <w:rFonts w:cs="Times New Roman"/>
                <w:szCs w:val="28"/>
                <w:highlight w:val="none"/>
              </w:rPr>
            </w:pPr>
            <w:r>
              <w:rPr>
                <w:rFonts w:cs="Times New Roman"/>
                <w:szCs w:val="28"/>
                <w:highlight w:val="none"/>
              </w:rPr>
              <w:t>трансформуючий фактору росту (</w:t>
            </w:r>
            <w:r>
              <w:rPr>
                <w:rStyle w:val="10"/>
                <w:rFonts w:cs="Times New Roman"/>
                <w:bCs/>
                <w:szCs w:val="28"/>
                <w:highlight w:val="none"/>
                <w:shd w:val="clear" w:color="auto" w:fill="FFFFFF"/>
              </w:rPr>
              <w:t>Transforming Growth Factor)</w:t>
            </w:r>
          </w:p>
        </w:tc>
      </w:tr>
      <w:tr w14:paraId="5300533F">
        <w:tblPrEx>
          <w:tblCellMar>
            <w:top w:w="0" w:type="dxa"/>
            <w:left w:w="108" w:type="dxa"/>
            <w:bottom w:w="0" w:type="dxa"/>
            <w:right w:w="108" w:type="dxa"/>
          </w:tblCellMar>
        </w:tblPrEx>
        <w:tc>
          <w:tcPr>
            <w:tcW w:w="1492" w:type="dxa"/>
          </w:tcPr>
          <w:p w14:paraId="1929117C">
            <w:pPr>
              <w:ind w:left="-57" w:right="-57" w:firstLine="0"/>
              <w:rPr>
                <w:rFonts w:cs="Times New Roman"/>
                <w:szCs w:val="28"/>
                <w:highlight w:val="none"/>
              </w:rPr>
            </w:pPr>
            <w:r>
              <w:rPr>
                <w:rFonts w:cs="Times New Roman"/>
                <w:szCs w:val="28"/>
                <w:highlight w:val="none"/>
              </w:rPr>
              <w:t>TNF-α</w:t>
            </w:r>
          </w:p>
        </w:tc>
        <w:tc>
          <w:tcPr>
            <w:tcW w:w="566" w:type="dxa"/>
          </w:tcPr>
          <w:p w14:paraId="63FA9DB9">
            <w:pPr>
              <w:ind w:left="-57" w:right="-57" w:firstLine="0"/>
              <w:jc w:val="center"/>
              <w:rPr>
                <w:rFonts w:cs="Times New Roman"/>
                <w:szCs w:val="28"/>
                <w:highlight w:val="none"/>
              </w:rPr>
            </w:pPr>
            <w:r>
              <w:rPr>
                <w:rFonts w:cs="Times New Roman"/>
                <w:szCs w:val="28"/>
                <w:highlight w:val="none"/>
              </w:rPr>
              <w:t>–</w:t>
            </w:r>
          </w:p>
        </w:tc>
        <w:tc>
          <w:tcPr>
            <w:tcW w:w="7286" w:type="dxa"/>
          </w:tcPr>
          <w:p w14:paraId="2F859028">
            <w:pPr>
              <w:ind w:left="-57" w:right="-57" w:firstLine="0"/>
              <w:rPr>
                <w:rFonts w:cs="Times New Roman"/>
                <w:szCs w:val="28"/>
                <w:highlight w:val="none"/>
              </w:rPr>
            </w:pPr>
            <w:r>
              <w:rPr>
                <w:rFonts w:cs="Times New Roman"/>
                <w:szCs w:val="28"/>
                <w:highlight w:val="none"/>
              </w:rPr>
              <w:t>фактор некрозу пухлини-α (</w:t>
            </w:r>
            <w:r>
              <w:rPr>
                <w:rStyle w:val="10"/>
                <w:rFonts w:cs="Times New Roman"/>
                <w:bCs/>
                <w:szCs w:val="28"/>
                <w:highlight w:val="none"/>
                <w:shd w:val="clear" w:color="auto" w:fill="FFFFFF"/>
              </w:rPr>
              <w:t>Tumor Necrosis Factor-</w:t>
            </w:r>
            <w:r>
              <w:rPr>
                <w:rFonts w:cs="Times New Roman"/>
                <w:szCs w:val="28"/>
                <w:highlight w:val="none"/>
              </w:rPr>
              <w:t>α)</w:t>
            </w:r>
          </w:p>
        </w:tc>
      </w:tr>
      <w:tr w14:paraId="1DB8C8B2">
        <w:tblPrEx>
          <w:tblCellMar>
            <w:top w:w="0" w:type="dxa"/>
            <w:left w:w="108" w:type="dxa"/>
            <w:bottom w:w="0" w:type="dxa"/>
            <w:right w:w="108" w:type="dxa"/>
          </w:tblCellMar>
        </w:tblPrEx>
        <w:tc>
          <w:tcPr>
            <w:tcW w:w="1492" w:type="dxa"/>
          </w:tcPr>
          <w:p w14:paraId="5B2BA776">
            <w:pPr>
              <w:ind w:left="-57" w:right="-57" w:firstLine="0"/>
              <w:rPr>
                <w:szCs w:val="28"/>
                <w:highlight w:val="none"/>
              </w:rPr>
            </w:pPr>
            <w:r>
              <w:rPr>
                <w:szCs w:val="28"/>
                <w:highlight w:val="none"/>
              </w:rPr>
              <w:t>UQ</w:t>
            </w:r>
          </w:p>
        </w:tc>
        <w:tc>
          <w:tcPr>
            <w:tcW w:w="566" w:type="dxa"/>
            <w:vAlign w:val="center"/>
          </w:tcPr>
          <w:p w14:paraId="0ED1849C">
            <w:pPr>
              <w:ind w:left="-57" w:right="-57" w:firstLine="0"/>
              <w:jc w:val="center"/>
              <w:rPr>
                <w:szCs w:val="28"/>
                <w:highlight w:val="none"/>
                <w:lang w:eastAsia="ru-RU"/>
              </w:rPr>
            </w:pPr>
            <w:r>
              <w:rPr>
                <w:szCs w:val="28"/>
                <w:highlight w:val="none"/>
                <w:lang w:eastAsia="ru-RU"/>
              </w:rPr>
              <w:t>–</w:t>
            </w:r>
          </w:p>
        </w:tc>
        <w:tc>
          <w:tcPr>
            <w:tcW w:w="7286" w:type="dxa"/>
          </w:tcPr>
          <w:p w14:paraId="02F324FA">
            <w:pPr>
              <w:ind w:left="-57" w:right="-57" w:firstLine="0"/>
              <w:rPr>
                <w:szCs w:val="28"/>
                <w:highlight w:val="none"/>
              </w:rPr>
            </w:pPr>
            <w:r>
              <w:rPr>
                <w:szCs w:val="28"/>
                <w:highlight w:val="none"/>
              </w:rPr>
              <w:t>75,0 % квартилі</w:t>
            </w:r>
          </w:p>
        </w:tc>
      </w:tr>
      <w:tr w14:paraId="5D05454A">
        <w:tblPrEx>
          <w:tblCellMar>
            <w:top w:w="0" w:type="dxa"/>
            <w:left w:w="108" w:type="dxa"/>
            <w:bottom w:w="0" w:type="dxa"/>
            <w:right w:w="108" w:type="dxa"/>
          </w:tblCellMar>
        </w:tblPrEx>
        <w:tc>
          <w:tcPr>
            <w:tcW w:w="1492" w:type="dxa"/>
          </w:tcPr>
          <w:p w14:paraId="5B6070FE">
            <w:pPr>
              <w:ind w:left="-57" w:right="-57" w:firstLine="0"/>
              <w:rPr>
                <w:rFonts w:cs="Times New Roman"/>
                <w:szCs w:val="28"/>
                <w:highlight w:val="none"/>
              </w:rPr>
            </w:pPr>
            <w:r>
              <w:rPr>
                <w:rFonts w:cs="Times New Roman"/>
                <w:szCs w:val="28"/>
                <w:highlight w:val="none"/>
              </w:rPr>
              <w:t>VEL</w:t>
            </w:r>
          </w:p>
        </w:tc>
        <w:tc>
          <w:tcPr>
            <w:tcW w:w="566" w:type="dxa"/>
          </w:tcPr>
          <w:p w14:paraId="46BA9D95">
            <w:pPr>
              <w:ind w:left="-57" w:right="-57" w:firstLine="0"/>
              <w:jc w:val="center"/>
              <w:rPr>
                <w:rFonts w:cs="Times New Roman"/>
                <w:szCs w:val="28"/>
                <w:highlight w:val="none"/>
              </w:rPr>
            </w:pPr>
            <w:r>
              <w:rPr>
                <w:rFonts w:cs="Times New Roman"/>
                <w:szCs w:val="28"/>
                <w:highlight w:val="none"/>
              </w:rPr>
              <w:t>–</w:t>
            </w:r>
          </w:p>
        </w:tc>
        <w:tc>
          <w:tcPr>
            <w:tcW w:w="7286" w:type="dxa"/>
          </w:tcPr>
          <w:p w14:paraId="4D9D2601">
            <w:pPr>
              <w:ind w:left="-57" w:right="-57" w:firstLine="0"/>
              <w:rPr>
                <w:rFonts w:cs="Times New Roman"/>
                <w:szCs w:val="28"/>
                <w:highlight w:val="none"/>
              </w:rPr>
            </w:pPr>
            <w:r>
              <w:rPr>
                <w:rFonts w:cs="Times New Roman"/>
                <w:szCs w:val="28"/>
                <w:highlight w:val="none"/>
              </w:rPr>
              <w:t>велпатасвір (</w:t>
            </w:r>
            <w:r>
              <w:rPr>
                <w:rStyle w:val="10"/>
                <w:rFonts w:cs="Times New Roman"/>
                <w:bCs/>
                <w:szCs w:val="28"/>
                <w:highlight w:val="none"/>
                <w:shd w:val="clear" w:color="auto" w:fill="FFFFFF"/>
              </w:rPr>
              <w:t>Velpatasvir)</w:t>
            </w:r>
          </w:p>
        </w:tc>
      </w:tr>
      <w:tr w14:paraId="4DD8B12A">
        <w:tblPrEx>
          <w:tblCellMar>
            <w:top w:w="0" w:type="dxa"/>
            <w:left w:w="108" w:type="dxa"/>
            <w:bottom w:w="0" w:type="dxa"/>
            <w:right w:w="108" w:type="dxa"/>
          </w:tblCellMar>
        </w:tblPrEx>
        <w:tc>
          <w:tcPr>
            <w:tcW w:w="1492" w:type="dxa"/>
          </w:tcPr>
          <w:p w14:paraId="125F1F1F">
            <w:pPr>
              <w:ind w:left="-57" w:right="-57" w:firstLine="0"/>
              <w:rPr>
                <w:rFonts w:cs="Times New Roman"/>
                <w:szCs w:val="28"/>
                <w:highlight w:val="none"/>
              </w:rPr>
            </w:pPr>
            <w:r>
              <w:rPr>
                <w:rFonts w:cs="Times New Roman"/>
                <w:szCs w:val="28"/>
                <w:highlight w:val="none"/>
                <w:shd w:val="clear" w:color="auto" w:fill="FCFCFC"/>
              </w:rPr>
              <w:t>VOX</w:t>
            </w:r>
          </w:p>
        </w:tc>
        <w:tc>
          <w:tcPr>
            <w:tcW w:w="566" w:type="dxa"/>
          </w:tcPr>
          <w:p w14:paraId="0596A2EF">
            <w:pPr>
              <w:ind w:left="-57" w:right="-57" w:firstLine="0"/>
              <w:jc w:val="center"/>
              <w:rPr>
                <w:rFonts w:cs="Times New Roman"/>
                <w:szCs w:val="28"/>
                <w:highlight w:val="none"/>
              </w:rPr>
            </w:pPr>
            <w:r>
              <w:rPr>
                <w:rFonts w:cs="Times New Roman"/>
                <w:szCs w:val="28"/>
                <w:highlight w:val="none"/>
              </w:rPr>
              <w:t>–</w:t>
            </w:r>
          </w:p>
        </w:tc>
        <w:tc>
          <w:tcPr>
            <w:tcW w:w="7286" w:type="dxa"/>
          </w:tcPr>
          <w:p w14:paraId="5B31EAD1">
            <w:pPr>
              <w:ind w:left="-57" w:right="-57" w:firstLine="0"/>
              <w:rPr>
                <w:rFonts w:cs="Times New Roman"/>
                <w:szCs w:val="28"/>
                <w:highlight w:val="none"/>
              </w:rPr>
            </w:pPr>
            <w:r>
              <w:rPr>
                <w:rFonts w:cs="Times New Roman"/>
                <w:szCs w:val="28"/>
                <w:highlight w:val="none"/>
              </w:rPr>
              <w:t>воксилапревір (</w:t>
            </w:r>
            <w:r>
              <w:rPr>
                <w:rStyle w:val="10"/>
                <w:rFonts w:cs="Times New Roman"/>
                <w:bCs/>
                <w:szCs w:val="28"/>
                <w:highlight w:val="none"/>
                <w:shd w:val="clear" w:color="auto" w:fill="FFFFFF"/>
              </w:rPr>
              <w:t>Voxilaprevir)</w:t>
            </w:r>
          </w:p>
        </w:tc>
      </w:tr>
    </w:tbl>
    <w:p w14:paraId="4A834613">
      <w:pPr>
        <w:rPr>
          <w:rFonts w:cs="Times New Roman"/>
          <w:szCs w:val="28"/>
          <w:highlight w:val="none"/>
          <w:lang w:eastAsia="ru-RU"/>
        </w:rPr>
      </w:pPr>
    </w:p>
    <w:p w14:paraId="5A3AEAE2">
      <w:pPr>
        <w:rPr>
          <w:rFonts w:cs="Times New Roman" w:eastAsiaTheme="majorEastAsia"/>
          <w:szCs w:val="28"/>
          <w:highlight w:val="none"/>
          <w:lang w:eastAsia="ru-RU"/>
        </w:rPr>
      </w:pPr>
      <w:r>
        <w:rPr>
          <w:rFonts w:cs="Times New Roman"/>
          <w:szCs w:val="28"/>
          <w:highlight w:val="none"/>
        </w:rPr>
        <w:br w:type="page"/>
      </w:r>
    </w:p>
    <w:p w14:paraId="67E22082">
      <w:pPr>
        <w:pStyle w:val="2"/>
        <w:rPr>
          <w:rFonts w:cs="Times New Roman"/>
          <w:szCs w:val="28"/>
          <w:highlight w:val="none"/>
          <w:lang w:val="uk-UA"/>
        </w:rPr>
      </w:pPr>
      <w:bookmarkStart w:id="7" w:name="_Toc153923939"/>
      <w:r>
        <w:rPr>
          <w:rFonts w:cs="Times New Roman"/>
          <w:szCs w:val="28"/>
          <w:highlight w:val="none"/>
          <w:lang w:val="uk-UA"/>
        </w:rPr>
        <w:t>ВСТУП</w:t>
      </w:r>
      <w:bookmarkEnd w:id="7"/>
    </w:p>
    <w:p w14:paraId="4DD5F86E">
      <w:pPr>
        <w:rPr>
          <w:highlight w:val="none"/>
        </w:rPr>
      </w:pPr>
    </w:p>
    <w:p w14:paraId="1EF4D3F3">
      <w:pPr>
        <w:widowControl w:val="0"/>
        <w:rPr>
          <w:rFonts w:cs="Times New Roman"/>
          <w:highlight w:val="none"/>
        </w:rPr>
      </w:pPr>
      <w:r>
        <w:rPr>
          <w:rFonts w:cs="Times New Roman"/>
          <w:highlight w:val="none"/>
        </w:rPr>
        <w:t xml:space="preserve">У 2016 р. ВООЗ ухвалила першу глобальну стратегію боротьби з вірусним гепатитом, спрямовану на його ліквідацію як загрози світовій охороні здоров’я до 2030 р. через її значні медико-соціальні наслідки, які проявляються загрозливими рівнями поширення й інвалідизації та смертності населення </w:t>
      </w:r>
      <w:r>
        <w:rPr>
          <w:rFonts w:cs="Times New Roman"/>
          <w:szCs w:val="27"/>
          <w:highlight w:val="none"/>
          <w:shd w:val="clear" w:color="auto" w:fill="FFFFFF"/>
        </w:rPr>
        <w:t>[1.1]. Враховуючи існуючі ефективні варіанти лікування ХГС та їх гарні результати у деяких країнах, ВООЗ визначила метою розробки цієї глобальної стратегії до 2030 р. зниження на 80,0 % нових випадків інфікування та на 65,0 % смертності через ХГС задля повної її елімінації [1.2]. Для досягнення цієї мети ВООЗ було визначено необхідність діагностування не менше 90,0 % осіб, інфікованих ХГС та лікування більш ніж 80,0 % з них [1.3].</w:t>
      </w:r>
    </w:p>
    <w:p w14:paraId="60F4B505">
      <w:pPr>
        <w:pStyle w:val="101"/>
        <w:widowControl w:val="0"/>
        <w:shd w:val="clear" w:color="auto" w:fill="FFFFFF"/>
        <w:spacing w:before="0" w:beforeAutospacing="0" w:after="0" w:afterAutospacing="0" w:line="360" w:lineRule="auto"/>
        <w:ind w:firstLine="709"/>
        <w:jc w:val="both"/>
        <w:textAlignment w:val="baseline"/>
        <w:rPr>
          <w:sz w:val="28"/>
          <w:highlight w:val="none"/>
          <w:lang w:val="uk-UA"/>
        </w:rPr>
      </w:pPr>
      <w:r>
        <w:rPr>
          <w:sz w:val="28"/>
          <w:szCs w:val="27"/>
          <w:highlight w:val="none"/>
          <w:shd w:val="clear" w:color="auto" w:fill="FFFFFF"/>
          <w:lang w:val="uk-UA"/>
        </w:rPr>
        <w:t xml:space="preserve">У 2019 р. світова поширеність ХГС склала 57,8 млн осіб (0,8 % усіх мешканців світу) із більш ніж 3,0 млн нових випадків зараження ХГС та понад 1,1 млн смертей, спровокованих дією цих вірусів [1.4]. В 2020 р. за оцінками ВООЗ 57 млн осіб мали ХГС, при цьому, реєструвалося 300 тис смертей, спровокованих ХГС і 1,5 млн нових випадків інфікування </w:t>
      </w:r>
      <w:r>
        <w:rPr>
          <w:sz w:val="28"/>
          <w:highlight w:val="none"/>
          <w:lang w:val="uk-UA"/>
        </w:rPr>
        <w:t>[1.5].</w:t>
      </w:r>
    </w:p>
    <w:p w14:paraId="4E34A49B">
      <w:pPr>
        <w:pStyle w:val="101"/>
        <w:widowControl w:val="0"/>
        <w:shd w:val="clear" w:color="auto" w:fill="FFFFFF"/>
        <w:spacing w:before="0" w:beforeAutospacing="0" w:after="0" w:afterAutospacing="0" w:line="360" w:lineRule="auto"/>
        <w:ind w:firstLine="709"/>
        <w:jc w:val="both"/>
        <w:textAlignment w:val="baseline"/>
        <w:rPr>
          <w:sz w:val="28"/>
          <w:highlight w:val="none"/>
          <w:lang w:val="uk-UA"/>
        </w:rPr>
      </w:pPr>
      <w:r>
        <w:rPr>
          <w:sz w:val="28"/>
          <w:highlight w:val="none"/>
          <w:lang w:val="uk-UA"/>
        </w:rPr>
        <w:t>Після відкриття ХГС три десятиліття фундаментальних, трансляційних та клінічних досліджень завершилися розробкою ПППД, доступність до якої дала імпульс елімінації вірусу та здійснила революцію у клінічному лікуванні інфекції [1.6] незалежно від її тривалості. Незважаючи на значні успіхи в терапії, є значні проблеми з діагностуванням ХГС. Так, діагностується лише 21,0 %, а проводиться лікування тільки у 13,0 % осіб, інфікованих ХГС [</w:t>
      </w:r>
      <w:r>
        <w:rPr>
          <w:sz w:val="28"/>
          <w:szCs w:val="23"/>
          <w:highlight w:val="none"/>
          <w:lang w:val="uk-UA"/>
        </w:rPr>
        <w:t>1.5</w:t>
      </w:r>
      <w:r>
        <w:rPr>
          <w:sz w:val="28"/>
          <w:highlight w:val="none"/>
          <w:lang w:val="uk-UA"/>
        </w:rPr>
        <w:t>], через що профілактичні механізми, спрямовані на повну елімінацію вірусу є неефективними [1.7] і провокують значні рівні поширеності, смертності та інвалідизації населення.</w:t>
      </w:r>
    </w:p>
    <w:p w14:paraId="3AB2708D">
      <w:pPr>
        <w:widowControl w:val="0"/>
        <w:rPr>
          <w:highlight w:val="none"/>
        </w:rPr>
      </w:pPr>
      <w:r>
        <w:rPr>
          <w:highlight w:val="none"/>
        </w:rPr>
        <w:t xml:space="preserve">Негативні медико-соціальні наслідки ХГС цілковито пов’язують із розвитком ФП і прогресування його до ЦП. </w:t>
      </w:r>
      <w:r>
        <w:rPr>
          <w:rFonts w:cs="Times New Roman"/>
          <w:szCs w:val="30"/>
          <w:highlight w:val="none"/>
          <w:shd w:val="clear" w:color="auto" w:fill="FFFFFF"/>
        </w:rPr>
        <w:t xml:space="preserve">В середньому, швидкість прогресування до ЦП при ХГС складає 31,3 % після медіанного періоду 11 років з моменту встановлення діагнозу [1.8]. </w:t>
      </w:r>
      <w:r>
        <w:rPr>
          <w:highlight w:val="none"/>
        </w:rPr>
        <w:t>Тому, останніми роками ведеться пошук кардинально нових можливостей діагностування цих процесів у хворих із ХГС. Серед біомаркерів, яким надають перевагу при діагностуванні ФП і ЦП провідне місце займають ОП і вітамін D [1.9] через їх гарні прогностичні можливості визначення ступеня фіброзування.</w:t>
      </w:r>
    </w:p>
    <w:p w14:paraId="04584F6B">
      <w:pPr>
        <w:widowControl w:val="0"/>
        <w:rPr>
          <w:rFonts w:cs="Times New Roman"/>
          <w:highlight w:val="none"/>
        </w:rPr>
      </w:pPr>
      <w:r>
        <w:rPr>
          <w:rFonts w:cs="Times New Roman"/>
          <w:highlight w:val="none"/>
        </w:rPr>
        <w:t>Дослідження підтверджують провідну роль ОП у розвитку ФП і ЦП [1.10]. Після пошкодження печінки ОП секретується, що призводить до підвищення його рівня у сироватці крові [1.11].</w:t>
      </w:r>
      <w:r>
        <w:rPr>
          <w:highlight w:val="none"/>
        </w:rPr>
        <w:t xml:space="preserve"> </w:t>
      </w:r>
      <w:r>
        <w:rPr>
          <w:rFonts w:cs="Times New Roman"/>
          <w:highlight w:val="none"/>
        </w:rPr>
        <w:t>У фіброзній печінці після протидії ОП відбувається зниження утворення колагену. Крім того, ОП у сироватці крові вважається потенційним прогностичним індикатором прогресуючого ФП і ЦП [1.12</w:t>
      </w:r>
      <w:r>
        <w:rPr>
          <w:rFonts w:ascii="Arial" w:hAnsi="Arial" w:cs="Arial"/>
          <w:sz w:val="26"/>
          <w:szCs w:val="26"/>
          <w:highlight w:val="none"/>
          <w:shd w:val="clear" w:color="auto" w:fill="FFFFFF"/>
        </w:rPr>
        <w:t>]</w:t>
      </w:r>
      <w:r>
        <w:rPr>
          <w:rFonts w:cs="Times New Roman"/>
          <w:highlight w:val="none"/>
        </w:rPr>
        <w:t>, так, як його рівні поступово підвищуються зі стадії F0 до стадії F4 [1.13, 1.14].</w:t>
      </w:r>
    </w:p>
    <w:p w14:paraId="3B72850F">
      <w:pPr>
        <w:widowControl w:val="0"/>
        <w:rPr>
          <w:rFonts w:cs="Times New Roman"/>
          <w:highlight w:val="none"/>
        </w:rPr>
      </w:pPr>
      <w:r>
        <w:rPr>
          <w:rFonts w:cs="Times New Roman"/>
          <w:szCs w:val="30"/>
          <w:highlight w:val="none"/>
          <w:shd w:val="clear" w:color="auto" w:fill="FFFFFF"/>
        </w:rPr>
        <w:t>Інші дослідження [1.15] доводять зв’язок вітаміну D з різними захворюваннями печінки (першочергово ФП і ЦП і вірусна інфекція) [1.16, 1.17]. Що стосується інфекції ХГС, то, вказується, що деякі поліморфізми вітаміну D впливають на прогресування ФП, реакцію на терапію та розвиток ГЦК [1.18–1.20].</w:t>
      </w:r>
    </w:p>
    <w:p w14:paraId="75B1D4A2">
      <w:pPr>
        <w:rPr>
          <w:highlight w:val="none"/>
        </w:rPr>
      </w:pPr>
      <w:r>
        <w:rPr>
          <w:highlight w:val="none"/>
        </w:rPr>
        <w:t>Таким чином, вивчення патогенетичних механізмів дії вітаміну D та ОП на процеси реплікації вірусу гепатиту С, формування вірусного навантаження та стимуляцію процесів фіброзування, поряд зі створенням математичних моделей прогнозування перебігу та визначення діагностичних і терапевтичних можливостей хронічного гепатиту С постає вагомим питанням сучасної інфектології та є актуальним напрямком проведення досліджень.</w:t>
      </w:r>
    </w:p>
    <w:p w14:paraId="08294348">
      <w:pPr>
        <w:rPr>
          <w:b/>
          <w:bCs/>
          <w:highlight w:val="none"/>
        </w:rPr>
      </w:pPr>
      <w:r>
        <w:rPr>
          <w:b/>
          <w:bCs/>
          <w:highlight w:val="none"/>
        </w:rPr>
        <w:t>Зв’язок роботи з науковими програмами, планами, темами.</w:t>
      </w:r>
    </w:p>
    <w:p w14:paraId="073CC78B">
      <w:pPr>
        <w:rPr>
          <w:highlight w:val="none"/>
        </w:rPr>
      </w:pPr>
      <w:r>
        <w:rPr>
          <w:highlight w:val="none"/>
        </w:rPr>
        <w:t>Дисертаційне дослідження було виконано відповідно до науково-дослідної роботи кафедри інфекційних хвороб та фтизіатрії Харківського національного медичного університету Міністерства охорони здоров’я України: «Удосконалення діагностики та лікування вірусних і бактеріальних інфекцій, у тому числі на тлі ВІЛ-інфекції», № держреєстрації 0119U002901 (2019-2021 рр.).</w:t>
      </w:r>
    </w:p>
    <w:p w14:paraId="21A45F64">
      <w:pPr>
        <w:rPr>
          <w:b/>
          <w:bCs/>
          <w:highlight w:val="none"/>
        </w:rPr>
      </w:pPr>
      <w:r>
        <w:rPr>
          <w:b/>
          <w:bCs/>
          <w:highlight w:val="none"/>
        </w:rPr>
        <w:t>Мета дослідження:</w:t>
      </w:r>
      <w:r>
        <w:rPr>
          <w:rFonts w:eastAsia="Times New Roman" w:cs="Times New Roman"/>
          <w:szCs w:val="28"/>
          <w:highlight w:val="none"/>
          <w:lang w:eastAsia="ru-RU"/>
        </w:rPr>
        <w:t xml:space="preserve"> </w:t>
      </w:r>
      <w:r>
        <w:rPr>
          <w:highlight w:val="none"/>
        </w:rPr>
        <w:t xml:space="preserve">Підвищення ефективності діагностики фіброзу печінки у хворих на хронічний гепатит С та прогнозування </w:t>
      </w:r>
      <w:r>
        <w:rPr>
          <w:highlight w:val="none"/>
        </w:rPr>
        <w:t>несприятливого наслідку</w:t>
      </w:r>
      <w:r>
        <w:rPr>
          <w:highlight w:val="none"/>
        </w:rPr>
        <w:t xml:space="preserve"> хвороби на підставі визначення остеопонтину та вітаміну D</w:t>
      </w:r>
      <w:r>
        <w:rPr>
          <w:b/>
          <w:bCs/>
          <w:highlight w:val="none"/>
        </w:rPr>
        <w:t xml:space="preserve">. </w:t>
      </w:r>
    </w:p>
    <w:p w14:paraId="01F01B4C">
      <w:pPr>
        <w:rPr>
          <w:highlight w:val="none"/>
        </w:rPr>
      </w:pPr>
      <w:r>
        <w:rPr>
          <w:highlight w:val="none"/>
        </w:rPr>
        <w:t xml:space="preserve">Для досягнення визначеної мети було сформульовано </w:t>
      </w:r>
      <w:r>
        <w:rPr>
          <w:b/>
          <w:bCs/>
          <w:highlight w:val="none"/>
        </w:rPr>
        <w:t>такі завдання дослідження</w:t>
      </w:r>
      <w:r>
        <w:rPr>
          <w:highlight w:val="none"/>
        </w:rPr>
        <w:t>:</w:t>
      </w:r>
    </w:p>
    <w:p w14:paraId="2C9FDF3D">
      <w:pPr>
        <w:rPr>
          <w:highlight w:val="none"/>
        </w:rPr>
      </w:pPr>
      <w:r>
        <w:rPr>
          <w:highlight w:val="none"/>
        </w:rPr>
        <w:t>1. Дослідити вміст остеопонтину і вітаміну D та клініко-біохімічні показники у хворих на хронічний гепатит С.</w:t>
      </w:r>
    </w:p>
    <w:p w14:paraId="52A114CF">
      <w:pPr>
        <w:rPr>
          <w:highlight w:val="none"/>
        </w:rPr>
      </w:pPr>
      <w:r>
        <w:rPr>
          <w:highlight w:val="none"/>
        </w:rPr>
        <w:t>2. Проаналізувати вміст остеопонтину і вітаміну D та клініко-біохімічні показники у хворих на хронічний гепатит С залежно від ступеня фіброзу печінки.</w:t>
      </w:r>
    </w:p>
    <w:p w14:paraId="6DA78CAA">
      <w:pPr>
        <w:rPr>
          <w:highlight w:val="none"/>
        </w:rPr>
      </w:pPr>
      <w:r>
        <w:rPr>
          <w:highlight w:val="none"/>
        </w:rPr>
        <w:t>3. Оцінити ефективність проведеної противірусної терапії препаратами прямої противірусної дії на вміст остеопонтину та вітаміну D у сироватці крові хворих на хронічний гепатит С.</w:t>
      </w:r>
    </w:p>
    <w:p w14:paraId="63EC9E11">
      <w:pPr>
        <w:rPr>
          <w:highlight w:val="none"/>
        </w:rPr>
      </w:pPr>
      <w:r>
        <w:rPr>
          <w:highlight w:val="none"/>
        </w:rPr>
        <w:t>4. Визначити вірогідні предикторні можливості клініко-лабораторних показників крові в розвитку фіброзу печінки у пацієнтів з хронічним гепатитом С.</w:t>
      </w:r>
    </w:p>
    <w:p w14:paraId="6EF242B1">
      <w:pPr>
        <w:rPr>
          <w:highlight w:val="none"/>
        </w:rPr>
      </w:pPr>
      <w:r>
        <w:rPr>
          <w:highlight w:val="none"/>
        </w:rPr>
        <w:t>5. Розробити модель прогнозування прогресування фіброзу печінки у хворих на хронічний гепатит С з урахуванням вмісту остеопонтину та клініко-лабораторних показників крові.</w:t>
      </w:r>
    </w:p>
    <w:p w14:paraId="5C2816C6">
      <w:pPr>
        <w:shd w:val="clear" w:color="auto" w:fill="FFFFFF" w:themeFill="background1"/>
        <w:rPr>
          <w:b/>
          <w:bCs/>
          <w:highlight w:val="none"/>
        </w:rPr>
      </w:pPr>
      <w:r>
        <w:rPr>
          <w:b/>
          <w:bCs/>
          <w:highlight w:val="none"/>
        </w:rPr>
        <w:t>Об’єкт дослідження:</w:t>
      </w:r>
      <w:r>
        <w:rPr>
          <w:highlight w:val="none"/>
        </w:rPr>
        <w:t xml:space="preserve"> хронічний гепатит С</w:t>
      </w:r>
    </w:p>
    <w:p w14:paraId="7EC5BD92">
      <w:pPr>
        <w:rPr>
          <w:highlight w:val="none"/>
        </w:rPr>
      </w:pPr>
      <w:r>
        <w:rPr>
          <w:b/>
          <w:bCs/>
          <w:highlight w:val="none"/>
        </w:rPr>
        <w:t>Предмет дослідження:</w:t>
      </w:r>
      <w:r>
        <w:rPr>
          <w:highlight w:val="none"/>
        </w:rPr>
        <w:t xml:space="preserve"> остеопонтин, вітамін D, показники функціонального стану печінки та її фіброзу, вірусне навантаження.</w:t>
      </w:r>
    </w:p>
    <w:p w14:paraId="02149655">
      <w:pPr>
        <w:rPr>
          <w:highlight w:val="none"/>
        </w:rPr>
      </w:pPr>
      <w:r>
        <w:rPr>
          <w:b/>
          <w:bCs/>
          <w:highlight w:val="none"/>
        </w:rPr>
        <w:t xml:space="preserve">Методи дослідження: </w:t>
      </w:r>
      <w:r>
        <w:rPr>
          <w:highlight w:val="none"/>
        </w:rPr>
        <w:t>анамнестичні, епідеміологічні, клініко-параклінічні, лабораторні, рентгенологічні, інструментальні, медико-статистичні.</w:t>
      </w:r>
    </w:p>
    <w:p w14:paraId="0CEEA739">
      <w:pPr>
        <w:widowControl w:val="0"/>
        <w:rPr>
          <w:rFonts w:eastAsia="Times New Roman"/>
          <w:b/>
          <w:szCs w:val="28"/>
          <w:highlight w:val="none"/>
          <w:lang w:eastAsia="ru-RU"/>
        </w:rPr>
      </w:pPr>
      <w:r>
        <w:rPr>
          <w:rFonts w:eastAsia="Times New Roman"/>
          <w:b/>
          <w:szCs w:val="28"/>
          <w:highlight w:val="none"/>
          <w:lang w:eastAsia="ru-RU"/>
        </w:rPr>
        <w:t>Наукова новизна</w:t>
      </w:r>
      <w:r>
        <w:rPr>
          <w:rFonts w:eastAsia="Times New Roman"/>
          <w:szCs w:val="28"/>
          <w:highlight w:val="none"/>
          <w:lang w:eastAsia="ru-RU"/>
        </w:rPr>
        <w:t>.</w:t>
      </w:r>
      <w:r>
        <w:rPr>
          <w:rFonts w:eastAsia="Times New Roman"/>
          <w:b/>
          <w:szCs w:val="28"/>
          <w:highlight w:val="none"/>
          <w:lang w:eastAsia="ru-RU"/>
        </w:rPr>
        <w:t xml:space="preserve"> </w:t>
      </w:r>
      <w:r>
        <w:rPr>
          <w:rFonts w:cs="Times New Roman"/>
          <w:highlight w:val="none"/>
        </w:rPr>
        <w:t>Отримано нові наукові дані щодо діагностичної значимості та прогностичної цінності рівнів остеопонтину та вітаміну D в прогнозуванні перебігу хронічного гепатиту С. Доведено достовірне (р&lt;0,001) збільшення медіанних рівнів остеопонтину у пацієнтів з ХГС в півтора рази порівняно з контролем. Показано, що незважаючи на вітамін-D-дефіцитний стан обстеженої когорти пацієнтів, медіана рівнів вітаміну D була достовірно (р&lt;0,001) нижчою саме в групі хворих з хронічним гепатитом С. Досліджено, що при більш важкій стадії фіброзного процесу рівні остеопонтину значно достовірно (р&lt;0,001) збільшуються, порівняно з більш легким перебігом ФП (0–2 стадія); більш важкий фібротичний процес при ХГС також характеризується достовірним переважанням рівнів вітаміну D (р&lt;0,001).</w:t>
      </w:r>
    </w:p>
    <w:p w14:paraId="555B77F7">
      <w:pPr>
        <w:widowControl w:val="0"/>
        <w:rPr>
          <w:rFonts w:cs="Times New Roman"/>
          <w:highlight w:val="none"/>
        </w:rPr>
      </w:pPr>
      <w:r>
        <w:rPr>
          <w:rFonts w:cs="Times New Roman"/>
          <w:highlight w:val="none"/>
        </w:rPr>
        <w:t xml:space="preserve">Доповнено наукові дані щодо прогнозування перебігу процесів фіброзу при хронічному гепатиті С. Визначено, що достовірними предикторами більш важкого фіброзу печінки постали вищі рівні АСТ (р&lt;0,001), загального білку (р=0,046) та остеопонтину (р=0,025), при підвищенні останнього на 10 пг/мл вірогідність розвитку важкого фіброзу збільшується в 25 разів. При одночасній оцінці даних параметрів в запропонованій математичній моделі, важкий фіброз можна спрогнозувати з 87,5 % чутливості та 83,9 % специфічності. Додаткова </w:t>
      </w:r>
      <w:r>
        <w:rPr>
          <w:rFonts w:cs="Times New Roman"/>
          <w:highlight w:val="none"/>
        </w:rPr>
        <w:t>оцінка</w:t>
      </w:r>
      <w:r>
        <w:rPr>
          <w:rFonts w:cs="Times New Roman"/>
          <w:highlight w:val="none"/>
        </w:rPr>
        <w:t xml:space="preserve"> відносної кількості лімфоцитів, </w:t>
      </w:r>
      <w:r>
        <w:rPr>
          <w:rFonts w:cs="Times New Roman"/>
          <w:highlight w:val="none"/>
        </w:rPr>
        <w:t>який показав</w:t>
      </w:r>
      <w:r>
        <w:rPr>
          <w:rFonts w:cs="Times New Roman"/>
          <w:highlight w:val="none"/>
        </w:rPr>
        <w:t xml:space="preserve"> достовірну асоціацію з прогнозуванням фіброзу (р=0,048), дозволяє більш точно провести предикцію більш важких порушень морфології печінки: 93,8 % чутливість та 83,9 % специфічність. </w:t>
      </w:r>
    </w:p>
    <w:p w14:paraId="78B73B2C">
      <w:pPr>
        <w:widowControl w:val="0"/>
        <w:rPr>
          <w:rFonts w:cs="Times New Roman"/>
          <w:highlight w:val="none"/>
        </w:rPr>
      </w:pPr>
      <w:r>
        <w:rPr>
          <w:rFonts w:cs="Times New Roman"/>
          <w:highlight w:val="none"/>
        </w:rPr>
        <w:t xml:space="preserve">Уточнено наявні дані щодо характеру порушень клінічних і лабораторних показників у пацієнтів з хронічним гепатитом С, які характеризуються загальною слабкістю (76,6 %), зниженням працездатності (74,5 %) та емоційною лабільністю (76,6 %), зниженням апетиту (63,83 %) та важкістю у правому підребер’ї (68,1 %). Структура жовтяничного синдрому включала в себе переважно жовтяницю склер, шкіри та холурію, які визначалися в 21,3 </w:t>
      </w:r>
      <w:r>
        <w:rPr>
          <w:rFonts w:cs="Times New Roman"/>
          <w:highlight w:val="none"/>
        </w:rPr>
        <w:t>;</w:t>
      </w:r>
      <w:r>
        <w:rPr>
          <w:rFonts w:cs="Times New Roman"/>
          <w:highlight w:val="none"/>
        </w:rPr>
        <w:t xml:space="preserve"> випадків. Абдомінально-больовий синдром частіше характеризувався болем у правому підребер’ї, артралгічний — болем в суглобах (15,5 %), в 31,9 % випадків реєстрували підвищення температури тіла. Прояви гепатомегалічного синдрому включали превалювання збільшених розмірів печінки та її болючість: відповідно 93,6 % та 80,9 % випадків.</w:t>
      </w:r>
    </w:p>
    <w:p w14:paraId="707A042E">
      <w:pPr>
        <w:widowControl w:val="0"/>
        <w:rPr>
          <w:rFonts w:cs="Times New Roman"/>
          <w:highlight w:val="none"/>
        </w:rPr>
      </w:pPr>
      <w:r>
        <w:rPr>
          <w:rFonts w:cs="Times New Roman"/>
          <w:highlight w:val="none"/>
        </w:rPr>
        <w:t>Доповнено дані щодо змін лабораторних показників у пацієнтів з ХГС, які характеризувалися достовірно (р&lt;0,001) вищими рівнями МСН, зниженням медіани тромбоцитів (р&lt;0,001) та тромбокриту (р=0,009), підвищенням ШОЕ (р&lt;0,001), достовірним (р&lt;0,001) зниженням відносної кількості п/я та с/я нейтрофілів при достовірному (р&lt;0,001) підвищенні відносної кількості лімфоцитів та моноцитів. Перебіг ХГС, що супроводжується більш важким фіброзом печінки (3–4 стадія), зміни лабораторних показників включають 2–3 кратне достовірне збільшення медіани АЛТ, АСТ та ГГТ, підвищення медіани МСН при зниженні медіани тромбоцитів на чверть (р=0,012).</w:t>
      </w:r>
    </w:p>
    <w:p w14:paraId="01BF300F">
      <w:pPr>
        <w:widowControl w:val="0"/>
        <w:rPr>
          <w:szCs w:val="28"/>
          <w:highlight w:val="none"/>
        </w:rPr>
      </w:pPr>
      <w:r>
        <w:rPr>
          <w:rFonts w:eastAsia="Times New Roman"/>
          <w:b/>
          <w:szCs w:val="28"/>
          <w:highlight w:val="none"/>
          <w:lang w:eastAsia="ru-RU"/>
        </w:rPr>
        <w:t>Практичне значення</w:t>
      </w:r>
      <w:r>
        <w:rPr>
          <w:rFonts w:eastAsia="Times New Roman"/>
          <w:szCs w:val="28"/>
          <w:highlight w:val="none"/>
          <w:lang w:eastAsia="ru-RU"/>
        </w:rPr>
        <w:t xml:space="preserve"> </w:t>
      </w:r>
      <w:r>
        <w:rPr>
          <w:rFonts w:eastAsia="Times New Roman"/>
          <w:b/>
          <w:bCs/>
          <w:szCs w:val="28"/>
          <w:highlight w:val="none"/>
          <w:lang w:eastAsia="ru-RU"/>
        </w:rPr>
        <w:t>отриманих результатів.</w:t>
      </w:r>
      <w:r>
        <w:rPr>
          <w:szCs w:val="28"/>
          <w:highlight w:val="none"/>
        </w:rPr>
        <w:t xml:space="preserve"> Рекомендовано до застосування в клінічній практиці оцінювати рівень остеопонтину та вітаміну D з урахуванням їх діагностичної та прогностичної значимості відносно перебігу хронічного гепатиту С та розвитку важкого фіброзу печінки. </w:t>
      </w:r>
    </w:p>
    <w:p w14:paraId="1CDCB4C0">
      <w:pPr>
        <w:rPr>
          <w:szCs w:val="28"/>
          <w:highlight w:val="none"/>
        </w:rPr>
      </w:pPr>
      <w:r>
        <w:rPr>
          <w:szCs w:val="28"/>
          <w:highlight w:val="none"/>
        </w:rPr>
        <w:t>Запропоновано, з метою раннього прогнозування розвитку значних морфологічних змін печінки (розвитку фіброзу 3–4 стадії), сукупно оцінювати рівні остеопонтину, загального білку та аспартатамінотрансферази за формулою «-24,152 + [0,028 × АСТ, Од/л] + + [0,178 × Заг. білок, г/л] + [0,920 × Остеопонтин, пг/мл], з вираховуванням прогностичного коефіцієнту, який при значенні моделі -0,9750 має чутливість 87,5 % та 83,9 %.</w:t>
      </w:r>
    </w:p>
    <w:p w14:paraId="6C908ACB">
      <w:pPr>
        <w:rPr>
          <w:szCs w:val="28"/>
          <w:highlight w:val="none"/>
        </w:rPr>
      </w:pPr>
      <w:r>
        <w:rPr>
          <w:szCs w:val="28"/>
          <w:highlight w:val="none"/>
        </w:rPr>
        <w:t>Рекомендовано з метою уточнення прогнозу розвитку важкого фіброзу у пацієнтів з ХГС додатково оцінювати параметр відносної кількості лімфоцитів та застосовувати розроблену математичну формулу:                      «-31,781+[0,034 × АСТ, Од/л] + [0,274 × Білок загальний, г/л] – [0,202 × Лімфоцити, %] + [1,668 × остеопонтин, пг/мл]», предикційні характеристики якої складають 93,8 % чутливості та 83,9 % специфічності при значенні моделі -1,1568.</w:t>
      </w:r>
    </w:p>
    <w:p w14:paraId="44942825">
      <w:pPr>
        <w:rPr>
          <w:highlight w:val="none"/>
        </w:rPr>
      </w:pPr>
      <w:r>
        <w:rPr>
          <w:b/>
          <w:bCs/>
          <w:highlight w:val="none"/>
        </w:rPr>
        <w:t>Впровадження результатів роботи у практику.</w:t>
      </w:r>
      <w:r>
        <w:rPr>
          <w:highlight w:val="none"/>
        </w:rPr>
        <w:t xml:space="preserve"> </w:t>
      </w:r>
      <w:bookmarkStart w:id="8" w:name="_Hlk153881317"/>
      <w:r>
        <w:rPr>
          <w:highlight w:val="none"/>
        </w:rPr>
        <w:t>Основні результати дисертаційного дослідження впроваджені в практичну діяльність КНП «Обласна дитяча клінічна інфекційна лікарня» ХОР; матеріали дисертаційної роботи використовуються в науково-педагогічному процесі підготовки студентів та інтернів кафедри інфекційних хвороб та фтизіатрії Харківського національного медичного університету.</w:t>
      </w:r>
    </w:p>
    <w:bookmarkEnd w:id="8"/>
    <w:p w14:paraId="7B92553B">
      <w:pPr>
        <w:rPr>
          <w:b/>
          <w:bCs/>
          <w:highlight w:val="none"/>
        </w:rPr>
      </w:pPr>
      <w:r>
        <w:rPr>
          <w:b/>
          <w:bCs/>
          <w:highlight w:val="none"/>
        </w:rPr>
        <w:t>Особистий</w:t>
      </w:r>
      <w:r>
        <w:rPr>
          <w:highlight w:val="none"/>
        </w:rPr>
        <w:t xml:space="preserve"> </w:t>
      </w:r>
      <w:r>
        <w:rPr>
          <w:b/>
          <w:bCs/>
          <w:highlight w:val="none"/>
        </w:rPr>
        <w:t>внесок здобувача.</w:t>
      </w:r>
      <w:r>
        <w:rPr>
          <w:highlight w:val="none"/>
        </w:rPr>
        <w:t xml:space="preserve"> Здобувачем самостійно було проаналізовано наукову літературу та патентну інформацію згідно теми дисертаційної роботи, визначено актуальні напрямки досліджень з даної теми, сформульовано мету та завдання роботи, розроблено критерії вилучення та залучення до дослідження, згідно яких проведено відбір тематичних пацієнтів та сформовано електронну базу даних за результатами їх обстеження. Дисертантом особисто здійснено статистичну обробку даних отриманих результатів, проведено їх аналіз та узагальнення. Отримані результати опубліковано у вигляді наукових робіт. Критичний аналіз, висновки та практичні рекомендації сформульовано разом з науковим керівником.</w:t>
      </w:r>
    </w:p>
    <w:p w14:paraId="67C40A1A">
      <w:pPr>
        <w:rPr>
          <w:b/>
          <w:bCs/>
          <w:highlight w:val="none"/>
        </w:rPr>
      </w:pPr>
      <w:r>
        <w:rPr>
          <w:b/>
          <w:bCs/>
          <w:highlight w:val="none"/>
        </w:rPr>
        <w:t>Апробація результатів роботи.</w:t>
      </w:r>
    </w:p>
    <w:p w14:paraId="402C0832">
      <w:pPr>
        <w:rPr>
          <w:highlight w:val="none"/>
        </w:rPr>
      </w:pPr>
      <w:r>
        <w:rPr>
          <w:highlight w:val="none"/>
        </w:rPr>
        <w:t>За матеріалами дисертації опубліковано 5 наукових робіт, з них 3 статті, зокрема 1 стаття у фахових виданнях України, 2 статті у виданнях, індексованих в науко-метричній базі Scopus/Web of science. Додатково опубліковано 2 тез доповідей науково-практичних конференцій та конгресу.</w:t>
      </w:r>
    </w:p>
    <w:p w14:paraId="69C838DA">
      <w:pPr>
        <w:rPr>
          <w:highlight w:val="none"/>
        </w:rPr>
      </w:pPr>
      <w:r>
        <w:rPr>
          <w:highlight w:val="none"/>
        </w:rPr>
        <w:t>Структура й обсяг дисертації. Дисертаційна робота викладена на 165 сторінках друкованого тексту й складається з анотації, вступу, клінічної характеристики обстежених хворих та методів дослідження, розділів власних досліджень, аналізу й узагальнення результатів дослідження, висновків, практичних рекомендацій. Список використаної літератури містить 147 джерел, з яких 126 – латиницею, роботу ілюстровано 10 таблицями та 35 рисунками.</w:t>
      </w:r>
    </w:p>
    <w:p w14:paraId="5870ACB3">
      <w:pPr>
        <w:rPr>
          <w:highlight w:val="none"/>
        </w:rPr>
      </w:pPr>
    </w:p>
    <w:p w14:paraId="025F1F62">
      <w:pPr>
        <w:rPr>
          <w:b/>
          <w:bCs/>
          <w:highlight w:val="none"/>
        </w:rPr>
      </w:pPr>
      <w:r>
        <w:rPr>
          <w:b/>
          <w:bCs/>
          <w:highlight w:val="none"/>
        </w:rPr>
        <w:t>Список публікацій за темою дисертації</w:t>
      </w:r>
    </w:p>
    <w:p w14:paraId="115DD514">
      <w:pPr>
        <w:pStyle w:val="23"/>
        <w:numPr>
          <w:ilvl w:val="0"/>
          <w:numId w:val="2"/>
        </w:numPr>
        <w:tabs>
          <w:tab w:val="left" w:pos="1134"/>
        </w:tabs>
        <w:spacing w:before="0" w:beforeAutospacing="0" w:after="0" w:afterAutospacing="0" w:line="360" w:lineRule="auto"/>
        <w:ind w:left="0" w:firstLine="737"/>
        <w:jc w:val="both"/>
        <w:rPr>
          <w:sz w:val="28"/>
          <w:szCs w:val="28"/>
          <w:highlight w:val="none"/>
        </w:rPr>
      </w:pPr>
      <w:r>
        <w:rPr>
          <w:b/>
          <w:bCs/>
          <w:sz w:val="28"/>
          <w:szCs w:val="28"/>
          <w:highlight w:val="none"/>
        </w:rPr>
        <w:t>Sheiko, A. G.</w:t>
      </w:r>
      <w:r>
        <w:rPr>
          <w:sz w:val="28"/>
          <w:szCs w:val="28"/>
          <w:highlight w:val="none"/>
        </w:rPr>
        <w:t xml:space="preserve">, &amp; Yurko, K. V. (2023). The value of osteopontin in predicting fibrosis in patients with chronic viral hepatitis C. </w:t>
      </w:r>
      <w:r>
        <w:rPr>
          <w:i/>
          <w:iCs/>
          <w:sz w:val="28"/>
          <w:szCs w:val="28"/>
          <w:highlight w:val="none"/>
        </w:rPr>
        <w:t>Gastroenterology (Ukraine)</w:t>
      </w:r>
      <w:r>
        <w:rPr>
          <w:sz w:val="28"/>
          <w:szCs w:val="28"/>
          <w:highlight w:val="none"/>
        </w:rPr>
        <w:t xml:space="preserve">, </w:t>
      </w:r>
      <w:r>
        <w:rPr>
          <w:i/>
          <w:iCs/>
          <w:sz w:val="28"/>
          <w:szCs w:val="28"/>
          <w:highlight w:val="none"/>
        </w:rPr>
        <w:t>57</w:t>
      </w:r>
      <w:r>
        <w:rPr>
          <w:sz w:val="28"/>
          <w:szCs w:val="28"/>
          <w:highlight w:val="none"/>
        </w:rPr>
        <w:t xml:space="preserve">(3), 166–171. </w:t>
      </w:r>
      <w:r>
        <w:rPr>
          <w:highlight w:val="none"/>
        </w:rPr>
        <w:fldChar w:fldCharType="begin"/>
      </w:r>
      <w:r>
        <w:rPr>
          <w:highlight w:val="none"/>
        </w:rPr>
        <w:instrText xml:space="preserve"> HYPERLINK "https://doi.org/10.22141/2308-2097.57.3.2023.556" </w:instrText>
      </w:r>
      <w:r>
        <w:rPr>
          <w:highlight w:val="none"/>
        </w:rPr>
        <w:fldChar w:fldCharType="separate"/>
      </w:r>
      <w:r>
        <w:rPr>
          <w:rStyle w:val="11"/>
          <w:sz w:val="28"/>
          <w:szCs w:val="28"/>
          <w:highlight w:val="none"/>
        </w:rPr>
        <w:t>https://doi.org/10.22141/2308-2097.57.3.2023.556</w:t>
      </w:r>
      <w:r>
        <w:rPr>
          <w:rStyle w:val="11"/>
          <w:sz w:val="28"/>
          <w:szCs w:val="28"/>
          <w:highlight w:val="none"/>
        </w:rPr>
        <w:fldChar w:fldCharType="end"/>
      </w:r>
      <w:r>
        <w:rPr>
          <w:sz w:val="28"/>
          <w:szCs w:val="28"/>
          <w:highlight w:val="none"/>
        </w:rPr>
        <w:t xml:space="preserve"> </w:t>
      </w:r>
      <w:r>
        <w:rPr>
          <w:i/>
          <w:iCs/>
          <w:sz w:val="28"/>
          <w:szCs w:val="28"/>
          <w:highlight w:val="none"/>
        </w:rPr>
        <w:t>(Здобувачем сформовано групи, проведено клініко-лабораторне та клініко-інструментальне обстеження хворих, аналіз і статистичну обробку отриманих даних, підготовлено статтю до друку)</w:t>
      </w:r>
      <w:r>
        <w:rPr>
          <w:sz w:val="28"/>
          <w:szCs w:val="28"/>
          <w:highlight w:val="none"/>
          <w:lang w:val="ru-RU"/>
        </w:rPr>
        <w:t xml:space="preserve">. </w:t>
      </w:r>
    </w:p>
    <w:p w14:paraId="194F89F1">
      <w:pPr>
        <w:pStyle w:val="23"/>
        <w:numPr>
          <w:ilvl w:val="0"/>
          <w:numId w:val="2"/>
        </w:numPr>
        <w:tabs>
          <w:tab w:val="left" w:pos="1134"/>
        </w:tabs>
        <w:spacing w:before="0" w:beforeAutospacing="0" w:after="0" w:afterAutospacing="0" w:line="360" w:lineRule="auto"/>
        <w:ind w:left="0" w:firstLine="709"/>
        <w:jc w:val="both"/>
        <w:rPr>
          <w:sz w:val="28"/>
          <w:szCs w:val="28"/>
          <w:highlight w:val="none"/>
        </w:rPr>
      </w:pPr>
      <w:r>
        <w:rPr>
          <w:b/>
          <w:bCs/>
          <w:sz w:val="28"/>
          <w:szCs w:val="28"/>
          <w:highlight w:val="none"/>
        </w:rPr>
        <w:t>Шейко, А.</w:t>
      </w:r>
      <w:r>
        <w:rPr>
          <w:sz w:val="28"/>
          <w:szCs w:val="28"/>
          <w:highlight w:val="none"/>
        </w:rPr>
        <w:t xml:space="preserve"> (2023). Значення показників клінічного аналізу крові для визначення ступеня фіброзного процесу у хворих на хронічний гепатит С. </w:t>
      </w:r>
      <w:r>
        <w:rPr>
          <w:i/>
          <w:iCs/>
          <w:sz w:val="28"/>
          <w:szCs w:val="28"/>
          <w:highlight w:val="none"/>
        </w:rPr>
        <w:t>Інфекційні Хвороби</w:t>
      </w:r>
      <w:r>
        <w:rPr>
          <w:sz w:val="28"/>
          <w:szCs w:val="28"/>
          <w:highlight w:val="none"/>
        </w:rPr>
        <w:t xml:space="preserve">, </w:t>
      </w:r>
      <w:r>
        <w:rPr>
          <w:i/>
          <w:iCs/>
          <w:sz w:val="28"/>
          <w:szCs w:val="28"/>
          <w:highlight w:val="none"/>
        </w:rPr>
        <w:t>4</w:t>
      </w:r>
      <w:r>
        <w:rPr>
          <w:sz w:val="28"/>
          <w:szCs w:val="28"/>
          <w:highlight w:val="none"/>
        </w:rPr>
        <w:t xml:space="preserve">(114), 29–33. </w:t>
      </w:r>
      <w:r>
        <w:rPr>
          <w:highlight w:val="none"/>
        </w:rPr>
        <w:fldChar w:fldCharType="begin"/>
      </w:r>
      <w:r>
        <w:rPr>
          <w:highlight w:val="none"/>
        </w:rPr>
        <w:instrText xml:space="preserve"> HYPERLINK "https://doi.org/DOI%2010.11603/1681-2727.2023.4.14244" </w:instrText>
      </w:r>
      <w:r>
        <w:rPr>
          <w:highlight w:val="none"/>
        </w:rPr>
        <w:fldChar w:fldCharType="separate"/>
      </w:r>
      <w:r>
        <w:rPr>
          <w:rStyle w:val="11"/>
          <w:sz w:val="28"/>
          <w:szCs w:val="28"/>
          <w:highlight w:val="none"/>
        </w:rPr>
        <w:t>https://doi.org/DOI 10.11603/1681-2727.2023.4.14244</w:t>
      </w:r>
      <w:r>
        <w:rPr>
          <w:rStyle w:val="11"/>
          <w:sz w:val="28"/>
          <w:szCs w:val="28"/>
          <w:highlight w:val="none"/>
        </w:rPr>
        <w:fldChar w:fldCharType="end"/>
      </w:r>
      <w:r>
        <w:rPr>
          <w:sz w:val="28"/>
          <w:szCs w:val="28"/>
          <w:highlight w:val="none"/>
        </w:rPr>
        <w:t xml:space="preserve"> </w:t>
      </w:r>
      <w:r>
        <w:rPr>
          <w:i/>
          <w:iCs/>
          <w:sz w:val="28"/>
          <w:szCs w:val="28"/>
          <w:highlight w:val="none"/>
        </w:rPr>
        <w:t>(Здобувачем сформовано групи, проведено клініко-лабораторне та клініко-інструментальне обстеження хворих, аналіз і статистичну обробку отриманих даних, підготовлено статтю до друку)</w:t>
      </w:r>
      <w:r>
        <w:rPr>
          <w:sz w:val="28"/>
          <w:szCs w:val="28"/>
          <w:highlight w:val="none"/>
          <w:lang w:val="ru-RU"/>
        </w:rPr>
        <w:t>.</w:t>
      </w:r>
    </w:p>
    <w:p w14:paraId="7B0C850A">
      <w:pPr>
        <w:pStyle w:val="23"/>
        <w:numPr>
          <w:ilvl w:val="0"/>
          <w:numId w:val="2"/>
        </w:numPr>
        <w:tabs>
          <w:tab w:val="left" w:pos="1134"/>
        </w:tabs>
        <w:spacing w:before="0" w:beforeAutospacing="0" w:after="0" w:afterAutospacing="0" w:line="360" w:lineRule="auto"/>
        <w:ind w:left="0" w:firstLine="709"/>
        <w:jc w:val="both"/>
        <w:rPr>
          <w:sz w:val="28"/>
          <w:szCs w:val="28"/>
          <w:highlight w:val="none"/>
        </w:rPr>
      </w:pPr>
      <w:r>
        <w:rPr>
          <w:b/>
          <w:bCs/>
          <w:sz w:val="28"/>
          <w:szCs w:val="28"/>
          <w:highlight w:val="none"/>
        </w:rPr>
        <w:t>Sheiko, A. H.,</w:t>
      </w:r>
      <w:r>
        <w:rPr>
          <w:sz w:val="28"/>
          <w:szCs w:val="28"/>
          <w:highlight w:val="none"/>
        </w:rPr>
        <w:t xml:space="preserve"> Yurko, K. V., Solomennyk, H. O., &amp; Kucheriavchenko, V. V. (2023). The prognostic value of blood markers in prediction of the probability of the development of fibrotic process in patients with chronic hepatitis C virus. </w:t>
      </w:r>
      <w:r>
        <w:rPr>
          <w:i/>
          <w:iCs/>
          <w:sz w:val="28"/>
          <w:szCs w:val="28"/>
          <w:highlight w:val="none"/>
        </w:rPr>
        <w:t>Клінічна Та Профілактична Медицина</w:t>
      </w:r>
      <w:r>
        <w:rPr>
          <w:sz w:val="28"/>
          <w:szCs w:val="28"/>
          <w:highlight w:val="none"/>
        </w:rPr>
        <w:t xml:space="preserve">, 29(7). </w:t>
      </w:r>
      <w:r>
        <w:rPr>
          <w:highlight w:val="none"/>
        </w:rPr>
        <w:fldChar w:fldCharType="begin"/>
      </w:r>
      <w:r>
        <w:rPr>
          <w:highlight w:val="none"/>
        </w:rPr>
        <w:instrText xml:space="preserve"> HYPERLINK "https://doi.org/10.31612/2616-4868.7.2023.01" </w:instrText>
      </w:r>
      <w:r>
        <w:rPr>
          <w:highlight w:val="none"/>
        </w:rPr>
        <w:fldChar w:fldCharType="separate"/>
      </w:r>
      <w:r>
        <w:rPr>
          <w:rStyle w:val="11"/>
          <w:sz w:val="28"/>
          <w:szCs w:val="28"/>
          <w:highlight w:val="none"/>
        </w:rPr>
        <w:t>https://doi.org/10.31612/2616-4868.7.2023.01</w:t>
      </w:r>
      <w:r>
        <w:rPr>
          <w:rStyle w:val="11"/>
          <w:sz w:val="28"/>
          <w:szCs w:val="28"/>
          <w:highlight w:val="none"/>
        </w:rPr>
        <w:fldChar w:fldCharType="end"/>
      </w:r>
      <w:r>
        <w:rPr>
          <w:sz w:val="28"/>
          <w:szCs w:val="28"/>
          <w:highlight w:val="none"/>
        </w:rPr>
        <w:t xml:space="preserve"> </w:t>
      </w:r>
      <w:r>
        <w:rPr>
          <w:i/>
          <w:iCs/>
          <w:sz w:val="28"/>
          <w:szCs w:val="28"/>
          <w:highlight w:val="none"/>
        </w:rPr>
        <w:t>(Здобувачем сформовано групи, проведено клініко-лабораторне та клініко-інструментальне обстеження хворих, аналіз і статистичну обробку отриманих даних, підготовлено статтю до друку)</w:t>
      </w:r>
      <w:r>
        <w:rPr>
          <w:sz w:val="28"/>
          <w:szCs w:val="28"/>
          <w:highlight w:val="none"/>
          <w:lang w:val="ru-RU"/>
        </w:rPr>
        <w:t xml:space="preserve">. </w:t>
      </w:r>
    </w:p>
    <w:p w14:paraId="51298BCA">
      <w:pPr>
        <w:pStyle w:val="23"/>
        <w:numPr>
          <w:ilvl w:val="0"/>
          <w:numId w:val="2"/>
        </w:numPr>
        <w:tabs>
          <w:tab w:val="left" w:pos="1134"/>
        </w:tabs>
        <w:spacing w:before="0" w:beforeAutospacing="0" w:after="0" w:afterAutospacing="0" w:line="360" w:lineRule="auto"/>
        <w:ind w:left="0" w:firstLine="709"/>
        <w:jc w:val="both"/>
        <w:rPr>
          <w:sz w:val="28"/>
          <w:szCs w:val="28"/>
          <w:highlight w:val="none"/>
        </w:rPr>
      </w:pPr>
      <w:r>
        <w:rPr>
          <w:sz w:val="28"/>
          <w:szCs w:val="28"/>
          <w:highlight w:val="none"/>
        </w:rPr>
        <w:t xml:space="preserve">Юрко, К. В., &amp; </w:t>
      </w:r>
      <w:r>
        <w:rPr>
          <w:b/>
          <w:bCs/>
          <w:sz w:val="28"/>
          <w:szCs w:val="28"/>
          <w:highlight w:val="none"/>
        </w:rPr>
        <w:t>Шейко, А.</w:t>
      </w:r>
      <w:r>
        <w:rPr>
          <w:sz w:val="28"/>
          <w:szCs w:val="28"/>
          <w:highlight w:val="none"/>
        </w:rPr>
        <w:t xml:space="preserve"> (2023). Остеопонтин як неінвазивний предиктор процесів фіброзу в пацієнтів із хронічним вірусним гепатитом С. </w:t>
      </w:r>
      <w:r>
        <w:rPr>
          <w:i/>
          <w:iCs/>
          <w:sz w:val="28"/>
          <w:szCs w:val="28"/>
          <w:highlight w:val="none"/>
        </w:rPr>
        <w:t>«Інфекційні Захворювання — Виклики Сьогодення. Сучасні Аспекти Клініки, Діагностики, Лікування Та Профілактики</w:t>
      </w:r>
      <w:r>
        <w:rPr>
          <w:sz w:val="28"/>
          <w:szCs w:val="28"/>
          <w:highlight w:val="none"/>
        </w:rPr>
        <w:t xml:space="preserve">, 213. </w:t>
      </w:r>
      <w:r>
        <w:rPr>
          <w:highlight w:val="none"/>
        </w:rPr>
        <w:fldChar w:fldCharType="begin"/>
      </w:r>
      <w:r>
        <w:rPr>
          <w:highlight w:val="none"/>
        </w:rPr>
        <w:instrText xml:space="preserve"> HYPERLINK "https://doi.org/https://doi.org/10.22141/2224-0586.19.3.2023.1581" </w:instrText>
      </w:r>
      <w:r>
        <w:rPr>
          <w:highlight w:val="none"/>
        </w:rPr>
        <w:fldChar w:fldCharType="separate"/>
      </w:r>
      <w:r>
        <w:rPr>
          <w:rStyle w:val="11"/>
          <w:sz w:val="28"/>
          <w:szCs w:val="28"/>
          <w:highlight w:val="none"/>
        </w:rPr>
        <w:t>https://doi.org/https://doi.org/10.22141/2224-0586.19.3.2023.1581</w:t>
      </w:r>
      <w:r>
        <w:rPr>
          <w:rStyle w:val="11"/>
          <w:sz w:val="28"/>
          <w:szCs w:val="28"/>
          <w:highlight w:val="none"/>
        </w:rPr>
        <w:fldChar w:fldCharType="end"/>
      </w:r>
      <w:r>
        <w:rPr>
          <w:sz w:val="28"/>
          <w:szCs w:val="28"/>
          <w:highlight w:val="none"/>
        </w:rPr>
        <w:t xml:space="preserve"> </w:t>
      </w:r>
      <w:r>
        <w:rPr>
          <w:i/>
          <w:iCs/>
          <w:sz w:val="28"/>
          <w:szCs w:val="28"/>
          <w:highlight w:val="none"/>
        </w:rPr>
        <w:t>(Здобувачем проведено аналіз літературних даних, статистичну обробку отриманих даних та підготовлено тези до друку)</w:t>
      </w:r>
      <w:r>
        <w:rPr>
          <w:sz w:val="28"/>
          <w:szCs w:val="28"/>
          <w:highlight w:val="none"/>
          <w:lang w:val="ru-RU"/>
        </w:rPr>
        <w:t xml:space="preserve">. </w:t>
      </w:r>
    </w:p>
    <w:p w14:paraId="03118173">
      <w:pPr>
        <w:pStyle w:val="23"/>
        <w:numPr>
          <w:ilvl w:val="0"/>
          <w:numId w:val="2"/>
        </w:numPr>
        <w:tabs>
          <w:tab w:val="left" w:pos="1134"/>
        </w:tabs>
        <w:spacing w:before="0" w:beforeAutospacing="0" w:after="0" w:afterAutospacing="0" w:line="360" w:lineRule="auto"/>
        <w:ind w:left="0" w:firstLine="709"/>
        <w:jc w:val="both"/>
        <w:rPr>
          <w:sz w:val="28"/>
          <w:szCs w:val="28"/>
          <w:highlight w:val="none"/>
        </w:rPr>
      </w:pPr>
      <w:r>
        <w:rPr>
          <w:b/>
          <w:bCs/>
          <w:sz w:val="28"/>
          <w:szCs w:val="28"/>
          <w:highlight w:val="none"/>
        </w:rPr>
        <w:t>Шейко, А.</w:t>
      </w:r>
      <w:r>
        <w:rPr>
          <w:sz w:val="28"/>
          <w:szCs w:val="28"/>
          <w:highlight w:val="none"/>
        </w:rPr>
        <w:t xml:space="preserve"> (2023). Маркерні можливості остеопонтину в прогнозуванні значного фіброзного процесу у хворих на хронічний вірусний гепатит С. </w:t>
      </w:r>
      <w:r>
        <w:rPr>
          <w:i/>
          <w:iCs/>
          <w:sz w:val="28"/>
          <w:szCs w:val="28"/>
          <w:highlight w:val="none"/>
        </w:rPr>
        <w:t>Мечниковські Читання - 2023</w:t>
      </w:r>
      <w:r>
        <w:rPr>
          <w:sz w:val="28"/>
          <w:szCs w:val="28"/>
          <w:highlight w:val="none"/>
        </w:rPr>
        <w:t>, 89–90 (</w:t>
      </w:r>
      <w:r>
        <w:rPr>
          <w:i/>
          <w:iCs/>
          <w:sz w:val="28"/>
          <w:szCs w:val="28"/>
          <w:highlight w:val="none"/>
        </w:rPr>
        <w:t>Здобувачем проведено аналіз отриманих даних, статистичну обробку отриманих даних та підготовлено тези та доповідь до друку)</w:t>
      </w:r>
      <w:r>
        <w:rPr>
          <w:sz w:val="28"/>
          <w:szCs w:val="28"/>
          <w:highlight w:val="none"/>
        </w:rPr>
        <w:t>.</w:t>
      </w:r>
    </w:p>
    <w:p w14:paraId="5BFB83EB">
      <w:pPr>
        <w:rPr>
          <w:b/>
          <w:bCs/>
          <w:highlight w:val="none"/>
        </w:rPr>
      </w:pPr>
    </w:p>
    <w:p w14:paraId="5CDFC916">
      <w:pPr>
        <w:spacing w:line="259" w:lineRule="auto"/>
        <w:ind w:firstLine="0"/>
        <w:jc w:val="left"/>
        <w:rPr>
          <w:rFonts w:cs="Times New Roman" w:eastAsiaTheme="majorEastAsia"/>
          <w:b/>
          <w:szCs w:val="28"/>
          <w:highlight w:val="none"/>
          <w:lang w:eastAsia="ru-RU"/>
        </w:rPr>
      </w:pPr>
      <w:r>
        <w:rPr>
          <w:rFonts w:cs="Times New Roman"/>
          <w:szCs w:val="28"/>
          <w:highlight w:val="none"/>
        </w:rPr>
        <w:br w:type="page"/>
      </w:r>
    </w:p>
    <w:p w14:paraId="6CE56A24">
      <w:pPr>
        <w:pStyle w:val="2"/>
        <w:rPr>
          <w:rFonts w:cs="Times New Roman"/>
          <w:szCs w:val="28"/>
          <w:highlight w:val="none"/>
          <w:lang w:val="uk-UA"/>
        </w:rPr>
      </w:pPr>
      <w:bookmarkStart w:id="9" w:name="_Toc153923940"/>
      <w:r>
        <w:rPr>
          <w:rFonts w:cs="Times New Roman"/>
          <w:szCs w:val="28"/>
          <w:highlight w:val="none"/>
          <w:lang w:val="uk-UA"/>
        </w:rPr>
        <w:t>РОЗДІЛ 1</w:t>
      </w:r>
      <w:r>
        <w:rPr>
          <w:rFonts w:cs="Times New Roman"/>
          <w:szCs w:val="28"/>
          <w:highlight w:val="none"/>
          <w:lang w:val="uk-UA"/>
        </w:rPr>
        <w:br w:type="textWrapping"/>
      </w:r>
      <w:r>
        <w:rPr>
          <w:rFonts w:cs="Times New Roman"/>
          <w:szCs w:val="28"/>
          <w:highlight w:val="none"/>
          <w:lang w:val="uk-UA"/>
        </w:rPr>
        <w:t>ОГЛЯД ЛІТЕРАТУРИ. СУЧАСНИЙ СТАН ГЕПАТИТУ С В УКРАЇНІ ТА СВІТІ. МАРКЕРИ ДІАГНОСТИКИ ТА ПРОГНОСТИЧНІ МОЖЛИВОСТІ</w:t>
      </w:r>
      <w:bookmarkEnd w:id="9"/>
    </w:p>
    <w:p w14:paraId="42142FE0">
      <w:pPr>
        <w:rPr>
          <w:rFonts w:cs="Times New Roman"/>
          <w:szCs w:val="28"/>
          <w:highlight w:val="none"/>
          <w:lang w:eastAsia="ru-RU"/>
        </w:rPr>
      </w:pPr>
    </w:p>
    <w:p w14:paraId="5002302B">
      <w:pPr>
        <w:pStyle w:val="3"/>
        <w:rPr>
          <w:highlight w:val="none"/>
        </w:rPr>
      </w:pPr>
      <w:bookmarkStart w:id="10" w:name="_Toc153923941"/>
      <w:r>
        <w:rPr>
          <w:highlight w:val="none"/>
        </w:rPr>
        <w:t>1.1 Клініко-епідеміологічні особливості хронічного гепатиту С</w:t>
      </w:r>
      <w:bookmarkEnd w:id="10"/>
    </w:p>
    <w:p w14:paraId="7D936347">
      <w:pPr>
        <w:widowControl w:val="0"/>
        <w:rPr>
          <w:rFonts w:cs="Times New Roman"/>
          <w:szCs w:val="28"/>
          <w:highlight w:val="none"/>
        </w:rPr>
      </w:pPr>
    </w:p>
    <w:p w14:paraId="15408139">
      <w:pPr>
        <w:widowControl w:val="0"/>
        <w:rPr>
          <w:rFonts w:cs="Times New Roman"/>
          <w:szCs w:val="28"/>
          <w:highlight w:val="none"/>
        </w:rPr>
      </w:pPr>
      <w:r>
        <w:rPr>
          <w:rFonts w:cs="Times New Roman"/>
          <w:szCs w:val="28"/>
          <w:highlight w:val="none"/>
        </w:rPr>
        <w:t>Значна кількість світових науковців та провідних міжнародних організацій визначають, що інфекція хронічного гепатиту С (ХГС) останнім часом є глобальною медичною проблемою світової системи охорони здоров’я [1–5], так, як на сьогодні займає перші шпальта за рівнями поширеності</w:t>
      </w:r>
      <w:r>
        <w:rPr>
          <w:rFonts w:cs="Times New Roman"/>
          <w:szCs w:val="28"/>
          <w:highlight w:val="none"/>
          <w:shd w:val="clear" w:color="auto" w:fill="FFFFFF"/>
        </w:rPr>
        <w:t xml:space="preserve">, інвалідності та смертності (викликані її наслідками), інфікування якою постійно зміщується в бік більш «молодшої» популяції [6]. Світова поширеність даного захворювання </w:t>
      </w:r>
      <w:r>
        <w:rPr>
          <w:rFonts w:cs="Times New Roman"/>
          <w:szCs w:val="28"/>
          <w:highlight w:val="none"/>
        </w:rPr>
        <w:t xml:space="preserve">коливається у межах від 0,6 до 10,0 % (залежно від географічного розташування), що складає більше за 71 млн осіб (близько 1,0 % всього світового населення), через що інфекція ХГС є тягарем для системи охорони здоров’я в усьому світі [7–13] </w:t>
      </w:r>
      <w:r>
        <w:rPr>
          <w:rFonts w:cs="Times New Roman"/>
          <w:szCs w:val="28"/>
          <w:highlight w:val="none"/>
          <w:lang w:eastAsia="ru-RU"/>
        </w:rPr>
        <w:t>з річним приростом більше [14] 1,75 млн осіб. Kitson </w:t>
      </w:r>
      <w:r>
        <w:rPr>
          <w:rFonts w:cs="Times New Roman"/>
          <w:szCs w:val="28"/>
          <w:highlight w:val="none"/>
        </w:rPr>
        <w:t>et al.</w:t>
      </w:r>
      <w:r>
        <w:rPr>
          <w:rFonts w:cs="Times New Roman"/>
          <w:szCs w:val="28"/>
          <w:highlight w:val="none"/>
          <w:lang w:eastAsia="ru-RU"/>
        </w:rPr>
        <w:t xml:space="preserve"> [15]) визначають світову поширеність осіб із інфекцією ХГС на рівні 130–200 млн [16–20] із значною тенденцією до постійного зростання [21].</w:t>
      </w:r>
      <w:r>
        <w:rPr>
          <w:rFonts w:cs="Times New Roman"/>
          <w:szCs w:val="28"/>
          <w:highlight w:val="none"/>
        </w:rPr>
        <w:t xml:space="preserve"> Так, найвищі показники поширеності інфекції ХГС серед усієї популяції визначені в Європі та регіонах Східного Середземномор’я з відповідними значеннями 1,5 і 2,3 % [22]. </w:t>
      </w:r>
      <w:r>
        <w:rPr>
          <w:rFonts w:cs="Times New Roman"/>
          <w:szCs w:val="28"/>
          <w:highlight w:val="none"/>
          <w:shd w:val="clear" w:color="auto" w:fill="FFFFFF"/>
        </w:rPr>
        <w:t>За різними оцінками, більше за 5,6 млн мешканців Європейського співтовариства є хронічно інфікованими вірусним гепатитом С (ВГС).</w:t>
      </w:r>
      <w:r>
        <w:rPr>
          <w:rFonts w:cs="Times New Roman"/>
          <w:szCs w:val="28"/>
          <w:highlight w:val="none"/>
        </w:rPr>
        <w:t xml:space="preserve"> За іншими даними, </w:t>
      </w:r>
      <w:r>
        <w:rPr>
          <w:rFonts w:cs="Times New Roman"/>
          <w:szCs w:val="28"/>
          <w:highlight w:val="none"/>
          <w:shd w:val="clear" w:color="auto" w:fill="FFFFFF"/>
        </w:rPr>
        <w:t xml:space="preserve">поширеність ВГС у Європейському Союзі складає близько 1,1 % [95,0 % довірчі інтервали (ДІ) 0,9–1,4] [23]. </w:t>
      </w:r>
      <w:r>
        <w:rPr>
          <w:rFonts w:cs="Times New Roman"/>
          <w:szCs w:val="28"/>
          <w:highlight w:val="none"/>
        </w:rPr>
        <w:t>У Західній Європі ця поширеність складає 1,5–3,5 %, а у Великобританії – 0,5 % [1].</w:t>
      </w:r>
    </w:p>
    <w:p w14:paraId="2D238546">
      <w:pPr>
        <w:widowControl w:val="0"/>
        <w:rPr>
          <w:rFonts w:cs="Times New Roman"/>
          <w:szCs w:val="28"/>
          <w:highlight w:val="none"/>
        </w:rPr>
      </w:pPr>
      <w:r>
        <w:rPr>
          <w:rFonts w:cs="Times New Roman"/>
          <w:szCs w:val="28"/>
          <w:highlight w:val="none"/>
        </w:rPr>
        <w:t xml:space="preserve">При цьому, </w:t>
      </w:r>
      <w:r>
        <w:rPr>
          <w:rFonts w:cs="Times New Roman"/>
          <w:szCs w:val="28"/>
          <w:highlight w:val="none"/>
          <w:shd w:val="clear" w:color="auto" w:fill="FFFFFF"/>
        </w:rPr>
        <w:t xml:space="preserve">за оцінками фахівців Всесвітньої організації охорони здоров’я (ВООЗ) поширеність серопозитивних до ВГС осіб складає більше 100 млн [24]. За іншими даними, загальна </w:t>
      </w:r>
      <w:r>
        <w:rPr>
          <w:rFonts w:eastAsia="Times New Roman" w:cs="Times New Roman"/>
          <w:szCs w:val="28"/>
          <w:highlight w:val="none"/>
          <w:lang w:eastAsia="ru-RU"/>
        </w:rPr>
        <w:t xml:space="preserve">серологічна поширеність осіб із перенесеним ВГС (наявність антитіл до ВГС) складає близько 1,6 % [95,0 % ДІ 1,3–2,1 %], а у дорослих старше 15 років – 2,0 %. За даними </w:t>
      </w:r>
      <w:r>
        <w:rPr>
          <w:rFonts w:cs="Times New Roman"/>
          <w:szCs w:val="28"/>
          <w:highlight w:val="none"/>
        </w:rPr>
        <w:t>Saraswat V.</w:t>
      </w:r>
      <w:r>
        <w:rPr>
          <w:rFonts w:eastAsia="Times New Roman" w:cs="Times New Roman"/>
          <w:szCs w:val="28"/>
          <w:highlight w:val="none"/>
          <w:lang w:eastAsia="ru-RU"/>
        </w:rPr>
        <w:t xml:space="preserve"> </w:t>
      </w:r>
      <w:r>
        <w:rPr>
          <w:rFonts w:cs="Times New Roman"/>
          <w:szCs w:val="28"/>
          <w:highlight w:val="none"/>
        </w:rPr>
        <w:t xml:space="preserve">et al. </w:t>
      </w:r>
      <w:r>
        <w:rPr>
          <w:rFonts w:eastAsia="Times New Roman" w:cs="Times New Roman"/>
          <w:szCs w:val="28"/>
          <w:highlight w:val="none"/>
          <w:lang w:eastAsia="ru-RU"/>
        </w:rPr>
        <w:t xml:space="preserve">[25] у 15 світових країнах (Аргентина, Фінляндія, Греція, Індія, Ірландія, Ізраїль, Люксембург, Мексика, Монголія, Нідерланди, Нова Зеландія, Норвегія, Польща, Південна Африка та ін.) загальна поширеність осіб, у яких виявляються антитіла до ВГС становить близько 1,1 % [95,0 % ДІ 0,9–1,4 %] та 1,4 % – у хворих старше 15 років (від 0,13 % у Нідерландах до 2,91 % в ін. країнах). Отримані </w:t>
      </w:r>
      <w:r>
        <w:rPr>
          <w:rFonts w:cs="Times New Roman"/>
          <w:szCs w:val="28"/>
          <w:highlight w:val="none"/>
        </w:rPr>
        <w:t>Maaroufi A. et al.</w:t>
      </w:r>
      <w:r>
        <w:rPr>
          <w:rFonts w:eastAsia="Times New Roman" w:cs="Times New Roman"/>
          <w:szCs w:val="28"/>
          <w:highlight w:val="none"/>
          <w:lang w:eastAsia="ru-RU"/>
        </w:rPr>
        <w:t xml:space="preserve"> [26] дані щодо поширеності вірусемії в 17 країнах (Бахрейн, Болгарія, Камерун, Колумбія, Хорватія, Домініканська Республіка, Ефіопія, Гана, Гонконг, Йорданія, Казахстан, Малайзія, Марокко, Нігерія, Оман, Катар, Тайвань) констатували коливання поширеності вірусемії від 0,2 % у Гонконзі до 2,4 на Тайвані з найбільшими показниками віремії в Нігерії (2597000 випадків) і на Тайвані (569000 випадків). За даними ж </w:t>
      </w:r>
      <w:r>
        <w:rPr>
          <w:rFonts w:cs="Times New Roman"/>
          <w:szCs w:val="28"/>
          <w:highlight w:val="none"/>
        </w:rPr>
        <w:t xml:space="preserve">Renau L. P. та Berenguer M. </w:t>
      </w:r>
      <w:r>
        <w:rPr>
          <w:rFonts w:cs="Times New Roman"/>
          <w:szCs w:val="28"/>
          <w:highlight w:val="none"/>
          <w:shd w:val="clear" w:color="auto" w:fill="FFFFFF"/>
        </w:rPr>
        <w:t>[27</w:t>
      </w:r>
      <w:r>
        <w:rPr>
          <w:rFonts w:cs="Times New Roman"/>
          <w:szCs w:val="28"/>
          <w:highlight w:val="none"/>
        </w:rPr>
        <w:t>] найбільша поширеність ХГС констатується в Африці та на Близькому Сході з нижчими показниками в Америці, Австралії та Північній і Західна Європа.</w:t>
      </w:r>
    </w:p>
    <w:p w14:paraId="05D668D7">
      <w:pPr>
        <w:widowControl w:val="0"/>
        <w:rPr>
          <w:rFonts w:eastAsia="Times New Roman" w:cs="Times New Roman"/>
          <w:szCs w:val="28"/>
          <w:highlight w:val="none"/>
          <w:lang w:eastAsia="ru-RU"/>
        </w:rPr>
      </w:pPr>
      <w:r>
        <w:rPr>
          <w:rFonts w:cs="Times New Roman"/>
          <w:szCs w:val="28"/>
          <w:highlight w:val="none"/>
        </w:rPr>
        <w:t xml:space="preserve">Окрім цього, значна кількість хворих на ХГС визначається й в </w:t>
      </w:r>
      <w:r>
        <w:rPr>
          <w:rFonts w:cs="Times New Roman"/>
          <w:szCs w:val="28"/>
          <w:highlight w:val="none"/>
          <w:shd w:val="clear" w:color="auto" w:fill="FFFFFF"/>
        </w:rPr>
        <w:t>Сполучених Штатах Америки (США) [28, 29], яка за даними американської національної програми соціального дослідження, що проводиться Національним Центром Статистики Охорони здоров'я США з метою середньостатистичної оцінки стану здоров’я та харчування американців (National Health and Nutrition Examination Survey, NHANES) за опитуванням 2013–2016 рр. виявила позитивний результат серологічних антитіл у 1,7 % (4,1 млн) серед дорослих, а вірусемію – у 1,0 % (2,4 млн) [</w:t>
      </w:r>
      <w:r>
        <w:rPr>
          <w:rStyle w:val="56"/>
          <w:rFonts w:cs="Times New Roman"/>
          <w:szCs w:val="28"/>
          <w:highlight w:val="none"/>
          <w:shd w:val="clear" w:color="auto" w:fill="FFFFFF"/>
        </w:rPr>
        <w:t>30</w:t>
      </w:r>
      <w:r>
        <w:rPr>
          <w:rFonts w:cs="Times New Roman"/>
          <w:szCs w:val="28"/>
          <w:highlight w:val="none"/>
          <w:shd w:val="clear" w:color="auto" w:fill="FFFFFF"/>
        </w:rPr>
        <w:t xml:space="preserve">]. При цьому, в 2017 р. Центри по </w:t>
      </w:r>
      <w:r>
        <w:rPr>
          <w:rStyle w:val="10"/>
          <w:rFonts w:cs="Times New Roman"/>
          <w:bCs/>
          <w:i w:val="0"/>
          <w:iCs w:val="0"/>
          <w:szCs w:val="28"/>
          <w:highlight w:val="none"/>
          <w:shd w:val="clear" w:color="auto" w:fill="FFFFFF"/>
        </w:rPr>
        <w:t>контролю та профілактиці захворювань</w:t>
      </w:r>
      <w:r>
        <w:rPr>
          <w:rStyle w:val="10"/>
          <w:rFonts w:cs="Times New Roman"/>
          <w:bCs/>
          <w:szCs w:val="28"/>
          <w:highlight w:val="none"/>
          <w:shd w:val="clear" w:color="auto" w:fill="FFFFFF"/>
        </w:rPr>
        <w:t xml:space="preserve"> </w:t>
      </w:r>
      <w:r>
        <w:rPr>
          <w:rFonts w:cs="Times New Roman"/>
          <w:szCs w:val="28"/>
          <w:highlight w:val="none"/>
          <w:shd w:val="clear" w:color="auto" w:fill="FFFFFF"/>
        </w:rPr>
        <w:t xml:space="preserve">США (Centers for Disease Control and Prevention, CDC) визначили 44700 нових випадків гострої інфекції ВГС та близько 2,8 млн – хронічного ВГС [31]. Слід вказати, що </w:t>
      </w:r>
      <w:r>
        <w:rPr>
          <w:rFonts w:cs="Times New Roman"/>
          <w:szCs w:val="28"/>
          <w:highlight w:val="none"/>
          <w:shd w:val="clear" w:color="auto" w:fill="FCFCFC"/>
        </w:rPr>
        <w:t xml:space="preserve">в США </w:t>
      </w:r>
      <w:r>
        <w:rPr>
          <w:rFonts w:cs="Times New Roman"/>
          <w:szCs w:val="28"/>
          <w:highlight w:val="none"/>
          <w:shd w:val="clear" w:color="auto" w:fill="FFFFFF"/>
        </w:rPr>
        <w:t>за 2009–2018 рр. загальна кількість зареєстрованих випадків гострого ВГС у перерахунку на 100 тис. населення зросла втричі – з 0,3 до 1,2 [32]. За 2013–2017 ж рр. в США частота гострих інфекцій ВГС зросла з 0,7 до 1,0 випадків на 100 тис. населення [33].</w:t>
      </w:r>
    </w:p>
    <w:p w14:paraId="4F8AF7BB">
      <w:pPr>
        <w:widowControl w:val="0"/>
        <w:rPr>
          <w:rFonts w:cs="Times New Roman"/>
          <w:szCs w:val="28"/>
          <w:highlight w:val="none"/>
          <w:shd w:val="clear" w:color="auto" w:fill="FCFCFC"/>
        </w:rPr>
      </w:pPr>
      <w:r>
        <w:rPr>
          <w:rFonts w:cs="Times New Roman"/>
          <w:szCs w:val="28"/>
          <w:highlight w:val="none"/>
          <w:shd w:val="clear" w:color="auto" w:fill="FFFFFF"/>
        </w:rPr>
        <w:t xml:space="preserve">Також, слід зазначити, що окрім значної різниці в кількісному складі поширеності інфекції ХГС залежно від географічного положення, його поширеність </w:t>
      </w:r>
      <w:r>
        <w:rPr>
          <w:rFonts w:cs="Times New Roman"/>
          <w:szCs w:val="28"/>
          <w:highlight w:val="none"/>
        </w:rPr>
        <w:t>також може значно різнитись в певних конкретних віко-статевих групах.[</w:t>
      </w:r>
      <w:r>
        <w:rPr>
          <w:rStyle w:val="66"/>
          <w:rFonts w:cs="Times New Roman"/>
          <w:szCs w:val="28"/>
          <w:highlight w:val="none"/>
        </w:rPr>
        <w:t>5, 22, 34–36</w:t>
      </w:r>
      <w:r>
        <w:rPr>
          <w:rFonts w:cs="Times New Roman"/>
          <w:szCs w:val="28"/>
          <w:highlight w:val="none"/>
        </w:rPr>
        <w:t xml:space="preserve">]. Так, </w:t>
      </w:r>
      <w:r>
        <w:rPr>
          <w:rFonts w:cs="Times New Roman"/>
          <w:szCs w:val="28"/>
          <w:highlight w:val="none"/>
          <w:shd w:val="clear" w:color="auto" w:fill="FFFFFF"/>
        </w:rPr>
        <w:t>за 2018 р. в США найвища захворюваність гострим ВГС була в хворих 20–29 років (3,1 на 100 тис. населення), потім – у осіб 30–39 (2,6), 40–49 (1,3), 50–59 (0,9) та ≥ 60 (0,4) років; а найнижча (0,1) – у пацієнтів до 20 років. Абсолютне збільшення щорічної захворюваності на 100 тис. населення при цьому за 2009–2018 рр. було найвищим для осіб 20–39 років (для хворих 20–29 років показники зросли на 300,0 % (з 0,7 до 3,1), а для 30–39-річних – на 400,0 % (з 0,5 до 2,6)</w:t>
      </w:r>
      <w:r>
        <w:rPr>
          <w:rFonts w:cs="Times New Roman"/>
          <w:szCs w:val="28"/>
          <w:highlight w:val="none"/>
          <w:shd w:val="clear" w:color="auto" w:fill="FCFCFC"/>
        </w:rPr>
        <w:t xml:space="preserve"> </w:t>
      </w:r>
      <w:r>
        <w:rPr>
          <w:rFonts w:cs="Times New Roman"/>
          <w:szCs w:val="28"/>
          <w:highlight w:val="none"/>
          <w:shd w:val="clear" w:color="auto" w:fill="FFFFFF"/>
        </w:rPr>
        <w:t>[31]. За даними ж CDC у 2017 р. в США найбільша захворюваність на гострий ВГС була зареєстрована в осіб 20</w:t>
      </w:r>
      <w:r>
        <w:rPr>
          <w:rStyle w:val="10"/>
          <w:rFonts w:cs="Times New Roman"/>
          <w:szCs w:val="28"/>
          <w:highlight w:val="none"/>
          <w:shd w:val="clear" w:color="auto" w:fill="FFFFFF"/>
        </w:rPr>
        <w:t>–</w:t>
      </w:r>
      <w:r>
        <w:rPr>
          <w:rFonts w:cs="Times New Roman"/>
          <w:szCs w:val="28"/>
          <w:highlight w:val="none"/>
          <w:shd w:val="clear" w:color="auto" w:fill="FFFFFF"/>
        </w:rPr>
        <w:t>29 (2,8) та 30</w:t>
      </w:r>
      <w:r>
        <w:rPr>
          <w:rStyle w:val="10"/>
          <w:rFonts w:cs="Times New Roman"/>
          <w:szCs w:val="28"/>
          <w:highlight w:val="none"/>
          <w:shd w:val="clear" w:color="auto" w:fill="FFFFFF"/>
        </w:rPr>
        <w:t>–</w:t>
      </w:r>
      <w:r>
        <w:rPr>
          <w:rFonts w:cs="Times New Roman"/>
          <w:szCs w:val="28"/>
          <w:highlight w:val="none"/>
          <w:shd w:val="clear" w:color="auto" w:fill="FFFFFF"/>
        </w:rPr>
        <w:t>39 (2,3) років [33], а найнижча – у хворих до 19 (0,1) років. За тими ж даними, захворюваність на гострий ВГС була дещо вищої в чоловіків порівняно з жінками (відповідно 1,2 та 0,9 випадки) [33].</w:t>
      </w:r>
    </w:p>
    <w:p w14:paraId="09B443CC">
      <w:pPr>
        <w:widowControl w:val="0"/>
        <w:rPr>
          <w:rFonts w:cs="Times New Roman"/>
          <w:szCs w:val="28"/>
          <w:highlight w:val="none"/>
          <w:shd w:val="clear" w:color="auto" w:fill="FFFFFF"/>
        </w:rPr>
      </w:pPr>
      <w:r>
        <w:rPr>
          <w:rFonts w:cs="Times New Roman"/>
          <w:szCs w:val="28"/>
          <w:highlight w:val="none"/>
          <w:shd w:val="clear" w:color="auto" w:fill="FFFFFF"/>
        </w:rPr>
        <w:t xml:space="preserve">Окрім цього, значні розбіжності поширеності інфекції ВГС відзначаються й в різних регіонах світу залежно від його генотипів, так, як вірус ВГС демонструє значну генетичну різноманітність, значно більшу навіть за вірус гепатиту B або вірус імунодефіциту людини (ВІЛ) – 7 генотипів та 67 підтипів [37], що значно впливає на патогенність, швидкість прогресування до фіброзу печінки (ФП) та відповідь на лікування. Так, домінуючим за поширеністю є 1-й генотип (44,0 %), потім – 3-й (25,0 %) і 4-й (15,0 %) [5]. При цьому, 1-й генотип більш поширений (60,0 %) у країнах з високим економічним рівнем (високий і вище середнього матеріальний рівень), 3-й частіше (36,0 %) відзначається в країнах з матеріальним рівнем нижче середнього, а 4-й – частіше (45,0 %) в країнах з низьким матеріальним рівнем. Окрім цього, 1–3 генотипи значно поширені серед мешканців усього світу, а 4-й – є ендемічним для Близького Сходу та Африки, як і 5-ий (для Південної Африки) та 6-ий (для Південно-Східної Азії) і 7-ий (обмежений Центральною Африкою) [38]. За даними проекту «Глобальний тягар захворювань» 1-й генотип ВГС також є найпоширенішим (46,2 % випадків), а інші генотипи складають значну частку тягаря захворювання (3-ій – 30,1 %; 2-ий, 4-ий та 6-ий – 22,8 %; а 5-ий – менше за 1,0 %). Глобальна ж поширеність ВГС складає 2,5 % (від 1,3 % в Америці до 2,9 % – в Африці) [6]. При цьому, </w:t>
      </w:r>
      <w:r>
        <w:rPr>
          <w:rFonts w:cs="Times New Roman"/>
          <w:szCs w:val="28"/>
          <w:highlight w:val="none"/>
          <w:lang w:eastAsia="ru-RU"/>
        </w:rPr>
        <w:t xml:space="preserve">Bassyouni </w:t>
      </w:r>
      <w:r>
        <w:rPr>
          <w:rFonts w:cs="Times New Roman"/>
          <w:szCs w:val="28"/>
          <w:highlight w:val="none"/>
        </w:rPr>
        <w:t>et al.</w:t>
      </w:r>
      <w:r>
        <w:rPr>
          <w:rFonts w:cs="Times New Roman"/>
          <w:szCs w:val="28"/>
          <w:highlight w:val="none"/>
          <w:lang w:eastAsia="ru-RU"/>
        </w:rPr>
        <w:t xml:space="preserve"> [39] наголошують, що в Єгипті в майже 15,0 % популяції визначаються антитіла до ВГС та в 90,0 % даних випадків констатується ВГС 4-го генотипу. Інший проведений аналіз також підтвердив найбільшу поширеність 1-го та 3-го генотипів ХГС, які обумовлюють відповідно 46,0 та 30,0 % випадків інфікування [40]. В 9,0 %, 8,0 %, 6,0 % та 1,0 % відповідно визначають інфікування вірусами з генотипами 2, 4, 6 та 5 [40]. Найбільш рідким констатують інфікування ХГС генотипом 7. Зазначається, що в Європейському регіоні превалює частота інфікування саме генотипами 1, 2 та 3 [40]. Така значна варіабельність ВГС визначається значним генетичним різноманіттям, спричиненим великою реплікаційною кінетикою (10</w:t>
      </w:r>
      <w:r>
        <w:rPr>
          <w:rFonts w:cs="Times New Roman"/>
          <w:szCs w:val="28"/>
          <w:highlight w:val="none"/>
          <w:vertAlign w:val="superscript"/>
          <w:lang w:eastAsia="ru-RU"/>
        </w:rPr>
        <w:t>12</w:t>
      </w:r>
      <w:r>
        <w:rPr>
          <w:rFonts w:cs="Times New Roman"/>
          <w:szCs w:val="28"/>
          <w:highlight w:val="none"/>
          <w:lang w:eastAsia="ru-RU"/>
        </w:rPr>
        <w:t xml:space="preserve"> віріонів на добу) й низькою точністю </w:t>
      </w:r>
      <w:r>
        <w:rPr>
          <w:rFonts w:cs="Times New Roman"/>
          <w:szCs w:val="28"/>
          <w:highlight w:val="none"/>
          <w:shd w:val="clear" w:color="auto" w:fill="FFFFFF"/>
        </w:rPr>
        <w:t>рибонуклеїново кислото (РНК)</w:t>
      </w:r>
      <w:r>
        <w:rPr>
          <w:rFonts w:cs="Times New Roman"/>
          <w:szCs w:val="28"/>
          <w:highlight w:val="none"/>
          <w:lang w:eastAsia="ru-RU"/>
        </w:rPr>
        <w:t>-залежної РНК-полімерази вірусу [40], яка обумовлює велику частоту мутацій на кожен нуклеотид та реплікативний цикл. Тому, більшість авторів наголошують на діагностичну необхідність визначення генотипу вірусу, оскільки є певні відмінності не лише відносно поширеності різних генотипів ВГС, а й патогенетичні особливості перебігу захворювання та різні ступені відповіді на лікування при кожному конкретному генотипі. Так, було визначено, що сироваткові рівні РНК ВГС у пацієнтів з 1-м генотипом значно переважають порівняно з 2-м. Також, суттєво різниться ступінь відповіді на лікування інтерферонами (ІФ) між 1-м та 2-м генотипами. Так, порівняно з 1b генотипом, пацієнти з генотипом 2а частіше формують стійку відповідь на лікування ІФ (відповідно 11,1 та 50,0 % випадків), обумовлюючи майже 4-х кратне зниження сироваткових рівнів РНК вірусу [40].</w:t>
      </w:r>
    </w:p>
    <w:p w14:paraId="6A2D4E3D">
      <w:pPr>
        <w:widowControl w:val="0"/>
        <w:rPr>
          <w:rFonts w:cs="Times New Roman"/>
          <w:szCs w:val="28"/>
          <w:highlight w:val="none"/>
          <w:shd w:val="clear" w:color="auto" w:fill="FFFFFF"/>
        </w:rPr>
      </w:pPr>
      <w:r>
        <w:rPr>
          <w:rFonts w:cs="Times New Roman"/>
          <w:szCs w:val="28"/>
          <w:highlight w:val="none"/>
          <w:lang w:eastAsia="ru-RU"/>
        </w:rPr>
        <w:t>При цьому, Par А. et al. [19] повідомляють, що ступінь відповіді на лікування (зокрема комбінацією пег-ІФ та рибавіріну) суттєво залежить від поліморфізму генів, що кодують продукцію низки цитокінів, таких як інтерлейкін (ІЛ)-28В. Так, генотип СС був достовірно асоційований з розвитком стабільної вірусної відповіді у пацієнтів, яких лікували за стандартною схемою (відношення шансів (ВШ) = 2,057 [95,0 % ДІ 1,305–3,058]; р = 0,002). При цьому наявність Т-алелі також показала достовірну асоціацію з даним показником (ВШ = </w:t>
      </w:r>
      <w:r>
        <w:rPr>
          <w:rFonts w:cs="Times New Roman"/>
          <w:szCs w:val="28"/>
          <w:highlight w:val="none"/>
        </w:rPr>
        <w:t xml:space="preserve">1,976 [95,0 % ДІ 1,263–3,058]; р = 0,002). Автори додатково зазначають, що однонуклеотидний поліморфізм в генах ІЛ-28В та ІЛ-10 можуть суттєво впливати як на ступінь відповіді на лікування, так і на загальне несприйняття вірусу. Так, у пацієнтів, які досягли </w:t>
      </w:r>
      <w:r>
        <w:rPr>
          <w:rFonts w:cs="Times New Roman"/>
          <w:szCs w:val="28"/>
          <w:highlight w:val="none"/>
          <w:shd w:val="clear" w:color="auto" w:fill="FFFFFF"/>
        </w:rPr>
        <w:t>стійкої вірусологічної відповіді (СВВ)</w:t>
      </w:r>
      <w:r>
        <w:rPr>
          <w:rFonts w:cs="Times New Roman"/>
          <w:szCs w:val="28"/>
          <w:highlight w:val="none"/>
        </w:rPr>
        <w:t xml:space="preserve"> комбінація алелей ІЛ-28 В CC та ІЛ-10R-1087 AA визначалася в 21,3 % випадків, порівняно з 12,8 % тих, хто не досяг СВВ (ВШ = 1,848 [95,0 % ДІ 1,070–3,190]; р = 0,026).</w:t>
      </w:r>
    </w:p>
    <w:p w14:paraId="10F016C0">
      <w:pPr>
        <w:widowControl w:val="0"/>
        <w:rPr>
          <w:rFonts w:eastAsia="Times New Roman" w:cs="Times New Roman"/>
          <w:szCs w:val="28"/>
          <w:highlight w:val="none"/>
          <w:lang w:eastAsia="ru-RU"/>
        </w:rPr>
      </w:pPr>
      <w:r>
        <w:rPr>
          <w:rFonts w:cs="Times New Roman"/>
          <w:szCs w:val="28"/>
          <w:highlight w:val="none"/>
          <w:shd w:val="clear" w:color="auto" w:fill="FFFFFF"/>
        </w:rPr>
        <w:t xml:space="preserve">Визначається, що </w:t>
      </w:r>
      <w:r>
        <w:rPr>
          <w:rFonts w:eastAsia="Times New Roman" w:cs="Times New Roman"/>
          <w:szCs w:val="28"/>
          <w:highlight w:val="none"/>
          <w:lang w:eastAsia="ru-RU"/>
        </w:rPr>
        <w:t xml:space="preserve">ВГС в більшості випадків передається прямим черезшкірним контактом з кров’ю (переливання інфікованої крові, вживання ін’єкційних наркотиків, використання нестерильного медичного інструментарію тощо) та може передаватися статевим шляхом або від інфікованої матері її немовляті під час вагітності та пологів </w:t>
      </w:r>
      <w:r>
        <w:rPr>
          <w:rFonts w:cs="Times New Roman"/>
          <w:szCs w:val="28"/>
          <w:highlight w:val="none"/>
          <w:shd w:val="clear" w:color="auto" w:fill="FFFFFF"/>
        </w:rPr>
        <w:t xml:space="preserve">[32], провокуючи розвиток гострого ВГС. Слід вказати, що гостра інфекція ВГС в більшості випадків протікає безсимптомно та </w:t>
      </w:r>
      <w:r>
        <w:rPr>
          <w:rFonts w:eastAsia="Times New Roman" w:cs="Times New Roman"/>
          <w:szCs w:val="28"/>
          <w:highlight w:val="none"/>
          <w:lang w:eastAsia="ru-RU"/>
        </w:rPr>
        <w:t>може повністю зникнути без будь-якого лікування</w:t>
      </w:r>
      <w:r>
        <w:rPr>
          <w:rFonts w:cs="Times New Roman"/>
          <w:szCs w:val="28"/>
          <w:highlight w:val="none"/>
          <w:shd w:val="clear" w:color="auto" w:fill="FFFFFF"/>
        </w:rPr>
        <w:t>, а в більш ніж 50,0 % прогресує до хронічної інфекції (</w:t>
      </w:r>
      <w:r>
        <w:rPr>
          <w:rFonts w:eastAsia="Times New Roman" w:cs="Times New Roman"/>
          <w:szCs w:val="28"/>
          <w:highlight w:val="none"/>
          <w:lang w:eastAsia="ru-RU"/>
        </w:rPr>
        <w:t>яка зазвичай також протікає безсимптомно</w:t>
      </w:r>
      <w:r>
        <w:rPr>
          <w:rFonts w:cs="Times New Roman"/>
          <w:szCs w:val="28"/>
          <w:highlight w:val="none"/>
          <w:shd w:val="clear" w:color="auto" w:fill="FFFFFF"/>
        </w:rPr>
        <w:t xml:space="preserve"> [32] або може бути досить небезпечною для життя інфікованого у випадках, коли </w:t>
      </w:r>
      <w:r>
        <w:rPr>
          <w:rFonts w:eastAsia="Times New Roman" w:cs="Times New Roman"/>
          <w:szCs w:val="28"/>
          <w:highlight w:val="none"/>
          <w:lang w:eastAsia="ru-RU"/>
        </w:rPr>
        <w:t>ураження печінки стає досить значним [41]).</w:t>
      </w:r>
    </w:p>
    <w:p w14:paraId="364E9625">
      <w:pPr>
        <w:widowControl w:val="0"/>
        <w:rPr>
          <w:rFonts w:cs="Times New Roman"/>
          <w:szCs w:val="28"/>
          <w:highlight w:val="none"/>
          <w:lang w:eastAsia="ru-RU"/>
        </w:rPr>
      </w:pPr>
      <w:r>
        <w:rPr>
          <w:rFonts w:eastAsia="Times New Roman" w:cs="Times New Roman"/>
          <w:szCs w:val="28"/>
          <w:highlight w:val="none"/>
          <w:lang w:eastAsia="ru-RU"/>
        </w:rPr>
        <w:t xml:space="preserve">Так, </w:t>
      </w:r>
      <w:r>
        <w:rPr>
          <w:rFonts w:cs="Times New Roman"/>
          <w:szCs w:val="28"/>
          <w:highlight w:val="none"/>
          <w:shd w:val="clear" w:color="auto" w:fill="FFFFFF"/>
        </w:rPr>
        <w:t xml:space="preserve">ВООЗ констатує, що </w:t>
      </w:r>
      <w:r>
        <w:rPr>
          <w:rFonts w:cs="Times New Roman"/>
          <w:szCs w:val="28"/>
          <w:highlight w:val="none"/>
        </w:rPr>
        <w:t xml:space="preserve">гостра інфекція ВГС у 55,0–85,0 % переходить у хронічну форму [42], а за даними співробітників </w:t>
      </w:r>
      <w:r>
        <w:rPr>
          <w:rStyle w:val="66"/>
          <w:rFonts w:cs="Times New Roman"/>
          <w:szCs w:val="28"/>
          <w:highlight w:val="none"/>
        </w:rPr>
        <w:t xml:space="preserve">Polaris Observatory </w:t>
      </w:r>
      <w:r>
        <w:rPr>
          <w:rFonts w:cs="Times New Roman"/>
          <w:szCs w:val="28"/>
          <w:highlight w:val="none"/>
        </w:rPr>
        <w:t>[</w:t>
      </w:r>
      <w:r>
        <w:rPr>
          <w:rStyle w:val="66"/>
          <w:rFonts w:cs="Times New Roman"/>
          <w:szCs w:val="28"/>
          <w:highlight w:val="none"/>
        </w:rPr>
        <w:t>5</w:t>
      </w:r>
      <w:r>
        <w:rPr>
          <w:rFonts w:cs="Times New Roman"/>
          <w:szCs w:val="28"/>
          <w:highlight w:val="none"/>
        </w:rPr>
        <w:t xml:space="preserve">] інфекція гострого ВГС самообмежується у 25,0 % інфікованих а в 75,0 % – РНК ВГС у сироватці визначається й через 6 місяців після контакту, провокуючи розвиток хронічного ВГС, який може призвести до кінцевої стадії захворювання печінки. При цьому, Martinez M. A. and Franco S. </w:t>
      </w:r>
      <w:r>
        <w:rPr>
          <w:rFonts w:cs="Times New Roman"/>
          <w:szCs w:val="28"/>
          <w:highlight w:val="none"/>
          <w:lang w:eastAsia="ru-RU"/>
        </w:rPr>
        <w:t xml:space="preserve">[43] і Pаr A. at al. [19], зазначають, що спонтанне вилікування інфекції відмічається в 18,0–34,0 % випадків після гострої фази захворювання. Хронізація процесу відбувається через неможливість елімінування інфекції імунною системою організму інфікованого [44], що супроводжується персистуючою запальною реакцією в печінці, яка обумовлює прогресування до ФП та цирозу печінки (ЦП) [24, 45, 46] в 10,0–20,0 % пацієнтів [47]. В той же час, перебіг ЦП, асоційованого з ХГС, різниться та може бути як відносно стабільним, так й призводити до гепатоцелюлярної карциноми (ГЦК) і печінкової недостатності [34, </w:t>
      </w:r>
      <w:r>
        <w:rPr>
          <w:rStyle w:val="11"/>
          <w:rFonts w:cs="Times New Roman"/>
          <w:color w:val="auto"/>
          <w:szCs w:val="28"/>
          <w:highlight w:val="none"/>
        </w:rPr>
        <w:t xml:space="preserve">48, </w:t>
      </w:r>
      <w:r>
        <w:rPr>
          <w:rFonts w:cs="Times New Roman"/>
          <w:szCs w:val="28"/>
          <w:highlight w:val="none"/>
        </w:rPr>
        <w:t>49</w:t>
      </w:r>
      <w:r>
        <w:rPr>
          <w:rFonts w:cs="Times New Roman"/>
          <w:szCs w:val="28"/>
          <w:highlight w:val="none"/>
          <w:lang w:eastAsia="ru-RU"/>
        </w:rPr>
        <w:t xml:space="preserve">] та смерті у короткі терміни (медіанна тривалість виживання у пацієнтів з гепатит-С індукованою ГЦК становить 13,1 місяців [24]). </w:t>
      </w:r>
    </w:p>
    <w:p w14:paraId="50334E62">
      <w:pPr>
        <w:widowControl w:val="0"/>
        <w:rPr>
          <w:rFonts w:cs="Times New Roman"/>
          <w:szCs w:val="28"/>
          <w:highlight w:val="none"/>
        </w:rPr>
      </w:pPr>
      <w:r>
        <w:rPr>
          <w:rFonts w:eastAsia="Times New Roman" w:cs="Times New Roman"/>
          <w:szCs w:val="28"/>
          <w:highlight w:val="none"/>
          <w:lang w:eastAsia="ru-RU"/>
        </w:rPr>
        <w:t xml:space="preserve">За даними ж </w:t>
      </w:r>
      <w:r>
        <w:rPr>
          <w:rFonts w:cs="Times New Roman"/>
          <w:szCs w:val="28"/>
          <w:highlight w:val="none"/>
          <w:lang w:eastAsia="ru-RU"/>
        </w:rPr>
        <w:t>Choi </w:t>
      </w:r>
      <w:r>
        <w:rPr>
          <w:rFonts w:cs="Times New Roman"/>
          <w:szCs w:val="28"/>
          <w:highlight w:val="none"/>
        </w:rPr>
        <w:t>S. </w:t>
      </w:r>
      <w:r>
        <w:rPr>
          <w:rFonts w:cs="Times New Roman"/>
          <w:szCs w:val="28"/>
          <w:highlight w:val="none"/>
          <w:lang w:eastAsia="ru-RU"/>
        </w:rPr>
        <w:t>et al. [46] хронізація процесу визначається в 85,0 % пацієнтів</w:t>
      </w:r>
      <w:r>
        <w:rPr>
          <w:rFonts w:cs="Times New Roman"/>
          <w:szCs w:val="28"/>
          <w:highlight w:val="none"/>
        </w:rPr>
        <w:t>, а Houot M. </w:t>
      </w:r>
      <w:r>
        <w:rPr>
          <w:rFonts w:cs="Times New Roman"/>
          <w:szCs w:val="28"/>
          <w:highlight w:val="none"/>
          <w:lang w:eastAsia="ru-RU"/>
        </w:rPr>
        <w:t xml:space="preserve">et al. [50] підкреслюють актуальність поширеності ЦП [21], асоційованого як з високою частотою гепатиту С, гепатиту В, алкогольної та неалкогольної хвороби печінки в популяції, так і недостатньою діагностикою причин ФП протягом усіх стадій захворювання. Автори додають, що незважаючи на сучасні методи діагностики, частота ЦП збільшилася щонайменше на 30,0 % починаючи з 1990 року. Згідно ж зі спеціалістами </w:t>
      </w:r>
      <w:r>
        <w:rPr>
          <w:rStyle w:val="66"/>
          <w:rFonts w:cs="Times New Roman"/>
          <w:szCs w:val="28"/>
          <w:highlight w:val="none"/>
        </w:rPr>
        <w:t xml:space="preserve">Polaris Observatory </w:t>
      </w:r>
      <w:r>
        <w:rPr>
          <w:rFonts w:cs="Times New Roman"/>
          <w:szCs w:val="28"/>
          <w:highlight w:val="none"/>
        </w:rPr>
        <w:t>[</w:t>
      </w:r>
      <w:r>
        <w:rPr>
          <w:rStyle w:val="66"/>
          <w:rFonts w:cs="Times New Roman"/>
          <w:szCs w:val="28"/>
          <w:highlight w:val="none"/>
        </w:rPr>
        <w:t>5</w:t>
      </w:r>
      <w:r>
        <w:rPr>
          <w:rFonts w:cs="Times New Roman"/>
          <w:szCs w:val="28"/>
          <w:highlight w:val="none"/>
        </w:rPr>
        <w:t>] ризики розвитку ЦП становлять 10,0–30,0 % протягом 20 років після розвитку захворювання. Однак, Renau L. P. and Berenguer M. визначають, що також можуть розвинутися й швидкі форми ураження печінки, які еволюціонують до ЦП лише за 1–2 роки у хворих з ослабленим імунітетом (особливо після трансплантації) [27]. При цьому, результати когортного дослідження визначили, що ризики прогресування до декомпенсованого ЦП (печінкова енцефалопатія, варикозне розширення вен стравоходу або асцит) або ГЦК значно збільшуються на стадії ФП за відсутності успішного терапевтичного втручання: відповідно до 31,5 і 33,6 % у хворих із F4 стадією ФП; до 13,7 і 19,6 % – при F3 стадії ФП; до 6,9 і 4,7 % – при F2 стадії ФП і до 6,8 і 2,3 % – при стадії ФП F0–F1. Також, автори відмітили, що основними факторами ризику, які прогнозовано призводять прогресування ФП до ГЦК або печінкової декомпенсації є значна початкова стадія фіброзу, наявність супутньої патології (вживання алкоголю, трансплантація в анамнезі, ниркові захворювання тощо), низька кількість тромбоцитів та підвищений рівень білірубіну [27].</w:t>
      </w:r>
    </w:p>
    <w:p w14:paraId="379422E0">
      <w:pPr>
        <w:pStyle w:val="23"/>
        <w:widowControl w:val="0"/>
        <w:spacing w:before="0" w:beforeAutospacing="0" w:after="0" w:afterAutospacing="0" w:line="360" w:lineRule="auto"/>
        <w:ind w:firstLine="567"/>
        <w:jc w:val="both"/>
        <w:rPr>
          <w:sz w:val="28"/>
          <w:szCs w:val="28"/>
          <w:highlight w:val="none"/>
        </w:rPr>
      </w:pPr>
      <w:r>
        <w:rPr>
          <w:sz w:val="28"/>
          <w:szCs w:val="28"/>
          <w:highlight w:val="none"/>
        </w:rPr>
        <w:t xml:space="preserve">Younossi Z. et al. [13] зазначають ризики розвитку ЦП та ГЦК протягом 20 років у хворих, інфікованих ВГС відповідно у 10,0–30,0 і 1,0–5,0 % випадків. </w:t>
      </w:r>
      <w:r>
        <w:rPr>
          <w:rStyle w:val="11"/>
          <w:rFonts w:eastAsiaTheme="majorEastAsia"/>
          <w:bCs/>
          <w:color w:val="auto"/>
          <w:sz w:val="28"/>
          <w:szCs w:val="28"/>
          <w:highlight w:val="none"/>
          <w:u w:val="none"/>
        </w:rPr>
        <w:t>Н</w:t>
      </w:r>
      <w:r>
        <w:rPr>
          <w:sz w:val="28"/>
          <w:szCs w:val="28"/>
          <w:highlight w:val="none"/>
        </w:rPr>
        <w:t xml:space="preserve">а швидкість прогресування впливають наступні фактори: вік на момент зараження, стать (чоловіча), етнічна група (афроамериканці), коінфекція вірусом гепатиту B або ВІЛ, наявність супутньої патології (зловживання алкоголем, імуносупресія, резистентність до інсуліну та неалкогольний стеатогепатит, гемохроматоз, шистосомоз тощо). Окрім цього, у прогресуванні захворювання відіграє роль й географічне положення: в США та Європі швидкість прогресування до ЦП становить 8,0–24,0 % протягом 20–30 років та щорічної ГЦК – 1,0–4,0 %; а в Японії – відповідно 30,0–46,0 % і 5,0–7,0 %. При цьому, </w:t>
      </w:r>
      <w:r>
        <w:rPr>
          <w:sz w:val="28"/>
          <w:szCs w:val="28"/>
          <w:highlight w:val="none"/>
          <w:shd w:val="clear" w:color="auto" w:fill="FFFFFF"/>
        </w:rPr>
        <w:t>Thomas D. L. and Seeff L. B. стверджують, що частота розвитку ЦП при ХГС складає 5,0–25,0 % протягом 10–20 років [51], а щорічні ризики розвитку ГЦК у хворих із ЦП становлять близько 1,0–4,0 % (</w:t>
      </w:r>
      <w:r>
        <w:rPr>
          <w:sz w:val="28"/>
          <w:szCs w:val="28"/>
          <w:highlight w:val="none"/>
        </w:rPr>
        <w:t>захворюваність на ГЦК зростає зі збільшенням віку, а кумулятивний ризик розвитку ГЦК при ХГС у віковій категорії 40–74 років становить 21,6 % для чоловіків і 8,7 % – для жінок [</w:t>
      </w:r>
      <w:r>
        <w:rPr>
          <w:sz w:val="28"/>
          <w:szCs w:val="28"/>
          <w:highlight w:val="none"/>
          <w:shd w:val="clear" w:color="auto" w:fill="FCFCFC"/>
        </w:rPr>
        <w:t>52</w:t>
      </w:r>
      <w:r>
        <w:rPr>
          <w:sz w:val="28"/>
          <w:szCs w:val="28"/>
          <w:highlight w:val="none"/>
        </w:rPr>
        <w:t>]. За даними ж CDC із 100 інфікованих ВГС осіб у 60–70 розвинеться хронічне захворювання печінки, а у 5–20 – ЦП за 20–30 років та і від 1 до 5 осіб помруть від наслідків ЦП або ГЦК [53].</w:t>
      </w:r>
    </w:p>
    <w:p w14:paraId="4DE0D905">
      <w:pPr>
        <w:rPr>
          <w:rFonts w:cs="Times New Roman"/>
          <w:szCs w:val="28"/>
          <w:highlight w:val="none"/>
        </w:rPr>
      </w:pPr>
      <w:r>
        <w:rPr>
          <w:rFonts w:cs="Times New Roman"/>
          <w:szCs w:val="28"/>
          <w:highlight w:val="none"/>
          <w:lang w:eastAsia="ru-RU"/>
        </w:rPr>
        <w:t xml:space="preserve">Крім цього, хронічна віремія, якою частоту супроводжується перебіг ВГС, обумовлює хронізацію запалення з розвитком Т-цитотоксичного асоційованого ураження гепатоцитів з подальшим розвитком супутніх автоімунних позапечінкових проявів (ППП), зокрема васкулітів, інтерстиціальної пневмонії та неходжкінської лімфоми [39]. Yang D. H. Et al. [44] вказують, що імунологічні зміни є тригером розвитку позапечінкових порушень у пацієнтів з ХГС, зокрема автоімунних захворювань (антифосфоліпідного синдрому, ревматоїдного артриту, хвороби Шегрена тощо). Окрім цього, </w:t>
      </w:r>
      <w:r>
        <w:rPr>
          <w:rFonts w:cs="Times New Roman"/>
          <w:szCs w:val="28"/>
          <w:highlight w:val="none"/>
        </w:rPr>
        <w:t xml:space="preserve">при ХГС досить часто констатуються розлади настрою та підвищена втома [54], лімфопроліферативні розлади (кріоглобулінемічний синдром – у 15,0 % і неходжкінська лімфома – у 35,0 % [55] та ін.), цукровий діабет (ЦД) 2-го типу, резистентність до інсуліну, серцево-судинні розлади та захворювання нирок </w:t>
      </w:r>
      <w:r>
        <w:rPr>
          <w:rFonts w:eastAsia="Times New Roman" w:cs="Times New Roman"/>
          <w:szCs w:val="28"/>
          <w:highlight w:val="none"/>
          <w:lang w:eastAsia="ru-RU"/>
        </w:rPr>
        <w:t>[</w:t>
      </w:r>
      <w:r>
        <w:rPr>
          <w:rFonts w:cs="Times New Roman"/>
          <w:szCs w:val="28"/>
          <w:highlight w:val="none"/>
          <w:shd w:val="clear" w:color="auto" w:fill="FCFCFC"/>
        </w:rPr>
        <w:t>52</w:t>
      </w:r>
      <w:r>
        <w:rPr>
          <w:rFonts w:eastAsia="Times New Roman" w:cs="Times New Roman"/>
          <w:szCs w:val="28"/>
          <w:highlight w:val="none"/>
          <w:lang w:eastAsia="ru-RU"/>
        </w:rPr>
        <w:t>]</w:t>
      </w:r>
      <w:r>
        <w:rPr>
          <w:rFonts w:cs="Times New Roman"/>
          <w:szCs w:val="28"/>
          <w:highlight w:val="none"/>
        </w:rPr>
        <w:t xml:space="preserve">. Також, є переконливі докази того, що ХГС спричиняє низку аутоімунних захворювань (васкуліт – 5,0–15,0 %, артралгію-міалгію – 25,0 % і </w:t>
      </w:r>
      <w:r>
        <w:rPr>
          <w:rFonts w:cs="Times New Roman"/>
          <w:szCs w:val="28"/>
          <w:highlight w:val="none"/>
          <w:lang w:eastAsia="ru-RU"/>
        </w:rPr>
        <w:t>хворобу Шегрена</w:t>
      </w:r>
      <w:r>
        <w:rPr>
          <w:rFonts w:cs="Times New Roman"/>
          <w:szCs w:val="28"/>
          <w:highlight w:val="none"/>
        </w:rPr>
        <w:t> – 10,0–15,0 %).</w:t>
      </w:r>
    </w:p>
    <w:p w14:paraId="3C1A05D7">
      <w:pPr>
        <w:rPr>
          <w:rFonts w:cs="Times New Roman"/>
          <w:szCs w:val="28"/>
          <w:highlight w:val="none"/>
        </w:rPr>
      </w:pPr>
      <w:r>
        <w:rPr>
          <w:rFonts w:cs="Times New Roman"/>
          <w:szCs w:val="28"/>
          <w:highlight w:val="none"/>
        </w:rPr>
        <w:t>Проведений систематичний огляд і мета-аналіз визначив основні дев’ять найпоширеніших ППП ХГС, серед яких констатуються: змішана кріоглобулінемія, хронічна ниркова недостатність або термінальна стадія ниркової недостатності, ЦД 2-го типу, В-клітинна лімфома, плоский лишай, синдром Шегрена, пізня шкірна порфірія, ревматоїдний артрит і депресія [</w:t>
      </w:r>
      <w:r>
        <w:rPr>
          <w:rStyle w:val="56"/>
          <w:rFonts w:cs="Times New Roman"/>
          <w:szCs w:val="28"/>
          <w:highlight w:val="none"/>
          <w:shd w:val="clear" w:color="auto" w:fill="FFFFFF"/>
        </w:rPr>
        <w:t>56</w:t>
      </w:r>
      <w:r>
        <w:rPr>
          <w:rFonts w:cs="Times New Roman"/>
          <w:szCs w:val="28"/>
          <w:highlight w:val="none"/>
        </w:rPr>
        <w:t>]. Автори вказали, що найбільш частіше з усіх ППП при ХГС зустрічається ЦД 2 типу (15,0 %) і депресія (25,0 %); окрім цього, у 4,9 % виникала симптоматична змішана кріоглобулінемія. [13]. Інший проведений метааналіз [</w:t>
      </w:r>
      <w:r>
        <w:rPr>
          <w:rStyle w:val="56"/>
          <w:rFonts w:cs="Times New Roman"/>
          <w:szCs w:val="28"/>
          <w:highlight w:val="none"/>
          <w:shd w:val="clear" w:color="auto" w:fill="FFFFFF"/>
        </w:rPr>
        <w:t>57</w:t>
      </w:r>
      <w:r>
        <w:rPr>
          <w:rFonts w:cs="Times New Roman"/>
          <w:szCs w:val="28"/>
          <w:highlight w:val="none"/>
        </w:rPr>
        <w:t xml:space="preserve">] визначив значно збільшені ризики розвитку серцево-судинних (на 20,0 %) та цереброваскулярних (на 35,0 %) захворювань; а </w:t>
      </w:r>
      <w:r>
        <w:rPr>
          <w:rStyle w:val="56"/>
          <w:rFonts w:cs="Times New Roman"/>
          <w:szCs w:val="28"/>
          <w:highlight w:val="none"/>
          <w:shd w:val="clear" w:color="auto" w:fill="FFFFFF"/>
        </w:rPr>
        <w:t xml:space="preserve">Gerber L. et al </w:t>
      </w:r>
      <w:r>
        <w:rPr>
          <w:rFonts w:cs="Times New Roman"/>
          <w:szCs w:val="28"/>
          <w:highlight w:val="none"/>
        </w:rPr>
        <w:t>[58] вказали на розвиток сильної втоми (у 61,0 %) у хворих із інфекцією ВГС.</w:t>
      </w:r>
    </w:p>
    <w:p w14:paraId="67FD759C">
      <w:pPr>
        <w:rPr>
          <w:rFonts w:cs="Times New Roman"/>
          <w:szCs w:val="28"/>
          <w:highlight w:val="none"/>
        </w:rPr>
      </w:pPr>
      <w:r>
        <w:rPr>
          <w:rFonts w:cs="Times New Roman"/>
          <w:szCs w:val="28"/>
          <w:highlight w:val="none"/>
        </w:rPr>
        <w:t xml:space="preserve">З огляду на те, що окрім основного ураження печінки інфекція ХГС створює певні специфічні проблеми через значну поширеність ППП, </w:t>
      </w:r>
      <w:r>
        <w:rPr>
          <w:rFonts w:cs="Times New Roman"/>
          <w:szCs w:val="28"/>
          <w:highlight w:val="none"/>
          <w:shd w:val="clear" w:color="auto" w:fill="FFFFFF"/>
        </w:rPr>
        <w:t xml:space="preserve">проблема ХГС </w:t>
      </w:r>
      <w:r>
        <w:rPr>
          <w:rFonts w:cs="Times New Roman"/>
          <w:szCs w:val="28"/>
          <w:highlight w:val="none"/>
        </w:rPr>
        <w:t>вимагає цілісних підходів, орієнтованих не тільки на пацієнта, а й на загальнонаціональні системи охорони здоров’я, спрямовані на підвищення обізнаності, профілактику, догляд та лікування шляхом спільної співпраці медичних працівників, пацієнтів і усіх парамедичних та інших зацікавлених сторін [</w:t>
      </w:r>
      <w:r>
        <w:rPr>
          <w:rFonts w:cs="Times New Roman"/>
          <w:szCs w:val="28"/>
          <w:highlight w:val="none"/>
          <w:shd w:val="clear" w:color="auto" w:fill="FFFFFF"/>
        </w:rPr>
        <w:t>59</w:t>
      </w:r>
      <w:r>
        <w:rPr>
          <w:rFonts w:cs="Times New Roman"/>
          <w:szCs w:val="28"/>
          <w:highlight w:val="none"/>
        </w:rPr>
        <w:t xml:space="preserve">], а ВООЗ визначила за мету </w:t>
      </w:r>
      <w:r>
        <w:rPr>
          <w:rFonts w:cs="Times New Roman"/>
          <w:szCs w:val="28"/>
          <w:highlight w:val="none"/>
          <w:shd w:val="clear" w:color="auto" w:fill="FFFFFF"/>
        </w:rPr>
        <w:t>зниження рівня смертності населення, пов’язаної з ХГС на 65,0 % до 2030 р. порівняно з 2015 р. [</w:t>
      </w:r>
      <w:r>
        <w:rPr>
          <w:rStyle w:val="11"/>
          <w:rFonts w:cs="Times New Roman"/>
          <w:color w:val="auto"/>
          <w:szCs w:val="28"/>
          <w:highlight w:val="none"/>
        </w:rPr>
        <w:t>60</w:t>
      </w:r>
      <w:r>
        <w:rPr>
          <w:rStyle w:val="11"/>
          <w:rFonts w:cs="Times New Roman"/>
          <w:bCs/>
          <w:color w:val="auto"/>
          <w:szCs w:val="28"/>
          <w:highlight w:val="none"/>
          <w:shd w:val="clear" w:color="auto" w:fill="FFFFFF"/>
        </w:rPr>
        <w:t>]</w:t>
      </w:r>
      <w:r>
        <w:rPr>
          <w:rFonts w:cs="Times New Roman"/>
          <w:szCs w:val="28"/>
          <w:highlight w:val="none"/>
          <w:shd w:val="clear" w:color="auto" w:fill="FFFFFF"/>
        </w:rPr>
        <w:t>.</w:t>
      </w:r>
    </w:p>
    <w:p w14:paraId="2183BE31">
      <w:pPr>
        <w:pStyle w:val="23"/>
        <w:widowControl w:val="0"/>
        <w:spacing w:before="0" w:beforeAutospacing="0" w:after="0" w:afterAutospacing="0" w:line="360" w:lineRule="auto"/>
        <w:ind w:firstLine="709"/>
        <w:jc w:val="both"/>
        <w:rPr>
          <w:sz w:val="28"/>
          <w:szCs w:val="28"/>
          <w:highlight w:val="none"/>
          <w:shd w:val="clear" w:color="auto" w:fill="FFFFFF"/>
        </w:rPr>
      </w:pPr>
      <w:r>
        <w:rPr>
          <w:sz w:val="28"/>
          <w:szCs w:val="28"/>
          <w:highlight w:val="none"/>
        </w:rPr>
        <w:t xml:space="preserve">Окрім цього, значних проблем для світової системи охорони здоров’я надає й питання досить тривалого безсимптомного періоду та «прихованості» інфекції ХГС. Так, </w:t>
      </w:r>
      <w:r>
        <w:rPr>
          <w:rStyle w:val="56"/>
          <w:sz w:val="28"/>
          <w:szCs w:val="28"/>
          <w:highlight w:val="none"/>
          <w:shd w:val="clear" w:color="auto" w:fill="FFFFFF"/>
        </w:rPr>
        <w:t>Lazarus J. V.</w:t>
      </w:r>
      <w:r>
        <w:rPr>
          <w:sz w:val="28"/>
          <w:szCs w:val="28"/>
          <w:highlight w:val="none"/>
        </w:rPr>
        <w:t xml:space="preserve"> et al. визначають, що хворі з ХГС досить часто не визначають ніяких патогномонічних симптомів протягом перших 20–30 років після інфікування, а епіднагляд за ХГС є досить слабким у багатьох країнах Європейского співтовариства [</w:t>
      </w:r>
      <w:r>
        <w:rPr>
          <w:rStyle w:val="56"/>
          <w:sz w:val="28"/>
          <w:szCs w:val="28"/>
          <w:highlight w:val="none"/>
          <w:shd w:val="clear" w:color="auto" w:fill="FFFFFF"/>
        </w:rPr>
        <w:t>61</w:t>
      </w:r>
      <w:r>
        <w:rPr>
          <w:sz w:val="28"/>
          <w:szCs w:val="28"/>
          <w:highlight w:val="none"/>
        </w:rPr>
        <w:t xml:space="preserve">]. Тому, «невиявлене» поширення ХГС є однією з найважливіших проблем світової системи охорони здоров’я, яку слід негайно вирішувати, так, як досить часто інфікування ХГС виявляється лише на пізніх стадіях захворювання. Визначається, що навіть у країнах з високим рівнем медико-соціальної та матеріальної забезпеченості виявляється менш ніж 40,0 % усіх випадків інфікування. </w:t>
      </w:r>
      <w:r>
        <w:rPr>
          <w:sz w:val="28"/>
          <w:szCs w:val="28"/>
          <w:highlight w:val="none"/>
          <w:shd w:val="clear" w:color="auto" w:fill="FFFFFF"/>
        </w:rPr>
        <w:t>За попередніми оцінками близько 2,8 % (2,6–3,1 %) усього світового населення (більш ніж 184 млн) інфіковані ВГС, точність же підрахунків поширеності інфекції ВГС значно ускладнюється високим рівнем недіагностованих випадків і відсутністю належного збору даних [62].</w:t>
      </w:r>
    </w:p>
    <w:p w14:paraId="594BF228">
      <w:pPr>
        <w:pStyle w:val="23"/>
        <w:widowControl w:val="0"/>
        <w:spacing w:before="0" w:beforeAutospacing="0" w:after="0" w:afterAutospacing="0" w:line="360" w:lineRule="auto"/>
        <w:ind w:firstLine="709"/>
        <w:jc w:val="both"/>
        <w:rPr>
          <w:sz w:val="28"/>
          <w:szCs w:val="28"/>
          <w:highlight w:val="none"/>
        </w:rPr>
      </w:pPr>
      <w:r>
        <w:rPr>
          <w:sz w:val="28"/>
          <w:szCs w:val="28"/>
          <w:highlight w:val="none"/>
          <w:shd w:val="clear" w:color="auto" w:fill="FFFFFF"/>
        </w:rPr>
        <w:t xml:space="preserve">Більшість науковців визначає рівні поширеності інфекції ВГС </w:t>
      </w:r>
      <w:r>
        <w:rPr>
          <w:sz w:val="28"/>
          <w:szCs w:val="28"/>
          <w:highlight w:val="none"/>
        </w:rPr>
        <w:t xml:space="preserve">«тихою епідемією». Так, не дивлячись на те, що кількість зареєстрованих випадків ВГС в Європі є досить стабільним показником останнім часом, </w:t>
      </w:r>
      <w:r>
        <w:rPr>
          <w:rStyle w:val="56"/>
          <w:sz w:val="28"/>
          <w:szCs w:val="28"/>
          <w:highlight w:val="none"/>
          <w:shd w:val="clear" w:color="auto" w:fill="FFFFFF"/>
        </w:rPr>
        <w:t>Hofstraat S. H. I.</w:t>
      </w:r>
      <w:r>
        <w:rPr>
          <w:sz w:val="28"/>
          <w:szCs w:val="28"/>
          <w:highlight w:val="none"/>
        </w:rPr>
        <w:t xml:space="preserve"> et. al констатують великі географічні відмінності з найбільшою кількістю зареєстрованих випадків у північних країнах Європи та відсутність справжніх рівнів поширеності ВГС через значні рівні недіагностованих випадків [</w:t>
      </w:r>
      <w:r>
        <w:rPr>
          <w:rStyle w:val="56"/>
          <w:sz w:val="28"/>
          <w:szCs w:val="28"/>
          <w:highlight w:val="none"/>
          <w:shd w:val="clear" w:color="auto" w:fill="FFFFFF"/>
        </w:rPr>
        <w:t>23</w:t>
      </w:r>
      <w:r>
        <w:rPr>
          <w:sz w:val="28"/>
          <w:szCs w:val="28"/>
          <w:highlight w:val="none"/>
        </w:rPr>
        <w:t xml:space="preserve">]. За </w:t>
      </w:r>
      <w:r>
        <w:rPr>
          <w:sz w:val="28"/>
          <w:szCs w:val="28"/>
          <w:highlight w:val="none"/>
          <w:shd w:val="clear" w:color="auto" w:fill="FCFCFC"/>
        </w:rPr>
        <w:t xml:space="preserve">даними ж ВООЗ </w:t>
      </w:r>
      <w:r>
        <w:rPr>
          <w:sz w:val="28"/>
          <w:szCs w:val="28"/>
          <w:highlight w:val="none"/>
        </w:rPr>
        <w:t xml:space="preserve">на 2017 рік лише 19,0 % (13,1 млн) інфікованих в усьому світі знали про своє інфікування та тільки 15,0 % (2 млн) з них отримували відповідне лікування [63]. При цьому, </w:t>
      </w:r>
      <w:r>
        <w:rPr>
          <w:sz w:val="28"/>
          <w:szCs w:val="28"/>
          <w:highlight w:val="none"/>
          <w:shd w:val="clear" w:color="auto" w:fill="FFFFFF"/>
        </w:rPr>
        <w:t xml:space="preserve">Kim H. S. et. al </w:t>
      </w:r>
      <w:r>
        <w:rPr>
          <w:sz w:val="28"/>
          <w:szCs w:val="28"/>
          <w:highlight w:val="none"/>
        </w:rPr>
        <w:t>[</w:t>
      </w:r>
      <w:r>
        <w:rPr>
          <w:sz w:val="28"/>
          <w:szCs w:val="28"/>
          <w:highlight w:val="none"/>
          <w:shd w:val="clear" w:color="auto" w:fill="FFFFFF"/>
        </w:rPr>
        <w:t>60</w:t>
      </w:r>
      <w:r>
        <w:rPr>
          <w:sz w:val="28"/>
          <w:szCs w:val="28"/>
          <w:highlight w:val="none"/>
        </w:rPr>
        <w:t xml:space="preserve">] визначили, що лише 55,6 % із усіх дорослих інфікованих знали про своє інфікування, а </w:t>
      </w:r>
      <w:r>
        <w:rPr>
          <w:sz w:val="28"/>
          <w:szCs w:val="28"/>
          <w:highlight w:val="none"/>
          <w:shd w:val="clear" w:color="auto" w:fill="FFFFFF"/>
        </w:rPr>
        <w:t>Ryerson A. B. et al [32] визначили їх кількість в США на рівні 60,6 % [95,0 % ДІ 46,1–73,9 %].</w:t>
      </w:r>
    </w:p>
    <w:p w14:paraId="3C8FA34A">
      <w:pPr>
        <w:ind w:firstLine="567"/>
        <w:rPr>
          <w:rFonts w:eastAsia="Times New Roman" w:cs="Times New Roman"/>
          <w:szCs w:val="28"/>
          <w:highlight w:val="none"/>
          <w:lang w:eastAsia="ru-RU"/>
        </w:rPr>
      </w:pPr>
      <w:r>
        <w:rPr>
          <w:rFonts w:eastAsia="Times New Roman" w:cs="Times New Roman"/>
          <w:szCs w:val="28"/>
          <w:highlight w:val="none"/>
          <w:lang w:eastAsia="ru-RU"/>
        </w:rPr>
        <w:t xml:space="preserve">Слід вказати, що відсутність інформації про інфікування ВГС має досить серйозні негативні наслідки у вигляді значних рівнів смертності [64] через несвоєчасне лікування печінкових та ППП ХГС та значно збільшує ризики передачі інфекції іншим, що також збільшує рівні поширеності інфекції. Так, за даними </w:t>
      </w:r>
      <w:r>
        <w:rPr>
          <w:rFonts w:cs="Times New Roman"/>
          <w:szCs w:val="28"/>
          <w:highlight w:val="none"/>
          <w:shd w:val="clear" w:color="auto" w:fill="FFFFFF"/>
        </w:rPr>
        <w:t>CDC</w:t>
      </w:r>
      <w:r>
        <w:rPr>
          <w:rFonts w:eastAsia="Times New Roman" w:cs="Times New Roman"/>
          <w:szCs w:val="28"/>
          <w:highlight w:val="none"/>
          <w:lang w:eastAsia="ru-RU"/>
        </w:rPr>
        <w:t xml:space="preserve"> в США у 2018 р. виникло близько 16 тис смертей через ВГС (у якості основної або супутньої причини) [65], що коштує системі охорони здоров’я США мільярди доларів щорічно [66].</w:t>
      </w:r>
    </w:p>
    <w:p w14:paraId="7E793DA7">
      <w:pPr>
        <w:ind w:firstLine="567"/>
        <w:rPr>
          <w:rFonts w:cs="Times New Roman"/>
          <w:szCs w:val="28"/>
          <w:highlight w:val="none"/>
        </w:rPr>
      </w:pPr>
      <w:r>
        <w:rPr>
          <w:rFonts w:eastAsia="Times New Roman" w:cs="Times New Roman"/>
          <w:szCs w:val="28"/>
          <w:highlight w:val="none"/>
          <w:lang w:eastAsia="ru-RU"/>
        </w:rPr>
        <w:t xml:space="preserve">Інші спеціалісти визначають рівні </w:t>
      </w:r>
      <w:r>
        <w:rPr>
          <w:rFonts w:cs="Times New Roman"/>
          <w:szCs w:val="28"/>
          <w:highlight w:val="none"/>
          <w:lang w:eastAsia="ru-RU"/>
        </w:rPr>
        <w:t xml:space="preserve">щорічної світової смертності в 580–745 тис. осіб [43, 47, 67]; а </w:t>
      </w:r>
      <w:r>
        <w:rPr>
          <w:rFonts w:cs="Times New Roman"/>
          <w:szCs w:val="28"/>
          <w:highlight w:val="none"/>
        </w:rPr>
        <w:t xml:space="preserve">згідно з висновками </w:t>
      </w:r>
      <w:r>
        <w:rPr>
          <w:rStyle w:val="66"/>
          <w:rFonts w:cs="Times New Roman"/>
          <w:szCs w:val="28"/>
          <w:highlight w:val="none"/>
        </w:rPr>
        <w:t xml:space="preserve">Polaris Observatory </w:t>
      </w:r>
      <w:r>
        <w:rPr>
          <w:rFonts w:cs="Times New Roman"/>
          <w:szCs w:val="28"/>
          <w:highlight w:val="none"/>
        </w:rPr>
        <w:t>[</w:t>
      </w:r>
      <w:r>
        <w:rPr>
          <w:rStyle w:val="66"/>
          <w:rFonts w:cs="Times New Roman"/>
          <w:szCs w:val="28"/>
          <w:highlight w:val="none"/>
        </w:rPr>
        <w:t>5</w:t>
      </w:r>
      <w:r>
        <w:rPr>
          <w:rFonts w:cs="Times New Roman"/>
          <w:szCs w:val="28"/>
          <w:highlight w:val="none"/>
        </w:rPr>
        <w:t>] приблизно 400 тис. осіб щорічно помирають від ВГС (переважно через значний розвиток ЦП та ГЦК у інфікованих [7, 22, 27, 32, 52, 68–73]); що підтверджують й Choi et al. [46] (майже 3,0 % усієї світової смертності від печінкової патології в світі обумовлені ВГС).</w:t>
      </w:r>
    </w:p>
    <w:p w14:paraId="143A8469">
      <w:pPr>
        <w:widowControl w:val="0"/>
        <w:rPr>
          <w:rFonts w:cs="Times New Roman"/>
          <w:szCs w:val="28"/>
          <w:highlight w:val="none"/>
        </w:rPr>
      </w:pPr>
      <w:r>
        <w:rPr>
          <w:rFonts w:cs="Times New Roman"/>
          <w:szCs w:val="28"/>
          <w:highlight w:val="none"/>
        </w:rPr>
        <w:t xml:space="preserve">Слід вказати, що </w:t>
      </w:r>
      <w:r>
        <w:rPr>
          <w:rFonts w:cs="Times New Roman"/>
          <w:szCs w:val="28"/>
          <w:highlight w:val="none"/>
          <w:shd w:val="clear" w:color="auto" w:fill="FFFFFF"/>
        </w:rPr>
        <w:t xml:space="preserve">не дивлячись на очікуване зниження захворюваності ВГС, тягар захворювання все ще буде значним і прогнозовано близько 560 тис хворих не знатимуть про інфікування, 320 тис помруть, а в 157 тис розвинеться ГЦК і в 203 тис – декомпенсований ЦП протягом наступних 30 років [74]; а за </w:t>
      </w:r>
      <w:r>
        <w:rPr>
          <w:rFonts w:cs="Times New Roman"/>
          <w:szCs w:val="28"/>
          <w:highlight w:val="none"/>
        </w:rPr>
        <w:t xml:space="preserve">даними </w:t>
      </w:r>
      <w:r>
        <w:rPr>
          <w:rStyle w:val="73"/>
          <w:rFonts w:cs="Times New Roman"/>
          <w:szCs w:val="28"/>
          <w:highlight w:val="none"/>
        </w:rPr>
        <w:t xml:space="preserve">Shah H. et al., якщо нічого </w:t>
      </w:r>
      <w:r>
        <w:rPr>
          <w:rFonts w:cs="Times New Roman"/>
          <w:szCs w:val="28"/>
          <w:highlight w:val="none"/>
          <w:shd w:val="clear" w:color="auto" w:fill="FFFFFF"/>
        </w:rPr>
        <w:t>не зробити для зміни поточної ситуації щодо проблематики ХГС, випадки декомпенсованого ЦП, ГЦК та смертності, пов’язаної з печінкою, зростуть відповідно на 80,0; 205,0 та 160,0 % до 2035 року порівняно з 2013 [</w:t>
      </w:r>
      <w:r>
        <w:rPr>
          <w:rFonts w:cs="Times New Roman"/>
          <w:bCs/>
          <w:szCs w:val="28"/>
          <w:highlight w:val="none"/>
        </w:rPr>
        <w:t>2</w:t>
      </w:r>
      <w:r>
        <w:rPr>
          <w:rFonts w:cs="Times New Roman"/>
          <w:szCs w:val="28"/>
          <w:highlight w:val="none"/>
          <w:shd w:val="clear" w:color="auto" w:fill="FFFFFF"/>
        </w:rPr>
        <w:t>].</w:t>
      </w:r>
    </w:p>
    <w:p w14:paraId="661CFEE2">
      <w:pPr>
        <w:widowControl w:val="0"/>
        <w:rPr>
          <w:rFonts w:cs="Times New Roman"/>
          <w:szCs w:val="28"/>
          <w:highlight w:val="none"/>
          <w:shd w:val="clear" w:color="auto" w:fill="FFFFFF"/>
        </w:rPr>
      </w:pPr>
      <w:r>
        <w:rPr>
          <w:rFonts w:cs="Times New Roman"/>
          <w:szCs w:val="28"/>
          <w:highlight w:val="none"/>
          <w:shd w:val="clear" w:color="auto" w:fill="FFFFFF"/>
        </w:rPr>
        <w:t>При цьому, визначаються й значні світові рівні економічних збитків, пов’язаних із ХГС. Так, в 2011 р. в США середня вартість витрат, пов’язаних із ВГС склала 64490 доларів США (46780–73190) на одного хворого пацієнта (загальна річна оціночна вартість – 6,5 млрд), яка до 2024 р. за прогнозами складе 9,1 млрд доларів США (дані рівні відповідають й Європейським показникам кошторису витрат від ХГС) [</w:t>
      </w:r>
      <w:r>
        <w:rPr>
          <w:rFonts w:cs="Times New Roman"/>
          <w:szCs w:val="28"/>
          <w:highlight w:val="none"/>
        </w:rPr>
        <w:t>13</w:t>
      </w:r>
      <w:r>
        <w:rPr>
          <w:rFonts w:cs="Times New Roman"/>
          <w:szCs w:val="28"/>
          <w:highlight w:val="none"/>
          <w:shd w:val="clear" w:color="auto" w:fill="FFFFFF"/>
        </w:rPr>
        <w:t>]. Слід вказати, що прямі витрати (стаціонарне та амбулаторне лікування, забезпечення терапевтичними засобами, витрати на медичне обладнання та реабілітацію й довготривалий догляд) становлять близько 1/3 загального економічного тягаря ХГС, а 2/3 складають непрямі витрати.</w:t>
      </w:r>
    </w:p>
    <w:p w14:paraId="1091776E">
      <w:pPr>
        <w:widowControl w:val="0"/>
        <w:rPr>
          <w:rFonts w:cs="Times New Roman"/>
          <w:szCs w:val="28"/>
          <w:highlight w:val="none"/>
        </w:rPr>
      </w:pPr>
      <w:r>
        <w:rPr>
          <w:rFonts w:cs="Times New Roman"/>
          <w:szCs w:val="28"/>
          <w:highlight w:val="none"/>
          <w:shd w:val="clear" w:color="auto" w:fill="FFFFFF"/>
        </w:rPr>
        <w:t xml:space="preserve">Окрім витрат на лікування та реабілітацію печінкових проявів при ХГС, значні витрати відзначаються й при лікуванні ППП ХГС. Так, в США розрахункова річна пряма вартість лікування ППП ХГС у 2014 р. склала 1,505 млрд доларів США, в країнах Євросоюзу загальна вартість лікування п’яти основних ППП склала від 22 до 145 млн євро на країну (найвищі – в Італії (145133371), а найнижчі – у Великобританії (22913784)). Крім того, щорічні немедичні додаткові витрати на ХГС у нелікованих хворих порівняно з особами без ХГС становили 4209 євро (від 280 (Великобританія) до 659 (Франція)) </w:t>
      </w:r>
      <w:r>
        <w:rPr>
          <w:rFonts w:cs="Times New Roman"/>
          <w:szCs w:val="28"/>
          <w:highlight w:val="none"/>
        </w:rPr>
        <w:t>[75, 76].</w:t>
      </w:r>
    </w:p>
    <w:p w14:paraId="423DF65E">
      <w:pPr>
        <w:widowControl w:val="0"/>
        <w:rPr>
          <w:rFonts w:eastAsia="Times New Roman" w:cs="Times New Roman"/>
          <w:szCs w:val="28"/>
          <w:highlight w:val="none"/>
          <w:lang w:eastAsia="ru-RU"/>
        </w:rPr>
      </w:pPr>
      <w:r>
        <w:rPr>
          <w:rFonts w:cs="Times New Roman"/>
          <w:szCs w:val="28"/>
          <w:highlight w:val="none"/>
        </w:rPr>
        <w:t xml:space="preserve">Слід вказати, </w:t>
      </w:r>
      <w:r>
        <w:rPr>
          <w:rFonts w:cs="Times New Roman"/>
          <w:szCs w:val="28"/>
          <w:highlight w:val="none"/>
          <w:shd w:val="clear" w:color="auto" w:fill="FFFFFF"/>
        </w:rPr>
        <w:t>що значним є й непрямий економічний тягар через втрату працездатності [</w:t>
      </w:r>
      <w:r>
        <w:rPr>
          <w:rFonts w:cs="Times New Roman"/>
          <w:szCs w:val="28"/>
          <w:highlight w:val="none"/>
        </w:rPr>
        <w:t>13</w:t>
      </w:r>
      <w:r>
        <w:rPr>
          <w:rFonts w:cs="Times New Roman"/>
          <w:szCs w:val="28"/>
          <w:highlight w:val="none"/>
          <w:shd w:val="clear" w:color="auto" w:fill="FFFFFF"/>
        </w:rPr>
        <w:t>]. Більшість працюючих інфікованих ВГС мають певний ступінь порушення працездатності. Так, оцінені річні витрати в США через зниження продуктивності праці становлять близько 7,1 млрд доларів США; в Європі – 2,6 млрд євро; а в Тайвані, Південній Кореї, Гонконзі та Сінгапурі – близько 0,5 млрд доларів США [</w:t>
      </w:r>
      <w:r>
        <w:rPr>
          <w:rStyle w:val="56"/>
          <w:rFonts w:cs="Times New Roman"/>
          <w:szCs w:val="28"/>
          <w:highlight w:val="none"/>
          <w:shd w:val="clear" w:color="auto" w:fill="FFFFFF"/>
        </w:rPr>
        <w:t>77</w:t>
      </w:r>
      <w:r>
        <w:rPr>
          <w:rFonts w:cs="Times New Roman"/>
          <w:szCs w:val="28"/>
          <w:highlight w:val="none"/>
          <w:shd w:val="clear" w:color="auto" w:fill="FFFFFF"/>
        </w:rPr>
        <w:t>].</w:t>
      </w:r>
    </w:p>
    <w:p w14:paraId="09C41912">
      <w:pPr>
        <w:rPr>
          <w:rFonts w:eastAsia="Times New Roman" w:cs="Times New Roman"/>
          <w:szCs w:val="28"/>
          <w:highlight w:val="none"/>
          <w:lang w:eastAsia="ru-RU"/>
        </w:rPr>
      </w:pPr>
    </w:p>
    <w:p w14:paraId="7D54B33F">
      <w:pPr>
        <w:pStyle w:val="3"/>
        <w:rPr>
          <w:highlight w:val="none"/>
        </w:rPr>
      </w:pPr>
      <w:bookmarkStart w:id="11" w:name="_Toc153923942"/>
      <w:r>
        <w:rPr>
          <w:highlight w:val="none"/>
        </w:rPr>
        <w:t>1.2 Патогенетичні та патофізіологічні механізми розвитку запалення печінки при хронічному гепатиті С</w:t>
      </w:r>
      <w:bookmarkEnd w:id="11"/>
    </w:p>
    <w:p w14:paraId="696BACC5">
      <w:pPr>
        <w:rPr>
          <w:rFonts w:cs="Times New Roman"/>
          <w:szCs w:val="28"/>
          <w:highlight w:val="none"/>
          <w:shd w:val="clear" w:color="auto" w:fill="FFFFFF"/>
        </w:rPr>
      </w:pPr>
    </w:p>
    <w:p w14:paraId="5938E791">
      <w:pPr>
        <w:rPr>
          <w:rFonts w:cs="Times New Roman"/>
          <w:szCs w:val="28"/>
          <w:highlight w:val="none"/>
          <w:shd w:val="clear" w:color="auto" w:fill="FFFFFF"/>
        </w:rPr>
      </w:pPr>
      <w:r>
        <w:rPr>
          <w:rFonts w:cs="Times New Roman"/>
          <w:szCs w:val="28"/>
          <w:highlight w:val="none"/>
          <w:lang w:eastAsia="ru-RU"/>
        </w:rPr>
        <w:t xml:space="preserve">Вірус гепатиту С є </w:t>
      </w:r>
      <w:r>
        <w:rPr>
          <w:rFonts w:cs="Times New Roman"/>
          <w:szCs w:val="28"/>
          <w:highlight w:val="none"/>
          <w:shd w:val="clear" w:color="auto" w:fill="FFFFFF"/>
        </w:rPr>
        <w:t xml:space="preserve">позитивним </w:t>
      </w:r>
      <w:r>
        <w:rPr>
          <w:rFonts w:cs="Times New Roman"/>
          <w:szCs w:val="28"/>
          <w:highlight w:val="none"/>
          <w:lang w:eastAsia="ru-RU"/>
        </w:rPr>
        <w:t xml:space="preserve">одноланцюговим РНК-вірусом [40] з оболонкою, який належить до роду </w:t>
      </w:r>
      <w:r>
        <w:rPr>
          <w:rStyle w:val="10"/>
          <w:rFonts w:cs="Times New Roman"/>
          <w:szCs w:val="28"/>
          <w:highlight w:val="none"/>
          <w:shd w:val="clear" w:color="auto" w:fill="FFFFFF"/>
        </w:rPr>
        <w:t xml:space="preserve">Hepacivirus </w:t>
      </w:r>
      <w:r>
        <w:rPr>
          <w:rFonts w:cs="Times New Roman"/>
          <w:szCs w:val="28"/>
          <w:highlight w:val="none"/>
          <w:shd w:val="clear" w:color="auto" w:fill="FFFFFF"/>
        </w:rPr>
        <w:t xml:space="preserve">родини </w:t>
      </w:r>
      <w:r>
        <w:rPr>
          <w:rStyle w:val="10"/>
          <w:rFonts w:cs="Times New Roman"/>
          <w:szCs w:val="28"/>
          <w:highlight w:val="none"/>
          <w:shd w:val="clear" w:color="auto" w:fill="FFFFFF"/>
        </w:rPr>
        <w:t>Flaviviridae</w:t>
      </w:r>
      <w:r>
        <w:rPr>
          <w:rFonts w:cs="Times New Roman"/>
          <w:szCs w:val="28"/>
          <w:highlight w:val="none"/>
          <w:lang w:eastAsia="ru-RU"/>
        </w:rPr>
        <w:t xml:space="preserve"> [43] </w:t>
      </w:r>
      <w:r>
        <w:rPr>
          <w:rFonts w:cs="Times New Roman"/>
          <w:szCs w:val="28"/>
          <w:highlight w:val="none"/>
          <w:shd w:val="clear" w:color="auto" w:fill="FFFFFF"/>
        </w:rPr>
        <w:t xml:space="preserve">розміром близько 9,6 кб. Геном </w:t>
      </w:r>
      <w:r>
        <w:rPr>
          <w:rFonts w:cs="Times New Roman"/>
          <w:szCs w:val="28"/>
          <w:highlight w:val="none"/>
          <w:lang w:eastAsia="ru-RU"/>
        </w:rPr>
        <w:t>вірусу гепатиту С</w:t>
      </w:r>
      <w:r>
        <w:rPr>
          <w:rFonts w:cs="Times New Roman"/>
          <w:szCs w:val="28"/>
          <w:highlight w:val="none"/>
          <w:shd w:val="clear" w:color="auto" w:fill="FFFFFF"/>
        </w:rPr>
        <w:t xml:space="preserve"> кодує три структурних (Core, E1 і E2) і сім неструктурних (NS) білків (NS1 або P7, NS2, NS3, NS4A, NS4B, NS5A і NS5B) [78] із близько 3000 амінокислот (серед яких генотипи 1, 2 і 3 є більш важливими ніж інші [79] і розщеплюється клітинними та вірусними протеазами.</w:t>
      </w:r>
    </w:p>
    <w:p w14:paraId="0634720D">
      <w:pPr>
        <w:rPr>
          <w:rFonts w:cs="Times New Roman"/>
          <w:szCs w:val="28"/>
          <w:highlight w:val="none"/>
          <w:lang w:eastAsia="ru-RU"/>
        </w:rPr>
      </w:pPr>
      <w:r>
        <w:rPr>
          <w:rFonts w:cs="Times New Roman"/>
          <w:szCs w:val="28"/>
          <w:highlight w:val="none"/>
          <w:lang w:eastAsia="ru-RU"/>
        </w:rPr>
        <w:t>Вірус гепатиту С є</w:t>
      </w:r>
      <w:r>
        <w:rPr>
          <w:rFonts w:cs="Times New Roman"/>
          <w:szCs w:val="28"/>
          <w:highlight w:val="none"/>
          <w:shd w:val="clear" w:color="auto" w:fill="FFFFFF"/>
        </w:rPr>
        <w:t xml:space="preserve"> </w:t>
      </w:r>
      <w:r>
        <w:rPr>
          <w:rFonts w:cs="Times New Roman"/>
          <w:szCs w:val="28"/>
          <w:highlight w:val="none"/>
          <w:lang w:eastAsia="ru-RU"/>
        </w:rPr>
        <w:t xml:space="preserve">гепатотропним вірусом, реплікація якого переважно проходить в гепатоцитах. Інкубаційний період триває 2–12 тижнів, після чого починається гостра фаза, яка здебільшого проходить безсимптомно та тривало лишається недіагностованою. В окремих випадках гостра фаза супроводжується виникненням жовтяниці та підвищенням аланін амінотрансферази (АЛТ). Суттєві відмінності в клінічній маніфестації та перебігу гепатиту С можна пояснити не лише генетичним різноманіттям збудника, а й ступенем імунної відповіді на інфекцію. </w:t>
      </w:r>
    </w:p>
    <w:p w14:paraId="7DDD0D78">
      <w:pPr>
        <w:rPr>
          <w:rFonts w:cs="Times New Roman"/>
          <w:szCs w:val="28"/>
          <w:highlight w:val="none"/>
        </w:rPr>
      </w:pPr>
      <w:r>
        <w:rPr>
          <w:rFonts w:cs="Times New Roman"/>
          <w:szCs w:val="28"/>
          <w:highlight w:val="none"/>
          <w:lang w:eastAsia="ru-RU"/>
        </w:rPr>
        <w:t>І</w:t>
      </w:r>
      <w:r>
        <w:rPr>
          <w:rFonts w:cs="Times New Roman"/>
          <w:szCs w:val="28"/>
          <w:highlight w:val="none"/>
          <w:shd w:val="clear" w:color="auto" w:fill="FFFFFF"/>
        </w:rPr>
        <w:t>мунна відповідь у печінці ініціюється паренхіматозними (гепатоцити), непаренхіматозними (клітини Купфера) і зірчастими клітинами печінки та імунними клітинами (макрофаги, тучні клітини, дендритні клітини та природні клітини-кілери), рекрутованими в печінку, що призводить до спонтанної ліквідації гострої інфекції ВГС [79].</w:t>
      </w:r>
      <w:r>
        <w:rPr>
          <w:rFonts w:cs="Times New Roman"/>
          <w:szCs w:val="28"/>
          <w:highlight w:val="none"/>
          <w:lang w:eastAsia="ru-RU"/>
        </w:rPr>
        <w:t xml:space="preserve"> </w:t>
      </w:r>
      <w:r>
        <w:rPr>
          <w:rFonts w:cs="Times New Roman"/>
          <w:szCs w:val="28"/>
          <w:highlight w:val="none"/>
          <w:shd w:val="clear" w:color="auto" w:fill="FFFFFF"/>
        </w:rPr>
        <w:t>Однак у 70,0–80,0 % хворих імунна відповідь повністю не спроможна усунути вірус гепатиту С під час гострої фази, що призводить до хронічної інфекції</w:t>
      </w:r>
      <w:r>
        <w:rPr>
          <w:rFonts w:cs="Times New Roman"/>
          <w:szCs w:val="28"/>
          <w:highlight w:val="none"/>
          <w:lang w:eastAsia="ru-RU"/>
        </w:rPr>
        <w:t xml:space="preserve"> (див. розділ 1.1.). </w:t>
      </w:r>
      <w:r>
        <w:rPr>
          <w:rFonts w:cs="Times New Roman"/>
          <w:szCs w:val="28"/>
          <w:highlight w:val="none"/>
          <w:shd w:val="clear" w:color="auto" w:fill="FFFFFF"/>
        </w:rPr>
        <w:t xml:space="preserve">ХГС (в свою чергу) призводить до запалення печінки, яке часто стимулює ФП (є наслідком реакції на безперервний процес регенерації пошкоджених тканин шляхом підтримки балансу між фіброгенезом і фібролізом) [80, 81], який (у свою чергу) переходить до ЦП. </w:t>
      </w:r>
      <w:r>
        <w:rPr>
          <w:rFonts w:cs="Times New Roman"/>
          <w:szCs w:val="28"/>
          <w:highlight w:val="none"/>
        </w:rPr>
        <w:t xml:space="preserve">ФП, пов’язаний з ХГС, провокує широкий спектр прогресування захворювання разом із зміною нормальної архітектури та функції печінки. Прогресування до ФП і ЦП відбувається в контексті хронічного запалення, яке розглядається як компенсаторна реакція відновлення на хронічне ураження гепатоцитів. </w:t>
      </w:r>
      <w:r>
        <w:rPr>
          <w:rFonts w:cs="Times New Roman"/>
          <w:szCs w:val="28"/>
          <w:highlight w:val="none"/>
          <w:shd w:val="clear" w:color="auto" w:fill="FFFFFF"/>
        </w:rPr>
        <w:t xml:space="preserve">Даний процес відзначається надмірним накопиченням білків позаклітинного матриксу (таких як колагенові волокна), що виділяються активованими зірчастими клітинами печінки, активація яких опосередковується за допомогою прозапальних цитокінів та хемокінів, що вивільняються з інфікованих гепатоцитів і макрофагів печінки. </w:t>
      </w:r>
      <w:r>
        <w:rPr>
          <w:rFonts w:cs="Times New Roman"/>
          <w:szCs w:val="28"/>
          <w:highlight w:val="none"/>
          <w:lang w:eastAsia="ru-RU"/>
        </w:rPr>
        <w:t xml:space="preserve">Патогенетично ФП та ЦП при інфікуванні ХГС у пацієнтів виникає як результат хронічного порушення процесів репарації [46], а ГЦК через виникнення геномних аберацій внаслідок численних регенеративних процесів [18]. </w:t>
      </w:r>
      <w:r>
        <w:rPr>
          <w:rFonts w:cs="Times New Roman"/>
          <w:szCs w:val="28"/>
          <w:highlight w:val="none"/>
          <w:shd w:val="clear" w:color="auto" w:fill="FFFFFF"/>
        </w:rPr>
        <w:t>Окрім цього, інфекція ХГС провокує експресію різних мікроРНК, які транспортуються до зірчастих клітин печінки через екзосоми, що вивільняються з інфікованих клітин, що (в свою чергу) призводить до розвитку прогресуючого патогенезу захворювання [72].</w:t>
      </w:r>
    </w:p>
    <w:p w14:paraId="61879A25">
      <w:pPr>
        <w:rPr>
          <w:rFonts w:cs="Times New Roman"/>
          <w:szCs w:val="28"/>
          <w:highlight w:val="none"/>
        </w:rPr>
      </w:pPr>
      <w:r>
        <w:rPr>
          <w:rFonts w:cs="Times New Roman"/>
          <w:szCs w:val="28"/>
          <w:highlight w:val="none"/>
          <w:lang w:eastAsia="ru-RU"/>
        </w:rPr>
        <w:t xml:space="preserve">Це підтверджується й Choi S. et al, </w:t>
      </w:r>
      <w:r>
        <w:rPr>
          <w:rFonts w:cs="Times New Roman"/>
          <w:szCs w:val="28"/>
          <w:highlight w:val="none"/>
        </w:rPr>
        <w:t>які визначили, що стимуляція хронічним запаленням гепатоцитів відбувається морфогенним шляхом Hh (Hedgehog), який призводить до накопичення колагену за рахунок активації колаген-продукуючих міофібробластів. Зазначений процес сприяє більш інтенсивному наростанню процесів фіброзування та запускає ще більшу активацію запалення за рахунок секреції протоковими клітинами низки хемо- та цитокінів. За рахунок останнього механізму відбувається залучення імунних клітин до паренхіми печінки, які в свою чергу, ще більше стимулюють активне запалення [46].</w:t>
      </w:r>
      <w:r>
        <w:rPr>
          <w:rFonts w:cs="Times New Roman"/>
          <w:szCs w:val="28"/>
          <w:highlight w:val="none"/>
          <w:lang w:eastAsia="ru-RU"/>
        </w:rPr>
        <w:t xml:space="preserve"> </w:t>
      </w:r>
      <w:r>
        <w:rPr>
          <w:rFonts w:cs="Times New Roman"/>
          <w:bCs/>
          <w:szCs w:val="28"/>
          <w:highlight w:val="none"/>
        </w:rPr>
        <w:t xml:space="preserve">Активація запалення при інфекції ХГС </w:t>
      </w:r>
      <w:r>
        <w:rPr>
          <w:rFonts w:cs="Times New Roman"/>
          <w:szCs w:val="28"/>
          <w:highlight w:val="none"/>
          <w:shd w:val="clear" w:color="auto" w:fill="FFFFFF"/>
        </w:rPr>
        <w:t xml:space="preserve">[79] відбувається за допомогою активації </w:t>
      </w:r>
      <w:r>
        <w:rPr>
          <w:rFonts w:cs="Times New Roman"/>
          <w:szCs w:val="28"/>
          <w:highlight w:val="none"/>
        </w:rPr>
        <w:t xml:space="preserve">інфламасоми (великий мультибілковий цитозольний комплекс, що сприймає внутрішньоклітинні сигнали небезпеки (мікробні патогени, запальні захворювання, ракові клітини, метаболічні та аутоімунні розлади тощо)) </w:t>
      </w:r>
      <w:r>
        <w:rPr>
          <w:rStyle w:val="10"/>
          <w:rFonts w:cs="Times New Roman"/>
          <w:szCs w:val="28"/>
          <w:highlight w:val="none"/>
        </w:rPr>
        <w:t xml:space="preserve">через </w:t>
      </w:r>
      <w:r>
        <w:rPr>
          <w:rFonts w:cs="Times New Roman"/>
          <w:szCs w:val="28"/>
          <w:highlight w:val="none"/>
        </w:rPr>
        <w:t>Nod-подібні рецептори (NLRP1, NLRP3, NLRC4 і AIM2) і стимулює продукування прозапальних цитокінів ІЛ-1β та ІЛ-18 [82], підвищення яких вказує на активацію інфламасоми під час інфекції ВГС [83].</w:t>
      </w:r>
    </w:p>
    <w:p w14:paraId="388980C4">
      <w:pPr>
        <w:rPr>
          <w:rFonts w:cs="Times New Roman"/>
          <w:szCs w:val="28"/>
          <w:highlight w:val="none"/>
        </w:rPr>
      </w:pPr>
      <w:r>
        <w:rPr>
          <w:rFonts w:cs="Times New Roman"/>
          <w:szCs w:val="28"/>
          <w:highlight w:val="none"/>
        </w:rPr>
        <w:t xml:space="preserve">Слід вказати, що активація інфламасоми та секреція зрілого ІЛ-1β та ІЛ-18 відбувається за допомогою інтеграції двох сигналів: перший виникає при виявленні вірусу </w:t>
      </w:r>
      <w:r>
        <w:rPr>
          <w:rFonts w:cs="Times New Roman"/>
          <w:szCs w:val="28"/>
          <w:highlight w:val="none"/>
          <w:shd w:val="clear" w:color="auto" w:fill="FFFFFF"/>
        </w:rPr>
        <w:t xml:space="preserve">Pattern Recognition </w:t>
      </w:r>
      <w:r>
        <w:rPr>
          <w:rStyle w:val="10"/>
          <w:rFonts w:cs="Times New Roman"/>
          <w:bCs/>
          <w:szCs w:val="28"/>
          <w:highlight w:val="none"/>
          <w:shd w:val="clear" w:color="auto" w:fill="FFFFFF"/>
        </w:rPr>
        <w:t>Receptors</w:t>
      </w:r>
      <w:r>
        <w:rPr>
          <w:rFonts w:cs="Times New Roman"/>
          <w:szCs w:val="28"/>
          <w:highlight w:val="none"/>
          <w:shd w:val="clear" w:color="auto" w:fill="FFFFFF"/>
        </w:rPr>
        <w:t xml:space="preserve"> </w:t>
      </w:r>
      <w:r>
        <w:rPr>
          <w:rFonts w:cs="Times New Roman"/>
          <w:szCs w:val="28"/>
          <w:highlight w:val="none"/>
        </w:rPr>
        <w:t xml:space="preserve">рецепторами </w:t>
      </w:r>
      <w:r>
        <w:rPr>
          <w:rFonts w:cs="Times New Roman"/>
          <w:szCs w:val="28"/>
          <w:highlight w:val="none"/>
          <w:shd w:val="clear" w:color="auto" w:fill="FFFFFF"/>
        </w:rPr>
        <w:t>(</w:t>
      </w:r>
      <w:r>
        <w:rPr>
          <w:rFonts w:cs="Times New Roman"/>
          <w:szCs w:val="28"/>
          <w:highlight w:val="none"/>
        </w:rPr>
        <w:t xml:space="preserve">PRR, </w:t>
      </w:r>
      <w:r>
        <w:rPr>
          <w:rFonts w:cs="Times New Roman"/>
          <w:szCs w:val="28"/>
          <w:highlight w:val="none"/>
          <w:shd w:val="clear" w:color="auto" w:fill="FFFFFF"/>
        </w:rPr>
        <w:t>рецептори розпізнавання патерну</w:t>
      </w:r>
      <w:r>
        <w:rPr>
          <w:rFonts w:cs="Times New Roman"/>
          <w:szCs w:val="28"/>
          <w:highlight w:val="none"/>
        </w:rPr>
        <w:t>) або рецептором цитокінів (призводить до активації я</w:t>
      </w:r>
      <w:r>
        <w:rPr>
          <w:rFonts w:cs="Times New Roman"/>
          <w:szCs w:val="28"/>
          <w:highlight w:val="none"/>
          <w:shd w:val="clear" w:color="auto" w:fill="FFFFFF"/>
        </w:rPr>
        <w:t>дерного фактору каппа-підсилювача легкого ланцюга активованих В-клітин</w:t>
      </w:r>
      <w:r>
        <w:rPr>
          <w:rFonts w:cs="Times New Roman"/>
          <w:szCs w:val="28"/>
          <w:highlight w:val="none"/>
        </w:rPr>
        <w:t xml:space="preserve"> (</w:t>
      </w:r>
      <w:r>
        <w:rPr>
          <w:rFonts w:cs="Times New Roman"/>
          <w:iCs/>
          <w:szCs w:val="28"/>
          <w:highlight w:val="none"/>
          <w:shd w:val="clear" w:color="auto" w:fill="FFFFFF"/>
        </w:rPr>
        <w:t>nuclear factor kappa-light-chain-enhancer of activated B cells, NF-kB</w:t>
      </w:r>
      <w:r>
        <w:rPr>
          <w:rFonts w:cs="Times New Roman"/>
          <w:szCs w:val="28"/>
          <w:highlight w:val="none"/>
        </w:rPr>
        <w:t xml:space="preserve">), в результаті чого відбувається посилення матричної РНК про-ІЛ-1β і про-ІЛ-18); другий викликає рекрутинг цитозольного адапторного білка </w:t>
      </w:r>
      <w:r>
        <w:rPr>
          <w:rFonts w:cs="Times New Roman"/>
          <w:szCs w:val="28"/>
          <w:highlight w:val="none"/>
          <w:shd w:val="clear" w:color="auto" w:fill="FFFFFF"/>
        </w:rPr>
        <w:t>(</w:t>
      </w:r>
      <w:r>
        <w:rPr>
          <w:rFonts w:cs="Times New Roman"/>
          <w:iCs/>
          <w:szCs w:val="28"/>
          <w:highlight w:val="none"/>
          <w:shd w:val="clear" w:color="auto" w:fill="FFFFFF"/>
        </w:rPr>
        <w:t xml:space="preserve">apoptosis-associated speck-like protein containing a CARD, апоптоз-ассоційований Speck-подібний білок, що містить CARD, </w:t>
      </w:r>
      <w:r>
        <w:rPr>
          <w:rFonts w:cs="Times New Roman"/>
          <w:bCs/>
          <w:szCs w:val="28"/>
          <w:highlight w:val="none"/>
          <w:shd w:val="clear" w:color="auto" w:fill="FFFFFF"/>
        </w:rPr>
        <w:t>ASC (PYCARD)</w:t>
      </w:r>
      <w:r>
        <w:rPr>
          <w:rFonts w:cs="Times New Roman"/>
          <w:szCs w:val="28"/>
          <w:highlight w:val="none"/>
          <w:shd w:val="clear" w:color="auto" w:fill="FFFFFF"/>
        </w:rPr>
        <w:t xml:space="preserve">) у відповідь на розпізнавання </w:t>
      </w:r>
      <w:r>
        <w:rPr>
          <w:rFonts w:cs="Times New Roman"/>
          <w:szCs w:val="28"/>
          <w:highlight w:val="none"/>
        </w:rPr>
        <w:t>NLRP3 вірусу гепатиту С ( в результаті відбувається індукція рекрутингу і автокаталітична активація каспази-1, яка трансформує цитозольні цитокіни ІЛ-1β та попередники ІЛ-18 у зрілі секреторні білки). Також, були повідомлення й про альтернативні механізми індукції запалення при ВГС, які можуть залежати від РНК ВГС і вторинних ефектів під час реплікації вірусу (генерація АФК, відтік калію та активність P7), які вказують, що моноцити та макрофаги є основними ефекторними клітинами, активованими інфламасомою після інфікування ВГС.</w:t>
      </w:r>
    </w:p>
    <w:p w14:paraId="003DCE36">
      <w:pPr>
        <w:rPr>
          <w:rFonts w:cs="Times New Roman"/>
          <w:szCs w:val="28"/>
          <w:highlight w:val="none"/>
        </w:rPr>
      </w:pPr>
      <w:r>
        <w:rPr>
          <w:rFonts w:cs="Times New Roman"/>
          <w:szCs w:val="28"/>
          <w:highlight w:val="none"/>
        </w:rPr>
        <w:t xml:space="preserve">При цьому, різні автори відзначають дещо відмінні механізми активації інфламасоми інфекцією ВГС. Так, визначається можливість індукції активації запалення і секреції ІЛ-18 і ІЛ-1β в моноцитах і макрофагах шляхом розпізнавання вірусної одноланцюгової РНК </w:t>
      </w:r>
      <w:r>
        <w:rPr>
          <w:rFonts w:cs="Times New Roman"/>
          <w:szCs w:val="28"/>
          <w:highlight w:val="none"/>
          <w:shd w:val="clear" w:color="auto" w:fill="FFFFFF"/>
        </w:rPr>
        <w:t xml:space="preserve">Toll-подібними рецепторами (Toll-liked receptors, </w:t>
      </w:r>
      <w:r>
        <w:rPr>
          <w:rStyle w:val="10"/>
          <w:rFonts w:cs="Times New Roman"/>
          <w:bCs/>
          <w:szCs w:val="28"/>
          <w:highlight w:val="none"/>
          <w:shd w:val="clear" w:color="auto" w:fill="FFFFFF"/>
        </w:rPr>
        <w:t>TLR</w:t>
      </w:r>
      <w:r>
        <w:rPr>
          <w:rStyle w:val="10"/>
          <w:rFonts w:cs="Times New Roman"/>
          <w:b/>
          <w:bCs/>
          <w:szCs w:val="28"/>
          <w:highlight w:val="none"/>
          <w:shd w:val="clear" w:color="auto" w:fill="FFFFFF"/>
        </w:rPr>
        <w:t>)</w:t>
      </w:r>
      <w:r>
        <w:rPr>
          <w:rStyle w:val="10"/>
          <w:rFonts w:cs="Times New Roman"/>
          <w:bCs/>
          <w:szCs w:val="28"/>
          <w:highlight w:val="none"/>
          <w:shd w:val="clear" w:color="auto" w:fill="FFFFFF"/>
        </w:rPr>
        <w:t xml:space="preserve">-7 </w:t>
      </w:r>
      <w:r>
        <w:rPr>
          <w:rFonts w:cs="Times New Roman"/>
          <w:szCs w:val="28"/>
          <w:highlight w:val="none"/>
        </w:rPr>
        <w:t xml:space="preserve">без стимуляції запалення і продукування цитокінів лімфоцитами, дендритними клітинами або гепатоцитами. Інші дослідження визначають відсутність активації запалення в клітинах Huh-7, інфікованих ВГС або індукування секреції ІЛ-1β у клітинах Huh-7.5 </w:t>
      </w:r>
      <w:r>
        <w:rPr>
          <w:rStyle w:val="10"/>
          <w:rFonts w:cs="Times New Roman"/>
          <w:szCs w:val="28"/>
          <w:highlight w:val="none"/>
        </w:rPr>
        <w:t xml:space="preserve">через </w:t>
      </w:r>
      <w:r>
        <w:rPr>
          <w:rFonts w:cs="Times New Roman"/>
          <w:szCs w:val="28"/>
          <w:highlight w:val="none"/>
        </w:rPr>
        <w:t xml:space="preserve">індукцію збірки комплексу запалення за допомогою NLRP3, ASC і каспази-1. Деякі дослідження вказали й на можливість моноцитів, трансфікованих РНК ВГС і макрофагів, отриманих від </w:t>
      </w:r>
      <w:r>
        <w:rPr>
          <w:rFonts w:cs="Times New Roman"/>
          <w:szCs w:val="28"/>
          <w:highlight w:val="none"/>
          <w:shd w:val="clear" w:color="auto" w:fill="FFFFFF"/>
        </w:rPr>
        <w:t xml:space="preserve">моноцитоподібних клітин лінії </w:t>
      </w:r>
      <w:r>
        <w:rPr>
          <w:rFonts w:cs="Times New Roman"/>
          <w:szCs w:val="28"/>
          <w:highlight w:val="none"/>
        </w:rPr>
        <w:t>THP-1 активувати інфламасому через NLRP3 залежно від активних форм кисню (АФК) (процес не залежить від гена 1, індукованого ретиноєвою кислотою).</w:t>
      </w:r>
    </w:p>
    <w:p w14:paraId="2EDD4F24">
      <w:pPr>
        <w:rPr>
          <w:rFonts w:cs="Times New Roman"/>
          <w:szCs w:val="28"/>
          <w:highlight w:val="none"/>
        </w:rPr>
      </w:pPr>
      <w:r>
        <w:rPr>
          <w:rFonts w:cs="Times New Roman"/>
          <w:szCs w:val="28"/>
          <w:highlight w:val="none"/>
        </w:rPr>
        <w:t xml:space="preserve">Надмірне накопичення </w:t>
      </w:r>
      <w:r>
        <w:rPr>
          <w:rFonts w:cs="Times New Roman"/>
          <w:bCs/>
          <w:szCs w:val="28"/>
          <w:highlight w:val="none"/>
        </w:rPr>
        <w:t xml:space="preserve">АФК відбувається при загостренні запальної відповіді через виникаючий стрес ендосироватцатичного ретикулуму й оксидативний </w:t>
      </w:r>
      <w:r>
        <w:rPr>
          <w:rFonts w:cs="Times New Roman"/>
          <w:szCs w:val="28"/>
          <w:highlight w:val="none"/>
          <w:shd w:val="clear" w:color="auto" w:fill="FFFFFF"/>
        </w:rPr>
        <w:t xml:space="preserve">[79]. Виникаючий </w:t>
      </w:r>
      <w:r>
        <w:rPr>
          <w:rFonts w:cs="Times New Roman"/>
          <w:szCs w:val="28"/>
          <w:highlight w:val="none"/>
        </w:rPr>
        <w:t>окислювальний стрес відзначається надмірним накопиченням АФК, основним джерелом яких є мітохондрії, значну кількість яких мають гепатоцити. Окислювальний стрес при ВГС виникає через експресію білків ВГС і подальшої зміни активності окислювальних ферментів та виснаження антиоксидантів і послідуюче хронічне запалення [84]. При цьому відбувається надлишкове накопичення АФК, що провокує активацію сигнальних факторів фосфоінозитид-3-кінази, Янус-кінази, сигнальних шляхів MAPK (</w:t>
      </w:r>
      <w:r>
        <w:rPr>
          <w:rFonts w:cs="Times New Roman"/>
          <w:szCs w:val="28"/>
          <w:highlight w:val="none"/>
          <w:shd w:val="clear" w:color="auto" w:fill="FFFFFF"/>
        </w:rPr>
        <w:t>mitogen-activated protein kinase, мітоген-активуєма протеїнкиназа</w:t>
      </w:r>
      <w:r>
        <w:rPr>
          <w:rFonts w:cs="Times New Roman"/>
          <w:szCs w:val="28"/>
          <w:highlight w:val="none"/>
        </w:rPr>
        <w:t>) або фактора транскрипції NF-κB, та наступних білків: білка-активатора-1 (AP-1), STAT3 (</w:t>
      </w:r>
      <w:r>
        <w:rPr>
          <w:rFonts w:cs="Times New Roman"/>
          <w:szCs w:val="28"/>
          <w:highlight w:val="none"/>
          <w:shd w:val="clear" w:color="auto" w:fill="FFFFFF"/>
        </w:rPr>
        <w:t>Signal transducer and activator of transcription 3</w:t>
      </w:r>
      <w:r>
        <w:rPr>
          <w:rFonts w:cs="Times New Roman"/>
          <w:szCs w:val="28"/>
          <w:highlight w:val="none"/>
        </w:rPr>
        <w:t xml:space="preserve">), HIF-1α </w:t>
      </w:r>
      <w:r>
        <w:rPr>
          <w:rFonts w:cs="Times New Roman"/>
          <w:szCs w:val="28"/>
          <w:highlight w:val="none"/>
          <w:shd w:val="clear" w:color="auto" w:fill="FFFFFF"/>
        </w:rPr>
        <w:t>(</w:t>
      </w:r>
      <w:r>
        <w:rPr>
          <w:rStyle w:val="10"/>
          <w:rFonts w:cs="Times New Roman"/>
          <w:bCs/>
          <w:szCs w:val="28"/>
          <w:highlight w:val="none"/>
          <w:shd w:val="clear" w:color="auto" w:fill="FFFFFF"/>
        </w:rPr>
        <w:t>Hypoxia inducible factor 1</w:t>
      </w:r>
      <w:r>
        <w:rPr>
          <w:rStyle w:val="10"/>
          <w:rFonts w:cs="Times New Roman"/>
          <w:b/>
          <w:bCs/>
          <w:szCs w:val="28"/>
          <w:highlight w:val="none"/>
          <w:shd w:val="clear" w:color="auto" w:fill="FFFFFF"/>
        </w:rPr>
        <w:t xml:space="preserve"> </w:t>
      </w:r>
      <w:r>
        <w:rPr>
          <w:rFonts w:cs="Times New Roman"/>
          <w:szCs w:val="28"/>
          <w:highlight w:val="none"/>
          <w:shd w:val="clear" w:color="auto" w:fill="FFFFFF"/>
        </w:rPr>
        <w:t>alpha subunit)</w:t>
      </w:r>
      <w:r>
        <w:rPr>
          <w:rFonts w:cs="Times New Roman"/>
          <w:szCs w:val="28"/>
          <w:highlight w:val="none"/>
        </w:rPr>
        <w:t>, PPAR-γ (</w:t>
      </w:r>
      <w:r>
        <w:rPr>
          <w:rFonts w:cs="Times New Roman"/>
          <w:szCs w:val="28"/>
          <w:highlight w:val="none"/>
          <w:shd w:val="clear" w:color="auto" w:fill="FFFFFF"/>
        </w:rPr>
        <w:t>Peroxisome proliferator activated receptor gamma)</w:t>
      </w:r>
      <w:r>
        <w:rPr>
          <w:rFonts w:cs="Times New Roman"/>
          <w:szCs w:val="28"/>
          <w:highlight w:val="none"/>
        </w:rPr>
        <w:t xml:space="preserve"> і Nrf2 (Redox Sensitive Transcription Factor), що (в свою чергу) індукує запальні та імунні відповіді [85–88</w:t>
      </w:r>
      <w:r>
        <w:rPr>
          <w:highlight w:val="none"/>
        </w:rPr>
        <w:fldChar w:fldCharType="begin"/>
      </w:r>
      <w:r>
        <w:rPr>
          <w:highlight w:val="none"/>
        </w:rPr>
        <w:instrText xml:space="preserve"> HYPERLINK "https://www.ncbi.nlm.nih.gov/pmc/articles/PMC6305530/" \l "B62" </w:instrText>
      </w:r>
      <w:r>
        <w:rPr>
          <w:highlight w:val="none"/>
        </w:rPr>
        <w:fldChar w:fldCharType="separate"/>
      </w:r>
      <w:r>
        <w:rPr>
          <w:rStyle w:val="65"/>
          <w:rFonts w:cs="Times New Roman"/>
          <w:szCs w:val="28"/>
          <w:highlight w:val="none"/>
        </w:rPr>
        <w:t>]</w:t>
      </w:r>
      <w:r>
        <w:rPr>
          <w:rStyle w:val="65"/>
          <w:rFonts w:cs="Times New Roman"/>
          <w:szCs w:val="28"/>
          <w:highlight w:val="none"/>
        </w:rPr>
        <w:fldChar w:fldCharType="end"/>
      </w:r>
      <w:r>
        <w:rPr>
          <w:rStyle w:val="65"/>
          <w:rFonts w:cs="Times New Roman"/>
          <w:szCs w:val="28"/>
          <w:highlight w:val="none"/>
        </w:rPr>
        <w:t xml:space="preserve">. Даний процес відбувається через взаємодію </w:t>
      </w:r>
      <w:r>
        <w:rPr>
          <w:rFonts w:cs="Times New Roman"/>
          <w:szCs w:val="28"/>
          <w:highlight w:val="none"/>
        </w:rPr>
        <w:t>білка ВГС з мітохондріальним білком-шапероном прогібітином, що провокує порушення функції дихального ланцюга мітохондрій і супроводжується надлишковим виробництвом АФК. В свою чергу, внутрішньоклітинна експресія неструктурних білків E1, E2, NS3 і NS5A також значно збільшує рівень АФК через підвищення внутрішньоклітинного надходження кальцію та зниження мітохондріального трансмембранного потенціалу.</w:t>
      </w:r>
    </w:p>
    <w:p w14:paraId="6C7350F0">
      <w:pPr>
        <w:rPr>
          <w:rFonts w:cs="Times New Roman"/>
          <w:szCs w:val="28"/>
          <w:highlight w:val="none"/>
        </w:rPr>
      </w:pPr>
      <w:r>
        <w:rPr>
          <w:rFonts w:cs="Times New Roman"/>
          <w:szCs w:val="28"/>
          <w:highlight w:val="none"/>
        </w:rPr>
        <w:t>Слід вказати, що експресія білка ВГС також супроводжується сильним стресом ендосироватцатичного ретикулуму (Endoplasmic Reticulum, ER). При цьому, структурні та NS-білки ВГС безперервно переробляються мембранними структурами ER, що порушує нормальне функціонування ER і провокує розвиток стресу ER. Відзначається, що існує взаємодія між розвитком стресу ER і запаленням (стрес ER може одночасно бути й тригером і наслідком хронічного запалення у відповідь на інфекцію ВГС). Так, стрес ER і оксидативний активують запальну відповідь при ВГС через те, що експресія NS5A білка ВГС в ER запускає стрес ER, що провокує активацію STAT3 і NF-κB (сигнальні шляхи, чутливі до мітохондріальних інгібіторів поглинання кальцію, хелаторів кальцію та антиоксидантів). Окрім цього, значний стрес ER провокує активацію сигнальних шляхів протеїнкіназ JNK/AKT (</w:t>
      </w:r>
      <w:r>
        <w:rPr>
          <w:rFonts w:cs="Times New Roman"/>
          <w:szCs w:val="28"/>
          <w:highlight w:val="none"/>
          <w:shd w:val="clear" w:color="auto" w:fill="FFFFFF"/>
        </w:rPr>
        <w:t xml:space="preserve">Jun N-термінальні </w:t>
      </w:r>
      <w:r>
        <w:rPr>
          <w:rStyle w:val="10"/>
          <w:rFonts w:cs="Times New Roman"/>
          <w:bCs/>
          <w:szCs w:val="28"/>
          <w:highlight w:val="none"/>
          <w:shd w:val="clear" w:color="auto" w:fill="FFFFFF"/>
        </w:rPr>
        <w:t>протеїнкінази</w:t>
      </w:r>
      <w:r>
        <w:rPr>
          <w:rStyle w:val="10"/>
          <w:rFonts w:cs="Times New Roman"/>
          <w:b/>
          <w:bCs/>
          <w:szCs w:val="28"/>
          <w:highlight w:val="none"/>
          <w:shd w:val="clear" w:color="auto" w:fill="FFFFFF"/>
        </w:rPr>
        <w:t xml:space="preserve"> (</w:t>
      </w:r>
      <w:r>
        <w:rPr>
          <w:rFonts w:cs="Times New Roman"/>
          <w:szCs w:val="28"/>
          <w:highlight w:val="none"/>
        </w:rPr>
        <w:t>JNK</w:t>
      </w:r>
      <w:r>
        <w:rPr>
          <w:rStyle w:val="10"/>
          <w:rFonts w:cs="Times New Roman"/>
          <w:bCs/>
          <w:szCs w:val="28"/>
          <w:highlight w:val="none"/>
          <w:shd w:val="clear" w:color="auto" w:fill="FFFFFF"/>
        </w:rPr>
        <w:t>)/П</w:t>
      </w:r>
      <w:r>
        <w:rPr>
          <w:rFonts w:cs="Times New Roman"/>
          <w:szCs w:val="28"/>
          <w:highlight w:val="none"/>
          <w:shd w:val="clear" w:color="auto" w:fill="FFFFFF"/>
        </w:rPr>
        <w:t xml:space="preserve">ротеїнкінази В (Akt)) </w:t>
      </w:r>
      <w:r>
        <w:rPr>
          <w:rFonts w:cs="Times New Roman"/>
          <w:szCs w:val="28"/>
          <w:highlight w:val="none"/>
        </w:rPr>
        <w:t>і фосфорилює NF-κB протеїн IκB кіназу (</w:t>
      </w:r>
      <w:r>
        <w:rPr>
          <w:rFonts w:cs="Times New Roman"/>
          <w:szCs w:val="28"/>
          <w:highlight w:val="none"/>
          <w:shd w:val="clear" w:color="auto" w:fill="FFFFFF"/>
        </w:rPr>
        <w:t>inhibitor of NF-κB) kinase,</w:t>
      </w:r>
      <w:r>
        <w:rPr>
          <w:rFonts w:cs="Times New Roman"/>
          <w:szCs w:val="28"/>
          <w:highlight w:val="none"/>
        </w:rPr>
        <w:t xml:space="preserve"> IKK), що призводить до розщеплення IκBα та активації NF-κB, що провокує розвиток запалення. У свою чергу, фактори запалення провокують посилення стресу ER та окислювального стресу (наприклад за допомогою індукції фактору некрозу пухлини-α (</w:t>
      </w:r>
      <w:r>
        <w:rPr>
          <w:rStyle w:val="10"/>
          <w:rFonts w:cs="Times New Roman"/>
          <w:bCs/>
          <w:szCs w:val="28"/>
          <w:highlight w:val="none"/>
          <w:shd w:val="clear" w:color="auto" w:fill="FFFFFF"/>
        </w:rPr>
        <w:t>Tumor necrosis factor</w:t>
      </w:r>
      <w:r>
        <w:rPr>
          <w:rStyle w:val="10"/>
          <w:rFonts w:cs="Times New Roman"/>
          <w:b/>
          <w:bCs/>
          <w:szCs w:val="28"/>
          <w:highlight w:val="none"/>
          <w:shd w:val="clear" w:color="auto" w:fill="FFFFFF"/>
        </w:rPr>
        <w:t>-</w:t>
      </w:r>
      <w:r>
        <w:rPr>
          <w:rFonts w:cs="Times New Roman"/>
          <w:szCs w:val="28"/>
          <w:highlight w:val="none"/>
        </w:rPr>
        <w:t>α</w:t>
      </w:r>
      <w:r>
        <w:rPr>
          <w:rStyle w:val="10"/>
          <w:rFonts w:cs="Times New Roman"/>
          <w:b/>
          <w:bCs/>
          <w:szCs w:val="28"/>
          <w:highlight w:val="none"/>
          <w:shd w:val="clear" w:color="auto" w:fill="FFFFFF"/>
        </w:rPr>
        <w:t>,</w:t>
      </w:r>
      <w:r>
        <w:rPr>
          <w:rFonts w:cs="Times New Roman"/>
          <w:szCs w:val="28"/>
          <w:highlight w:val="none"/>
        </w:rPr>
        <w:t xml:space="preserve"> TNF-α) внутрішньоклітинної надмірної генерації АФК, що провокує індукцію стресу ER та збільшення залежним від оксиду азоту способом ІЛ-1β і TNF-α стресу ER [89]. Таким чином, інфікування ВГС провокує розвиток стресу ER і порушує мітохондріальну передачу сигналів і цитозольний окисно-відновний гомеостаз, викликаючи окислювальний стрес і запалення. Тому, стрес ER і окислювальний окремо або одночасно стимулюють та загострюють запальні реакції. Таким чином, процеси стресу ER і окисного стресу взаємодіють один з одним і відіграють ключову роль у місцевих і системних запальних реакціях, які проявляються певними клініко-лабораторними проявами, що й може бути використано для ранньої діагностики недавно перенесеного ВГС, ХГС та реінфекції ВГС.</w:t>
      </w:r>
    </w:p>
    <w:p w14:paraId="40A7434B">
      <w:pPr>
        <w:rPr>
          <w:rFonts w:cs="Times New Roman"/>
          <w:szCs w:val="28"/>
          <w:highlight w:val="none"/>
        </w:rPr>
      </w:pPr>
    </w:p>
    <w:p w14:paraId="07CA3151">
      <w:pPr>
        <w:pStyle w:val="3"/>
        <w:rPr>
          <w:highlight w:val="none"/>
        </w:rPr>
      </w:pPr>
      <w:bookmarkStart w:id="12" w:name="_Toc153923943"/>
      <w:r>
        <w:rPr>
          <w:highlight w:val="none"/>
        </w:rPr>
        <w:t>1.3 Діагностичні принципи визначення гепатиту С</w:t>
      </w:r>
      <w:bookmarkEnd w:id="12"/>
    </w:p>
    <w:p w14:paraId="0D0C6144">
      <w:pPr>
        <w:rPr>
          <w:rFonts w:cs="Times New Roman"/>
          <w:bCs/>
          <w:szCs w:val="28"/>
          <w:highlight w:val="none"/>
        </w:rPr>
      </w:pPr>
    </w:p>
    <w:p w14:paraId="758A05F1">
      <w:pPr>
        <w:rPr>
          <w:rFonts w:cs="Times New Roman"/>
          <w:szCs w:val="28"/>
          <w:highlight w:val="none"/>
          <w:shd w:val="clear" w:color="auto" w:fill="FCFCFC"/>
        </w:rPr>
      </w:pPr>
      <w:r>
        <w:rPr>
          <w:rFonts w:cs="Times New Roman"/>
          <w:szCs w:val="28"/>
          <w:highlight w:val="none"/>
        </w:rPr>
        <w:t>Як вже вказувалося вище (див. розділ 1.1) в</w:t>
      </w:r>
      <w:r>
        <w:rPr>
          <w:rFonts w:cs="Times New Roman"/>
          <w:szCs w:val="28"/>
          <w:highlight w:val="none"/>
          <w:shd w:val="clear" w:color="auto" w:fill="FFFFFF"/>
        </w:rPr>
        <w:t xml:space="preserve"> 2016 р. ВООЗ розробила план дій та впровадила глобальну стратегію ліквідації ВГС як загрози громадському здоров’ю до 2030 р. </w:t>
      </w:r>
      <w:r>
        <w:rPr>
          <w:rFonts w:cs="Times New Roman"/>
          <w:szCs w:val="28"/>
          <w:highlight w:val="none"/>
        </w:rPr>
        <w:t xml:space="preserve">[90, 91]. Одними з основних </w:t>
      </w:r>
      <w:r>
        <w:rPr>
          <w:rFonts w:cs="Times New Roman"/>
          <w:szCs w:val="28"/>
          <w:highlight w:val="none"/>
          <w:shd w:val="clear" w:color="auto" w:fill="FFFFFF"/>
        </w:rPr>
        <w:t xml:space="preserve">елементів цього плану є покращення діагностування та доступу до медичного забезпечення </w:t>
      </w:r>
      <w:r>
        <w:rPr>
          <w:rFonts w:cs="Times New Roman"/>
          <w:szCs w:val="28"/>
          <w:highlight w:val="none"/>
        </w:rPr>
        <w:t>[92]. На жаль, на сьогодні в повній мірі лише 9 світових країн успішно виконують розроблені стратегії щодо ліквідації ВГС до 2030 р. [93</w:t>
      </w:r>
      <w:r>
        <w:rPr>
          <w:highlight w:val="none"/>
        </w:rPr>
        <w:fldChar w:fldCharType="begin"/>
      </w:r>
      <w:r>
        <w:rPr>
          <w:highlight w:val="none"/>
        </w:rPr>
        <w:instrText xml:space="preserve"> HYPERLINK "https://link.springer.com/article/10.1007/s42399-020-00588-3" \l "ref-CR10" \o "Полярна обсерваторія.  Авторитетний ресурс для епідеміологічних даних, інструментів моделювання, навчання та аналізу рішень для підтримки глобальної ліквідації гепатиту B і C до 2030 року. Доступно за адресою: http://www.hepbunited.org/assets/Webinar-Slides/8b" </w:instrText>
      </w:r>
      <w:r>
        <w:rPr>
          <w:highlight w:val="none"/>
        </w:rPr>
        <w:fldChar w:fldCharType="separate"/>
      </w:r>
      <w:r>
        <w:rPr>
          <w:rStyle w:val="11"/>
          <w:rFonts w:cs="Times New Roman"/>
          <w:color w:val="auto"/>
          <w:szCs w:val="28"/>
          <w:highlight w:val="none"/>
        </w:rPr>
        <w:t>]</w:t>
      </w:r>
      <w:r>
        <w:rPr>
          <w:rStyle w:val="11"/>
          <w:rFonts w:cs="Times New Roman"/>
          <w:color w:val="auto"/>
          <w:szCs w:val="28"/>
          <w:highlight w:val="none"/>
        </w:rPr>
        <w:fldChar w:fldCharType="end"/>
      </w:r>
      <w:r>
        <w:rPr>
          <w:rStyle w:val="11"/>
          <w:rFonts w:cs="Times New Roman"/>
          <w:color w:val="auto"/>
          <w:szCs w:val="28"/>
          <w:highlight w:val="none"/>
        </w:rPr>
        <w:t xml:space="preserve">, хоча </w:t>
      </w:r>
      <w:r>
        <w:rPr>
          <w:rFonts w:cs="Times New Roman"/>
          <w:szCs w:val="28"/>
          <w:highlight w:val="none"/>
        </w:rPr>
        <w:t xml:space="preserve">в цілому 124 країни з 194 розробили ефективні плани дій для досягнення цієї мети, але більш ніж 40,0 % національних планів не були підкріплені відповідними бюджетними спрямуваннями [94]. З огляду на це, на сьогодні необхідно значно покращити діагностичні підходи, щоб збільшити раннє виявлення інфекції ВГС та посилити взаємозв’язки служб догляду та лікування ВГС [95]. </w:t>
      </w:r>
    </w:p>
    <w:p w14:paraId="31EE8635">
      <w:pPr>
        <w:rPr>
          <w:rFonts w:cs="Times New Roman"/>
          <w:szCs w:val="28"/>
          <w:highlight w:val="none"/>
        </w:rPr>
      </w:pPr>
      <w:r>
        <w:rPr>
          <w:rFonts w:cs="Times New Roman"/>
          <w:szCs w:val="28"/>
          <w:highlight w:val="none"/>
        </w:rPr>
        <w:t xml:space="preserve">Дані заходи слід впроваджувати ще й через те, що на сьогодні у всьому світі менше за 5,0 % осіб з ХГС знають про свій статус [96], а </w:t>
      </w:r>
      <w:r>
        <w:rPr>
          <w:rFonts w:cs="Times New Roman"/>
          <w:szCs w:val="28"/>
          <w:highlight w:val="none"/>
        </w:rPr>
        <w:t>безсимптомний у більшості випадків характер перебігу ВГС і повільне її прогресування вимагають збільшення обсягів ідентифікації таких осіб.</w:t>
      </w:r>
      <w:r>
        <w:rPr>
          <w:rFonts w:cs="Times New Roman"/>
          <w:szCs w:val="28"/>
          <w:highlight w:val="none"/>
        </w:rPr>
        <w:t xml:space="preserve"> Ефективне їх виявлення можливе </w:t>
      </w:r>
      <w:r>
        <w:rPr>
          <w:rFonts w:cs="Times New Roman"/>
          <w:szCs w:val="28"/>
          <w:highlight w:val="none"/>
        </w:rPr>
        <w:t>за допомогою проведення скринінгу</w:t>
      </w:r>
      <w:r>
        <w:rPr>
          <w:rFonts w:cs="Times New Roman"/>
          <w:szCs w:val="28"/>
          <w:highlight w:val="none"/>
        </w:rPr>
        <w:t xml:space="preserve"> певним категоріям населенення</w:t>
      </w:r>
      <w:r>
        <w:rPr>
          <w:rFonts w:cs="Times New Roman"/>
          <w:szCs w:val="28"/>
          <w:highlight w:val="none"/>
        </w:rPr>
        <w:t xml:space="preserve">, що й підтерджують фахівці </w:t>
      </w:r>
      <w:r>
        <w:rPr>
          <w:rFonts w:cs="Times New Roman"/>
          <w:szCs w:val="28"/>
          <w:highlight w:val="none"/>
        </w:rPr>
        <w:t>Європейської асоціації з вивчення печінки [4], які визначають, що з урахуванням нових ефективних терапевтичних можливостей лікування ВГС, спрямування зусиль щодо елімінації інфекції ВГС необхідно спрямувати на збільшення обсягів скринінгу, діагностичні стратегії та більш широкий доступ до лікування для інфікованих. Для цього ефективно використовуються швидкі пероральні тести на антитіла до ВГС, рефлекторне тестування на нуклеїнові кислоти та тести на коровий антиген ВГС. Проведення даних тестів для осіб із ризиком інфікування ВГС спроможне збільшити кількість осіб, які будуть володіти інформацією щодо свого серологічного статусу [97].</w:t>
      </w:r>
    </w:p>
    <w:p w14:paraId="5ACEDD1C">
      <w:pPr>
        <w:rPr>
          <w:rFonts w:cs="Times New Roman"/>
          <w:szCs w:val="28"/>
          <w:highlight w:val="none"/>
        </w:rPr>
      </w:pPr>
      <w:r>
        <w:rPr>
          <w:rFonts w:cs="Times New Roman"/>
          <w:szCs w:val="28"/>
          <w:highlight w:val="none"/>
        </w:rPr>
        <w:t>Доцільність проведення скринінгу була підтверджена Канадською асоціацією з вивчення печінки [</w:t>
      </w:r>
      <w:r>
        <w:rPr>
          <w:rFonts w:cs="Times New Roman"/>
          <w:bCs/>
          <w:szCs w:val="28"/>
          <w:highlight w:val="none"/>
        </w:rPr>
        <w:t>2</w:t>
      </w:r>
      <w:r>
        <w:rPr>
          <w:rFonts w:cs="Times New Roman"/>
          <w:szCs w:val="28"/>
          <w:highlight w:val="none"/>
        </w:rPr>
        <w:t xml:space="preserve">], яка визначила економічну ефективність стратегії одноразового скринінгу всіх осіб, народжених між 1945 і 1975 роками. При цьому, </w:t>
      </w:r>
      <w:r>
        <w:rPr>
          <w:rFonts w:cs="Times New Roman"/>
          <w:szCs w:val="28"/>
          <w:highlight w:val="none"/>
        </w:rPr>
        <w:t>CDC рекомендує проводити скринінг дорослим, які народилися за 1945–1965 рр. (бебі-бумери; хоча б одноразово без урахування наявних факторів ризику); споживачам ін’єкційних наркотиків; особам, що отримували препарати факторів згортання крові (вироблених до 1987 р.); хворим після тривалого гемодіалізу та особам з постійними відхиленнями від нормативних показників рівнів АЛТ чи хворим із ВІЛ-інфекцією; особам, яким раніше виконувалося переливання крові або трансплантація органів, включно з пацієнтами, яких повідомлено про отримання крові від донора, який пізніше отримав позитивний результат на ВГС, або яким перелито кров (чи її компоненти) або проведено трансплантацію органів до липня 1992 р.; особам після контакту шкіри або слизових з голками або гострими предметами, зараженими ВГС-позитивною кров’ю; пацієнтам, які могли зазнати впливу ВГС протягом останніх 6 місяців (тест на РНК ВГС).</w:t>
      </w:r>
    </w:p>
    <w:p w14:paraId="70A47E4C">
      <w:pPr>
        <w:rPr>
          <w:rFonts w:cs="Times New Roman"/>
          <w:szCs w:val="28"/>
          <w:highlight w:val="none"/>
        </w:rPr>
      </w:pPr>
      <w:r>
        <w:rPr>
          <w:rFonts w:cs="Times New Roman"/>
          <w:szCs w:val="28"/>
          <w:highlight w:val="none"/>
        </w:rPr>
        <w:t>Згідно з Американською асоціацією з вивчення захворювань печінки (American Association for the Study of Liver Diseases) та Товариства інфекціоністів Америки (Infectious Diseases Society of America) [98] тести на ВГС рекомендовано проводити особам, що народилися за 1945–1965 рр. без оцінки факторів ризику; а всім іншим – за наявності факторів ризику інфікування ВГС (відповідає CDC рекомендаціям).</w:t>
      </w:r>
    </w:p>
    <w:p w14:paraId="5466EB11">
      <w:pPr>
        <w:rPr>
          <w:rFonts w:cs="Times New Roman"/>
          <w:szCs w:val="28"/>
          <w:highlight w:val="none"/>
        </w:rPr>
      </w:pPr>
      <w:r>
        <w:rPr>
          <w:rFonts w:cs="Times New Roman"/>
          <w:szCs w:val="28"/>
          <w:highlight w:val="none"/>
        </w:rPr>
        <w:t xml:space="preserve">В свою чергу, робоча група з профілактичних послуг США згідно з її рекомендаціями щодо скринінгу на ВГС [99] розширила частку населення для проведення скринінгу на ВГС до всіх дорослих 18–79 років. При цьому, </w:t>
      </w:r>
      <w:r>
        <w:rPr>
          <w:rFonts w:cs="Times New Roman"/>
          <w:szCs w:val="28"/>
          <w:highlight w:val="none"/>
        </w:rPr>
        <w:t>Ha S. et al</w:t>
      </w:r>
      <w:r>
        <w:rPr>
          <w:rFonts w:cs="Times New Roman"/>
          <w:szCs w:val="28"/>
          <w:highlight w:val="none"/>
          <w:shd w:val="clear" w:color="auto" w:fill="FFFFFF"/>
        </w:rPr>
        <w:t xml:space="preserve">. </w:t>
      </w:r>
      <w:r>
        <w:rPr>
          <w:rStyle w:val="12"/>
          <w:rFonts w:cs="Times New Roman"/>
          <w:b w:val="0"/>
          <w:bCs w:val="0"/>
          <w:szCs w:val="28"/>
          <w:highlight w:val="none"/>
        </w:rPr>
        <w:t>[100]</w:t>
      </w:r>
      <w:r>
        <w:rPr>
          <w:rStyle w:val="12"/>
          <w:rFonts w:cs="Times New Roman"/>
          <w:szCs w:val="28"/>
          <w:highlight w:val="none"/>
        </w:rPr>
        <w:t xml:space="preserve"> </w:t>
      </w:r>
      <w:r>
        <w:rPr>
          <w:rFonts w:cs="Times New Roman"/>
          <w:szCs w:val="28"/>
          <w:highlight w:val="none"/>
          <w:shd w:val="clear" w:color="auto" w:fill="FFFFFF"/>
        </w:rPr>
        <w:t xml:space="preserve">пропонують проводити </w:t>
      </w:r>
      <w:r>
        <w:rPr>
          <w:rStyle w:val="12"/>
          <w:rFonts w:cs="Times New Roman"/>
          <w:b w:val="0"/>
          <w:bCs w:val="0"/>
          <w:szCs w:val="28"/>
          <w:highlight w:val="none"/>
        </w:rPr>
        <w:t>скринінг на ВГС на основі факторів ризику для наступних категорій населення:</w:t>
      </w:r>
      <w:r>
        <w:rPr>
          <w:rStyle w:val="12"/>
          <w:rFonts w:cs="Times New Roman"/>
          <w:szCs w:val="28"/>
          <w:highlight w:val="none"/>
        </w:rPr>
        <w:t xml:space="preserve"> </w:t>
      </w:r>
      <w:r>
        <w:rPr>
          <w:rFonts w:cs="Times New Roman"/>
          <w:szCs w:val="28"/>
          <w:highlight w:val="none"/>
        </w:rPr>
        <w:t xml:space="preserve">отримання медичних послуг без належних методів профілактики та контролю інфекції; </w:t>
      </w:r>
      <w:r>
        <w:rPr>
          <w:rStyle w:val="12"/>
          <w:rFonts w:cs="Times New Roman"/>
          <w:b w:val="0"/>
          <w:bCs w:val="0"/>
          <w:szCs w:val="28"/>
          <w:highlight w:val="none"/>
        </w:rPr>
        <w:t xml:space="preserve">вживання </w:t>
      </w:r>
      <w:r>
        <w:rPr>
          <w:rFonts w:cs="Times New Roman"/>
          <w:szCs w:val="28"/>
          <w:highlight w:val="none"/>
        </w:rPr>
        <w:t>(навіть одноразово) ін’єкційних наркотиків; ув’язнення; народження чи проживання в регіоні з поширеністю ВГС більше за 3,0 % (Австралазія та Океанія; Центральна, Східна та Південна Азія; Африка на південь від Сахари; Східна Європа; Північна Африка чи Близький Схід); переливання крові (препаратів крові) чи пересадка органів до 1992 р.; народження від інфікованої ВГС матері; статеві контакти чи спільне використання засобів особистої гігієни з інфікованим ВГС; ВІЛ-інфекція; отримання гемодіалізу; підвищений рівень АЛТ; народження в період 1945–1975 рр.</w:t>
      </w:r>
    </w:p>
    <w:p w14:paraId="727BAD46">
      <w:pPr>
        <w:pStyle w:val="23"/>
        <w:widowControl w:val="0"/>
        <w:spacing w:before="0" w:beforeAutospacing="0" w:after="0" w:afterAutospacing="0" w:line="360" w:lineRule="auto"/>
        <w:ind w:firstLine="709"/>
        <w:jc w:val="both"/>
        <w:rPr>
          <w:sz w:val="28"/>
          <w:szCs w:val="28"/>
          <w:highlight w:val="none"/>
        </w:rPr>
      </w:pPr>
      <w:r>
        <w:rPr>
          <w:sz w:val="28"/>
          <w:szCs w:val="28"/>
          <w:highlight w:val="none"/>
        </w:rPr>
        <w:t>Скринінг на ВГС базується на виявленні антитіл проти ВГС за допомогою імуноферментного аналізу (ІФА) або швидких діагностичних тестів (</w:t>
      </w:r>
      <w:r>
        <w:rPr>
          <w:rStyle w:val="10"/>
          <w:bCs/>
          <w:sz w:val="28"/>
          <w:szCs w:val="28"/>
          <w:highlight w:val="none"/>
          <w:shd w:val="clear" w:color="auto" w:fill="FFFFFF"/>
        </w:rPr>
        <w:t>Rapid Diagnostic Test,</w:t>
      </w:r>
      <w:r>
        <w:rPr>
          <w:sz w:val="28"/>
          <w:szCs w:val="28"/>
          <w:highlight w:val="none"/>
        </w:rPr>
        <w:t xml:space="preserve"> RDT), які мають значну чутливість і специфічність порівняно з ІФА [101–104].</w:t>
      </w:r>
    </w:p>
    <w:p w14:paraId="570210B8">
      <w:pPr>
        <w:pStyle w:val="23"/>
        <w:widowControl w:val="0"/>
        <w:spacing w:before="0" w:beforeAutospacing="0" w:after="0" w:afterAutospacing="0" w:line="360" w:lineRule="auto"/>
        <w:ind w:firstLine="709"/>
        <w:jc w:val="both"/>
        <w:rPr>
          <w:sz w:val="28"/>
          <w:szCs w:val="28"/>
          <w:highlight w:val="none"/>
        </w:rPr>
      </w:pPr>
      <w:r>
        <w:rPr>
          <w:sz w:val="28"/>
          <w:szCs w:val="28"/>
          <w:highlight w:val="none"/>
        </w:rPr>
        <w:t>Слід вказати, що коровий антиген ВГС виявляється в сироватці або сироватці крові ІФА у більшості хворих з ВГС, але може не виявлятися на ранній стадії гострого ВГС та у осіб із ХГС із глибокою імунодепресією. [9, 105]. Таким чином, коровий антиген ВГС є маркером реплікації вірусу, а його виявлення використовують для діагностики вірусемії при нещодавно перенесеному ВГС, ХГС або після повторного зараження. При цьому, тести на коровий антиген ВГС є менш чутливими порівняно з визначенням РНК ВГС (нижня межа виявлення 500–3000 РНК ВГС МО/мл, залежно від генотипу ВГС</w:t>
      </w:r>
      <w:bookmarkStart w:id="13" w:name="bbib59"/>
      <w:r>
        <w:rPr>
          <w:sz w:val="28"/>
          <w:szCs w:val="28"/>
          <w:highlight w:val="none"/>
        </w:rPr>
        <w:t>) [106–109].</w:t>
      </w:r>
      <w:bookmarkEnd w:id="13"/>
      <w:r>
        <w:rPr>
          <w:sz w:val="28"/>
          <w:szCs w:val="28"/>
          <w:highlight w:val="none"/>
        </w:rPr>
        <w:t xml:space="preserve"> Окрім цього, більшість авторів вказують, що тест на коровий антиген ВГС використовують і для визначення ефективності проведеної терапії через 12 або 24 тижні як альтернативу тестуванню на РНК ВГС [105–107, 110].</w:t>
      </w:r>
    </w:p>
    <w:p w14:paraId="393925DD">
      <w:pPr>
        <w:pStyle w:val="23"/>
        <w:widowControl w:val="0"/>
        <w:spacing w:before="0" w:beforeAutospacing="0" w:after="0" w:afterAutospacing="0" w:line="360" w:lineRule="auto"/>
        <w:ind w:firstLine="709"/>
        <w:jc w:val="both"/>
        <w:rPr>
          <w:sz w:val="28"/>
          <w:szCs w:val="28"/>
          <w:highlight w:val="none"/>
        </w:rPr>
      </w:pPr>
      <w:r>
        <w:rPr>
          <w:sz w:val="28"/>
          <w:szCs w:val="28"/>
          <w:highlight w:val="none"/>
        </w:rPr>
        <w:t xml:space="preserve">На сьогодні переважна більшість лабораторій застосовує двоетапний підхід скринінгу, який включає тест на антитіла на етапі 1, та тест на РНК ВГС на етапі 2. Даний підхід (рефлекторне тестування (тестування на РНК ВГС у зразку, отриманому для тестування на антитіла до ВГС)) значно збільшує частку пацієнтів з позитивними антитілами до ВГС, що тестуються на вірусемію [111–118]. </w:t>
      </w:r>
      <w:bookmarkStart w:id="14" w:name="bbib78"/>
      <w:r>
        <w:rPr>
          <w:sz w:val="28"/>
          <w:szCs w:val="28"/>
          <w:highlight w:val="none"/>
        </w:rPr>
        <w:t>При цьому, при використанні висушеної плями крові (Dried Blood Spot, DBS) для збору та транспортування зразків цільної крові тестування виявляється менш чутливим порівняно з РНК ВГС у сироватці або сироватці, оскільки DBS недостатньо чутливі для виявлення корового антигену ВГС [119]. Таким чином, підтвердження віремії з використанням тестування на коровий антиген ВГС за допомогою DBS не рекомендується, а хибнонегативні результати при використанні DBS визначаються у 7,0–36,0 % випадків у хворих з вірусемією з антитілами проти ВГС [120–123].</w:t>
      </w:r>
      <w:bookmarkEnd w:id="14"/>
    </w:p>
    <w:p w14:paraId="6B3EE552">
      <w:pPr>
        <w:pStyle w:val="23"/>
        <w:widowControl w:val="0"/>
        <w:spacing w:before="0" w:beforeAutospacing="0" w:after="0" w:afterAutospacing="0" w:line="360" w:lineRule="auto"/>
        <w:ind w:firstLine="709"/>
        <w:jc w:val="both"/>
        <w:rPr>
          <w:sz w:val="28"/>
          <w:szCs w:val="28"/>
          <w:highlight w:val="none"/>
        </w:rPr>
      </w:pPr>
    </w:p>
    <w:p w14:paraId="123E63F6">
      <w:pPr>
        <w:pStyle w:val="3"/>
        <w:rPr>
          <w:highlight w:val="none"/>
        </w:rPr>
      </w:pPr>
      <w:bookmarkStart w:id="15" w:name="_Toc153923944"/>
      <w:r>
        <w:rPr>
          <w:highlight w:val="none"/>
        </w:rPr>
        <w:t xml:space="preserve">1.4 Маркерні можливості </w:t>
      </w:r>
      <w:r>
        <w:rPr>
          <w:color w:val="000000" w:themeColor="text1"/>
          <w:highlight w:val="none"/>
        </w:rPr>
        <w:t xml:space="preserve">системи цитокінів, хемокінів і </w:t>
      </w:r>
      <w:r>
        <w:rPr>
          <w:highlight w:val="none"/>
        </w:rPr>
        <w:t>вітамінів у діагностуванні перебігу гепатиту С</w:t>
      </w:r>
      <w:bookmarkEnd w:id="15"/>
    </w:p>
    <w:p w14:paraId="4439F15F">
      <w:pPr>
        <w:rPr>
          <w:rFonts w:cs="Times New Roman"/>
          <w:szCs w:val="28"/>
          <w:highlight w:val="none"/>
        </w:rPr>
      </w:pPr>
    </w:p>
    <w:p w14:paraId="469E19C2">
      <w:pPr>
        <w:rPr>
          <w:rFonts w:cs="Times New Roman"/>
          <w:szCs w:val="28"/>
          <w:highlight w:val="none"/>
        </w:rPr>
      </w:pPr>
      <w:r>
        <w:rPr>
          <w:rFonts w:cs="Times New Roman"/>
          <w:szCs w:val="28"/>
          <w:highlight w:val="none"/>
        </w:rPr>
        <w:t xml:space="preserve">Слід вказати, що різні етапи перебігу запального процесу відзначаються певними особливостями вивільнення тих чи інших медіаторів запалення, які можуть слугувати біомаркерами при інфекції ВГС та характеризуються певними відхиленнями представників цитокінового ряду, мікроелементів, вітамінів, тощо. Так, у відповідь на проникнення ВГС першочергово відбувається так звана </w:t>
      </w:r>
      <w:r>
        <w:rPr>
          <w:rFonts w:cs="Times New Roman"/>
          <w:bCs/>
          <w:szCs w:val="28"/>
          <w:highlight w:val="none"/>
        </w:rPr>
        <w:t xml:space="preserve">реакція запального каскаду в мікрооточенні печінки </w:t>
      </w:r>
      <w:r>
        <w:rPr>
          <w:rFonts w:cs="Times New Roman"/>
          <w:szCs w:val="28"/>
          <w:highlight w:val="none"/>
          <w:shd w:val="clear" w:color="auto" w:fill="FFFFFF"/>
        </w:rPr>
        <w:t xml:space="preserve">[79]. У цьому приймають участь як паренхіматозні </w:t>
      </w:r>
      <w:r>
        <w:rPr>
          <w:rFonts w:cs="Times New Roman"/>
          <w:szCs w:val="28"/>
          <w:highlight w:val="none"/>
        </w:rPr>
        <w:t>гепатоцити (основна роль), так і не</w:t>
      </w:r>
      <w:r>
        <w:rPr>
          <w:rFonts w:cs="Times New Roman"/>
          <w:szCs w:val="28"/>
          <w:highlight w:val="none"/>
          <w:shd w:val="clear" w:color="auto" w:fill="FFFFFF"/>
        </w:rPr>
        <w:t xml:space="preserve">паренхіматозні </w:t>
      </w:r>
      <w:r>
        <w:rPr>
          <w:rFonts w:cs="Times New Roman"/>
          <w:szCs w:val="28"/>
          <w:highlight w:val="none"/>
        </w:rPr>
        <w:t>клітини Купфера та зірчасті клітини (також відіграють ключову роль при інфекції ВГС). Клітини Купфера відіграють роль макрофагів печінки та виявляють обмежену інтерналізацію ВГС за допомогою фагоцитозу, що провокує виробництво прозапальних цитокінів і хемокінів. В свою чергу зірчасті клітини (активуються після інфікування ВГС) відповідальні за печінковий фіброгенез, включаючи відкладення колагену та аномальне ремоделювання позаклітинного матриксу. Взаємодія між цими трьома видами клітин та імунними клітинами (</w:t>
      </w:r>
      <w:r>
        <w:rPr>
          <w:rFonts w:cs="Times New Roman"/>
          <w:szCs w:val="28"/>
          <w:highlight w:val="none"/>
          <w:shd w:val="clear" w:color="auto" w:fill="FFFFFF"/>
        </w:rPr>
        <w:t>макрофаги, природні клітини-кілери і дендритні клітини</w:t>
      </w:r>
      <w:r>
        <w:rPr>
          <w:rFonts w:cs="Times New Roman"/>
          <w:szCs w:val="28"/>
          <w:highlight w:val="none"/>
        </w:rPr>
        <w:t xml:space="preserve">) при інфікуванні ВГС і опосередковують запальний каскад сигналізації та посилення прогресування захворювання. Окрім цього, в даному процесі відіграють значну роль й </w:t>
      </w:r>
      <w:r>
        <w:rPr>
          <w:rFonts w:cs="Times New Roman"/>
          <w:szCs w:val="28"/>
          <w:highlight w:val="none"/>
          <w:shd w:val="clear" w:color="auto" w:fill="FFFFFF"/>
        </w:rPr>
        <w:t>мікроелементи та вітаміни, дефіцит яких може значно послабити як вроджену, так і адаптивну гілки противірусного імунітету при інфекції ВГС [124]. Тому, при інфекції ХГС дефіцит мікроелементів та вітамінів є досить поширеним явищем (найчастіше відзначається дефіцит цинку (в 48,4 % хворих), вітаміну А (у 54,3 %) та D (у 43,0 %) [125, 126]).</w:t>
      </w:r>
    </w:p>
    <w:p w14:paraId="5FEA4656">
      <w:pPr>
        <w:rPr>
          <w:rFonts w:cs="Times New Roman"/>
          <w:szCs w:val="28"/>
          <w:highlight w:val="none"/>
        </w:rPr>
      </w:pPr>
    </w:p>
    <w:p w14:paraId="28853420">
      <w:pPr>
        <w:pStyle w:val="3"/>
        <w:rPr>
          <w:highlight w:val="none"/>
        </w:rPr>
      </w:pPr>
      <w:bookmarkStart w:id="16" w:name="_Toc153923945"/>
      <w:r>
        <w:rPr>
          <w:highlight w:val="none"/>
        </w:rPr>
        <w:t>1.4.1 Визначення маркерної ролі прозапальних цитокінів, хемокінів і остеопонтину у процесі перебігу гепатиту С</w:t>
      </w:r>
      <w:bookmarkEnd w:id="16"/>
    </w:p>
    <w:p w14:paraId="21FF4C86">
      <w:pPr>
        <w:rPr>
          <w:rFonts w:cs="Times New Roman"/>
          <w:szCs w:val="28"/>
          <w:highlight w:val="none"/>
        </w:rPr>
      </w:pPr>
    </w:p>
    <w:p w14:paraId="30A4E0B6">
      <w:pPr>
        <w:rPr>
          <w:rFonts w:cs="Times New Roman"/>
          <w:szCs w:val="28"/>
          <w:highlight w:val="none"/>
          <w:shd w:val="clear" w:color="auto" w:fill="FFFFFF"/>
        </w:rPr>
      </w:pPr>
      <w:r>
        <w:rPr>
          <w:rFonts w:cs="Times New Roman"/>
          <w:szCs w:val="28"/>
          <w:highlight w:val="none"/>
        </w:rPr>
        <w:t xml:space="preserve">Так, взаємодія між інфікованими гепатоцитами та зірчатими клітинами печінки провокує посилення запальної відповіді та збільшення експресії ІЛ-6, ІЛ-8 і </w:t>
      </w:r>
      <w:r>
        <w:rPr>
          <w:rFonts w:cs="Times New Roman"/>
          <w:szCs w:val="28"/>
          <w:highlight w:val="none"/>
          <w:shd w:val="clear" w:color="auto" w:fill="FFFFFF"/>
        </w:rPr>
        <w:t xml:space="preserve">запального білку макрофагів (Major Intrinsic Protein, MIP) </w:t>
      </w:r>
      <w:r>
        <w:rPr>
          <w:rFonts w:cs="Times New Roman"/>
          <w:szCs w:val="28"/>
          <w:highlight w:val="none"/>
        </w:rPr>
        <w:t>MIP-1α і MIP 1β і вивільнення трансформуючого фактору росту (</w:t>
      </w:r>
      <w:r>
        <w:rPr>
          <w:rStyle w:val="10"/>
          <w:rFonts w:cs="Times New Roman"/>
          <w:bCs/>
          <w:szCs w:val="28"/>
          <w:highlight w:val="none"/>
          <w:shd w:val="clear" w:color="auto" w:fill="FFFFFF"/>
        </w:rPr>
        <w:t>Transforming Growth Factor</w:t>
      </w:r>
      <w:r>
        <w:rPr>
          <w:rStyle w:val="10"/>
          <w:rFonts w:cs="Times New Roman"/>
          <w:b/>
          <w:bCs/>
          <w:szCs w:val="28"/>
          <w:highlight w:val="none"/>
          <w:shd w:val="clear" w:color="auto" w:fill="FFFFFF"/>
        </w:rPr>
        <w:t>,</w:t>
      </w:r>
      <w:r>
        <w:rPr>
          <w:rFonts w:cs="Times New Roman"/>
          <w:szCs w:val="28"/>
          <w:highlight w:val="none"/>
        </w:rPr>
        <w:t xml:space="preserve"> TGF)-β1, що індукує фіброгенез із підвищеним виробництвом проколагену α1 (I і III) і зниженням експресії фібринолітичної матриксної металопротеїнази (Matrix Metalloproteinase) [127]. Окрім цього, відбувається активація експресії каспази-1 та посилення секреції ІЛ-1β і ІЛ-18 і експресії запальних (NLRP3, TNF-α, ІЛ-1β, ІЛ-6 і </w:t>
      </w:r>
      <w:r>
        <w:rPr>
          <w:rFonts w:cs="Times New Roman"/>
          <w:szCs w:val="28"/>
          <w:highlight w:val="none"/>
          <w:shd w:val="clear" w:color="auto" w:fill="FFFFFF"/>
        </w:rPr>
        <w:t>ліганд хемокінового мотиву CC (</w:t>
      </w:r>
      <w:r>
        <w:rPr>
          <w:rFonts w:cs="Times New Roman"/>
          <w:szCs w:val="28"/>
          <w:highlight w:val="none"/>
        </w:rPr>
        <w:t>CC Motif Chemokine Ligand, CCL)-5) і профіброгенних (TGF-β1, колагену 4A1, металопротеїнази-2 і α-гладком’язового актину). В свою чергу, хемокін CCL-5 індукує активацію запалення та експресію фіброзного маркера, а TNF-α – маркерів запалення; а хемокінів, що виділяються інфікованими гепатоцитами рекрутують імунні клітини до місця інфекції, що провокує посилення запальної відповіді й пошкодження печінки. При цьому відзначається н</w:t>
      </w:r>
      <w:r>
        <w:rPr>
          <w:rFonts w:cs="Times New Roman"/>
          <w:szCs w:val="28"/>
          <w:highlight w:val="none"/>
          <w:shd w:val="clear" w:color="auto" w:fill="FFFFFF"/>
        </w:rPr>
        <w:t>адлишок цитокінів, як збудників запалення, що посилює пошкодження тканини та прогресування захворювання печінки. [79].</w:t>
      </w:r>
    </w:p>
    <w:p w14:paraId="320A0ADA">
      <w:pPr>
        <w:rPr>
          <w:rFonts w:cs="Times New Roman"/>
          <w:szCs w:val="28"/>
          <w:highlight w:val="none"/>
        </w:rPr>
      </w:pPr>
      <w:r>
        <w:rPr>
          <w:rFonts w:cs="Times New Roman"/>
          <w:szCs w:val="28"/>
          <w:highlight w:val="none"/>
          <w:shd w:val="clear" w:color="auto" w:fill="FFFFFF"/>
        </w:rPr>
        <w:t xml:space="preserve">Слід вказати, що циркулюючі рівні прозапальних цитокінів і хемокінів </w:t>
      </w:r>
      <w:r>
        <w:rPr>
          <w:rFonts w:cs="Times New Roman"/>
          <w:szCs w:val="28"/>
          <w:highlight w:val="none"/>
        </w:rPr>
        <w:t xml:space="preserve">позитивно корелюють із </w:t>
      </w:r>
      <w:r>
        <w:rPr>
          <w:rFonts w:cs="Times New Roman"/>
          <w:szCs w:val="28"/>
          <w:highlight w:val="none"/>
          <w:shd w:val="clear" w:color="auto" w:fill="FFFFFF"/>
        </w:rPr>
        <w:t>перебігом ВГС</w:t>
      </w:r>
      <w:r>
        <w:rPr>
          <w:rFonts w:cs="Times New Roman"/>
          <w:szCs w:val="28"/>
          <w:highlight w:val="none"/>
        </w:rPr>
        <w:t xml:space="preserve"> і знижуються після застосування противірусної терапії</w:t>
      </w:r>
      <w:r>
        <w:rPr>
          <w:rFonts w:cs="Times New Roman"/>
          <w:szCs w:val="28"/>
          <w:highlight w:val="none"/>
          <w:shd w:val="clear" w:color="auto" w:fill="FFFFFF"/>
        </w:rPr>
        <w:t xml:space="preserve">. Тому, </w:t>
      </w:r>
      <w:r>
        <w:rPr>
          <w:rFonts w:cs="Times New Roman"/>
          <w:szCs w:val="28"/>
          <w:highlight w:val="none"/>
        </w:rPr>
        <w:t xml:space="preserve">сироваткові медіатори (ІЛ-6, ІЛ-8, ліганд мотиву CXC (Motif Ligand CXC, CXCL)-9, CXCL-10, CXCL-12 та інгібуючий фактор міграції макрофагів (MIF)) можуть слугувати у якості потенційних маркерів для оцінки прогресування хронічного гепатиту до ЦП табл. 1.1). При цьому, TNF-α асоціюється з підвищеною запальною активністю, ФП та її ураженням при ХГС. У хворих із ВГС концентрація ІЛ-6 у сироватці позитивно корелює з тривалістю захворювання та вірусним навантаженням, а концентрація ІЛ-18 – із рівнями АЛТ та АСТ </w:t>
      </w:r>
      <w:r>
        <w:rPr>
          <w:rFonts w:cs="Times New Roman"/>
          <w:szCs w:val="28"/>
          <w:highlight w:val="none"/>
          <w:shd w:val="clear" w:color="auto" w:fill="FFFFFF"/>
        </w:rPr>
        <w:t>[79]</w:t>
      </w:r>
      <w:r>
        <w:rPr>
          <w:rFonts w:cs="Times New Roman"/>
          <w:szCs w:val="28"/>
          <w:highlight w:val="none"/>
        </w:rPr>
        <w:t>.</w:t>
      </w:r>
    </w:p>
    <w:p w14:paraId="14D7918E">
      <w:pPr>
        <w:pStyle w:val="4"/>
        <w:keepNext w:val="0"/>
        <w:keepLines w:val="0"/>
        <w:widowControl w:val="0"/>
        <w:spacing w:before="0"/>
        <w:jc w:val="right"/>
        <w:rPr>
          <w:rFonts w:ascii="Times New Roman" w:hAnsi="Times New Roman" w:cs="Times New Roman"/>
          <w:i/>
          <w:color w:val="auto"/>
          <w:sz w:val="28"/>
          <w:szCs w:val="28"/>
          <w:highlight w:val="none"/>
        </w:rPr>
      </w:pPr>
      <w:r>
        <w:rPr>
          <w:rFonts w:ascii="Times New Roman" w:hAnsi="Times New Roman" w:cs="Times New Roman"/>
          <w:bCs/>
          <w:i/>
          <w:color w:val="auto"/>
          <w:sz w:val="28"/>
          <w:szCs w:val="28"/>
          <w:highlight w:val="none"/>
        </w:rPr>
        <w:t>Таблиця 1.1</w:t>
      </w:r>
    </w:p>
    <w:p w14:paraId="532057AC">
      <w:pPr>
        <w:pStyle w:val="23"/>
        <w:widowControl w:val="0"/>
        <w:spacing w:before="0" w:beforeAutospacing="0" w:after="0" w:afterAutospacing="0" w:line="360" w:lineRule="auto"/>
        <w:ind w:firstLine="709"/>
        <w:jc w:val="center"/>
        <w:rPr>
          <w:b/>
          <w:sz w:val="28"/>
          <w:szCs w:val="28"/>
          <w:highlight w:val="none"/>
        </w:rPr>
      </w:pPr>
      <w:r>
        <w:rPr>
          <w:b/>
          <w:sz w:val="28"/>
          <w:szCs w:val="28"/>
          <w:highlight w:val="none"/>
        </w:rPr>
        <w:t>Маркерна активність прозапальних цитокінів і хемокінів при інфекції гепатиту С</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1413"/>
        <w:gridCol w:w="7932"/>
      </w:tblGrid>
      <w:tr w14:paraId="54846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blHeader/>
          <w:jc w:val="center"/>
        </w:trPr>
        <w:tc>
          <w:tcPr>
            <w:tcW w:w="1413" w:type="dxa"/>
            <w:tcMar>
              <w:top w:w="48" w:type="dxa"/>
              <w:left w:w="96" w:type="dxa"/>
              <w:bottom w:w="48" w:type="dxa"/>
              <w:right w:w="96" w:type="dxa"/>
            </w:tcMar>
            <w:vAlign w:val="center"/>
          </w:tcPr>
          <w:p w14:paraId="1E49C9AE">
            <w:pPr>
              <w:widowControl w:val="0"/>
              <w:ind w:left="-57" w:right="-57" w:firstLine="0"/>
              <w:jc w:val="center"/>
              <w:rPr>
                <w:rFonts w:cs="Times New Roman"/>
                <w:szCs w:val="28"/>
                <w:highlight w:val="none"/>
              </w:rPr>
            </w:pPr>
            <w:r>
              <w:rPr>
                <w:rStyle w:val="12"/>
                <w:rFonts w:cs="Times New Roman"/>
                <w:szCs w:val="28"/>
                <w:highlight w:val="none"/>
              </w:rPr>
              <w:t>Біомаркер</w:t>
            </w:r>
          </w:p>
        </w:tc>
        <w:tc>
          <w:tcPr>
            <w:tcW w:w="7932" w:type="dxa"/>
            <w:tcMar>
              <w:top w:w="48" w:type="dxa"/>
              <w:left w:w="96" w:type="dxa"/>
              <w:bottom w:w="48" w:type="dxa"/>
              <w:right w:w="96" w:type="dxa"/>
            </w:tcMar>
            <w:vAlign w:val="center"/>
          </w:tcPr>
          <w:p w14:paraId="469B8523">
            <w:pPr>
              <w:widowControl w:val="0"/>
              <w:ind w:left="-57" w:right="-57" w:firstLine="0"/>
              <w:jc w:val="center"/>
              <w:rPr>
                <w:rFonts w:cs="Times New Roman"/>
                <w:szCs w:val="28"/>
                <w:highlight w:val="none"/>
              </w:rPr>
            </w:pPr>
            <w:r>
              <w:rPr>
                <w:rStyle w:val="12"/>
                <w:rFonts w:cs="Times New Roman"/>
                <w:szCs w:val="28"/>
                <w:highlight w:val="none"/>
              </w:rPr>
              <w:t>Значення</w:t>
            </w:r>
          </w:p>
        </w:tc>
      </w:tr>
      <w:tr w14:paraId="33F04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jc w:val="center"/>
        </w:trPr>
        <w:tc>
          <w:tcPr>
            <w:tcW w:w="1413" w:type="dxa"/>
            <w:tcMar>
              <w:top w:w="48" w:type="dxa"/>
              <w:left w:w="96" w:type="dxa"/>
              <w:bottom w:w="48" w:type="dxa"/>
              <w:right w:w="96" w:type="dxa"/>
            </w:tcMar>
            <w:vAlign w:val="center"/>
          </w:tcPr>
          <w:p w14:paraId="14BAB8E8">
            <w:pPr>
              <w:widowControl w:val="0"/>
              <w:ind w:left="-57" w:right="-57" w:firstLine="0"/>
              <w:jc w:val="center"/>
              <w:rPr>
                <w:rFonts w:cs="Times New Roman"/>
                <w:szCs w:val="28"/>
                <w:highlight w:val="none"/>
              </w:rPr>
            </w:pPr>
            <w:r>
              <w:rPr>
                <w:rFonts w:cs="Times New Roman"/>
                <w:szCs w:val="28"/>
                <w:highlight w:val="none"/>
              </w:rPr>
              <w:t>TNF-α</w:t>
            </w:r>
          </w:p>
        </w:tc>
        <w:tc>
          <w:tcPr>
            <w:tcW w:w="7932" w:type="dxa"/>
            <w:tcMar>
              <w:top w:w="48" w:type="dxa"/>
              <w:left w:w="96" w:type="dxa"/>
              <w:bottom w:w="48" w:type="dxa"/>
              <w:right w:w="96" w:type="dxa"/>
            </w:tcMar>
            <w:vAlign w:val="center"/>
          </w:tcPr>
          <w:p w14:paraId="732939D7">
            <w:pPr>
              <w:widowControl w:val="0"/>
              <w:ind w:left="-57" w:right="-57" w:firstLine="0"/>
              <w:jc w:val="center"/>
              <w:rPr>
                <w:rFonts w:cs="Times New Roman"/>
                <w:szCs w:val="28"/>
                <w:highlight w:val="none"/>
              </w:rPr>
            </w:pPr>
            <w:r>
              <w:rPr>
                <w:rFonts w:cs="Times New Roman"/>
                <w:szCs w:val="28"/>
                <w:highlight w:val="none"/>
              </w:rPr>
              <w:t>Сприяє розвитку інсулінорезистентності та діабету при гепатиті С. Асоціюється з підвищеною запальною активністю, ФП та її ураженням і ГЦК [128].</w:t>
            </w:r>
          </w:p>
        </w:tc>
      </w:tr>
      <w:tr w14:paraId="446A2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jc w:val="center"/>
        </w:trPr>
        <w:tc>
          <w:tcPr>
            <w:tcW w:w="1413" w:type="dxa"/>
            <w:tcMar>
              <w:top w:w="48" w:type="dxa"/>
              <w:left w:w="96" w:type="dxa"/>
              <w:bottom w:w="48" w:type="dxa"/>
              <w:right w:w="96" w:type="dxa"/>
            </w:tcMar>
            <w:vAlign w:val="center"/>
          </w:tcPr>
          <w:p w14:paraId="3630707A">
            <w:pPr>
              <w:widowControl w:val="0"/>
              <w:ind w:left="-57" w:right="-57" w:firstLine="0"/>
              <w:jc w:val="center"/>
              <w:rPr>
                <w:rFonts w:cs="Times New Roman"/>
                <w:szCs w:val="28"/>
                <w:highlight w:val="none"/>
              </w:rPr>
            </w:pPr>
            <w:r>
              <w:rPr>
                <w:rFonts w:cs="Times New Roman"/>
                <w:szCs w:val="28"/>
                <w:highlight w:val="none"/>
              </w:rPr>
              <w:t>ІЛ-6</w:t>
            </w:r>
          </w:p>
        </w:tc>
        <w:tc>
          <w:tcPr>
            <w:tcW w:w="7932" w:type="dxa"/>
            <w:tcMar>
              <w:top w:w="48" w:type="dxa"/>
              <w:left w:w="96" w:type="dxa"/>
              <w:bottom w:w="48" w:type="dxa"/>
              <w:right w:w="96" w:type="dxa"/>
            </w:tcMar>
            <w:vAlign w:val="center"/>
          </w:tcPr>
          <w:p w14:paraId="1571D774">
            <w:pPr>
              <w:widowControl w:val="0"/>
              <w:ind w:left="-57" w:right="-57" w:firstLine="0"/>
              <w:jc w:val="center"/>
              <w:rPr>
                <w:rFonts w:cs="Times New Roman"/>
                <w:szCs w:val="28"/>
                <w:highlight w:val="none"/>
              </w:rPr>
            </w:pPr>
            <w:r>
              <w:rPr>
                <w:rFonts w:cs="Times New Roman"/>
                <w:szCs w:val="28"/>
                <w:highlight w:val="none"/>
              </w:rPr>
              <w:t>Характеризує прогресування ХГС до ЦП. Позитивно корелює з тривалістю хвороби та вірусним навантаженням.</w:t>
            </w:r>
          </w:p>
        </w:tc>
      </w:tr>
      <w:tr w14:paraId="02AFB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jc w:val="center"/>
        </w:trPr>
        <w:tc>
          <w:tcPr>
            <w:tcW w:w="1413" w:type="dxa"/>
            <w:tcMar>
              <w:top w:w="48" w:type="dxa"/>
              <w:left w:w="96" w:type="dxa"/>
              <w:bottom w:w="48" w:type="dxa"/>
              <w:right w:w="96" w:type="dxa"/>
            </w:tcMar>
            <w:vAlign w:val="center"/>
          </w:tcPr>
          <w:p w14:paraId="59F943C7">
            <w:pPr>
              <w:widowControl w:val="0"/>
              <w:ind w:left="-57" w:right="-57" w:firstLine="0"/>
              <w:jc w:val="center"/>
              <w:rPr>
                <w:rFonts w:cs="Times New Roman"/>
                <w:szCs w:val="28"/>
                <w:highlight w:val="none"/>
              </w:rPr>
            </w:pPr>
            <w:r>
              <w:rPr>
                <w:rFonts w:cs="Times New Roman"/>
                <w:szCs w:val="28"/>
                <w:highlight w:val="none"/>
              </w:rPr>
              <w:t>ІЛ-8</w:t>
            </w:r>
          </w:p>
        </w:tc>
        <w:tc>
          <w:tcPr>
            <w:tcW w:w="7932" w:type="dxa"/>
            <w:tcMar>
              <w:top w:w="48" w:type="dxa"/>
              <w:left w:w="96" w:type="dxa"/>
              <w:bottom w:w="48" w:type="dxa"/>
              <w:right w:w="96" w:type="dxa"/>
            </w:tcMar>
            <w:vAlign w:val="center"/>
          </w:tcPr>
          <w:p w14:paraId="232B4FC0">
            <w:pPr>
              <w:widowControl w:val="0"/>
              <w:ind w:left="-57" w:right="-57" w:firstLine="0"/>
              <w:jc w:val="center"/>
              <w:rPr>
                <w:rFonts w:cs="Times New Roman"/>
                <w:szCs w:val="28"/>
                <w:highlight w:val="none"/>
              </w:rPr>
            </w:pPr>
            <w:r>
              <w:rPr>
                <w:rFonts w:cs="Times New Roman"/>
                <w:szCs w:val="28"/>
                <w:highlight w:val="none"/>
              </w:rPr>
              <w:t>Констатує відсутність відповіді на терапію ІФ і високу гістологічну активність при ХГС [129]</w:t>
            </w:r>
          </w:p>
        </w:tc>
      </w:tr>
      <w:tr w14:paraId="3C31B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jc w:val="center"/>
        </w:trPr>
        <w:tc>
          <w:tcPr>
            <w:tcW w:w="1413" w:type="dxa"/>
            <w:tcMar>
              <w:top w:w="48" w:type="dxa"/>
              <w:left w:w="96" w:type="dxa"/>
              <w:bottom w:w="48" w:type="dxa"/>
              <w:right w:w="96" w:type="dxa"/>
            </w:tcMar>
            <w:vAlign w:val="center"/>
          </w:tcPr>
          <w:p w14:paraId="0DCE3EC4">
            <w:pPr>
              <w:widowControl w:val="0"/>
              <w:ind w:left="-57" w:right="-57" w:firstLine="0"/>
              <w:jc w:val="center"/>
              <w:rPr>
                <w:rFonts w:cs="Times New Roman"/>
                <w:szCs w:val="28"/>
                <w:highlight w:val="none"/>
              </w:rPr>
            </w:pPr>
            <w:r>
              <w:rPr>
                <w:rFonts w:cs="Times New Roman"/>
                <w:szCs w:val="28"/>
                <w:highlight w:val="none"/>
              </w:rPr>
              <w:t>ІЛ-18</w:t>
            </w:r>
          </w:p>
        </w:tc>
        <w:tc>
          <w:tcPr>
            <w:tcW w:w="7932" w:type="dxa"/>
            <w:tcMar>
              <w:top w:w="48" w:type="dxa"/>
              <w:left w:w="96" w:type="dxa"/>
              <w:bottom w:w="48" w:type="dxa"/>
              <w:right w:w="96" w:type="dxa"/>
            </w:tcMar>
            <w:vAlign w:val="center"/>
          </w:tcPr>
          <w:p w14:paraId="6EC1FBB8">
            <w:pPr>
              <w:widowControl w:val="0"/>
              <w:ind w:left="-57" w:right="-57" w:firstLine="0"/>
              <w:jc w:val="center"/>
              <w:rPr>
                <w:rFonts w:cs="Times New Roman"/>
                <w:szCs w:val="28"/>
                <w:highlight w:val="none"/>
              </w:rPr>
            </w:pPr>
            <w:r>
              <w:rPr>
                <w:rFonts w:cs="Times New Roman"/>
                <w:szCs w:val="28"/>
                <w:highlight w:val="none"/>
              </w:rPr>
              <w:t>Позитивно корелює з рівнями АЛТ та АСТ і оцінює вплив ІФ на імунний стан людини [130].</w:t>
            </w:r>
          </w:p>
        </w:tc>
      </w:tr>
      <w:tr w14:paraId="1BE83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jc w:val="center"/>
        </w:trPr>
        <w:tc>
          <w:tcPr>
            <w:tcW w:w="1413" w:type="dxa"/>
            <w:tcMar>
              <w:top w:w="48" w:type="dxa"/>
              <w:left w:w="96" w:type="dxa"/>
              <w:bottom w:w="48" w:type="dxa"/>
              <w:right w:w="96" w:type="dxa"/>
            </w:tcMar>
            <w:vAlign w:val="center"/>
          </w:tcPr>
          <w:p w14:paraId="703BA4CC">
            <w:pPr>
              <w:widowControl w:val="0"/>
              <w:ind w:left="-57" w:right="-57" w:firstLine="0"/>
              <w:jc w:val="center"/>
              <w:rPr>
                <w:rFonts w:cs="Times New Roman"/>
                <w:szCs w:val="28"/>
                <w:highlight w:val="none"/>
              </w:rPr>
            </w:pPr>
            <w:r>
              <w:rPr>
                <w:rFonts w:cs="Times New Roman"/>
                <w:szCs w:val="28"/>
                <w:highlight w:val="none"/>
              </w:rPr>
              <w:t>CXCL-9</w:t>
            </w:r>
          </w:p>
        </w:tc>
        <w:tc>
          <w:tcPr>
            <w:tcW w:w="7932" w:type="dxa"/>
            <w:tcMar>
              <w:top w:w="48" w:type="dxa"/>
              <w:left w:w="96" w:type="dxa"/>
              <w:bottom w:w="48" w:type="dxa"/>
              <w:right w:w="96" w:type="dxa"/>
            </w:tcMar>
            <w:vAlign w:val="center"/>
          </w:tcPr>
          <w:p w14:paraId="4B8811D0">
            <w:pPr>
              <w:widowControl w:val="0"/>
              <w:ind w:left="-57" w:right="-57" w:firstLine="0"/>
              <w:jc w:val="center"/>
              <w:rPr>
                <w:rFonts w:cs="Times New Roman"/>
                <w:szCs w:val="28"/>
                <w:highlight w:val="none"/>
              </w:rPr>
            </w:pPr>
            <w:r>
              <w:rPr>
                <w:rFonts w:cs="Times New Roman"/>
                <w:szCs w:val="28"/>
                <w:highlight w:val="none"/>
              </w:rPr>
              <w:t>Вказує на прогресування ХГС до ЦП.</w:t>
            </w:r>
          </w:p>
        </w:tc>
      </w:tr>
      <w:tr w14:paraId="7F5B9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jc w:val="center"/>
        </w:trPr>
        <w:tc>
          <w:tcPr>
            <w:tcW w:w="1413" w:type="dxa"/>
            <w:tcMar>
              <w:top w:w="48" w:type="dxa"/>
              <w:left w:w="96" w:type="dxa"/>
              <w:bottom w:w="48" w:type="dxa"/>
              <w:right w:w="96" w:type="dxa"/>
            </w:tcMar>
            <w:vAlign w:val="center"/>
          </w:tcPr>
          <w:p w14:paraId="7662AE47">
            <w:pPr>
              <w:widowControl w:val="0"/>
              <w:ind w:left="-57" w:right="-57" w:firstLine="0"/>
              <w:jc w:val="center"/>
              <w:rPr>
                <w:rFonts w:cs="Times New Roman"/>
                <w:szCs w:val="28"/>
                <w:highlight w:val="none"/>
              </w:rPr>
            </w:pPr>
            <w:r>
              <w:rPr>
                <w:rFonts w:cs="Times New Roman"/>
                <w:szCs w:val="28"/>
                <w:highlight w:val="none"/>
              </w:rPr>
              <w:t>CXCL-10</w:t>
            </w:r>
          </w:p>
        </w:tc>
        <w:tc>
          <w:tcPr>
            <w:tcW w:w="7932" w:type="dxa"/>
            <w:tcMar>
              <w:top w:w="48" w:type="dxa"/>
              <w:left w:w="96" w:type="dxa"/>
              <w:bottom w:w="48" w:type="dxa"/>
              <w:right w:w="96" w:type="dxa"/>
            </w:tcMar>
            <w:vAlign w:val="center"/>
          </w:tcPr>
          <w:p w14:paraId="15D5D837">
            <w:pPr>
              <w:widowControl w:val="0"/>
              <w:ind w:left="-57" w:right="-57" w:firstLine="0"/>
              <w:jc w:val="center"/>
              <w:rPr>
                <w:rFonts w:cs="Times New Roman"/>
                <w:szCs w:val="28"/>
                <w:highlight w:val="none"/>
              </w:rPr>
            </w:pPr>
            <w:r>
              <w:rPr>
                <w:rFonts w:cs="Times New Roman"/>
                <w:szCs w:val="28"/>
                <w:highlight w:val="none"/>
              </w:rPr>
              <w:t>Позитивно корелює з гістологічною тяжкістю та запаленням. Вказує на рівень вірусної відповіді та терапевтичний ефект [131].</w:t>
            </w:r>
          </w:p>
        </w:tc>
      </w:tr>
    </w:tbl>
    <w:p w14:paraId="05276F85">
      <w:pPr>
        <w:pStyle w:val="99"/>
        <w:widowControl w:val="0"/>
        <w:spacing w:before="0" w:beforeAutospacing="0" w:after="0" w:afterAutospacing="0" w:line="360" w:lineRule="auto"/>
        <w:ind w:firstLine="709"/>
        <w:jc w:val="both"/>
        <w:rPr>
          <w:sz w:val="28"/>
          <w:szCs w:val="28"/>
          <w:highlight w:val="none"/>
          <w:shd w:val="clear" w:color="auto" w:fill="FFFFFF"/>
          <w:lang w:val="uk-UA"/>
        </w:rPr>
      </w:pPr>
    </w:p>
    <w:p w14:paraId="3C1EFBF3">
      <w:pPr>
        <w:pStyle w:val="99"/>
        <w:widowControl w:val="0"/>
        <w:spacing w:before="0" w:beforeAutospacing="0" w:after="0" w:afterAutospacing="0" w:line="360" w:lineRule="auto"/>
        <w:ind w:firstLine="709"/>
        <w:jc w:val="both"/>
        <w:rPr>
          <w:sz w:val="28"/>
          <w:szCs w:val="28"/>
          <w:highlight w:val="none"/>
          <w:lang w:val="uk-UA"/>
        </w:rPr>
      </w:pPr>
      <w:r>
        <w:rPr>
          <w:sz w:val="28"/>
          <w:szCs w:val="28"/>
          <w:highlight w:val="none"/>
          <w:shd w:val="clear" w:color="auto" w:fill="FFFFFF"/>
          <w:lang w:val="uk-UA"/>
        </w:rPr>
        <w:t>В свою чергу, хемокіни відіграють більш значущу роль у патогенезі ХГС і мають гарну біомаркерну активність. Так, у периферичній крові та печінці при інфекції ВГС відмічається збільшення рівнів CXCL-10, CCL-5, IFN-індукованого α-хемоаттрактантом Т-клітин і MIP-1α та MIP-1β, а рівень CXCL-10 у гепатоцитах корелює із гістологічною тяжкістю та запаленням гепатоцитів [132] і виступає у якості маркера інтенсивності вірусної відповіді та терапевтичного результату. Окрім цього, моноцитарний хемотаксичний білок-1 (MCP-1), розчинна молекула адгезії (sAM), CCL-20 і CXCL-9 прогнозують результат противірусної терапії при ХГС, а збільшення рівня хемокіну ІЛ-8 вказує на відсутність відповіді на противірусну терапію або високу гістологічну активність [</w:t>
      </w:r>
      <w:r>
        <w:rPr>
          <w:sz w:val="28"/>
          <w:szCs w:val="28"/>
          <w:highlight w:val="none"/>
          <w:lang w:val="uk-UA"/>
        </w:rPr>
        <w:t>129</w:t>
      </w:r>
      <w:r>
        <w:rPr>
          <w:sz w:val="28"/>
          <w:szCs w:val="28"/>
          <w:highlight w:val="none"/>
          <w:shd w:val="clear" w:color="auto" w:fill="FFFFFF"/>
          <w:lang w:val="uk-UA"/>
        </w:rPr>
        <w:t>].</w:t>
      </w:r>
    </w:p>
    <w:p w14:paraId="40A79BCD">
      <w:pPr>
        <w:rPr>
          <w:rFonts w:cs="Times New Roman"/>
          <w:szCs w:val="28"/>
          <w:highlight w:val="none"/>
          <w:shd w:val="clear" w:color="auto" w:fill="FFFFFF"/>
        </w:rPr>
      </w:pPr>
      <w:r>
        <w:rPr>
          <w:rFonts w:cs="Times New Roman"/>
          <w:szCs w:val="28"/>
          <w:highlight w:val="none"/>
          <w:lang w:eastAsia="ru-RU"/>
        </w:rPr>
        <w:t xml:space="preserve">Окрім цього слід відзначити, що як вже вказувалося вище </w:t>
      </w:r>
      <w:r>
        <w:rPr>
          <w:rFonts w:cs="Times New Roman"/>
          <w:szCs w:val="28"/>
          <w:highlight w:val="none"/>
          <w:shd w:val="clear" w:color="auto" w:fill="FFFFFF"/>
        </w:rPr>
        <w:t xml:space="preserve">(див. розділ 1.1, 1.2) </w:t>
      </w:r>
      <w:r>
        <w:rPr>
          <w:rFonts w:cs="Times New Roman"/>
          <w:szCs w:val="28"/>
          <w:highlight w:val="none"/>
          <w:lang w:eastAsia="ru-RU"/>
        </w:rPr>
        <w:t>і</w:t>
      </w:r>
      <w:r>
        <w:rPr>
          <w:rFonts w:cs="Times New Roman"/>
          <w:szCs w:val="28"/>
          <w:highlight w:val="none"/>
          <w:shd w:val="clear" w:color="auto" w:fill="FFFFFF"/>
        </w:rPr>
        <w:t xml:space="preserve">мунна відповідь печінки при гострому та ХГС призводить до її запалення, яке провокує розвиток ФП [80, 81] і ЦП, що супроводжується надмірним накопиченням білків позаклітинного матриксу, серед яких також відзначаються й білки, які контролюють процеси мінералізації (остеопонтин (ОП), остеопротегерин, остеонектин, остеокальцин, склеростин) та відіграють важливу роль у перебігу ВГС (ОП, який </w:t>
      </w:r>
      <w:r>
        <w:rPr>
          <w:rFonts w:cs="Times New Roman"/>
          <w:szCs w:val="28"/>
          <w:highlight w:val="none"/>
        </w:rPr>
        <w:t>є одним з компонентів, необхідних для функціонування реплікаційних комплексів, що безпосередньо беруть участь в процесах синтезу РНК гепатиту С [133]</w:t>
      </w:r>
      <w:r>
        <w:rPr>
          <w:rFonts w:cs="Times New Roman"/>
          <w:szCs w:val="28"/>
          <w:highlight w:val="none"/>
          <w:shd w:val="clear" w:color="auto" w:fill="FFFFFF"/>
        </w:rPr>
        <w:t xml:space="preserve">). </w:t>
      </w:r>
    </w:p>
    <w:p w14:paraId="2053F854">
      <w:pPr>
        <w:rPr>
          <w:rFonts w:cs="Times New Roman"/>
          <w:szCs w:val="28"/>
          <w:highlight w:val="none"/>
        </w:rPr>
      </w:pPr>
      <w:r>
        <w:rPr>
          <w:rFonts w:cs="Times New Roman"/>
          <w:szCs w:val="28"/>
          <w:highlight w:val="none"/>
        </w:rPr>
        <w:t>ОП (кістковий сіалопротеїн І [134]), є фосфопротеїном [18, 133, 135], багатим на аспартат [39], та пов’язаним з трансформацією епітеліальних клітин [18, 136], продукція якого посилюється у відповідь на запалення, пошкодження печінки, канцеро- та ангіогенез, і відіграє значну роль у багатьох фізіологічних та патофізіологічних процесах [39, 46, 133] (формування запалення, ракова трансформація, серцево-судинна та метаболічна патологія, кісткова мінералізація та інші функції організму [18, 46, 67, 134, 136]). Наявність ОП було визначено в клітинах Купфера та зірчастих клітинах [46] у вогнищі некрозу печінки, де він обумовлював макрофагальну інфільтрацію [21]. Попередньо описана активація Hh-механізму хронізації запалення за ВГС є спорідненою до механізму дії ОП [46] (може бути незалежним фактором ризику печінкової недостатності), а його значно вищі рівні відзначаються у пацієнтів з ГЦК [133, 135].</w:t>
      </w:r>
    </w:p>
    <w:p w14:paraId="6084E369">
      <w:pPr>
        <w:rPr>
          <w:rFonts w:cs="Times New Roman"/>
          <w:szCs w:val="28"/>
          <w:highlight w:val="none"/>
        </w:rPr>
      </w:pPr>
      <w:r>
        <w:rPr>
          <w:rFonts w:cs="Times New Roman"/>
          <w:szCs w:val="28"/>
          <w:highlight w:val="none"/>
        </w:rPr>
        <w:t>Було досліджено, що експресія ОП проходить й в низці інших клітин, зокрема Т-лімфоцитах, макрофагах, гладеньком’язових клітинах та остеокластах [18, 39, 135, 137]. Беззаперечно було визначено, що його експресія уповільнюється на генному рівні, що призводить до зниження інтенсивності репарації гепатоцитів в наслідок зменшення ступеню інфільтрації паренхіми печінки макрофагами та нейтрофілами з подальшим порушенням активації ІЛ-6 та сигналу активатора транскрипції-3 в клітинах Купфера [138]. Індукція сигналу відбувається через метаболізм Ca</w:t>
      </w:r>
      <w:r>
        <w:rPr>
          <w:rFonts w:cs="Times New Roman"/>
          <w:szCs w:val="28"/>
          <w:highlight w:val="none"/>
          <w:vertAlign w:val="superscript"/>
        </w:rPr>
        <w:t xml:space="preserve">2+ </w:t>
      </w:r>
      <w:r>
        <w:rPr>
          <w:rFonts w:cs="Times New Roman"/>
          <w:szCs w:val="28"/>
          <w:highlight w:val="none"/>
        </w:rPr>
        <w:t>і підвищення рівня АФК з подальшою активацію клітинних кіназ [133]. Також, було отримано дані щодо інгібіторної дії ОП на процеси мінералізації та взаємодії зі структурними компонентами позаклітинного матриксу й можливість стимуляції імунної відповіді Th1-типу (сприяє виробленню ІЛ-12 шляхом зв’язування з інтегрином αVβ3 та пригнічення продукції ІЛ-10 шляхом взаємодії з CD44) та індукції запалення за рахунок хемоатракції нейтрофілів та активації макрофагів [39].</w:t>
      </w:r>
    </w:p>
    <w:p w14:paraId="594C2253">
      <w:pPr>
        <w:rPr>
          <w:rFonts w:cs="Times New Roman"/>
          <w:szCs w:val="28"/>
          <w:highlight w:val="none"/>
        </w:rPr>
      </w:pPr>
      <w:r>
        <w:rPr>
          <w:rFonts w:cs="Times New Roman"/>
          <w:szCs w:val="28"/>
          <w:highlight w:val="none"/>
        </w:rPr>
        <w:t>Таким чином, ОП обумовлює імунологічну функцію: модулює клітинну імунну відповідь, стимулює хемоатракцію запальних клітин (зокрема нейтрофілів та макрофагів) з подальшою стимуляцією їх продукції [21, 39, 67, 134, 137, 138]. Крім цього, визначено, що ОП (як мультифункціональний матриксний протеїн [67, 134, 137]) індукує активацію зірчастих клітин та підвищує продукцію колагену І типу (взаємопов’язано з концентрацією вітаміну D (див. нижче)), відіграючи (таким чином) безпосередню роль в розвитку процесів фіброзування [18, 21, 138]. Так, автори [18, 21] зазначають, що сироваткові концентрації ОП достовірно (р &lt; 0,001) збільшувалися зі зростанням стадії ФП. При цьому, цей маркер (ОП) мав високі прогностичні характеристики (граничне значення було визначено на рівні 124,0 нг/мл, яке з чутливістю 97,1 % та специфічністю 100,0 % дозволяло віддиференціювати стадії ФП F1/F2 від F3/F4).</w:t>
      </w:r>
    </w:p>
    <w:p w14:paraId="50017D62">
      <w:pPr>
        <w:rPr>
          <w:rFonts w:cs="Times New Roman"/>
          <w:szCs w:val="28"/>
          <w:highlight w:val="none"/>
        </w:rPr>
      </w:pPr>
      <w:r>
        <w:rPr>
          <w:rFonts w:cs="Times New Roman"/>
          <w:szCs w:val="28"/>
          <w:highlight w:val="none"/>
        </w:rPr>
        <w:t xml:space="preserve">Окрім цього, активація ОП регулює реплікацію та збірку ВГС, що підтверджується пригніченням аптамерів (інгібіторів) ОП процесів реплікації вірусу ВГС [46, 133]. Регуляція реплікації ВГС виникає як під дією ендогенного, так й секретованого ОП (шляхом залучення інтегрину αVβ3 та CD44-опосередкованого сигналінгу). Так, дослідження Iqbal </w:t>
      </w:r>
      <w:r>
        <w:rPr>
          <w:rFonts w:cs="Times New Roman"/>
          <w:szCs w:val="28"/>
          <w:highlight w:val="none"/>
          <w:lang w:eastAsia="ru-RU"/>
        </w:rPr>
        <w:t xml:space="preserve">J. </w:t>
      </w:r>
      <w:r>
        <w:rPr>
          <w:rFonts w:cs="Times New Roman"/>
          <w:szCs w:val="28"/>
          <w:highlight w:val="none"/>
        </w:rPr>
        <w:t>et al. [133] показало знижену експресію білків та реплікацію РНК ВГС у клітинах, що експресують ОП, що й підтверджують Choi </w:t>
      </w:r>
      <w:r>
        <w:rPr>
          <w:rFonts w:cs="Times New Roman"/>
          <w:szCs w:val="28"/>
          <w:highlight w:val="none"/>
          <w:lang w:eastAsia="ru-RU"/>
        </w:rPr>
        <w:t xml:space="preserve">S. S. </w:t>
      </w:r>
      <w:r>
        <w:rPr>
          <w:rFonts w:cs="Times New Roman"/>
          <w:szCs w:val="28"/>
          <w:highlight w:val="none"/>
        </w:rPr>
        <w:t xml:space="preserve">et al. [46], які визначили вищі рівні ОП в гепатоцитах, де спостерігається вища реплікативна активність ВГС. Саме тому визначається, що ОП може бути надійним предиктором не лише стадії гепатиту, а й можливості досягнення </w:t>
      </w:r>
      <w:r>
        <w:rPr>
          <w:rFonts w:cs="Times New Roman"/>
          <w:szCs w:val="28"/>
          <w:highlight w:val="none"/>
          <w:lang w:eastAsia="ru-RU"/>
        </w:rPr>
        <w:t>СВВ</w:t>
      </w:r>
      <w:r>
        <w:rPr>
          <w:rFonts w:cs="Times New Roman"/>
          <w:szCs w:val="28"/>
          <w:highlight w:val="none"/>
        </w:rPr>
        <w:t xml:space="preserve"> попередньо до лікування.</w:t>
      </w:r>
    </w:p>
    <w:p w14:paraId="30AA85C0">
      <w:pPr>
        <w:rPr>
          <w:rFonts w:cs="Times New Roman"/>
          <w:szCs w:val="28"/>
          <w:highlight w:val="none"/>
        </w:rPr>
      </w:pPr>
      <w:r>
        <w:rPr>
          <w:rFonts w:cs="Times New Roman"/>
          <w:szCs w:val="28"/>
          <w:highlight w:val="none"/>
        </w:rPr>
        <w:t>Також, вплив ОП на аутоімунну патологію у пацієнтів з ВГС показано й у дослідженні Bassyouni </w:t>
      </w:r>
      <w:r>
        <w:rPr>
          <w:rFonts w:cs="Times New Roman"/>
          <w:szCs w:val="28"/>
          <w:highlight w:val="none"/>
          <w:lang w:eastAsia="ru-RU"/>
        </w:rPr>
        <w:t xml:space="preserve">I. H. </w:t>
      </w:r>
      <w:r>
        <w:rPr>
          <w:rFonts w:cs="Times New Roman"/>
          <w:szCs w:val="28"/>
          <w:highlight w:val="none"/>
        </w:rPr>
        <w:t>et al. [39], які відзначили найвищі рівні сироваткових ОП у пацієнтів з ВГС та ревматологічною патологією й ізольованим перебігом ВГС порівняно з контролем (відповідно 14,18 ± 10,81 нг/мл; 6,45 ± 2,37 нг/мл й 4,94 ± 1,42 нг/мл; р &lt; 0,001). При цьому, в усіх хворих із ВГС рівні ОП збільшувалися залежно від активності за шкалою Metavir (при А0 – 5,49 ± 2,22 нг/мл; А1 – 7,59 ± 3,70 нг/мл та А2 – 13,14 ± 10,79 нг/мл; р = 0,032). Подібна тенденція була отримана й в залежності від ступеню ФП за даною шкалою: 5,90 ± 2,16 нг/мл, 6,69 ± 2,22 нг/мл, 8,94 ± 6,07 нг/мл та 18,78 ± 12,79 нг/мл відповідно для стадій F0–F3 (р = 0,009) [39]. Також, аналіз показав суттєву лінійну залежність рівнів ОП при ВГС від наявної ревматологічної патології (В = 7,141; р &lt; 0,001) та від ступеню ФП за шкалою Metavir (В = 4,522; р &lt; 0,001). При цьому, серед окремих видів ревматологічних захворювань у пацієнтів з ВГС достовірно вищі рівні були за наявності васкулітів (р = 0,002), кріоглобулінемії (р = 0,005) та ревматоїдного артриту (р = 0,006), що беззаперечно підтверджує роль ОП в Th1-асоційованій імунній відповіді. Визначена достовірна асоціація рівнів ОП зі ступенем ФП також доводить фіброгенну дію даного маркеру.</w:t>
      </w:r>
    </w:p>
    <w:p w14:paraId="23C6EDED">
      <w:pPr>
        <w:rPr>
          <w:rFonts w:cs="Times New Roman"/>
          <w:szCs w:val="28"/>
          <w:highlight w:val="none"/>
        </w:rPr>
      </w:pPr>
      <w:r>
        <w:rPr>
          <w:rFonts w:cs="Times New Roman"/>
          <w:szCs w:val="28"/>
          <w:highlight w:val="none"/>
        </w:rPr>
        <w:t xml:space="preserve">При цьому, в багатьох дослідженнях було підтверджено маркерні можливості ОП для діагностування ВГС. Так, </w:t>
      </w:r>
      <w:r>
        <w:rPr>
          <w:rFonts w:cs="Times New Roman"/>
          <w:szCs w:val="28"/>
          <w:highlight w:val="none"/>
          <w:lang w:eastAsia="ru-RU"/>
        </w:rPr>
        <w:t>Liu H. B.</w:t>
      </w:r>
      <w:r>
        <w:rPr>
          <w:rFonts w:cs="Times New Roman"/>
          <w:szCs w:val="28"/>
          <w:highlight w:val="none"/>
        </w:rPr>
        <w:t xml:space="preserve"> et al. [136] визначили пряму кореляцію (р =0,028) між сироватковим титром HBsAg та сироватковим рівнем ОП і пряму асоціацію між даними параметрами (ВШ = 766,948 [95,0 % ДІ 351,063–1182,834], р &lt; 0,001. Sun Т. et al. [135] визначили діагностичну цінність ОП при ГЦК із чутливістю та специфічністю на рівні відповідно 81,3 % [95,0 % ДІ 67,1–90,2] та 87,4 % [95,0 % ДІ 77,8–93,2]. В дослідженнях Sobhy А. et al. [134] достовірно (р &lt; 0,001) визначено значно збільшені рівні (256,8 ± 153,3 пг/мл) ОП у хворих із ХГС порівняно з контролем (6576,6 ± 4540,21 пг/мл); які достовірно (р &lt; 0,001) збільшувалися в залежності від стадії ФП (F0 – 5012,29 ± 4066,73 пг/мл; F1–F3 – 5749,71 ± 471,85 та F4–F6 – 5938,85 ± 4229,34) та достовірно (р &lt; 0,03) з нею корелювали (r = 0,59), маючи при граничному значенні &gt; 495,0 пг/мл в якості прогностичного маркеру 96,5 % чутливість та 100,0 % специфічність. Дані дослідження підтверджуються й Choi </w:t>
      </w:r>
      <w:r>
        <w:rPr>
          <w:rFonts w:cs="Times New Roman"/>
          <w:szCs w:val="28"/>
          <w:highlight w:val="none"/>
          <w:lang w:eastAsia="ru-RU"/>
        </w:rPr>
        <w:t>S. S</w:t>
      </w:r>
      <w:r>
        <w:rPr>
          <w:rFonts w:cs="Times New Roman"/>
          <w:szCs w:val="28"/>
          <w:highlight w:val="none"/>
        </w:rPr>
        <w:t xml:space="preserve"> et al. [46], які довели, що сироваткові рівні ОП прямо корелювали з наявністю ФП у пацієнтів з ХГС (r</w:t>
      </w:r>
      <w:r>
        <w:rPr>
          <w:rFonts w:cs="Times New Roman"/>
          <w:szCs w:val="28"/>
          <w:highlight w:val="none"/>
          <w:vertAlign w:val="subscript"/>
        </w:rPr>
        <w:t>s</w:t>
      </w:r>
      <w:r>
        <w:rPr>
          <w:rFonts w:cs="Times New Roman"/>
          <w:szCs w:val="28"/>
          <w:highlight w:val="none"/>
        </w:rPr>
        <w:t> = 0,49; р = 0,001) і визначили, що вищі рівні ОП були незалежним предиктором наявності фіброзного процесу (В = 0,34; р = 0,028), а нижчі його рівні – розвитку СВВ (В = -0,38; р = 0,01). На основі цих даних автори запропонували модель прогнозування розвитку СВВ, ґрунтуючись на рівнях ОП та наявності ФП ≥ 2 стадії, яка мали високі діагностичні характеристики (AUC = 0,82 [95,0 % СІ 0,69–0,95]).</w:t>
      </w:r>
    </w:p>
    <w:p w14:paraId="3B66043A">
      <w:pPr>
        <w:widowControl w:val="0"/>
        <w:rPr>
          <w:rFonts w:cs="Times New Roman"/>
          <w:szCs w:val="28"/>
          <w:highlight w:val="none"/>
        </w:rPr>
      </w:pPr>
      <w:r>
        <w:rPr>
          <w:rFonts w:cs="Times New Roman"/>
          <w:szCs w:val="28"/>
          <w:highlight w:val="none"/>
        </w:rPr>
        <w:t xml:space="preserve">Розробці неінвазивних методів діагностики наявності та стадії ФП також було присвячено й низку інших сучасних світових досліджень, так, як виявлення ФП на ранній стадії є найважливішим для потенційного відновлення пацієнта при ХГС. Важливим аспектом цього є високий рівень точності методу з метою його альтернативного використання замість біопсії печінки. Найбільш широко застосованими на сьогодні є шкали FIB4 та APRI, еластографія та FibroTest і Forns індекс [45, 50]. Також, існує декілька напівкількісних методів оцінки стадії та тяжкості ФП при ХГС, які широко використовуються в клінічній практиці, таких, як METAVIR, Knodell та Ishak. Окрім цього, використовують і цілий ряд прямих (клас I) і непрямих (клас II) сироваткових біомаркерів оцінки ФП. До прямих відносять продукти метаболізму позаклітинного матриксу (колагенові волокна, гіалуронова кислота, хрящовий глікопротеїн YKL-40, ламінін, фібронектин, металопротеїнази, тканинні інгібітори матриксних металопротеїназ (TIMP) і TGF-β1), які продукуються при ремоделюванні позаклітинного матриксу через активовані </w:t>
      </w:r>
      <w:r>
        <w:rPr>
          <w:rFonts w:cs="Times New Roman"/>
          <w:szCs w:val="28"/>
          <w:highlight w:val="none"/>
          <w:shd w:val="clear" w:color="auto" w:fill="FFFFFF"/>
        </w:rPr>
        <w:t>зірчасті клітини</w:t>
      </w:r>
      <w:r>
        <w:rPr>
          <w:rFonts w:cs="Times New Roman"/>
          <w:szCs w:val="28"/>
          <w:highlight w:val="none"/>
        </w:rPr>
        <w:t xml:space="preserve">. Непрямі включають співвідношення АСТ-АЛТ, індекс співвідношення АСТ–тромбоцити, FIB-4 (вік, АСТ, АЛТ і кількість тромбоцитів), фіброіндекс (кількість тромбоцитів, АСТ і гамма-глобуліни) та індекс Форнса (вік, кількість тромбоцитів, рівні холестерину та гамма-глутамілтрансферази) і Egy-Score (раковий антиген 19-9, вік, α2-макроглобулін, загальний білірубін, альбумін та кількість тромбоцитів у рівнянні регресії). </w:t>
      </w:r>
      <w:r>
        <w:rPr>
          <w:rFonts w:cs="Times New Roman"/>
          <w:szCs w:val="28"/>
          <w:highlight w:val="none"/>
          <w:shd w:val="clear" w:color="auto" w:fill="FFFFFF"/>
        </w:rPr>
        <w:t>[72]</w:t>
      </w:r>
      <w:r>
        <w:rPr>
          <w:rFonts w:cs="Times New Roman"/>
          <w:szCs w:val="28"/>
          <w:highlight w:val="none"/>
        </w:rPr>
        <w:t>.</w:t>
      </w:r>
    </w:p>
    <w:p w14:paraId="1734F9CC">
      <w:pPr>
        <w:widowControl w:val="0"/>
        <w:rPr>
          <w:rFonts w:cs="Times New Roman"/>
          <w:szCs w:val="28"/>
          <w:highlight w:val="none"/>
          <w:shd w:val="clear" w:color="auto" w:fill="FFFFFF"/>
        </w:rPr>
      </w:pPr>
    </w:p>
    <w:p w14:paraId="01ACB706">
      <w:pPr>
        <w:pStyle w:val="3"/>
        <w:rPr>
          <w:highlight w:val="none"/>
        </w:rPr>
      </w:pPr>
      <w:bookmarkStart w:id="17" w:name="_Toc153923946"/>
      <w:r>
        <w:rPr>
          <w:highlight w:val="none"/>
        </w:rPr>
        <w:t>1.4.2 Маркерна активність вітаміну D при хронічному гепатиті С</w:t>
      </w:r>
      <w:bookmarkEnd w:id="17"/>
    </w:p>
    <w:p w14:paraId="1FC1BCF9">
      <w:pPr>
        <w:widowControl w:val="0"/>
        <w:rPr>
          <w:rFonts w:cs="Times New Roman"/>
          <w:szCs w:val="28"/>
          <w:highlight w:val="none"/>
          <w:shd w:val="clear" w:color="auto" w:fill="FFFFFF"/>
        </w:rPr>
      </w:pPr>
    </w:p>
    <w:p w14:paraId="52A398D6">
      <w:pPr>
        <w:widowControl w:val="0"/>
        <w:rPr>
          <w:rFonts w:cs="Times New Roman"/>
          <w:szCs w:val="28"/>
          <w:highlight w:val="none"/>
        </w:rPr>
      </w:pPr>
      <w:r>
        <w:rPr>
          <w:rFonts w:cs="Times New Roman"/>
          <w:szCs w:val="28"/>
          <w:highlight w:val="none"/>
          <w:lang w:eastAsia="ru-RU"/>
        </w:rPr>
        <w:t xml:space="preserve">Визначено, що дефіцит вітамінів часто асоційований з низкою захворювань печінки, зокрема неалкогольною жировою хворобою печінки, ЦП та ГЦК [16, 139]. При цьому, серед дефіціту основних вітамінів </w:t>
      </w:r>
      <w:r>
        <w:rPr>
          <w:rFonts w:cs="Times New Roman"/>
          <w:szCs w:val="28"/>
          <w:highlight w:val="none"/>
        </w:rPr>
        <w:t xml:space="preserve">останніми роками констатується значна роль саме вітаміну D у патогенезі захворювань печінки, через що було проведено цілу низку досліджень щодо патогенетичної його ролі та інших питань </w:t>
      </w:r>
      <w:r>
        <w:rPr>
          <w:rFonts w:cs="Times New Roman"/>
          <w:szCs w:val="28"/>
          <w:highlight w:val="none"/>
          <w:lang w:eastAsia="ru-RU"/>
        </w:rPr>
        <w:t>[14–17, 47, 140–143]</w:t>
      </w:r>
      <w:r>
        <w:rPr>
          <w:rFonts w:cs="Times New Roman"/>
          <w:szCs w:val="28"/>
          <w:highlight w:val="none"/>
        </w:rPr>
        <w:t>.</w:t>
      </w:r>
    </w:p>
    <w:p w14:paraId="4922EDB5">
      <w:pPr>
        <w:rPr>
          <w:rFonts w:cs="Times New Roman"/>
          <w:szCs w:val="28"/>
          <w:highlight w:val="none"/>
          <w:lang w:eastAsia="ru-RU"/>
        </w:rPr>
      </w:pPr>
      <w:r>
        <w:rPr>
          <w:rFonts w:cs="Times New Roman"/>
          <w:szCs w:val="28"/>
          <w:highlight w:val="none"/>
          <w:lang w:eastAsia="ru-RU"/>
        </w:rPr>
        <w:t xml:space="preserve">Рівень вітаміну D в організмі визначається вимірюванням концентрації 25-гідроксі вітаміну D в сироватці крові [141, 142]. Так, згідно рекомендацій Асоціації Ендокринологів рівні вітаміну D визнаються як дефіцит за концентрації гідроксі-вітаміну D3 &lt; 20,0 нг/мл, при 20–29,9 нг/мл – констатується недостатність та при &gt; 30,0 нг/мл – відзначається достатній його рівень [20, 144]. За даними деяких авторів, частота дефіциту вітаміну D у здоровій європейській популяції визначається на рівні 40,4 % та сягає 64,0–94,0 % серед осіб з патологією печінки [47, 145]. Hoan N. X. et al [20] означають, що майже 1 млрд людей у світі мають гіповітаміноз вітаміну D. Jeong J. Y. et al [145] додають, що частота дефіциту вітаміну D у пацієнтів з ХГС становить щонайменше 80,0 % випадків, та його рівні зворотно пов’язані зі стадією ФП [139, 145, 146] та інтенсивністю запалення [146] й прямо асоційовані зі зниженням відповіді на лікування препаратами ІФ [16]. При цьому, поширеність </w:t>
      </w:r>
      <w:r>
        <w:rPr>
          <w:rFonts w:cs="Times New Roman"/>
          <w:szCs w:val="28"/>
          <w:highlight w:val="none"/>
        </w:rPr>
        <w:t>дефіциту вітаміну D (нижче за 30 нг/мл) при інфікуванні ВГС значно різниться серед різних популяцій і відзначається на рівні 77,0 % в Іспанії; 66,2 % – в Бразилії; 56,9 % – в США (білі) і 85,8 % – в США (афроамериканці) [</w:t>
      </w:r>
      <w:r>
        <w:rPr>
          <w:rFonts w:cs="Times New Roman"/>
          <w:szCs w:val="28"/>
          <w:highlight w:val="none"/>
          <w:shd w:val="clear" w:color="auto" w:fill="FFFFFF"/>
        </w:rPr>
        <w:t>147</w:t>
      </w:r>
      <w:r>
        <w:rPr>
          <w:rFonts w:cs="Times New Roman"/>
          <w:szCs w:val="28"/>
          <w:highlight w:val="none"/>
        </w:rPr>
        <w:t>].</w:t>
      </w:r>
    </w:p>
    <w:p w14:paraId="51063DB3">
      <w:pPr>
        <w:rPr>
          <w:rFonts w:cs="Times New Roman"/>
          <w:szCs w:val="28"/>
          <w:highlight w:val="none"/>
          <w:lang w:eastAsia="ru-RU"/>
        </w:rPr>
      </w:pPr>
      <w:r>
        <w:rPr>
          <w:rFonts w:cs="Times New Roman"/>
          <w:szCs w:val="28"/>
          <w:highlight w:val="none"/>
          <w:lang w:eastAsia="ru-RU"/>
        </w:rPr>
        <w:t xml:space="preserve">Важливо, що первинний метаболізм вітаміну D шляхом гідроксилювання (25-гідроксі вітамін D) проходить саме в печінці з подальшим його метаболізмом в нирках до його активної форми (1,25-гідроксі вітамін D) [14, 17, 47, 139, 140–142]. Такий метаболічний механізм дозволяє висунути гіпотезу щодо беззаперечної ролі ураження гепатоцитів в порушенні його метаболізму. Рецептори вітаміну D значно експресовані в гепатоцитах, зірчастих та синусоїдальних клітинах печінки й клітинах Купфера [139]. В свою чергу, імуномодуляторна [14] роль вітаміну D визначається його можливістю блокувати експресію </w:t>
      </w:r>
      <w:r>
        <w:rPr>
          <w:rFonts w:cs="Times New Roman"/>
          <w:szCs w:val="28"/>
          <w:highlight w:val="none"/>
        </w:rPr>
        <w:t>TNF-α</w:t>
      </w:r>
      <w:r>
        <w:rPr>
          <w:rFonts w:cs="Times New Roman"/>
          <w:szCs w:val="28"/>
          <w:highlight w:val="none"/>
          <w:lang w:eastAsia="ru-RU"/>
        </w:rPr>
        <w:t xml:space="preserve"> [139, 146]; а інтенсивний фіброгенез при інфікуванні ВГС пов’язаний з активацію зірчастих клітин та продукцією </w:t>
      </w:r>
      <w:r>
        <w:rPr>
          <w:rFonts w:cs="Times New Roman"/>
          <w:szCs w:val="28"/>
          <w:highlight w:val="none"/>
        </w:rPr>
        <w:t>TGF</w:t>
      </w:r>
      <w:r>
        <w:rPr>
          <w:rFonts w:cs="Times New Roman"/>
          <w:szCs w:val="28"/>
          <w:highlight w:val="none"/>
          <w:lang w:eastAsia="ru-RU"/>
        </w:rPr>
        <w:t>-β [20] і тканинного інгібітору матриксних металопротеїназ з подальшим пригніченням активності фібринолітичної системи. Проліферація активованих зірчастих клітин із секрецію позаклітинного матриксу порушує архітектуру гепатоцитів, обумовлюючи розвиток нодулярної трансформації, циротичного переродження та ГЦК [18, 146]. Додатковим механізмом зв’язку порушення рівнів вітаміну D при ВГС є його антиоксидантна активність (можливість зниження ступеня оксидативного стресу, рівнів продуктів оксидації, оксидів азоту тощо [47]).</w:t>
      </w:r>
    </w:p>
    <w:p w14:paraId="3937064E">
      <w:pPr>
        <w:rPr>
          <w:rFonts w:cs="Times New Roman"/>
          <w:szCs w:val="28"/>
          <w:highlight w:val="none"/>
          <w:lang w:eastAsia="ru-RU"/>
        </w:rPr>
      </w:pPr>
      <w:r>
        <w:rPr>
          <w:rFonts w:cs="Times New Roman"/>
          <w:szCs w:val="28"/>
          <w:highlight w:val="none"/>
          <w:lang w:eastAsia="ru-RU"/>
        </w:rPr>
        <w:t>Протизапальний ефект вітаміну D підтверджується й низкою інших досліджень. Так, Waldenström J. </w:t>
      </w:r>
      <w:r>
        <w:rPr>
          <w:rFonts w:cs="Times New Roman"/>
          <w:szCs w:val="28"/>
          <w:highlight w:val="none"/>
        </w:rPr>
        <w:t>et al.</w:t>
      </w:r>
      <w:r>
        <w:rPr>
          <w:rFonts w:cs="Times New Roman"/>
          <w:szCs w:val="28"/>
          <w:highlight w:val="none"/>
          <w:lang w:eastAsia="ru-RU"/>
        </w:rPr>
        <w:t xml:space="preserve"> [140] повідомляють, що різкий дефіцит вітаміну D спостерігався у пацієнтів з автоімунним гепатитом та вираженим запаленням за даними біопсії (достовірної асоціації рівню вітаміну D з показниками запалення у пацієнтів з ХГС визначено не було). В дослідженні Matsumura Т. </w:t>
      </w:r>
      <w:r>
        <w:rPr>
          <w:rFonts w:cs="Times New Roman"/>
          <w:szCs w:val="28"/>
          <w:highlight w:val="none"/>
        </w:rPr>
        <w:t>et al.</w:t>
      </w:r>
      <w:r>
        <w:rPr>
          <w:rFonts w:cs="Times New Roman"/>
          <w:szCs w:val="28"/>
          <w:highlight w:val="none"/>
          <w:lang w:eastAsia="ru-RU"/>
        </w:rPr>
        <w:t xml:space="preserve"> [17] було визначено, що безпосередній ефект на пригнічення реплікації ВГС виявляє саме активний метаболіт 25 (ОН) D</w:t>
      </w:r>
      <w:r>
        <w:rPr>
          <w:rFonts w:cs="Times New Roman"/>
          <w:szCs w:val="28"/>
          <w:highlight w:val="none"/>
          <w:vertAlign w:val="subscript"/>
          <w:lang w:eastAsia="ru-RU"/>
        </w:rPr>
        <w:t>3</w:t>
      </w:r>
      <w:r>
        <w:rPr>
          <w:rFonts w:cs="Times New Roman"/>
          <w:szCs w:val="28"/>
          <w:highlight w:val="none"/>
          <w:lang w:eastAsia="ru-RU"/>
        </w:rPr>
        <w:t>, а не 1,25 (ОН)</w:t>
      </w:r>
      <w:r>
        <w:rPr>
          <w:rFonts w:cs="Times New Roman"/>
          <w:szCs w:val="28"/>
          <w:highlight w:val="none"/>
          <w:vertAlign w:val="subscript"/>
          <w:lang w:eastAsia="ru-RU"/>
        </w:rPr>
        <w:t>2</w:t>
      </w:r>
      <w:r>
        <w:rPr>
          <w:rFonts w:cs="Times New Roman"/>
          <w:szCs w:val="28"/>
          <w:highlight w:val="none"/>
          <w:lang w:eastAsia="ru-RU"/>
        </w:rPr>
        <w:t> D</w:t>
      </w:r>
      <w:r>
        <w:rPr>
          <w:rFonts w:cs="Times New Roman"/>
          <w:szCs w:val="28"/>
          <w:highlight w:val="none"/>
          <w:vertAlign w:val="subscript"/>
          <w:lang w:eastAsia="ru-RU"/>
        </w:rPr>
        <w:t>3</w:t>
      </w:r>
      <w:r>
        <w:rPr>
          <w:rFonts w:cs="Times New Roman"/>
          <w:szCs w:val="28"/>
          <w:highlight w:val="none"/>
          <w:lang w:eastAsia="ru-RU"/>
        </w:rPr>
        <w:t>, а оскільки реплікація ВГС і метаболізм вітаміну D проходить в гепатоцитах, порушення їх функції призводить до зниження концентрації вітаміну та його метаболітів у клітині, що й обумовлює недостатню чи відсутню його інгібіторну ефективність відносно ВГС [17].</w:t>
      </w:r>
    </w:p>
    <w:p w14:paraId="3C3DF49D">
      <w:pPr>
        <w:rPr>
          <w:rFonts w:cs="Times New Roman"/>
          <w:szCs w:val="28"/>
          <w:highlight w:val="none"/>
          <w:lang w:eastAsia="ru-RU"/>
        </w:rPr>
      </w:pPr>
      <w:r>
        <w:rPr>
          <w:rFonts w:cs="Times New Roman"/>
          <w:szCs w:val="28"/>
          <w:highlight w:val="none"/>
          <w:lang w:eastAsia="ru-RU"/>
        </w:rPr>
        <w:t>У наявних наукових дослідженнях існують певні відмінності щодо патогенетичної, прогностичної та діагностичної цінності вітаміну D у пацієнтів з ВГС. Так, у хворих із ВГС 1-го генотипу низькі рівні гідроксивітаміну D асоційовані з більш інтенсивним ФП [47]. З іншого боку, рандомізовані дослідження не визначили достовірної асоціації рівню вітаміну D зі ступенем фіброзування (ВШ = 1,33 [95,0 % ДІ 0,35–5,08]; р = 0,052 для США та ВШ = 0,88 [95,0 % ДІ 0,694–1,116]; р = 0,096 для інших країн [47]). В інших дослідженнях визначали прогностичну цінність рівнів вітаміну D стосовно успішності лікування ВГС. Так, дані свідчать про зниження достовірності відповіді на лікування пегільованим ІФ</w:t>
      </w:r>
      <w:r>
        <w:rPr>
          <w:rFonts w:cs="Times New Roman"/>
          <w:szCs w:val="28"/>
          <w:highlight w:val="none"/>
        </w:rPr>
        <w:t xml:space="preserve"> (</w:t>
      </w:r>
      <w:r>
        <w:rPr>
          <w:rFonts w:cs="Times New Roman"/>
          <w:szCs w:val="28"/>
          <w:highlight w:val="none"/>
          <w:lang w:eastAsia="ru-RU"/>
        </w:rPr>
        <w:t xml:space="preserve">ПЕГ-ІФ) та рибавірином </w:t>
      </w:r>
      <w:r>
        <w:rPr>
          <w:rFonts w:cs="Times New Roman"/>
          <w:szCs w:val="28"/>
          <w:highlight w:val="none"/>
        </w:rPr>
        <w:t>(</w:t>
      </w:r>
      <w:r>
        <w:rPr>
          <w:rStyle w:val="10"/>
          <w:rFonts w:cs="Times New Roman"/>
          <w:bCs/>
          <w:szCs w:val="28"/>
          <w:highlight w:val="none"/>
          <w:shd w:val="clear" w:color="auto" w:fill="FFFFFF"/>
        </w:rPr>
        <w:t xml:space="preserve">Ribavirin, </w:t>
      </w:r>
      <w:r>
        <w:rPr>
          <w:rFonts w:cs="Times New Roman"/>
          <w:szCs w:val="28"/>
          <w:highlight w:val="none"/>
        </w:rPr>
        <w:t xml:space="preserve">RBV) </w:t>
      </w:r>
      <w:r>
        <w:rPr>
          <w:rFonts w:cs="Times New Roman"/>
          <w:szCs w:val="28"/>
          <w:highlight w:val="none"/>
          <w:lang w:eastAsia="ru-RU"/>
        </w:rPr>
        <w:t>за низьких рівнів даного маркеру [47, 144] і додають, що наявність дефіциту вітаміну D на долікувальному етапі достовірно асоційована зі вірогідністю досягнення СВВ ВГС 1-го, 2-го та 3-го генотипів [47, 144]. В іншому мета-аналізі з залученням 1575 пацієнтів із ВГС було визначено вищу частоту досягнення СВВ за рівнів вітаміну D &gt; 30 нг/мл або за наявності додаткової суплементації (відповідно ВШ = 1,57 [95,0 % ДІ 1,12–2,20] та ВШ = 4,59 [95,0 % ДІ 1,67–12,63]), що й підтверджено Hoan N. X. </w:t>
      </w:r>
      <w:r>
        <w:rPr>
          <w:rFonts w:cs="Times New Roman"/>
          <w:szCs w:val="28"/>
          <w:highlight w:val="none"/>
        </w:rPr>
        <w:t>et al.</w:t>
      </w:r>
      <w:r>
        <w:rPr>
          <w:rFonts w:cs="Times New Roman"/>
          <w:szCs w:val="28"/>
          <w:highlight w:val="none"/>
          <w:lang w:eastAsia="ru-RU"/>
        </w:rPr>
        <w:t xml:space="preserve"> [20], які довели, що знижена вірогідність розвитку СВВ при ВГС достовірно асоційована з низькою концентрацією вітаміну D (&lt; 20,0 нг/мл): ВШ = 0,5 [95,0 % ДІ 0,3–0,9].</w:t>
      </w:r>
    </w:p>
    <w:p w14:paraId="750C24DE">
      <w:pPr>
        <w:rPr>
          <w:rFonts w:cs="Times New Roman"/>
          <w:szCs w:val="28"/>
          <w:highlight w:val="none"/>
          <w:lang w:eastAsia="ru-RU"/>
        </w:rPr>
      </w:pPr>
      <w:r>
        <w:rPr>
          <w:rFonts w:cs="Times New Roman"/>
          <w:szCs w:val="28"/>
          <w:highlight w:val="none"/>
          <w:lang w:eastAsia="ru-RU"/>
        </w:rPr>
        <w:t>При цьому, Licata A. </w:t>
      </w:r>
      <w:r>
        <w:rPr>
          <w:rFonts w:cs="Times New Roman"/>
          <w:szCs w:val="28"/>
          <w:highlight w:val="none"/>
        </w:rPr>
        <w:t>et al.</w:t>
      </w:r>
      <w:r>
        <w:rPr>
          <w:rFonts w:cs="Times New Roman"/>
          <w:szCs w:val="28"/>
          <w:highlight w:val="none"/>
          <w:lang w:eastAsia="ru-RU"/>
        </w:rPr>
        <w:t xml:space="preserve"> [139] зазначають що дефіцит вітаміну D (&lt; 10 нг/мл) асоційований з негативним прогнозом перебігу та розвитком печінкових ускладнень, таких, як портальна гіпертензія та ЦП (так, як вітамін D бере безпосередню участь в регуляції диференціації та проліферації клітин [20], імунних реакціях [140] та апоптозі [139, 145], а при зниженні його концентрації за наявності патології печінки виникає інтенсивна стимуляція ФП як результату пригнічення колагену І типу, що продукується зірчастими клітинами). Стосовно ступеня ураження печінки дані літератури показують, що вірогідність важкого ФП збільшується в 2,5 рази за концентрації вітаміну D 10 нг/мл та в 2,2 рази – за концентрації 30 нг/мл (відповідно ВШ = 2,5 [95,0 % ДІ 1,2–4,7] та ВШ = 2,2 [95,0 % ДІ 1,2–4,0] [20]).</w:t>
      </w:r>
    </w:p>
    <w:p w14:paraId="102EC660">
      <w:pPr>
        <w:rPr>
          <w:rFonts w:cs="Times New Roman"/>
          <w:szCs w:val="28"/>
          <w:highlight w:val="none"/>
        </w:rPr>
      </w:pPr>
      <w:r>
        <w:rPr>
          <w:rFonts w:cs="Times New Roman"/>
          <w:szCs w:val="28"/>
          <w:highlight w:val="none"/>
          <w:lang w:eastAsia="ru-RU"/>
        </w:rPr>
        <w:t>Окрім цього, в дослідженні Jeong J. Y. </w:t>
      </w:r>
      <w:r>
        <w:rPr>
          <w:rFonts w:cs="Times New Roman"/>
          <w:szCs w:val="28"/>
          <w:highlight w:val="none"/>
        </w:rPr>
        <w:t>et al.</w:t>
      </w:r>
      <w:r>
        <w:rPr>
          <w:rFonts w:cs="Times New Roman"/>
          <w:szCs w:val="28"/>
          <w:highlight w:val="none"/>
          <w:lang w:eastAsia="ru-RU"/>
        </w:rPr>
        <w:t xml:space="preserve"> [145] було показано, що пацієнти з ХГС, яким додавали вітамін D до стандартної схеми лікування (ПЕГ-ІФ + </w:t>
      </w:r>
      <w:r>
        <w:rPr>
          <w:rFonts w:cs="Times New Roman"/>
          <w:szCs w:val="28"/>
          <w:highlight w:val="none"/>
        </w:rPr>
        <w:t>RBV</w:t>
      </w:r>
      <w:r>
        <w:rPr>
          <w:rFonts w:cs="Times New Roman"/>
          <w:szCs w:val="28"/>
          <w:highlight w:val="none"/>
          <w:lang w:eastAsia="ru-RU"/>
        </w:rPr>
        <w:t>) частіше відзначали СВВ (84,5 %), порівняно з тими, хто лікувався за стандартною схемою (74,5 %), проте показники достовірно не різнилися (р = 0,202). Частіше (проте недостовірно) СВВ визначалася серед пацієнтів з генотипом 1 ВГС (відповідно 64,7 % та 43,8 %; р = 0,227), ніж з генотипами 2 та 3 (відповідно 90,3 % та 92,7 %, р = 0,720). Інший мета-аналіз Kitson </w:t>
      </w:r>
      <w:r>
        <w:rPr>
          <w:rFonts w:cs="Times New Roman"/>
          <w:szCs w:val="28"/>
          <w:highlight w:val="none"/>
        </w:rPr>
        <w:t>et al.</w:t>
      </w:r>
      <w:r>
        <w:rPr>
          <w:rFonts w:cs="Times New Roman"/>
          <w:szCs w:val="28"/>
          <w:highlight w:val="none"/>
          <w:lang w:eastAsia="ru-RU"/>
        </w:rPr>
        <w:t xml:space="preserve"> [15] показав, що базовий рівень вітаміну D не асоціювався з досягненням СВВ у пацієнтів, яких лікували ПЕГ-ІФ + </w:t>
      </w:r>
      <w:r>
        <w:rPr>
          <w:rFonts w:cs="Times New Roman"/>
          <w:szCs w:val="28"/>
          <w:highlight w:val="none"/>
        </w:rPr>
        <w:t>RBV</w:t>
      </w:r>
      <w:r>
        <w:rPr>
          <w:rFonts w:cs="Times New Roman"/>
          <w:szCs w:val="28"/>
          <w:highlight w:val="none"/>
          <w:lang w:eastAsia="ru-RU"/>
        </w:rPr>
        <w:t xml:space="preserve"> (ВШ = 1,44 [95,0 % ДІ 0,96–2,26]; р = 0,11). Також не було встановлено достовірної асоціації залежно від генотипу: генотипи 1/4/5 – ВШ = 1,48 [95 % ДІ 0,94–2,34]; р = 0,09 та генотипи 2/3 – ВШ = 1,51 [95,0 % ДІ 0,26–8,87]; р = </w:t>
      </w:r>
      <w:r>
        <w:rPr>
          <w:rFonts w:cs="Times New Roman"/>
          <w:szCs w:val="28"/>
          <w:highlight w:val="none"/>
        </w:rPr>
        <w:t>0,65.</w:t>
      </w:r>
    </w:p>
    <w:p w14:paraId="5C425B99">
      <w:pPr>
        <w:rPr>
          <w:rFonts w:cs="Times New Roman"/>
          <w:szCs w:val="28"/>
          <w:highlight w:val="none"/>
          <w:lang w:eastAsia="ru-RU"/>
        </w:rPr>
      </w:pPr>
      <w:r>
        <w:rPr>
          <w:rFonts w:cs="Times New Roman"/>
          <w:szCs w:val="28"/>
          <w:highlight w:val="none"/>
        </w:rPr>
        <w:t xml:space="preserve">Також, інші дослідження визначають можливості покращення перебігу захворювань печінки та попередження розвитку ускладнень ХГС за допомогою корекції рівнів вітаміну D з урахуванням патогенетичних механізмів взаємодії вітаміну D та інфекції ВГС [148–158]. Проте, слід вказати, що існуючі дані мають низку протирічь. Так, </w:t>
      </w:r>
      <w:r>
        <w:rPr>
          <w:rFonts w:cs="Times New Roman"/>
          <w:szCs w:val="28"/>
          <w:highlight w:val="none"/>
          <w:lang w:eastAsia="ru-RU"/>
        </w:rPr>
        <w:t>в мета-аналізі Bjelakovic G. </w:t>
      </w:r>
      <w:r>
        <w:rPr>
          <w:rFonts w:cs="Times New Roman"/>
          <w:szCs w:val="28"/>
          <w:highlight w:val="none"/>
        </w:rPr>
        <w:t>et al.</w:t>
      </w:r>
      <w:r>
        <w:rPr>
          <w:rFonts w:cs="Times New Roman"/>
          <w:szCs w:val="28"/>
          <w:highlight w:val="none"/>
          <w:lang w:eastAsia="ru-RU"/>
        </w:rPr>
        <w:t xml:space="preserve"> [142] не було отримано вірогідних результатів, що суплементація вітаміну D асоційована зі зниженням захворюваності та смертності від печінкової патології. Так, СВВ у пацієнтів з ХГС (n = 422) не була достовірно асоційована з додатковою суплементацією вітаміну D (відносний ризик = 0,59 [95,0 % ДІ 0,28–1,21]). Подібні результати було отримано й при аналізі розвитку ранньої вірологічної відповіді (n = 140): відносний ризик = 0,10 [95,0 % ДІ 0,03–0,33].</w:t>
      </w:r>
    </w:p>
    <w:p w14:paraId="50A46668">
      <w:pPr>
        <w:rPr>
          <w:rFonts w:cs="Times New Roman"/>
          <w:szCs w:val="28"/>
          <w:highlight w:val="none"/>
        </w:rPr>
      </w:pPr>
    </w:p>
    <w:p w14:paraId="00233D5D">
      <w:pPr>
        <w:pStyle w:val="3"/>
        <w:rPr>
          <w:highlight w:val="none"/>
        </w:rPr>
      </w:pPr>
      <w:bookmarkStart w:id="18" w:name="_Toc153923947"/>
      <w:r>
        <w:rPr>
          <w:highlight w:val="none"/>
        </w:rPr>
        <w:t>1.5 Терапевтичні можливості сучасної противірусної терапії гепатиту С</w:t>
      </w:r>
      <w:bookmarkEnd w:id="18"/>
    </w:p>
    <w:p w14:paraId="1B71BC22">
      <w:pPr>
        <w:pStyle w:val="23"/>
        <w:widowControl w:val="0"/>
        <w:spacing w:before="0" w:beforeAutospacing="0" w:after="0" w:afterAutospacing="0" w:line="360" w:lineRule="auto"/>
        <w:ind w:firstLine="709"/>
        <w:jc w:val="both"/>
        <w:textAlignment w:val="baseline"/>
        <w:rPr>
          <w:sz w:val="28"/>
          <w:szCs w:val="28"/>
          <w:highlight w:val="none"/>
        </w:rPr>
      </w:pPr>
    </w:p>
    <w:p w14:paraId="66441634">
      <w:pPr>
        <w:pStyle w:val="23"/>
        <w:widowControl w:val="0"/>
        <w:spacing w:before="0" w:beforeAutospacing="0" w:after="0" w:afterAutospacing="0" w:line="360" w:lineRule="auto"/>
        <w:ind w:firstLine="709"/>
        <w:jc w:val="both"/>
        <w:textAlignment w:val="baseline"/>
        <w:rPr>
          <w:sz w:val="28"/>
          <w:szCs w:val="28"/>
          <w:highlight w:val="none"/>
        </w:rPr>
      </w:pPr>
      <w:r>
        <w:rPr>
          <w:sz w:val="28"/>
          <w:szCs w:val="28"/>
          <w:highlight w:val="none"/>
        </w:rPr>
        <w:t>Останніми роками робилися значні спроби винайти ефективне противірусне лікування ВГС [159–167]. Так, було визначено, що усі хворі з ХГС повинні отримувати противірусну терапію [168–179]. При цьому, також було констатовано, що лікування повинні отримувати усі пацієнти з прогресуючим ФП (F3 або F4) і з позапечінковими проявами [180, 181].</w:t>
      </w:r>
      <w:r>
        <w:rPr>
          <w:sz w:val="28"/>
          <w:szCs w:val="28"/>
          <w:highlight w:val="none"/>
        </w:rPr>
        <w:t xml:space="preserve"> Окрім цього, </w:t>
      </w:r>
      <w:r>
        <w:rPr>
          <w:sz w:val="28"/>
          <w:szCs w:val="28"/>
          <w:highlight w:val="none"/>
        </w:rPr>
        <w:t>хворі з легким ФП (F0–F2) також повинні отримувати лікування задля попередження передачі інфекції іншим [</w:t>
      </w:r>
      <w:r>
        <w:rPr>
          <w:bCs/>
          <w:sz w:val="28"/>
          <w:szCs w:val="28"/>
          <w:highlight w:val="none"/>
        </w:rPr>
        <w:t>2</w:t>
      </w:r>
      <w:r>
        <w:rPr>
          <w:sz w:val="28"/>
          <w:szCs w:val="28"/>
          <w:highlight w:val="none"/>
        </w:rPr>
        <w:t>].</w:t>
      </w:r>
    </w:p>
    <w:p w14:paraId="7161E4D8">
      <w:pPr>
        <w:rPr>
          <w:rFonts w:cs="Times New Roman"/>
          <w:szCs w:val="28"/>
          <w:highlight w:val="none"/>
        </w:rPr>
      </w:pPr>
      <w:r>
        <w:rPr>
          <w:rFonts w:cs="Times New Roman"/>
          <w:szCs w:val="28"/>
          <w:highlight w:val="none"/>
          <w:shd w:val="clear" w:color="auto" w:fill="FFFFFF"/>
        </w:rPr>
        <w:t xml:space="preserve">Основною метою противірусної терапії є повна ерадикація вірусу (СВВ), що констатується як відсутність вірусемії через 12 тижнів після завершення лікування. </w:t>
      </w:r>
      <w:r>
        <w:rPr>
          <w:rFonts w:cs="Times New Roman"/>
          <w:szCs w:val="28"/>
          <w:highlight w:val="none"/>
        </w:rPr>
        <w:t xml:space="preserve">Повна СВВ (визначає більшу виживаємість із ФП і менший ризик печінкової декомпенсації та виникнення ГЦК [182]) визначає повне виліковування від ВГС, оскільки пізній рецидив можливий лише для у 0,2 % випадків після 6 місяців. СВВ (як правило) супроводжується з нормалізацією рівнів печінкових ферментів і покращенням або регресом некрозапалення та ФП та покращенням її функції </w:t>
      </w:r>
      <w:bookmarkStart w:id="19" w:name="bbib8"/>
      <w:bookmarkStart w:id="20" w:name="bbib6"/>
      <w:r>
        <w:rPr>
          <w:rFonts w:cs="Times New Roman"/>
          <w:szCs w:val="28"/>
          <w:highlight w:val="none"/>
        </w:rPr>
        <w:t>[69, 183, 184]</w:t>
      </w:r>
      <w:bookmarkEnd w:id="19"/>
      <w:r>
        <w:rPr>
          <w:rFonts w:cs="Times New Roman"/>
          <w:szCs w:val="28"/>
          <w:highlight w:val="none"/>
        </w:rPr>
        <w:t>. При цьому, ризики розвитку ГЦК та смертності [185–188] значно знижуються але повністю не усуваються при ЦП [189–193]</w:t>
      </w:r>
      <w:bookmarkEnd w:id="20"/>
      <w:r>
        <w:rPr>
          <w:rFonts w:cs="Times New Roman"/>
          <w:szCs w:val="28"/>
          <w:highlight w:val="none"/>
        </w:rPr>
        <w:t>. Повторна вірусемія ВГС після СВВ означає або повторне зараження, або рецидив [194, 195].</w:t>
      </w:r>
    </w:p>
    <w:p w14:paraId="1E00B24A">
      <w:pPr>
        <w:pStyle w:val="23"/>
        <w:widowControl w:val="0"/>
        <w:spacing w:before="0" w:beforeAutospacing="0" w:after="0" w:afterAutospacing="0" w:line="360" w:lineRule="auto"/>
        <w:ind w:firstLine="709"/>
        <w:jc w:val="both"/>
        <w:rPr>
          <w:sz w:val="28"/>
          <w:szCs w:val="28"/>
          <w:highlight w:val="none"/>
        </w:rPr>
      </w:pPr>
      <w:r>
        <w:rPr>
          <w:sz w:val="28"/>
          <w:szCs w:val="28"/>
          <w:highlight w:val="none"/>
        </w:rPr>
        <w:t xml:space="preserve">Для оцінки СВВ рекомендують через 12 (чи більше) тижнів після застосування </w:t>
      </w:r>
      <w:r>
        <w:rPr>
          <w:sz w:val="28"/>
          <w:szCs w:val="28"/>
          <w:highlight w:val="none"/>
          <w:shd w:val="clear" w:color="auto" w:fill="FCFCFC"/>
        </w:rPr>
        <w:t xml:space="preserve">противірусних препаратів прямої дії (ПППД) </w:t>
      </w:r>
      <w:r>
        <w:rPr>
          <w:sz w:val="28"/>
          <w:szCs w:val="28"/>
          <w:highlight w:val="none"/>
        </w:rPr>
        <w:t>проводити тестування РНК ВГС і амінотрансферази. Хворим із ЦП рекомендують ультразвукове обстеження на ГЦК кожні 6 місяців після лікування незалежно СВВ [196]. При ЦП рекомендують ендоскопічне спостереження верхніх відділів варикозу стравоходу для діагностування портальної гіпертензивної кровотечі [197].</w:t>
      </w:r>
    </w:p>
    <w:p w14:paraId="08534309">
      <w:pPr>
        <w:rPr>
          <w:rFonts w:cs="Times New Roman"/>
          <w:szCs w:val="28"/>
          <w:highlight w:val="none"/>
        </w:rPr>
      </w:pPr>
      <w:r>
        <w:rPr>
          <w:rFonts w:cs="Times New Roman"/>
          <w:szCs w:val="28"/>
          <w:highlight w:val="none"/>
          <w:shd w:val="clear" w:color="auto" w:fill="FCFCFC"/>
        </w:rPr>
        <w:t xml:space="preserve">Визначається, що використання нових ПППД може вилікувати більше за 90,0 % хворих на ВГС [52, 198–201] </w:t>
      </w:r>
      <w:r>
        <w:rPr>
          <w:rStyle w:val="10"/>
          <w:rFonts w:cs="Times New Roman"/>
          <w:i w:val="0"/>
          <w:iCs w:val="0"/>
          <w:szCs w:val="28"/>
          <w:highlight w:val="none"/>
        </w:rPr>
        <w:t>за 8–12 тижнів терапії, незалежно від</w:t>
      </w:r>
      <w:r>
        <w:rPr>
          <w:rStyle w:val="10"/>
          <w:rFonts w:cs="Times New Roman"/>
          <w:szCs w:val="28"/>
          <w:highlight w:val="none"/>
        </w:rPr>
        <w:t xml:space="preserve"> </w:t>
      </w:r>
      <w:r>
        <w:rPr>
          <w:rStyle w:val="10"/>
          <w:rFonts w:cs="Times New Roman"/>
          <w:i w:val="0"/>
          <w:iCs w:val="0"/>
          <w:szCs w:val="28"/>
          <w:highlight w:val="none"/>
        </w:rPr>
        <w:t>генотипу ВГС, рівня ФП</w:t>
      </w:r>
      <w:r>
        <w:rPr>
          <w:rStyle w:val="10"/>
          <w:rFonts w:cs="Times New Roman"/>
          <w:szCs w:val="28"/>
          <w:highlight w:val="none"/>
        </w:rPr>
        <w:t xml:space="preserve"> </w:t>
      </w:r>
      <w:r>
        <w:rPr>
          <w:rFonts w:cs="Times New Roman"/>
          <w:szCs w:val="28"/>
          <w:highlight w:val="none"/>
          <w:shd w:val="clear" w:color="auto" w:fill="FFFFFF"/>
        </w:rPr>
        <w:t>або наявності ЦП [202</w:t>
      </w:r>
      <w:r>
        <w:rPr>
          <w:rStyle w:val="10"/>
          <w:rFonts w:cs="Times New Roman"/>
          <w:szCs w:val="28"/>
          <w:highlight w:val="none"/>
          <w:shd w:val="clear" w:color="auto" w:fill="FFFFFF"/>
        </w:rPr>
        <w:t xml:space="preserve">]. </w:t>
      </w:r>
      <w:r>
        <w:rPr>
          <w:rStyle w:val="10"/>
          <w:rFonts w:cs="Times New Roman"/>
          <w:i w:val="0"/>
          <w:iCs w:val="0"/>
          <w:szCs w:val="28"/>
          <w:highlight w:val="none"/>
          <w:shd w:val="clear" w:color="auto" w:fill="FFFFFF"/>
        </w:rPr>
        <w:t>Інші дані свідчать про</w:t>
      </w:r>
      <w:r>
        <w:rPr>
          <w:rStyle w:val="10"/>
          <w:rFonts w:cs="Times New Roman"/>
          <w:szCs w:val="28"/>
          <w:highlight w:val="none"/>
          <w:shd w:val="clear" w:color="auto" w:fill="FFFFFF"/>
        </w:rPr>
        <w:t xml:space="preserve"> </w:t>
      </w:r>
      <w:r>
        <w:rPr>
          <w:rFonts w:cs="Times New Roman"/>
          <w:szCs w:val="28"/>
          <w:highlight w:val="none"/>
        </w:rPr>
        <w:t>видужання більш ніж 95,0 % хворих із ВГС при використанні ПППД [203], хоча доступ до ПППД та можливості їх використання є географічно нерівномірним [204–206].</w:t>
      </w:r>
    </w:p>
    <w:p w14:paraId="0FAA976D">
      <w:pPr>
        <w:rPr>
          <w:rFonts w:cs="Times New Roman"/>
          <w:szCs w:val="28"/>
          <w:highlight w:val="none"/>
        </w:rPr>
      </w:pPr>
      <w:r>
        <w:rPr>
          <w:rFonts w:cs="Times New Roman"/>
          <w:szCs w:val="28"/>
          <w:highlight w:val="none"/>
        </w:rPr>
        <w:t xml:space="preserve">Слід вказати, що історично початкова терапія ХГС включала ПЕГ-ІФ та RBV. При цьому спостерігалося покращення ФП у 20,0 % інфікованих. </w:t>
      </w:r>
      <w:r>
        <w:rPr>
          <w:rFonts w:cs="Times New Roman"/>
          <w:szCs w:val="28"/>
          <w:highlight w:val="none"/>
          <w:lang w:eastAsia="ru-RU"/>
        </w:rPr>
        <w:t xml:space="preserve">Розробка та застосування ПЕГ-ІФ в комбінації з </w:t>
      </w:r>
      <w:r>
        <w:rPr>
          <w:rFonts w:cs="Times New Roman"/>
          <w:szCs w:val="28"/>
          <w:highlight w:val="none"/>
        </w:rPr>
        <w:t>RBV</w:t>
      </w:r>
      <w:r>
        <w:rPr>
          <w:rFonts w:cs="Times New Roman"/>
          <w:szCs w:val="28"/>
          <w:highlight w:val="none"/>
          <w:lang w:eastAsia="ru-RU"/>
        </w:rPr>
        <w:t xml:space="preserve"> призвела до значного збільшення частоти формування СВВ [14], яка сягала майже 52,0 % для 1-го генотипу ВГС [19], 85,0 % – для генотипів 4, 5 та 7 й 82,0 % – для генотипів 2 та 3 [40]. Проте, наступна розробка та застосування ПППД дозволила досягти майже повної елімінації ВГС [40, 67]. Але, незважаючи на високу клінічну ефективність, була низка обмежень щодо широкого застосування ПППД, зокрема висока вартість, наявність недіагностованих пацієнтів та ПППД-резистентних мутацій ВГС [40]. Так, застосування комбінації ПППД першої генерації (інгібітори протеази NS3/4A: боцепревір (</w:t>
      </w:r>
      <w:r>
        <w:rPr>
          <w:rStyle w:val="10"/>
          <w:rFonts w:cs="Times New Roman"/>
          <w:bCs/>
          <w:szCs w:val="28"/>
          <w:highlight w:val="none"/>
          <w:shd w:val="clear" w:color="auto" w:fill="FFFFFF"/>
        </w:rPr>
        <w:t>Boceprevir</w:t>
      </w:r>
      <w:r>
        <w:rPr>
          <w:rFonts w:cs="Times New Roman"/>
          <w:szCs w:val="28"/>
          <w:highlight w:val="none"/>
          <w:lang w:eastAsia="ru-RU"/>
        </w:rPr>
        <w:t>) та телапревір (</w:t>
      </w:r>
      <w:r>
        <w:rPr>
          <w:rFonts w:cs="Times New Roman"/>
          <w:szCs w:val="28"/>
          <w:highlight w:val="none"/>
          <w:shd w:val="clear" w:color="auto" w:fill="FFFFFF"/>
        </w:rPr>
        <w:t>Telaprevir</w:t>
      </w:r>
      <w:r>
        <w:rPr>
          <w:rFonts w:cs="Times New Roman"/>
          <w:szCs w:val="28"/>
          <w:highlight w:val="none"/>
          <w:lang w:eastAsia="ru-RU"/>
        </w:rPr>
        <w:t xml:space="preserve">) [207], розроблених в 2011 р.), ПЕГ-ІФ-α та </w:t>
      </w:r>
      <w:r>
        <w:rPr>
          <w:rFonts w:cs="Times New Roman"/>
          <w:szCs w:val="28"/>
          <w:highlight w:val="none"/>
        </w:rPr>
        <w:t>RBV</w:t>
      </w:r>
      <w:r>
        <w:rPr>
          <w:rFonts w:cs="Times New Roman"/>
          <w:szCs w:val="28"/>
          <w:highlight w:val="none"/>
          <w:lang w:eastAsia="ru-RU"/>
        </w:rPr>
        <w:t xml:space="preserve"> призвела до досягнення СВВ відповіді в 70,0 % випадків інфікування ВГС генотипу 1 [19]. Незважаючи на високу ефективність, лікування даною потрійною схемою призвело до високої частоти формування резистентності. Включення в схеми лікування ПППД в 2014 р. другого (інгібітор протеаз: сімепревір (Simeprevir,</w:t>
      </w:r>
      <w:r>
        <w:rPr>
          <w:rFonts w:cs="Times New Roman"/>
          <w:szCs w:val="28"/>
          <w:highlight w:val="none"/>
        </w:rPr>
        <w:t xml:space="preserve"> SIM))</w:t>
      </w:r>
      <w:r>
        <w:rPr>
          <w:rFonts w:cs="Times New Roman"/>
          <w:szCs w:val="28"/>
          <w:highlight w:val="none"/>
          <w:lang w:eastAsia="ru-RU"/>
        </w:rPr>
        <w:t xml:space="preserve"> та третього (інгібітор нуклеотидної полімерази: </w:t>
      </w:r>
      <w:r>
        <w:rPr>
          <w:rFonts w:cs="Times New Roman"/>
          <w:szCs w:val="28"/>
          <w:highlight w:val="none"/>
        </w:rPr>
        <w:t>софосбувір (Sofosbuvir, SOF)</w:t>
      </w:r>
      <w:r>
        <w:rPr>
          <w:rFonts w:cs="Times New Roman"/>
          <w:szCs w:val="28"/>
          <w:highlight w:val="none"/>
          <w:lang w:eastAsia="ru-RU"/>
        </w:rPr>
        <w:t xml:space="preserve">) препаратів показало надзвичайну ефективність лікування й дозволило майже повністю припинити використання ІФ для досягнення повної елімінації ВГС [40]. Так, </w:t>
      </w:r>
      <w:r>
        <w:rPr>
          <w:rFonts w:cs="Times New Roman"/>
          <w:szCs w:val="28"/>
          <w:highlight w:val="none"/>
        </w:rPr>
        <w:t>SOF став використовуватися в більшості комбінованих методів лікування [208, 209]: у комбінації тільки з RBV, з ПЕГ-ІФ і RBV або в комбінації з SIM (SOF/SIM), даклатасвіром (Daklatasvir, DCV) (SOF/DCV) або ледіпасвіром (Ladypasvir, LDV) (SOF/LDV) з або без RBV.</w:t>
      </w:r>
    </w:p>
    <w:p w14:paraId="25CD50B5">
      <w:pPr>
        <w:rPr>
          <w:rFonts w:cs="Times New Roman"/>
          <w:szCs w:val="28"/>
          <w:highlight w:val="none"/>
        </w:rPr>
      </w:pPr>
      <w:r>
        <w:rPr>
          <w:rFonts w:cs="Times New Roman"/>
          <w:szCs w:val="28"/>
          <w:highlight w:val="none"/>
        </w:rPr>
        <w:t>У 2015 р. було запропоновано застосовувати комбінації дасабувіру (</w:t>
      </w:r>
      <w:r>
        <w:rPr>
          <w:rStyle w:val="10"/>
          <w:rFonts w:cs="Times New Roman"/>
          <w:bCs/>
          <w:szCs w:val="28"/>
          <w:highlight w:val="none"/>
          <w:shd w:val="clear" w:color="auto" w:fill="FFFFFF"/>
        </w:rPr>
        <w:t>Dasabuvir</w:t>
      </w:r>
      <w:r>
        <w:rPr>
          <w:rFonts w:cs="Times New Roman"/>
          <w:szCs w:val="28"/>
          <w:highlight w:val="none"/>
        </w:rPr>
        <w:t>) з омбітасвіром (</w:t>
      </w:r>
      <w:r>
        <w:rPr>
          <w:rStyle w:val="10"/>
          <w:rFonts w:cs="Times New Roman"/>
          <w:bCs/>
          <w:szCs w:val="28"/>
          <w:highlight w:val="none"/>
          <w:shd w:val="clear" w:color="auto" w:fill="FFFFFF"/>
        </w:rPr>
        <w:t>Ombitasvir</w:t>
      </w:r>
      <w:r>
        <w:rPr>
          <w:rFonts w:cs="Times New Roman"/>
          <w:szCs w:val="28"/>
          <w:highlight w:val="none"/>
        </w:rPr>
        <w:t>) і парітапревіру з ритонавіром (</w:t>
      </w:r>
      <w:r>
        <w:rPr>
          <w:rStyle w:val="10"/>
          <w:rFonts w:cs="Times New Roman"/>
          <w:bCs/>
          <w:szCs w:val="28"/>
          <w:highlight w:val="none"/>
          <w:shd w:val="clear" w:color="auto" w:fill="FFFFFF"/>
        </w:rPr>
        <w:t>Paritaprevir/</w:t>
      </w:r>
      <w:r>
        <w:rPr>
          <w:rFonts w:cs="Times New Roman"/>
          <w:szCs w:val="28"/>
          <w:highlight w:val="none"/>
          <w:shd w:val="clear" w:color="auto" w:fill="FFFFFF"/>
        </w:rPr>
        <w:t>Ritonavir</w:t>
      </w:r>
      <w:r>
        <w:rPr>
          <w:rFonts w:cs="Times New Roman"/>
          <w:szCs w:val="28"/>
          <w:highlight w:val="none"/>
        </w:rPr>
        <w:t>), що розширило застосування лише SOF. Слід вказати, що останніми роками перелік ПППД продовжує розширюватися за рахунок схвалення інших комбінацій, таких, як Гразопревір/Елбасвір (Grazoprevirum/Elbasvirum, GZR/EBR), (SOF/велпатасвір (</w:t>
      </w:r>
      <w:r>
        <w:rPr>
          <w:rStyle w:val="10"/>
          <w:rFonts w:cs="Times New Roman"/>
          <w:bCs/>
          <w:szCs w:val="28"/>
          <w:highlight w:val="none"/>
          <w:shd w:val="clear" w:color="auto" w:fill="FFFFFF"/>
        </w:rPr>
        <w:t>Velpatasvir,</w:t>
      </w:r>
      <w:r>
        <w:rPr>
          <w:rFonts w:cs="Times New Roman"/>
          <w:szCs w:val="28"/>
          <w:highlight w:val="none"/>
        </w:rPr>
        <w:t xml:space="preserve"> VEL) (SOF/VEL), глекапревір/пібрентасвір (Glecaprevir/Pibrentasvir, </w:t>
      </w:r>
      <w:r>
        <w:rPr>
          <w:rFonts w:cs="Times New Roman"/>
          <w:szCs w:val="28"/>
          <w:highlight w:val="none"/>
          <w:shd w:val="clear" w:color="auto" w:fill="FCFCFC"/>
        </w:rPr>
        <w:t>GLE/PIB</w:t>
      </w:r>
      <w:r>
        <w:rPr>
          <w:rFonts w:cs="Times New Roman"/>
          <w:szCs w:val="28"/>
          <w:highlight w:val="none"/>
        </w:rPr>
        <w:t>) та SOF/VEL/Воксилапревір (</w:t>
      </w:r>
      <w:r>
        <w:rPr>
          <w:rStyle w:val="10"/>
          <w:rFonts w:cs="Times New Roman"/>
          <w:bCs/>
          <w:szCs w:val="28"/>
          <w:highlight w:val="none"/>
          <w:shd w:val="clear" w:color="auto" w:fill="FFFFFF"/>
        </w:rPr>
        <w:t>Voxilaprevir,</w:t>
      </w:r>
      <w:r>
        <w:rPr>
          <w:rFonts w:cs="Times New Roman"/>
          <w:szCs w:val="28"/>
          <w:highlight w:val="none"/>
          <w:shd w:val="clear" w:color="auto" w:fill="FCFCFC"/>
        </w:rPr>
        <w:t xml:space="preserve"> VOX</w:t>
      </w:r>
      <w:r>
        <w:rPr>
          <w:rFonts w:cs="Times New Roman"/>
          <w:szCs w:val="28"/>
          <w:highlight w:val="none"/>
        </w:rPr>
        <w:t>) [27].</w:t>
      </w:r>
    </w:p>
    <w:p w14:paraId="10D6BBB0">
      <w:pPr>
        <w:rPr>
          <w:rFonts w:cs="Times New Roman"/>
          <w:szCs w:val="28"/>
          <w:highlight w:val="none"/>
        </w:rPr>
      </w:pPr>
      <w:r>
        <w:rPr>
          <w:rFonts w:cs="Times New Roman"/>
          <w:szCs w:val="28"/>
          <w:highlight w:val="none"/>
        </w:rPr>
        <w:t>При цьому, вчені визначають, що після розробки нових ПППД схем противірусної терапії ВГС відзначалося покращення показників 3-х опросників PRO (CLDQ-HCV, SF-36 и FACIT-F) після повної ерадикації вірусу ВГС [210–219]</w:t>
      </w:r>
    </w:p>
    <w:p w14:paraId="275311C2">
      <w:pPr>
        <w:rPr>
          <w:rFonts w:cs="Times New Roman"/>
          <w:szCs w:val="28"/>
          <w:highlight w:val="none"/>
        </w:rPr>
      </w:pPr>
      <w:r>
        <w:rPr>
          <w:rFonts w:cs="Times New Roman"/>
          <w:szCs w:val="28"/>
          <w:highlight w:val="none"/>
          <w:shd w:val="clear" w:color="auto" w:fill="FFFFFF"/>
        </w:rPr>
        <w:t xml:space="preserve">ПППД включають інгібітори протеази, нуклеозидних аналогів полімерази або NS5A. Більшість препаратів є пангенотиповими (противірусна дія проти всіх генотипів ВГС [220–223]. </w:t>
      </w:r>
      <w:r>
        <w:rPr>
          <w:rFonts w:cs="Times New Roman"/>
          <w:szCs w:val="28"/>
          <w:highlight w:val="none"/>
        </w:rPr>
        <w:t xml:space="preserve">Слід вказати, що згідно з Канадським агентством з ліків і технологій у сфері охорони здоров’я (CADTH), лікування гепатиту С без ІФ терапією на основі ПППД є економічно ефективним на всіх стадіях ФП [168, 224] </w:t>
      </w:r>
      <w:r>
        <w:rPr>
          <w:rFonts w:cs="Times New Roman"/>
          <w:szCs w:val="28"/>
          <w:highlight w:val="none"/>
          <w:shd w:val="clear" w:color="auto" w:fill="FFFFFF"/>
        </w:rPr>
        <w:t xml:space="preserve">не означаючи лікування захворювання печінки [225]. </w:t>
      </w:r>
      <w:r>
        <w:rPr>
          <w:rFonts w:cs="Times New Roman"/>
          <w:szCs w:val="28"/>
          <w:highlight w:val="none"/>
        </w:rPr>
        <w:t>Терапія ж ФП включає усунення шкідливих подразників, інгібування запалення печінки, пригнічення активації зірчастих клітин і профіброгенних механізмів та індукції деградації матриксу рубця [186]. При цьому, ПППД рекомендують для лікування всім пацієнтам зі значним ФП або ЦП [226].</w:t>
      </w:r>
    </w:p>
    <w:p w14:paraId="25024E45">
      <w:pPr>
        <w:rPr>
          <w:rFonts w:cs="Times New Roman"/>
          <w:szCs w:val="28"/>
          <w:highlight w:val="none"/>
        </w:rPr>
      </w:pPr>
      <w:r>
        <w:rPr>
          <w:rFonts w:cs="Times New Roman"/>
          <w:szCs w:val="28"/>
          <w:highlight w:val="none"/>
        </w:rPr>
        <w:t xml:space="preserve">Наразі було доведено ефективність використання наступних схем лікування </w:t>
      </w:r>
      <w:r>
        <w:rPr>
          <w:rFonts w:cs="Times New Roman"/>
          <w:szCs w:val="28"/>
          <w:highlight w:val="none"/>
          <w:shd w:val="clear" w:color="auto" w:fill="FCFCFC"/>
        </w:rPr>
        <w:t xml:space="preserve">ХГС: </w:t>
      </w:r>
      <w:r>
        <w:rPr>
          <w:rFonts w:cs="Times New Roman"/>
          <w:szCs w:val="28"/>
          <w:highlight w:val="none"/>
        </w:rPr>
        <w:t>SOF</w:t>
      </w:r>
      <w:r>
        <w:rPr>
          <w:rFonts w:cs="Times New Roman"/>
          <w:szCs w:val="28"/>
          <w:highlight w:val="none"/>
          <w:shd w:val="clear" w:color="auto" w:fill="FCFCFC"/>
        </w:rPr>
        <w:t>/</w:t>
      </w:r>
      <w:r>
        <w:rPr>
          <w:rFonts w:cs="Times New Roman"/>
          <w:szCs w:val="28"/>
          <w:highlight w:val="none"/>
        </w:rPr>
        <w:t>DCV</w:t>
      </w:r>
      <w:r>
        <w:rPr>
          <w:rFonts w:cs="Times New Roman"/>
          <w:szCs w:val="28"/>
          <w:highlight w:val="none"/>
          <w:shd w:val="clear" w:color="auto" w:fill="FCFCFC"/>
        </w:rPr>
        <w:t xml:space="preserve">, </w:t>
      </w:r>
      <w:r>
        <w:rPr>
          <w:rFonts w:cs="Times New Roman"/>
          <w:szCs w:val="28"/>
          <w:highlight w:val="none"/>
        </w:rPr>
        <w:t>SOF</w:t>
      </w:r>
      <w:r>
        <w:rPr>
          <w:rFonts w:cs="Times New Roman"/>
          <w:szCs w:val="28"/>
          <w:highlight w:val="none"/>
          <w:shd w:val="clear" w:color="auto" w:fill="FCFCFC"/>
        </w:rPr>
        <w:t>/</w:t>
      </w:r>
      <w:r>
        <w:rPr>
          <w:rFonts w:cs="Times New Roman"/>
          <w:szCs w:val="28"/>
          <w:highlight w:val="none"/>
        </w:rPr>
        <w:t>LDV</w:t>
      </w:r>
      <w:r>
        <w:rPr>
          <w:rFonts w:cs="Times New Roman"/>
          <w:szCs w:val="28"/>
          <w:highlight w:val="none"/>
          <w:shd w:val="clear" w:color="auto" w:fill="FCFCFC"/>
        </w:rPr>
        <w:t xml:space="preserve">, </w:t>
      </w:r>
      <w:r>
        <w:rPr>
          <w:rFonts w:cs="Times New Roman"/>
          <w:szCs w:val="28"/>
          <w:highlight w:val="none"/>
        </w:rPr>
        <w:t>EBR</w:t>
      </w:r>
      <w:r>
        <w:rPr>
          <w:rFonts w:cs="Times New Roman"/>
          <w:szCs w:val="28"/>
          <w:highlight w:val="none"/>
          <w:shd w:val="clear" w:color="auto" w:fill="FCFCFC"/>
        </w:rPr>
        <w:t>/</w:t>
      </w:r>
      <w:r>
        <w:rPr>
          <w:rFonts w:cs="Times New Roman"/>
          <w:szCs w:val="28"/>
          <w:highlight w:val="none"/>
        </w:rPr>
        <w:t>GZR</w:t>
      </w:r>
      <w:r>
        <w:rPr>
          <w:rFonts w:cs="Times New Roman"/>
          <w:szCs w:val="28"/>
          <w:highlight w:val="none"/>
          <w:shd w:val="clear" w:color="auto" w:fill="FCFCFC"/>
        </w:rPr>
        <w:t xml:space="preserve">, </w:t>
      </w:r>
      <w:r>
        <w:rPr>
          <w:rFonts w:cs="Times New Roman"/>
          <w:szCs w:val="28"/>
          <w:highlight w:val="none"/>
        </w:rPr>
        <w:t>SOF</w:t>
      </w:r>
      <w:r>
        <w:rPr>
          <w:rFonts w:cs="Times New Roman"/>
          <w:szCs w:val="28"/>
          <w:highlight w:val="none"/>
          <w:shd w:val="clear" w:color="auto" w:fill="FCFCFC"/>
        </w:rPr>
        <w:t>/</w:t>
      </w:r>
      <w:r>
        <w:rPr>
          <w:rFonts w:cs="Times New Roman"/>
          <w:szCs w:val="28"/>
          <w:highlight w:val="none"/>
        </w:rPr>
        <w:t>VEL</w:t>
      </w:r>
      <w:r>
        <w:rPr>
          <w:rFonts w:cs="Times New Roman"/>
          <w:szCs w:val="28"/>
          <w:highlight w:val="none"/>
          <w:shd w:val="clear" w:color="auto" w:fill="FCFCFC"/>
        </w:rPr>
        <w:t xml:space="preserve">, GLE/PIB та </w:t>
      </w:r>
      <w:r>
        <w:rPr>
          <w:rFonts w:cs="Times New Roman"/>
          <w:szCs w:val="28"/>
          <w:highlight w:val="none"/>
        </w:rPr>
        <w:t>SOF</w:t>
      </w:r>
      <w:r>
        <w:rPr>
          <w:rFonts w:cs="Times New Roman"/>
          <w:szCs w:val="28"/>
          <w:highlight w:val="none"/>
          <w:shd w:val="clear" w:color="auto" w:fill="FCFCFC"/>
        </w:rPr>
        <w:t>/</w:t>
      </w:r>
      <w:r>
        <w:rPr>
          <w:rFonts w:cs="Times New Roman"/>
          <w:szCs w:val="28"/>
          <w:highlight w:val="none"/>
        </w:rPr>
        <w:t>VEL</w:t>
      </w:r>
      <w:r>
        <w:rPr>
          <w:rFonts w:cs="Times New Roman"/>
          <w:szCs w:val="28"/>
          <w:highlight w:val="none"/>
          <w:shd w:val="clear" w:color="auto" w:fill="FCFCFC"/>
        </w:rPr>
        <w:t xml:space="preserve">/VOX [10]. </w:t>
      </w:r>
      <w:r>
        <w:rPr>
          <w:rFonts w:cs="Times New Roman"/>
          <w:szCs w:val="28"/>
          <w:highlight w:val="none"/>
          <w:shd w:val="clear" w:color="auto" w:fill="FFFFFF"/>
        </w:rPr>
        <w:t>Зазвичай поєднують два ПППД різних класів препаратів тривалістю від 8 до 12 тижнів та більше [227].</w:t>
      </w:r>
    </w:p>
    <w:p w14:paraId="3EAD6370">
      <w:pPr>
        <w:pStyle w:val="23"/>
        <w:widowControl w:val="0"/>
        <w:spacing w:before="0" w:beforeAutospacing="0" w:after="0" w:afterAutospacing="0" w:line="360" w:lineRule="auto"/>
        <w:ind w:firstLine="709"/>
        <w:jc w:val="both"/>
        <w:rPr>
          <w:sz w:val="28"/>
          <w:szCs w:val="28"/>
          <w:highlight w:val="none"/>
        </w:rPr>
      </w:pPr>
      <w:r>
        <w:rPr>
          <w:bCs/>
          <w:sz w:val="28"/>
          <w:szCs w:val="28"/>
          <w:highlight w:val="none"/>
        </w:rPr>
        <w:t xml:space="preserve">SOF/DCV. Дана схема ліцензована </w:t>
      </w:r>
      <w:r>
        <w:rPr>
          <w:sz w:val="28"/>
          <w:szCs w:val="28"/>
          <w:highlight w:val="none"/>
        </w:rPr>
        <w:t>для лікування усіх генотипів ВГС, однак переважно застосовується для лікування 1-го, 2-го, 3-го та 4-го генотипів ВГС [4, 228–236].</w:t>
      </w:r>
    </w:p>
    <w:p w14:paraId="11A3041A">
      <w:pPr>
        <w:pStyle w:val="23"/>
        <w:widowControl w:val="0"/>
        <w:spacing w:before="0" w:beforeAutospacing="0" w:after="0" w:afterAutospacing="0" w:line="360" w:lineRule="auto"/>
        <w:ind w:firstLine="709"/>
        <w:jc w:val="both"/>
        <w:rPr>
          <w:sz w:val="28"/>
          <w:szCs w:val="28"/>
          <w:highlight w:val="none"/>
        </w:rPr>
      </w:pPr>
      <w:r>
        <w:rPr>
          <w:bCs/>
          <w:sz w:val="28"/>
          <w:szCs w:val="28"/>
          <w:highlight w:val="none"/>
        </w:rPr>
        <w:t xml:space="preserve">SOF/LDV. Дану </w:t>
      </w:r>
      <w:r>
        <w:rPr>
          <w:sz w:val="28"/>
          <w:szCs w:val="28"/>
          <w:highlight w:val="none"/>
        </w:rPr>
        <w:t>схему використовують для лікування генотипів 1a, 1b, 4, 5 і 6 у хворих, які раніше не лікувалися, з компенсованим ЦП чи без нього. Має знижену ефективність для 3-го генотипу ВГС [237–244].</w:t>
      </w:r>
    </w:p>
    <w:p w14:paraId="667D95AD">
      <w:pPr>
        <w:pStyle w:val="23"/>
        <w:widowControl w:val="0"/>
        <w:spacing w:before="0" w:beforeAutospacing="0" w:after="0" w:afterAutospacing="0" w:line="360" w:lineRule="auto"/>
        <w:ind w:firstLine="709"/>
        <w:jc w:val="both"/>
        <w:rPr>
          <w:sz w:val="28"/>
          <w:szCs w:val="28"/>
          <w:highlight w:val="none"/>
        </w:rPr>
      </w:pPr>
      <w:r>
        <w:rPr>
          <w:bCs/>
          <w:sz w:val="28"/>
          <w:szCs w:val="28"/>
          <w:highlight w:val="none"/>
        </w:rPr>
        <w:t xml:space="preserve">EBR/GZR. Застосовують </w:t>
      </w:r>
      <w:r>
        <w:rPr>
          <w:sz w:val="28"/>
          <w:szCs w:val="28"/>
          <w:highlight w:val="none"/>
        </w:rPr>
        <w:t>для лікування генотипів 1 і 4 ВГС та у пацієнтів з нирковою недостатністю та компенсованим ЦП [245–255].</w:t>
      </w:r>
    </w:p>
    <w:p w14:paraId="334B0375">
      <w:pPr>
        <w:pStyle w:val="23"/>
        <w:widowControl w:val="0"/>
        <w:spacing w:before="0" w:beforeAutospacing="0" w:after="0" w:afterAutospacing="0" w:line="360" w:lineRule="auto"/>
        <w:ind w:firstLine="709"/>
        <w:jc w:val="both"/>
        <w:rPr>
          <w:sz w:val="28"/>
          <w:szCs w:val="28"/>
          <w:highlight w:val="none"/>
        </w:rPr>
      </w:pPr>
      <w:r>
        <w:rPr>
          <w:bCs/>
          <w:sz w:val="28"/>
          <w:szCs w:val="28"/>
          <w:highlight w:val="none"/>
        </w:rPr>
        <w:t xml:space="preserve">SOF/VEL. Дана схема застосовується </w:t>
      </w:r>
      <w:r>
        <w:rPr>
          <w:sz w:val="28"/>
          <w:szCs w:val="28"/>
          <w:highlight w:val="none"/>
        </w:rPr>
        <w:t xml:space="preserve">у пацієнтів із усіма генотипами ВГС [256–263]. Численні клінічні випробування довели безпеку даної схеми [264–270] і були підтверджені багатьма когортними дослідженнями </w:t>
      </w:r>
      <w:r>
        <w:rPr>
          <w:rStyle w:val="11"/>
          <w:rFonts w:eastAsiaTheme="majorEastAsia"/>
          <w:color w:val="auto"/>
          <w:sz w:val="28"/>
          <w:szCs w:val="28"/>
          <w:highlight w:val="none"/>
          <w:u w:val="none"/>
        </w:rPr>
        <w:t>[64, 264–266, 271, 272, 271–293</w:t>
      </w:r>
      <w:r>
        <w:rPr>
          <w:sz w:val="28"/>
          <w:szCs w:val="28"/>
          <w:highlight w:val="none"/>
          <w:shd w:val="clear" w:color="auto" w:fill="FFFFFF"/>
        </w:rPr>
        <w:t>].</w:t>
      </w:r>
    </w:p>
    <w:p w14:paraId="64EF343B">
      <w:pPr>
        <w:pStyle w:val="23"/>
        <w:widowControl w:val="0"/>
        <w:spacing w:before="0" w:beforeAutospacing="0" w:after="0" w:afterAutospacing="0" w:line="360" w:lineRule="auto"/>
        <w:ind w:firstLine="709"/>
        <w:jc w:val="both"/>
        <w:rPr>
          <w:sz w:val="28"/>
          <w:szCs w:val="28"/>
          <w:highlight w:val="none"/>
        </w:rPr>
      </w:pPr>
      <w:r>
        <w:rPr>
          <w:bCs/>
          <w:sz w:val="28"/>
          <w:szCs w:val="28"/>
          <w:highlight w:val="none"/>
        </w:rPr>
        <w:t xml:space="preserve">GLE/PIB </w:t>
      </w:r>
      <w:r>
        <w:rPr>
          <w:sz w:val="28"/>
          <w:szCs w:val="28"/>
          <w:highlight w:val="none"/>
        </w:rPr>
        <w:t xml:space="preserve">є пангенотиповою схемою для лікування всіх генотипів ВГС [64, 282–295], включаючи хворих з ЦП [283, 285, 290–293, 296–298]. </w:t>
      </w:r>
      <w:r>
        <w:rPr>
          <w:bCs/>
          <w:sz w:val="28"/>
          <w:szCs w:val="28"/>
          <w:highlight w:val="none"/>
        </w:rPr>
        <w:t>GLE/PIB</w:t>
      </w:r>
      <w:r>
        <w:rPr>
          <w:sz w:val="28"/>
          <w:szCs w:val="28"/>
          <w:highlight w:val="none"/>
        </w:rPr>
        <w:t xml:space="preserve"> є безпечною схемою [264–266, 271, 272, 280, 281, 288, 290–292, 300–303</w:t>
      </w:r>
      <w:r>
        <w:rPr>
          <w:sz w:val="28"/>
          <w:szCs w:val="28"/>
          <w:highlight w:val="none"/>
          <w:shd w:val="clear" w:color="auto" w:fill="FFFFFF"/>
        </w:rPr>
        <w:t>] для лікування хворих із нормальною функцією нирок та без супутніх інфекцій які раніше не отримували лікування та не мають ЦП [</w:t>
      </w:r>
      <w:r>
        <w:rPr>
          <w:rStyle w:val="66"/>
          <w:sz w:val="28"/>
          <w:szCs w:val="28"/>
          <w:highlight w:val="none"/>
          <w:shd w:val="clear" w:color="auto" w:fill="FFFFFF"/>
        </w:rPr>
        <w:t>304, 305</w:t>
      </w:r>
      <w:r>
        <w:rPr>
          <w:sz w:val="28"/>
          <w:szCs w:val="28"/>
          <w:highlight w:val="none"/>
          <w:shd w:val="clear" w:color="auto" w:fill="FFFFFF"/>
        </w:rPr>
        <w:t xml:space="preserve">]. Численні дослідження підтвердили повну безпеку </w:t>
      </w:r>
      <w:r>
        <w:rPr>
          <w:sz w:val="28"/>
          <w:szCs w:val="28"/>
          <w:highlight w:val="none"/>
        </w:rPr>
        <w:t>[64, 287, 293, 306–309</w:t>
      </w:r>
      <w:r>
        <w:rPr>
          <w:rStyle w:val="65"/>
          <w:rFonts w:eastAsiaTheme="majorEastAsia"/>
          <w:sz w:val="28"/>
          <w:szCs w:val="28"/>
          <w:highlight w:val="none"/>
        </w:rPr>
        <w:t xml:space="preserve">] </w:t>
      </w:r>
      <w:r>
        <w:rPr>
          <w:sz w:val="28"/>
          <w:szCs w:val="28"/>
          <w:highlight w:val="none"/>
        </w:rPr>
        <w:t>та високу лікувальну ефективність [282, 296, 310–312] даної схеми лікування хворих із ВГС.</w:t>
      </w:r>
    </w:p>
    <w:p w14:paraId="45AADDEE">
      <w:pPr>
        <w:pStyle w:val="23"/>
        <w:widowControl w:val="0"/>
        <w:spacing w:before="0" w:beforeAutospacing="0" w:after="0" w:afterAutospacing="0" w:line="360" w:lineRule="auto"/>
        <w:ind w:firstLine="709"/>
        <w:jc w:val="both"/>
        <w:rPr>
          <w:sz w:val="28"/>
          <w:szCs w:val="28"/>
          <w:highlight w:val="none"/>
        </w:rPr>
      </w:pPr>
      <w:r>
        <w:rPr>
          <w:bCs/>
          <w:sz w:val="28"/>
          <w:szCs w:val="28"/>
          <w:highlight w:val="none"/>
        </w:rPr>
        <w:t xml:space="preserve">SOF/VEL/VOX. </w:t>
      </w:r>
      <w:r>
        <w:rPr>
          <w:sz w:val="28"/>
          <w:szCs w:val="28"/>
          <w:highlight w:val="none"/>
        </w:rPr>
        <w:t xml:space="preserve">Ця пангенотипова комбінація є високоефективною та дозволена для лікування пацієнтів з компенсованим цирозом печінки та без нього, а також пацієнтів, у яких раніше не було відповіді як на peg-IFN/RBV, так і на ПППД. </w:t>
      </w:r>
      <w:r>
        <w:rPr>
          <w:bCs/>
          <w:sz w:val="28"/>
          <w:szCs w:val="28"/>
          <w:highlight w:val="none"/>
        </w:rPr>
        <w:t xml:space="preserve">Ефективність </w:t>
      </w:r>
      <w:r>
        <w:rPr>
          <w:sz w:val="28"/>
          <w:szCs w:val="28"/>
          <w:highlight w:val="none"/>
        </w:rPr>
        <w:t>була встановлена у дослідженні пацієнтів з ВГС, інфікованих усіма генотипами [265, 313–319].</w:t>
      </w:r>
    </w:p>
    <w:p w14:paraId="53C5BCC9">
      <w:pPr>
        <w:spacing w:after="160" w:line="259" w:lineRule="auto"/>
        <w:ind w:firstLine="0"/>
        <w:jc w:val="left"/>
        <w:rPr>
          <w:rFonts w:cs="Times New Roman"/>
          <w:szCs w:val="28"/>
          <w:highlight w:val="none"/>
          <w:lang w:eastAsia="ru-RU"/>
        </w:rPr>
      </w:pPr>
      <w:r>
        <w:rPr>
          <w:rFonts w:cs="Times New Roman"/>
          <w:b/>
          <w:szCs w:val="28"/>
          <w:highlight w:val="none"/>
        </w:rPr>
        <w:br w:type="page"/>
      </w:r>
    </w:p>
    <w:p w14:paraId="4FA371BC">
      <w:pPr>
        <w:pStyle w:val="2"/>
        <w:rPr>
          <w:highlight w:val="none"/>
          <w:lang w:val="uk-UA"/>
        </w:rPr>
      </w:pPr>
      <w:bookmarkStart w:id="21" w:name="_Toc153923948"/>
      <w:r>
        <w:rPr>
          <w:highlight w:val="none"/>
          <w:lang w:val="uk-UA"/>
        </w:rPr>
        <w:t>РОЗДІЛ</w:t>
      </w:r>
      <w:bookmarkStart w:id="22" w:name="a2_0_mater_met"/>
      <w:bookmarkEnd w:id="22"/>
      <w:r>
        <w:rPr>
          <w:highlight w:val="none"/>
          <w:lang w:val="uk-UA"/>
        </w:rPr>
        <w:t xml:space="preserve"> 2 МАТЕРІАЛИ І МЕТОДИ ДОСЛІДЖЕННЯ</w:t>
      </w:r>
      <w:bookmarkEnd w:id="21"/>
    </w:p>
    <w:p w14:paraId="4A32B249">
      <w:pPr>
        <w:widowControl w:val="0"/>
        <w:contextualSpacing/>
        <w:rPr>
          <w:szCs w:val="28"/>
          <w:highlight w:val="none"/>
        </w:rPr>
      </w:pPr>
    </w:p>
    <w:p w14:paraId="3D3453DD">
      <w:pPr>
        <w:rPr>
          <w:szCs w:val="28"/>
          <w:highlight w:val="none"/>
        </w:rPr>
      </w:pPr>
      <w:r>
        <w:rPr>
          <w:szCs w:val="28"/>
          <w:highlight w:val="none"/>
        </w:rPr>
        <w:t xml:space="preserve">Проведене дослідження стосувалося визначенню </w:t>
      </w:r>
      <w:r>
        <w:rPr>
          <w:szCs w:val="32"/>
          <w:highlight w:val="none"/>
        </w:rPr>
        <w:t xml:space="preserve">діагностичної та прогностичної значимості вмісту ОП та вітаміну D </w:t>
      </w:r>
      <w:r>
        <w:rPr>
          <w:szCs w:val="28"/>
          <w:highlight w:val="none"/>
        </w:rPr>
        <w:t xml:space="preserve">у хворих із ХГС і ФП і було проведене на кафедрі </w:t>
      </w:r>
      <w:r>
        <w:rPr>
          <w:szCs w:val="28"/>
          <w:highlight w:val="none"/>
          <w:shd w:val="clear" w:color="auto" w:fill="FFFFFF"/>
        </w:rPr>
        <w:t xml:space="preserve">інфекційних хвороб </w:t>
      </w:r>
      <w:r>
        <w:rPr>
          <w:szCs w:val="28"/>
          <w:highlight w:val="none"/>
        </w:rPr>
        <w:t>ХНМУ та на базі КНП «Обласна клінічна інфекційна лікарня» ХОР у період з 2019 по 2023 рр.</w:t>
      </w:r>
    </w:p>
    <w:p w14:paraId="7F00722E">
      <w:pPr>
        <w:widowControl w:val="0"/>
        <w:contextualSpacing/>
        <w:rPr>
          <w:szCs w:val="28"/>
          <w:highlight w:val="none"/>
        </w:rPr>
      </w:pPr>
      <w:r>
        <w:rPr>
          <w:szCs w:val="28"/>
          <w:highlight w:val="none"/>
        </w:rPr>
        <w:t xml:space="preserve">Основною метою дослідження було: визначення </w:t>
      </w:r>
      <w:r>
        <w:rPr>
          <w:szCs w:val="32"/>
          <w:highlight w:val="none"/>
        </w:rPr>
        <w:t>діагностичної та прогностичної значимості вмісту ОП та вітаміну D</w:t>
      </w:r>
      <w:r>
        <w:rPr>
          <w:szCs w:val="28"/>
          <w:highlight w:val="none"/>
        </w:rPr>
        <w:t xml:space="preserve"> у хворих із ХГС і ФП задля встановлення можливостей прогнозування розвитку ФП при ХГС</w:t>
      </w:r>
      <w:r>
        <w:rPr>
          <w:szCs w:val="28"/>
          <w:highlight w:val="none"/>
          <w:shd w:val="clear" w:color="auto" w:fill="FFFFFF"/>
        </w:rPr>
        <w:t xml:space="preserve">. Для досягнення основної мети дослідження нами було виконано аналіз результатів </w:t>
      </w:r>
      <w:r>
        <w:rPr>
          <w:szCs w:val="28"/>
          <w:highlight w:val="none"/>
        </w:rPr>
        <w:t>клініко-анамнестичних</w:t>
      </w:r>
      <w:r>
        <w:rPr>
          <w:szCs w:val="28"/>
          <w:highlight w:val="none"/>
          <w:shd w:val="clear" w:color="auto" w:fill="FFFFFF"/>
        </w:rPr>
        <w:t xml:space="preserve"> характеристик і клініко-інструментальних та клініко-лабораторних показників (включаючи ОП і</w:t>
      </w:r>
      <w:r>
        <w:rPr>
          <w:szCs w:val="32"/>
          <w:highlight w:val="none"/>
        </w:rPr>
        <w:t xml:space="preserve"> вітамін D</w:t>
      </w:r>
      <w:r>
        <w:rPr>
          <w:szCs w:val="28"/>
          <w:highlight w:val="none"/>
          <w:shd w:val="clear" w:color="auto" w:fill="FFFFFF"/>
        </w:rPr>
        <w:t>) хворих із ФП і ХГС</w:t>
      </w:r>
      <w:r>
        <w:rPr>
          <w:szCs w:val="28"/>
          <w:highlight w:val="none"/>
        </w:rPr>
        <w:t xml:space="preserve"> з метою напрацювання відповідних діагностичних і прогностичних алгоритмів визначення можливостей розвитку ФП у хворих із ХГС</w:t>
      </w:r>
      <w:r>
        <w:rPr>
          <w:szCs w:val="28"/>
          <w:highlight w:val="none"/>
          <w:shd w:val="clear" w:color="auto" w:fill="FFFFFF"/>
        </w:rPr>
        <w:t>.</w:t>
      </w:r>
    </w:p>
    <w:p w14:paraId="31A22362">
      <w:pPr>
        <w:widowControl w:val="0"/>
        <w:ind w:firstLine="720"/>
        <w:rPr>
          <w:szCs w:val="28"/>
          <w:highlight w:val="none"/>
          <w:lang w:eastAsia="ru-RU"/>
        </w:rPr>
      </w:pPr>
      <w:r>
        <w:rPr>
          <w:szCs w:val="28"/>
          <w:highlight w:val="none"/>
          <w:lang w:eastAsia="ru-RU"/>
        </w:rPr>
        <w:t xml:space="preserve">Проведене дослідження повністю виконувалося згідно з існуючими біоетичними принципами та правилами (як міжнародними, так і вітчизняними), до яких ми віднесли: Гельсінську декларацію та </w:t>
      </w:r>
      <w:r>
        <w:rPr>
          <w:highlight w:val="none"/>
        </w:rPr>
        <w:fldChar w:fldCharType="begin"/>
      </w:r>
      <w:r>
        <w:rPr>
          <w:highlight w:val="none"/>
        </w:rPr>
        <w:instrText xml:space="preserve"> HYPERLINK "https://uk.wikipedia.org/wiki/%D0%9D%D1%8E%D1%80%D0%BD%D0%B1%D0%B5%D1%80%D0%B7%D1%8C%D0%BA%D0%B8%D0%B9_%D0%BA%D0%BE%D0%B4%D0%B5%D0%BA%D1%81" </w:instrText>
      </w:r>
      <w:r>
        <w:rPr>
          <w:highlight w:val="none"/>
        </w:rPr>
        <w:fldChar w:fldCharType="separate"/>
      </w:r>
      <w:r>
        <w:rPr>
          <w:rStyle w:val="11"/>
          <w:color w:val="auto"/>
          <w:szCs w:val="28"/>
          <w:highlight w:val="none"/>
          <w:u w:val="none"/>
          <w:shd w:val="clear" w:color="auto" w:fill="FFFFFF"/>
        </w:rPr>
        <w:t>Нюрнберзький кодекс</w:t>
      </w:r>
      <w:r>
        <w:rPr>
          <w:rStyle w:val="11"/>
          <w:color w:val="auto"/>
          <w:szCs w:val="28"/>
          <w:highlight w:val="none"/>
          <w:u w:val="none"/>
          <w:shd w:val="clear" w:color="auto" w:fill="FFFFFF"/>
        </w:rPr>
        <w:fldChar w:fldCharType="end"/>
      </w:r>
      <w:r>
        <w:rPr>
          <w:szCs w:val="28"/>
          <w:highlight w:val="none"/>
        </w:rPr>
        <w:t xml:space="preserve">, які визначають </w:t>
      </w:r>
      <w:r>
        <w:rPr>
          <w:highlight w:val="none"/>
        </w:rPr>
        <w:fldChar w:fldCharType="begin"/>
      </w:r>
      <w:r>
        <w:rPr>
          <w:highlight w:val="none"/>
        </w:rPr>
        <w:instrText xml:space="preserve"> HYPERLINK "https://uk.wikipedia.org/wiki/%D0%95%D1%82%D0%B8%D0%BA%D0%B0" \o "Етика" </w:instrText>
      </w:r>
      <w:r>
        <w:rPr>
          <w:highlight w:val="none"/>
        </w:rPr>
        <w:fldChar w:fldCharType="separate"/>
      </w:r>
      <w:r>
        <w:rPr>
          <w:rStyle w:val="11"/>
          <w:color w:val="auto"/>
          <w:szCs w:val="28"/>
          <w:highlight w:val="none"/>
          <w:u w:val="none"/>
          <w:shd w:val="clear" w:color="auto" w:fill="FFFFFF"/>
        </w:rPr>
        <w:t>етичн</w:t>
      </w:r>
      <w:r>
        <w:rPr>
          <w:rStyle w:val="11"/>
          <w:color w:val="auto"/>
          <w:szCs w:val="28"/>
          <w:highlight w:val="none"/>
          <w:u w:val="none"/>
          <w:shd w:val="clear" w:color="auto" w:fill="FFFFFF"/>
        </w:rPr>
        <w:fldChar w:fldCharType="end"/>
      </w:r>
      <w:r>
        <w:rPr>
          <w:szCs w:val="28"/>
          <w:highlight w:val="none"/>
        </w:rPr>
        <w:t xml:space="preserve">і </w:t>
      </w:r>
      <w:r>
        <w:rPr>
          <w:szCs w:val="28"/>
          <w:highlight w:val="none"/>
          <w:shd w:val="clear" w:color="auto" w:fill="FFFFFF"/>
        </w:rPr>
        <w:t xml:space="preserve">принципи проведення </w:t>
      </w:r>
      <w:r>
        <w:rPr>
          <w:highlight w:val="none"/>
        </w:rPr>
        <w:fldChar w:fldCharType="begin"/>
      </w:r>
      <w:r>
        <w:rPr>
          <w:highlight w:val="none"/>
        </w:rPr>
        <w:instrText xml:space="preserve"> HYPERLINK "https://uk.wikipedia.org/w/index.php?title=%D0%95%D0%BA%D1%81%D0%BF%D0%B5%D1%80%D0%B8%D0%BC%D0%B5%D0%BD%D1%82%D0%B8_%D0%BD%D0%B0_%D0%BB%D1%8E%D0%B4%D1%8F%D1%85&amp;action=edit&amp;redlink=1" \o "Експерименти на людях (ще не написана)" </w:instrText>
      </w:r>
      <w:r>
        <w:rPr>
          <w:highlight w:val="none"/>
        </w:rPr>
        <w:fldChar w:fldCharType="separate"/>
      </w:r>
      <w:r>
        <w:rPr>
          <w:rStyle w:val="11"/>
          <w:color w:val="auto"/>
          <w:szCs w:val="28"/>
          <w:highlight w:val="none"/>
          <w:u w:val="none"/>
          <w:shd w:val="clear" w:color="auto" w:fill="FFFFFF"/>
        </w:rPr>
        <w:t>експериментів на людях</w:t>
      </w:r>
      <w:r>
        <w:rPr>
          <w:rStyle w:val="11"/>
          <w:color w:val="auto"/>
          <w:szCs w:val="28"/>
          <w:highlight w:val="none"/>
          <w:u w:val="none"/>
          <w:shd w:val="clear" w:color="auto" w:fill="FFFFFF"/>
        </w:rPr>
        <w:fldChar w:fldCharType="end"/>
      </w:r>
      <w:r>
        <w:rPr>
          <w:szCs w:val="28"/>
          <w:highlight w:val="none"/>
        </w:rPr>
        <w:t>;</w:t>
      </w:r>
      <w:r>
        <w:rPr>
          <w:szCs w:val="28"/>
          <w:highlight w:val="none"/>
          <w:lang w:eastAsia="ru-RU"/>
        </w:rPr>
        <w:t xml:space="preserve"> міжнародне керівництво з біомедичних досліджень, </w:t>
      </w:r>
      <w:r>
        <w:rPr>
          <w:szCs w:val="28"/>
          <w:highlight w:val="none"/>
          <w:shd w:val="clear" w:color="auto" w:fill="FFFFFF"/>
        </w:rPr>
        <w:t>Конвенцію Ради Європи про права людини та біомедицину (1977 р.),</w:t>
      </w:r>
      <w:r>
        <w:rPr>
          <w:szCs w:val="28"/>
          <w:highlight w:val="none"/>
          <w:lang w:eastAsia="ru-RU"/>
        </w:rPr>
        <w:t xml:space="preserve"> Бельмонтский звіт, п</w:t>
      </w:r>
      <w:r>
        <w:rPr>
          <w:szCs w:val="28"/>
          <w:highlight w:val="none"/>
          <w:shd w:val="clear" w:color="auto" w:fill="FFFFFF"/>
        </w:rPr>
        <w:t>оложення ВООЗ і</w:t>
      </w:r>
      <w:r>
        <w:rPr>
          <w:szCs w:val="28"/>
          <w:highlight w:val="none"/>
          <w:lang w:eastAsia="ru-RU"/>
        </w:rPr>
        <w:t xml:space="preserve"> </w:t>
      </w:r>
      <w:r>
        <w:rPr>
          <w:szCs w:val="28"/>
          <w:highlight w:val="none"/>
          <w:shd w:val="clear" w:color="auto" w:fill="FFFFFF"/>
        </w:rPr>
        <w:t>Міжнародної ради медичних наукових товариств,</w:t>
      </w:r>
      <w:r>
        <w:rPr>
          <w:szCs w:val="28"/>
          <w:highlight w:val="none"/>
          <w:lang w:eastAsia="ru-RU"/>
        </w:rPr>
        <w:t xml:space="preserve"> </w:t>
      </w:r>
      <w:r>
        <w:rPr>
          <w:szCs w:val="28"/>
          <w:highlight w:val="none"/>
          <w:shd w:val="clear" w:color="auto" w:fill="FFFFFF"/>
        </w:rPr>
        <w:t xml:space="preserve">Міжнародний кодекс медичної етики (1983 р.), наказ МОЗ України за № 690 від 23.09.2009 р. та інші нормативно-правові акти, що стосуються </w:t>
      </w:r>
      <w:r>
        <w:rPr>
          <w:szCs w:val="28"/>
          <w:highlight w:val="none"/>
          <w:lang w:eastAsia="ru-RU"/>
        </w:rPr>
        <w:t xml:space="preserve">клінічних досліджень за участю людини </w:t>
      </w:r>
      <w:r>
        <w:rPr>
          <w:szCs w:val="28"/>
          <w:highlight w:val="none"/>
        </w:rPr>
        <w:t>[2.1]</w:t>
      </w:r>
      <w:r>
        <w:rPr>
          <w:szCs w:val="28"/>
          <w:highlight w:val="none"/>
          <w:lang w:eastAsia="ru-RU"/>
        </w:rPr>
        <w:t>.</w:t>
      </w:r>
    </w:p>
    <w:p w14:paraId="576D1ED3">
      <w:pPr>
        <w:widowControl w:val="0"/>
        <w:ind w:firstLine="720"/>
        <w:rPr>
          <w:szCs w:val="28"/>
          <w:highlight w:val="none"/>
          <w:lang w:eastAsia="ru-RU"/>
        </w:rPr>
      </w:pPr>
      <w:r>
        <w:rPr>
          <w:szCs w:val="28"/>
          <w:highlight w:val="none"/>
          <w:lang w:eastAsia="ru-RU"/>
        </w:rPr>
        <w:t>На момент проведення дослідження усі групи обстежених хворих мали повну письмову інформацію щодо основної мети та завдань нашого дослідження, його тривалості й суті та були проінформовані щодо добровільності участі у дослідженні та конфіденційності отриманої інформації. Усі хворі були попереджені, що отримана інформація буде висвітлюватися лише в узагальненому вигляді без розголошення особистих даних. Слід вказати, що хворі приймали участь у дослідженні цілковито за власним бажанням, про що свідчить їх особистий підпис відповідної інформованої згоди. Окрім цього, кожен із обстежених дослідником особисто був повністю поінформований щодо його обов’язків та прав і можливості завершити дослідження у будь-який момент часу без наслідків та пояснення причини.</w:t>
      </w:r>
    </w:p>
    <w:p w14:paraId="3BEFB3AE">
      <w:pPr>
        <w:widowControl w:val="0"/>
        <w:rPr>
          <w:szCs w:val="28"/>
          <w:highlight w:val="none"/>
          <w:lang w:eastAsia="ru-RU"/>
        </w:rPr>
      </w:pPr>
    </w:p>
    <w:p w14:paraId="694DE8C0">
      <w:pPr>
        <w:pStyle w:val="3"/>
        <w:rPr>
          <w:highlight w:val="none"/>
        </w:rPr>
      </w:pPr>
      <w:bookmarkStart w:id="23" w:name="_Toc153923949"/>
      <w:r>
        <w:rPr>
          <w:highlight w:val="none"/>
        </w:rPr>
        <w:t>2.1 Програмно-методологічний апарат дослідження</w:t>
      </w:r>
      <w:bookmarkEnd w:id="23"/>
    </w:p>
    <w:p w14:paraId="79CED2F1">
      <w:pPr>
        <w:widowControl w:val="0"/>
        <w:contextualSpacing/>
        <w:rPr>
          <w:szCs w:val="28"/>
          <w:highlight w:val="none"/>
        </w:rPr>
      </w:pPr>
    </w:p>
    <w:p w14:paraId="499A63CB">
      <w:pPr>
        <w:widowControl w:val="0"/>
        <w:rPr>
          <w:szCs w:val="28"/>
          <w:highlight w:val="none"/>
        </w:rPr>
      </w:pPr>
      <w:r>
        <w:rPr>
          <w:szCs w:val="28"/>
          <w:highlight w:val="none"/>
        </w:rPr>
        <w:t>Згідно з основною метою та завданнями дослідження воно було проведено в 5 етапів:</w:t>
      </w:r>
    </w:p>
    <w:p w14:paraId="5E324F0B">
      <w:pPr>
        <w:widowControl w:val="0"/>
        <w:rPr>
          <w:szCs w:val="28"/>
          <w:highlight w:val="none"/>
        </w:rPr>
      </w:pPr>
      <w:r>
        <w:rPr>
          <w:szCs w:val="28"/>
          <w:highlight w:val="none"/>
        </w:rPr>
        <w:t xml:space="preserve">1. На першому етапі було проведено наукову обробку та аналіз існуючих сучасних літературних джерел щодо проблематики дослідження. Було виконано аналіз вітчизняних та зарубіжних існуючих результатів наукових досліджень і документів, які стосувалися визначення основних проблемних питань та перспектив щодо можливостей діагностування та прогнозування розвитку ФП у хворих із ХГС та включали питання щодо основних факторів ризику розвитку ФП і ХГС; визначенню сучасних трендів їх поширеності як в Україні, так і в усьому світі; </w:t>
      </w:r>
      <w:r>
        <w:rPr>
          <w:szCs w:val="28"/>
          <w:highlight w:val="none"/>
          <w:shd w:val="clear" w:color="auto" w:fill="FFFFFF"/>
        </w:rPr>
        <w:t>медико-епідеміологічних характеристик хворих із ФП і ХГС; клініко-інструментальних та клініко-лабораторних проявів (включаючи ОП і</w:t>
      </w:r>
      <w:r>
        <w:rPr>
          <w:szCs w:val="32"/>
          <w:highlight w:val="none"/>
        </w:rPr>
        <w:t xml:space="preserve"> вітамін D</w:t>
      </w:r>
      <w:r>
        <w:rPr>
          <w:szCs w:val="28"/>
          <w:highlight w:val="none"/>
          <w:shd w:val="clear" w:color="auto" w:fill="FFFFFF"/>
        </w:rPr>
        <w:t xml:space="preserve">) ФП і ХГС; маркерних можливостей медико-епідеміологічних характеристик таких хворих та їх клініко-інструментальних і клініко-лабораторних проявів для визначення ризиків розвитку фіброзного процесу при ХГС, тощо. Дані питання вивчалися нами як в цілому в усіх хворих із ФП і ХГС, так і в залежності від стадії ФП </w:t>
      </w:r>
      <w:r>
        <w:rPr>
          <w:szCs w:val="28"/>
          <w:highlight w:val="none"/>
        </w:rPr>
        <w:t xml:space="preserve">з метою напрацювання відповідних діагностичних і прогностичних алгоритмів. При проведенні літературного аналізу наукової інформації щодо проблематики нашого дослідження було використано для поглибленого вивчення 52 наукових літературних джерела, із україномовних – та англомовних – 342. Проведений пошук наукових літературних джерел виконувався за допомогою поглибленого вивчення вітчизняних та закордонних інтернет-ресурсів мережі </w:t>
      </w:r>
      <w:r>
        <w:rPr>
          <w:szCs w:val="28"/>
          <w:highlight w:val="none"/>
          <w:shd w:val="clear" w:color="auto" w:fill="FFFFFF"/>
        </w:rPr>
        <w:t>Google Scholar,</w:t>
      </w:r>
      <w:r>
        <w:rPr>
          <w:szCs w:val="28"/>
          <w:highlight w:val="none"/>
        </w:rPr>
        <w:t xml:space="preserve"> PubMed, Medscape та баз даних Scopus і Web of Science. Окрім цього, до пошуку було залучено інтернет-ресурси веб-сторінок міжнародних і вітчизняних медичних організацій (за наступними ключовими словами: поширеність ХГС і ФП, лікування ХГС і ФП, обтяженість ХГС фіброзним процесом печінки, фактори ризику розвитку ХГС і ФП при цій інфекції, клінічні прояви та лабораторна діагностика ФП і ХГС, показники </w:t>
      </w:r>
      <w:r>
        <w:rPr>
          <w:bCs/>
          <w:szCs w:val="28"/>
          <w:highlight w:val="none"/>
        </w:rPr>
        <w:t xml:space="preserve">клінічного та біохімічного аналізу крові у хворих на ХГС і ФП, роль </w:t>
      </w:r>
      <w:r>
        <w:rPr>
          <w:szCs w:val="28"/>
          <w:highlight w:val="none"/>
        </w:rPr>
        <w:t xml:space="preserve">ОП </w:t>
      </w:r>
      <w:r>
        <w:rPr>
          <w:szCs w:val="28"/>
          <w:highlight w:val="none"/>
          <w:shd w:val="clear" w:color="auto" w:fill="FFFFFF"/>
        </w:rPr>
        <w:t>і</w:t>
      </w:r>
      <w:r>
        <w:rPr>
          <w:szCs w:val="32"/>
          <w:highlight w:val="none"/>
        </w:rPr>
        <w:t xml:space="preserve"> вітаміну D</w:t>
      </w:r>
      <w:r>
        <w:rPr>
          <w:szCs w:val="28"/>
          <w:highlight w:val="none"/>
        </w:rPr>
        <w:t xml:space="preserve"> при ХГС і ФП, маркерні можливості показників клінічного та біохімічного аналізу крові, тощо), а також літературні фонди вітчизняних національних та регіональних бібліотек.</w:t>
      </w:r>
    </w:p>
    <w:p w14:paraId="35F3EC8C">
      <w:pPr>
        <w:widowControl w:val="0"/>
        <w:rPr>
          <w:szCs w:val="28"/>
          <w:highlight w:val="none"/>
        </w:rPr>
      </w:pPr>
      <w:bookmarkStart w:id="24" w:name="_Hlk31799193"/>
      <w:r>
        <w:rPr>
          <w:szCs w:val="28"/>
          <w:highlight w:val="none"/>
        </w:rPr>
        <w:t xml:space="preserve">2. Другий етап стосувався розробки дизайну проведеного дослідження. На даному етапі було проведено розробку </w:t>
      </w:r>
      <w:r>
        <w:rPr>
          <w:bCs/>
          <w:szCs w:val="28"/>
          <w:highlight w:val="none"/>
        </w:rPr>
        <w:t xml:space="preserve">програми та методологічного апарату нашого </w:t>
      </w:r>
      <w:r>
        <w:rPr>
          <w:szCs w:val="28"/>
          <w:highlight w:val="none"/>
        </w:rPr>
        <w:t>дослідження й остаточно обрано основний його напрямок з формулюванням основної мети та завдань, предмету та об’єкту. На цьому етапі в повній мірі було визначено обсяги проведеного дослідження, його програму та науково-методологічний і методичний апарат, визначено бази дослідження та інші організаційні питання.</w:t>
      </w:r>
    </w:p>
    <w:bookmarkEnd w:id="24"/>
    <w:p w14:paraId="7C6A3D5A">
      <w:pPr>
        <w:widowControl w:val="0"/>
        <w:rPr>
          <w:szCs w:val="28"/>
          <w:highlight w:val="none"/>
        </w:rPr>
      </w:pPr>
      <w:r>
        <w:rPr>
          <w:szCs w:val="28"/>
          <w:highlight w:val="none"/>
        </w:rPr>
        <w:t>3. Третій етап стосувався визначення груп дослідження, критеріїв включення та виключення. На цьому етапі серед осіб, що проходили лікування на базі КНП «Обласна клінічна інфекційна лікарня» ХОР було сформовано основну та контрольну групу досліджуваних і визначено основні критерії включення та виключення з них. В основній групі контингент респондентів формувався з хворих із ХГС та ФП, а в контрольній – із практично здорових осіб. Серед пацієнтів основної групи було виокремлено п’ять підгруп в залежності від стадійності ФП (F 0, F 1, F 2, F 3, F 4).</w:t>
      </w:r>
    </w:p>
    <w:p w14:paraId="69899B4E">
      <w:pPr>
        <w:widowControl w:val="0"/>
        <w:rPr>
          <w:szCs w:val="28"/>
          <w:highlight w:val="none"/>
        </w:rPr>
      </w:pPr>
      <w:r>
        <w:rPr>
          <w:szCs w:val="28"/>
          <w:highlight w:val="none"/>
        </w:rPr>
        <w:t>4. Четвертий етап стосувався клініко-анамнестичного та клініко-інструментального й клініко-лабораторного дослідження хворих. Серед усіх обстежених були визначені та порівняні між собою:</w:t>
      </w:r>
    </w:p>
    <w:p w14:paraId="7C8E8FBF">
      <w:pPr>
        <w:widowControl w:val="0"/>
        <w:rPr>
          <w:szCs w:val="28"/>
          <w:highlight w:val="none"/>
        </w:rPr>
      </w:pPr>
      <w:r>
        <w:rPr>
          <w:szCs w:val="28"/>
          <w:highlight w:val="none"/>
        </w:rPr>
        <w:t xml:space="preserve">- основні медико-анамнестичні характеристики (віко-статеві, наявність і стадійність ФП, тривалість ФП і ХГС, анамнез життя та захворювання, антропометричні дані (зріст, </w:t>
      </w:r>
      <w:r>
        <w:rPr>
          <w:bCs/>
          <w:szCs w:val="28"/>
          <w:highlight w:val="none"/>
        </w:rPr>
        <w:t xml:space="preserve">маса тіла, </w:t>
      </w:r>
      <w:r>
        <w:rPr>
          <w:szCs w:val="28"/>
          <w:highlight w:val="none"/>
        </w:rPr>
        <w:t>ІМТ)</w:t>
      </w:r>
      <w:r>
        <w:rPr>
          <w:bCs/>
          <w:szCs w:val="28"/>
          <w:highlight w:val="none"/>
        </w:rPr>
        <w:t>, тощо</w:t>
      </w:r>
      <w:r>
        <w:rPr>
          <w:szCs w:val="28"/>
          <w:highlight w:val="none"/>
        </w:rPr>
        <w:t>);</w:t>
      </w:r>
    </w:p>
    <w:p w14:paraId="77A24E8E">
      <w:pPr>
        <w:widowControl w:val="0"/>
        <w:rPr>
          <w:szCs w:val="28"/>
          <w:highlight w:val="none"/>
        </w:rPr>
      </w:pPr>
      <w:r>
        <w:rPr>
          <w:szCs w:val="28"/>
          <w:highlight w:val="none"/>
        </w:rPr>
        <w:t>- клініко-лабораторні дані (</w:t>
      </w:r>
      <w:r>
        <w:rPr>
          <w:bCs/>
          <w:szCs w:val="28"/>
          <w:highlight w:val="none"/>
        </w:rPr>
        <w:t>клінічний аналіз крові (гемоглобін</w:t>
      </w:r>
      <w:r>
        <w:rPr>
          <w:szCs w:val="28"/>
          <w:highlight w:val="none"/>
        </w:rPr>
        <w:t xml:space="preserve">, еритроцити, КП, гематокрит, </w:t>
      </w:r>
      <w:r>
        <w:rPr>
          <w:highlight w:val="none"/>
          <w:shd w:val="clear" w:color="auto" w:fill="FFFFFF"/>
        </w:rPr>
        <w:t>еритроцитарні індекси (</w:t>
      </w:r>
      <w:r>
        <w:rPr>
          <w:rStyle w:val="10"/>
          <w:bCs/>
          <w:i w:val="0"/>
          <w:iCs w:val="0"/>
          <w:highlight w:val="none"/>
          <w:shd w:val="clear" w:color="auto" w:fill="FFFFFF"/>
        </w:rPr>
        <w:t>MCV</w:t>
      </w:r>
      <w:r>
        <w:rPr>
          <w:highlight w:val="none"/>
          <w:shd w:val="clear" w:color="auto" w:fill="FFFFFF"/>
        </w:rPr>
        <w:t xml:space="preserve">, MCH і </w:t>
      </w:r>
      <w:r>
        <w:rPr>
          <w:szCs w:val="28"/>
          <w:highlight w:val="none"/>
          <w:shd w:val="clear" w:color="auto" w:fill="FFFFFF"/>
        </w:rPr>
        <w:t xml:space="preserve">MCHC), </w:t>
      </w:r>
      <w:r>
        <w:rPr>
          <w:szCs w:val="28"/>
          <w:highlight w:val="none"/>
        </w:rPr>
        <w:t>лейкоцити, тромбоцити, тромбокрит, ШОЕ, еозинофіли, нейтрофіли (п/я та с/я), лімфоцити, моноцити, тощо), клінічний аналіз сечі (</w:t>
      </w:r>
      <w:r>
        <w:rPr>
          <w:rFonts w:eastAsia="Times New Roman"/>
          <w:szCs w:val="28"/>
          <w:highlight w:val="none"/>
        </w:rPr>
        <w:t>щільність, кислотність, реакція, біохімічний склад, білок, глюкоза, білірубін, уробіліноген, кетонові тіла, нітрити, мікроскопія осаду, епітелій, слиз, еритроцити, лейкоцити, гемоглобін, циліндри, наявність солей чи бактерій та паразитів і грибків</w:t>
      </w:r>
      <w:r>
        <w:rPr>
          <w:szCs w:val="28"/>
          <w:highlight w:val="none"/>
        </w:rPr>
        <w:t xml:space="preserve">, тощо), біохімічне дослідження крові (визначення параметрів функціональної активності печінки (АЛТ, АСТ, ЛФ, ГГТ, загальний білірубін та його фракції, тощо) та показників ліпідного профілю (рівнів ЗХ, ТГ, ХЛПНЩ, ХЛПДНЩ, ХЛПВЩ, КА, тощо), ІФА (визначення рівнів ОП і вітаміну </w:t>
      </w:r>
      <w:r>
        <w:rPr>
          <w:szCs w:val="32"/>
          <w:highlight w:val="none"/>
        </w:rPr>
        <w:t>D</w:t>
      </w:r>
      <w:r>
        <w:rPr>
          <w:szCs w:val="28"/>
          <w:highlight w:val="none"/>
        </w:rPr>
        <w:t xml:space="preserve"> у сироватці крові) та ПЛР (визначення РНК ВГС у сироватці крові);</w:t>
      </w:r>
    </w:p>
    <w:p w14:paraId="13F30DC4">
      <w:pPr>
        <w:widowControl w:val="0"/>
        <w:rPr>
          <w:szCs w:val="28"/>
          <w:highlight w:val="none"/>
        </w:rPr>
      </w:pPr>
      <w:r>
        <w:rPr>
          <w:szCs w:val="28"/>
          <w:highlight w:val="none"/>
        </w:rPr>
        <w:t xml:space="preserve">- клініко-інструментальні характеристики (вимірювання АТ, </w:t>
      </w:r>
      <w:r>
        <w:rPr>
          <w:szCs w:val="28"/>
          <w:highlight w:val="none"/>
          <w:lang w:eastAsia="ru-RU"/>
        </w:rPr>
        <w:t xml:space="preserve">реєстрація ЕКГ, </w:t>
      </w:r>
      <w:r>
        <w:rPr>
          <w:szCs w:val="28"/>
          <w:highlight w:val="none"/>
        </w:rPr>
        <w:t>проведення УЗД органів грудної та черевної порожнини та ARFI УЗД вогнищевих уражень печінки).</w:t>
      </w:r>
    </w:p>
    <w:p w14:paraId="096B0B0F">
      <w:pPr>
        <w:widowControl w:val="0"/>
        <w:rPr>
          <w:spacing w:val="-4"/>
          <w:szCs w:val="28"/>
          <w:highlight w:val="none"/>
        </w:rPr>
      </w:pPr>
      <w:r>
        <w:rPr>
          <w:szCs w:val="28"/>
          <w:highlight w:val="none"/>
        </w:rPr>
        <w:t>5. П’ятий етап стосувався визначенню асоціацій вивчених клініко-анамнестичних, клініко-лабораторних і клініко-інструментальних характеристик хворих із розвитком ФП при ХГС з метою напрацювання відповідних діагностичних і прогностичних алгоритмів визначення можливості розвитку ФП у хворих із ХГС. В кінцевому результаті математично розроблено прогностичні моделі визначення можливостей розвитку ФП при ХГС на основі даних клініко-анамнестичного, клініко-лабораторного та клініко-інструментального дослідження. Вивчення асоціацій та розробка прогностичних моделей проводилася як серед усіх пацієнтів із ФП і ХГС, так і в залежності від стадійності фіброзного процесу.</w:t>
      </w:r>
    </w:p>
    <w:p w14:paraId="707706C2">
      <w:pPr>
        <w:widowControl w:val="0"/>
        <w:contextualSpacing/>
        <w:rPr>
          <w:szCs w:val="28"/>
          <w:highlight w:val="none"/>
        </w:rPr>
      </w:pPr>
    </w:p>
    <w:p w14:paraId="2880A9E9">
      <w:pPr>
        <w:pStyle w:val="3"/>
        <w:rPr>
          <w:highlight w:val="none"/>
          <w:lang w:eastAsia="ru-RU"/>
        </w:rPr>
      </w:pPr>
      <w:bookmarkStart w:id="25" w:name="_Toc153923950"/>
      <w:r>
        <w:rPr>
          <w:highlight w:val="none"/>
          <w:lang w:eastAsia="ru-RU"/>
        </w:rPr>
        <w:t>2.2 Загальна характеристика обстежених пацієнтів</w:t>
      </w:r>
      <w:bookmarkEnd w:id="25"/>
    </w:p>
    <w:p w14:paraId="5FD2810D">
      <w:pPr>
        <w:widowControl w:val="0"/>
        <w:rPr>
          <w:szCs w:val="28"/>
          <w:highlight w:val="none"/>
        </w:rPr>
      </w:pPr>
    </w:p>
    <w:p w14:paraId="54B8CD7B">
      <w:pPr>
        <w:widowControl w:val="0"/>
        <w:contextualSpacing/>
        <w:rPr>
          <w:szCs w:val="28"/>
          <w:highlight w:val="none"/>
        </w:rPr>
      </w:pPr>
      <w:r>
        <w:rPr>
          <w:szCs w:val="28"/>
          <w:highlight w:val="none"/>
        </w:rPr>
        <w:t>Було обстежено 78 осіб 18–60 років, серед яких виокремлено 47 хворих (основна група) на ХГС (за МКХ ХI перегляду – код 1E51.1) із ФП різних</w:t>
      </w:r>
      <w:r>
        <w:rPr>
          <w:szCs w:val="28"/>
          <w:highlight w:val="none"/>
        </w:rPr>
        <w:t xml:space="preserve"> </w:t>
      </w:r>
      <w:r>
        <w:rPr>
          <w:szCs w:val="28"/>
          <w:highlight w:val="none"/>
        </w:rPr>
        <w:t>стадій (за МКХ ХI – код DB93) [2.2]) та 31 обстежений контрольної групи (практично здорові особи, рандомізовані за віком і статтю) – табл. 2.1. Тривалість ХГС визначалася відносно моменту, з якого було лабораторно підтверджено та встановлено діагноз ХГС, згідно медичної документації.</w:t>
      </w:r>
    </w:p>
    <w:p w14:paraId="58F155FB">
      <w:pPr>
        <w:widowControl w:val="0"/>
        <w:contextualSpacing/>
        <w:rPr>
          <w:szCs w:val="28"/>
          <w:highlight w:val="none"/>
        </w:rPr>
      </w:pPr>
    </w:p>
    <w:p w14:paraId="1C1ADD94">
      <w:pPr>
        <w:widowControl w:val="0"/>
        <w:tabs>
          <w:tab w:val="left" w:pos="1005"/>
        </w:tabs>
        <w:ind w:firstLine="850"/>
        <w:jc w:val="right"/>
        <w:rPr>
          <w:i/>
          <w:szCs w:val="28"/>
          <w:highlight w:val="none"/>
        </w:rPr>
      </w:pPr>
      <w:r>
        <w:rPr>
          <w:i/>
          <w:szCs w:val="28"/>
          <w:highlight w:val="none"/>
        </w:rPr>
        <w:t>Таблиця 2.1</w:t>
      </w:r>
    </w:p>
    <w:p w14:paraId="08911257">
      <w:pPr>
        <w:widowControl w:val="0"/>
        <w:tabs>
          <w:tab w:val="left" w:pos="1005"/>
        </w:tabs>
        <w:rPr>
          <w:b/>
          <w:szCs w:val="28"/>
          <w:highlight w:val="none"/>
        </w:rPr>
      </w:pPr>
      <w:r>
        <w:rPr>
          <w:b/>
          <w:szCs w:val="28"/>
          <w:highlight w:val="none"/>
        </w:rPr>
        <w:t xml:space="preserve">Розподіл обстежених основної та контрольної груп за віко-статевими характеристиками й показниками тривалості ХГС (абс. ( %), </w:t>
      </w:r>
      <w:r>
        <w:rPr>
          <w:b/>
          <w:bCs/>
          <w:szCs w:val="28"/>
          <w:highlight w:val="none"/>
        </w:rPr>
        <w:t>Me [Lq; Uq]</w:t>
      </w:r>
      <w:r>
        <w:rPr>
          <w:b/>
          <w:szCs w:val="28"/>
          <w:highlight w:val="none"/>
        </w:rPr>
        <w:t>)</w:t>
      </w:r>
    </w:p>
    <w:tbl>
      <w:tblPr>
        <w:tblStyle w:val="8"/>
        <w:tblW w:w="9252"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4"/>
        <w:gridCol w:w="2435"/>
        <w:gridCol w:w="2301"/>
        <w:gridCol w:w="2302"/>
        <w:gridCol w:w="1710"/>
      </w:tblGrid>
      <w:tr w14:paraId="494F4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dxa"/>
            <w:vMerge w:val="restart"/>
            <w:vAlign w:val="center"/>
          </w:tcPr>
          <w:p w14:paraId="0DFEDC4B">
            <w:pPr>
              <w:widowControl w:val="0"/>
              <w:ind w:left="-72" w:right="-72" w:firstLine="0"/>
              <w:jc w:val="center"/>
              <w:rPr>
                <w:szCs w:val="28"/>
                <w:highlight w:val="none"/>
              </w:rPr>
            </w:pPr>
            <w:r>
              <w:rPr>
                <w:szCs w:val="28"/>
                <w:highlight w:val="none"/>
              </w:rPr>
              <w:t>№ з/п</w:t>
            </w:r>
          </w:p>
        </w:tc>
        <w:tc>
          <w:tcPr>
            <w:tcW w:w="2435" w:type="dxa"/>
            <w:vMerge w:val="restart"/>
            <w:vAlign w:val="center"/>
          </w:tcPr>
          <w:p w14:paraId="675BF7EA">
            <w:pPr>
              <w:widowControl w:val="0"/>
              <w:ind w:left="-72" w:right="-72" w:firstLine="0"/>
              <w:jc w:val="center"/>
              <w:rPr>
                <w:szCs w:val="28"/>
                <w:highlight w:val="none"/>
              </w:rPr>
            </w:pPr>
            <w:r>
              <w:rPr>
                <w:szCs w:val="28"/>
                <w:highlight w:val="none"/>
              </w:rPr>
              <w:t>Характеристики</w:t>
            </w:r>
          </w:p>
        </w:tc>
        <w:tc>
          <w:tcPr>
            <w:tcW w:w="4603" w:type="dxa"/>
            <w:gridSpan w:val="2"/>
            <w:vAlign w:val="center"/>
          </w:tcPr>
          <w:p w14:paraId="1E779C09">
            <w:pPr>
              <w:widowControl w:val="0"/>
              <w:ind w:left="-72" w:right="-72" w:firstLine="0"/>
              <w:jc w:val="center"/>
              <w:rPr>
                <w:szCs w:val="28"/>
                <w:highlight w:val="none"/>
              </w:rPr>
            </w:pPr>
            <w:r>
              <w:rPr>
                <w:szCs w:val="28"/>
                <w:highlight w:val="none"/>
              </w:rPr>
              <w:t>Групи порівняння</w:t>
            </w:r>
          </w:p>
        </w:tc>
        <w:tc>
          <w:tcPr>
            <w:tcW w:w="1710" w:type="dxa"/>
            <w:vMerge w:val="restart"/>
            <w:vAlign w:val="center"/>
          </w:tcPr>
          <w:p w14:paraId="405CE411">
            <w:pPr>
              <w:widowControl w:val="0"/>
              <w:ind w:left="-72" w:right="-72" w:firstLine="0"/>
              <w:jc w:val="center"/>
              <w:rPr>
                <w:i/>
                <w:szCs w:val="28"/>
                <w:highlight w:val="none"/>
              </w:rPr>
            </w:pPr>
            <w:r>
              <w:rPr>
                <w:i/>
                <w:szCs w:val="28"/>
                <w:highlight w:val="none"/>
              </w:rPr>
              <w:t>р</w:t>
            </w:r>
          </w:p>
        </w:tc>
      </w:tr>
      <w:tr w14:paraId="1448D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dxa"/>
            <w:vMerge w:val="continue"/>
            <w:vAlign w:val="center"/>
          </w:tcPr>
          <w:p w14:paraId="6252EA4D">
            <w:pPr>
              <w:spacing w:line="240" w:lineRule="auto"/>
              <w:ind w:firstLine="0"/>
              <w:rPr>
                <w:szCs w:val="28"/>
                <w:highlight w:val="none"/>
              </w:rPr>
            </w:pPr>
          </w:p>
        </w:tc>
        <w:tc>
          <w:tcPr>
            <w:tcW w:w="2435" w:type="dxa"/>
            <w:vMerge w:val="continue"/>
            <w:vAlign w:val="center"/>
          </w:tcPr>
          <w:p w14:paraId="21AFF882">
            <w:pPr>
              <w:spacing w:line="240" w:lineRule="auto"/>
              <w:ind w:firstLine="0"/>
              <w:rPr>
                <w:szCs w:val="28"/>
                <w:highlight w:val="none"/>
              </w:rPr>
            </w:pPr>
          </w:p>
        </w:tc>
        <w:tc>
          <w:tcPr>
            <w:tcW w:w="2301" w:type="dxa"/>
            <w:vAlign w:val="center"/>
          </w:tcPr>
          <w:p w14:paraId="524C8186">
            <w:pPr>
              <w:widowControl w:val="0"/>
              <w:ind w:left="-115" w:right="-115" w:firstLine="0"/>
              <w:jc w:val="center"/>
              <w:rPr>
                <w:szCs w:val="28"/>
                <w:highlight w:val="none"/>
              </w:rPr>
            </w:pPr>
            <w:r>
              <w:rPr>
                <w:szCs w:val="28"/>
                <w:highlight w:val="none"/>
              </w:rPr>
              <w:t xml:space="preserve">основна, </w:t>
            </w:r>
            <w:r>
              <w:rPr>
                <w:i/>
                <w:szCs w:val="28"/>
                <w:highlight w:val="none"/>
              </w:rPr>
              <w:t>n = </w:t>
            </w:r>
            <w:r>
              <w:rPr>
                <w:szCs w:val="28"/>
                <w:highlight w:val="none"/>
              </w:rPr>
              <w:t>47</w:t>
            </w:r>
          </w:p>
        </w:tc>
        <w:tc>
          <w:tcPr>
            <w:tcW w:w="2302" w:type="dxa"/>
            <w:vAlign w:val="center"/>
          </w:tcPr>
          <w:p w14:paraId="68142414">
            <w:pPr>
              <w:widowControl w:val="0"/>
              <w:ind w:left="-115" w:right="-115" w:firstLine="0"/>
              <w:jc w:val="center"/>
              <w:rPr>
                <w:szCs w:val="28"/>
                <w:highlight w:val="none"/>
              </w:rPr>
            </w:pPr>
            <w:r>
              <w:rPr>
                <w:szCs w:val="28"/>
                <w:highlight w:val="none"/>
              </w:rPr>
              <w:t xml:space="preserve">контрольна, </w:t>
            </w:r>
            <w:r>
              <w:rPr>
                <w:i/>
                <w:szCs w:val="28"/>
                <w:highlight w:val="none"/>
              </w:rPr>
              <w:t>n = </w:t>
            </w:r>
            <w:r>
              <w:rPr>
                <w:szCs w:val="28"/>
                <w:highlight w:val="none"/>
              </w:rPr>
              <w:t>31</w:t>
            </w:r>
          </w:p>
        </w:tc>
        <w:tc>
          <w:tcPr>
            <w:tcW w:w="1710" w:type="dxa"/>
            <w:vMerge w:val="continue"/>
            <w:vAlign w:val="center"/>
          </w:tcPr>
          <w:p w14:paraId="3196F17D">
            <w:pPr>
              <w:widowControl w:val="0"/>
              <w:ind w:left="-115" w:right="-115" w:firstLine="0"/>
              <w:jc w:val="center"/>
              <w:rPr>
                <w:szCs w:val="28"/>
                <w:highlight w:val="none"/>
              </w:rPr>
            </w:pPr>
          </w:p>
        </w:tc>
      </w:tr>
      <w:tr w14:paraId="796C5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dxa"/>
            <w:vAlign w:val="center"/>
          </w:tcPr>
          <w:p w14:paraId="2ED0D1A1">
            <w:pPr>
              <w:widowControl w:val="0"/>
              <w:ind w:left="-72" w:right="-72" w:firstLine="0"/>
              <w:jc w:val="center"/>
              <w:rPr>
                <w:szCs w:val="28"/>
                <w:highlight w:val="none"/>
              </w:rPr>
            </w:pPr>
            <w:r>
              <w:rPr>
                <w:szCs w:val="28"/>
                <w:highlight w:val="none"/>
              </w:rPr>
              <w:t>1</w:t>
            </w:r>
          </w:p>
        </w:tc>
        <w:tc>
          <w:tcPr>
            <w:tcW w:w="2435" w:type="dxa"/>
            <w:vAlign w:val="center"/>
          </w:tcPr>
          <w:p w14:paraId="1EA73249">
            <w:pPr>
              <w:widowControl w:val="0"/>
              <w:ind w:left="-113" w:right="-113" w:firstLine="0"/>
              <w:rPr>
                <w:szCs w:val="28"/>
                <w:highlight w:val="none"/>
              </w:rPr>
            </w:pPr>
            <w:r>
              <w:rPr>
                <w:szCs w:val="28"/>
                <w:highlight w:val="none"/>
              </w:rPr>
              <w:t>Середній вік, років</w:t>
            </w:r>
          </w:p>
        </w:tc>
        <w:tc>
          <w:tcPr>
            <w:tcW w:w="2301" w:type="dxa"/>
            <w:vAlign w:val="center"/>
          </w:tcPr>
          <w:p w14:paraId="3CF310E9">
            <w:pPr>
              <w:widowControl w:val="0"/>
              <w:ind w:left="-115" w:right="-115" w:firstLine="0"/>
              <w:jc w:val="center"/>
              <w:rPr>
                <w:szCs w:val="28"/>
                <w:highlight w:val="none"/>
              </w:rPr>
            </w:pPr>
            <w:r>
              <w:rPr>
                <w:szCs w:val="28"/>
                <w:highlight w:val="none"/>
              </w:rPr>
              <w:t>45,0 [39,0; 51,0]</w:t>
            </w:r>
          </w:p>
        </w:tc>
        <w:tc>
          <w:tcPr>
            <w:tcW w:w="2302" w:type="dxa"/>
            <w:vAlign w:val="center"/>
          </w:tcPr>
          <w:p w14:paraId="10E1F5AE">
            <w:pPr>
              <w:widowControl w:val="0"/>
              <w:ind w:left="-115" w:right="-115" w:firstLine="0"/>
              <w:jc w:val="center"/>
              <w:rPr>
                <w:szCs w:val="28"/>
                <w:highlight w:val="none"/>
              </w:rPr>
            </w:pPr>
            <w:r>
              <w:rPr>
                <w:szCs w:val="28"/>
                <w:highlight w:val="none"/>
              </w:rPr>
              <w:t>48,0 [43,0; 51,0]</w:t>
            </w:r>
          </w:p>
        </w:tc>
        <w:tc>
          <w:tcPr>
            <w:tcW w:w="1710" w:type="dxa"/>
            <w:vAlign w:val="center"/>
          </w:tcPr>
          <w:p w14:paraId="4067B69A">
            <w:pPr>
              <w:widowControl w:val="0"/>
              <w:ind w:left="-115" w:right="-115" w:firstLine="0"/>
              <w:jc w:val="center"/>
              <w:rPr>
                <w:szCs w:val="28"/>
                <w:highlight w:val="none"/>
              </w:rPr>
            </w:pPr>
            <w:r>
              <w:rPr>
                <w:szCs w:val="28"/>
                <w:highlight w:val="none"/>
              </w:rPr>
              <w:t>0,365*</w:t>
            </w:r>
          </w:p>
        </w:tc>
      </w:tr>
      <w:tr w14:paraId="10A6B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dxa"/>
            <w:vAlign w:val="center"/>
          </w:tcPr>
          <w:p w14:paraId="674FC3D9">
            <w:pPr>
              <w:widowControl w:val="0"/>
              <w:ind w:left="-72" w:right="-72" w:firstLine="0"/>
              <w:jc w:val="center"/>
              <w:rPr>
                <w:szCs w:val="28"/>
                <w:highlight w:val="none"/>
              </w:rPr>
            </w:pPr>
            <w:r>
              <w:rPr>
                <w:szCs w:val="28"/>
                <w:highlight w:val="none"/>
              </w:rPr>
              <w:t>2</w:t>
            </w:r>
          </w:p>
        </w:tc>
        <w:tc>
          <w:tcPr>
            <w:tcW w:w="2435" w:type="dxa"/>
            <w:vAlign w:val="center"/>
          </w:tcPr>
          <w:p w14:paraId="7CF6EFDC">
            <w:pPr>
              <w:widowControl w:val="0"/>
              <w:ind w:left="-113" w:right="-113" w:firstLine="0"/>
              <w:rPr>
                <w:szCs w:val="28"/>
                <w:highlight w:val="none"/>
              </w:rPr>
            </w:pPr>
            <w:r>
              <w:rPr>
                <w:szCs w:val="28"/>
                <w:highlight w:val="none"/>
              </w:rPr>
              <w:t>Тривалість ХГС від виявлення, років</w:t>
            </w:r>
          </w:p>
        </w:tc>
        <w:tc>
          <w:tcPr>
            <w:tcW w:w="2301" w:type="dxa"/>
            <w:vAlign w:val="center"/>
          </w:tcPr>
          <w:p w14:paraId="722C2104">
            <w:pPr>
              <w:widowControl w:val="0"/>
              <w:ind w:left="-115" w:right="-115" w:firstLine="0"/>
              <w:jc w:val="center"/>
              <w:rPr>
                <w:szCs w:val="28"/>
                <w:highlight w:val="none"/>
              </w:rPr>
            </w:pPr>
            <w:r>
              <w:rPr>
                <w:szCs w:val="28"/>
                <w:highlight w:val="none"/>
              </w:rPr>
              <w:t>3,0 [1,0; 7,0]</w:t>
            </w:r>
          </w:p>
        </w:tc>
        <w:tc>
          <w:tcPr>
            <w:tcW w:w="2302" w:type="dxa"/>
            <w:vAlign w:val="center"/>
          </w:tcPr>
          <w:p w14:paraId="24C58814">
            <w:pPr>
              <w:widowControl w:val="0"/>
              <w:ind w:left="-115" w:right="-115" w:firstLine="0"/>
              <w:jc w:val="center"/>
              <w:rPr>
                <w:szCs w:val="28"/>
                <w:highlight w:val="none"/>
              </w:rPr>
            </w:pPr>
            <w:r>
              <w:rPr>
                <w:szCs w:val="28"/>
                <w:highlight w:val="none"/>
              </w:rPr>
              <w:t>–</w:t>
            </w:r>
          </w:p>
        </w:tc>
        <w:tc>
          <w:tcPr>
            <w:tcW w:w="1710" w:type="dxa"/>
            <w:vAlign w:val="center"/>
          </w:tcPr>
          <w:p w14:paraId="3EC4BE99">
            <w:pPr>
              <w:widowControl w:val="0"/>
              <w:ind w:left="-115" w:right="-115" w:firstLine="0"/>
              <w:jc w:val="center"/>
              <w:rPr>
                <w:szCs w:val="28"/>
                <w:highlight w:val="none"/>
              </w:rPr>
            </w:pPr>
            <w:r>
              <w:rPr>
                <w:szCs w:val="28"/>
                <w:highlight w:val="none"/>
              </w:rPr>
              <w:t>–</w:t>
            </w:r>
          </w:p>
        </w:tc>
      </w:tr>
      <w:tr w14:paraId="544C2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dxa"/>
            <w:vAlign w:val="center"/>
          </w:tcPr>
          <w:p w14:paraId="64D302C9">
            <w:pPr>
              <w:widowControl w:val="0"/>
              <w:ind w:left="-72" w:right="-72" w:firstLine="0"/>
              <w:jc w:val="center"/>
              <w:rPr>
                <w:szCs w:val="28"/>
                <w:highlight w:val="none"/>
              </w:rPr>
            </w:pPr>
            <w:r>
              <w:rPr>
                <w:szCs w:val="28"/>
                <w:highlight w:val="none"/>
              </w:rPr>
              <w:t>3</w:t>
            </w:r>
          </w:p>
        </w:tc>
        <w:tc>
          <w:tcPr>
            <w:tcW w:w="2435" w:type="dxa"/>
            <w:vAlign w:val="center"/>
          </w:tcPr>
          <w:p w14:paraId="7FE12750">
            <w:pPr>
              <w:widowControl w:val="0"/>
              <w:ind w:left="-113" w:right="-113" w:firstLine="0"/>
              <w:rPr>
                <w:szCs w:val="28"/>
                <w:highlight w:val="none"/>
              </w:rPr>
            </w:pPr>
            <w:r>
              <w:rPr>
                <w:szCs w:val="28"/>
                <w:highlight w:val="none"/>
              </w:rPr>
              <w:t>Чоловіки</w:t>
            </w:r>
          </w:p>
        </w:tc>
        <w:tc>
          <w:tcPr>
            <w:tcW w:w="2301" w:type="dxa"/>
            <w:vAlign w:val="center"/>
          </w:tcPr>
          <w:p w14:paraId="3F34D88B">
            <w:pPr>
              <w:widowControl w:val="0"/>
              <w:ind w:left="-115" w:right="-115" w:firstLine="0"/>
              <w:jc w:val="center"/>
              <w:rPr>
                <w:szCs w:val="28"/>
                <w:highlight w:val="none"/>
              </w:rPr>
            </w:pPr>
            <w:r>
              <w:rPr>
                <w:szCs w:val="28"/>
                <w:highlight w:val="none"/>
              </w:rPr>
              <w:t>28 (60,6)</w:t>
            </w:r>
          </w:p>
        </w:tc>
        <w:tc>
          <w:tcPr>
            <w:tcW w:w="2302" w:type="dxa"/>
            <w:vAlign w:val="center"/>
          </w:tcPr>
          <w:p w14:paraId="459A9C3B">
            <w:pPr>
              <w:widowControl w:val="0"/>
              <w:ind w:left="-115" w:right="-115" w:firstLine="0"/>
              <w:jc w:val="center"/>
              <w:rPr>
                <w:szCs w:val="28"/>
                <w:highlight w:val="none"/>
              </w:rPr>
            </w:pPr>
            <w:r>
              <w:rPr>
                <w:szCs w:val="28"/>
                <w:highlight w:val="none"/>
              </w:rPr>
              <w:t>14 (45,2)</w:t>
            </w:r>
          </w:p>
        </w:tc>
        <w:tc>
          <w:tcPr>
            <w:tcW w:w="1710" w:type="dxa"/>
            <w:vMerge w:val="restart"/>
            <w:vAlign w:val="center"/>
          </w:tcPr>
          <w:p w14:paraId="7133E63B">
            <w:pPr>
              <w:widowControl w:val="0"/>
              <w:ind w:left="-115" w:right="-115" w:firstLine="0"/>
              <w:jc w:val="center"/>
              <w:rPr>
                <w:szCs w:val="28"/>
                <w:highlight w:val="none"/>
              </w:rPr>
            </w:pPr>
            <w:r>
              <w:rPr>
                <w:szCs w:val="28"/>
                <w:highlight w:val="none"/>
              </w:rPr>
              <w:t>0,211*^</w:t>
            </w:r>
          </w:p>
        </w:tc>
      </w:tr>
      <w:tr w14:paraId="21EB3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dxa"/>
            <w:vAlign w:val="center"/>
          </w:tcPr>
          <w:p w14:paraId="3EC246CE">
            <w:pPr>
              <w:widowControl w:val="0"/>
              <w:ind w:left="-72" w:right="-72" w:firstLine="0"/>
              <w:jc w:val="center"/>
              <w:rPr>
                <w:szCs w:val="28"/>
                <w:highlight w:val="none"/>
              </w:rPr>
            </w:pPr>
            <w:r>
              <w:rPr>
                <w:szCs w:val="28"/>
                <w:highlight w:val="none"/>
              </w:rPr>
              <w:t>4</w:t>
            </w:r>
          </w:p>
        </w:tc>
        <w:tc>
          <w:tcPr>
            <w:tcW w:w="2435" w:type="dxa"/>
            <w:vAlign w:val="center"/>
          </w:tcPr>
          <w:p w14:paraId="6987D1A6">
            <w:pPr>
              <w:widowControl w:val="0"/>
              <w:ind w:left="-113" w:right="-113" w:firstLine="0"/>
              <w:rPr>
                <w:szCs w:val="28"/>
                <w:highlight w:val="none"/>
              </w:rPr>
            </w:pPr>
            <w:r>
              <w:rPr>
                <w:szCs w:val="28"/>
                <w:highlight w:val="none"/>
              </w:rPr>
              <w:t>Жінки</w:t>
            </w:r>
          </w:p>
        </w:tc>
        <w:tc>
          <w:tcPr>
            <w:tcW w:w="2301" w:type="dxa"/>
            <w:vAlign w:val="center"/>
          </w:tcPr>
          <w:p w14:paraId="6F6B12BB">
            <w:pPr>
              <w:widowControl w:val="0"/>
              <w:ind w:left="-115" w:right="-115" w:firstLine="0"/>
              <w:jc w:val="center"/>
              <w:rPr>
                <w:szCs w:val="28"/>
                <w:highlight w:val="none"/>
              </w:rPr>
            </w:pPr>
            <w:r>
              <w:rPr>
                <w:szCs w:val="28"/>
                <w:highlight w:val="none"/>
              </w:rPr>
              <w:t>19 (40,4)</w:t>
            </w:r>
          </w:p>
        </w:tc>
        <w:tc>
          <w:tcPr>
            <w:tcW w:w="2302" w:type="dxa"/>
            <w:vAlign w:val="center"/>
          </w:tcPr>
          <w:p w14:paraId="18B346F8">
            <w:pPr>
              <w:widowControl w:val="0"/>
              <w:ind w:left="-115" w:right="-115" w:firstLine="0"/>
              <w:jc w:val="center"/>
              <w:rPr>
                <w:szCs w:val="28"/>
                <w:highlight w:val="none"/>
              </w:rPr>
            </w:pPr>
            <w:r>
              <w:rPr>
                <w:szCs w:val="28"/>
                <w:highlight w:val="none"/>
              </w:rPr>
              <w:t>17 (54,8)</w:t>
            </w:r>
          </w:p>
        </w:tc>
        <w:tc>
          <w:tcPr>
            <w:tcW w:w="1710" w:type="dxa"/>
            <w:vMerge w:val="continue"/>
            <w:vAlign w:val="center"/>
          </w:tcPr>
          <w:p w14:paraId="33C73FE3">
            <w:pPr>
              <w:widowControl w:val="0"/>
              <w:ind w:left="-115" w:right="-115" w:firstLine="0"/>
              <w:jc w:val="center"/>
              <w:rPr>
                <w:szCs w:val="28"/>
                <w:highlight w:val="none"/>
              </w:rPr>
            </w:pPr>
          </w:p>
        </w:tc>
      </w:tr>
      <w:tr w14:paraId="219E6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dxa"/>
            <w:vAlign w:val="center"/>
          </w:tcPr>
          <w:p w14:paraId="6886C8E6">
            <w:pPr>
              <w:widowControl w:val="0"/>
              <w:ind w:left="-72" w:right="-72" w:firstLine="0"/>
              <w:jc w:val="center"/>
              <w:rPr>
                <w:b/>
                <w:szCs w:val="28"/>
                <w:highlight w:val="none"/>
              </w:rPr>
            </w:pPr>
            <w:r>
              <w:rPr>
                <w:b/>
                <w:szCs w:val="28"/>
                <w:highlight w:val="none"/>
              </w:rPr>
              <w:t>5</w:t>
            </w:r>
          </w:p>
        </w:tc>
        <w:tc>
          <w:tcPr>
            <w:tcW w:w="2435" w:type="dxa"/>
            <w:vAlign w:val="center"/>
          </w:tcPr>
          <w:p w14:paraId="587A4588">
            <w:pPr>
              <w:widowControl w:val="0"/>
              <w:ind w:left="-113" w:right="-113" w:firstLine="0"/>
              <w:rPr>
                <w:b/>
                <w:szCs w:val="28"/>
                <w:highlight w:val="none"/>
              </w:rPr>
            </w:pPr>
            <w:r>
              <w:rPr>
                <w:b/>
                <w:szCs w:val="28"/>
                <w:highlight w:val="none"/>
              </w:rPr>
              <w:t>У цілому:</w:t>
            </w:r>
          </w:p>
        </w:tc>
        <w:tc>
          <w:tcPr>
            <w:tcW w:w="2301" w:type="dxa"/>
            <w:vAlign w:val="center"/>
          </w:tcPr>
          <w:p w14:paraId="381FCA80">
            <w:pPr>
              <w:widowControl w:val="0"/>
              <w:ind w:left="-115" w:right="-115" w:firstLine="0"/>
              <w:jc w:val="center"/>
              <w:rPr>
                <w:szCs w:val="28"/>
                <w:highlight w:val="none"/>
              </w:rPr>
            </w:pPr>
            <w:r>
              <w:rPr>
                <w:szCs w:val="28"/>
                <w:highlight w:val="none"/>
              </w:rPr>
              <w:t>47 (60,3)</w:t>
            </w:r>
          </w:p>
        </w:tc>
        <w:tc>
          <w:tcPr>
            <w:tcW w:w="2302" w:type="dxa"/>
            <w:vAlign w:val="center"/>
          </w:tcPr>
          <w:p w14:paraId="41070C2D">
            <w:pPr>
              <w:widowControl w:val="0"/>
              <w:ind w:left="-115" w:right="-115" w:firstLine="0"/>
              <w:jc w:val="center"/>
              <w:rPr>
                <w:szCs w:val="28"/>
                <w:highlight w:val="none"/>
              </w:rPr>
            </w:pPr>
            <w:r>
              <w:rPr>
                <w:szCs w:val="28"/>
                <w:highlight w:val="none"/>
              </w:rPr>
              <w:t>31 (39,7)</w:t>
            </w:r>
          </w:p>
        </w:tc>
        <w:tc>
          <w:tcPr>
            <w:tcW w:w="1710" w:type="dxa"/>
            <w:vAlign w:val="center"/>
          </w:tcPr>
          <w:p w14:paraId="37A31D99">
            <w:pPr>
              <w:widowControl w:val="0"/>
              <w:ind w:left="-115" w:right="-115" w:firstLine="0"/>
              <w:jc w:val="center"/>
              <w:rPr>
                <w:szCs w:val="28"/>
                <w:highlight w:val="none"/>
              </w:rPr>
            </w:pPr>
            <w:r>
              <w:rPr>
                <w:szCs w:val="28"/>
                <w:highlight w:val="none"/>
              </w:rPr>
              <w:t>–</w:t>
            </w:r>
          </w:p>
        </w:tc>
      </w:tr>
    </w:tbl>
    <w:p w14:paraId="39636B2A">
      <w:pPr>
        <w:widowControl w:val="0"/>
        <w:tabs>
          <w:tab w:val="left" w:pos="1005"/>
        </w:tabs>
        <w:rPr>
          <w:szCs w:val="28"/>
          <w:highlight w:val="none"/>
        </w:rPr>
      </w:pPr>
      <w:r>
        <w:rPr>
          <w:szCs w:val="28"/>
          <w:highlight w:val="none"/>
        </w:rPr>
        <w:t>Примітки: вірогідність різниці: * – між основною та групою контролю, ^* – між чоловіками та жінками.</w:t>
      </w:r>
    </w:p>
    <w:p w14:paraId="188736FF">
      <w:pPr>
        <w:widowControl w:val="0"/>
        <w:rPr>
          <w:szCs w:val="28"/>
          <w:highlight w:val="none"/>
        </w:rPr>
      </w:pPr>
    </w:p>
    <w:p w14:paraId="0AB1CC9C">
      <w:pPr>
        <w:widowControl w:val="0"/>
        <w:rPr>
          <w:szCs w:val="28"/>
          <w:highlight w:val="none"/>
        </w:rPr>
      </w:pPr>
      <w:r>
        <w:rPr>
          <w:szCs w:val="28"/>
          <w:highlight w:val="none"/>
        </w:rPr>
        <w:t>Так, слід вказати, що в основній і групі контролю середній вік був практично однаковим і становив відповідно 45,0 [39,0; 51,0] і 48,0 [43,0; 51,0] років. При цьому, основна група більшістю складалася з чоловіків (28; 60,6 %) на відміну від жінок (19; 40,4 %), а в групі контролю, навпаки, переважали жінки (17; 54,8 %) порівняно з чоловіками (14; 45,2 %) – табл. 2.1.</w:t>
      </w:r>
    </w:p>
    <w:p w14:paraId="1D77002C">
      <w:pPr>
        <w:widowControl w:val="0"/>
        <w:rPr>
          <w:szCs w:val="28"/>
          <w:highlight w:val="none"/>
        </w:rPr>
      </w:pPr>
      <w:r>
        <w:rPr>
          <w:szCs w:val="28"/>
          <w:highlight w:val="none"/>
        </w:rPr>
        <w:t xml:space="preserve">При цьому, за розподілом хворих основної групи за стадіями фіброзу було визначено кількісну перевагу пацієнтів із </w:t>
      </w:r>
      <w:r>
        <w:rPr>
          <w:highlight w:val="none"/>
        </w:rPr>
        <w:t>F</w:t>
      </w:r>
      <w:r>
        <w:rPr>
          <w:szCs w:val="28"/>
          <w:highlight w:val="none"/>
        </w:rPr>
        <w:t xml:space="preserve"> 1 (15; 31,9 %), </w:t>
      </w:r>
      <w:r>
        <w:rPr>
          <w:highlight w:val="none"/>
        </w:rPr>
        <w:t>F</w:t>
      </w:r>
      <w:r>
        <w:rPr>
          <w:szCs w:val="28"/>
          <w:highlight w:val="none"/>
        </w:rPr>
        <w:t xml:space="preserve"> 2 (14; 29,8 %) і </w:t>
      </w:r>
      <w:r>
        <w:rPr>
          <w:highlight w:val="none"/>
        </w:rPr>
        <w:t>F</w:t>
      </w:r>
      <w:r>
        <w:rPr>
          <w:szCs w:val="28"/>
          <w:highlight w:val="none"/>
        </w:rPr>
        <w:t xml:space="preserve"> 3 (13; 27,7 %) стадіями порівняно з особами з </w:t>
      </w:r>
      <w:r>
        <w:rPr>
          <w:highlight w:val="none"/>
        </w:rPr>
        <w:t>F</w:t>
      </w:r>
      <w:r>
        <w:rPr>
          <w:szCs w:val="28"/>
          <w:highlight w:val="none"/>
        </w:rPr>
        <w:t xml:space="preserve"> 0 (2; 4,3 %) та F 4 (6; 6,4 %). Слід вказати також на досить вагому кількість хворих із тяжкими стадіями ФП (</w:t>
      </w:r>
      <w:r>
        <w:rPr>
          <w:highlight w:val="none"/>
        </w:rPr>
        <w:t>F</w:t>
      </w:r>
      <w:r>
        <w:rPr>
          <w:szCs w:val="28"/>
          <w:highlight w:val="none"/>
        </w:rPr>
        <w:t xml:space="preserve"> 3 і </w:t>
      </w:r>
      <w:r>
        <w:rPr>
          <w:highlight w:val="none"/>
        </w:rPr>
        <w:t>F</w:t>
      </w:r>
      <w:r>
        <w:rPr>
          <w:szCs w:val="28"/>
          <w:highlight w:val="none"/>
        </w:rPr>
        <w:t xml:space="preserve"> 4), яких було відзначено 16 (34,0 %) пацієнтів – табл. 2.2.</w:t>
      </w:r>
    </w:p>
    <w:p w14:paraId="27FD574E">
      <w:pPr>
        <w:widowControl w:val="0"/>
        <w:tabs>
          <w:tab w:val="left" w:pos="1005"/>
        </w:tabs>
        <w:ind w:firstLine="850"/>
        <w:jc w:val="right"/>
        <w:rPr>
          <w:i/>
          <w:szCs w:val="28"/>
          <w:highlight w:val="none"/>
        </w:rPr>
      </w:pPr>
      <w:r>
        <w:rPr>
          <w:i/>
          <w:szCs w:val="28"/>
          <w:highlight w:val="none"/>
        </w:rPr>
        <w:t>Таблиця 2.2</w:t>
      </w:r>
    </w:p>
    <w:p w14:paraId="6088BD6F">
      <w:pPr>
        <w:widowControl w:val="0"/>
        <w:tabs>
          <w:tab w:val="left" w:pos="1005"/>
        </w:tabs>
        <w:rPr>
          <w:b/>
          <w:szCs w:val="28"/>
          <w:highlight w:val="none"/>
        </w:rPr>
      </w:pPr>
      <w:r>
        <w:rPr>
          <w:b/>
          <w:szCs w:val="28"/>
          <w:highlight w:val="none"/>
        </w:rPr>
        <w:t>Розподіл обстежених основної групи (</w:t>
      </w:r>
      <w:r>
        <w:rPr>
          <w:b/>
          <w:i/>
          <w:szCs w:val="28"/>
          <w:highlight w:val="none"/>
        </w:rPr>
        <w:t>n = </w:t>
      </w:r>
      <w:r>
        <w:rPr>
          <w:b/>
          <w:szCs w:val="28"/>
          <w:highlight w:val="none"/>
        </w:rPr>
        <w:t>47) за стадіями ФП (абс. ( %))</w:t>
      </w:r>
    </w:p>
    <w:tbl>
      <w:tblPr>
        <w:tblStyle w:val="8"/>
        <w:tblW w:w="935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7"/>
        <w:gridCol w:w="2435"/>
        <w:gridCol w:w="6304"/>
      </w:tblGrid>
      <w:tr w14:paraId="53BB3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7" w:type="dxa"/>
            <w:vAlign w:val="center"/>
          </w:tcPr>
          <w:p w14:paraId="3FB5A820">
            <w:pPr>
              <w:widowControl w:val="0"/>
              <w:ind w:left="-72" w:right="-72" w:firstLine="0"/>
              <w:jc w:val="center"/>
              <w:rPr>
                <w:szCs w:val="28"/>
                <w:highlight w:val="none"/>
              </w:rPr>
            </w:pPr>
            <w:r>
              <w:rPr>
                <w:szCs w:val="28"/>
                <w:highlight w:val="none"/>
              </w:rPr>
              <w:t>№ з/п</w:t>
            </w:r>
          </w:p>
        </w:tc>
        <w:tc>
          <w:tcPr>
            <w:tcW w:w="2435" w:type="dxa"/>
            <w:vAlign w:val="center"/>
          </w:tcPr>
          <w:p w14:paraId="3B951066">
            <w:pPr>
              <w:widowControl w:val="0"/>
              <w:ind w:left="-72" w:right="-72" w:firstLine="0"/>
              <w:jc w:val="center"/>
              <w:rPr>
                <w:szCs w:val="28"/>
                <w:highlight w:val="none"/>
              </w:rPr>
            </w:pPr>
            <w:r>
              <w:rPr>
                <w:szCs w:val="28"/>
                <w:highlight w:val="none"/>
              </w:rPr>
              <w:t>Стадії ФП</w:t>
            </w:r>
          </w:p>
        </w:tc>
        <w:tc>
          <w:tcPr>
            <w:tcW w:w="6304" w:type="dxa"/>
            <w:vAlign w:val="center"/>
          </w:tcPr>
          <w:p w14:paraId="6F8F24D3">
            <w:pPr>
              <w:widowControl w:val="0"/>
              <w:ind w:left="-72" w:right="-72" w:firstLine="0"/>
              <w:jc w:val="center"/>
              <w:rPr>
                <w:szCs w:val="28"/>
                <w:highlight w:val="none"/>
              </w:rPr>
            </w:pPr>
            <w:r>
              <w:rPr>
                <w:bCs/>
                <w:highlight w:val="none"/>
              </w:rPr>
              <w:t>Абс ( %)</w:t>
            </w:r>
          </w:p>
        </w:tc>
      </w:tr>
      <w:tr w14:paraId="707B4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7" w:type="dxa"/>
            <w:vAlign w:val="center"/>
          </w:tcPr>
          <w:p w14:paraId="1008BF01">
            <w:pPr>
              <w:widowControl w:val="0"/>
              <w:ind w:left="-72" w:right="-72" w:firstLine="0"/>
              <w:jc w:val="center"/>
              <w:rPr>
                <w:szCs w:val="28"/>
                <w:highlight w:val="none"/>
              </w:rPr>
            </w:pPr>
            <w:r>
              <w:rPr>
                <w:szCs w:val="28"/>
                <w:highlight w:val="none"/>
              </w:rPr>
              <w:t>1</w:t>
            </w:r>
          </w:p>
        </w:tc>
        <w:tc>
          <w:tcPr>
            <w:tcW w:w="2435" w:type="dxa"/>
            <w:vAlign w:val="center"/>
          </w:tcPr>
          <w:p w14:paraId="5B7C202F">
            <w:pPr>
              <w:ind w:firstLine="0"/>
              <w:rPr>
                <w:highlight w:val="none"/>
              </w:rPr>
            </w:pPr>
            <w:r>
              <w:rPr>
                <w:highlight w:val="none"/>
              </w:rPr>
              <w:t>F 0</w:t>
            </w:r>
          </w:p>
        </w:tc>
        <w:tc>
          <w:tcPr>
            <w:tcW w:w="6304" w:type="dxa"/>
            <w:vAlign w:val="center"/>
          </w:tcPr>
          <w:p w14:paraId="58AD7CB3">
            <w:pPr>
              <w:ind w:firstLine="0"/>
              <w:jc w:val="center"/>
              <w:rPr>
                <w:szCs w:val="28"/>
                <w:highlight w:val="none"/>
              </w:rPr>
            </w:pPr>
            <w:r>
              <w:rPr>
                <w:szCs w:val="28"/>
                <w:highlight w:val="none"/>
              </w:rPr>
              <w:t>2 (4,3)</w:t>
            </w:r>
          </w:p>
        </w:tc>
      </w:tr>
      <w:tr w14:paraId="5503F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7" w:type="dxa"/>
            <w:vAlign w:val="center"/>
          </w:tcPr>
          <w:p w14:paraId="5C715DF7">
            <w:pPr>
              <w:widowControl w:val="0"/>
              <w:ind w:left="-72" w:right="-72" w:firstLine="0"/>
              <w:jc w:val="center"/>
              <w:rPr>
                <w:szCs w:val="28"/>
                <w:highlight w:val="none"/>
              </w:rPr>
            </w:pPr>
            <w:r>
              <w:rPr>
                <w:szCs w:val="28"/>
                <w:highlight w:val="none"/>
              </w:rPr>
              <w:t>2</w:t>
            </w:r>
          </w:p>
        </w:tc>
        <w:tc>
          <w:tcPr>
            <w:tcW w:w="2435" w:type="dxa"/>
            <w:vAlign w:val="center"/>
          </w:tcPr>
          <w:p w14:paraId="583D4330">
            <w:pPr>
              <w:ind w:firstLine="0"/>
              <w:rPr>
                <w:highlight w:val="none"/>
              </w:rPr>
            </w:pPr>
            <w:r>
              <w:rPr>
                <w:highlight w:val="none"/>
              </w:rPr>
              <w:t>F 1</w:t>
            </w:r>
          </w:p>
        </w:tc>
        <w:tc>
          <w:tcPr>
            <w:tcW w:w="6304" w:type="dxa"/>
            <w:vAlign w:val="center"/>
          </w:tcPr>
          <w:p w14:paraId="66F072B7">
            <w:pPr>
              <w:ind w:firstLine="0"/>
              <w:jc w:val="center"/>
              <w:rPr>
                <w:szCs w:val="28"/>
                <w:highlight w:val="none"/>
              </w:rPr>
            </w:pPr>
            <w:r>
              <w:rPr>
                <w:szCs w:val="28"/>
                <w:highlight w:val="none"/>
              </w:rPr>
              <w:t>15 (31,9)</w:t>
            </w:r>
          </w:p>
        </w:tc>
      </w:tr>
      <w:tr w14:paraId="1D239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7" w:type="dxa"/>
            <w:vAlign w:val="center"/>
          </w:tcPr>
          <w:p w14:paraId="748DFC9B">
            <w:pPr>
              <w:widowControl w:val="0"/>
              <w:ind w:left="-72" w:right="-72" w:firstLine="0"/>
              <w:jc w:val="center"/>
              <w:rPr>
                <w:szCs w:val="28"/>
                <w:highlight w:val="none"/>
              </w:rPr>
            </w:pPr>
            <w:r>
              <w:rPr>
                <w:szCs w:val="28"/>
                <w:highlight w:val="none"/>
              </w:rPr>
              <w:t>3</w:t>
            </w:r>
          </w:p>
        </w:tc>
        <w:tc>
          <w:tcPr>
            <w:tcW w:w="2435" w:type="dxa"/>
            <w:vAlign w:val="center"/>
          </w:tcPr>
          <w:p w14:paraId="6D00D9F3">
            <w:pPr>
              <w:ind w:firstLine="0"/>
              <w:rPr>
                <w:highlight w:val="none"/>
              </w:rPr>
            </w:pPr>
            <w:r>
              <w:rPr>
                <w:highlight w:val="none"/>
              </w:rPr>
              <w:t>F 2</w:t>
            </w:r>
          </w:p>
        </w:tc>
        <w:tc>
          <w:tcPr>
            <w:tcW w:w="6304" w:type="dxa"/>
            <w:vAlign w:val="center"/>
          </w:tcPr>
          <w:p w14:paraId="38C6388B">
            <w:pPr>
              <w:ind w:firstLine="0"/>
              <w:jc w:val="center"/>
              <w:rPr>
                <w:szCs w:val="28"/>
                <w:highlight w:val="none"/>
              </w:rPr>
            </w:pPr>
            <w:r>
              <w:rPr>
                <w:szCs w:val="28"/>
                <w:highlight w:val="none"/>
              </w:rPr>
              <w:t>14 (29,8)</w:t>
            </w:r>
          </w:p>
        </w:tc>
      </w:tr>
      <w:tr w14:paraId="07B6E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7" w:type="dxa"/>
            <w:vAlign w:val="center"/>
          </w:tcPr>
          <w:p w14:paraId="7890A2EE">
            <w:pPr>
              <w:widowControl w:val="0"/>
              <w:ind w:left="-72" w:right="-72" w:firstLine="0"/>
              <w:jc w:val="center"/>
              <w:rPr>
                <w:szCs w:val="28"/>
                <w:highlight w:val="none"/>
              </w:rPr>
            </w:pPr>
            <w:r>
              <w:rPr>
                <w:szCs w:val="28"/>
                <w:highlight w:val="none"/>
              </w:rPr>
              <w:t>4</w:t>
            </w:r>
          </w:p>
        </w:tc>
        <w:tc>
          <w:tcPr>
            <w:tcW w:w="2435" w:type="dxa"/>
            <w:vAlign w:val="center"/>
          </w:tcPr>
          <w:p w14:paraId="37992EEC">
            <w:pPr>
              <w:ind w:firstLine="0"/>
              <w:rPr>
                <w:highlight w:val="none"/>
              </w:rPr>
            </w:pPr>
            <w:r>
              <w:rPr>
                <w:highlight w:val="none"/>
              </w:rPr>
              <w:t>F 3</w:t>
            </w:r>
          </w:p>
        </w:tc>
        <w:tc>
          <w:tcPr>
            <w:tcW w:w="6304" w:type="dxa"/>
            <w:vAlign w:val="center"/>
          </w:tcPr>
          <w:p w14:paraId="61668BA0">
            <w:pPr>
              <w:ind w:firstLine="0"/>
              <w:jc w:val="center"/>
              <w:rPr>
                <w:szCs w:val="28"/>
                <w:highlight w:val="none"/>
              </w:rPr>
            </w:pPr>
            <w:r>
              <w:rPr>
                <w:szCs w:val="28"/>
                <w:highlight w:val="none"/>
              </w:rPr>
              <w:t>13 (27,7)</w:t>
            </w:r>
          </w:p>
        </w:tc>
      </w:tr>
      <w:tr w14:paraId="05159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7" w:type="dxa"/>
            <w:vAlign w:val="center"/>
          </w:tcPr>
          <w:p w14:paraId="73FB24DA">
            <w:pPr>
              <w:widowControl w:val="0"/>
              <w:ind w:left="-72" w:right="-72" w:firstLine="0"/>
              <w:jc w:val="center"/>
              <w:rPr>
                <w:szCs w:val="28"/>
                <w:highlight w:val="none"/>
              </w:rPr>
            </w:pPr>
            <w:r>
              <w:rPr>
                <w:szCs w:val="28"/>
                <w:highlight w:val="none"/>
              </w:rPr>
              <w:t>5</w:t>
            </w:r>
          </w:p>
        </w:tc>
        <w:tc>
          <w:tcPr>
            <w:tcW w:w="2435" w:type="dxa"/>
            <w:vAlign w:val="center"/>
          </w:tcPr>
          <w:p w14:paraId="4F45E87B">
            <w:pPr>
              <w:ind w:firstLine="0"/>
              <w:rPr>
                <w:highlight w:val="none"/>
              </w:rPr>
            </w:pPr>
            <w:r>
              <w:rPr>
                <w:highlight w:val="none"/>
              </w:rPr>
              <w:t>F 4</w:t>
            </w:r>
          </w:p>
        </w:tc>
        <w:tc>
          <w:tcPr>
            <w:tcW w:w="6304" w:type="dxa"/>
            <w:vAlign w:val="center"/>
          </w:tcPr>
          <w:p w14:paraId="7BF0A905">
            <w:pPr>
              <w:ind w:firstLine="0"/>
              <w:jc w:val="center"/>
              <w:rPr>
                <w:szCs w:val="28"/>
                <w:highlight w:val="none"/>
              </w:rPr>
            </w:pPr>
            <w:r>
              <w:rPr>
                <w:szCs w:val="28"/>
                <w:highlight w:val="none"/>
              </w:rPr>
              <w:t>3 (6,4)</w:t>
            </w:r>
          </w:p>
        </w:tc>
      </w:tr>
    </w:tbl>
    <w:p w14:paraId="3969B130">
      <w:pPr>
        <w:widowControl w:val="0"/>
        <w:rPr>
          <w:szCs w:val="28"/>
          <w:highlight w:val="none"/>
        </w:rPr>
      </w:pPr>
    </w:p>
    <w:p w14:paraId="77A90535">
      <w:pPr>
        <w:widowControl w:val="0"/>
        <w:rPr>
          <w:szCs w:val="28"/>
          <w:highlight w:val="none"/>
        </w:rPr>
      </w:pPr>
      <w:r>
        <w:rPr>
          <w:szCs w:val="28"/>
          <w:highlight w:val="none"/>
        </w:rPr>
        <w:t xml:space="preserve">Було проведено розподіл </w:t>
      </w:r>
      <w:r>
        <w:rPr>
          <w:bCs/>
          <w:highlight w:val="none"/>
        </w:rPr>
        <w:t>пацієнтів основної групи (</w:t>
      </w:r>
      <w:r>
        <w:rPr>
          <w:bCs/>
          <w:i/>
          <w:highlight w:val="none"/>
        </w:rPr>
        <w:t>n = </w:t>
      </w:r>
      <w:r>
        <w:rPr>
          <w:bCs/>
          <w:highlight w:val="none"/>
        </w:rPr>
        <w:t>47) за стадією ФП та статтю</w:t>
      </w:r>
      <w:r>
        <w:rPr>
          <w:szCs w:val="28"/>
          <w:highlight w:val="none"/>
        </w:rPr>
        <w:t> – табл. 2.3.</w:t>
      </w:r>
    </w:p>
    <w:p w14:paraId="34D03E5E">
      <w:pPr>
        <w:widowControl w:val="0"/>
        <w:tabs>
          <w:tab w:val="left" w:pos="1005"/>
        </w:tabs>
        <w:ind w:firstLine="850"/>
        <w:jc w:val="right"/>
        <w:rPr>
          <w:i/>
          <w:szCs w:val="28"/>
          <w:highlight w:val="none"/>
        </w:rPr>
      </w:pPr>
      <w:r>
        <w:rPr>
          <w:i/>
          <w:szCs w:val="28"/>
          <w:highlight w:val="none"/>
        </w:rPr>
        <w:t>Таблиця 2.3</w:t>
      </w:r>
    </w:p>
    <w:p w14:paraId="1FC4CCC2">
      <w:pPr>
        <w:widowControl w:val="0"/>
        <w:tabs>
          <w:tab w:val="left" w:pos="1005"/>
        </w:tabs>
        <w:rPr>
          <w:b/>
          <w:szCs w:val="28"/>
          <w:highlight w:val="none"/>
        </w:rPr>
      </w:pPr>
      <w:r>
        <w:rPr>
          <w:b/>
          <w:szCs w:val="28"/>
          <w:highlight w:val="none"/>
        </w:rPr>
        <w:t>Розподіл обстежених основної групи (</w:t>
      </w:r>
      <w:r>
        <w:rPr>
          <w:b/>
          <w:i/>
          <w:szCs w:val="28"/>
          <w:highlight w:val="none"/>
        </w:rPr>
        <w:t>n = </w:t>
      </w:r>
      <w:r>
        <w:rPr>
          <w:b/>
          <w:szCs w:val="28"/>
          <w:highlight w:val="none"/>
        </w:rPr>
        <w:t>47) за стадіями ФП і статтю (абс. ( %))</w:t>
      </w:r>
    </w:p>
    <w:tbl>
      <w:tblPr>
        <w:tblStyle w:val="8"/>
        <w:tblW w:w="9252"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4"/>
        <w:gridCol w:w="2435"/>
        <w:gridCol w:w="2310"/>
        <w:gridCol w:w="2281"/>
        <w:gridCol w:w="1722"/>
      </w:tblGrid>
      <w:tr w14:paraId="12BB8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dxa"/>
            <w:vMerge w:val="restart"/>
            <w:vAlign w:val="center"/>
          </w:tcPr>
          <w:p w14:paraId="5DD334E0">
            <w:pPr>
              <w:widowControl w:val="0"/>
              <w:ind w:left="-74" w:right="-74" w:firstLine="0"/>
              <w:jc w:val="center"/>
              <w:rPr>
                <w:szCs w:val="28"/>
                <w:highlight w:val="none"/>
              </w:rPr>
            </w:pPr>
            <w:r>
              <w:rPr>
                <w:szCs w:val="28"/>
                <w:highlight w:val="none"/>
              </w:rPr>
              <w:t>№ з/п</w:t>
            </w:r>
          </w:p>
        </w:tc>
        <w:tc>
          <w:tcPr>
            <w:tcW w:w="2435" w:type="dxa"/>
            <w:vMerge w:val="restart"/>
            <w:vAlign w:val="center"/>
          </w:tcPr>
          <w:p w14:paraId="285A6D40">
            <w:pPr>
              <w:widowControl w:val="0"/>
              <w:ind w:left="-74" w:right="-74" w:firstLine="0"/>
              <w:jc w:val="center"/>
              <w:rPr>
                <w:szCs w:val="28"/>
                <w:highlight w:val="none"/>
              </w:rPr>
            </w:pPr>
            <w:r>
              <w:rPr>
                <w:szCs w:val="28"/>
                <w:highlight w:val="none"/>
              </w:rPr>
              <w:t>Стадії ФП</w:t>
            </w:r>
          </w:p>
        </w:tc>
        <w:tc>
          <w:tcPr>
            <w:tcW w:w="4591" w:type="dxa"/>
            <w:gridSpan w:val="2"/>
            <w:vAlign w:val="center"/>
          </w:tcPr>
          <w:p w14:paraId="6944FCC8">
            <w:pPr>
              <w:widowControl w:val="0"/>
              <w:ind w:left="-74" w:right="-74" w:firstLine="0"/>
              <w:jc w:val="center"/>
              <w:rPr>
                <w:szCs w:val="28"/>
                <w:highlight w:val="none"/>
              </w:rPr>
            </w:pPr>
            <w:r>
              <w:rPr>
                <w:szCs w:val="28"/>
                <w:highlight w:val="none"/>
              </w:rPr>
              <w:t>Групи порівняння</w:t>
            </w:r>
          </w:p>
        </w:tc>
        <w:tc>
          <w:tcPr>
            <w:tcW w:w="1722" w:type="dxa"/>
            <w:vMerge w:val="restart"/>
            <w:vAlign w:val="center"/>
          </w:tcPr>
          <w:p w14:paraId="4F847D44">
            <w:pPr>
              <w:widowControl w:val="0"/>
              <w:ind w:left="-74" w:right="-74" w:firstLine="0"/>
              <w:jc w:val="center"/>
              <w:rPr>
                <w:i/>
                <w:szCs w:val="28"/>
                <w:highlight w:val="none"/>
              </w:rPr>
            </w:pPr>
            <w:r>
              <w:rPr>
                <w:i/>
                <w:szCs w:val="28"/>
                <w:highlight w:val="none"/>
              </w:rPr>
              <w:t>р</w:t>
            </w:r>
          </w:p>
        </w:tc>
      </w:tr>
      <w:tr w14:paraId="69771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dxa"/>
            <w:vMerge w:val="continue"/>
            <w:vAlign w:val="center"/>
          </w:tcPr>
          <w:p w14:paraId="4DC909C7">
            <w:pPr>
              <w:spacing w:line="240" w:lineRule="auto"/>
              <w:ind w:firstLine="0"/>
              <w:rPr>
                <w:szCs w:val="28"/>
                <w:highlight w:val="none"/>
              </w:rPr>
            </w:pPr>
          </w:p>
        </w:tc>
        <w:tc>
          <w:tcPr>
            <w:tcW w:w="2435" w:type="dxa"/>
            <w:vMerge w:val="continue"/>
            <w:vAlign w:val="center"/>
          </w:tcPr>
          <w:p w14:paraId="28F09C0F">
            <w:pPr>
              <w:spacing w:line="240" w:lineRule="auto"/>
              <w:ind w:firstLine="0"/>
              <w:rPr>
                <w:szCs w:val="28"/>
                <w:highlight w:val="none"/>
              </w:rPr>
            </w:pPr>
          </w:p>
        </w:tc>
        <w:tc>
          <w:tcPr>
            <w:tcW w:w="2310" w:type="dxa"/>
            <w:vAlign w:val="center"/>
          </w:tcPr>
          <w:p w14:paraId="5BD73D3A">
            <w:pPr>
              <w:ind w:firstLine="0"/>
              <w:jc w:val="center"/>
              <w:rPr>
                <w:bCs/>
                <w:highlight w:val="none"/>
              </w:rPr>
            </w:pPr>
            <w:r>
              <w:rPr>
                <w:bCs/>
                <w:highlight w:val="none"/>
              </w:rPr>
              <w:t>жінки (</w:t>
            </w:r>
            <w:r>
              <w:rPr>
                <w:bCs/>
                <w:i/>
                <w:highlight w:val="none"/>
              </w:rPr>
              <w:t>n</w:t>
            </w:r>
            <w:r>
              <w:rPr>
                <w:bCs/>
                <w:highlight w:val="none"/>
              </w:rPr>
              <w:t> = 19)</w:t>
            </w:r>
          </w:p>
        </w:tc>
        <w:tc>
          <w:tcPr>
            <w:tcW w:w="2281" w:type="dxa"/>
            <w:vAlign w:val="center"/>
          </w:tcPr>
          <w:p w14:paraId="03F40FCF">
            <w:pPr>
              <w:ind w:firstLine="0"/>
              <w:jc w:val="center"/>
              <w:rPr>
                <w:bCs/>
                <w:highlight w:val="none"/>
              </w:rPr>
            </w:pPr>
            <w:r>
              <w:rPr>
                <w:bCs/>
                <w:highlight w:val="none"/>
              </w:rPr>
              <w:t>чоловіки (</w:t>
            </w:r>
            <w:r>
              <w:rPr>
                <w:bCs/>
                <w:i/>
                <w:highlight w:val="none"/>
              </w:rPr>
              <w:t>n</w:t>
            </w:r>
            <w:r>
              <w:rPr>
                <w:bCs/>
                <w:highlight w:val="none"/>
              </w:rPr>
              <w:t> = 28)</w:t>
            </w:r>
          </w:p>
        </w:tc>
        <w:tc>
          <w:tcPr>
            <w:tcW w:w="1722" w:type="dxa"/>
            <w:vMerge w:val="continue"/>
            <w:vAlign w:val="center"/>
          </w:tcPr>
          <w:p w14:paraId="005508B4">
            <w:pPr>
              <w:widowControl w:val="0"/>
              <w:ind w:left="-115" w:right="-115" w:firstLine="0"/>
              <w:jc w:val="center"/>
              <w:rPr>
                <w:szCs w:val="28"/>
                <w:highlight w:val="none"/>
              </w:rPr>
            </w:pPr>
          </w:p>
        </w:tc>
      </w:tr>
      <w:tr w14:paraId="217B9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dxa"/>
            <w:vAlign w:val="center"/>
          </w:tcPr>
          <w:p w14:paraId="1D1FA8DC">
            <w:pPr>
              <w:widowControl w:val="0"/>
              <w:ind w:left="-72" w:right="-72" w:firstLine="0"/>
              <w:jc w:val="center"/>
              <w:rPr>
                <w:szCs w:val="28"/>
                <w:highlight w:val="none"/>
              </w:rPr>
            </w:pPr>
            <w:r>
              <w:rPr>
                <w:szCs w:val="28"/>
                <w:highlight w:val="none"/>
              </w:rPr>
              <w:t>1</w:t>
            </w:r>
          </w:p>
        </w:tc>
        <w:tc>
          <w:tcPr>
            <w:tcW w:w="2435" w:type="dxa"/>
            <w:vAlign w:val="center"/>
          </w:tcPr>
          <w:p w14:paraId="7BE4741C">
            <w:pPr>
              <w:ind w:firstLine="0"/>
              <w:rPr>
                <w:highlight w:val="none"/>
              </w:rPr>
            </w:pPr>
            <w:r>
              <w:rPr>
                <w:highlight w:val="none"/>
              </w:rPr>
              <w:t>F 0</w:t>
            </w:r>
          </w:p>
        </w:tc>
        <w:tc>
          <w:tcPr>
            <w:tcW w:w="2310" w:type="dxa"/>
            <w:vAlign w:val="center"/>
          </w:tcPr>
          <w:p w14:paraId="729DA38D">
            <w:pPr>
              <w:ind w:firstLine="0"/>
              <w:jc w:val="center"/>
              <w:rPr>
                <w:highlight w:val="none"/>
              </w:rPr>
            </w:pPr>
            <w:r>
              <w:rPr>
                <w:highlight w:val="none"/>
              </w:rPr>
              <w:t>2 (10,5)</w:t>
            </w:r>
          </w:p>
        </w:tc>
        <w:tc>
          <w:tcPr>
            <w:tcW w:w="2281" w:type="dxa"/>
            <w:vAlign w:val="center"/>
          </w:tcPr>
          <w:p w14:paraId="19F6FB5E">
            <w:pPr>
              <w:ind w:firstLine="0"/>
              <w:jc w:val="center"/>
              <w:rPr>
                <w:highlight w:val="none"/>
              </w:rPr>
            </w:pPr>
            <w:r>
              <w:rPr>
                <w:highlight w:val="none"/>
              </w:rPr>
              <w:t>0 (0,0)</w:t>
            </w:r>
          </w:p>
        </w:tc>
        <w:tc>
          <w:tcPr>
            <w:tcW w:w="1722" w:type="dxa"/>
            <w:vMerge w:val="restart"/>
            <w:vAlign w:val="center"/>
          </w:tcPr>
          <w:p w14:paraId="23FAF9C5">
            <w:pPr>
              <w:widowControl w:val="0"/>
              <w:ind w:left="-115" w:right="-115" w:firstLine="0"/>
              <w:jc w:val="center"/>
              <w:rPr>
                <w:szCs w:val="28"/>
                <w:highlight w:val="none"/>
              </w:rPr>
            </w:pPr>
            <w:r>
              <w:rPr>
                <w:szCs w:val="28"/>
                <w:highlight w:val="none"/>
              </w:rPr>
              <w:t>0,074</w:t>
            </w:r>
          </w:p>
        </w:tc>
      </w:tr>
      <w:tr w14:paraId="13343E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dxa"/>
            <w:vAlign w:val="center"/>
          </w:tcPr>
          <w:p w14:paraId="06F2E869">
            <w:pPr>
              <w:widowControl w:val="0"/>
              <w:ind w:left="-72" w:right="-72" w:firstLine="0"/>
              <w:jc w:val="center"/>
              <w:rPr>
                <w:szCs w:val="28"/>
                <w:highlight w:val="none"/>
              </w:rPr>
            </w:pPr>
            <w:r>
              <w:rPr>
                <w:szCs w:val="28"/>
                <w:highlight w:val="none"/>
              </w:rPr>
              <w:t>2</w:t>
            </w:r>
          </w:p>
        </w:tc>
        <w:tc>
          <w:tcPr>
            <w:tcW w:w="2435" w:type="dxa"/>
            <w:vAlign w:val="center"/>
          </w:tcPr>
          <w:p w14:paraId="0AE8F6CC">
            <w:pPr>
              <w:ind w:firstLine="0"/>
              <w:rPr>
                <w:highlight w:val="none"/>
              </w:rPr>
            </w:pPr>
            <w:r>
              <w:rPr>
                <w:highlight w:val="none"/>
              </w:rPr>
              <w:t>F 1</w:t>
            </w:r>
          </w:p>
        </w:tc>
        <w:tc>
          <w:tcPr>
            <w:tcW w:w="2310" w:type="dxa"/>
            <w:vAlign w:val="center"/>
          </w:tcPr>
          <w:p w14:paraId="1C4794B6">
            <w:pPr>
              <w:ind w:firstLine="0"/>
              <w:jc w:val="center"/>
              <w:rPr>
                <w:highlight w:val="none"/>
              </w:rPr>
            </w:pPr>
            <w:r>
              <w:rPr>
                <w:highlight w:val="none"/>
              </w:rPr>
              <w:t>5 (26,3)</w:t>
            </w:r>
          </w:p>
        </w:tc>
        <w:tc>
          <w:tcPr>
            <w:tcW w:w="2281" w:type="dxa"/>
            <w:vAlign w:val="center"/>
          </w:tcPr>
          <w:p w14:paraId="4BA0E74D">
            <w:pPr>
              <w:ind w:firstLine="0"/>
              <w:jc w:val="center"/>
              <w:rPr>
                <w:highlight w:val="none"/>
              </w:rPr>
            </w:pPr>
            <w:r>
              <w:rPr>
                <w:highlight w:val="none"/>
              </w:rPr>
              <w:t>10 (35,7)</w:t>
            </w:r>
          </w:p>
        </w:tc>
        <w:tc>
          <w:tcPr>
            <w:tcW w:w="1722" w:type="dxa"/>
            <w:vMerge w:val="continue"/>
            <w:vAlign w:val="center"/>
          </w:tcPr>
          <w:p w14:paraId="155629E6">
            <w:pPr>
              <w:widowControl w:val="0"/>
              <w:ind w:left="-115" w:right="-115" w:firstLine="0"/>
              <w:jc w:val="center"/>
              <w:rPr>
                <w:szCs w:val="28"/>
                <w:highlight w:val="none"/>
              </w:rPr>
            </w:pPr>
          </w:p>
        </w:tc>
      </w:tr>
      <w:tr w14:paraId="2ABB1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dxa"/>
            <w:vAlign w:val="center"/>
          </w:tcPr>
          <w:p w14:paraId="769734E5">
            <w:pPr>
              <w:widowControl w:val="0"/>
              <w:ind w:left="-72" w:right="-72" w:firstLine="0"/>
              <w:jc w:val="center"/>
              <w:rPr>
                <w:szCs w:val="28"/>
                <w:highlight w:val="none"/>
              </w:rPr>
            </w:pPr>
            <w:r>
              <w:rPr>
                <w:szCs w:val="28"/>
                <w:highlight w:val="none"/>
              </w:rPr>
              <w:t>3</w:t>
            </w:r>
          </w:p>
        </w:tc>
        <w:tc>
          <w:tcPr>
            <w:tcW w:w="2435" w:type="dxa"/>
            <w:vAlign w:val="center"/>
          </w:tcPr>
          <w:p w14:paraId="7CB50335">
            <w:pPr>
              <w:ind w:firstLine="0"/>
              <w:rPr>
                <w:highlight w:val="none"/>
              </w:rPr>
            </w:pPr>
            <w:r>
              <w:rPr>
                <w:highlight w:val="none"/>
              </w:rPr>
              <w:t>F 2</w:t>
            </w:r>
          </w:p>
        </w:tc>
        <w:tc>
          <w:tcPr>
            <w:tcW w:w="2310" w:type="dxa"/>
            <w:vAlign w:val="center"/>
          </w:tcPr>
          <w:p w14:paraId="13199CB7">
            <w:pPr>
              <w:ind w:firstLine="0"/>
              <w:jc w:val="center"/>
              <w:rPr>
                <w:highlight w:val="none"/>
              </w:rPr>
            </w:pPr>
            <w:r>
              <w:rPr>
                <w:highlight w:val="none"/>
              </w:rPr>
              <w:t>4 (21,1)</w:t>
            </w:r>
          </w:p>
        </w:tc>
        <w:tc>
          <w:tcPr>
            <w:tcW w:w="2281" w:type="dxa"/>
            <w:vAlign w:val="center"/>
          </w:tcPr>
          <w:p w14:paraId="4E06E66E">
            <w:pPr>
              <w:ind w:firstLine="0"/>
              <w:jc w:val="center"/>
              <w:rPr>
                <w:highlight w:val="none"/>
              </w:rPr>
            </w:pPr>
            <w:r>
              <w:rPr>
                <w:highlight w:val="none"/>
              </w:rPr>
              <w:t>10 (35,7)</w:t>
            </w:r>
          </w:p>
        </w:tc>
        <w:tc>
          <w:tcPr>
            <w:tcW w:w="1722" w:type="dxa"/>
            <w:vMerge w:val="continue"/>
            <w:vAlign w:val="center"/>
          </w:tcPr>
          <w:p w14:paraId="02FFE66B">
            <w:pPr>
              <w:widowControl w:val="0"/>
              <w:ind w:left="-115" w:right="-115" w:firstLine="0"/>
              <w:jc w:val="center"/>
              <w:rPr>
                <w:szCs w:val="28"/>
                <w:highlight w:val="none"/>
              </w:rPr>
            </w:pPr>
          </w:p>
        </w:tc>
      </w:tr>
      <w:tr w14:paraId="17083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dxa"/>
            <w:vAlign w:val="center"/>
          </w:tcPr>
          <w:p w14:paraId="7437493A">
            <w:pPr>
              <w:widowControl w:val="0"/>
              <w:ind w:left="-72" w:right="-72" w:firstLine="0"/>
              <w:jc w:val="center"/>
              <w:rPr>
                <w:szCs w:val="28"/>
                <w:highlight w:val="none"/>
              </w:rPr>
            </w:pPr>
            <w:r>
              <w:rPr>
                <w:szCs w:val="28"/>
                <w:highlight w:val="none"/>
              </w:rPr>
              <w:t>4</w:t>
            </w:r>
          </w:p>
        </w:tc>
        <w:tc>
          <w:tcPr>
            <w:tcW w:w="2435" w:type="dxa"/>
            <w:vAlign w:val="center"/>
          </w:tcPr>
          <w:p w14:paraId="07FE77A8">
            <w:pPr>
              <w:ind w:firstLine="0"/>
              <w:rPr>
                <w:highlight w:val="none"/>
              </w:rPr>
            </w:pPr>
            <w:r>
              <w:rPr>
                <w:highlight w:val="none"/>
              </w:rPr>
              <w:t>F 3</w:t>
            </w:r>
          </w:p>
        </w:tc>
        <w:tc>
          <w:tcPr>
            <w:tcW w:w="2310" w:type="dxa"/>
            <w:vAlign w:val="center"/>
          </w:tcPr>
          <w:p w14:paraId="743D6BB2">
            <w:pPr>
              <w:ind w:firstLine="0"/>
              <w:jc w:val="center"/>
              <w:rPr>
                <w:highlight w:val="none"/>
              </w:rPr>
            </w:pPr>
            <w:r>
              <w:rPr>
                <w:highlight w:val="none"/>
              </w:rPr>
              <w:t>8 (42,1)</w:t>
            </w:r>
          </w:p>
        </w:tc>
        <w:tc>
          <w:tcPr>
            <w:tcW w:w="2281" w:type="dxa"/>
            <w:vAlign w:val="center"/>
          </w:tcPr>
          <w:p w14:paraId="24A2714A">
            <w:pPr>
              <w:ind w:firstLine="0"/>
              <w:jc w:val="center"/>
              <w:rPr>
                <w:highlight w:val="none"/>
              </w:rPr>
            </w:pPr>
            <w:r>
              <w:rPr>
                <w:highlight w:val="none"/>
              </w:rPr>
              <w:t>5 (17,9)</w:t>
            </w:r>
          </w:p>
        </w:tc>
        <w:tc>
          <w:tcPr>
            <w:tcW w:w="1722" w:type="dxa"/>
            <w:vMerge w:val="continue"/>
            <w:vAlign w:val="center"/>
          </w:tcPr>
          <w:p w14:paraId="680501DC">
            <w:pPr>
              <w:widowControl w:val="0"/>
              <w:ind w:left="-115" w:right="-115" w:firstLine="0"/>
              <w:jc w:val="center"/>
              <w:rPr>
                <w:szCs w:val="28"/>
                <w:highlight w:val="none"/>
              </w:rPr>
            </w:pPr>
          </w:p>
        </w:tc>
      </w:tr>
      <w:tr w14:paraId="5D028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dxa"/>
            <w:vAlign w:val="center"/>
          </w:tcPr>
          <w:p w14:paraId="0C2BBDB2">
            <w:pPr>
              <w:widowControl w:val="0"/>
              <w:ind w:left="-72" w:right="-72" w:firstLine="0"/>
              <w:jc w:val="center"/>
              <w:rPr>
                <w:szCs w:val="28"/>
                <w:highlight w:val="none"/>
              </w:rPr>
            </w:pPr>
            <w:r>
              <w:rPr>
                <w:szCs w:val="28"/>
                <w:highlight w:val="none"/>
              </w:rPr>
              <w:t>5</w:t>
            </w:r>
          </w:p>
        </w:tc>
        <w:tc>
          <w:tcPr>
            <w:tcW w:w="2435" w:type="dxa"/>
            <w:vAlign w:val="center"/>
          </w:tcPr>
          <w:p w14:paraId="7B05FC6A">
            <w:pPr>
              <w:ind w:firstLine="0"/>
              <w:rPr>
                <w:highlight w:val="none"/>
              </w:rPr>
            </w:pPr>
            <w:r>
              <w:rPr>
                <w:highlight w:val="none"/>
              </w:rPr>
              <w:t>F 4</w:t>
            </w:r>
          </w:p>
        </w:tc>
        <w:tc>
          <w:tcPr>
            <w:tcW w:w="2310" w:type="dxa"/>
            <w:vAlign w:val="center"/>
          </w:tcPr>
          <w:p w14:paraId="0D00078E">
            <w:pPr>
              <w:ind w:firstLine="0"/>
              <w:jc w:val="center"/>
              <w:rPr>
                <w:highlight w:val="none"/>
              </w:rPr>
            </w:pPr>
            <w:r>
              <w:rPr>
                <w:highlight w:val="none"/>
              </w:rPr>
              <w:t>0 (0,0)</w:t>
            </w:r>
          </w:p>
        </w:tc>
        <w:tc>
          <w:tcPr>
            <w:tcW w:w="2281" w:type="dxa"/>
            <w:vAlign w:val="center"/>
          </w:tcPr>
          <w:p w14:paraId="37006570">
            <w:pPr>
              <w:ind w:firstLine="0"/>
              <w:jc w:val="center"/>
              <w:rPr>
                <w:highlight w:val="none"/>
              </w:rPr>
            </w:pPr>
            <w:r>
              <w:rPr>
                <w:highlight w:val="none"/>
              </w:rPr>
              <w:t>3 (10,7)</w:t>
            </w:r>
          </w:p>
        </w:tc>
        <w:tc>
          <w:tcPr>
            <w:tcW w:w="1722" w:type="dxa"/>
            <w:vMerge w:val="continue"/>
            <w:vAlign w:val="center"/>
          </w:tcPr>
          <w:p w14:paraId="7F9E713C">
            <w:pPr>
              <w:widowControl w:val="0"/>
              <w:ind w:left="-115" w:right="-115" w:firstLine="0"/>
              <w:jc w:val="center"/>
              <w:rPr>
                <w:szCs w:val="28"/>
                <w:highlight w:val="none"/>
              </w:rPr>
            </w:pPr>
          </w:p>
        </w:tc>
      </w:tr>
      <w:tr w14:paraId="4D733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dxa"/>
            <w:vAlign w:val="center"/>
          </w:tcPr>
          <w:p w14:paraId="6DD02F20">
            <w:pPr>
              <w:widowControl w:val="0"/>
              <w:ind w:left="-72" w:right="-72" w:firstLine="0"/>
              <w:jc w:val="center"/>
              <w:rPr>
                <w:szCs w:val="28"/>
                <w:highlight w:val="none"/>
              </w:rPr>
            </w:pPr>
            <w:r>
              <w:rPr>
                <w:szCs w:val="28"/>
                <w:highlight w:val="none"/>
              </w:rPr>
              <w:t>6</w:t>
            </w:r>
          </w:p>
        </w:tc>
        <w:tc>
          <w:tcPr>
            <w:tcW w:w="2435" w:type="dxa"/>
            <w:vAlign w:val="center"/>
          </w:tcPr>
          <w:p w14:paraId="029BB9F8">
            <w:pPr>
              <w:ind w:firstLine="0"/>
              <w:rPr>
                <w:highlight w:val="none"/>
              </w:rPr>
            </w:pPr>
            <w:r>
              <w:rPr>
                <w:highlight w:val="none"/>
              </w:rPr>
              <w:t>F 0 – F 2</w:t>
            </w:r>
          </w:p>
        </w:tc>
        <w:tc>
          <w:tcPr>
            <w:tcW w:w="2310" w:type="dxa"/>
            <w:vAlign w:val="center"/>
          </w:tcPr>
          <w:p w14:paraId="0B000BCA">
            <w:pPr>
              <w:ind w:firstLine="0"/>
              <w:jc w:val="center"/>
              <w:rPr>
                <w:highlight w:val="none"/>
              </w:rPr>
            </w:pPr>
            <w:r>
              <w:rPr>
                <w:highlight w:val="none"/>
              </w:rPr>
              <w:t>11 (57,9)</w:t>
            </w:r>
          </w:p>
        </w:tc>
        <w:tc>
          <w:tcPr>
            <w:tcW w:w="2281" w:type="dxa"/>
            <w:vAlign w:val="center"/>
          </w:tcPr>
          <w:p w14:paraId="59E2B100">
            <w:pPr>
              <w:ind w:firstLine="0"/>
              <w:jc w:val="center"/>
              <w:rPr>
                <w:highlight w:val="none"/>
              </w:rPr>
            </w:pPr>
            <w:r>
              <w:rPr>
                <w:highlight w:val="none"/>
              </w:rPr>
              <w:t>20 (71,4)</w:t>
            </w:r>
          </w:p>
        </w:tc>
        <w:tc>
          <w:tcPr>
            <w:tcW w:w="1722" w:type="dxa"/>
            <w:vMerge w:val="restart"/>
            <w:vAlign w:val="center"/>
          </w:tcPr>
          <w:p w14:paraId="077C6B89">
            <w:pPr>
              <w:widowControl w:val="0"/>
              <w:ind w:left="-115" w:right="-115" w:firstLine="0"/>
              <w:jc w:val="center"/>
              <w:rPr>
                <w:szCs w:val="28"/>
                <w:highlight w:val="none"/>
              </w:rPr>
            </w:pPr>
            <w:r>
              <w:rPr>
                <w:szCs w:val="28"/>
                <w:highlight w:val="none"/>
              </w:rPr>
              <w:t>0,337</w:t>
            </w:r>
          </w:p>
        </w:tc>
      </w:tr>
      <w:tr w14:paraId="5CD53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dxa"/>
            <w:vAlign w:val="center"/>
          </w:tcPr>
          <w:p w14:paraId="7960FF49">
            <w:pPr>
              <w:widowControl w:val="0"/>
              <w:ind w:left="-72" w:right="-72" w:firstLine="0"/>
              <w:jc w:val="center"/>
              <w:rPr>
                <w:szCs w:val="28"/>
                <w:highlight w:val="none"/>
              </w:rPr>
            </w:pPr>
            <w:r>
              <w:rPr>
                <w:szCs w:val="28"/>
                <w:highlight w:val="none"/>
              </w:rPr>
              <w:t>7</w:t>
            </w:r>
          </w:p>
        </w:tc>
        <w:tc>
          <w:tcPr>
            <w:tcW w:w="2435" w:type="dxa"/>
            <w:vAlign w:val="center"/>
          </w:tcPr>
          <w:p w14:paraId="60724A94">
            <w:pPr>
              <w:ind w:firstLine="0"/>
              <w:rPr>
                <w:highlight w:val="none"/>
              </w:rPr>
            </w:pPr>
            <w:r>
              <w:rPr>
                <w:highlight w:val="none"/>
              </w:rPr>
              <w:t>F 3 – F 4</w:t>
            </w:r>
          </w:p>
        </w:tc>
        <w:tc>
          <w:tcPr>
            <w:tcW w:w="2310" w:type="dxa"/>
            <w:vAlign w:val="center"/>
          </w:tcPr>
          <w:p w14:paraId="6F0D6492">
            <w:pPr>
              <w:ind w:firstLine="0"/>
              <w:jc w:val="center"/>
              <w:rPr>
                <w:highlight w:val="none"/>
              </w:rPr>
            </w:pPr>
            <w:r>
              <w:rPr>
                <w:highlight w:val="none"/>
              </w:rPr>
              <w:t>8 (42,1)</w:t>
            </w:r>
          </w:p>
        </w:tc>
        <w:tc>
          <w:tcPr>
            <w:tcW w:w="2281" w:type="dxa"/>
            <w:vAlign w:val="center"/>
          </w:tcPr>
          <w:p w14:paraId="2511B53F">
            <w:pPr>
              <w:ind w:firstLine="0"/>
              <w:jc w:val="center"/>
              <w:rPr>
                <w:highlight w:val="none"/>
              </w:rPr>
            </w:pPr>
            <w:r>
              <w:rPr>
                <w:highlight w:val="none"/>
              </w:rPr>
              <w:t>8 (28,6)</w:t>
            </w:r>
          </w:p>
        </w:tc>
        <w:tc>
          <w:tcPr>
            <w:tcW w:w="1722" w:type="dxa"/>
            <w:vMerge w:val="continue"/>
            <w:vAlign w:val="center"/>
          </w:tcPr>
          <w:p w14:paraId="58CB3EB8">
            <w:pPr>
              <w:widowControl w:val="0"/>
              <w:ind w:left="-115" w:right="-115" w:firstLine="0"/>
              <w:jc w:val="center"/>
              <w:rPr>
                <w:szCs w:val="28"/>
                <w:highlight w:val="none"/>
              </w:rPr>
            </w:pPr>
          </w:p>
        </w:tc>
      </w:tr>
    </w:tbl>
    <w:p w14:paraId="5A307144">
      <w:pPr>
        <w:widowControl w:val="0"/>
        <w:tabs>
          <w:tab w:val="left" w:pos="1005"/>
        </w:tabs>
        <w:rPr>
          <w:szCs w:val="28"/>
          <w:highlight w:val="none"/>
        </w:rPr>
      </w:pPr>
      <w:r>
        <w:rPr>
          <w:szCs w:val="28"/>
          <w:highlight w:val="none"/>
        </w:rPr>
        <w:t>Примітки: вірогідність різниці між стадіями ФП.</w:t>
      </w:r>
    </w:p>
    <w:p w14:paraId="2C821B75">
      <w:pPr>
        <w:widowControl w:val="0"/>
        <w:rPr>
          <w:szCs w:val="28"/>
          <w:highlight w:val="none"/>
        </w:rPr>
      </w:pPr>
    </w:p>
    <w:p w14:paraId="3E8E86DE">
      <w:pPr>
        <w:widowControl w:val="0"/>
        <w:rPr>
          <w:szCs w:val="28"/>
          <w:highlight w:val="none"/>
        </w:rPr>
      </w:pPr>
      <w:r>
        <w:rPr>
          <w:szCs w:val="28"/>
          <w:highlight w:val="none"/>
        </w:rPr>
        <w:t xml:space="preserve">Що стосується </w:t>
      </w:r>
      <w:r>
        <w:rPr>
          <w:bCs/>
          <w:highlight w:val="none"/>
        </w:rPr>
        <w:t>розподілу пацієнтів основної групи (</w:t>
      </w:r>
      <w:r>
        <w:rPr>
          <w:bCs/>
          <w:i/>
          <w:highlight w:val="none"/>
        </w:rPr>
        <w:t>n = </w:t>
      </w:r>
      <w:r>
        <w:rPr>
          <w:bCs/>
          <w:highlight w:val="none"/>
        </w:rPr>
        <w:t>47) за стадією ФП та статтю, то, було визначено перевагу більш тяжкої (</w:t>
      </w:r>
      <w:r>
        <w:rPr>
          <w:highlight w:val="none"/>
        </w:rPr>
        <w:t>F</w:t>
      </w:r>
      <w:r>
        <w:rPr>
          <w:bCs/>
          <w:highlight w:val="none"/>
        </w:rPr>
        <w:t xml:space="preserve"> 3 – F 4) стадії ФП </w:t>
      </w:r>
      <w:r>
        <w:rPr>
          <w:bCs/>
          <w:szCs w:val="28"/>
          <w:highlight w:val="none"/>
        </w:rPr>
        <w:t>серед жінок (</w:t>
      </w:r>
      <w:r>
        <w:rPr>
          <w:szCs w:val="28"/>
          <w:highlight w:val="none"/>
        </w:rPr>
        <w:t>8; 42,1 %</w:t>
      </w:r>
      <w:r>
        <w:rPr>
          <w:bCs/>
          <w:szCs w:val="28"/>
          <w:highlight w:val="none"/>
        </w:rPr>
        <w:t>) порівняно з чоловіками (8; 28,6 %) та, навпаки, перевагу легшої стадії ФП (</w:t>
      </w:r>
      <w:r>
        <w:rPr>
          <w:highlight w:val="none"/>
        </w:rPr>
        <w:t>F</w:t>
      </w:r>
      <w:r>
        <w:rPr>
          <w:bCs/>
          <w:szCs w:val="28"/>
          <w:highlight w:val="none"/>
        </w:rPr>
        <w:t xml:space="preserve"> 0 – F2) у чоловіків на відміну від жінок (відповідно </w:t>
      </w:r>
      <w:r>
        <w:rPr>
          <w:szCs w:val="28"/>
          <w:highlight w:val="none"/>
        </w:rPr>
        <w:t>20 (71,4 %) і 11 (57,9 %</w:t>
      </w:r>
      <w:r>
        <w:rPr>
          <w:bCs/>
          <w:szCs w:val="28"/>
          <w:highlight w:val="none"/>
        </w:rPr>
        <w:t>) осіб)</w:t>
      </w:r>
      <w:r>
        <w:rPr>
          <w:szCs w:val="28"/>
          <w:highlight w:val="none"/>
        </w:rPr>
        <w:t xml:space="preserve">. При цьому, серед чоловічої когорти переважала </w:t>
      </w:r>
      <w:r>
        <w:rPr>
          <w:highlight w:val="none"/>
        </w:rPr>
        <w:t>F</w:t>
      </w:r>
      <w:r>
        <w:rPr>
          <w:szCs w:val="28"/>
          <w:highlight w:val="none"/>
        </w:rPr>
        <w:t xml:space="preserve"> 1 та </w:t>
      </w:r>
      <w:r>
        <w:rPr>
          <w:highlight w:val="none"/>
        </w:rPr>
        <w:t>F</w:t>
      </w:r>
      <w:r>
        <w:rPr>
          <w:szCs w:val="28"/>
          <w:highlight w:val="none"/>
        </w:rPr>
        <w:t xml:space="preserve"> 2 стадії фіброзного процесу (по 10; 35,7 % осіб) порівняно з </w:t>
      </w:r>
      <w:r>
        <w:rPr>
          <w:highlight w:val="none"/>
        </w:rPr>
        <w:t>F</w:t>
      </w:r>
      <w:r>
        <w:rPr>
          <w:szCs w:val="28"/>
          <w:highlight w:val="none"/>
        </w:rPr>
        <w:t xml:space="preserve"> 3 (</w:t>
      </w:r>
      <w:r>
        <w:rPr>
          <w:highlight w:val="none"/>
        </w:rPr>
        <w:t>5; 17,9 %</w:t>
      </w:r>
      <w:r>
        <w:rPr>
          <w:szCs w:val="28"/>
          <w:highlight w:val="none"/>
        </w:rPr>
        <w:t xml:space="preserve">) і </w:t>
      </w:r>
      <w:r>
        <w:rPr>
          <w:highlight w:val="none"/>
        </w:rPr>
        <w:t>F</w:t>
      </w:r>
      <w:r>
        <w:rPr>
          <w:szCs w:val="28"/>
          <w:highlight w:val="none"/>
        </w:rPr>
        <w:t xml:space="preserve"> 4 (</w:t>
      </w:r>
      <w:r>
        <w:rPr>
          <w:highlight w:val="none"/>
        </w:rPr>
        <w:t>3; 10,7 %</w:t>
      </w:r>
      <w:r>
        <w:rPr>
          <w:szCs w:val="28"/>
          <w:highlight w:val="none"/>
        </w:rPr>
        <w:t xml:space="preserve">), а у жінок – </w:t>
      </w:r>
      <w:r>
        <w:rPr>
          <w:highlight w:val="none"/>
        </w:rPr>
        <w:t>F</w:t>
      </w:r>
      <w:r>
        <w:rPr>
          <w:szCs w:val="28"/>
          <w:highlight w:val="none"/>
        </w:rPr>
        <w:t xml:space="preserve"> 3 (</w:t>
      </w:r>
      <w:r>
        <w:rPr>
          <w:highlight w:val="none"/>
        </w:rPr>
        <w:t>8; 42,1 %</w:t>
      </w:r>
      <w:r>
        <w:rPr>
          <w:szCs w:val="28"/>
          <w:highlight w:val="none"/>
        </w:rPr>
        <w:t xml:space="preserve">) на відміну від </w:t>
      </w:r>
      <w:r>
        <w:rPr>
          <w:highlight w:val="none"/>
        </w:rPr>
        <w:t>F</w:t>
      </w:r>
      <w:r>
        <w:rPr>
          <w:szCs w:val="28"/>
          <w:highlight w:val="none"/>
        </w:rPr>
        <w:t xml:space="preserve"> 0 (</w:t>
      </w:r>
      <w:r>
        <w:rPr>
          <w:highlight w:val="none"/>
        </w:rPr>
        <w:t>2; 10,5 %</w:t>
      </w:r>
      <w:r>
        <w:rPr>
          <w:szCs w:val="28"/>
          <w:highlight w:val="none"/>
        </w:rPr>
        <w:t xml:space="preserve">), </w:t>
      </w:r>
      <w:r>
        <w:rPr>
          <w:highlight w:val="none"/>
        </w:rPr>
        <w:t>F</w:t>
      </w:r>
      <w:r>
        <w:rPr>
          <w:szCs w:val="28"/>
          <w:highlight w:val="none"/>
        </w:rPr>
        <w:t xml:space="preserve"> 1 (</w:t>
      </w:r>
      <w:r>
        <w:rPr>
          <w:highlight w:val="none"/>
        </w:rPr>
        <w:t>5; 26,3 %</w:t>
      </w:r>
      <w:r>
        <w:rPr>
          <w:szCs w:val="28"/>
          <w:highlight w:val="none"/>
        </w:rPr>
        <w:t xml:space="preserve">) та </w:t>
      </w:r>
      <w:r>
        <w:rPr>
          <w:highlight w:val="none"/>
        </w:rPr>
        <w:t>F</w:t>
      </w:r>
      <w:r>
        <w:rPr>
          <w:szCs w:val="28"/>
          <w:highlight w:val="none"/>
        </w:rPr>
        <w:t xml:space="preserve"> 2 (</w:t>
      </w:r>
      <w:r>
        <w:rPr>
          <w:highlight w:val="none"/>
        </w:rPr>
        <w:t>4; 21,1 %</w:t>
      </w:r>
      <w:r>
        <w:rPr>
          <w:szCs w:val="28"/>
          <w:highlight w:val="none"/>
        </w:rPr>
        <w:t>) – табл. 2.3.</w:t>
      </w:r>
    </w:p>
    <w:p w14:paraId="01F7613F">
      <w:pPr>
        <w:widowControl w:val="0"/>
        <w:rPr>
          <w:szCs w:val="28"/>
          <w:highlight w:val="none"/>
        </w:rPr>
      </w:pPr>
      <w:r>
        <w:rPr>
          <w:szCs w:val="28"/>
          <w:highlight w:val="none"/>
        </w:rPr>
        <w:t xml:space="preserve">Серед пацієнтів основної групи діагноз ХГС встановлювався згідно з урахуванням рекомендацій Американського товариства фахівців з інфекційних хвороб (IDSA), Американської асоціації з вивчення </w:t>
      </w:r>
      <w:r>
        <w:rPr>
          <w:rFonts w:eastAsia="Times New Roman"/>
          <w:szCs w:val="36"/>
          <w:highlight w:val="none"/>
          <w:lang w:eastAsia="ru-RU"/>
        </w:rPr>
        <w:t>захворювань печінки (AASLD), Європейської асоціації з дослідження печінки (EASL), МОЗ України (2021 р. ) [</w:t>
      </w:r>
      <w:r>
        <w:rPr>
          <w:szCs w:val="28"/>
          <w:highlight w:val="none"/>
        </w:rPr>
        <w:t>2.3–2.6</w:t>
      </w:r>
      <w:r>
        <w:rPr>
          <w:highlight w:val="none"/>
        </w:rPr>
        <w:t>].</w:t>
      </w:r>
    </w:p>
    <w:p w14:paraId="2008992C">
      <w:pPr>
        <w:widowControl w:val="0"/>
        <w:rPr>
          <w:highlight w:val="none"/>
        </w:rPr>
      </w:pPr>
      <w:r>
        <w:rPr>
          <w:szCs w:val="28"/>
          <w:highlight w:val="none"/>
        </w:rPr>
        <w:t>Наявність ФП визначалася згідно з рекомендаціями AASLD,</w:t>
      </w:r>
      <w:r>
        <w:rPr>
          <w:highlight w:val="none"/>
        </w:rPr>
        <w:t xml:space="preserve"> EASL-ALEH, МОЗ України [2.6–2.8].</w:t>
      </w:r>
    </w:p>
    <w:p w14:paraId="16A9A0A5">
      <w:pPr>
        <w:widowControl w:val="0"/>
        <w:rPr>
          <w:highlight w:val="none"/>
        </w:rPr>
      </w:pPr>
      <w:r>
        <w:rPr>
          <w:szCs w:val="28"/>
          <w:highlight w:val="none"/>
        </w:rPr>
        <w:t xml:space="preserve">Стадійність ФП </w:t>
      </w:r>
      <w:r>
        <w:rPr>
          <w:highlight w:val="none"/>
        </w:rPr>
        <w:t xml:space="preserve">(F 0–F 4) </w:t>
      </w:r>
      <w:r>
        <w:rPr>
          <w:szCs w:val="28"/>
          <w:highlight w:val="none"/>
        </w:rPr>
        <w:t xml:space="preserve">класифікували згідно зі </w:t>
      </w:r>
      <w:r>
        <w:rPr>
          <w:highlight w:val="none"/>
        </w:rPr>
        <w:t>шкалою оцінки ступеня ФП (METAVIR) [2.6, 2.9].</w:t>
      </w:r>
    </w:p>
    <w:p w14:paraId="455CDDF8">
      <w:pPr>
        <w:widowControl w:val="0"/>
        <w:rPr>
          <w:szCs w:val="28"/>
          <w:highlight w:val="none"/>
        </w:rPr>
      </w:pPr>
      <w:r>
        <w:rPr>
          <w:szCs w:val="28"/>
          <w:highlight w:val="none"/>
        </w:rPr>
        <w:t>На умовах власноручного підписання відповідної інформованої згоди кожним обстеженим було сформовано основну й контрольну групи цілковито у відповідності до нижчезазначених критеріїв включення та виключення (умови участі у дослідженні).</w:t>
      </w:r>
    </w:p>
    <w:p w14:paraId="127421F0">
      <w:pPr>
        <w:widowControl w:val="0"/>
        <w:jc w:val="center"/>
        <w:rPr>
          <w:b/>
          <w:szCs w:val="28"/>
          <w:highlight w:val="none"/>
        </w:rPr>
      </w:pPr>
      <w:r>
        <w:rPr>
          <w:b/>
          <w:szCs w:val="28"/>
          <w:highlight w:val="none"/>
        </w:rPr>
        <w:t>Критерії залучення (основна група).</w:t>
      </w:r>
    </w:p>
    <w:p w14:paraId="61DB3A44">
      <w:pPr>
        <w:widowControl w:val="0"/>
        <w:rPr>
          <w:szCs w:val="28"/>
          <w:highlight w:val="none"/>
        </w:rPr>
      </w:pPr>
      <w:r>
        <w:rPr>
          <w:szCs w:val="28"/>
          <w:highlight w:val="none"/>
        </w:rPr>
        <w:t>1. Повноліття (18 років та старші).</w:t>
      </w:r>
    </w:p>
    <w:p w14:paraId="2B59BBF9">
      <w:pPr>
        <w:widowControl w:val="0"/>
        <w:rPr>
          <w:szCs w:val="28"/>
          <w:highlight w:val="none"/>
        </w:rPr>
      </w:pPr>
      <w:r>
        <w:rPr>
          <w:szCs w:val="28"/>
          <w:highlight w:val="none"/>
        </w:rPr>
        <w:t>2. Наявність ХГС до проведення противірусної терапії.</w:t>
      </w:r>
    </w:p>
    <w:p w14:paraId="30464AE5">
      <w:pPr>
        <w:widowControl w:val="0"/>
        <w:rPr>
          <w:szCs w:val="28"/>
          <w:highlight w:val="none"/>
        </w:rPr>
      </w:pPr>
      <w:r>
        <w:rPr>
          <w:szCs w:val="28"/>
          <w:highlight w:val="none"/>
        </w:rPr>
        <w:t>3. Згода на участь у дослідженні, власноручне підписання відповідної інформованої згоди й дотримання всіх приписів.</w:t>
      </w:r>
    </w:p>
    <w:p w14:paraId="5BD963B6">
      <w:pPr>
        <w:widowControl w:val="0"/>
        <w:jc w:val="center"/>
        <w:rPr>
          <w:b/>
          <w:szCs w:val="28"/>
          <w:highlight w:val="none"/>
        </w:rPr>
      </w:pPr>
      <w:r>
        <w:rPr>
          <w:b/>
          <w:szCs w:val="28"/>
          <w:highlight w:val="none"/>
        </w:rPr>
        <w:t>Критерії вилучення (основна група).</w:t>
      </w:r>
    </w:p>
    <w:p w14:paraId="0B269943">
      <w:pPr>
        <w:widowControl w:val="0"/>
        <w:rPr>
          <w:szCs w:val="28"/>
          <w:highlight w:val="none"/>
        </w:rPr>
      </w:pPr>
      <w:r>
        <w:rPr>
          <w:szCs w:val="28"/>
          <w:highlight w:val="none"/>
        </w:rPr>
        <w:t>1. Неповноліття (не досягнення 18 років).</w:t>
      </w:r>
    </w:p>
    <w:p w14:paraId="3FAB4F6C">
      <w:pPr>
        <w:widowControl w:val="0"/>
        <w:rPr>
          <w:szCs w:val="28"/>
          <w:highlight w:val="none"/>
        </w:rPr>
      </w:pPr>
      <w:r>
        <w:rPr>
          <w:szCs w:val="28"/>
          <w:highlight w:val="none"/>
        </w:rPr>
        <w:t>2. Відсутність ХГС.</w:t>
      </w:r>
    </w:p>
    <w:p w14:paraId="4E5417C0">
      <w:pPr>
        <w:widowControl w:val="0"/>
        <w:rPr>
          <w:szCs w:val="28"/>
          <w:highlight w:val="none"/>
        </w:rPr>
      </w:pPr>
      <w:r>
        <w:rPr>
          <w:szCs w:val="28"/>
          <w:highlight w:val="none"/>
        </w:rPr>
        <w:t>3. Інші (окрім ХГС) дифузні та вогнищеві захворювання печінки (алкогольна хвороба, інші вірусні гепатити, ЦП, тощо),</w:t>
      </w:r>
      <w:r>
        <w:rPr>
          <w:highlight w:val="none"/>
        </w:rPr>
        <w:t xml:space="preserve"> трансплантація печінки</w:t>
      </w:r>
    </w:p>
    <w:p w14:paraId="40CAE8E4">
      <w:pPr>
        <w:widowControl w:val="0"/>
        <w:rPr>
          <w:szCs w:val="28"/>
          <w:highlight w:val="none"/>
        </w:rPr>
      </w:pPr>
      <w:r>
        <w:rPr>
          <w:szCs w:val="28"/>
          <w:highlight w:val="none"/>
        </w:rPr>
        <w:t>4. ЦД та інша ендокринна патологія.</w:t>
      </w:r>
    </w:p>
    <w:p w14:paraId="704F1C30">
      <w:pPr>
        <w:widowControl w:val="0"/>
        <w:rPr>
          <w:szCs w:val="28"/>
          <w:highlight w:val="none"/>
        </w:rPr>
      </w:pPr>
      <w:r>
        <w:rPr>
          <w:szCs w:val="28"/>
          <w:highlight w:val="none"/>
        </w:rPr>
        <w:t>5. Алергічні прояви та захворювання.</w:t>
      </w:r>
    </w:p>
    <w:p w14:paraId="0143337C">
      <w:pPr>
        <w:widowControl w:val="0"/>
        <w:rPr>
          <w:szCs w:val="28"/>
          <w:highlight w:val="none"/>
        </w:rPr>
      </w:pPr>
      <w:r>
        <w:rPr>
          <w:szCs w:val="28"/>
          <w:highlight w:val="none"/>
        </w:rPr>
        <w:t>6. Системні захворювання сполучної тканини.</w:t>
      </w:r>
    </w:p>
    <w:p w14:paraId="3DA1D4C9">
      <w:pPr>
        <w:widowControl w:val="0"/>
        <w:rPr>
          <w:szCs w:val="28"/>
          <w:highlight w:val="none"/>
        </w:rPr>
      </w:pPr>
      <w:r>
        <w:rPr>
          <w:szCs w:val="28"/>
          <w:highlight w:val="none"/>
        </w:rPr>
        <w:t xml:space="preserve">7. </w:t>
      </w:r>
      <w:r>
        <w:rPr>
          <w:color w:val="000000" w:themeColor="text1"/>
          <w:szCs w:val="28"/>
          <w:highlight w:val="none"/>
        </w:rPr>
        <w:t>Запальні захворювання внутрішніх органів (</w:t>
      </w:r>
      <w:r>
        <w:rPr>
          <w:szCs w:val="28"/>
          <w:highlight w:val="none"/>
        </w:rPr>
        <w:t>гострі та хронічні, окрім ФП).</w:t>
      </w:r>
    </w:p>
    <w:p w14:paraId="7D459136">
      <w:pPr>
        <w:widowControl w:val="0"/>
        <w:rPr>
          <w:szCs w:val="28"/>
          <w:highlight w:val="none"/>
          <w:lang w:eastAsia="ru-RU"/>
        </w:rPr>
      </w:pPr>
      <w:r>
        <w:rPr>
          <w:szCs w:val="28"/>
          <w:highlight w:val="none"/>
        </w:rPr>
        <w:t xml:space="preserve">8. </w:t>
      </w:r>
      <w:r>
        <w:rPr>
          <w:szCs w:val="28"/>
          <w:highlight w:val="none"/>
          <w:lang w:eastAsia="ru-RU"/>
        </w:rPr>
        <w:t>Наявність соматичної патології.</w:t>
      </w:r>
    </w:p>
    <w:p w14:paraId="7495F4A7">
      <w:pPr>
        <w:widowControl w:val="0"/>
        <w:rPr>
          <w:szCs w:val="28"/>
          <w:highlight w:val="none"/>
          <w:lang w:eastAsia="ru-RU"/>
        </w:rPr>
      </w:pPr>
      <w:r>
        <w:rPr>
          <w:szCs w:val="28"/>
          <w:highlight w:val="none"/>
          <w:lang w:eastAsia="ru-RU"/>
        </w:rPr>
        <w:t>9. Психічні чи онкологічні хвороби.</w:t>
      </w:r>
    </w:p>
    <w:p w14:paraId="0B67059F">
      <w:pPr>
        <w:widowControl w:val="0"/>
        <w:rPr>
          <w:szCs w:val="28"/>
          <w:highlight w:val="none"/>
          <w:lang w:eastAsia="ru-RU"/>
        </w:rPr>
      </w:pPr>
      <w:r>
        <w:rPr>
          <w:szCs w:val="28"/>
          <w:highlight w:val="none"/>
          <w:lang w:eastAsia="ru-RU"/>
        </w:rPr>
        <w:t>10. Вагітність та грудне вигодування.</w:t>
      </w:r>
    </w:p>
    <w:p w14:paraId="1B4D9801">
      <w:pPr>
        <w:widowControl w:val="0"/>
        <w:rPr>
          <w:szCs w:val="28"/>
          <w:highlight w:val="none"/>
          <w:lang w:eastAsia="ru-RU"/>
        </w:rPr>
      </w:pPr>
      <w:r>
        <w:rPr>
          <w:szCs w:val="28"/>
          <w:highlight w:val="none"/>
          <w:lang w:eastAsia="ru-RU"/>
        </w:rPr>
        <w:t>11. Хронічний алкоголізм.</w:t>
      </w:r>
    </w:p>
    <w:p w14:paraId="40A963E1">
      <w:pPr>
        <w:widowControl w:val="0"/>
        <w:rPr>
          <w:szCs w:val="28"/>
          <w:highlight w:val="none"/>
        </w:rPr>
      </w:pPr>
      <w:r>
        <w:rPr>
          <w:szCs w:val="28"/>
          <w:highlight w:val="none"/>
        </w:rPr>
        <w:t>12. Незгода на участь у дослідженні та відмова від власноручного підписання відповідної інформованої згоди чи незгода на дотримання всіх приписів.</w:t>
      </w:r>
    </w:p>
    <w:p w14:paraId="26F69C42">
      <w:pPr>
        <w:widowControl w:val="0"/>
        <w:jc w:val="center"/>
        <w:rPr>
          <w:b/>
          <w:szCs w:val="28"/>
          <w:highlight w:val="none"/>
        </w:rPr>
      </w:pPr>
      <w:r>
        <w:rPr>
          <w:b/>
          <w:szCs w:val="28"/>
          <w:highlight w:val="none"/>
        </w:rPr>
        <w:t>Критерії залучення (контрольна група)</w:t>
      </w:r>
    </w:p>
    <w:p w14:paraId="74EF72C4">
      <w:pPr>
        <w:widowControl w:val="0"/>
        <w:rPr>
          <w:szCs w:val="28"/>
          <w:highlight w:val="none"/>
        </w:rPr>
      </w:pPr>
      <w:r>
        <w:rPr>
          <w:szCs w:val="28"/>
          <w:highlight w:val="none"/>
        </w:rPr>
        <w:t>1. Повноліття (досягнення 18 років).</w:t>
      </w:r>
    </w:p>
    <w:p w14:paraId="5296C2E5">
      <w:pPr>
        <w:widowControl w:val="0"/>
        <w:rPr>
          <w:szCs w:val="28"/>
          <w:highlight w:val="none"/>
        </w:rPr>
      </w:pPr>
      <w:r>
        <w:rPr>
          <w:szCs w:val="28"/>
          <w:highlight w:val="none"/>
        </w:rPr>
        <w:t>2. Відсутність ХГ</w:t>
      </w:r>
      <w:r>
        <w:rPr>
          <w:szCs w:val="28"/>
          <w:highlight w:val="none"/>
          <w:lang w:val="en-US"/>
        </w:rPr>
        <w:t>C</w:t>
      </w:r>
      <w:r>
        <w:rPr>
          <w:szCs w:val="28"/>
          <w:highlight w:val="none"/>
        </w:rPr>
        <w:t>.</w:t>
      </w:r>
    </w:p>
    <w:p w14:paraId="3C94FA87">
      <w:pPr>
        <w:widowControl w:val="0"/>
        <w:rPr>
          <w:szCs w:val="28"/>
          <w:highlight w:val="none"/>
        </w:rPr>
      </w:pPr>
      <w:r>
        <w:rPr>
          <w:szCs w:val="28"/>
          <w:highlight w:val="none"/>
        </w:rPr>
        <w:t>3. Згода на участь у дослідженні, власноручний підпис відповідної інформованої згоди й дотримання всіх приписів.</w:t>
      </w:r>
    </w:p>
    <w:p w14:paraId="5173A93F">
      <w:pPr>
        <w:widowControl w:val="0"/>
        <w:jc w:val="center"/>
        <w:rPr>
          <w:b/>
          <w:szCs w:val="28"/>
          <w:highlight w:val="none"/>
        </w:rPr>
      </w:pPr>
      <w:r>
        <w:rPr>
          <w:b/>
          <w:szCs w:val="28"/>
          <w:highlight w:val="none"/>
        </w:rPr>
        <w:t>Критерії вилучення (контрольна група)</w:t>
      </w:r>
    </w:p>
    <w:p w14:paraId="08385568">
      <w:pPr>
        <w:widowControl w:val="0"/>
        <w:rPr>
          <w:szCs w:val="28"/>
          <w:highlight w:val="none"/>
        </w:rPr>
      </w:pPr>
      <w:r>
        <w:rPr>
          <w:szCs w:val="28"/>
          <w:highlight w:val="none"/>
        </w:rPr>
        <w:t>1. Неповноліття (не досягнення 18 років).</w:t>
      </w:r>
    </w:p>
    <w:p w14:paraId="452C443A">
      <w:pPr>
        <w:widowControl w:val="0"/>
        <w:rPr>
          <w:szCs w:val="28"/>
          <w:highlight w:val="none"/>
        </w:rPr>
      </w:pPr>
      <w:r>
        <w:rPr>
          <w:szCs w:val="28"/>
          <w:highlight w:val="none"/>
        </w:rPr>
        <w:t>2. Дифузні та вогнищеві захворювання внутрішніх органів.</w:t>
      </w:r>
    </w:p>
    <w:p w14:paraId="707D9470">
      <w:pPr>
        <w:widowControl w:val="0"/>
        <w:rPr>
          <w:szCs w:val="28"/>
          <w:highlight w:val="none"/>
        </w:rPr>
      </w:pPr>
      <w:r>
        <w:rPr>
          <w:szCs w:val="28"/>
          <w:highlight w:val="none"/>
        </w:rPr>
        <w:t>3. ЦД та інша ендокринна патологія.</w:t>
      </w:r>
    </w:p>
    <w:p w14:paraId="425675F8">
      <w:pPr>
        <w:widowControl w:val="0"/>
        <w:rPr>
          <w:szCs w:val="28"/>
          <w:highlight w:val="none"/>
        </w:rPr>
      </w:pPr>
      <w:r>
        <w:rPr>
          <w:szCs w:val="28"/>
          <w:highlight w:val="none"/>
        </w:rPr>
        <w:t>4. Алергічні прояви та захворювання.</w:t>
      </w:r>
    </w:p>
    <w:p w14:paraId="3BE93DB9">
      <w:pPr>
        <w:widowControl w:val="0"/>
        <w:rPr>
          <w:szCs w:val="28"/>
          <w:highlight w:val="none"/>
        </w:rPr>
      </w:pPr>
      <w:r>
        <w:rPr>
          <w:szCs w:val="28"/>
          <w:highlight w:val="none"/>
        </w:rPr>
        <w:t>5. Системні захворювання сполучної тканини.</w:t>
      </w:r>
    </w:p>
    <w:p w14:paraId="1EB73C4A">
      <w:pPr>
        <w:widowControl w:val="0"/>
        <w:rPr>
          <w:szCs w:val="28"/>
          <w:highlight w:val="none"/>
        </w:rPr>
      </w:pPr>
      <w:r>
        <w:rPr>
          <w:szCs w:val="28"/>
          <w:highlight w:val="none"/>
        </w:rPr>
        <w:t>6. Запальні захворювання внутрішніх органів (гострі та хронічні).</w:t>
      </w:r>
    </w:p>
    <w:p w14:paraId="06D4B528">
      <w:pPr>
        <w:widowControl w:val="0"/>
        <w:rPr>
          <w:szCs w:val="28"/>
          <w:highlight w:val="none"/>
          <w:lang w:eastAsia="ru-RU"/>
        </w:rPr>
      </w:pPr>
      <w:r>
        <w:rPr>
          <w:szCs w:val="28"/>
          <w:highlight w:val="none"/>
        </w:rPr>
        <w:t xml:space="preserve">7. </w:t>
      </w:r>
      <w:r>
        <w:rPr>
          <w:szCs w:val="28"/>
          <w:highlight w:val="none"/>
          <w:lang w:eastAsia="ru-RU"/>
        </w:rPr>
        <w:t>Наявність соматичної патології.</w:t>
      </w:r>
    </w:p>
    <w:p w14:paraId="67287AFC">
      <w:pPr>
        <w:widowControl w:val="0"/>
        <w:rPr>
          <w:szCs w:val="28"/>
          <w:highlight w:val="none"/>
          <w:lang w:eastAsia="ru-RU"/>
        </w:rPr>
      </w:pPr>
      <w:r>
        <w:rPr>
          <w:szCs w:val="28"/>
          <w:highlight w:val="none"/>
          <w:lang w:eastAsia="ru-RU"/>
        </w:rPr>
        <w:t>8. Психічні чи онкологічні захворювання.</w:t>
      </w:r>
    </w:p>
    <w:p w14:paraId="2292570D">
      <w:pPr>
        <w:widowControl w:val="0"/>
        <w:rPr>
          <w:szCs w:val="28"/>
          <w:highlight w:val="none"/>
          <w:lang w:eastAsia="ru-RU"/>
        </w:rPr>
      </w:pPr>
      <w:r>
        <w:rPr>
          <w:szCs w:val="28"/>
          <w:highlight w:val="none"/>
          <w:lang w:eastAsia="ru-RU"/>
        </w:rPr>
        <w:t>9. Вагітність та грудне вигодування.</w:t>
      </w:r>
    </w:p>
    <w:p w14:paraId="1CE0E600">
      <w:pPr>
        <w:widowControl w:val="0"/>
        <w:rPr>
          <w:szCs w:val="28"/>
          <w:highlight w:val="none"/>
          <w:lang w:eastAsia="ru-RU"/>
        </w:rPr>
      </w:pPr>
      <w:r>
        <w:rPr>
          <w:szCs w:val="28"/>
          <w:highlight w:val="none"/>
          <w:lang w:eastAsia="ru-RU"/>
        </w:rPr>
        <w:t>10. Хронічний алкоголізм.</w:t>
      </w:r>
    </w:p>
    <w:p w14:paraId="133935A9">
      <w:pPr>
        <w:widowControl w:val="0"/>
        <w:rPr>
          <w:szCs w:val="28"/>
          <w:highlight w:val="none"/>
        </w:rPr>
      </w:pPr>
      <w:r>
        <w:rPr>
          <w:szCs w:val="28"/>
          <w:highlight w:val="none"/>
        </w:rPr>
        <w:t>11. Незгода на участь у дослідженні, відмова від власноручного підпису відповідної інформованої згоди й незгода на дотримання всіх приписів.</w:t>
      </w:r>
    </w:p>
    <w:p w14:paraId="232C1D74">
      <w:pPr>
        <w:widowControl w:val="0"/>
        <w:ind w:firstLine="851"/>
        <w:rPr>
          <w:szCs w:val="28"/>
          <w:highlight w:val="none"/>
        </w:rPr>
      </w:pPr>
    </w:p>
    <w:p w14:paraId="57B8414B">
      <w:pPr>
        <w:pStyle w:val="3"/>
        <w:rPr>
          <w:spacing w:val="6"/>
          <w:highlight w:val="none"/>
        </w:rPr>
      </w:pPr>
      <w:bookmarkStart w:id="26" w:name="_Toc153923951"/>
      <w:r>
        <w:rPr>
          <w:highlight w:val="none"/>
          <w:lang w:eastAsia="ru-RU"/>
        </w:rPr>
        <w:t>2.3 Методичний та методологічний апарат дослідження</w:t>
      </w:r>
      <w:bookmarkEnd w:id="26"/>
    </w:p>
    <w:p w14:paraId="0626B3F0">
      <w:pPr>
        <w:widowControl w:val="0"/>
        <w:contextualSpacing/>
        <w:rPr>
          <w:szCs w:val="28"/>
          <w:highlight w:val="none"/>
        </w:rPr>
      </w:pPr>
    </w:p>
    <w:p w14:paraId="33884D25">
      <w:pPr>
        <w:widowControl w:val="0"/>
        <w:contextualSpacing/>
        <w:rPr>
          <w:szCs w:val="28"/>
          <w:highlight w:val="none"/>
        </w:rPr>
      </w:pPr>
      <w:r>
        <w:rPr>
          <w:szCs w:val="28"/>
          <w:highlight w:val="none"/>
        </w:rPr>
        <w:t>Для виконання дослідження були підготовлені всі необхідні умови (клінічна база, юридично оформлені договори про співробітництво з другими підрозділами ХНМУ та закладами, тощо).</w:t>
      </w:r>
    </w:p>
    <w:p w14:paraId="74D4E2E2">
      <w:pPr>
        <w:widowControl w:val="0"/>
        <w:contextualSpacing/>
        <w:rPr>
          <w:szCs w:val="28"/>
          <w:highlight w:val="none"/>
        </w:rPr>
      </w:pPr>
      <w:r>
        <w:rPr>
          <w:szCs w:val="28"/>
          <w:highlight w:val="none"/>
        </w:rPr>
        <w:t xml:space="preserve">Згідно із поставленою метою та завданнями і визначеним дизайном дослідження було застосовано значний комплекс загальнонаукових, валідних і загальноприйнятних методів, алгоритмів і методик дослідження, які були логічно взаємозалежні між собою та послідовно застосовані при виконанні нашої роботи. Так, в процесі роботи застосовувалися методи системного підходу та аналізу, історико-бібліографічний, бібліосемантичний, ретро- та проспективні, епідеміологічний, ціла низка </w:t>
      </w:r>
      <w:r>
        <w:rPr>
          <w:szCs w:val="28"/>
          <w:highlight w:val="none"/>
          <w:lang w:eastAsia="ru-RU"/>
        </w:rPr>
        <w:t>клініко-лабораторних і клініко-інструментальних,</w:t>
      </w:r>
      <w:r>
        <w:rPr>
          <w:szCs w:val="28"/>
          <w:highlight w:val="none"/>
        </w:rPr>
        <w:t xml:space="preserve"> експертних оцінок, експериментальний, математичного прогнозування та моделювання й комплекс медико-статистичних методів.</w:t>
      </w:r>
    </w:p>
    <w:p w14:paraId="10401E7D">
      <w:pPr>
        <w:widowControl w:val="0"/>
        <w:contextualSpacing/>
        <w:rPr>
          <w:szCs w:val="28"/>
          <w:highlight w:val="none"/>
        </w:rPr>
      </w:pPr>
      <w:r>
        <w:rPr>
          <w:szCs w:val="28"/>
          <w:highlight w:val="none"/>
        </w:rPr>
        <w:t xml:space="preserve">- методи системного підходу та аналізу, історико-бібліографічний та бібліосемантичний використовувалися нами задля ретельного аналізу сучасних світових джерел наукової літератури для визначення існуючих результатів наукових досліджень і документів міжнародних товариств щодо можливостей діагностування та прогнозування розвитку ФП у хворих із ХГС. Було вивчено міжнародний досвід визначення факторів ризику розвитку ФП і ХГС із світовими рівнями їх поширеності; визначено основні </w:t>
      </w:r>
      <w:r>
        <w:rPr>
          <w:szCs w:val="28"/>
          <w:highlight w:val="none"/>
          <w:shd w:val="clear" w:color="auto" w:fill="FFFFFF"/>
        </w:rPr>
        <w:t xml:space="preserve">медико-епідеміологічні характеристики таких пацієнтів і найбільш характерні клініко-інструментальні та клініко-лабораторні особливості ФП і ХГС (включаючи рівні ОП і вітаміну D); вивчено маркерні можливості цих характеристик для визначення ризиків розвитку фіброзного процесу при ХГС та ін. Дані особливості вивчалися нами як в цілому для всіх хворих із ФП і ХГС, так і залежно від тяжкості ФП </w:t>
      </w:r>
      <w:r>
        <w:rPr>
          <w:szCs w:val="28"/>
          <w:highlight w:val="none"/>
        </w:rPr>
        <w:t>задля напрацювання відповідних діагностичних і прогностичних алгоритмів;</w:t>
      </w:r>
    </w:p>
    <w:p w14:paraId="6A82FBB4">
      <w:pPr>
        <w:widowControl w:val="0"/>
        <w:contextualSpacing/>
        <w:rPr>
          <w:szCs w:val="28"/>
          <w:highlight w:val="none"/>
        </w:rPr>
      </w:pPr>
      <w:r>
        <w:rPr>
          <w:szCs w:val="28"/>
          <w:highlight w:val="none"/>
        </w:rPr>
        <w:t xml:space="preserve">- епідеміологічний і </w:t>
      </w:r>
      <w:r>
        <w:rPr>
          <w:szCs w:val="28"/>
          <w:highlight w:val="none"/>
          <w:lang w:eastAsia="ru-RU"/>
        </w:rPr>
        <w:t>клініко-лабораторні</w:t>
      </w:r>
      <w:r>
        <w:rPr>
          <w:szCs w:val="28"/>
          <w:highlight w:val="none"/>
        </w:rPr>
        <w:t xml:space="preserve"> й </w:t>
      </w:r>
      <w:r>
        <w:rPr>
          <w:szCs w:val="28"/>
          <w:highlight w:val="none"/>
          <w:lang w:eastAsia="ru-RU"/>
        </w:rPr>
        <w:t>клініко-інструментальні</w:t>
      </w:r>
      <w:r>
        <w:rPr>
          <w:szCs w:val="28"/>
          <w:highlight w:val="none"/>
        </w:rPr>
        <w:t xml:space="preserve"> методи застосовано для визначення основних медико-епідеміологічних, клініко-лабораторних і клініко-інструментальних проявів обстежених нами пацієнтів із ФП І ХГС. В результаті цього були ідентифіковані основні фактори ризику, які є предикційними для розвитку фіброзного процесу при ХГС і </w:t>
      </w:r>
      <w:r>
        <w:rPr>
          <w:szCs w:val="28"/>
          <w:highlight w:val="none"/>
          <w:shd w:val="clear" w:color="auto" w:fill="FFFFFF"/>
        </w:rPr>
        <w:t xml:space="preserve">вивчені </w:t>
      </w:r>
      <w:r>
        <w:rPr>
          <w:szCs w:val="28"/>
          <w:highlight w:val="none"/>
        </w:rPr>
        <w:t>особливості клінічного перебігу та порушень ліпідного та ОП обмінів і обміну вітаміну D у таких хворих із з’ясуванням характеристик цих показників залежно від стадійності фіброзного процесу;</w:t>
      </w:r>
    </w:p>
    <w:p w14:paraId="2E5FC077">
      <w:pPr>
        <w:widowControl w:val="0"/>
        <w:rPr>
          <w:szCs w:val="28"/>
          <w:highlight w:val="none"/>
          <w:lang w:eastAsia="ru-RU"/>
        </w:rPr>
      </w:pPr>
      <w:r>
        <w:rPr>
          <w:szCs w:val="28"/>
          <w:highlight w:val="none"/>
        </w:rPr>
        <w:t>- експертних оцінок, експериментальний, математичного прогнозування та моделювання й медико-статистичні</w:t>
      </w:r>
      <w:r>
        <w:rPr>
          <w:i/>
          <w:szCs w:val="28"/>
          <w:highlight w:val="none"/>
        </w:rPr>
        <w:t xml:space="preserve"> </w:t>
      </w:r>
      <w:r>
        <w:rPr>
          <w:szCs w:val="28"/>
          <w:highlight w:val="none"/>
        </w:rPr>
        <w:t>методи дозволили провести визначення асоціацій вивчених нами клініко-анамнестичних, клініко-лабораторних і клініко-інструментальних особливостей хворих із розвитком ФП при ХГС та їх прогностичні можливості. Були розроблені прогностичні моделі розвитку ФП при ХГС на основі оцінки клініко-анамнестичних, клініко-лабораторних (включаючи ОП і вітамін D) та клініко-інструментальних значень задля напрацювання відповідних прогностичних алгоритмів оптимізації діагностики та прогнозування перебігу ФП при ХГС. Визначення цих асоціацій та прорахунок прогностичних моделей було здійснено як для усієї когорти пацієнтів із ФП і ХГС, так і залежно від стадійності фіброзного процесу при ХГС. Також, застосування даних методик дозволило оцінити критерії достовірності отриманих результатів нашого дослідження та відповідності цих результатів світовим вимогам щодо клініко-експериментальних досліджень.</w:t>
      </w:r>
    </w:p>
    <w:p w14:paraId="18FDFA72">
      <w:pPr>
        <w:widowControl w:val="0"/>
        <w:rPr>
          <w:szCs w:val="28"/>
          <w:highlight w:val="none"/>
          <w:lang w:eastAsia="ru-RU"/>
        </w:rPr>
      </w:pPr>
    </w:p>
    <w:p w14:paraId="2242020D">
      <w:pPr>
        <w:pStyle w:val="3"/>
        <w:rPr>
          <w:highlight w:val="none"/>
          <w:lang w:eastAsia="ru-RU"/>
        </w:rPr>
      </w:pPr>
      <w:bookmarkStart w:id="27" w:name="_Toc153923952"/>
      <w:r>
        <w:rPr>
          <w:highlight w:val="none"/>
          <w:lang w:eastAsia="ru-RU"/>
        </w:rPr>
        <w:t>2.3.1 Медико-епідеміологічні та клініко-лабораторні й клініко-інструментальні методи дослідження</w:t>
      </w:r>
      <w:bookmarkEnd w:id="27"/>
    </w:p>
    <w:p w14:paraId="79149827">
      <w:pPr>
        <w:widowControl w:val="0"/>
        <w:rPr>
          <w:szCs w:val="28"/>
          <w:highlight w:val="none"/>
          <w:lang w:eastAsia="ru-RU"/>
        </w:rPr>
      </w:pPr>
    </w:p>
    <w:p w14:paraId="06D7118D">
      <w:pPr>
        <w:widowControl w:val="0"/>
        <w:rPr>
          <w:szCs w:val="28"/>
          <w:highlight w:val="none"/>
          <w:lang w:eastAsia="ru-RU"/>
        </w:rPr>
      </w:pPr>
      <w:r>
        <w:rPr>
          <w:szCs w:val="28"/>
          <w:highlight w:val="none"/>
          <w:lang w:eastAsia="ru-RU"/>
        </w:rPr>
        <w:t>Усім обстеженим на початку нашого дослідження:</w:t>
      </w:r>
    </w:p>
    <w:p w14:paraId="2DF48449">
      <w:pPr>
        <w:widowControl w:val="0"/>
        <w:rPr>
          <w:szCs w:val="28"/>
          <w:highlight w:val="none"/>
        </w:rPr>
      </w:pPr>
      <w:r>
        <w:rPr>
          <w:szCs w:val="28"/>
          <w:highlight w:val="none"/>
          <w:lang w:eastAsia="ru-RU"/>
        </w:rPr>
        <w:t>- було визначено їх основні медико-анамнестичні характеристики за допомогою опитування та викопіювання необхідних даних із відповідної медичної документації (</w:t>
      </w:r>
      <w:r>
        <w:rPr>
          <w:szCs w:val="28"/>
          <w:highlight w:val="none"/>
        </w:rPr>
        <w:t>віко-статеві характеристики, наявність і стадійність ФП, тривалість ФП і ХГС, анамнез життя та хвороби, тощо</w:t>
      </w:r>
      <w:r>
        <w:rPr>
          <w:szCs w:val="28"/>
          <w:highlight w:val="none"/>
          <w:lang w:eastAsia="ru-RU"/>
        </w:rPr>
        <w:t>) та проведеного об’єктивного (</w:t>
      </w:r>
      <w:r>
        <w:rPr>
          <w:szCs w:val="28"/>
          <w:highlight w:val="none"/>
        </w:rPr>
        <w:t xml:space="preserve">огляд із пальпацією та перкусією й аускультацією) обстеження з вимірюванням антропометричних даних (зріст, </w:t>
      </w:r>
      <w:r>
        <w:rPr>
          <w:bCs/>
          <w:szCs w:val="28"/>
          <w:highlight w:val="none"/>
        </w:rPr>
        <w:t xml:space="preserve">маса тіла, </w:t>
      </w:r>
      <w:r>
        <w:rPr>
          <w:szCs w:val="28"/>
          <w:highlight w:val="none"/>
        </w:rPr>
        <w:t>ІМТ,</w:t>
      </w:r>
      <w:r>
        <w:rPr>
          <w:bCs/>
          <w:szCs w:val="28"/>
          <w:highlight w:val="none"/>
        </w:rPr>
        <w:t xml:space="preserve"> тощо</w:t>
      </w:r>
      <w:r>
        <w:rPr>
          <w:szCs w:val="28"/>
          <w:highlight w:val="none"/>
        </w:rPr>
        <w:t>);</w:t>
      </w:r>
    </w:p>
    <w:p w14:paraId="58D7F99E">
      <w:pPr>
        <w:widowControl w:val="0"/>
        <w:rPr>
          <w:szCs w:val="28"/>
          <w:highlight w:val="none"/>
        </w:rPr>
      </w:pPr>
      <w:r>
        <w:rPr>
          <w:szCs w:val="28"/>
          <w:highlight w:val="none"/>
        </w:rPr>
        <w:t>- проведено клініко-лабораторне дослідження на базі Центральної науково-дослідної лабораторії ХНМУ: клінічний аналіз крові (визначення рівнів гемоглобіну, еритроцитів, КП, гематокриту, еритроцитарних індексів (</w:t>
      </w:r>
      <w:r>
        <w:rPr>
          <w:i/>
          <w:iCs/>
          <w:szCs w:val="28"/>
          <w:highlight w:val="none"/>
        </w:rPr>
        <w:t>MCV</w:t>
      </w:r>
      <w:r>
        <w:rPr>
          <w:szCs w:val="28"/>
          <w:highlight w:val="none"/>
        </w:rPr>
        <w:t>, MCH і MCHC), лейкоцитів, тромбоцитів, тромбокриту, ШОЕ, еозинофілів, нейтрофілів (п/я та с/я), лімфоцитів, моноцитів, тощо), клінічний аналіз сечі, біохімічне дослідження крові (визначення параметрів функціональної активності печінки (АЛТ, АСТ, ЛФ, ГГТ, загальний білірубін та його фракції, тощо) та показників ліпідного профілю (рівнів ЗХ, ТГ, ХЛПНЩ, ХЛПДНЩ, ХЛПВЩ, КА, тощо)</w:t>
      </w:r>
      <w:r>
        <w:rPr>
          <w:szCs w:val="28"/>
          <w:highlight w:val="none"/>
          <w:lang w:eastAsia="ru-RU"/>
        </w:rPr>
        <w:t>), ІФА (</w:t>
      </w:r>
      <w:r>
        <w:rPr>
          <w:szCs w:val="28"/>
          <w:highlight w:val="none"/>
        </w:rPr>
        <w:t>визначення рівнів ОП і вітаміну D) та ПЛР (визначення РНК ВГС у сироватці крові;</w:t>
      </w:r>
    </w:p>
    <w:p w14:paraId="40BB3ABA">
      <w:pPr>
        <w:widowControl w:val="0"/>
        <w:rPr>
          <w:szCs w:val="28"/>
          <w:highlight w:val="none"/>
          <w:lang w:eastAsia="ru-RU"/>
        </w:rPr>
      </w:pPr>
      <w:r>
        <w:rPr>
          <w:szCs w:val="28"/>
          <w:highlight w:val="none"/>
          <w:lang w:eastAsia="ru-RU"/>
        </w:rPr>
        <w:t xml:space="preserve">- виконано клініко-інструментальне дослідження: </w:t>
      </w:r>
      <w:r>
        <w:rPr>
          <w:szCs w:val="28"/>
          <w:highlight w:val="none"/>
        </w:rPr>
        <w:t xml:space="preserve">вимірювання АТ, </w:t>
      </w:r>
      <w:r>
        <w:rPr>
          <w:szCs w:val="28"/>
          <w:highlight w:val="none"/>
          <w:lang w:eastAsia="ru-RU"/>
        </w:rPr>
        <w:t xml:space="preserve">реєстрація ЕКГ, </w:t>
      </w:r>
      <w:r>
        <w:rPr>
          <w:szCs w:val="28"/>
          <w:highlight w:val="none"/>
        </w:rPr>
        <w:t>проведення УЗД органів грудної та черевної порожнини та ARFI УЗД вогнищевих уражень печінки.</w:t>
      </w:r>
    </w:p>
    <w:p w14:paraId="1C363CF0">
      <w:pPr>
        <w:widowControl w:val="0"/>
        <w:rPr>
          <w:szCs w:val="28"/>
          <w:highlight w:val="none"/>
          <w:lang w:eastAsia="ru-RU"/>
        </w:rPr>
      </w:pPr>
      <w:r>
        <w:rPr>
          <w:szCs w:val="28"/>
          <w:highlight w:val="none"/>
          <w:lang w:eastAsia="ru-RU"/>
        </w:rPr>
        <w:t>Отримані при проведенні вищевказаного комплексу досліджень дані вносилися до спеціально розробленої тематичної карти обстеження пацієнтів із формуванням відповідної (необхідної для подальшого статистичного аналізу) комп’ютерної бази даних.</w:t>
      </w:r>
    </w:p>
    <w:p w14:paraId="0C30B374">
      <w:pPr>
        <w:widowControl w:val="0"/>
        <w:rPr>
          <w:szCs w:val="28"/>
          <w:highlight w:val="none"/>
          <w:lang w:eastAsia="ru-RU"/>
        </w:rPr>
      </w:pPr>
      <w:r>
        <w:rPr>
          <w:szCs w:val="28"/>
          <w:highlight w:val="none"/>
          <w:lang w:eastAsia="ru-RU"/>
        </w:rPr>
        <w:t>Виконання відповідних клініко-лабораторних і клініко-інструментальних методів дослідження відбувалося згідно з існуючими нормативами:</w:t>
      </w:r>
    </w:p>
    <w:p w14:paraId="42393403">
      <w:pPr>
        <w:widowControl w:val="0"/>
        <w:rPr>
          <w:szCs w:val="28"/>
          <w:highlight w:val="none"/>
        </w:rPr>
      </w:pPr>
      <w:r>
        <w:rPr>
          <w:szCs w:val="28"/>
          <w:highlight w:val="none"/>
        </w:rPr>
        <w:t>1. загальноклінічні (клінічний аналіз крові та сечі) дослідження проводилися загальноприйнятними методиками, як і біохімічне дослідження крові;</w:t>
      </w:r>
    </w:p>
    <w:p w14:paraId="12C6C32D">
      <w:pPr>
        <w:widowControl w:val="0"/>
        <w:rPr>
          <w:szCs w:val="28"/>
          <w:highlight w:val="none"/>
          <w:lang w:eastAsia="uk-UA" w:bidi="uk-UA"/>
        </w:rPr>
      </w:pPr>
      <w:r>
        <w:rPr>
          <w:szCs w:val="28"/>
          <w:highlight w:val="none"/>
        </w:rPr>
        <w:t xml:space="preserve">2. ІФА: для визначення рівнів ОП (застосовувався </w:t>
      </w:r>
      <w:r>
        <w:rPr>
          <w:szCs w:val="28"/>
          <w:highlight w:val="none"/>
          <w:lang w:eastAsia="uk-UA" w:bidi="uk-UA"/>
        </w:rPr>
        <w:t>спеціальний набір реактивів:</w:t>
      </w:r>
      <w:r>
        <w:rPr>
          <w:szCs w:val="28"/>
          <w:highlight w:val="none"/>
          <w:lang w:bidi="en-US"/>
        </w:rPr>
        <w:t xml:space="preserve"> Human Osteopontin Assay Kit-IBLCo., Ltd, </w:t>
      </w:r>
      <w:r>
        <w:rPr>
          <w:szCs w:val="28"/>
          <w:highlight w:val="none"/>
          <w:lang w:eastAsia="uk-UA" w:bidi="uk-UA"/>
        </w:rPr>
        <w:t>Японія)</w:t>
      </w:r>
      <w:r>
        <w:rPr>
          <w:szCs w:val="28"/>
          <w:highlight w:val="none"/>
        </w:rPr>
        <w:t xml:space="preserve"> і вітаміну </w:t>
      </w:r>
      <w:r>
        <w:rPr>
          <w:szCs w:val="32"/>
          <w:highlight w:val="none"/>
        </w:rPr>
        <w:t>D</w:t>
      </w:r>
      <w:r>
        <w:rPr>
          <w:szCs w:val="28"/>
          <w:highlight w:val="none"/>
        </w:rPr>
        <w:t xml:space="preserve"> (застосовувався </w:t>
      </w:r>
      <w:r>
        <w:rPr>
          <w:szCs w:val="28"/>
          <w:highlight w:val="none"/>
          <w:lang w:eastAsia="uk-UA" w:bidi="uk-UA"/>
        </w:rPr>
        <w:t xml:space="preserve">спеціальний набір реактивів: </w:t>
      </w:r>
      <w:r>
        <w:rPr>
          <w:szCs w:val="28"/>
          <w:highlight w:val="none"/>
        </w:rPr>
        <w:t>Vitamin D total Roche Diagnostics, Німеччина) у сироватці крові</w:t>
      </w:r>
      <w:r>
        <w:rPr>
          <w:szCs w:val="28"/>
          <w:highlight w:val="none"/>
          <w:lang w:eastAsia="uk-UA" w:bidi="uk-UA"/>
        </w:rPr>
        <w:t>;</w:t>
      </w:r>
    </w:p>
    <w:p w14:paraId="46B91817">
      <w:pPr>
        <w:widowControl w:val="0"/>
        <w:rPr>
          <w:szCs w:val="28"/>
          <w:highlight w:val="none"/>
        </w:rPr>
      </w:pPr>
      <w:r>
        <w:rPr>
          <w:szCs w:val="28"/>
          <w:highlight w:val="none"/>
        </w:rPr>
        <w:t>3. ПЛР: для підтвердження діагнозу ХГС проводили визначення РНК ВГС у плазмі крові кількісно та якісно (застосовували тест-системи «Біофарма-амплісенс-ПЛР-HCV-FEP» (Biofarma-amplisens PCR-HCV-FEP, Україна));</w:t>
      </w:r>
    </w:p>
    <w:p w14:paraId="35D75A57">
      <w:pPr>
        <w:widowControl w:val="0"/>
        <w:rPr>
          <w:szCs w:val="28"/>
          <w:highlight w:val="none"/>
          <w:lang w:eastAsia="ru-RU"/>
        </w:rPr>
      </w:pPr>
      <w:r>
        <w:rPr>
          <w:highlight w:val="none"/>
        </w:rPr>
        <w:t xml:space="preserve">4. ARFI УЗД вогнищевих уражень печінки: для діагностування ФП. </w:t>
      </w:r>
    </w:p>
    <w:p w14:paraId="051C2927">
      <w:pPr>
        <w:pStyle w:val="19"/>
        <w:spacing w:after="0"/>
        <w:jc w:val="center"/>
        <w:rPr>
          <w:highlight w:val="none"/>
          <w:lang w:eastAsia="ru-RU"/>
        </w:rPr>
      </w:pPr>
      <w:r>
        <w:rPr>
          <w:highlight w:val="none"/>
          <w:lang w:eastAsia="ru-RU"/>
        </w:rPr>
        <w:t>Для клініко-лабораторного дослідження крові:</w:t>
      </w:r>
    </w:p>
    <w:p w14:paraId="7930C81A">
      <w:pPr>
        <w:pStyle w:val="19"/>
        <w:spacing w:after="0"/>
        <w:rPr>
          <w:highlight w:val="none"/>
        </w:rPr>
      </w:pPr>
      <w:r>
        <w:rPr>
          <w:highlight w:val="none"/>
          <w:lang w:eastAsia="ru-RU"/>
        </w:rPr>
        <w:t>- </w:t>
      </w:r>
      <w:r>
        <w:rPr>
          <w:highlight w:val="none"/>
        </w:rPr>
        <w:t>забір крові проводився вранці натщесерце із ліктьової вени в поліетиленові пробірки (епіндорфи). Для отримання сироватки із набраної крові епіндорфи інкубували 30 хв. при температурі +37 ºС, після чого виконували відшарування від стінки пастерівською піпеткою, а утворений згусток інкубували при температурі +4 ºС на протязі 60 хв. для ретракції. Сироватку центрифугували протягом 15 хв. при 1500 тис. об./хв. і проводили відокремлення супернатанту в епіндорфи, після чого зберігали при температурі -20 ºС не більше 3-х міс. [2.10, 2.11];</w:t>
      </w:r>
    </w:p>
    <w:p w14:paraId="2909DA44">
      <w:pPr>
        <w:pStyle w:val="19"/>
        <w:spacing w:after="0"/>
        <w:rPr>
          <w:highlight w:val="none"/>
        </w:rPr>
      </w:pPr>
      <w:r>
        <w:rPr>
          <w:highlight w:val="none"/>
        </w:rPr>
        <w:t>- визначення рівнів ЗХ та ЛПВЩ виконували пероксидазним методом із набором відповідних реактивів «Cholesterol Liquicolor» фірми «Human» (Німеччина) у сироватці крові, яку попередньо стабілізували гепарином й етилендіамінтетраоцтовою кислотою. Визначення рівня ЗХ проводили після його ферментативного гідролізу та окислення. Індикаторною речовиною ЗХ є хілонімін, який утворюється з перекису водню й 4-амінофеназону у присутності фенолу й пероксидази;</w:t>
      </w:r>
    </w:p>
    <w:p w14:paraId="4E419A90">
      <w:pPr>
        <w:pStyle w:val="19"/>
        <w:spacing w:after="0"/>
        <w:rPr>
          <w:highlight w:val="none"/>
        </w:rPr>
      </w:pPr>
      <w:r>
        <w:rPr>
          <w:highlight w:val="none"/>
        </w:rPr>
        <w:t>- хіломікрони (ЛПДНЩ, ЛПНЩ) осаджували фосфорно-молібденовою кислотою й хлоридом магнію. Після відповідного центрифугування в супернатанті залишалися ЛПВЩ, кількість яких встановлювали за допомогою набору реагентів «Cholesterol Liquicolor» (рівень ЛПВЩ &lt; 0,9 ммоль/л (чоловіки) й &lt; 1,0 ммоль/л (жінки) вважали гіпоальфахолестеринемію);</w:t>
      </w:r>
    </w:p>
    <w:p w14:paraId="5CF24EBB">
      <w:pPr>
        <w:pStyle w:val="19"/>
        <w:spacing w:after="0"/>
        <w:rPr>
          <w:highlight w:val="none"/>
        </w:rPr>
      </w:pPr>
      <w:r>
        <w:rPr>
          <w:highlight w:val="none"/>
        </w:rPr>
        <w:t>- ТГ визначали ферментативно за допомогою колориметричного методу із використанням набору реактивів «Triglycerides GPO» фірми «Human» (Німеччина). Концентрацію ТГ визначали після ферментативного гідролізу під дією ліпази, в результаті чого продукувався індикатор хілоніми з перекису водню, 4-аміноантипірину й 4-хлорфенолу при відповідному каталітичному впливі пероксидази (рівні ТГ ≥ 1,7 ммоль/л у сироватці крові вважали за гіпертригліцеридемію);</w:t>
      </w:r>
    </w:p>
    <w:p w14:paraId="524867F1">
      <w:pPr>
        <w:pStyle w:val="19"/>
        <w:spacing w:after="0"/>
        <w:rPr>
          <w:highlight w:val="none"/>
        </w:rPr>
      </w:pPr>
      <w:r>
        <w:rPr>
          <w:highlight w:val="none"/>
        </w:rPr>
        <w:t>- КА, ЛПДНЩ і ЛПНЩ розраховували за відповідною формулою Клімова А.М.:</w:t>
      </w:r>
    </w:p>
    <w:p w14:paraId="61224905">
      <w:pPr>
        <w:pStyle w:val="19"/>
        <w:tabs>
          <w:tab w:val="left" w:pos="6946"/>
        </w:tabs>
        <w:spacing w:after="0"/>
        <w:ind w:left="709" w:firstLine="0"/>
        <w:jc w:val="center"/>
        <w:rPr>
          <w:highlight w:val="none"/>
        </w:rPr>
      </w:pPr>
      <w:r>
        <w:rPr>
          <w:highlight w:val="none"/>
        </w:rPr>
        <w:t>КА = (ЗХ – ЛПВЩ) / ЛПВЩ (ммоль/л)</w:t>
      </w:r>
      <w:r>
        <w:rPr>
          <w:highlight w:val="none"/>
        </w:rPr>
        <w:tab/>
      </w:r>
      <w:r>
        <w:rPr>
          <w:i/>
          <w:highlight w:val="none"/>
        </w:rPr>
        <w:t>(2.1)</w:t>
      </w:r>
      <w:r>
        <w:rPr>
          <w:highlight w:val="none"/>
        </w:rPr>
        <w:t>;</w:t>
      </w:r>
    </w:p>
    <w:p w14:paraId="47210040">
      <w:pPr>
        <w:pStyle w:val="19"/>
        <w:tabs>
          <w:tab w:val="left" w:pos="6946"/>
        </w:tabs>
        <w:spacing w:after="0"/>
        <w:jc w:val="center"/>
        <w:rPr>
          <w:i/>
          <w:highlight w:val="none"/>
        </w:rPr>
      </w:pPr>
      <w:r>
        <w:rPr>
          <w:highlight w:val="none"/>
        </w:rPr>
        <w:t>ЛПДНЩ = ТГ /2 ,2 </w:t>
      </w:r>
      <w:r>
        <w:rPr>
          <w:rFonts w:cs="Times New Roman"/>
          <w:highlight w:val="none"/>
        </w:rPr>
        <w:t>×</w:t>
      </w:r>
      <w:r>
        <w:rPr>
          <w:highlight w:val="none"/>
        </w:rPr>
        <w:t> 0,45 (ммоль/л)</w:t>
      </w:r>
      <w:r>
        <w:rPr>
          <w:highlight w:val="none"/>
        </w:rPr>
        <w:tab/>
      </w:r>
      <w:r>
        <w:rPr>
          <w:i/>
          <w:highlight w:val="none"/>
        </w:rPr>
        <w:t>(2.2);</w:t>
      </w:r>
    </w:p>
    <w:p w14:paraId="6E75C165">
      <w:pPr>
        <w:pStyle w:val="19"/>
        <w:tabs>
          <w:tab w:val="left" w:pos="6946"/>
        </w:tabs>
        <w:spacing w:after="0"/>
        <w:jc w:val="center"/>
        <w:rPr>
          <w:highlight w:val="none"/>
        </w:rPr>
      </w:pPr>
      <w:r>
        <w:rPr>
          <w:highlight w:val="none"/>
        </w:rPr>
        <w:t>ЛПНЩ = ЗХ – (ЛПДНЩ + ЛПВЩ) (ммоль/л)</w:t>
      </w:r>
      <w:r>
        <w:rPr>
          <w:highlight w:val="none"/>
        </w:rPr>
        <w:tab/>
      </w:r>
      <w:r>
        <w:rPr>
          <w:i/>
          <w:highlight w:val="none"/>
        </w:rPr>
        <w:t>(2.3);</w:t>
      </w:r>
    </w:p>
    <w:p w14:paraId="53AAC8FF">
      <w:pPr>
        <w:widowControl w:val="0"/>
        <w:rPr>
          <w:szCs w:val="28"/>
          <w:highlight w:val="none"/>
        </w:rPr>
      </w:pPr>
      <w:r>
        <w:rPr>
          <w:szCs w:val="28"/>
          <w:highlight w:val="none"/>
        </w:rPr>
        <w:t xml:space="preserve">- вміст ОП у сироватці крові визначали за допомогою ІФА (метод визначення </w:t>
      </w:r>
      <w:r>
        <w:rPr>
          <w:rFonts w:eastAsia="Times New Roman"/>
          <w:szCs w:val="28"/>
          <w:highlight w:val="none"/>
          <w:lang w:eastAsia="ru-RU"/>
        </w:rPr>
        <w:t>Sandwich ELISA, Double Antibody</w:t>
      </w:r>
      <w:r>
        <w:rPr>
          <w:szCs w:val="28"/>
          <w:highlight w:val="none"/>
        </w:rPr>
        <w:t xml:space="preserve">) на імуноферментному аналізаторі фірми «Labline-90» (Австрія) з використанням </w:t>
      </w:r>
      <w:r>
        <w:rPr>
          <w:szCs w:val="28"/>
          <w:highlight w:val="none"/>
          <w:lang w:eastAsia="uk-UA" w:bidi="uk-UA"/>
        </w:rPr>
        <w:t>спеціального набору реактивів</w:t>
      </w:r>
      <w:r>
        <w:rPr>
          <w:szCs w:val="28"/>
          <w:highlight w:val="none"/>
          <w:lang w:bidi="en-US"/>
        </w:rPr>
        <w:t xml:space="preserve"> Human Osteopontin Assay Kit-IBLCo., Ltd (</w:t>
      </w:r>
      <w:r>
        <w:rPr>
          <w:szCs w:val="28"/>
          <w:highlight w:val="none"/>
          <w:lang w:eastAsia="uk-UA" w:bidi="uk-UA"/>
        </w:rPr>
        <w:t xml:space="preserve">Японія). Також на цьому аналізаторі проводили </w:t>
      </w:r>
      <w:r>
        <w:rPr>
          <w:szCs w:val="28"/>
          <w:highlight w:val="none"/>
        </w:rPr>
        <w:t xml:space="preserve">визначення вмісту вітаміну D з використанням </w:t>
      </w:r>
      <w:r>
        <w:rPr>
          <w:szCs w:val="28"/>
          <w:highlight w:val="none"/>
          <w:lang w:eastAsia="uk-UA" w:bidi="uk-UA"/>
        </w:rPr>
        <w:t xml:space="preserve">спеціального набору реактивів </w:t>
      </w:r>
      <w:r>
        <w:rPr>
          <w:szCs w:val="28"/>
          <w:highlight w:val="none"/>
        </w:rPr>
        <w:t>Vitamin D total Roche Diagnostics (Німеччина)</w:t>
      </w:r>
      <w:r>
        <w:rPr>
          <w:szCs w:val="28"/>
          <w:highlight w:val="none"/>
          <w:lang w:eastAsia="uk-UA" w:bidi="uk-UA"/>
        </w:rPr>
        <w:t xml:space="preserve">. </w:t>
      </w:r>
      <w:r>
        <w:rPr>
          <w:szCs w:val="28"/>
          <w:highlight w:val="none"/>
        </w:rPr>
        <w:t>Дослідження проводились на базі КНП «Обласна клінічна інфекційна лікарня» ХОР.</w:t>
      </w:r>
    </w:p>
    <w:p w14:paraId="0C3C4EEC">
      <w:pPr>
        <w:widowControl w:val="0"/>
        <w:rPr>
          <w:szCs w:val="28"/>
          <w:highlight w:val="none"/>
          <w:lang w:eastAsia="ru-RU"/>
        </w:rPr>
      </w:pPr>
      <w:r>
        <w:rPr>
          <w:szCs w:val="28"/>
          <w:highlight w:val="none"/>
          <w:lang w:eastAsia="ru-RU"/>
        </w:rPr>
        <w:t xml:space="preserve">Лабораторне дослідження рівнів ОП проводили за допомогою </w:t>
      </w:r>
      <w:r>
        <w:rPr>
          <w:highlight w:val="none"/>
        </w:rPr>
        <w:t>зразків крові, які відбирали в охолоджені силіконові пробірки (епіндорфи) та додавали до них гепарин, після чого пробірки центрифугували при постійному охолодженні зі швидкістю 1000 об/хв 15 хв. Після сироватцу крові заморожували і зберігали при t не більше -20°С (без повторного заморожування-розморожування). Епіндорфи розморожували, після чого проводили 25-кратне розведення зразків крові (до 10 мкл відібраної проби додавали 240 мкл розчинного калібратора RD5-24). До кожної луночки на мікропланшеті (попередньо промита 400 мкл миючого буфера та висушеноа) додавали 200 мкл людського кон'югату ОП та 200 мкл субстратного розчину. Лунки з матеріалом залишали на 30 хв. в темне місце при кімнатній температурі. До кожної лунки додавали 50 мкл стоп-розчину та слідкували за зміною кольору в луночках. Протягом 30 хв. визначали оптичну щільність кожної лунки за допомогою пристрою для зчитування інформації з мікропланшета (до 450 нм). Лінійність вимірювань становила 0,312–200,0 нг/мл з менш 0,5 % перехресною реактивністю зі схожими молекулами. Усі визначення було проведено з використанням дублікатів для стандарту, контролю та зразка; після чого за допомогою комп'ютерного програмного забезпечення (4-PL) будували стандартну криву.</w:t>
      </w:r>
    </w:p>
    <w:p w14:paraId="5CB3B0E7">
      <w:pPr>
        <w:widowControl w:val="0"/>
        <w:rPr>
          <w:szCs w:val="28"/>
          <w:highlight w:val="none"/>
          <w:lang w:eastAsia="ru-RU"/>
        </w:rPr>
      </w:pPr>
      <w:r>
        <w:rPr>
          <w:szCs w:val="28"/>
          <w:highlight w:val="none"/>
          <w:lang w:eastAsia="ru-RU"/>
        </w:rPr>
        <w:t>Збір сироватки для визначення рівня вітаміну D проводився з використанням стандартних пробірок для зразків або за допомогою пробірок з розділяючим гелем. Сироватка, оброблялася Li-гепарином, K2 і K3 етилендіамінтетраоцтовою кислотою та поміщалася в пробірки з розділяючим гелем. Пробірки зберігалися максимум 4 дні при температурі 2,0–8,0°C та один місяць при температурі -20°C. Проби за необхідності заморожували лише один раз.</w:t>
      </w:r>
    </w:p>
    <w:p w14:paraId="0A2A5D98">
      <w:pPr>
        <w:widowControl w:val="0"/>
        <w:rPr>
          <w:szCs w:val="28"/>
          <w:highlight w:val="none"/>
          <w:lang w:eastAsia="ru-RU"/>
        </w:rPr>
      </w:pPr>
      <w:r>
        <w:rPr>
          <w:szCs w:val="28"/>
          <w:highlight w:val="none"/>
          <w:lang w:eastAsia="ru-RU"/>
        </w:rPr>
        <w:t>Лабораторна оцінка рівня вітаміну D в організмі базується на вимірі рівня 25(ОН)D та відображає сумарний рівень D2 (екзогенний вітамін D) та D3 (ендогенний вітамін D).</w:t>
      </w:r>
      <w:r>
        <w:rPr>
          <w:highlight w:val="none"/>
        </w:rPr>
        <w:t xml:space="preserve"> </w:t>
      </w:r>
      <w:r>
        <w:rPr>
          <w:szCs w:val="28"/>
          <w:highlight w:val="none"/>
          <w:lang w:eastAsia="ru-RU"/>
        </w:rPr>
        <w:t>Рівень 25(ОН)D вимірюється в нг/мл (ng/ml), оптимальною його концентрацією є 30,0–70,0 нг/мл. Якщо концентрація 25(ОН)D у межах 10,0–20,0 нг/мл – існує ризик дефіциту вітаміну D в організмі, 5,0–10,0 нг/мл – дефіцит вітаміну D, а показник менше 5,0 нг/мл – тяжкий дефіцит вітаміну D. Концентрація 25(ОН)D більше 70 нг/мл свідчить про передозування вітаміну D. Перед проведенням лабораторної оцінки рівня вітаміну D в організмі необхідно за 2–3 год. до забору крові не вживати їжу, а за півгодини – не палити. Напередодні слід уникати вживання жирної їжі, алкоголю та фізичних перенавантажень;</w:t>
      </w:r>
    </w:p>
    <w:p w14:paraId="509CCD42">
      <w:pPr>
        <w:widowControl w:val="0"/>
        <w:rPr>
          <w:szCs w:val="28"/>
          <w:highlight w:val="none"/>
        </w:rPr>
      </w:pPr>
      <w:r>
        <w:rPr>
          <w:szCs w:val="28"/>
          <w:highlight w:val="none"/>
          <w:lang w:eastAsia="ru-RU"/>
        </w:rPr>
        <w:t>- </w:t>
      </w:r>
      <w:r>
        <w:rPr>
          <w:highlight w:val="none"/>
        </w:rPr>
        <w:t xml:space="preserve">підтвердження діагнозу ХГС проводили </w:t>
      </w:r>
      <w:r>
        <w:rPr>
          <w:szCs w:val="28"/>
          <w:highlight w:val="none"/>
        </w:rPr>
        <w:t>визначенням РНК ВГС у сироватці периферичної крові методом зворотної транскрипції і ПЛР з гібридизаційно-флуоресцентною детекцією після закінчення реакції за допомогою тест-системи «Біофарма-амплісенс-ПЛР-HCV-FEP» (Biofarma-amplisens PCR-HCV-FEP, Україна).</w:t>
      </w:r>
    </w:p>
    <w:p w14:paraId="2F372A95">
      <w:pPr>
        <w:widowControl w:val="0"/>
        <w:rPr>
          <w:szCs w:val="28"/>
          <w:highlight w:val="none"/>
        </w:rPr>
      </w:pPr>
      <w:r>
        <w:rPr>
          <w:szCs w:val="28"/>
          <w:highlight w:val="none"/>
        </w:rPr>
        <w:t>Аналіз РНК ВГС (визначення РНК ВГС) дозволяє виявити безпосередньо генетичний матеріал вірусу гепатиту. Цей тест виконується методом ПЛР. Застосовували якісний аналіз на РНК ВГС, який свідчить про наявність чи відсутність ВГС у крові. Для контролю вірусологічної відповіді під час проведення противірусної терапії використовували діагностичну систему з чутливістю не нижче 50 МО/мл.</w:t>
      </w:r>
    </w:p>
    <w:p w14:paraId="71FD591E">
      <w:pPr>
        <w:widowControl w:val="0"/>
        <w:rPr>
          <w:szCs w:val="28"/>
          <w:highlight w:val="none"/>
          <w:lang w:eastAsia="ru-RU"/>
        </w:rPr>
      </w:pPr>
      <w:r>
        <w:rPr>
          <w:szCs w:val="28"/>
          <w:highlight w:val="none"/>
          <w:lang w:eastAsia="ru-RU"/>
        </w:rPr>
        <w:t xml:space="preserve">Забір крові проводили натще з ліктьової вени в одноразову пластикову пробірку з антикоагулянтом (3,0 % розчин етилендіамінтетраоцтової кислоти у співвідношенні 1:20) або спеціальну вакуумну систему типу «venoject». Сироватку крові одержували центрифугуванням цільної крові (800–1600 мл протягом 20 хв.). Після сироватку відбирали в епіндорфи. Сироватку зберігали не більше трьох діб при t 2–8°С. Допускалося лише одноразове заморожування-розморожування матеріалу за необхідності. </w:t>
      </w:r>
      <w:r>
        <w:rPr>
          <w:highlight w:val="none"/>
        </w:rPr>
        <w:t>Потім для дослідження лізуючий розчин і розчин для відмивання прогрівали при t +60</w:t>
      </w:r>
      <w:r>
        <w:rPr>
          <w:highlight w:val="none"/>
          <w:vertAlign w:val="superscript"/>
        </w:rPr>
        <w:t>о</w:t>
      </w:r>
      <w:r>
        <w:rPr>
          <w:highlight w:val="none"/>
        </w:rPr>
        <w:t>С до повного розчинення кристалів. Для виділення РНК (з 12 проб, включаючи контролі) у кожну пробірку додавали по 100 мкл досліджуваної сироватки та перемішували. Центрифугували пробірки на мікроцентрифузі при 10.000 g протягом 1 хв. Додавали в пробірки по 500 мкл розчину для відмивання та центрифугували на мікроцентрифузі при 10.000 g протягом 1 хв. Висушували сорбент, помістивши пробірки з відкритими кришками в термостат при t +56</w:t>
      </w:r>
      <w:r>
        <w:rPr>
          <w:highlight w:val="none"/>
          <w:vertAlign w:val="superscript"/>
        </w:rPr>
        <w:t>о</w:t>
      </w:r>
      <w:r>
        <w:rPr>
          <w:highlight w:val="none"/>
        </w:rPr>
        <w:t>с на 10 хв. Далі ресуспендували сорбент у 50 мкл РНК-елюента, прогрівали в термостаті при t +56</w:t>
      </w:r>
      <w:r>
        <w:rPr>
          <w:highlight w:val="none"/>
          <w:vertAlign w:val="superscript"/>
        </w:rPr>
        <w:t>о</w:t>
      </w:r>
      <w:r>
        <w:rPr>
          <w:highlight w:val="none"/>
        </w:rPr>
        <w:t xml:space="preserve">С 5 хв, перемішували й осаджували на центрифузі при 10.000 g протягом 2 хв. Далі проводили реакцію зворотної транскрипції і ампліфікації. Готували реакційну суміш і контролі ампліфікації. Розміщували пробірки в ампліфікатор і запускали програму «50-95-60», після чого проводили детекцію результатів. </w:t>
      </w:r>
      <w:r>
        <w:rPr>
          <w:highlight w:val="none"/>
          <w:shd w:val="clear" w:color="auto" w:fill="FFFFFF"/>
        </w:rPr>
        <w:t>Отримані дані інтерпретували автоматично за допомогою програми «gene».</w:t>
      </w:r>
    </w:p>
    <w:p w14:paraId="139F343B">
      <w:pPr>
        <w:pStyle w:val="19"/>
        <w:spacing w:after="0"/>
        <w:jc w:val="center"/>
        <w:rPr>
          <w:highlight w:val="none"/>
          <w:lang w:eastAsia="ru-RU"/>
        </w:rPr>
      </w:pPr>
      <w:r>
        <w:rPr>
          <w:highlight w:val="none"/>
          <w:lang w:eastAsia="ru-RU"/>
        </w:rPr>
        <w:t>Для клініко-інструментального дослідження:</w:t>
      </w:r>
    </w:p>
    <w:p w14:paraId="165DF9CB">
      <w:pPr>
        <w:widowControl w:val="0"/>
        <w:contextualSpacing/>
        <w:rPr>
          <w:szCs w:val="28"/>
          <w:highlight w:val="none"/>
          <w:lang w:eastAsia="ru-RU"/>
        </w:rPr>
      </w:pPr>
      <w:r>
        <w:rPr>
          <w:szCs w:val="28"/>
          <w:highlight w:val="none"/>
          <w:lang w:eastAsia="ru-RU"/>
        </w:rPr>
        <w:t>- АТ вимірювали відповідно до існуючих практичних рекомендацій за методом Короткова тонометром Microlife BP AG1-20 (Швейцарія) тричі на кожній руці перед кожним вимірюванням з 2-хв. інтервалом;</w:t>
      </w:r>
    </w:p>
    <w:p w14:paraId="3BB65A77">
      <w:pPr>
        <w:widowControl w:val="0"/>
        <w:rPr>
          <w:szCs w:val="28"/>
          <w:highlight w:val="none"/>
          <w:lang w:eastAsia="ru-RU"/>
        </w:rPr>
      </w:pPr>
      <w:r>
        <w:rPr>
          <w:szCs w:val="28"/>
          <w:highlight w:val="none"/>
          <w:lang w:eastAsia="ru-RU"/>
        </w:rPr>
        <w:t>- антропометричні показники визначали відповідно до існуючих практичних рекомендацій загальноприйнятними методиками;</w:t>
      </w:r>
    </w:p>
    <w:p w14:paraId="284EBF1F">
      <w:pPr>
        <w:widowControl w:val="0"/>
        <w:rPr>
          <w:szCs w:val="28"/>
          <w:highlight w:val="none"/>
          <w:lang w:eastAsia="ru-RU"/>
        </w:rPr>
      </w:pPr>
      <w:r>
        <w:rPr>
          <w:szCs w:val="28"/>
          <w:highlight w:val="none"/>
          <w:lang w:eastAsia="ru-RU"/>
        </w:rPr>
        <w:t xml:space="preserve">- ІМТ розраховували стандартно та оцінювали згідно з рекомендаціями фахівців </w:t>
      </w:r>
      <w:r>
        <w:rPr>
          <w:szCs w:val="28"/>
          <w:highlight w:val="none"/>
        </w:rPr>
        <w:t>ВООЗ</w:t>
      </w:r>
      <w:r>
        <w:rPr>
          <w:szCs w:val="28"/>
          <w:highlight w:val="none"/>
          <w:lang w:eastAsia="ru-RU"/>
        </w:rPr>
        <w:t>: 18,5–24,5 кг/м</w:t>
      </w:r>
      <w:r>
        <w:rPr>
          <w:szCs w:val="28"/>
          <w:highlight w:val="none"/>
          <w:vertAlign w:val="superscript"/>
          <w:lang w:eastAsia="ru-RU"/>
        </w:rPr>
        <w:t>2</w:t>
      </w:r>
      <w:r>
        <w:rPr>
          <w:szCs w:val="28"/>
          <w:highlight w:val="none"/>
          <w:lang w:eastAsia="ru-RU"/>
        </w:rPr>
        <w:t> – норма; 24,6–29,9 кг/м</w:t>
      </w:r>
      <w:r>
        <w:rPr>
          <w:szCs w:val="28"/>
          <w:highlight w:val="none"/>
          <w:vertAlign w:val="superscript"/>
          <w:lang w:eastAsia="ru-RU"/>
        </w:rPr>
        <w:t>2</w:t>
      </w:r>
      <w:r>
        <w:rPr>
          <w:szCs w:val="28"/>
          <w:highlight w:val="none"/>
          <w:lang w:eastAsia="ru-RU"/>
        </w:rPr>
        <w:t> – підвищена маса тіла; 30,0–34,9 кг/м</w:t>
      </w:r>
      <w:r>
        <w:rPr>
          <w:szCs w:val="28"/>
          <w:highlight w:val="none"/>
          <w:vertAlign w:val="superscript"/>
          <w:lang w:eastAsia="ru-RU"/>
        </w:rPr>
        <w:t>2</w:t>
      </w:r>
      <w:r>
        <w:rPr>
          <w:szCs w:val="28"/>
          <w:highlight w:val="none"/>
          <w:lang w:eastAsia="ru-RU"/>
        </w:rPr>
        <w:t> – ожиріння І ступеня; 35,0–39,9 кг/м</w:t>
      </w:r>
      <w:r>
        <w:rPr>
          <w:szCs w:val="28"/>
          <w:highlight w:val="none"/>
          <w:vertAlign w:val="superscript"/>
          <w:lang w:eastAsia="ru-RU"/>
        </w:rPr>
        <w:t>2</w:t>
      </w:r>
      <w:r>
        <w:rPr>
          <w:szCs w:val="28"/>
          <w:highlight w:val="none"/>
          <w:lang w:eastAsia="ru-RU"/>
        </w:rPr>
        <w:t> – ожиріння ІІ ступеня та &gt; 40,0 кг/м</w:t>
      </w:r>
      <w:r>
        <w:rPr>
          <w:szCs w:val="28"/>
          <w:highlight w:val="none"/>
          <w:vertAlign w:val="superscript"/>
          <w:lang w:eastAsia="ru-RU"/>
        </w:rPr>
        <w:t>2</w:t>
      </w:r>
      <w:r>
        <w:rPr>
          <w:szCs w:val="28"/>
          <w:highlight w:val="none"/>
          <w:lang w:eastAsia="ru-RU"/>
        </w:rPr>
        <w:t> – ожиріння ІІІ ступеня;</w:t>
      </w:r>
    </w:p>
    <w:p w14:paraId="1C060D8C">
      <w:pPr>
        <w:widowControl w:val="0"/>
        <w:rPr>
          <w:szCs w:val="28"/>
          <w:highlight w:val="none"/>
          <w:lang w:eastAsia="ru-RU"/>
        </w:rPr>
      </w:pPr>
      <w:r>
        <w:rPr>
          <w:szCs w:val="28"/>
          <w:highlight w:val="none"/>
          <w:lang w:eastAsia="ru-RU"/>
        </w:rPr>
        <w:t>- реєстрацію ЕКГ виконували на 12-канальному реєстраторі зі швидкістю 50 мм/с на комп’ютерному електрокардіографі «Cardiolab 2000» ХАІ-МЕДИКА (Україна). Реєстрацію проводили загальноприйнятним способом;</w:t>
      </w:r>
    </w:p>
    <w:p w14:paraId="7BBA60C7">
      <w:pPr>
        <w:widowControl w:val="0"/>
        <w:rPr>
          <w:szCs w:val="28"/>
          <w:highlight w:val="none"/>
          <w:lang w:eastAsia="ru-RU"/>
        </w:rPr>
      </w:pPr>
      <w:r>
        <w:rPr>
          <w:szCs w:val="28"/>
          <w:highlight w:val="none"/>
          <w:lang w:eastAsia="ru-RU"/>
        </w:rPr>
        <w:t xml:space="preserve">- УЗД органів черевної порожнини виконували на </w:t>
      </w:r>
      <w:r>
        <w:rPr>
          <w:szCs w:val="28"/>
          <w:highlight w:val="none"/>
        </w:rPr>
        <w:t>апараті «</w:t>
      </w:r>
      <w:r>
        <w:rPr>
          <w:bCs/>
          <w:szCs w:val="28"/>
          <w:highlight w:val="none"/>
          <w:shd w:val="clear" w:color="auto" w:fill="FFFFFF"/>
        </w:rPr>
        <w:t>Esaote MyLab 40</w:t>
      </w:r>
      <w:r>
        <w:rPr>
          <w:szCs w:val="28"/>
          <w:highlight w:val="none"/>
        </w:rPr>
        <w:t xml:space="preserve">» (Італія) </w:t>
      </w:r>
      <w:r>
        <w:rPr>
          <w:szCs w:val="28"/>
          <w:highlight w:val="none"/>
          <w:lang w:eastAsia="ru-RU"/>
        </w:rPr>
        <w:t>загальноприйнятним способом;</w:t>
      </w:r>
    </w:p>
    <w:p w14:paraId="37F6AFDB">
      <w:pPr>
        <w:widowControl w:val="0"/>
        <w:rPr>
          <w:szCs w:val="28"/>
          <w:highlight w:val="none"/>
        </w:rPr>
      </w:pPr>
      <w:r>
        <w:rPr>
          <w:szCs w:val="28"/>
          <w:highlight w:val="none"/>
          <w:lang w:eastAsia="ru-RU"/>
        </w:rPr>
        <w:t>- </w:t>
      </w:r>
      <w:r>
        <w:rPr>
          <w:highlight w:val="none"/>
        </w:rPr>
        <w:t xml:space="preserve">ARFI УЗД вогнищевих уражень печінки проводили на апараті Siemens (Ерланген, Німеччина), що є певним трансдуцером з робочою частотою 3,5 МГц (в основі якого знаходиться технологія vibration-controlled transient elastography) </w:t>
      </w:r>
      <w:r>
        <w:rPr>
          <w:szCs w:val="28"/>
          <w:highlight w:val="none"/>
          <w:shd w:val="clear" w:color="auto" w:fill="FFFFFF"/>
        </w:rPr>
        <w:t>задля визначення стадій фіброзного процесу (F 0–F 4)</w:t>
      </w:r>
      <w:r>
        <w:rPr>
          <w:szCs w:val="28"/>
          <w:highlight w:val="none"/>
        </w:rPr>
        <w:t xml:space="preserve"> за допомогою показника жорсткості печінкової паренхіми (E, кПа)</w:t>
      </w:r>
      <w:r>
        <w:rPr>
          <w:szCs w:val="28"/>
          <w:highlight w:val="none"/>
          <w:shd w:val="clear" w:color="auto" w:fill="FFFFFF"/>
        </w:rPr>
        <w:t xml:space="preserve">. </w:t>
      </w:r>
      <w:r>
        <w:rPr>
          <w:szCs w:val="28"/>
          <w:highlight w:val="none"/>
        </w:rPr>
        <w:t>Обстеження виконувалося у положенні хворого на спині із правою рукою за головою. Проводили 10 повних вимірів, за результатами яких розраховували медіану, яка використовувалась як остаточний показник жорсткості печінки (нормою вважалися результати в діапазоні 1,5–3,5 кПа).</w:t>
      </w:r>
    </w:p>
    <w:p w14:paraId="01FEFED8">
      <w:pPr>
        <w:widowControl w:val="0"/>
        <w:rPr>
          <w:highlight w:val="none"/>
        </w:rPr>
      </w:pPr>
      <w:r>
        <w:rPr>
          <w:highlight w:val="none"/>
        </w:rPr>
        <w:t xml:space="preserve">Результати ARFI УЗД оцінені за шкалою </w:t>
      </w:r>
      <w:r>
        <w:rPr>
          <w:highlight w:val="none"/>
          <w:shd w:val="clear" w:color="auto" w:fill="FFFFFF"/>
        </w:rPr>
        <w:t xml:space="preserve">METAVIR, за допомогою якої й визначено стадійність ФП </w:t>
      </w:r>
      <w:r>
        <w:rPr>
          <w:highlight w:val="none"/>
        </w:rPr>
        <w:t>[2.6, 2.9]. Так, тяжкість фіброзного процесу було оцінено за чотирма стадіями:</w:t>
      </w:r>
    </w:p>
    <w:p w14:paraId="34C63690">
      <w:pPr>
        <w:widowControl w:val="0"/>
        <w:rPr>
          <w:highlight w:val="none"/>
        </w:rPr>
      </w:pPr>
      <w:r>
        <w:rPr>
          <w:highlight w:val="none"/>
        </w:rPr>
        <w:t>- F 0 (≤ 5,8 кПа) – ФП відсутній;</w:t>
      </w:r>
    </w:p>
    <w:p w14:paraId="6AF9BE91">
      <w:pPr>
        <w:widowControl w:val="0"/>
        <w:rPr>
          <w:highlight w:val="none"/>
        </w:rPr>
      </w:pPr>
      <w:r>
        <w:rPr>
          <w:highlight w:val="none"/>
        </w:rPr>
        <w:t>- F 1 (5,9–7,2 кПа) – портальний ФП без септ;</w:t>
      </w:r>
    </w:p>
    <w:p w14:paraId="632E49EF">
      <w:pPr>
        <w:widowControl w:val="0"/>
        <w:rPr>
          <w:highlight w:val="none"/>
        </w:rPr>
      </w:pPr>
      <w:r>
        <w:rPr>
          <w:highlight w:val="none"/>
        </w:rPr>
        <w:t>- F 2 (7,2–9,5 кПа) – портальний фіброз з поодинокими септами;</w:t>
      </w:r>
    </w:p>
    <w:p w14:paraId="0CBEF029">
      <w:pPr>
        <w:widowControl w:val="0"/>
        <w:rPr>
          <w:highlight w:val="none"/>
        </w:rPr>
      </w:pPr>
      <w:r>
        <w:rPr>
          <w:highlight w:val="none"/>
        </w:rPr>
        <w:t>- F 3 (9,5–12,5 кПа) – множинні септи без ЦП;</w:t>
      </w:r>
    </w:p>
    <w:p w14:paraId="4D339B80">
      <w:pPr>
        <w:widowControl w:val="0"/>
        <w:rPr>
          <w:szCs w:val="28"/>
          <w:highlight w:val="none"/>
        </w:rPr>
      </w:pPr>
      <w:r>
        <w:rPr>
          <w:highlight w:val="none"/>
        </w:rPr>
        <w:t>- F 4 (&gt;12,5 кПа) – наявність ЦП.</w:t>
      </w:r>
    </w:p>
    <w:p w14:paraId="534DEC3B">
      <w:pPr>
        <w:widowControl w:val="0"/>
        <w:rPr>
          <w:szCs w:val="28"/>
          <w:highlight w:val="none"/>
        </w:rPr>
      </w:pPr>
      <w:r>
        <w:rPr>
          <w:szCs w:val="28"/>
          <w:highlight w:val="none"/>
        </w:rPr>
        <w:t>Слід вказати, що виконання вищевказаних клініко-лабораторних і клініко-інструментальних досліджень хворих виконувалося двічі (при надходженні до клініки та при виписуванні зі стаціонару).</w:t>
      </w:r>
    </w:p>
    <w:p w14:paraId="74C85DC0">
      <w:pPr>
        <w:widowControl w:val="0"/>
        <w:rPr>
          <w:szCs w:val="28"/>
          <w:highlight w:val="none"/>
        </w:rPr>
      </w:pPr>
    </w:p>
    <w:p w14:paraId="1B49A0F6">
      <w:pPr>
        <w:pStyle w:val="3"/>
        <w:rPr>
          <w:highlight w:val="none"/>
        </w:rPr>
      </w:pPr>
      <w:bookmarkStart w:id="28" w:name="_Toc153923953"/>
      <w:r>
        <w:rPr>
          <w:highlight w:val="none"/>
        </w:rPr>
        <w:t>2.3.2 Медико-статистичні методи статистичної обробки результатів дослідження</w:t>
      </w:r>
      <w:bookmarkEnd w:id="28"/>
    </w:p>
    <w:p w14:paraId="26508BC9">
      <w:pPr>
        <w:widowControl w:val="0"/>
        <w:tabs>
          <w:tab w:val="left" w:pos="1134"/>
        </w:tabs>
        <w:rPr>
          <w:szCs w:val="28"/>
          <w:highlight w:val="none"/>
          <w:lang w:eastAsia="ru-RU"/>
        </w:rPr>
      </w:pPr>
    </w:p>
    <w:p w14:paraId="7E85EB14">
      <w:pPr>
        <w:widowControl w:val="0"/>
        <w:tabs>
          <w:tab w:val="left" w:pos="1134"/>
        </w:tabs>
        <w:rPr>
          <w:szCs w:val="28"/>
          <w:highlight w:val="none"/>
          <w:shd w:val="clear" w:color="auto" w:fill="FFFFFF"/>
        </w:rPr>
      </w:pPr>
      <w:r>
        <w:rPr>
          <w:szCs w:val="28"/>
          <w:highlight w:val="none"/>
          <w:lang w:eastAsia="ru-RU"/>
        </w:rPr>
        <w:t>Медико-статистичний аналіз отриманих при проведенні дослідженні результатів виконано н</w:t>
      </w:r>
      <w:r>
        <w:rPr>
          <w:szCs w:val="28"/>
          <w:highlight w:val="none"/>
        </w:rPr>
        <w:t xml:space="preserve">а персональному комп’ютері </w:t>
      </w:r>
      <w:r>
        <w:rPr>
          <w:szCs w:val="28"/>
          <w:highlight w:val="none"/>
          <w:shd w:val="clear" w:color="auto" w:fill="FFFFFF"/>
          <w:lang w:val="en-US"/>
        </w:rPr>
        <w:t>AMD</w:t>
      </w:r>
      <w:r>
        <w:rPr>
          <w:szCs w:val="28"/>
          <w:highlight w:val="none"/>
          <w:shd w:val="clear" w:color="auto" w:fill="FFFFFF"/>
        </w:rPr>
        <w:t>® </w:t>
      </w:r>
      <w:r>
        <w:rPr>
          <w:rStyle w:val="10"/>
          <w:bCs/>
          <w:szCs w:val="28"/>
          <w:highlight w:val="none"/>
          <w:shd w:val="clear" w:color="auto" w:fill="FFFFFF"/>
          <w:lang w:val="en-US"/>
        </w:rPr>
        <w:t>Ryzen</w:t>
      </w:r>
      <w:r>
        <w:rPr>
          <w:szCs w:val="28"/>
          <w:highlight w:val="none"/>
          <w:shd w:val="clear" w:color="auto" w:fill="FFFFFF"/>
        </w:rPr>
        <w:t>®</w:t>
      </w:r>
      <w:r>
        <w:rPr>
          <w:szCs w:val="28"/>
          <w:highlight w:val="none"/>
          <w:shd w:val="clear" w:color="auto" w:fill="FFFFFF"/>
          <w:lang w:val="en-US"/>
        </w:rPr>
        <w:t> </w:t>
      </w:r>
      <w:r>
        <w:rPr>
          <w:szCs w:val="28"/>
          <w:highlight w:val="none"/>
          <w:shd w:val="clear" w:color="auto" w:fill="FFFFFF"/>
        </w:rPr>
        <w:t>5 за допомогою пакету відповідних прикладних програм</w:t>
      </w:r>
      <w:r>
        <w:rPr>
          <w:szCs w:val="28"/>
          <w:highlight w:val="none"/>
        </w:rPr>
        <w:t>: Microsoft Excel</w:t>
      </w:r>
      <w:r>
        <w:rPr>
          <w:szCs w:val="28"/>
          <w:highlight w:val="none"/>
          <w:lang w:val="en-US"/>
        </w:rPr>
        <w:t> </w:t>
      </w:r>
      <w:r>
        <w:rPr>
          <w:szCs w:val="28"/>
          <w:highlight w:val="none"/>
        </w:rPr>
        <w:t>365, Statsoft Statistica 10.0 для Windows, IBM SPSS 25.0 для Windows.</w:t>
      </w:r>
    </w:p>
    <w:p w14:paraId="20F1606F">
      <w:pPr>
        <w:widowControl w:val="0"/>
        <w:tabs>
          <w:tab w:val="left" w:pos="1134"/>
        </w:tabs>
        <w:rPr>
          <w:szCs w:val="28"/>
          <w:highlight w:val="none"/>
          <w:lang w:eastAsia="ru-RU"/>
        </w:rPr>
      </w:pPr>
      <w:r>
        <w:rPr>
          <w:szCs w:val="28"/>
          <w:highlight w:val="none"/>
          <w:lang w:eastAsia="ru-RU"/>
        </w:rPr>
        <w:t>При проведенні розрахунків кількісні та якісні характеристики розподіляли візуально графічним методом і за допомогою критерію Колмогорова-Смірнова та Ліліфорса (Kolmogorov-Smirnov &amp; Lilliefors test for normality) й Шапіро-Уілка (Shapiro-Wilk’s test of normality). При оцінці було визначено значні відмінності від нормального характеру розподілу, тому в подальшому було використано непараметричні медико-статистичні методи.</w:t>
      </w:r>
    </w:p>
    <w:p w14:paraId="4E9E8067">
      <w:pPr>
        <w:widowControl w:val="0"/>
        <w:tabs>
          <w:tab w:val="left" w:pos="1134"/>
        </w:tabs>
        <w:rPr>
          <w:szCs w:val="28"/>
          <w:highlight w:val="none"/>
          <w:lang w:eastAsia="ru-RU"/>
        </w:rPr>
      </w:pPr>
      <w:r>
        <w:rPr>
          <w:highlight w:val="none"/>
          <w:lang w:eastAsia="ru-RU"/>
        </w:rPr>
        <w:t xml:space="preserve">При характеристиці центральної тенденції та варіабельності ознаки кількісних характеристик було визначено </w:t>
      </w:r>
      <w:r>
        <w:rPr>
          <w:bCs/>
          <w:highlight w:val="none"/>
        </w:rPr>
        <w:t>Me</w:t>
      </w:r>
      <w:r>
        <w:rPr>
          <w:highlight w:val="none"/>
        </w:rPr>
        <w:t xml:space="preserve"> та 25,0 % (LQ) і 75,0 % (UQ) квартилі. Отримані результати представляли у вигляді </w:t>
      </w:r>
      <w:r>
        <w:rPr>
          <w:bCs/>
          <w:highlight w:val="none"/>
        </w:rPr>
        <w:t>Me [Lq; Uq]</w:t>
      </w:r>
      <w:r>
        <w:rPr>
          <w:highlight w:val="none"/>
        </w:rPr>
        <w:t>.</w:t>
      </w:r>
    </w:p>
    <w:p w14:paraId="36E43C5B">
      <w:pPr>
        <w:widowControl w:val="0"/>
        <w:tabs>
          <w:tab w:val="left" w:pos="1134"/>
        </w:tabs>
        <w:rPr>
          <w:szCs w:val="28"/>
          <w:highlight w:val="none"/>
          <w:lang w:eastAsia="ru-RU"/>
        </w:rPr>
      </w:pPr>
      <w:r>
        <w:rPr>
          <w:szCs w:val="28"/>
          <w:highlight w:val="none"/>
          <w:lang w:eastAsia="ru-RU"/>
        </w:rPr>
        <w:t>Вірогідність відмінностей розрахованих кількісних характеристик двох взаємонезалежних груп проводили за допомогою U-тесту Мана-Уітні (Mann-Whitney U-test), а у взаємозалежних групах – рангового тесту зв’язаних пар Вілкоксона</w:t>
      </w:r>
      <w:r>
        <w:rPr>
          <w:szCs w:val="28"/>
          <w:highlight w:val="none"/>
        </w:rPr>
        <w:t xml:space="preserve"> (Wilcoxon matched-pairs signed-ranks T-test).</w:t>
      </w:r>
    </w:p>
    <w:p w14:paraId="03B2F11F">
      <w:pPr>
        <w:widowControl w:val="0"/>
        <w:tabs>
          <w:tab w:val="left" w:pos="1134"/>
        </w:tabs>
        <w:rPr>
          <w:szCs w:val="28"/>
          <w:highlight w:val="none"/>
          <w:lang w:eastAsia="ru-RU"/>
        </w:rPr>
      </w:pPr>
      <w:r>
        <w:rPr>
          <w:szCs w:val="28"/>
          <w:highlight w:val="none"/>
          <w:lang w:eastAsia="ru-RU"/>
        </w:rPr>
        <w:t>Якісні характеристики представляли у вигляді абсолютних та відносних (процентних) величин: абс., %. Порівняння груп за якісними характеристиками виконували за допомогою чотирипільних чи довільних таблиць та розрахунку точного критерію Фішера </w:t>
      </w:r>
      <w:r>
        <w:rPr>
          <w:szCs w:val="28"/>
          <w:highlight w:val="none"/>
        </w:rPr>
        <w:t>φ</w:t>
      </w:r>
      <w:r>
        <w:rPr>
          <w:szCs w:val="28"/>
          <w:highlight w:val="none"/>
          <w:lang w:eastAsia="ru-RU"/>
        </w:rPr>
        <w:t xml:space="preserve"> (Fisher’s exact test) за умови, що кількість спостережень хоча б в одній групі була меншою 5, та тесту χ</w:t>
      </w:r>
      <w:r>
        <w:rPr>
          <w:szCs w:val="28"/>
          <w:highlight w:val="none"/>
          <w:vertAlign w:val="superscript"/>
          <w:lang w:eastAsia="ru-RU"/>
        </w:rPr>
        <w:t>2</w:t>
      </w:r>
      <w:r>
        <w:rPr>
          <w:szCs w:val="28"/>
          <w:highlight w:val="none"/>
          <w:lang w:eastAsia="ru-RU"/>
        </w:rPr>
        <w:t> Пірсона (Pearson’s chi-squared test), якщо кількість спостережень в кожній з груп була більшою за 10.</w:t>
      </w:r>
    </w:p>
    <w:p w14:paraId="1F77E628">
      <w:pPr>
        <w:widowControl w:val="0"/>
        <w:tabs>
          <w:tab w:val="left" w:pos="1134"/>
        </w:tabs>
        <w:rPr>
          <w:szCs w:val="28"/>
          <w:highlight w:val="none"/>
          <w:lang w:eastAsia="ru-RU"/>
        </w:rPr>
      </w:pPr>
      <w:r>
        <w:rPr>
          <w:szCs w:val="28"/>
          <w:highlight w:val="none"/>
          <w:lang w:eastAsia="ru-RU"/>
        </w:rPr>
        <w:t>Асоціації отриманих характеристик із біноміальною залежною змінною визначали з використанням множинного логістичного регресійного аналізу із розрахунком коефіцієнтів β, стандартизованих коефіцієнтів β (відношення шансів (ВШ); Odds Ratio та їх 95,0 % довірчих інтервалів (ДІ); Confidence intervals). Для моделі розрахували рівняння множинної біноміальної регресії для визначення достовірності виникнення шуканої події у відсотках.</w:t>
      </w:r>
    </w:p>
    <w:p w14:paraId="0C4C7309">
      <w:pPr>
        <w:widowControl w:val="0"/>
        <w:tabs>
          <w:tab w:val="left" w:pos="1134"/>
        </w:tabs>
        <w:rPr>
          <w:szCs w:val="28"/>
          <w:highlight w:val="none"/>
          <w:lang w:eastAsia="ru-RU"/>
        </w:rPr>
      </w:pPr>
      <w:r>
        <w:rPr>
          <w:szCs w:val="28"/>
          <w:highlight w:val="none"/>
          <w:lang w:eastAsia="ru-RU"/>
        </w:rPr>
        <w:t>При проведенні регресійного аналізу застосовувалися загальновизнані та валідні методи одночасного входу (Enter), покрокового (Stepwise) включення (Forward) та виключення (Backward) змінних в математичну модель для отримання найбільш вірогідних та інформативних незалежних предикторів виникнення шуканої події. На початку до моделі одночасно було включено усі показники для оцінки їх впливу на залежну змінну та вибору найбільш значимих показників. Після цього, в кінцеву модель з-поміж попереднього переліку шуканих характеристик залучено лише ті змінні, які достовірно змінювали її кінцеве значення. Наприкінці із усього переліку отриманих показників із фінальної моделі покроково було вилучено ті змінні, які або зовсім не впливали на залежну змінну чи надавали незначного впливу. У випадку множинної біноміальної регресії використовувався метод найбільшої правдоподібності для покрокового включення та виключення змінних.</w:t>
      </w:r>
    </w:p>
    <w:p w14:paraId="6369959C">
      <w:pPr>
        <w:widowControl w:val="0"/>
        <w:tabs>
          <w:tab w:val="left" w:pos="1134"/>
        </w:tabs>
        <w:rPr>
          <w:szCs w:val="28"/>
          <w:highlight w:val="none"/>
          <w:lang w:eastAsia="ru-RU"/>
        </w:rPr>
      </w:pPr>
      <w:r>
        <w:rPr>
          <w:szCs w:val="28"/>
          <w:highlight w:val="none"/>
          <w:lang w:eastAsia="ru-RU"/>
        </w:rPr>
        <w:t>Для усіх розрахованих моделей додатково визначили рівні їх чутливості (Sensitivity; частка коректно ідентифікованих позитивних результатів, які були вірно визначені моделлю) та специфічності (Specificity; частка коректно ідентифікованих негативних результатів, які були вірно визначені моделлю). Чутливість визначали як відношення істинно позитивних відповідей до суми істинно позитивних та псевдонегативних відповідей. Специфічність – як відношення істинно негативних до суми істинно негативних і псевдопозитивних відповідей. Результат надавався у відсотках.</w:t>
      </w:r>
    </w:p>
    <w:p w14:paraId="18058296">
      <w:pPr>
        <w:widowControl w:val="0"/>
        <w:tabs>
          <w:tab w:val="left" w:pos="1134"/>
        </w:tabs>
        <w:rPr>
          <w:szCs w:val="28"/>
          <w:highlight w:val="none"/>
          <w:lang w:eastAsia="ru-RU"/>
        </w:rPr>
      </w:pPr>
      <w:r>
        <w:rPr>
          <w:szCs w:val="28"/>
          <w:highlight w:val="none"/>
          <w:lang w:eastAsia="ru-RU"/>
        </w:rPr>
        <w:t>Пороговою величиною достовірності було прийнято 0,05 (</w:t>
      </w:r>
      <w:r>
        <w:rPr>
          <w:i/>
          <w:szCs w:val="28"/>
          <w:highlight w:val="none"/>
          <w:lang w:eastAsia="ru-RU"/>
        </w:rPr>
        <w:t>р</w:t>
      </w:r>
      <w:r>
        <w:rPr>
          <w:szCs w:val="28"/>
          <w:highlight w:val="none"/>
          <w:lang w:eastAsia="ru-RU"/>
        </w:rPr>
        <w:t> = 0,05) із трьома знаками після коми. При проведенні множинних порівнянь для корекції рівня достовірності було застосовано поправку Бонфероні (Bonferroni correction).</w:t>
      </w:r>
    </w:p>
    <w:p w14:paraId="2414AF28">
      <w:pPr>
        <w:widowControl w:val="0"/>
        <w:tabs>
          <w:tab w:val="left" w:pos="1134"/>
        </w:tabs>
        <w:rPr>
          <w:szCs w:val="28"/>
          <w:highlight w:val="none"/>
          <w:lang w:eastAsia="ru-RU"/>
        </w:rPr>
      </w:pPr>
    </w:p>
    <w:p w14:paraId="726AAC05">
      <w:pPr>
        <w:pStyle w:val="3"/>
        <w:rPr>
          <w:highlight w:val="none"/>
          <w:lang w:eastAsia="ru-RU"/>
        </w:rPr>
      </w:pPr>
      <w:bookmarkStart w:id="29" w:name="_Toc153923954"/>
      <w:r>
        <w:rPr>
          <w:highlight w:val="none"/>
          <w:lang w:eastAsia="ru-RU"/>
        </w:rPr>
        <w:t>Висновки до розділу 2</w:t>
      </w:r>
      <w:bookmarkEnd w:id="29"/>
    </w:p>
    <w:p w14:paraId="07207472">
      <w:pPr>
        <w:widowControl w:val="0"/>
        <w:tabs>
          <w:tab w:val="left" w:pos="1134"/>
        </w:tabs>
        <w:rPr>
          <w:szCs w:val="28"/>
          <w:highlight w:val="none"/>
        </w:rPr>
      </w:pPr>
    </w:p>
    <w:p w14:paraId="5D3C0D24">
      <w:pPr>
        <w:rPr>
          <w:szCs w:val="28"/>
          <w:highlight w:val="none"/>
        </w:rPr>
      </w:pPr>
      <w:r>
        <w:rPr>
          <w:szCs w:val="28"/>
          <w:highlight w:val="none"/>
        </w:rPr>
        <w:t>За результатами матеріалів та методів проведеного дослідження було констатовано:</w:t>
      </w:r>
    </w:p>
    <w:p w14:paraId="4503E91C">
      <w:pPr>
        <w:widowControl w:val="0"/>
        <w:rPr>
          <w:szCs w:val="28"/>
          <w:highlight w:val="none"/>
        </w:rPr>
      </w:pPr>
      <w:r>
        <w:rPr>
          <w:szCs w:val="28"/>
          <w:highlight w:val="none"/>
        </w:rPr>
        <w:t xml:space="preserve">1. Сформований дизайн дослідження дав змогу провести сучасний і якісний комплексний аналіз із формулюванням доцільних і вдалих висновків із визначених питань наукової роботи щодо встановлення </w:t>
      </w:r>
      <w:r>
        <w:rPr>
          <w:szCs w:val="32"/>
          <w:highlight w:val="none"/>
        </w:rPr>
        <w:t xml:space="preserve">діагностичної та прогностичної значимості вмісту ОП </w:t>
      </w:r>
      <w:r>
        <w:rPr>
          <w:szCs w:val="28"/>
          <w:highlight w:val="none"/>
        </w:rPr>
        <w:t>у хворих із ХГС і ФП з метою напрацювання відповідних прогностичних алгоритмів діагностики розвитку фіброзного процесу при ХГС</w:t>
      </w:r>
      <w:r>
        <w:rPr>
          <w:szCs w:val="28"/>
          <w:highlight w:val="none"/>
          <w:shd w:val="clear" w:color="auto" w:fill="FFFFFF"/>
        </w:rPr>
        <w:t>.</w:t>
      </w:r>
    </w:p>
    <w:p w14:paraId="1FC848AF">
      <w:pPr>
        <w:rPr>
          <w:szCs w:val="28"/>
          <w:highlight w:val="none"/>
        </w:rPr>
      </w:pPr>
      <w:r>
        <w:rPr>
          <w:szCs w:val="28"/>
          <w:highlight w:val="none"/>
        </w:rPr>
        <w:t xml:space="preserve">2. Усі використані у дослідження методи клініко-анамнестичного та клініко-лабораторного й клініко-інструментального </w:t>
      </w:r>
      <w:r>
        <w:rPr>
          <w:bCs/>
          <w:szCs w:val="28"/>
          <w:highlight w:val="none"/>
          <w:lang w:eastAsia="ru-RU"/>
        </w:rPr>
        <w:t xml:space="preserve">обстеження хворих із ФП і ХГС </w:t>
      </w:r>
      <w:r>
        <w:rPr>
          <w:szCs w:val="28"/>
          <w:highlight w:val="none"/>
        </w:rPr>
        <w:t>й проведення відповідного медико-статистичного аналізу отриманих результатів цілковито співставні із поставленою метою та завданнями дослідження, добре зарекомендували себе у світовій практиці при проведенні подібних досліджень і мають гарні параметричні якості, високу валідність і специфічність. Загальна організація та дизайн наукової роботи повністю співвіднесені із поставленою метою та відповідають поставленим завданням.</w:t>
      </w:r>
    </w:p>
    <w:p w14:paraId="2A4484B9">
      <w:pPr>
        <w:rPr>
          <w:szCs w:val="28"/>
          <w:highlight w:val="none"/>
        </w:rPr>
      </w:pPr>
      <w:r>
        <w:rPr>
          <w:szCs w:val="28"/>
          <w:highlight w:val="none"/>
        </w:rPr>
        <w:t>3. Сформована нами дослідницька вибірка хворих із ФП і ХГС цілковито</w:t>
      </w:r>
      <w:r>
        <w:rPr>
          <w:szCs w:val="28"/>
          <w:highlight w:val="none"/>
          <w:shd w:val="clear" w:color="auto" w:fill="FFFFFF"/>
        </w:rPr>
        <w:t xml:space="preserve"> </w:t>
      </w:r>
      <w:r>
        <w:rPr>
          <w:szCs w:val="28"/>
          <w:highlight w:val="none"/>
        </w:rPr>
        <w:t xml:space="preserve">співставна з основною метою та завданнями дослідження і включає в себе 47 хворих на ХГС із ФП </w:t>
      </w:r>
      <w:r>
        <w:rPr>
          <w:szCs w:val="28"/>
          <w:highlight w:val="none"/>
          <w:lang w:eastAsia="ru-RU"/>
        </w:rPr>
        <w:t xml:space="preserve">основної групи </w:t>
      </w:r>
      <w:r>
        <w:rPr>
          <w:szCs w:val="28"/>
          <w:highlight w:val="none"/>
        </w:rPr>
        <w:t>та 31 особу в контрольній групі. Сформовані дослідницькі групи цілковито паритетні за більшістю вивчаємих характеристик, що визначає отримані результати дослідження цілковито репрезентативними та спроможними характеризувати генеральну сукупність.</w:t>
      </w:r>
    </w:p>
    <w:p w14:paraId="533B3C8A">
      <w:pPr>
        <w:rPr>
          <w:szCs w:val="28"/>
          <w:highlight w:val="none"/>
        </w:rPr>
      </w:pPr>
      <w:r>
        <w:rPr>
          <w:szCs w:val="28"/>
          <w:highlight w:val="none"/>
        </w:rPr>
        <w:t>4. Застосування сучасних валідних і надійних методів дослідження, цілковито репрезентативна вибірка та доцільне і коректне використання методів медико-статистичної обробки та аналізу дозволили отримати вірогідні і обґрунтовані результати дослідження та сформулювати адекватні та інформативні висновки.</w:t>
      </w:r>
    </w:p>
    <w:p w14:paraId="61C33ECB">
      <w:pPr>
        <w:rPr>
          <w:rFonts w:cs="Times New Roman"/>
          <w:szCs w:val="28"/>
          <w:highlight w:val="none"/>
          <w:lang w:eastAsia="ru-RU"/>
        </w:rPr>
      </w:pPr>
    </w:p>
    <w:p w14:paraId="4C576C32">
      <w:pPr>
        <w:spacing w:line="259" w:lineRule="auto"/>
        <w:ind w:firstLine="0"/>
        <w:jc w:val="left"/>
        <w:rPr>
          <w:rFonts w:cs="Times New Roman"/>
          <w:szCs w:val="28"/>
          <w:highlight w:val="none"/>
        </w:rPr>
      </w:pPr>
      <w:r>
        <w:rPr>
          <w:rFonts w:cs="Times New Roman"/>
          <w:szCs w:val="28"/>
          <w:highlight w:val="none"/>
        </w:rPr>
        <w:br w:type="page"/>
      </w:r>
    </w:p>
    <w:p w14:paraId="452CA07D">
      <w:pPr>
        <w:pStyle w:val="2"/>
        <w:rPr>
          <w:rFonts w:cs="Times New Roman"/>
          <w:szCs w:val="28"/>
          <w:highlight w:val="none"/>
          <w:lang w:val="uk-UA"/>
        </w:rPr>
      </w:pPr>
      <w:bookmarkStart w:id="30" w:name="_Toc153923955"/>
      <w:r>
        <w:rPr>
          <w:rFonts w:cs="Times New Roman"/>
          <w:szCs w:val="28"/>
          <w:highlight w:val="none"/>
          <w:lang w:val="uk-UA"/>
        </w:rPr>
        <w:t>РОЗДІЛ 3</w:t>
      </w:r>
      <w:r>
        <w:rPr>
          <w:rFonts w:cs="Times New Roman"/>
          <w:szCs w:val="28"/>
          <w:highlight w:val="none"/>
          <w:lang w:val="uk-UA"/>
        </w:rPr>
        <w:br w:type="textWrapping"/>
      </w:r>
      <w:r>
        <w:rPr>
          <w:rFonts w:cs="Times New Roman"/>
          <w:szCs w:val="28"/>
          <w:highlight w:val="none"/>
          <w:lang w:val="uk-UA"/>
        </w:rPr>
        <w:t>ВЛАСНІ ДОСЛІДЖЕННЯ</w:t>
      </w:r>
      <w:bookmarkEnd w:id="30"/>
    </w:p>
    <w:p w14:paraId="55BE72BF">
      <w:pPr>
        <w:rPr>
          <w:szCs w:val="28"/>
          <w:highlight w:val="none"/>
        </w:rPr>
      </w:pPr>
    </w:p>
    <w:p w14:paraId="745CD3F1">
      <w:pPr>
        <w:rPr>
          <w:szCs w:val="28"/>
          <w:highlight w:val="none"/>
        </w:rPr>
      </w:pPr>
      <w:r>
        <w:rPr>
          <w:szCs w:val="28"/>
          <w:highlight w:val="none"/>
        </w:rPr>
        <w:t>В даному розділі надано характеристику маркерів, клінічних та лабораторних показників. Визначені основні тенденції до їх змін у пацієнтів з наявним хронічним вірусним гепатитом С у порівнянні з пацієнтами групи контролю. Також отримано дані щодо відмінностей зазначених показників відносно ступеню морфологічних змін печінки (стадії фіброзного процесу). Отримані результати дозволяють сформувати картину клініко-лабораторних відмінностей у пацієнтів з хронічним вірусним гепатитом С, поєднаним з фіброзом печінки.</w:t>
      </w:r>
    </w:p>
    <w:p w14:paraId="59C08929">
      <w:pPr>
        <w:rPr>
          <w:szCs w:val="28"/>
          <w:highlight w:val="none"/>
        </w:rPr>
      </w:pPr>
    </w:p>
    <w:p w14:paraId="38A9F15A">
      <w:pPr>
        <w:pStyle w:val="3"/>
        <w:rPr>
          <w:szCs w:val="28"/>
          <w:highlight w:val="none"/>
        </w:rPr>
      </w:pPr>
      <w:bookmarkStart w:id="31" w:name="_Toc153923956"/>
      <w:r>
        <w:rPr>
          <w:szCs w:val="28"/>
          <w:highlight w:val="none"/>
        </w:rPr>
        <w:t>3.1 Показники обстежених пацієнтів за основними групами дослідження</w:t>
      </w:r>
      <w:bookmarkEnd w:id="31"/>
    </w:p>
    <w:p w14:paraId="38A09221">
      <w:pPr>
        <w:rPr>
          <w:szCs w:val="28"/>
          <w:highlight w:val="none"/>
        </w:rPr>
      </w:pPr>
    </w:p>
    <w:p w14:paraId="6A2899F2">
      <w:pPr>
        <w:rPr>
          <w:szCs w:val="28"/>
          <w:highlight w:val="none"/>
        </w:rPr>
      </w:pPr>
      <w:r>
        <w:rPr>
          <w:rStyle w:val="108"/>
          <w:color w:val="000000"/>
          <w:szCs w:val="28"/>
          <w:highlight w:val="none"/>
        </w:rPr>
        <w:t>У клінічній картині хронічного г</w:t>
      </w:r>
      <w:r>
        <w:rPr>
          <w:color w:val="000000"/>
          <w:szCs w:val="28"/>
          <w:highlight w:val="none"/>
        </w:rPr>
        <w:t xml:space="preserve">епатиту С переважали такі прояви астено-вегетативного синдрому, як загальна слабкість (76,6 %), зниження працездатності (74,5 %) та емоційна лабільність (76,6 %). </w:t>
      </w:r>
      <w:r>
        <w:rPr>
          <w:szCs w:val="28"/>
          <w:highlight w:val="none"/>
        </w:rPr>
        <w:t>При цьому, менше ніж в 10 випадків даної групи спостерігалися головний біль, пітливість, коливання АТ та запаморочення: відповідно 6,38 %, 10,64 %, 17,02 % та 8,51 % (табл. 3.2).</w:t>
      </w:r>
    </w:p>
    <w:p w14:paraId="559C7756">
      <w:pPr>
        <w:ind w:firstLine="567"/>
        <w:rPr>
          <w:szCs w:val="28"/>
          <w:highlight w:val="none"/>
        </w:rPr>
      </w:pPr>
      <w:r>
        <w:rPr>
          <w:szCs w:val="28"/>
          <w:highlight w:val="none"/>
        </w:rPr>
        <w:t xml:space="preserve">Стосовно проявів диспептичного синдрому найчастіше спостерігалися зниження апетиту, важкість у правому підребер’ї та нестійкість випорожнень: відповідно 63,83 %, 68,09 % та 74,47 %. При цьому сухість та гіркота в роті реєструвалися в 19,15 % та 10,64 % випадків. Нудота, блювання та відрижка спостерігалися в незначній кількості: відповідно 17,02 %, 12,66 % та 21,28 %. Важкість в епігастрії відмічали в третині випадків: 29,79 %. В 14,89 %, 36,17 % та 19,15 % було визначено відразу до запахів, непереносимість жирної їжі та метеоризм серед пацієнтів даної групи. </w:t>
      </w:r>
    </w:p>
    <w:p w14:paraId="7FC75B7E">
      <w:pPr>
        <w:widowControl w:val="0"/>
        <w:rPr>
          <w:i/>
          <w:iCs/>
          <w:szCs w:val="28"/>
          <w:highlight w:val="none"/>
        </w:rPr>
      </w:pPr>
    </w:p>
    <w:p w14:paraId="67FEE10F">
      <w:pPr>
        <w:jc w:val="right"/>
        <w:rPr>
          <w:i/>
          <w:iCs/>
          <w:szCs w:val="28"/>
          <w:highlight w:val="none"/>
        </w:rPr>
      </w:pPr>
      <w:bookmarkStart w:id="32" w:name="_Hlk154338356"/>
      <w:r>
        <w:rPr>
          <w:i/>
          <w:iCs/>
          <w:szCs w:val="28"/>
          <w:highlight w:val="none"/>
        </w:rPr>
        <w:t>Таблиця 3.2</w:t>
      </w:r>
    </w:p>
    <w:p w14:paraId="3F1A2F2C">
      <w:pPr>
        <w:rPr>
          <w:b/>
          <w:bCs/>
          <w:szCs w:val="28"/>
          <w:highlight w:val="none"/>
        </w:rPr>
      </w:pPr>
      <w:r>
        <w:rPr>
          <w:b/>
          <w:bCs/>
          <w:szCs w:val="28"/>
          <w:highlight w:val="none"/>
        </w:rPr>
        <w:t>Характеристика клінічних симптомів обстежених пацієнтів основної групи, абс., %</w:t>
      </w:r>
    </w:p>
    <w:bookmarkEnd w:id="32"/>
    <w:tbl>
      <w:tblPr>
        <w:tblStyle w:val="8"/>
        <w:tblW w:w="9351"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21"/>
        <w:gridCol w:w="2667"/>
        <w:gridCol w:w="2663"/>
      </w:tblGrid>
      <w:tr w14:paraId="0B8A6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Merge w:val="restart"/>
            <w:vAlign w:val="center"/>
          </w:tcPr>
          <w:p w14:paraId="35A90AA4">
            <w:pPr>
              <w:ind w:firstLine="0"/>
              <w:jc w:val="left"/>
              <w:rPr>
                <w:b/>
                <w:bCs/>
                <w:highlight w:val="none"/>
              </w:rPr>
            </w:pPr>
            <w:bookmarkStart w:id="33" w:name="_Hlk154338497"/>
            <w:r>
              <w:rPr>
                <w:rStyle w:val="104"/>
                <w:b/>
                <w:bCs/>
                <w:szCs w:val="28"/>
                <w:highlight w:val="none"/>
              </w:rPr>
              <w:t>Симптоми</w:t>
            </w:r>
          </w:p>
        </w:tc>
        <w:tc>
          <w:tcPr>
            <w:tcW w:w="5330" w:type="dxa"/>
            <w:gridSpan w:val="2"/>
            <w:vAlign w:val="center"/>
          </w:tcPr>
          <w:p w14:paraId="4C841E03">
            <w:pPr>
              <w:ind w:firstLine="0"/>
              <w:jc w:val="center"/>
              <w:rPr>
                <w:b/>
                <w:bCs/>
                <w:highlight w:val="none"/>
              </w:rPr>
            </w:pPr>
            <w:r>
              <w:rPr>
                <w:b/>
                <w:bCs/>
                <w:highlight w:val="none"/>
              </w:rPr>
              <w:t>Основна група (n=47)</w:t>
            </w:r>
          </w:p>
        </w:tc>
      </w:tr>
      <w:tr w14:paraId="61CEB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Merge w:val="continue"/>
            <w:vAlign w:val="center"/>
          </w:tcPr>
          <w:p w14:paraId="2011F61F">
            <w:pPr>
              <w:ind w:firstLine="0"/>
              <w:jc w:val="left"/>
              <w:rPr>
                <w:rStyle w:val="104"/>
                <w:b/>
                <w:bCs/>
                <w:highlight w:val="none"/>
              </w:rPr>
            </w:pPr>
          </w:p>
        </w:tc>
        <w:tc>
          <w:tcPr>
            <w:tcW w:w="2667" w:type="dxa"/>
            <w:vAlign w:val="center"/>
          </w:tcPr>
          <w:p w14:paraId="1DB05DBE">
            <w:pPr>
              <w:ind w:firstLine="0"/>
              <w:jc w:val="center"/>
              <w:rPr>
                <w:b/>
                <w:bCs/>
                <w:highlight w:val="none"/>
              </w:rPr>
            </w:pPr>
            <w:r>
              <w:rPr>
                <w:b/>
                <w:bCs/>
                <w:highlight w:val="none"/>
              </w:rPr>
              <w:t>абс.</w:t>
            </w:r>
          </w:p>
        </w:tc>
        <w:tc>
          <w:tcPr>
            <w:tcW w:w="2663" w:type="dxa"/>
            <w:vAlign w:val="center"/>
          </w:tcPr>
          <w:p w14:paraId="7920BA49">
            <w:pPr>
              <w:ind w:firstLine="0"/>
              <w:jc w:val="center"/>
              <w:rPr>
                <w:b/>
                <w:bCs/>
                <w:highlight w:val="none"/>
              </w:rPr>
            </w:pPr>
            <w:r>
              <w:rPr>
                <w:b/>
                <w:bCs/>
                <w:highlight w:val="none"/>
              </w:rPr>
              <w:t> %</w:t>
            </w:r>
          </w:p>
        </w:tc>
      </w:tr>
      <w:bookmarkEnd w:id="33"/>
      <w:tr w14:paraId="2DF0B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351" w:type="dxa"/>
            <w:gridSpan w:val="3"/>
            <w:vAlign w:val="center"/>
          </w:tcPr>
          <w:p w14:paraId="69B725C5">
            <w:pPr>
              <w:ind w:firstLine="0"/>
              <w:jc w:val="center"/>
              <w:rPr>
                <w:b/>
                <w:bCs/>
                <w:highlight w:val="none"/>
              </w:rPr>
            </w:pPr>
            <w:r>
              <w:rPr>
                <w:b/>
                <w:bCs/>
                <w:highlight w:val="none"/>
              </w:rPr>
              <w:t>Астено-вегетативний синдром</w:t>
            </w:r>
          </w:p>
        </w:tc>
      </w:tr>
      <w:tr w14:paraId="7D5AA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4165B08B">
            <w:pPr>
              <w:ind w:firstLine="0"/>
              <w:jc w:val="left"/>
              <w:rPr>
                <w:highlight w:val="none"/>
              </w:rPr>
            </w:pPr>
            <w:r>
              <w:rPr>
                <w:highlight w:val="none"/>
              </w:rPr>
              <w:t>Загальна слабкість</w:t>
            </w:r>
          </w:p>
        </w:tc>
        <w:tc>
          <w:tcPr>
            <w:tcW w:w="2667" w:type="dxa"/>
            <w:vAlign w:val="bottom"/>
          </w:tcPr>
          <w:p w14:paraId="2AC3AAD0">
            <w:pPr>
              <w:ind w:firstLine="0"/>
              <w:jc w:val="center"/>
              <w:rPr>
                <w:highlight w:val="none"/>
              </w:rPr>
            </w:pPr>
            <w:r>
              <w:rPr>
                <w:highlight w:val="none"/>
              </w:rPr>
              <w:t>36</w:t>
            </w:r>
          </w:p>
        </w:tc>
        <w:tc>
          <w:tcPr>
            <w:tcW w:w="2663" w:type="dxa"/>
            <w:vAlign w:val="bottom"/>
          </w:tcPr>
          <w:p w14:paraId="793C303D">
            <w:pPr>
              <w:ind w:firstLine="0"/>
              <w:jc w:val="center"/>
              <w:rPr>
                <w:highlight w:val="none"/>
              </w:rPr>
            </w:pPr>
            <w:r>
              <w:rPr>
                <w:highlight w:val="none"/>
              </w:rPr>
              <w:t>76,6</w:t>
            </w:r>
          </w:p>
        </w:tc>
      </w:tr>
      <w:tr w14:paraId="6CD76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tcBorders>
              <w:top w:val="single" w:color="auto" w:sz="4" w:space="0"/>
              <w:left w:val="single" w:color="auto" w:sz="4" w:space="0"/>
              <w:bottom w:val="single" w:color="auto" w:sz="4" w:space="0"/>
              <w:right w:val="single" w:color="auto" w:sz="4" w:space="0"/>
            </w:tcBorders>
            <w:vAlign w:val="center"/>
          </w:tcPr>
          <w:p w14:paraId="37C25351">
            <w:pPr>
              <w:ind w:firstLine="0"/>
              <w:jc w:val="left"/>
              <w:rPr>
                <w:highlight w:val="none"/>
              </w:rPr>
            </w:pPr>
            <w:r>
              <w:rPr>
                <w:highlight w:val="none"/>
              </w:rPr>
              <w:t>Зниження працездатності</w:t>
            </w:r>
          </w:p>
        </w:tc>
        <w:tc>
          <w:tcPr>
            <w:tcW w:w="2667" w:type="dxa"/>
            <w:tcBorders>
              <w:top w:val="single" w:color="auto" w:sz="4" w:space="0"/>
              <w:left w:val="single" w:color="auto" w:sz="4" w:space="0"/>
              <w:bottom w:val="single" w:color="auto" w:sz="4" w:space="0"/>
              <w:right w:val="single" w:color="auto" w:sz="4" w:space="0"/>
            </w:tcBorders>
            <w:vAlign w:val="bottom"/>
          </w:tcPr>
          <w:p w14:paraId="24E39D9C">
            <w:pPr>
              <w:ind w:firstLine="0"/>
              <w:jc w:val="center"/>
              <w:rPr>
                <w:highlight w:val="none"/>
              </w:rPr>
            </w:pPr>
            <w:r>
              <w:rPr>
                <w:highlight w:val="none"/>
              </w:rPr>
              <w:t>35</w:t>
            </w:r>
          </w:p>
        </w:tc>
        <w:tc>
          <w:tcPr>
            <w:tcW w:w="2663" w:type="dxa"/>
            <w:tcBorders>
              <w:top w:val="single" w:color="auto" w:sz="4" w:space="0"/>
              <w:left w:val="single" w:color="auto" w:sz="4" w:space="0"/>
              <w:bottom w:val="single" w:color="auto" w:sz="4" w:space="0"/>
              <w:right w:val="single" w:color="auto" w:sz="4" w:space="0"/>
            </w:tcBorders>
            <w:vAlign w:val="bottom"/>
          </w:tcPr>
          <w:p w14:paraId="576A4DF8">
            <w:pPr>
              <w:ind w:firstLine="0"/>
              <w:jc w:val="center"/>
              <w:rPr>
                <w:highlight w:val="none"/>
              </w:rPr>
            </w:pPr>
            <w:r>
              <w:rPr>
                <w:highlight w:val="none"/>
              </w:rPr>
              <w:t>74,47</w:t>
            </w:r>
          </w:p>
        </w:tc>
      </w:tr>
      <w:tr w14:paraId="74094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tcBorders>
              <w:top w:val="single" w:color="auto" w:sz="4" w:space="0"/>
              <w:left w:val="single" w:color="auto" w:sz="4" w:space="0"/>
              <w:bottom w:val="single" w:color="auto" w:sz="4" w:space="0"/>
              <w:right w:val="single" w:color="auto" w:sz="4" w:space="0"/>
            </w:tcBorders>
            <w:vAlign w:val="center"/>
          </w:tcPr>
          <w:p w14:paraId="6E63E64C">
            <w:pPr>
              <w:ind w:firstLine="0"/>
              <w:jc w:val="left"/>
              <w:rPr>
                <w:highlight w:val="none"/>
              </w:rPr>
            </w:pPr>
            <w:r>
              <w:rPr>
                <w:highlight w:val="none"/>
              </w:rPr>
              <w:t>Порушення сну</w:t>
            </w:r>
          </w:p>
        </w:tc>
        <w:tc>
          <w:tcPr>
            <w:tcW w:w="2667" w:type="dxa"/>
            <w:tcBorders>
              <w:top w:val="single" w:color="auto" w:sz="4" w:space="0"/>
              <w:left w:val="single" w:color="auto" w:sz="4" w:space="0"/>
              <w:bottom w:val="single" w:color="auto" w:sz="4" w:space="0"/>
              <w:right w:val="single" w:color="auto" w:sz="4" w:space="0"/>
            </w:tcBorders>
            <w:vAlign w:val="bottom"/>
          </w:tcPr>
          <w:p w14:paraId="6A22CCDB">
            <w:pPr>
              <w:ind w:firstLine="0"/>
              <w:jc w:val="center"/>
              <w:rPr>
                <w:highlight w:val="none"/>
              </w:rPr>
            </w:pPr>
            <w:r>
              <w:rPr>
                <w:highlight w:val="none"/>
              </w:rPr>
              <w:t>13</w:t>
            </w:r>
          </w:p>
        </w:tc>
        <w:tc>
          <w:tcPr>
            <w:tcW w:w="2663" w:type="dxa"/>
            <w:tcBorders>
              <w:top w:val="single" w:color="auto" w:sz="4" w:space="0"/>
              <w:left w:val="single" w:color="auto" w:sz="4" w:space="0"/>
              <w:bottom w:val="single" w:color="auto" w:sz="4" w:space="0"/>
              <w:right w:val="single" w:color="auto" w:sz="4" w:space="0"/>
            </w:tcBorders>
            <w:vAlign w:val="bottom"/>
          </w:tcPr>
          <w:p w14:paraId="3E0802F0">
            <w:pPr>
              <w:ind w:firstLine="0"/>
              <w:jc w:val="center"/>
              <w:rPr>
                <w:highlight w:val="none"/>
              </w:rPr>
            </w:pPr>
            <w:r>
              <w:rPr>
                <w:highlight w:val="none"/>
              </w:rPr>
              <w:t>27,66</w:t>
            </w:r>
          </w:p>
        </w:tc>
      </w:tr>
      <w:tr w14:paraId="714BA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tcBorders>
              <w:top w:val="single" w:color="auto" w:sz="4" w:space="0"/>
              <w:left w:val="single" w:color="auto" w:sz="4" w:space="0"/>
              <w:bottom w:val="single" w:color="auto" w:sz="4" w:space="0"/>
              <w:right w:val="single" w:color="auto" w:sz="4" w:space="0"/>
            </w:tcBorders>
            <w:vAlign w:val="center"/>
          </w:tcPr>
          <w:p w14:paraId="7EDFA8B7">
            <w:pPr>
              <w:ind w:firstLine="0"/>
              <w:jc w:val="left"/>
              <w:rPr>
                <w:highlight w:val="none"/>
              </w:rPr>
            </w:pPr>
            <w:r>
              <w:rPr>
                <w:highlight w:val="none"/>
              </w:rPr>
              <w:t>Емоційна лабільність</w:t>
            </w:r>
          </w:p>
        </w:tc>
        <w:tc>
          <w:tcPr>
            <w:tcW w:w="2667" w:type="dxa"/>
            <w:tcBorders>
              <w:top w:val="single" w:color="auto" w:sz="4" w:space="0"/>
              <w:left w:val="single" w:color="auto" w:sz="4" w:space="0"/>
              <w:bottom w:val="single" w:color="auto" w:sz="4" w:space="0"/>
              <w:right w:val="single" w:color="auto" w:sz="4" w:space="0"/>
            </w:tcBorders>
            <w:vAlign w:val="bottom"/>
          </w:tcPr>
          <w:p w14:paraId="353A6CB1">
            <w:pPr>
              <w:ind w:firstLine="0"/>
              <w:jc w:val="center"/>
              <w:rPr>
                <w:highlight w:val="none"/>
              </w:rPr>
            </w:pPr>
            <w:r>
              <w:rPr>
                <w:highlight w:val="none"/>
              </w:rPr>
              <w:t>36</w:t>
            </w:r>
          </w:p>
        </w:tc>
        <w:tc>
          <w:tcPr>
            <w:tcW w:w="2663" w:type="dxa"/>
            <w:tcBorders>
              <w:top w:val="single" w:color="auto" w:sz="4" w:space="0"/>
              <w:left w:val="single" w:color="auto" w:sz="4" w:space="0"/>
              <w:bottom w:val="single" w:color="auto" w:sz="4" w:space="0"/>
              <w:right w:val="single" w:color="auto" w:sz="4" w:space="0"/>
            </w:tcBorders>
            <w:vAlign w:val="bottom"/>
          </w:tcPr>
          <w:p w14:paraId="51808CBA">
            <w:pPr>
              <w:ind w:firstLine="0"/>
              <w:jc w:val="center"/>
              <w:rPr>
                <w:highlight w:val="none"/>
              </w:rPr>
            </w:pPr>
            <w:r>
              <w:rPr>
                <w:highlight w:val="none"/>
              </w:rPr>
              <w:t>76,6</w:t>
            </w:r>
          </w:p>
        </w:tc>
      </w:tr>
      <w:tr w14:paraId="482CE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tcBorders>
              <w:top w:val="single" w:color="auto" w:sz="4" w:space="0"/>
              <w:left w:val="single" w:color="auto" w:sz="4" w:space="0"/>
              <w:bottom w:val="single" w:color="auto" w:sz="4" w:space="0"/>
              <w:right w:val="single" w:color="auto" w:sz="4" w:space="0"/>
            </w:tcBorders>
            <w:vAlign w:val="center"/>
          </w:tcPr>
          <w:p w14:paraId="2441351A">
            <w:pPr>
              <w:ind w:firstLine="0"/>
              <w:jc w:val="left"/>
              <w:rPr>
                <w:highlight w:val="none"/>
              </w:rPr>
            </w:pPr>
            <w:r>
              <w:rPr>
                <w:highlight w:val="none"/>
              </w:rPr>
              <w:t>Головний біль</w:t>
            </w:r>
          </w:p>
        </w:tc>
        <w:tc>
          <w:tcPr>
            <w:tcW w:w="2667" w:type="dxa"/>
            <w:tcBorders>
              <w:top w:val="single" w:color="auto" w:sz="4" w:space="0"/>
              <w:left w:val="single" w:color="auto" w:sz="4" w:space="0"/>
              <w:bottom w:val="single" w:color="auto" w:sz="4" w:space="0"/>
              <w:right w:val="single" w:color="auto" w:sz="4" w:space="0"/>
            </w:tcBorders>
            <w:vAlign w:val="bottom"/>
          </w:tcPr>
          <w:p w14:paraId="36C1A83F">
            <w:pPr>
              <w:ind w:firstLine="0"/>
              <w:jc w:val="center"/>
              <w:rPr>
                <w:highlight w:val="none"/>
              </w:rPr>
            </w:pPr>
            <w:r>
              <w:rPr>
                <w:highlight w:val="none"/>
              </w:rPr>
              <w:t>3</w:t>
            </w:r>
          </w:p>
        </w:tc>
        <w:tc>
          <w:tcPr>
            <w:tcW w:w="2663" w:type="dxa"/>
            <w:tcBorders>
              <w:top w:val="single" w:color="auto" w:sz="4" w:space="0"/>
              <w:left w:val="single" w:color="auto" w:sz="4" w:space="0"/>
              <w:bottom w:val="single" w:color="auto" w:sz="4" w:space="0"/>
              <w:right w:val="single" w:color="auto" w:sz="4" w:space="0"/>
            </w:tcBorders>
            <w:vAlign w:val="bottom"/>
          </w:tcPr>
          <w:p w14:paraId="2607DABE">
            <w:pPr>
              <w:ind w:firstLine="0"/>
              <w:jc w:val="center"/>
              <w:rPr>
                <w:highlight w:val="none"/>
              </w:rPr>
            </w:pPr>
            <w:r>
              <w:rPr>
                <w:highlight w:val="none"/>
              </w:rPr>
              <w:t>6,38</w:t>
            </w:r>
          </w:p>
        </w:tc>
      </w:tr>
      <w:tr w14:paraId="1E343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tcBorders>
              <w:top w:val="single" w:color="auto" w:sz="4" w:space="0"/>
              <w:left w:val="single" w:color="auto" w:sz="4" w:space="0"/>
              <w:bottom w:val="single" w:color="auto" w:sz="4" w:space="0"/>
              <w:right w:val="single" w:color="auto" w:sz="4" w:space="0"/>
            </w:tcBorders>
            <w:vAlign w:val="center"/>
          </w:tcPr>
          <w:p w14:paraId="056393CD">
            <w:pPr>
              <w:ind w:firstLine="0"/>
              <w:jc w:val="left"/>
              <w:rPr>
                <w:highlight w:val="none"/>
              </w:rPr>
            </w:pPr>
            <w:r>
              <w:rPr>
                <w:highlight w:val="none"/>
              </w:rPr>
              <w:t>Пітливість</w:t>
            </w:r>
          </w:p>
        </w:tc>
        <w:tc>
          <w:tcPr>
            <w:tcW w:w="2667" w:type="dxa"/>
            <w:tcBorders>
              <w:top w:val="single" w:color="auto" w:sz="4" w:space="0"/>
              <w:left w:val="single" w:color="auto" w:sz="4" w:space="0"/>
              <w:bottom w:val="single" w:color="auto" w:sz="4" w:space="0"/>
              <w:right w:val="single" w:color="auto" w:sz="4" w:space="0"/>
            </w:tcBorders>
            <w:vAlign w:val="bottom"/>
          </w:tcPr>
          <w:p w14:paraId="54951AA3">
            <w:pPr>
              <w:ind w:firstLine="0"/>
              <w:jc w:val="center"/>
              <w:rPr>
                <w:highlight w:val="none"/>
              </w:rPr>
            </w:pPr>
            <w:r>
              <w:rPr>
                <w:highlight w:val="none"/>
              </w:rPr>
              <w:t>5</w:t>
            </w:r>
          </w:p>
        </w:tc>
        <w:tc>
          <w:tcPr>
            <w:tcW w:w="2663" w:type="dxa"/>
            <w:tcBorders>
              <w:top w:val="single" w:color="auto" w:sz="4" w:space="0"/>
              <w:left w:val="single" w:color="auto" w:sz="4" w:space="0"/>
              <w:bottom w:val="single" w:color="auto" w:sz="4" w:space="0"/>
              <w:right w:val="single" w:color="auto" w:sz="4" w:space="0"/>
            </w:tcBorders>
            <w:vAlign w:val="bottom"/>
          </w:tcPr>
          <w:p w14:paraId="0AE73DD5">
            <w:pPr>
              <w:ind w:firstLine="0"/>
              <w:jc w:val="center"/>
              <w:rPr>
                <w:highlight w:val="none"/>
              </w:rPr>
            </w:pPr>
            <w:r>
              <w:rPr>
                <w:highlight w:val="none"/>
              </w:rPr>
              <w:t>10,64</w:t>
            </w:r>
          </w:p>
        </w:tc>
      </w:tr>
      <w:tr w14:paraId="0F30A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tcBorders>
              <w:top w:val="single" w:color="auto" w:sz="4" w:space="0"/>
              <w:left w:val="single" w:color="auto" w:sz="4" w:space="0"/>
              <w:bottom w:val="single" w:color="auto" w:sz="4" w:space="0"/>
              <w:right w:val="single" w:color="auto" w:sz="4" w:space="0"/>
            </w:tcBorders>
            <w:vAlign w:val="center"/>
          </w:tcPr>
          <w:p w14:paraId="68B457D1">
            <w:pPr>
              <w:ind w:firstLine="0"/>
              <w:jc w:val="left"/>
              <w:rPr>
                <w:highlight w:val="none"/>
              </w:rPr>
            </w:pPr>
            <w:r>
              <w:rPr>
                <w:highlight w:val="none"/>
              </w:rPr>
              <w:t>Коливання АТ</w:t>
            </w:r>
          </w:p>
        </w:tc>
        <w:tc>
          <w:tcPr>
            <w:tcW w:w="2667" w:type="dxa"/>
            <w:tcBorders>
              <w:top w:val="single" w:color="auto" w:sz="4" w:space="0"/>
              <w:left w:val="single" w:color="auto" w:sz="4" w:space="0"/>
              <w:bottom w:val="single" w:color="auto" w:sz="4" w:space="0"/>
              <w:right w:val="single" w:color="auto" w:sz="4" w:space="0"/>
            </w:tcBorders>
            <w:vAlign w:val="bottom"/>
          </w:tcPr>
          <w:p w14:paraId="273491F4">
            <w:pPr>
              <w:ind w:firstLine="0"/>
              <w:jc w:val="center"/>
              <w:rPr>
                <w:highlight w:val="none"/>
              </w:rPr>
            </w:pPr>
            <w:r>
              <w:rPr>
                <w:highlight w:val="none"/>
              </w:rPr>
              <w:t>8</w:t>
            </w:r>
          </w:p>
        </w:tc>
        <w:tc>
          <w:tcPr>
            <w:tcW w:w="2663" w:type="dxa"/>
            <w:tcBorders>
              <w:top w:val="single" w:color="auto" w:sz="4" w:space="0"/>
              <w:left w:val="single" w:color="auto" w:sz="4" w:space="0"/>
              <w:bottom w:val="single" w:color="auto" w:sz="4" w:space="0"/>
              <w:right w:val="single" w:color="auto" w:sz="4" w:space="0"/>
            </w:tcBorders>
            <w:vAlign w:val="bottom"/>
          </w:tcPr>
          <w:p w14:paraId="331C9424">
            <w:pPr>
              <w:ind w:firstLine="0"/>
              <w:jc w:val="center"/>
              <w:rPr>
                <w:highlight w:val="none"/>
              </w:rPr>
            </w:pPr>
            <w:r>
              <w:rPr>
                <w:highlight w:val="none"/>
              </w:rPr>
              <w:t>17,02</w:t>
            </w:r>
          </w:p>
        </w:tc>
      </w:tr>
      <w:tr w14:paraId="1339E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tcBorders>
              <w:top w:val="single" w:color="auto" w:sz="4" w:space="0"/>
              <w:left w:val="single" w:color="auto" w:sz="4" w:space="0"/>
              <w:bottom w:val="single" w:color="auto" w:sz="4" w:space="0"/>
              <w:right w:val="single" w:color="auto" w:sz="4" w:space="0"/>
            </w:tcBorders>
            <w:vAlign w:val="center"/>
          </w:tcPr>
          <w:p w14:paraId="4203BBEB">
            <w:pPr>
              <w:ind w:firstLine="0"/>
              <w:jc w:val="left"/>
              <w:rPr>
                <w:highlight w:val="none"/>
              </w:rPr>
            </w:pPr>
            <w:r>
              <w:rPr>
                <w:highlight w:val="none"/>
              </w:rPr>
              <w:t>Запаморочення</w:t>
            </w:r>
          </w:p>
        </w:tc>
        <w:tc>
          <w:tcPr>
            <w:tcW w:w="2667" w:type="dxa"/>
            <w:tcBorders>
              <w:top w:val="single" w:color="auto" w:sz="4" w:space="0"/>
              <w:left w:val="single" w:color="auto" w:sz="4" w:space="0"/>
              <w:bottom w:val="single" w:color="auto" w:sz="4" w:space="0"/>
              <w:right w:val="single" w:color="auto" w:sz="4" w:space="0"/>
            </w:tcBorders>
            <w:vAlign w:val="bottom"/>
          </w:tcPr>
          <w:p w14:paraId="7DBDB07A">
            <w:pPr>
              <w:ind w:firstLine="0"/>
              <w:jc w:val="center"/>
              <w:rPr>
                <w:highlight w:val="none"/>
              </w:rPr>
            </w:pPr>
            <w:r>
              <w:rPr>
                <w:highlight w:val="none"/>
              </w:rPr>
              <w:t>4</w:t>
            </w:r>
          </w:p>
        </w:tc>
        <w:tc>
          <w:tcPr>
            <w:tcW w:w="2663" w:type="dxa"/>
            <w:tcBorders>
              <w:top w:val="single" w:color="auto" w:sz="4" w:space="0"/>
              <w:left w:val="single" w:color="auto" w:sz="4" w:space="0"/>
              <w:bottom w:val="single" w:color="auto" w:sz="4" w:space="0"/>
              <w:right w:val="single" w:color="auto" w:sz="4" w:space="0"/>
            </w:tcBorders>
            <w:vAlign w:val="bottom"/>
          </w:tcPr>
          <w:p w14:paraId="02A24C8D">
            <w:pPr>
              <w:ind w:firstLine="0"/>
              <w:jc w:val="center"/>
              <w:rPr>
                <w:highlight w:val="none"/>
              </w:rPr>
            </w:pPr>
            <w:r>
              <w:rPr>
                <w:highlight w:val="none"/>
              </w:rPr>
              <w:t>8,51</w:t>
            </w:r>
          </w:p>
        </w:tc>
      </w:tr>
      <w:tr w14:paraId="37136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351" w:type="dxa"/>
            <w:gridSpan w:val="3"/>
            <w:vAlign w:val="center"/>
          </w:tcPr>
          <w:p w14:paraId="3538322F">
            <w:pPr>
              <w:ind w:firstLine="0"/>
              <w:jc w:val="center"/>
              <w:rPr>
                <w:b/>
                <w:bCs/>
                <w:highlight w:val="none"/>
              </w:rPr>
            </w:pPr>
            <w:r>
              <w:rPr>
                <w:b/>
                <w:bCs/>
                <w:highlight w:val="none"/>
              </w:rPr>
              <w:t>Диспепсичний синдром</w:t>
            </w:r>
          </w:p>
        </w:tc>
      </w:tr>
      <w:tr w14:paraId="69DBA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5EC0B465">
            <w:pPr>
              <w:ind w:firstLine="0"/>
              <w:jc w:val="left"/>
              <w:rPr>
                <w:highlight w:val="none"/>
              </w:rPr>
            </w:pPr>
            <w:r>
              <w:rPr>
                <w:highlight w:val="none"/>
              </w:rPr>
              <w:t>Зниження апетиту</w:t>
            </w:r>
          </w:p>
        </w:tc>
        <w:tc>
          <w:tcPr>
            <w:tcW w:w="2667" w:type="dxa"/>
          </w:tcPr>
          <w:p w14:paraId="42312DEE">
            <w:pPr>
              <w:ind w:firstLine="0"/>
              <w:jc w:val="center"/>
              <w:rPr>
                <w:highlight w:val="none"/>
              </w:rPr>
            </w:pPr>
            <w:r>
              <w:rPr>
                <w:highlight w:val="none"/>
              </w:rPr>
              <w:t>30</w:t>
            </w:r>
          </w:p>
        </w:tc>
        <w:tc>
          <w:tcPr>
            <w:tcW w:w="2663" w:type="dxa"/>
          </w:tcPr>
          <w:p w14:paraId="52564D23">
            <w:pPr>
              <w:ind w:firstLine="0"/>
              <w:jc w:val="center"/>
              <w:rPr>
                <w:highlight w:val="none"/>
              </w:rPr>
            </w:pPr>
            <w:r>
              <w:rPr>
                <w:highlight w:val="none"/>
              </w:rPr>
              <w:t>63,83</w:t>
            </w:r>
          </w:p>
        </w:tc>
      </w:tr>
      <w:tr w14:paraId="70125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24AFAF15">
            <w:pPr>
              <w:ind w:firstLine="0"/>
              <w:jc w:val="left"/>
              <w:rPr>
                <w:highlight w:val="none"/>
              </w:rPr>
            </w:pPr>
            <w:r>
              <w:rPr>
                <w:highlight w:val="none"/>
              </w:rPr>
              <w:t>Сухість в роті</w:t>
            </w:r>
          </w:p>
        </w:tc>
        <w:tc>
          <w:tcPr>
            <w:tcW w:w="2667" w:type="dxa"/>
          </w:tcPr>
          <w:p w14:paraId="31E22520">
            <w:pPr>
              <w:ind w:firstLine="0"/>
              <w:jc w:val="center"/>
              <w:rPr>
                <w:highlight w:val="none"/>
              </w:rPr>
            </w:pPr>
            <w:r>
              <w:rPr>
                <w:highlight w:val="none"/>
              </w:rPr>
              <w:t>9</w:t>
            </w:r>
          </w:p>
        </w:tc>
        <w:tc>
          <w:tcPr>
            <w:tcW w:w="2663" w:type="dxa"/>
          </w:tcPr>
          <w:p w14:paraId="64066DE8">
            <w:pPr>
              <w:ind w:firstLine="0"/>
              <w:jc w:val="center"/>
              <w:rPr>
                <w:highlight w:val="none"/>
              </w:rPr>
            </w:pPr>
            <w:r>
              <w:rPr>
                <w:highlight w:val="none"/>
              </w:rPr>
              <w:t>19,15</w:t>
            </w:r>
          </w:p>
        </w:tc>
      </w:tr>
      <w:tr w14:paraId="2EAD0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6CADD1B6">
            <w:pPr>
              <w:ind w:firstLine="0"/>
              <w:jc w:val="left"/>
              <w:rPr>
                <w:highlight w:val="none"/>
              </w:rPr>
            </w:pPr>
            <w:r>
              <w:rPr>
                <w:highlight w:val="none"/>
              </w:rPr>
              <w:t>Гіркота в роті</w:t>
            </w:r>
          </w:p>
        </w:tc>
        <w:tc>
          <w:tcPr>
            <w:tcW w:w="2667" w:type="dxa"/>
          </w:tcPr>
          <w:p w14:paraId="6BF210C7">
            <w:pPr>
              <w:ind w:firstLine="0"/>
              <w:jc w:val="center"/>
              <w:rPr>
                <w:highlight w:val="none"/>
              </w:rPr>
            </w:pPr>
            <w:r>
              <w:rPr>
                <w:highlight w:val="none"/>
              </w:rPr>
              <w:t>5</w:t>
            </w:r>
          </w:p>
        </w:tc>
        <w:tc>
          <w:tcPr>
            <w:tcW w:w="2663" w:type="dxa"/>
          </w:tcPr>
          <w:p w14:paraId="5DCD9149">
            <w:pPr>
              <w:ind w:firstLine="0"/>
              <w:jc w:val="center"/>
              <w:rPr>
                <w:highlight w:val="none"/>
              </w:rPr>
            </w:pPr>
            <w:r>
              <w:rPr>
                <w:highlight w:val="none"/>
              </w:rPr>
              <w:t>10,64</w:t>
            </w:r>
          </w:p>
        </w:tc>
      </w:tr>
      <w:tr w14:paraId="1B467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2628FA0D">
            <w:pPr>
              <w:ind w:firstLine="0"/>
              <w:jc w:val="left"/>
              <w:rPr>
                <w:highlight w:val="none"/>
              </w:rPr>
            </w:pPr>
            <w:r>
              <w:rPr>
                <w:highlight w:val="none"/>
              </w:rPr>
              <w:t>Нудота</w:t>
            </w:r>
          </w:p>
        </w:tc>
        <w:tc>
          <w:tcPr>
            <w:tcW w:w="2667" w:type="dxa"/>
          </w:tcPr>
          <w:p w14:paraId="2FC71EDE">
            <w:pPr>
              <w:ind w:firstLine="0"/>
              <w:jc w:val="center"/>
              <w:rPr>
                <w:highlight w:val="none"/>
              </w:rPr>
            </w:pPr>
            <w:r>
              <w:rPr>
                <w:highlight w:val="none"/>
              </w:rPr>
              <w:t>8</w:t>
            </w:r>
          </w:p>
        </w:tc>
        <w:tc>
          <w:tcPr>
            <w:tcW w:w="2663" w:type="dxa"/>
          </w:tcPr>
          <w:p w14:paraId="69A6F639">
            <w:pPr>
              <w:ind w:firstLine="0"/>
              <w:jc w:val="center"/>
              <w:rPr>
                <w:highlight w:val="none"/>
              </w:rPr>
            </w:pPr>
            <w:r>
              <w:rPr>
                <w:highlight w:val="none"/>
              </w:rPr>
              <w:t>17,02</w:t>
            </w:r>
          </w:p>
        </w:tc>
      </w:tr>
      <w:tr w14:paraId="02A27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4097B521">
            <w:pPr>
              <w:ind w:firstLine="0"/>
              <w:jc w:val="left"/>
              <w:rPr>
                <w:highlight w:val="none"/>
              </w:rPr>
            </w:pPr>
            <w:r>
              <w:rPr>
                <w:highlight w:val="none"/>
              </w:rPr>
              <w:t>Блювання</w:t>
            </w:r>
          </w:p>
        </w:tc>
        <w:tc>
          <w:tcPr>
            <w:tcW w:w="2667" w:type="dxa"/>
          </w:tcPr>
          <w:p w14:paraId="6EE9D43E">
            <w:pPr>
              <w:ind w:firstLine="0"/>
              <w:jc w:val="center"/>
              <w:rPr>
                <w:highlight w:val="none"/>
              </w:rPr>
            </w:pPr>
            <w:r>
              <w:rPr>
                <w:highlight w:val="none"/>
              </w:rPr>
              <w:t>6</w:t>
            </w:r>
          </w:p>
        </w:tc>
        <w:tc>
          <w:tcPr>
            <w:tcW w:w="2663" w:type="dxa"/>
          </w:tcPr>
          <w:p w14:paraId="429BD9E6">
            <w:pPr>
              <w:ind w:firstLine="0"/>
              <w:jc w:val="center"/>
              <w:rPr>
                <w:highlight w:val="none"/>
              </w:rPr>
            </w:pPr>
            <w:r>
              <w:rPr>
                <w:highlight w:val="none"/>
              </w:rPr>
              <w:t>12,77</w:t>
            </w:r>
          </w:p>
        </w:tc>
      </w:tr>
      <w:tr w14:paraId="44832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6D0CF49C">
            <w:pPr>
              <w:ind w:firstLine="0"/>
              <w:jc w:val="left"/>
              <w:rPr>
                <w:highlight w:val="none"/>
              </w:rPr>
            </w:pPr>
            <w:r>
              <w:rPr>
                <w:highlight w:val="none"/>
              </w:rPr>
              <w:t>Відрижка</w:t>
            </w:r>
          </w:p>
        </w:tc>
        <w:tc>
          <w:tcPr>
            <w:tcW w:w="2667" w:type="dxa"/>
          </w:tcPr>
          <w:p w14:paraId="5F9D80C5">
            <w:pPr>
              <w:ind w:firstLine="0"/>
              <w:jc w:val="center"/>
              <w:rPr>
                <w:highlight w:val="none"/>
              </w:rPr>
            </w:pPr>
            <w:r>
              <w:rPr>
                <w:highlight w:val="none"/>
              </w:rPr>
              <w:t>10</w:t>
            </w:r>
          </w:p>
        </w:tc>
        <w:tc>
          <w:tcPr>
            <w:tcW w:w="2663" w:type="dxa"/>
          </w:tcPr>
          <w:p w14:paraId="3EB97302">
            <w:pPr>
              <w:ind w:firstLine="0"/>
              <w:jc w:val="center"/>
              <w:rPr>
                <w:highlight w:val="none"/>
              </w:rPr>
            </w:pPr>
            <w:r>
              <w:rPr>
                <w:highlight w:val="none"/>
              </w:rPr>
              <w:t>21,28</w:t>
            </w:r>
          </w:p>
        </w:tc>
      </w:tr>
      <w:tr w14:paraId="31F0D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4AF1F206">
            <w:pPr>
              <w:ind w:firstLine="0"/>
              <w:jc w:val="left"/>
              <w:rPr>
                <w:highlight w:val="none"/>
              </w:rPr>
            </w:pPr>
            <w:r>
              <w:rPr>
                <w:highlight w:val="none"/>
              </w:rPr>
              <w:t>Важкість в епігастрії</w:t>
            </w:r>
          </w:p>
        </w:tc>
        <w:tc>
          <w:tcPr>
            <w:tcW w:w="2667" w:type="dxa"/>
          </w:tcPr>
          <w:p w14:paraId="40005BC8">
            <w:pPr>
              <w:ind w:firstLine="0"/>
              <w:jc w:val="center"/>
              <w:rPr>
                <w:highlight w:val="none"/>
              </w:rPr>
            </w:pPr>
            <w:r>
              <w:rPr>
                <w:highlight w:val="none"/>
              </w:rPr>
              <w:t>14</w:t>
            </w:r>
          </w:p>
        </w:tc>
        <w:tc>
          <w:tcPr>
            <w:tcW w:w="2663" w:type="dxa"/>
          </w:tcPr>
          <w:p w14:paraId="1F23417A">
            <w:pPr>
              <w:ind w:firstLine="0"/>
              <w:jc w:val="center"/>
              <w:rPr>
                <w:highlight w:val="none"/>
              </w:rPr>
            </w:pPr>
            <w:r>
              <w:rPr>
                <w:highlight w:val="none"/>
              </w:rPr>
              <w:t>29,79</w:t>
            </w:r>
          </w:p>
        </w:tc>
      </w:tr>
      <w:tr w14:paraId="6F55D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574995E0">
            <w:pPr>
              <w:ind w:firstLine="0"/>
              <w:jc w:val="left"/>
              <w:rPr>
                <w:highlight w:val="none"/>
              </w:rPr>
            </w:pPr>
            <w:r>
              <w:rPr>
                <w:highlight w:val="none"/>
              </w:rPr>
              <w:t>Важкість у правому підребер'ї</w:t>
            </w:r>
          </w:p>
        </w:tc>
        <w:tc>
          <w:tcPr>
            <w:tcW w:w="2667" w:type="dxa"/>
          </w:tcPr>
          <w:p w14:paraId="381D7915">
            <w:pPr>
              <w:ind w:firstLine="0"/>
              <w:jc w:val="center"/>
              <w:rPr>
                <w:highlight w:val="none"/>
              </w:rPr>
            </w:pPr>
            <w:r>
              <w:rPr>
                <w:highlight w:val="none"/>
              </w:rPr>
              <w:t>32</w:t>
            </w:r>
          </w:p>
        </w:tc>
        <w:tc>
          <w:tcPr>
            <w:tcW w:w="2663" w:type="dxa"/>
          </w:tcPr>
          <w:p w14:paraId="0879B661">
            <w:pPr>
              <w:ind w:firstLine="0"/>
              <w:jc w:val="center"/>
              <w:rPr>
                <w:highlight w:val="none"/>
              </w:rPr>
            </w:pPr>
            <w:r>
              <w:rPr>
                <w:highlight w:val="none"/>
              </w:rPr>
              <w:t>68,09</w:t>
            </w:r>
          </w:p>
        </w:tc>
      </w:tr>
      <w:tr w14:paraId="2A2DE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3FAC177F">
            <w:pPr>
              <w:ind w:firstLine="0"/>
              <w:jc w:val="left"/>
              <w:rPr>
                <w:highlight w:val="none"/>
              </w:rPr>
            </w:pPr>
            <w:r>
              <w:rPr>
                <w:highlight w:val="none"/>
              </w:rPr>
              <w:t>Нестійкі випорожнення</w:t>
            </w:r>
          </w:p>
        </w:tc>
        <w:tc>
          <w:tcPr>
            <w:tcW w:w="2667" w:type="dxa"/>
          </w:tcPr>
          <w:p w14:paraId="3B3F9795">
            <w:pPr>
              <w:ind w:firstLine="0"/>
              <w:jc w:val="center"/>
              <w:rPr>
                <w:highlight w:val="none"/>
              </w:rPr>
            </w:pPr>
            <w:r>
              <w:rPr>
                <w:highlight w:val="none"/>
              </w:rPr>
              <w:t>35</w:t>
            </w:r>
          </w:p>
        </w:tc>
        <w:tc>
          <w:tcPr>
            <w:tcW w:w="2663" w:type="dxa"/>
          </w:tcPr>
          <w:p w14:paraId="730B6F4D">
            <w:pPr>
              <w:ind w:firstLine="0"/>
              <w:jc w:val="center"/>
              <w:rPr>
                <w:highlight w:val="none"/>
              </w:rPr>
            </w:pPr>
            <w:r>
              <w:rPr>
                <w:highlight w:val="none"/>
              </w:rPr>
              <w:t>74,47</w:t>
            </w:r>
          </w:p>
        </w:tc>
      </w:tr>
      <w:tr w14:paraId="68BD3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7414BD5D">
            <w:pPr>
              <w:ind w:firstLine="0"/>
              <w:jc w:val="left"/>
              <w:rPr>
                <w:highlight w:val="none"/>
              </w:rPr>
            </w:pPr>
            <w:r>
              <w:rPr>
                <w:highlight w:val="none"/>
              </w:rPr>
              <w:t>Відраза до запахів</w:t>
            </w:r>
          </w:p>
        </w:tc>
        <w:tc>
          <w:tcPr>
            <w:tcW w:w="2667" w:type="dxa"/>
          </w:tcPr>
          <w:p w14:paraId="1CDC7A5C">
            <w:pPr>
              <w:ind w:firstLine="0"/>
              <w:jc w:val="center"/>
              <w:rPr>
                <w:highlight w:val="none"/>
              </w:rPr>
            </w:pPr>
            <w:r>
              <w:rPr>
                <w:highlight w:val="none"/>
              </w:rPr>
              <w:t>7</w:t>
            </w:r>
          </w:p>
        </w:tc>
        <w:tc>
          <w:tcPr>
            <w:tcW w:w="2663" w:type="dxa"/>
          </w:tcPr>
          <w:p w14:paraId="2719DA3B">
            <w:pPr>
              <w:ind w:firstLine="0"/>
              <w:jc w:val="center"/>
              <w:rPr>
                <w:highlight w:val="none"/>
              </w:rPr>
            </w:pPr>
            <w:r>
              <w:rPr>
                <w:highlight w:val="none"/>
              </w:rPr>
              <w:t>14,89</w:t>
            </w:r>
          </w:p>
        </w:tc>
      </w:tr>
      <w:tr w14:paraId="19D61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5FFBF178">
            <w:pPr>
              <w:ind w:firstLine="0"/>
              <w:jc w:val="left"/>
              <w:rPr>
                <w:highlight w:val="none"/>
              </w:rPr>
            </w:pPr>
            <w:r>
              <w:rPr>
                <w:highlight w:val="none"/>
              </w:rPr>
              <w:t>Непереносимість жирної їжі</w:t>
            </w:r>
          </w:p>
        </w:tc>
        <w:tc>
          <w:tcPr>
            <w:tcW w:w="2667" w:type="dxa"/>
          </w:tcPr>
          <w:p w14:paraId="1FAA5176">
            <w:pPr>
              <w:ind w:firstLine="0"/>
              <w:jc w:val="center"/>
              <w:rPr>
                <w:highlight w:val="none"/>
              </w:rPr>
            </w:pPr>
            <w:r>
              <w:rPr>
                <w:highlight w:val="none"/>
              </w:rPr>
              <w:t>17</w:t>
            </w:r>
          </w:p>
        </w:tc>
        <w:tc>
          <w:tcPr>
            <w:tcW w:w="2663" w:type="dxa"/>
          </w:tcPr>
          <w:p w14:paraId="3003883A">
            <w:pPr>
              <w:ind w:firstLine="0"/>
              <w:jc w:val="center"/>
              <w:rPr>
                <w:highlight w:val="none"/>
              </w:rPr>
            </w:pPr>
            <w:r>
              <w:rPr>
                <w:highlight w:val="none"/>
              </w:rPr>
              <w:t>36,17</w:t>
            </w:r>
          </w:p>
        </w:tc>
      </w:tr>
      <w:tr w14:paraId="4275D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44C97D77">
            <w:pPr>
              <w:ind w:firstLine="0"/>
              <w:jc w:val="left"/>
              <w:rPr>
                <w:highlight w:val="none"/>
              </w:rPr>
            </w:pPr>
            <w:r>
              <w:rPr>
                <w:highlight w:val="none"/>
              </w:rPr>
              <w:t>Метеоризм</w:t>
            </w:r>
          </w:p>
        </w:tc>
        <w:tc>
          <w:tcPr>
            <w:tcW w:w="2667" w:type="dxa"/>
          </w:tcPr>
          <w:p w14:paraId="0F3B875E">
            <w:pPr>
              <w:ind w:firstLine="0"/>
              <w:jc w:val="center"/>
              <w:rPr>
                <w:highlight w:val="none"/>
              </w:rPr>
            </w:pPr>
            <w:r>
              <w:rPr>
                <w:highlight w:val="none"/>
              </w:rPr>
              <w:t>9</w:t>
            </w:r>
          </w:p>
        </w:tc>
        <w:tc>
          <w:tcPr>
            <w:tcW w:w="2663" w:type="dxa"/>
          </w:tcPr>
          <w:p w14:paraId="7BDF521A">
            <w:pPr>
              <w:ind w:firstLine="0"/>
              <w:jc w:val="center"/>
              <w:rPr>
                <w:highlight w:val="none"/>
              </w:rPr>
            </w:pPr>
            <w:r>
              <w:rPr>
                <w:highlight w:val="none"/>
              </w:rPr>
              <w:t>19,15</w:t>
            </w:r>
          </w:p>
        </w:tc>
      </w:tr>
      <w:tr w14:paraId="60088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351" w:type="dxa"/>
            <w:gridSpan w:val="3"/>
            <w:vAlign w:val="center"/>
          </w:tcPr>
          <w:p w14:paraId="1CAF12EF">
            <w:pPr>
              <w:ind w:firstLine="0"/>
              <w:jc w:val="center"/>
              <w:rPr>
                <w:b/>
                <w:bCs/>
                <w:highlight w:val="none"/>
              </w:rPr>
            </w:pPr>
            <w:r>
              <w:rPr>
                <w:b/>
                <w:bCs/>
                <w:highlight w:val="none"/>
              </w:rPr>
              <w:t>Шкірно-жовтяничний синдром</w:t>
            </w:r>
          </w:p>
        </w:tc>
      </w:tr>
      <w:tr w14:paraId="0FD95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666422A7">
            <w:pPr>
              <w:ind w:firstLine="0"/>
              <w:jc w:val="left"/>
              <w:rPr>
                <w:highlight w:val="none"/>
              </w:rPr>
            </w:pPr>
            <w:r>
              <w:rPr>
                <w:highlight w:val="none"/>
              </w:rPr>
              <w:t>Жовтяниця склер</w:t>
            </w:r>
          </w:p>
        </w:tc>
        <w:tc>
          <w:tcPr>
            <w:tcW w:w="2667" w:type="dxa"/>
          </w:tcPr>
          <w:p w14:paraId="0E478D61">
            <w:pPr>
              <w:ind w:firstLine="0"/>
              <w:jc w:val="center"/>
              <w:rPr>
                <w:highlight w:val="none"/>
              </w:rPr>
            </w:pPr>
            <w:r>
              <w:rPr>
                <w:highlight w:val="none"/>
              </w:rPr>
              <w:t>10</w:t>
            </w:r>
          </w:p>
        </w:tc>
        <w:tc>
          <w:tcPr>
            <w:tcW w:w="2663" w:type="dxa"/>
          </w:tcPr>
          <w:p w14:paraId="75FAE101">
            <w:pPr>
              <w:ind w:firstLine="0"/>
              <w:jc w:val="center"/>
              <w:rPr>
                <w:highlight w:val="none"/>
              </w:rPr>
            </w:pPr>
            <w:r>
              <w:rPr>
                <w:highlight w:val="none"/>
              </w:rPr>
              <w:t>21,28</w:t>
            </w:r>
          </w:p>
        </w:tc>
      </w:tr>
    </w:tbl>
    <w:p w14:paraId="095BBA3B">
      <w:pPr>
        <w:ind w:firstLine="0"/>
        <w:jc w:val="right"/>
        <w:rPr>
          <w:i/>
          <w:iCs/>
          <w:highlight w:val="none"/>
        </w:rPr>
      </w:pPr>
      <w:r>
        <w:rPr>
          <w:i/>
          <w:iCs/>
          <w:highlight w:val="none"/>
        </w:rPr>
        <w:t>Продовження таблиці 3.2</w:t>
      </w:r>
    </w:p>
    <w:tbl>
      <w:tblPr>
        <w:tblStyle w:val="8"/>
        <w:tblW w:w="9351"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21"/>
        <w:gridCol w:w="2556"/>
        <w:gridCol w:w="111"/>
        <w:gridCol w:w="2663"/>
      </w:tblGrid>
      <w:tr w14:paraId="2DA0D281">
        <w:tblPrEx>
          <w:tblCellMar>
            <w:top w:w="0" w:type="dxa"/>
            <w:left w:w="108" w:type="dxa"/>
            <w:bottom w:w="0" w:type="dxa"/>
            <w:right w:w="108" w:type="dxa"/>
          </w:tblCellMar>
        </w:tblPrEx>
        <w:trPr>
          <w:trHeight w:val="20" w:hRule="atLeast"/>
        </w:trPr>
        <w:tc>
          <w:tcPr>
            <w:tcW w:w="4021" w:type="dxa"/>
            <w:vMerge w:val="restart"/>
            <w:vAlign w:val="center"/>
          </w:tcPr>
          <w:p w14:paraId="7B4E5712">
            <w:pPr>
              <w:ind w:firstLine="0"/>
              <w:jc w:val="left"/>
              <w:rPr>
                <w:b/>
                <w:bCs/>
                <w:highlight w:val="none"/>
              </w:rPr>
            </w:pPr>
            <w:r>
              <w:rPr>
                <w:rStyle w:val="104"/>
                <w:b/>
                <w:bCs/>
                <w:szCs w:val="28"/>
                <w:highlight w:val="none"/>
              </w:rPr>
              <w:t>Симптоми</w:t>
            </w:r>
          </w:p>
        </w:tc>
        <w:tc>
          <w:tcPr>
            <w:tcW w:w="5330" w:type="dxa"/>
            <w:gridSpan w:val="3"/>
            <w:vAlign w:val="center"/>
          </w:tcPr>
          <w:p w14:paraId="34207023">
            <w:pPr>
              <w:ind w:firstLine="0"/>
              <w:jc w:val="center"/>
              <w:rPr>
                <w:b/>
                <w:bCs/>
                <w:highlight w:val="none"/>
              </w:rPr>
            </w:pPr>
            <w:r>
              <w:rPr>
                <w:b/>
                <w:bCs/>
                <w:highlight w:val="none"/>
              </w:rPr>
              <w:t>Основна група (n=47)</w:t>
            </w:r>
          </w:p>
        </w:tc>
      </w:tr>
      <w:tr w14:paraId="25BEC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Merge w:val="continue"/>
            <w:vAlign w:val="center"/>
          </w:tcPr>
          <w:p w14:paraId="34E2A82F">
            <w:pPr>
              <w:ind w:firstLine="0"/>
              <w:jc w:val="left"/>
              <w:rPr>
                <w:rStyle w:val="104"/>
                <w:b/>
                <w:bCs/>
                <w:highlight w:val="none"/>
              </w:rPr>
            </w:pPr>
          </w:p>
        </w:tc>
        <w:tc>
          <w:tcPr>
            <w:tcW w:w="2667" w:type="dxa"/>
            <w:gridSpan w:val="2"/>
            <w:vAlign w:val="center"/>
          </w:tcPr>
          <w:p w14:paraId="5689AE38">
            <w:pPr>
              <w:ind w:firstLine="0"/>
              <w:jc w:val="center"/>
              <w:rPr>
                <w:b/>
                <w:bCs/>
                <w:highlight w:val="none"/>
              </w:rPr>
            </w:pPr>
            <w:r>
              <w:rPr>
                <w:b/>
                <w:bCs/>
                <w:highlight w:val="none"/>
              </w:rPr>
              <w:t>абс.</w:t>
            </w:r>
          </w:p>
        </w:tc>
        <w:tc>
          <w:tcPr>
            <w:tcW w:w="2663" w:type="dxa"/>
            <w:vAlign w:val="center"/>
          </w:tcPr>
          <w:p w14:paraId="26FF571C">
            <w:pPr>
              <w:ind w:firstLine="0"/>
              <w:jc w:val="center"/>
              <w:rPr>
                <w:b/>
                <w:bCs/>
                <w:highlight w:val="none"/>
              </w:rPr>
            </w:pPr>
            <w:r>
              <w:rPr>
                <w:b/>
                <w:bCs/>
                <w:highlight w:val="none"/>
              </w:rPr>
              <w:t> %</w:t>
            </w:r>
          </w:p>
        </w:tc>
      </w:tr>
      <w:tr w14:paraId="62C98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40825136">
            <w:pPr>
              <w:ind w:firstLine="0"/>
              <w:jc w:val="left"/>
              <w:rPr>
                <w:highlight w:val="none"/>
              </w:rPr>
            </w:pPr>
            <w:r>
              <w:rPr>
                <w:highlight w:val="none"/>
              </w:rPr>
              <w:t>Жовтяниця шкіри</w:t>
            </w:r>
          </w:p>
        </w:tc>
        <w:tc>
          <w:tcPr>
            <w:tcW w:w="2667" w:type="dxa"/>
            <w:gridSpan w:val="2"/>
          </w:tcPr>
          <w:p w14:paraId="6688C978">
            <w:pPr>
              <w:ind w:firstLine="0"/>
              <w:jc w:val="center"/>
              <w:rPr>
                <w:highlight w:val="none"/>
              </w:rPr>
            </w:pPr>
            <w:r>
              <w:rPr>
                <w:highlight w:val="none"/>
              </w:rPr>
              <w:t>10</w:t>
            </w:r>
          </w:p>
        </w:tc>
        <w:tc>
          <w:tcPr>
            <w:tcW w:w="2663" w:type="dxa"/>
          </w:tcPr>
          <w:p w14:paraId="70B6482E">
            <w:pPr>
              <w:ind w:firstLine="0"/>
              <w:jc w:val="center"/>
              <w:rPr>
                <w:highlight w:val="none"/>
              </w:rPr>
            </w:pPr>
            <w:r>
              <w:rPr>
                <w:highlight w:val="none"/>
              </w:rPr>
              <w:t>21,28</w:t>
            </w:r>
          </w:p>
        </w:tc>
      </w:tr>
      <w:tr w14:paraId="66AA1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13C34795">
            <w:pPr>
              <w:ind w:firstLine="0"/>
              <w:jc w:val="left"/>
              <w:rPr>
                <w:highlight w:val="none"/>
              </w:rPr>
            </w:pPr>
            <w:r>
              <w:rPr>
                <w:highlight w:val="none"/>
              </w:rPr>
              <w:t>Свербіж шкіри</w:t>
            </w:r>
          </w:p>
        </w:tc>
        <w:tc>
          <w:tcPr>
            <w:tcW w:w="2667" w:type="dxa"/>
            <w:gridSpan w:val="2"/>
          </w:tcPr>
          <w:p w14:paraId="49C7C362">
            <w:pPr>
              <w:ind w:firstLine="0"/>
              <w:jc w:val="center"/>
              <w:rPr>
                <w:highlight w:val="none"/>
              </w:rPr>
            </w:pPr>
            <w:r>
              <w:rPr>
                <w:highlight w:val="none"/>
              </w:rPr>
              <w:t>4</w:t>
            </w:r>
          </w:p>
        </w:tc>
        <w:tc>
          <w:tcPr>
            <w:tcW w:w="2663" w:type="dxa"/>
          </w:tcPr>
          <w:p w14:paraId="64916E79">
            <w:pPr>
              <w:ind w:firstLine="0"/>
              <w:jc w:val="center"/>
              <w:rPr>
                <w:highlight w:val="none"/>
              </w:rPr>
            </w:pPr>
            <w:r>
              <w:rPr>
                <w:highlight w:val="none"/>
              </w:rPr>
              <w:t>8,51</w:t>
            </w:r>
          </w:p>
        </w:tc>
      </w:tr>
      <w:tr w14:paraId="07BAE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0701CBB4">
            <w:pPr>
              <w:ind w:firstLine="0"/>
              <w:jc w:val="left"/>
              <w:rPr>
                <w:highlight w:val="none"/>
              </w:rPr>
            </w:pPr>
            <w:r>
              <w:rPr>
                <w:highlight w:val="none"/>
              </w:rPr>
              <w:t>Холурія</w:t>
            </w:r>
          </w:p>
        </w:tc>
        <w:tc>
          <w:tcPr>
            <w:tcW w:w="2667" w:type="dxa"/>
            <w:gridSpan w:val="2"/>
          </w:tcPr>
          <w:p w14:paraId="14ED7C19">
            <w:pPr>
              <w:ind w:firstLine="0"/>
              <w:jc w:val="center"/>
              <w:rPr>
                <w:highlight w:val="none"/>
              </w:rPr>
            </w:pPr>
            <w:r>
              <w:rPr>
                <w:highlight w:val="none"/>
              </w:rPr>
              <w:t>10</w:t>
            </w:r>
          </w:p>
        </w:tc>
        <w:tc>
          <w:tcPr>
            <w:tcW w:w="2663" w:type="dxa"/>
          </w:tcPr>
          <w:p w14:paraId="15A651DC">
            <w:pPr>
              <w:ind w:firstLine="0"/>
              <w:jc w:val="center"/>
              <w:rPr>
                <w:highlight w:val="none"/>
              </w:rPr>
            </w:pPr>
            <w:r>
              <w:rPr>
                <w:highlight w:val="none"/>
              </w:rPr>
              <w:t>21,28</w:t>
            </w:r>
          </w:p>
        </w:tc>
      </w:tr>
      <w:tr w14:paraId="3AB83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70491249">
            <w:pPr>
              <w:ind w:firstLine="0"/>
              <w:jc w:val="left"/>
              <w:rPr>
                <w:highlight w:val="none"/>
              </w:rPr>
            </w:pPr>
            <w:r>
              <w:rPr>
                <w:highlight w:val="none"/>
              </w:rPr>
              <w:t>Ахолія</w:t>
            </w:r>
          </w:p>
        </w:tc>
        <w:tc>
          <w:tcPr>
            <w:tcW w:w="2667" w:type="dxa"/>
            <w:gridSpan w:val="2"/>
          </w:tcPr>
          <w:p w14:paraId="238AAA6B">
            <w:pPr>
              <w:ind w:firstLine="0"/>
              <w:jc w:val="center"/>
              <w:rPr>
                <w:highlight w:val="none"/>
              </w:rPr>
            </w:pPr>
            <w:r>
              <w:rPr>
                <w:highlight w:val="none"/>
              </w:rPr>
              <w:t>7</w:t>
            </w:r>
          </w:p>
        </w:tc>
        <w:tc>
          <w:tcPr>
            <w:tcW w:w="2663" w:type="dxa"/>
          </w:tcPr>
          <w:p w14:paraId="78DAE421">
            <w:pPr>
              <w:ind w:firstLine="0"/>
              <w:jc w:val="center"/>
              <w:rPr>
                <w:highlight w:val="none"/>
              </w:rPr>
            </w:pPr>
            <w:r>
              <w:rPr>
                <w:highlight w:val="none"/>
              </w:rPr>
              <w:t>14,89</w:t>
            </w:r>
          </w:p>
        </w:tc>
      </w:tr>
      <w:tr w14:paraId="68DF1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68622C08">
            <w:pPr>
              <w:ind w:firstLine="0"/>
              <w:jc w:val="left"/>
              <w:rPr>
                <w:highlight w:val="none"/>
              </w:rPr>
            </w:pPr>
            <w:r>
              <w:rPr>
                <w:highlight w:val="none"/>
              </w:rPr>
              <w:t>Висипка</w:t>
            </w:r>
          </w:p>
        </w:tc>
        <w:tc>
          <w:tcPr>
            <w:tcW w:w="2667" w:type="dxa"/>
            <w:gridSpan w:val="2"/>
          </w:tcPr>
          <w:p w14:paraId="41521806">
            <w:pPr>
              <w:ind w:firstLine="0"/>
              <w:jc w:val="center"/>
              <w:rPr>
                <w:highlight w:val="none"/>
              </w:rPr>
            </w:pPr>
            <w:r>
              <w:rPr>
                <w:highlight w:val="none"/>
              </w:rPr>
              <w:t>2</w:t>
            </w:r>
          </w:p>
        </w:tc>
        <w:tc>
          <w:tcPr>
            <w:tcW w:w="2663" w:type="dxa"/>
          </w:tcPr>
          <w:p w14:paraId="73F82FB7">
            <w:pPr>
              <w:ind w:firstLine="0"/>
              <w:jc w:val="center"/>
              <w:rPr>
                <w:highlight w:val="none"/>
              </w:rPr>
            </w:pPr>
            <w:r>
              <w:rPr>
                <w:highlight w:val="none"/>
              </w:rPr>
              <w:t>4,26</w:t>
            </w:r>
          </w:p>
        </w:tc>
      </w:tr>
      <w:tr w14:paraId="4003E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6149ED3D">
            <w:pPr>
              <w:ind w:firstLine="0"/>
              <w:jc w:val="left"/>
              <w:rPr>
                <w:highlight w:val="none"/>
              </w:rPr>
            </w:pPr>
            <w:r>
              <w:rPr>
                <w:highlight w:val="none"/>
              </w:rPr>
              <w:t>Пальмарна еритема</w:t>
            </w:r>
          </w:p>
        </w:tc>
        <w:tc>
          <w:tcPr>
            <w:tcW w:w="2667" w:type="dxa"/>
            <w:gridSpan w:val="2"/>
          </w:tcPr>
          <w:p w14:paraId="7AEA30EC">
            <w:pPr>
              <w:ind w:firstLine="0"/>
              <w:jc w:val="center"/>
              <w:rPr>
                <w:highlight w:val="none"/>
              </w:rPr>
            </w:pPr>
            <w:r>
              <w:rPr>
                <w:highlight w:val="none"/>
              </w:rPr>
              <w:t>2</w:t>
            </w:r>
          </w:p>
        </w:tc>
        <w:tc>
          <w:tcPr>
            <w:tcW w:w="2663" w:type="dxa"/>
          </w:tcPr>
          <w:p w14:paraId="2953F2BC">
            <w:pPr>
              <w:ind w:firstLine="0"/>
              <w:jc w:val="center"/>
              <w:rPr>
                <w:highlight w:val="none"/>
              </w:rPr>
            </w:pPr>
            <w:r>
              <w:rPr>
                <w:highlight w:val="none"/>
              </w:rPr>
              <w:t>4,26</w:t>
            </w:r>
          </w:p>
        </w:tc>
      </w:tr>
      <w:tr w14:paraId="4F741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351" w:type="dxa"/>
            <w:gridSpan w:val="4"/>
            <w:vAlign w:val="center"/>
          </w:tcPr>
          <w:p w14:paraId="0C4A2B83">
            <w:pPr>
              <w:ind w:firstLine="0"/>
              <w:jc w:val="center"/>
              <w:rPr>
                <w:b/>
                <w:bCs/>
                <w:highlight w:val="none"/>
              </w:rPr>
            </w:pPr>
            <w:r>
              <w:rPr>
                <w:b/>
                <w:bCs/>
                <w:highlight w:val="none"/>
              </w:rPr>
              <w:t>Абдомінально-больовий синдром</w:t>
            </w:r>
          </w:p>
        </w:tc>
      </w:tr>
      <w:tr w14:paraId="0B81B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033C742F">
            <w:pPr>
              <w:ind w:firstLine="0"/>
              <w:jc w:val="left"/>
              <w:rPr>
                <w:highlight w:val="none"/>
              </w:rPr>
            </w:pPr>
            <w:r>
              <w:rPr>
                <w:highlight w:val="none"/>
              </w:rPr>
              <w:t>Біль в епігастрії</w:t>
            </w:r>
          </w:p>
        </w:tc>
        <w:tc>
          <w:tcPr>
            <w:tcW w:w="2556" w:type="dxa"/>
          </w:tcPr>
          <w:p w14:paraId="0E39B67D">
            <w:pPr>
              <w:ind w:firstLine="0"/>
              <w:jc w:val="center"/>
              <w:rPr>
                <w:highlight w:val="none"/>
              </w:rPr>
            </w:pPr>
            <w:r>
              <w:rPr>
                <w:highlight w:val="none"/>
              </w:rPr>
              <w:t>11</w:t>
            </w:r>
          </w:p>
        </w:tc>
        <w:tc>
          <w:tcPr>
            <w:tcW w:w="2774" w:type="dxa"/>
            <w:gridSpan w:val="2"/>
          </w:tcPr>
          <w:p w14:paraId="67B3E7F5">
            <w:pPr>
              <w:ind w:firstLine="0"/>
              <w:jc w:val="center"/>
              <w:rPr>
                <w:highlight w:val="none"/>
              </w:rPr>
            </w:pPr>
            <w:r>
              <w:rPr>
                <w:highlight w:val="none"/>
              </w:rPr>
              <w:t>23,4</w:t>
            </w:r>
          </w:p>
        </w:tc>
      </w:tr>
      <w:tr w14:paraId="38750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76C5AB25">
            <w:pPr>
              <w:ind w:firstLine="0"/>
              <w:jc w:val="left"/>
              <w:rPr>
                <w:highlight w:val="none"/>
              </w:rPr>
            </w:pPr>
            <w:r>
              <w:rPr>
                <w:highlight w:val="none"/>
              </w:rPr>
              <w:t>Біль у правому підребер'ї</w:t>
            </w:r>
          </w:p>
        </w:tc>
        <w:tc>
          <w:tcPr>
            <w:tcW w:w="2556" w:type="dxa"/>
          </w:tcPr>
          <w:p w14:paraId="67DD825A">
            <w:pPr>
              <w:ind w:firstLine="0"/>
              <w:jc w:val="center"/>
              <w:rPr>
                <w:highlight w:val="none"/>
              </w:rPr>
            </w:pPr>
            <w:r>
              <w:rPr>
                <w:highlight w:val="none"/>
              </w:rPr>
              <w:t>17</w:t>
            </w:r>
          </w:p>
        </w:tc>
        <w:tc>
          <w:tcPr>
            <w:tcW w:w="2774" w:type="dxa"/>
            <w:gridSpan w:val="2"/>
          </w:tcPr>
          <w:p w14:paraId="51148DC5">
            <w:pPr>
              <w:ind w:firstLine="0"/>
              <w:jc w:val="center"/>
              <w:rPr>
                <w:highlight w:val="none"/>
              </w:rPr>
            </w:pPr>
            <w:r>
              <w:rPr>
                <w:highlight w:val="none"/>
              </w:rPr>
              <w:t>36,17</w:t>
            </w:r>
          </w:p>
        </w:tc>
      </w:tr>
      <w:tr w14:paraId="42D99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351" w:type="dxa"/>
            <w:gridSpan w:val="4"/>
            <w:vAlign w:val="center"/>
          </w:tcPr>
          <w:p w14:paraId="5DA240C1">
            <w:pPr>
              <w:ind w:firstLine="0"/>
              <w:jc w:val="center"/>
              <w:rPr>
                <w:b/>
                <w:bCs/>
                <w:highlight w:val="none"/>
              </w:rPr>
            </w:pPr>
            <w:r>
              <w:rPr>
                <w:b/>
                <w:bCs/>
                <w:highlight w:val="none"/>
              </w:rPr>
              <w:t>Артралгічний синдром</w:t>
            </w:r>
          </w:p>
        </w:tc>
      </w:tr>
      <w:tr w14:paraId="4A729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379E3C93">
            <w:pPr>
              <w:ind w:firstLine="0"/>
              <w:jc w:val="left"/>
              <w:rPr>
                <w:highlight w:val="none"/>
              </w:rPr>
            </w:pPr>
            <w:r>
              <w:rPr>
                <w:highlight w:val="none"/>
              </w:rPr>
              <w:t>Тривалий/переміжний біль у суглобах</w:t>
            </w:r>
          </w:p>
        </w:tc>
        <w:tc>
          <w:tcPr>
            <w:tcW w:w="2556" w:type="dxa"/>
            <w:vAlign w:val="center"/>
          </w:tcPr>
          <w:p w14:paraId="459EF427">
            <w:pPr>
              <w:ind w:firstLine="0"/>
              <w:jc w:val="center"/>
              <w:rPr>
                <w:highlight w:val="none"/>
              </w:rPr>
            </w:pPr>
            <w:r>
              <w:rPr>
                <w:highlight w:val="none"/>
              </w:rPr>
              <w:t>32</w:t>
            </w:r>
          </w:p>
        </w:tc>
        <w:tc>
          <w:tcPr>
            <w:tcW w:w="2774" w:type="dxa"/>
            <w:gridSpan w:val="2"/>
            <w:vAlign w:val="center"/>
          </w:tcPr>
          <w:p w14:paraId="7F29386A">
            <w:pPr>
              <w:ind w:firstLine="0"/>
              <w:jc w:val="center"/>
              <w:rPr>
                <w:highlight w:val="none"/>
              </w:rPr>
            </w:pPr>
            <w:r>
              <w:rPr>
                <w:highlight w:val="none"/>
              </w:rPr>
              <w:t>15,5</w:t>
            </w:r>
          </w:p>
        </w:tc>
      </w:tr>
      <w:tr w14:paraId="2E0C2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5CFFE210">
            <w:pPr>
              <w:ind w:firstLine="0"/>
              <w:jc w:val="left"/>
              <w:rPr>
                <w:highlight w:val="none"/>
              </w:rPr>
            </w:pPr>
            <w:r>
              <w:rPr>
                <w:highlight w:val="none"/>
              </w:rPr>
              <w:t>Обмеження обсягу рухів</w:t>
            </w:r>
          </w:p>
        </w:tc>
        <w:tc>
          <w:tcPr>
            <w:tcW w:w="2556" w:type="dxa"/>
            <w:vAlign w:val="center"/>
          </w:tcPr>
          <w:p w14:paraId="34454E7C">
            <w:pPr>
              <w:ind w:firstLine="0"/>
              <w:jc w:val="center"/>
              <w:rPr>
                <w:highlight w:val="none"/>
              </w:rPr>
            </w:pPr>
            <w:r>
              <w:rPr>
                <w:highlight w:val="none"/>
              </w:rPr>
              <w:t>11</w:t>
            </w:r>
          </w:p>
        </w:tc>
        <w:tc>
          <w:tcPr>
            <w:tcW w:w="2774" w:type="dxa"/>
            <w:gridSpan w:val="2"/>
            <w:vAlign w:val="center"/>
          </w:tcPr>
          <w:p w14:paraId="4E112FA0">
            <w:pPr>
              <w:ind w:firstLine="0"/>
              <w:jc w:val="center"/>
              <w:rPr>
                <w:highlight w:val="none"/>
              </w:rPr>
            </w:pPr>
            <w:r>
              <w:rPr>
                <w:highlight w:val="none"/>
              </w:rPr>
              <w:t>5,33</w:t>
            </w:r>
          </w:p>
        </w:tc>
      </w:tr>
      <w:tr w14:paraId="7DCA3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351" w:type="dxa"/>
            <w:gridSpan w:val="4"/>
            <w:vAlign w:val="center"/>
          </w:tcPr>
          <w:p w14:paraId="25029B1A">
            <w:pPr>
              <w:ind w:firstLine="0"/>
              <w:jc w:val="center"/>
              <w:rPr>
                <w:b/>
                <w:bCs/>
                <w:highlight w:val="none"/>
              </w:rPr>
            </w:pPr>
            <w:r>
              <w:rPr>
                <w:b/>
                <w:bCs/>
                <w:highlight w:val="none"/>
              </w:rPr>
              <w:t>Гарячковий синдром</w:t>
            </w:r>
          </w:p>
        </w:tc>
      </w:tr>
      <w:tr w14:paraId="198A3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3F6632AE">
            <w:pPr>
              <w:ind w:firstLine="0"/>
              <w:jc w:val="left"/>
              <w:rPr>
                <w:highlight w:val="none"/>
              </w:rPr>
            </w:pPr>
            <w:r>
              <w:rPr>
                <w:highlight w:val="none"/>
              </w:rPr>
              <w:t>Підвищення температури тіла</w:t>
            </w:r>
          </w:p>
        </w:tc>
        <w:tc>
          <w:tcPr>
            <w:tcW w:w="2556" w:type="dxa"/>
            <w:vAlign w:val="center"/>
          </w:tcPr>
          <w:p w14:paraId="629E10C1">
            <w:pPr>
              <w:ind w:firstLine="0"/>
              <w:jc w:val="center"/>
              <w:rPr>
                <w:highlight w:val="none"/>
              </w:rPr>
            </w:pPr>
            <w:r>
              <w:rPr>
                <w:highlight w:val="none"/>
              </w:rPr>
              <w:t>15</w:t>
            </w:r>
          </w:p>
        </w:tc>
        <w:tc>
          <w:tcPr>
            <w:tcW w:w="2774" w:type="dxa"/>
            <w:gridSpan w:val="2"/>
            <w:vAlign w:val="center"/>
          </w:tcPr>
          <w:p w14:paraId="520E154D">
            <w:pPr>
              <w:ind w:firstLine="0"/>
              <w:jc w:val="center"/>
              <w:rPr>
                <w:highlight w:val="none"/>
              </w:rPr>
            </w:pPr>
            <w:r>
              <w:rPr>
                <w:highlight w:val="none"/>
              </w:rPr>
              <w:t>31,91</w:t>
            </w:r>
          </w:p>
        </w:tc>
      </w:tr>
      <w:tr w14:paraId="351A4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351" w:type="dxa"/>
            <w:gridSpan w:val="4"/>
            <w:vAlign w:val="center"/>
          </w:tcPr>
          <w:p w14:paraId="37C55BB1">
            <w:pPr>
              <w:ind w:firstLine="0"/>
              <w:jc w:val="center"/>
              <w:rPr>
                <w:b/>
                <w:bCs/>
                <w:highlight w:val="none"/>
              </w:rPr>
            </w:pPr>
            <w:r>
              <w:rPr>
                <w:b/>
                <w:bCs/>
                <w:highlight w:val="none"/>
              </w:rPr>
              <w:t>Гепатомегалічний синдром</w:t>
            </w:r>
          </w:p>
        </w:tc>
      </w:tr>
      <w:tr w14:paraId="5A1ED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11233491">
            <w:pPr>
              <w:ind w:firstLine="0"/>
              <w:jc w:val="left"/>
              <w:rPr>
                <w:highlight w:val="none"/>
              </w:rPr>
            </w:pPr>
            <w:r>
              <w:rPr>
                <w:highlight w:val="none"/>
              </w:rPr>
              <w:t>Гепатомегалія</w:t>
            </w:r>
          </w:p>
        </w:tc>
        <w:tc>
          <w:tcPr>
            <w:tcW w:w="2556" w:type="dxa"/>
          </w:tcPr>
          <w:p w14:paraId="51E8B612">
            <w:pPr>
              <w:ind w:firstLine="0"/>
              <w:jc w:val="center"/>
              <w:rPr>
                <w:highlight w:val="none"/>
              </w:rPr>
            </w:pPr>
            <w:r>
              <w:rPr>
                <w:highlight w:val="none"/>
              </w:rPr>
              <w:t>44</w:t>
            </w:r>
          </w:p>
        </w:tc>
        <w:tc>
          <w:tcPr>
            <w:tcW w:w="2774" w:type="dxa"/>
            <w:gridSpan w:val="2"/>
          </w:tcPr>
          <w:p w14:paraId="1A048E4C">
            <w:pPr>
              <w:ind w:firstLine="0"/>
              <w:jc w:val="center"/>
              <w:rPr>
                <w:highlight w:val="none"/>
              </w:rPr>
            </w:pPr>
            <w:r>
              <w:rPr>
                <w:highlight w:val="none"/>
              </w:rPr>
              <w:t>93,62</w:t>
            </w:r>
          </w:p>
        </w:tc>
      </w:tr>
      <w:tr w14:paraId="3A3CC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6EA712E6">
            <w:pPr>
              <w:ind w:firstLine="0"/>
              <w:jc w:val="left"/>
              <w:rPr>
                <w:highlight w:val="none"/>
              </w:rPr>
            </w:pPr>
            <w:r>
              <w:rPr>
                <w:highlight w:val="none"/>
              </w:rPr>
              <w:t>Чутливість/болючість печінки</w:t>
            </w:r>
          </w:p>
        </w:tc>
        <w:tc>
          <w:tcPr>
            <w:tcW w:w="2556" w:type="dxa"/>
          </w:tcPr>
          <w:p w14:paraId="28EFC165">
            <w:pPr>
              <w:ind w:firstLine="0"/>
              <w:jc w:val="center"/>
              <w:rPr>
                <w:highlight w:val="none"/>
              </w:rPr>
            </w:pPr>
            <w:r>
              <w:rPr>
                <w:highlight w:val="none"/>
              </w:rPr>
              <w:t>38</w:t>
            </w:r>
          </w:p>
        </w:tc>
        <w:tc>
          <w:tcPr>
            <w:tcW w:w="2774" w:type="dxa"/>
            <w:gridSpan w:val="2"/>
          </w:tcPr>
          <w:p w14:paraId="29B4F4FD">
            <w:pPr>
              <w:ind w:firstLine="0"/>
              <w:jc w:val="center"/>
              <w:rPr>
                <w:highlight w:val="none"/>
              </w:rPr>
            </w:pPr>
            <w:r>
              <w:rPr>
                <w:highlight w:val="none"/>
              </w:rPr>
              <w:t>80,85</w:t>
            </w:r>
          </w:p>
        </w:tc>
      </w:tr>
      <w:tr w14:paraId="30179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021" w:type="dxa"/>
            <w:vAlign w:val="center"/>
          </w:tcPr>
          <w:p w14:paraId="428E1553">
            <w:pPr>
              <w:ind w:firstLine="0"/>
              <w:jc w:val="left"/>
              <w:rPr>
                <w:highlight w:val="none"/>
              </w:rPr>
            </w:pPr>
            <w:r>
              <w:rPr>
                <w:highlight w:val="none"/>
              </w:rPr>
              <w:t>Ущільнення печінки</w:t>
            </w:r>
          </w:p>
        </w:tc>
        <w:tc>
          <w:tcPr>
            <w:tcW w:w="2556" w:type="dxa"/>
          </w:tcPr>
          <w:p w14:paraId="1CA1E38F">
            <w:pPr>
              <w:ind w:firstLine="0"/>
              <w:jc w:val="center"/>
              <w:rPr>
                <w:highlight w:val="none"/>
              </w:rPr>
            </w:pPr>
            <w:r>
              <w:rPr>
                <w:highlight w:val="none"/>
              </w:rPr>
              <w:t>30</w:t>
            </w:r>
          </w:p>
        </w:tc>
        <w:tc>
          <w:tcPr>
            <w:tcW w:w="2774" w:type="dxa"/>
            <w:gridSpan w:val="2"/>
          </w:tcPr>
          <w:p w14:paraId="3CAC8C8B">
            <w:pPr>
              <w:ind w:firstLine="0"/>
              <w:jc w:val="center"/>
              <w:rPr>
                <w:highlight w:val="none"/>
              </w:rPr>
            </w:pPr>
            <w:r>
              <w:rPr>
                <w:highlight w:val="none"/>
              </w:rPr>
              <w:t>63,83</w:t>
            </w:r>
          </w:p>
        </w:tc>
      </w:tr>
    </w:tbl>
    <w:p w14:paraId="1785D0E5">
      <w:pPr>
        <w:rPr>
          <w:szCs w:val="28"/>
          <w:highlight w:val="none"/>
        </w:rPr>
      </w:pPr>
    </w:p>
    <w:p w14:paraId="0BA1D717">
      <w:pPr>
        <w:rPr>
          <w:szCs w:val="28"/>
          <w:highlight w:val="none"/>
        </w:rPr>
      </w:pPr>
      <w:r>
        <w:rPr>
          <w:szCs w:val="28"/>
          <w:highlight w:val="none"/>
        </w:rPr>
        <w:t>В характеристиці шкірно-жовтяничного синдрому жовтяниця склер та шкіри визначалася однаково в 21,28 % випадків. Свербіж шкіри відмічали лише 8,51 % пацієнтів даної групи. Холурію реєстрували в 21,28 % пацієнтів, при цьому ахолія були відмічена в 14,89 %. Висипка та пальмарна еритема була визначена менше, ніж в 5,0 % пацієнтів.</w:t>
      </w:r>
    </w:p>
    <w:p w14:paraId="3C7F484C">
      <w:pPr>
        <w:rPr>
          <w:szCs w:val="28"/>
          <w:highlight w:val="none"/>
        </w:rPr>
      </w:pPr>
      <w:r>
        <w:rPr>
          <w:szCs w:val="28"/>
          <w:highlight w:val="none"/>
        </w:rPr>
        <w:t>В структурі абдомінально-больового синдрому превалювала частота болю в правому підребер’ї (36,17 %), біль в епігастрії визначали в 23,4 % пацієнтів. При цьому в структурі артралгічного синдрому переважала частота болю в суглобах: 15,5 %, порівняно з частотою обмежень обсягу рухів: 5,33.</w:t>
      </w:r>
    </w:p>
    <w:p w14:paraId="7CD35275">
      <w:pPr>
        <w:rPr>
          <w:szCs w:val="28"/>
          <w:highlight w:val="none"/>
        </w:rPr>
      </w:pPr>
      <w:r>
        <w:rPr>
          <w:szCs w:val="28"/>
          <w:highlight w:val="none"/>
        </w:rPr>
        <w:t>В 31,91 % пацієнтів розвивали підвищення температури тіла. Майже в усіх пацієнтів (93,62 %) була гепатомегалія. Також значна кількість пацієнтів мали прояви у вигляді чутливості/болючості печінки та її ущільнення: відповідно 80,85 % та 63,83 %.</w:t>
      </w:r>
    </w:p>
    <w:p w14:paraId="337558CD">
      <w:pPr>
        <w:rPr>
          <w:szCs w:val="28"/>
          <w:highlight w:val="none"/>
        </w:rPr>
      </w:pPr>
    </w:p>
    <w:p w14:paraId="1E842987">
      <w:pPr>
        <w:jc w:val="right"/>
        <w:rPr>
          <w:i/>
          <w:iCs/>
          <w:szCs w:val="28"/>
          <w:highlight w:val="none"/>
        </w:rPr>
      </w:pPr>
      <w:r>
        <w:rPr>
          <w:i/>
          <w:iCs/>
          <w:szCs w:val="28"/>
          <w:highlight w:val="none"/>
        </w:rPr>
        <w:t>Таблиця 3.3</w:t>
      </w:r>
    </w:p>
    <w:p w14:paraId="382F9283">
      <w:pPr>
        <w:rPr>
          <w:b/>
          <w:bCs/>
          <w:szCs w:val="28"/>
          <w:highlight w:val="none"/>
        </w:rPr>
      </w:pPr>
      <w:r>
        <w:rPr>
          <w:b/>
          <w:bCs/>
          <w:szCs w:val="28"/>
          <w:highlight w:val="none"/>
        </w:rPr>
        <w:t>Показники клінічного аналізу крові обстежених пацієнтів, Me [Lq; Uq]</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47"/>
        <w:gridCol w:w="2693"/>
        <w:gridCol w:w="3099"/>
        <w:gridCol w:w="1006"/>
      </w:tblGrid>
      <w:tr w14:paraId="7919C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00F3358D">
            <w:pPr>
              <w:ind w:firstLine="0"/>
              <w:jc w:val="left"/>
              <w:rPr>
                <w:b/>
                <w:bCs/>
                <w:szCs w:val="28"/>
                <w:highlight w:val="none"/>
              </w:rPr>
            </w:pPr>
            <w:r>
              <w:rPr>
                <w:b/>
                <w:bCs/>
                <w:szCs w:val="28"/>
                <w:highlight w:val="none"/>
              </w:rPr>
              <w:t>Показник</w:t>
            </w:r>
          </w:p>
        </w:tc>
        <w:tc>
          <w:tcPr>
            <w:tcW w:w="2693" w:type="dxa"/>
            <w:vAlign w:val="center"/>
          </w:tcPr>
          <w:p w14:paraId="0050E87E">
            <w:pPr>
              <w:ind w:firstLine="0"/>
              <w:jc w:val="center"/>
              <w:rPr>
                <w:b/>
                <w:bCs/>
                <w:szCs w:val="28"/>
                <w:highlight w:val="none"/>
              </w:rPr>
            </w:pPr>
            <w:r>
              <w:rPr>
                <w:b/>
                <w:bCs/>
                <w:szCs w:val="28"/>
                <w:highlight w:val="none"/>
              </w:rPr>
              <w:t>Контроль (n=31)</w:t>
            </w:r>
          </w:p>
        </w:tc>
        <w:tc>
          <w:tcPr>
            <w:tcW w:w="3099" w:type="dxa"/>
            <w:vAlign w:val="center"/>
          </w:tcPr>
          <w:p w14:paraId="7D105F09">
            <w:pPr>
              <w:ind w:firstLine="0"/>
              <w:jc w:val="center"/>
              <w:rPr>
                <w:b/>
                <w:bCs/>
                <w:szCs w:val="28"/>
                <w:highlight w:val="none"/>
              </w:rPr>
            </w:pPr>
            <w:r>
              <w:rPr>
                <w:b/>
                <w:bCs/>
                <w:szCs w:val="28"/>
                <w:highlight w:val="none"/>
              </w:rPr>
              <w:t>Основна група (n=47)</w:t>
            </w:r>
          </w:p>
        </w:tc>
        <w:tc>
          <w:tcPr>
            <w:tcW w:w="1006" w:type="dxa"/>
            <w:vAlign w:val="center"/>
          </w:tcPr>
          <w:p w14:paraId="327C64A1">
            <w:pPr>
              <w:ind w:firstLine="0"/>
              <w:jc w:val="center"/>
              <w:rPr>
                <w:b/>
                <w:bCs/>
                <w:szCs w:val="28"/>
                <w:highlight w:val="none"/>
              </w:rPr>
            </w:pPr>
            <w:r>
              <w:rPr>
                <w:b/>
                <w:bCs/>
                <w:szCs w:val="28"/>
                <w:highlight w:val="none"/>
              </w:rPr>
              <w:t>p</w:t>
            </w:r>
          </w:p>
        </w:tc>
      </w:tr>
      <w:tr w14:paraId="04BB7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3F12AEB2">
            <w:pPr>
              <w:ind w:firstLine="0"/>
              <w:jc w:val="left"/>
              <w:rPr>
                <w:szCs w:val="28"/>
                <w:highlight w:val="none"/>
              </w:rPr>
            </w:pPr>
            <w:r>
              <w:rPr>
                <w:szCs w:val="28"/>
                <w:highlight w:val="none"/>
              </w:rPr>
              <w:t>Еритроцити, 10</w:t>
            </w:r>
            <w:r>
              <w:rPr>
                <w:szCs w:val="28"/>
                <w:highlight w:val="none"/>
                <w:vertAlign w:val="superscript"/>
              </w:rPr>
              <w:t>12</w:t>
            </w:r>
            <w:r>
              <w:rPr>
                <w:szCs w:val="28"/>
                <w:highlight w:val="none"/>
              </w:rPr>
              <w:t>/л</w:t>
            </w:r>
          </w:p>
        </w:tc>
        <w:tc>
          <w:tcPr>
            <w:tcW w:w="2693" w:type="dxa"/>
            <w:vAlign w:val="center"/>
          </w:tcPr>
          <w:p w14:paraId="46343297">
            <w:pPr>
              <w:ind w:firstLine="0"/>
              <w:jc w:val="center"/>
              <w:rPr>
                <w:szCs w:val="28"/>
                <w:highlight w:val="none"/>
              </w:rPr>
            </w:pPr>
            <w:r>
              <w:rPr>
                <w:szCs w:val="28"/>
                <w:highlight w:val="none"/>
              </w:rPr>
              <w:t>4,85 [4,43; 5,39]</w:t>
            </w:r>
          </w:p>
        </w:tc>
        <w:tc>
          <w:tcPr>
            <w:tcW w:w="3099" w:type="dxa"/>
            <w:vAlign w:val="center"/>
          </w:tcPr>
          <w:p w14:paraId="38324430">
            <w:pPr>
              <w:ind w:firstLine="0"/>
              <w:jc w:val="center"/>
              <w:rPr>
                <w:szCs w:val="28"/>
                <w:highlight w:val="none"/>
              </w:rPr>
            </w:pPr>
            <w:r>
              <w:rPr>
                <w:szCs w:val="28"/>
                <w:highlight w:val="none"/>
              </w:rPr>
              <w:t>4,78 [4,46; 5,16]</w:t>
            </w:r>
          </w:p>
        </w:tc>
        <w:tc>
          <w:tcPr>
            <w:tcW w:w="1006" w:type="dxa"/>
            <w:vAlign w:val="center"/>
          </w:tcPr>
          <w:p w14:paraId="3054C4C3">
            <w:pPr>
              <w:ind w:firstLine="0"/>
              <w:jc w:val="center"/>
              <w:rPr>
                <w:szCs w:val="28"/>
                <w:highlight w:val="none"/>
              </w:rPr>
            </w:pPr>
            <w:r>
              <w:rPr>
                <w:szCs w:val="28"/>
                <w:highlight w:val="none"/>
              </w:rPr>
              <w:t>0,400</w:t>
            </w:r>
          </w:p>
        </w:tc>
      </w:tr>
      <w:tr w14:paraId="2C3BF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62C7A81">
            <w:pPr>
              <w:ind w:firstLine="0"/>
              <w:jc w:val="left"/>
              <w:rPr>
                <w:szCs w:val="28"/>
                <w:highlight w:val="none"/>
              </w:rPr>
            </w:pPr>
            <w:r>
              <w:rPr>
                <w:szCs w:val="28"/>
                <w:highlight w:val="none"/>
              </w:rPr>
              <w:t>Гемоглобін, г/л</w:t>
            </w:r>
          </w:p>
        </w:tc>
        <w:tc>
          <w:tcPr>
            <w:tcW w:w="2693" w:type="dxa"/>
            <w:vAlign w:val="center"/>
          </w:tcPr>
          <w:p w14:paraId="50236B48">
            <w:pPr>
              <w:ind w:firstLine="0"/>
              <w:jc w:val="center"/>
              <w:rPr>
                <w:szCs w:val="28"/>
                <w:highlight w:val="none"/>
              </w:rPr>
            </w:pPr>
            <w:r>
              <w:rPr>
                <w:szCs w:val="28"/>
                <w:highlight w:val="none"/>
              </w:rPr>
              <w:t>142,0 [133,0; 351,0]</w:t>
            </w:r>
          </w:p>
        </w:tc>
        <w:tc>
          <w:tcPr>
            <w:tcW w:w="3099" w:type="dxa"/>
            <w:vAlign w:val="center"/>
          </w:tcPr>
          <w:p w14:paraId="2466CDAF">
            <w:pPr>
              <w:ind w:firstLine="0"/>
              <w:jc w:val="center"/>
              <w:rPr>
                <w:szCs w:val="28"/>
                <w:highlight w:val="none"/>
              </w:rPr>
            </w:pPr>
            <w:r>
              <w:rPr>
                <w:szCs w:val="28"/>
                <w:highlight w:val="none"/>
              </w:rPr>
              <w:t>144,0 [133,0; 355,0]</w:t>
            </w:r>
          </w:p>
        </w:tc>
        <w:tc>
          <w:tcPr>
            <w:tcW w:w="1006" w:type="dxa"/>
            <w:vAlign w:val="center"/>
          </w:tcPr>
          <w:p w14:paraId="33DB97C0">
            <w:pPr>
              <w:ind w:firstLine="0"/>
              <w:jc w:val="center"/>
              <w:rPr>
                <w:szCs w:val="28"/>
                <w:highlight w:val="none"/>
              </w:rPr>
            </w:pPr>
            <w:r>
              <w:rPr>
                <w:szCs w:val="28"/>
                <w:highlight w:val="none"/>
              </w:rPr>
              <w:t>0,382</w:t>
            </w:r>
          </w:p>
        </w:tc>
      </w:tr>
      <w:tr w14:paraId="4B300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547" w:type="dxa"/>
            <w:vAlign w:val="center"/>
          </w:tcPr>
          <w:p w14:paraId="2DDCB2FD">
            <w:pPr>
              <w:ind w:firstLine="0"/>
              <w:jc w:val="left"/>
              <w:rPr>
                <w:szCs w:val="28"/>
                <w:highlight w:val="none"/>
              </w:rPr>
            </w:pPr>
            <w:r>
              <w:rPr>
                <w:szCs w:val="28"/>
                <w:highlight w:val="none"/>
              </w:rPr>
              <w:t>Гематокрит, %</w:t>
            </w:r>
          </w:p>
        </w:tc>
        <w:tc>
          <w:tcPr>
            <w:tcW w:w="2693" w:type="dxa"/>
            <w:vAlign w:val="center"/>
          </w:tcPr>
          <w:p w14:paraId="08C769B7">
            <w:pPr>
              <w:ind w:firstLine="0"/>
              <w:jc w:val="center"/>
              <w:rPr>
                <w:szCs w:val="28"/>
                <w:highlight w:val="none"/>
              </w:rPr>
            </w:pPr>
            <w:r>
              <w:rPr>
                <w:szCs w:val="28"/>
                <w:highlight w:val="none"/>
              </w:rPr>
              <w:t>0,43 [0,41; 0,45]</w:t>
            </w:r>
          </w:p>
        </w:tc>
        <w:tc>
          <w:tcPr>
            <w:tcW w:w="3099" w:type="dxa"/>
            <w:vAlign w:val="center"/>
          </w:tcPr>
          <w:p w14:paraId="0DAC3A3B">
            <w:pPr>
              <w:ind w:firstLine="0"/>
              <w:jc w:val="center"/>
              <w:rPr>
                <w:szCs w:val="28"/>
                <w:highlight w:val="none"/>
              </w:rPr>
            </w:pPr>
            <w:r>
              <w:rPr>
                <w:szCs w:val="28"/>
                <w:highlight w:val="none"/>
              </w:rPr>
              <w:t>0,44 [0,41; 0,6]</w:t>
            </w:r>
          </w:p>
        </w:tc>
        <w:tc>
          <w:tcPr>
            <w:tcW w:w="1006" w:type="dxa"/>
            <w:vAlign w:val="center"/>
          </w:tcPr>
          <w:p w14:paraId="0204D7F2">
            <w:pPr>
              <w:ind w:firstLine="0"/>
              <w:jc w:val="center"/>
              <w:rPr>
                <w:szCs w:val="28"/>
                <w:highlight w:val="none"/>
              </w:rPr>
            </w:pPr>
            <w:r>
              <w:rPr>
                <w:szCs w:val="28"/>
                <w:highlight w:val="none"/>
              </w:rPr>
              <w:t>0,400</w:t>
            </w:r>
          </w:p>
        </w:tc>
      </w:tr>
      <w:tr w14:paraId="0AF35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6B579853">
            <w:pPr>
              <w:ind w:firstLine="0"/>
              <w:jc w:val="left"/>
              <w:rPr>
                <w:szCs w:val="28"/>
                <w:highlight w:val="none"/>
              </w:rPr>
            </w:pPr>
            <w:r>
              <w:rPr>
                <w:szCs w:val="28"/>
                <w:highlight w:val="none"/>
              </w:rPr>
              <w:t>MCV, fl</w:t>
            </w:r>
          </w:p>
        </w:tc>
        <w:tc>
          <w:tcPr>
            <w:tcW w:w="2693" w:type="dxa"/>
            <w:vAlign w:val="center"/>
          </w:tcPr>
          <w:p w14:paraId="10EE604F">
            <w:pPr>
              <w:ind w:firstLine="0"/>
              <w:jc w:val="center"/>
              <w:rPr>
                <w:szCs w:val="28"/>
                <w:highlight w:val="none"/>
              </w:rPr>
            </w:pPr>
            <w:r>
              <w:rPr>
                <w:szCs w:val="28"/>
                <w:highlight w:val="none"/>
              </w:rPr>
              <w:t>90,7 [88,2; 92,5]</w:t>
            </w:r>
          </w:p>
        </w:tc>
        <w:tc>
          <w:tcPr>
            <w:tcW w:w="3099" w:type="dxa"/>
            <w:vAlign w:val="center"/>
          </w:tcPr>
          <w:p w14:paraId="09C3AE52">
            <w:pPr>
              <w:ind w:firstLine="0"/>
              <w:jc w:val="center"/>
              <w:rPr>
                <w:szCs w:val="28"/>
                <w:highlight w:val="none"/>
              </w:rPr>
            </w:pPr>
            <w:r>
              <w:rPr>
                <w:szCs w:val="28"/>
                <w:highlight w:val="none"/>
              </w:rPr>
              <w:t>90,0 [86,0; 93,0]</w:t>
            </w:r>
          </w:p>
        </w:tc>
        <w:tc>
          <w:tcPr>
            <w:tcW w:w="1006" w:type="dxa"/>
            <w:vAlign w:val="center"/>
          </w:tcPr>
          <w:p w14:paraId="64FE26D7">
            <w:pPr>
              <w:ind w:firstLine="0"/>
              <w:jc w:val="center"/>
              <w:rPr>
                <w:szCs w:val="28"/>
                <w:highlight w:val="none"/>
              </w:rPr>
            </w:pPr>
            <w:r>
              <w:rPr>
                <w:szCs w:val="28"/>
                <w:highlight w:val="none"/>
              </w:rPr>
              <w:t>0,471</w:t>
            </w:r>
          </w:p>
        </w:tc>
      </w:tr>
      <w:tr w14:paraId="6D657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4EBCBEA7">
            <w:pPr>
              <w:ind w:firstLine="0"/>
              <w:jc w:val="left"/>
              <w:rPr>
                <w:szCs w:val="28"/>
                <w:highlight w:val="none"/>
              </w:rPr>
            </w:pPr>
            <w:r>
              <w:rPr>
                <w:szCs w:val="28"/>
                <w:highlight w:val="none"/>
              </w:rPr>
              <w:t>MCH, пкг/л</w:t>
            </w:r>
          </w:p>
        </w:tc>
        <w:tc>
          <w:tcPr>
            <w:tcW w:w="2693" w:type="dxa"/>
            <w:vAlign w:val="center"/>
          </w:tcPr>
          <w:p w14:paraId="7D8FCDD7">
            <w:pPr>
              <w:ind w:firstLine="0"/>
              <w:jc w:val="center"/>
              <w:rPr>
                <w:szCs w:val="28"/>
                <w:highlight w:val="none"/>
              </w:rPr>
            </w:pPr>
            <w:r>
              <w:rPr>
                <w:szCs w:val="28"/>
                <w:highlight w:val="none"/>
              </w:rPr>
              <w:t>28,3 [27,4; 29,4]</w:t>
            </w:r>
          </w:p>
        </w:tc>
        <w:tc>
          <w:tcPr>
            <w:tcW w:w="3099" w:type="dxa"/>
            <w:vAlign w:val="center"/>
          </w:tcPr>
          <w:p w14:paraId="0BEA9BFE">
            <w:pPr>
              <w:ind w:firstLine="0"/>
              <w:jc w:val="center"/>
              <w:rPr>
                <w:szCs w:val="28"/>
                <w:highlight w:val="none"/>
              </w:rPr>
            </w:pPr>
            <w:r>
              <w:rPr>
                <w:szCs w:val="28"/>
                <w:highlight w:val="none"/>
              </w:rPr>
              <w:t>30,7 [29,5; 32,2]</w:t>
            </w:r>
          </w:p>
        </w:tc>
        <w:tc>
          <w:tcPr>
            <w:tcW w:w="1006" w:type="dxa"/>
            <w:vAlign w:val="center"/>
          </w:tcPr>
          <w:p w14:paraId="11AA8658">
            <w:pPr>
              <w:ind w:firstLine="0"/>
              <w:jc w:val="center"/>
              <w:rPr>
                <w:szCs w:val="28"/>
                <w:highlight w:val="none"/>
              </w:rPr>
            </w:pPr>
            <w:r>
              <w:rPr>
                <w:szCs w:val="28"/>
                <w:highlight w:val="none"/>
              </w:rPr>
              <w:t>&lt;0,001</w:t>
            </w:r>
          </w:p>
        </w:tc>
      </w:tr>
      <w:tr w14:paraId="67AC8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03A0329">
            <w:pPr>
              <w:ind w:firstLine="0"/>
              <w:jc w:val="left"/>
              <w:rPr>
                <w:szCs w:val="28"/>
                <w:highlight w:val="none"/>
              </w:rPr>
            </w:pPr>
            <w:r>
              <w:rPr>
                <w:szCs w:val="28"/>
                <w:highlight w:val="none"/>
              </w:rPr>
              <w:t>MCHC, г/л</w:t>
            </w:r>
          </w:p>
        </w:tc>
        <w:tc>
          <w:tcPr>
            <w:tcW w:w="2693" w:type="dxa"/>
            <w:vAlign w:val="center"/>
          </w:tcPr>
          <w:p w14:paraId="02FA69ED">
            <w:pPr>
              <w:ind w:firstLine="0"/>
              <w:jc w:val="center"/>
              <w:rPr>
                <w:szCs w:val="28"/>
                <w:highlight w:val="none"/>
              </w:rPr>
            </w:pPr>
            <w:r>
              <w:rPr>
                <w:szCs w:val="28"/>
                <w:highlight w:val="none"/>
              </w:rPr>
              <w:t>338,0 [328,0; 345,0]</w:t>
            </w:r>
          </w:p>
        </w:tc>
        <w:tc>
          <w:tcPr>
            <w:tcW w:w="3099" w:type="dxa"/>
            <w:vAlign w:val="center"/>
          </w:tcPr>
          <w:p w14:paraId="4B5852C1">
            <w:pPr>
              <w:ind w:firstLine="0"/>
              <w:jc w:val="center"/>
              <w:rPr>
                <w:szCs w:val="28"/>
                <w:highlight w:val="none"/>
              </w:rPr>
            </w:pPr>
            <w:r>
              <w:rPr>
                <w:szCs w:val="28"/>
                <w:highlight w:val="none"/>
              </w:rPr>
              <w:t>338,0 [330,0; 347,0]</w:t>
            </w:r>
          </w:p>
        </w:tc>
        <w:tc>
          <w:tcPr>
            <w:tcW w:w="1006" w:type="dxa"/>
            <w:vAlign w:val="center"/>
          </w:tcPr>
          <w:p w14:paraId="0AF1214C">
            <w:pPr>
              <w:ind w:firstLine="0"/>
              <w:jc w:val="center"/>
              <w:rPr>
                <w:szCs w:val="28"/>
                <w:highlight w:val="none"/>
              </w:rPr>
            </w:pPr>
            <w:r>
              <w:rPr>
                <w:szCs w:val="28"/>
                <w:highlight w:val="none"/>
              </w:rPr>
              <w:t>0,530</w:t>
            </w:r>
          </w:p>
        </w:tc>
      </w:tr>
      <w:tr w14:paraId="616B1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49A85224">
            <w:pPr>
              <w:ind w:firstLine="0"/>
              <w:jc w:val="left"/>
              <w:rPr>
                <w:szCs w:val="28"/>
                <w:highlight w:val="none"/>
              </w:rPr>
            </w:pPr>
            <w:r>
              <w:rPr>
                <w:szCs w:val="28"/>
                <w:highlight w:val="none"/>
              </w:rPr>
              <w:t>Тромбоцити, 10</w:t>
            </w:r>
            <w:r>
              <w:rPr>
                <w:szCs w:val="28"/>
                <w:highlight w:val="none"/>
                <w:vertAlign w:val="superscript"/>
              </w:rPr>
              <w:t>9</w:t>
            </w:r>
            <w:r>
              <w:rPr>
                <w:szCs w:val="28"/>
                <w:highlight w:val="none"/>
              </w:rPr>
              <w:t>/л</w:t>
            </w:r>
          </w:p>
        </w:tc>
        <w:tc>
          <w:tcPr>
            <w:tcW w:w="2693" w:type="dxa"/>
            <w:vAlign w:val="center"/>
          </w:tcPr>
          <w:p w14:paraId="561704E3">
            <w:pPr>
              <w:ind w:firstLine="0"/>
              <w:jc w:val="center"/>
              <w:rPr>
                <w:szCs w:val="28"/>
                <w:highlight w:val="none"/>
              </w:rPr>
            </w:pPr>
            <w:r>
              <w:rPr>
                <w:szCs w:val="28"/>
                <w:highlight w:val="none"/>
              </w:rPr>
              <w:t>275,0 [245,0; 293,0]</w:t>
            </w:r>
          </w:p>
        </w:tc>
        <w:tc>
          <w:tcPr>
            <w:tcW w:w="3099" w:type="dxa"/>
            <w:vAlign w:val="center"/>
          </w:tcPr>
          <w:p w14:paraId="5AC8F23A">
            <w:pPr>
              <w:ind w:firstLine="0"/>
              <w:jc w:val="center"/>
              <w:rPr>
                <w:szCs w:val="28"/>
                <w:highlight w:val="none"/>
              </w:rPr>
            </w:pPr>
            <w:r>
              <w:rPr>
                <w:szCs w:val="28"/>
                <w:highlight w:val="none"/>
              </w:rPr>
              <w:t>208,0 [166,0; 243,0]</w:t>
            </w:r>
          </w:p>
        </w:tc>
        <w:tc>
          <w:tcPr>
            <w:tcW w:w="1006" w:type="dxa"/>
            <w:vAlign w:val="center"/>
          </w:tcPr>
          <w:p w14:paraId="4BBD7805">
            <w:pPr>
              <w:ind w:firstLine="0"/>
              <w:jc w:val="center"/>
              <w:rPr>
                <w:szCs w:val="28"/>
                <w:highlight w:val="none"/>
              </w:rPr>
            </w:pPr>
            <w:r>
              <w:rPr>
                <w:szCs w:val="28"/>
                <w:highlight w:val="none"/>
              </w:rPr>
              <w:t>&lt;0,001</w:t>
            </w:r>
          </w:p>
        </w:tc>
      </w:tr>
      <w:tr w14:paraId="4CB38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575E9CF2">
            <w:pPr>
              <w:ind w:firstLine="0"/>
              <w:jc w:val="left"/>
              <w:rPr>
                <w:szCs w:val="28"/>
                <w:highlight w:val="none"/>
              </w:rPr>
            </w:pPr>
            <w:r>
              <w:rPr>
                <w:szCs w:val="28"/>
                <w:highlight w:val="none"/>
              </w:rPr>
              <w:t>Тромбокрит, %</w:t>
            </w:r>
          </w:p>
        </w:tc>
        <w:tc>
          <w:tcPr>
            <w:tcW w:w="2693" w:type="dxa"/>
            <w:vAlign w:val="center"/>
          </w:tcPr>
          <w:p w14:paraId="6D34A11C">
            <w:pPr>
              <w:ind w:firstLine="0"/>
              <w:jc w:val="center"/>
              <w:rPr>
                <w:szCs w:val="28"/>
                <w:highlight w:val="none"/>
              </w:rPr>
            </w:pPr>
            <w:r>
              <w:rPr>
                <w:szCs w:val="28"/>
                <w:highlight w:val="none"/>
              </w:rPr>
              <w:t>0,21 [0,18; 0,27]</w:t>
            </w:r>
          </w:p>
        </w:tc>
        <w:tc>
          <w:tcPr>
            <w:tcW w:w="3099" w:type="dxa"/>
            <w:vAlign w:val="center"/>
          </w:tcPr>
          <w:p w14:paraId="4B51FE7C">
            <w:pPr>
              <w:ind w:firstLine="0"/>
              <w:jc w:val="center"/>
              <w:rPr>
                <w:szCs w:val="28"/>
                <w:highlight w:val="none"/>
              </w:rPr>
            </w:pPr>
            <w:r>
              <w:rPr>
                <w:szCs w:val="28"/>
                <w:highlight w:val="none"/>
              </w:rPr>
              <w:t>0,18 [0,16; 0,21]</w:t>
            </w:r>
          </w:p>
        </w:tc>
        <w:tc>
          <w:tcPr>
            <w:tcW w:w="1006" w:type="dxa"/>
            <w:vAlign w:val="center"/>
          </w:tcPr>
          <w:p w14:paraId="05194885">
            <w:pPr>
              <w:ind w:firstLine="0"/>
              <w:jc w:val="center"/>
              <w:rPr>
                <w:szCs w:val="28"/>
                <w:highlight w:val="none"/>
              </w:rPr>
            </w:pPr>
            <w:r>
              <w:rPr>
                <w:szCs w:val="28"/>
                <w:highlight w:val="none"/>
              </w:rPr>
              <w:t>0,009</w:t>
            </w:r>
          </w:p>
        </w:tc>
      </w:tr>
      <w:tr w14:paraId="049B3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452270C7">
            <w:pPr>
              <w:ind w:firstLine="0"/>
              <w:jc w:val="left"/>
              <w:rPr>
                <w:szCs w:val="28"/>
                <w:highlight w:val="none"/>
              </w:rPr>
            </w:pPr>
            <w:r>
              <w:rPr>
                <w:szCs w:val="28"/>
                <w:highlight w:val="none"/>
              </w:rPr>
              <w:t>КП</w:t>
            </w:r>
          </w:p>
        </w:tc>
        <w:tc>
          <w:tcPr>
            <w:tcW w:w="2693" w:type="dxa"/>
            <w:vAlign w:val="center"/>
          </w:tcPr>
          <w:p w14:paraId="70D3AEFF">
            <w:pPr>
              <w:ind w:firstLine="0"/>
              <w:jc w:val="center"/>
              <w:rPr>
                <w:szCs w:val="28"/>
                <w:highlight w:val="none"/>
              </w:rPr>
            </w:pPr>
            <w:r>
              <w:rPr>
                <w:szCs w:val="28"/>
                <w:highlight w:val="none"/>
              </w:rPr>
              <w:t>0,91 [0,89; 0,94]</w:t>
            </w:r>
          </w:p>
        </w:tc>
        <w:tc>
          <w:tcPr>
            <w:tcW w:w="3099" w:type="dxa"/>
            <w:vAlign w:val="center"/>
          </w:tcPr>
          <w:p w14:paraId="7DDB3BC4">
            <w:pPr>
              <w:ind w:firstLine="0"/>
              <w:jc w:val="center"/>
              <w:rPr>
                <w:szCs w:val="28"/>
                <w:highlight w:val="none"/>
              </w:rPr>
            </w:pPr>
            <w:r>
              <w:rPr>
                <w:szCs w:val="28"/>
                <w:highlight w:val="none"/>
              </w:rPr>
              <w:t>0,90 [0,87; 0,94]</w:t>
            </w:r>
          </w:p>
        </w:tc>
        <w:tc>
          <w:tcPr>
            <w:tcW w:w="1006" w:type="dxa"/>
            <w:vAlign w:val="center"/>
          </w:tcPr>
          <w:p w14:paraId="3C1FB7F2">
            <w:pPr>
              <w:ind w:firstLine="0"/>
              <w:jc w:val="center"/>
              <w:rPr>
                <w:szCs w:val="28"/>
                <w:highlight w:val="none"/>
              </w:rPr>
            </w:pPr>
            <w:r>
              <w:rPr>
                <w:szCs w:val="28"/>
                <w:highlight w:val="none"/>
              </w:rPr>
              <w:t>0,323</w:t>
            </w:r>
          </w:p>
        </w:tc>
      </w:tr>
      <w:tr w14:paraId="58F73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6DC6C63C">
            <w:pPr>
              <w:ind w:firstLine="0"/>
              <w:jc w:val="left"/>
              <w:rPr>
                <w:szCs w:val="28"/>
                <w:highlight w:val="none"/>
              </w:rPr>
            </w:pPr>
            <w:r>
              <w:rPr>
                <w:szCs w:val="28"/>
                <w:highlight w:val="none"/>
              </w:rPr>
              <w:t>ШОЕ, мм/год</w:t>
            </w:r>
          </w:p>
        </w:tc>
        <w:tc>
          <w:tcPr>
            <w:tcW w:w="2693" w:type="dxa"/>
            <w:vAlign w:val="center"/>
          </w:tcPr>
          <w:p w14:paraId="038E8A12">
            <w:pPr>
              <w:ind w:firstLine="0"/>
              <w:jc w:val="center"/>
              <w:rPr>
                <w:szCs w:val="28"/>
                <w:highlight w:val="none"/>
              </w:rPr>
            </w:pPr>
            <w:r>
              <w:rPr>
                <w:szCs w:val="28"/>
                <w:highlight w:val="none"/>
              </w:rPr>
              <w:t>3,0 [1,0; 4,0]</w:t>
            </w:r>
          </w:p>
        </w:tc>
        <w:tc>
          <w:tcPr>
            <w:tcW w:w="3099" w:type="dxa"/>
            <w:vAlign w:val="center"/>
          </w:tcPr>
          <w:p w14:paraId="5A7CC78E">
            <w:pPr>
              <w:ind w:firstLine="0"/>
              <w:jc w:val="center"/>
              <w:rPr>
                <w:szCs w:val="28"/>
                <w:highlight w:val="none"/>
              </w:rPr>
            </w:pPr>
            <w:r>
              <w:rPr>
                <w:szCs w:val="28"/>
                <w:highlight w:val="none"/>
              </w:rPr>
              <w:t>9,0 [5,0; 35,0]</w:t>
            </w:r>
          </w:p>
        </w:tc>
        <w:tc>
          <w:tcPr>
            <w:tcW w:w="1006" w:type="dxa"/>
            <w:vAlign w:val="center"/>
          </w:tcPr>
          <w:p w14:paraId="79E7F903">
            <w:pPr>
              <w:ind w:firstLine="0"/>
              <w:jc w:val="center"/>
              <w:rPr>
                <w:szCs w:val="28"/>
                <w:highlight w:val="none"/>
              </w:rPr>
            </w:pPr>
            <w:r>
              <w:rPr>
                <w:szCs w:val="28"/>
                <w:highlight w:val="none"/>
              </w:rPr>
              <w:t>&lt;0,001</w:t>
            </w:r>
          </w:p>
        </w:tc>
      </w:tr>
      <w:tr w14:paraId="072BD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12B8196B">
            <w:pPr>
              <w:ind w:firstLine="0"/>
              <w:jc w:val="left"/>
              <w:rPr>
                <w:szCs w:val="28"/>
                <w:highlight w:val="none"/>
              </w:rPr>
            </w:pPr>
            <w:r>
              <w:rPr>
                <w:szCs w:val="28"/>
                <w:highlight w:val="none"/>
              </w:rPr>
              <w:t>Лейкоцити, 10</w:t>
            </w:r>
            <w:r>
              <w:rPr>
                <w:szCs w:val="28"/>
                <w:highlight w:val="none"/>
                <w:vertAlign w:val="superscript"/>
              </w:rPr>
              <w:t>9</w:t>
            </w:r>
            <w:r>
              <w:rPr>
                <w:szCs w:val="28"/>
                <w:highlight w:val="none"/>
              </w:rPr>
              <w:t>/л</w:t>
            </w:r>
          </w:p>
        </w:tc>
        <w:tc>
          <w:tcPr>
            <w:tcW w:w="2693" w:type="dxa"/>
            <w:vAlign w:val="center"/>
          </w:tcPr>
          <w:p w14:paraId="1F299991">
            <w:pPr>
              <w:ind w:firstLine="0"/>
              <w:jc w:val="center"/>
              <w:rPr>
                <w:szCs w:val="28"/>
                <w:highlight w:val="none"/>
              </w:rPr>
            </w:pPr>
            <w:r>
              <w:rPr>
                <w:szCs w:val="28"/>
                <w:highlight w:val="none"/>
              </w:rPr>
              <w:t>5,91 [4,66; 6,71]</w:t>
            </w:r>
          </w:p>
        </w:tc>
        <w:tc>
          <w:tcPr>
            <w:tcW w:w="3099" w:type="dxa"/>
            <w:vAlign w:val="center"/>
          </w:tcPr>
          <w:p w14:paraId="74252F3B">
            <w:pPr>
              <w:ind w:firstLine="0"/>
              <w:jc w:val="center"/>
              <w:rPr>
                <w:szCs w:val="28"/>
                <w:highlight w:val="none"/>
              </w:rPr>
            </w:pPr>
            <w:r>
              <w:rPr>
                <w:szCs w:val="28"/>
                <w:highlight w:val="none"/>
              </w:rPr>
              <w:t>6,70 [5,20; 7,80]</w:t>
            </w:r>
          </w:p>
        </w:tc>
        <w:tc>
          <w:tcPr>
            <w:tcW w:w="1006" w:type="dxa"/>
            <w:vAlign w:val="center"/>
          </w:tcPr>
          <w:p w14:paraId="7CAA6318">
            <w:pPr>
              <w:ind w:firstLine="0"/>
              <w:jc w:val="center"/>
              <w:rPr>
                <w:szCs w:val="28"/>
                <w:highlight w:val="none"/>
              </w:rPr>
            </w:pPr>
            <w:r>
              <w:rPr>
                <w:szCs w:val="28"/>
                <w:highlight w:val="none"/>
              </w:rPr>
              <w:t>0,057</w:t>
            </w:r>
          </w:p>
        </w:tc>
      </w:tr>
      <w:tr w14:paraId="7E0D3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125AB689">
            <w:pPr>
              <w:ind w:firstLine="0"/>
              <w:jc w:val="left"/>
              <w:rPr>
                <w:szCs w:val="28"/>
                <w:highlight w:val="none"/>
              </w:rPr>
            </w:pPr>
            <w:r>
              <w:rPr>
                <w:szCs w:val="28"/>
                <w:highlight w:val="none"/>
              </w:rPr>
              <w:t>П/я нейтрофіли, %</w:t>
            </w:r>
          </w:p>
        </w:tc>
        <w:tc>
          <w:tcPr>
            <w:tcW w:w="2693" w:type="dxa"/>
            <w:vAlign w:val="center"/>
          </w:tcPr>
          <w:p w14:paraId="43BBA7CA">
            <w:pPr>
              <w:ind w:firstLine="0"/>
              <w:jc w:val="center"/>
              <w:rPr>
                <w:szCs w:val="28"/>
                <w:highlight w:val="none"/>
              </w:rPr>
            </w:pPr>
            <w:r>
              <w:rPr>
                <w:szCs w:val="28"/>
                <w:highlight w:val="none"/>
              </w:rPr>
              <w:t>7,0 [6,0; 8,0]</w:t>
            </w:r>
          </w:p>
        </w:tc>
        <w:tc>
          <w:tcPr>
            <w:tcW w:w="3099" w:type="dxa"/>
            <w:vAlign w:val="center"/>
          </w:tcPr>
          <w:p w14:paraId="5E503584">
            <w:pPr>
              <w:ind w:firstLine="0"/>
              <w:jc w:val="center"/>
              <w:rPr>
                <w:szCs w:val="28"/>
                <w:highlight w:val="none"/>
              </w:rPr>
            </w:pPr>
            <w:r>
              <w:rPr>
                <w:szCs w:val="28"/>
                <w:highlight w:val="none"/>
              </w:rPr>
              <w:t>2,0 [1,0; 3,0]</w:t>
            </w:r>
          </w:p>
        </w:tc>
        <w:tc>
          <w:tcPr>
            <w:tcW w:w="1006" w:type="dxa"/>
            <w:vAlign w:val="center"/>
          </w:tcPr>
          <w:p w14:paraId="1713F88E">
            <w:pPr>
              <w:ind w:firstLine="0"/>
              <w:jc w:val="center"/>
              <w:rPr>
                <w:szCs w:val="28"/>
                <w:highlight w:val="none"/>
              </w:rPr>
            </w:pPr>
            <w:r>
              <w:rPr>
                <w:szCs w:val="28"/>
                <w:highlight w:val="none"/>
              </w:rPr>
              <w:t>&lt;0,001</w:t>
            </w:r>
          </w:p>
        </w:tc>
      </w:tr>
      <w:tr w14:paraId="73AC9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6F9AF13E">
            <w:pPr>
              <w:ind w:firstLine="0"/>
              <w:jc w:val="left"/>
              <w:rPr>
                <w:szCs w:val="28"/>
                <w:highlight w:val="none"/>
              </w:rPr>
            </w:pPr>
            <w:r>
              <w:rPr>
                <w:szCs w:val="28"/>
                <w:highlight w:val="none"/>
              </w:rPr>
              <w:t>С/я нейтрофіли, %</w:t>
            </w:r>
          </w:p>
        </w:tc>
        <w:tc>
          <w:tcPr>
            <w:tcW w:w="2693" w:type="dxa"/>
            <w:vAlign w:val="center"/>
          </w:tcPr>
          <w:p w14:paraId="1348767C">
            <w:pPr>
              <w:ind w:firstLine="0"/>
              <w:jc w:val="center"/>
              <w:rPr>
                <w:szCs w:val="28"/>
                <w:highlight w:val="none"/>
              </w:rPr>
            </w:pPr>
            <w:r>
              <w:rPr>
                <w:szCs w:val="28"/>
                <w:highlight w:val="none"/>
              </w:rPr>
              <w:t>79,0 [76,0; 81,0]</w:t>
            </w:r>
          </w:p>
        </w:tc>
        <w:tc>
          <w:tcPr>
            <w:tcW w:w="3099" w:type="dxa"/>
            <w:vAlign w:val="center"/>
          </w:tcPr>
          <w:p w14:paraId="310C740A">
            <w:pPr>
              <w:ind w:firstLine="0"/>
              <w:jc w:val="center"/>
              <w:rPr>
                <w:szCs w:val="28"/>
                <w:highlight w:val="none"/>
              </w:rPr>
            </w:pPr>
            <w:r>
              <w:rPr>
                <w:szCs w:val="28"/>
                <w:highlight w:val="none"/>
              </w:rPr>
              <w:t>55,0 [44,0; 65,0]</w:t>
            </w:r>
          </w:p>
        </w:tc>
        <w:tc>
          <w:tcPr>
            <w:tcW w:w="1006" w:type="dxa"/>
            <w:vAlign w:val="center"/>
          </w:tcPr>
          <w:p w14:paraId="7B069EE1">
            <w:pPr>
              <w:ind w:firstLine="0"/>
              <w:jc w:val="center"/>
              <w:rPr>
                <w:szCs w:val="28"/>
                <w:highlight w:val="none"/>
              </w:rPr>
            </w:pPr>
            <w:r>
              <w:rPr>
                <w:szCs w:val="28"/>
                <w:highlight w:val="none"/>
              </w:rPr>
              <w:t>&lt;0,001</w:t>
            </w:r>
          </w:p>
        </w:tc>
      </w:tr>
      <w:tr w14:paraId="71D64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1DD2AD59">
            <w:pPr>
              <w:ind w:firstLine="0"/>
              <w:jc w:val="left"/>
              <w:rPr>
                <w:szCs w:val="28"/>
                <w:highlight w:val="none"/>
              </w:rPr>
            </w:pPr>
            <w:r>
              <w:rPr>
                <w:szCs w:val="28"/>
                <w:highlight w:val="none"/>
              </w:rPr>
              <w:t>Еозинофіли, %</w:t>
            </w:r>
          </w:p>
        </w:tc>
        <w:tc>
          <w:tcPr>
            <w:tcW w:w="2693" w:type="dxa"/>
            <w:vAlign w:val="center"/>
          </w:tcPr>
          <w:p w14:paraId="5349D693">
            <w:pPr>
              <w:ind w:firstLine="0"/>
              <w:jc w:val="center"/>
              <w:rPr>
                <w:szCs w:val="28"/>
                <w:highlight w:val="none"/>
              </w:rPr>
            </w:pPr>
            <w:r>
              <w:rPr>
                <w:szCs w:val="28"/>
                <w:highlight w:val="none"/>
              </w:rPr>
              <w:t>1,0 [1,0; 3,0]</w:t>
            </w:r>
          </w:p>
        </w:tc>
        <w:tc>
          <w:tcPr>
            <w:tcW w:w="3099" w:type="dxa"/>
            <w:vAlign w:val="center"/>
          </w:tcPr>
          <w:p w14:paraId="7F90908A">
            <w:pPr>
              <w:ind w:firstLine="0"/>
              <w:jc w:val="center"/>
              <w:rPr>
                <w:szCs w:val="28"/>
                <w:highlight w:val="none"/>
              </w:rPr>
            </w:pPr>
            <w:r>
              <w:rPr>
                <w:szCs w:val="28"/>
                <w:highlight w:val="none"/>
              </w:rPr>
              <w:t>1,0 [1,0; 3,0]</w:t>
            </w:r>
          </w:p>
        </w:tc>
        <w:tc>
          <w:tcPr>
            <w:tcW w:w="1006" w:type="dxa"/>
            <w:vAlign w:val="center"/>
          </w:tcPr>
          <w:p w14:paraId="3E30E820">
            <w:pPr>
              <w:ind w:firstLine="0"/>
              <w:jc w:val="center"/>
              <w:rPr>
                <w:szCs w:val="28"/>
                <w:highlight w:val="none"/>
              </w:rPr>
            </w:pPr>
            <w:r>
              <w:rPr>
                <w:szCs w:val="28"/>
                <w:highlight w:val="none"/>
              </w:rPr>
              <w:t>0,033</w:t>
            </w:r>
          </w:p>
        </w:tc>
      </w:tr>
      <w:tr w14:paraId="35339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02714E2">
            <w:pPr>
              <w:ind w:firstLine="0"/>
              <w:jc w:val="left"/>
              <w:rPr>
                <w:szCs w:val="28"/>
                <w:highlight w:val="none"/>
              </w:rPr>
            </w:pPr>
            <w:r>
              <w:rPr>
                <w:szCs w:val="28"/>
                <w:highlight w:val="none"/>
              </w:rPr>
              <w:t>Лімфоцити, %</w:t>
            </w:r>
          </w:p>
        </w:tc>
        <w:tc>
          <w:tcPr>
            <w:tcW w:w="2693" w:type="dxa"/>
            <w:vAlign w:val="center"/>
          </w:tcPr>
          <w:p w14:paraId="67E5B173">
            <w:pPr>
              <w:ind w:firstLine="0"/>
              <w:jc w:val="center"/>
              <w:rPr>
                <w:szCs w:val="28"/>
                <w:highlight w:val="none"/>
              </w:rPr>
            </w:pPr>
            <w:r>
              <w:rPr>
                <w:szCs w:val="28"/>
                <w:highlight w:val="none"/>
              </w:rPr>
              <w:t>8,0 [6,0; 30,0]</w:t>
            </w:r>
          </w:p>
        </w:tc>
        <w:tc>
          <w:tcPr>
            <w:tcW w:w="3099" w:type="dxa"/>
            <w:vAlign w:val="center"/>
          </w:tcPr>
          <w:p w14:paraId="25A5649B">
            <w:pPr>
              <w:ind w:firstLine="0"/>
              <w:jc w:val="center"/>
              <w:rPr>
                <w:szCs w:val="28"/>
                <w:highlight w:val="none"/>
              </w:rPr>
            </w:pPr>
            <w:r>
              <w:rPr>
                <w:szCs w:val="28"/>
                <w:highlight w:val="none"/>
              </w:rPr>
              <w:t>36,0 [25,0; 40,0]</w:t>
            </w:r>
          </w:p>
        </w:tc>
        <w:tc>
          <w:tcPr>
            <w:tcW w:w="1006" w:type="dxa"/>
            <w:vAlign w:val="center"/>
          </w:tcPr>
          <w:p w14:paraId="32C30F73">
            <w:pPr>
              <w:ind w:firstLine="0"/>
              <w:jc w:val="center"/>
              <w:rPr>
                <w:szCs w:val="28"/>
                <w:highlight w:val="none"/>
              </w:rPr>
            </w:pPr>
            <w:r>
              <w:rPr>
                <w:szCs w:val="28"/>
                <w:highlight w:val="none"/>
              </w:rPr>
              <w:t>&lt;0,001</w:t>
            </w:r>
          </w:p>
        </w:tc>
      </w:tr>
      <w:tr w14:paraId="3D1A9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3BC516AD">
            <w:pPr>
              <w:ind w:firstLine="0"/>
              <w:jc w:val="left"/>
              <w:rPr>
                <w:szCs w:val="28"/>
                <w:highlight w:val="none"/>
              </w:rPr>
            </w:pPr>
            <w:r>
              <w:rPr>
                <w:szCs w:val="28"/>
                <w:highlight w:val="none"/>
              </w:rPr>
              <w:t>Моноцити, %</w:t>
            </w:r>
          </w:p>
        </w:tc>
        <w:tc>
          <w:tcPr>
            <w:tcW w:w="2693" w:type="dxa"/>
            <w:vAlign w:val="center"/>
          </w:tcPr>
          <w:p w14:paraId="5FD4D53D">
            <w:pPr>
              <w:ind w:firstLine="0"/>
              <w:jc w:val="center"/>
              <w:rPr>
                <w:szCs w:val="28"/>
                <w:highlight w:val="none"/>
              </w:rPr>
            </w:pPr>
            <w:r>
              <w:rPr>
                <w:szCs w:val="28"/>
                <w:highlight w:val="none"/>
              </w:rPr>
              <w:t>5,0 [3,0; 6,0]</w:t>
            </w:r>
          </w:p>
        </w:tc>
        <w:tc>
          <w:tcPr>
            <w:tcW w:w="3099" w:type="dxa"/>
            <w:vAlign w:val="center"/>
          </w:tcPr>
          <w:p w14:paraId="70D0E469">
            <w:pPr>
              <w:ind w:firstLine="0"/>
              <w:jc w:val="center"/>
              <w:rPr>
                <w:szCs w:val="28"/>
                <w:highlight w:val="none"/>
              </w:rPr>
            </w:pPr>
            <w:r>
              <w:rPr>
                <w:szCs w:val="28"/>
                <w:highlight w:val="none"/>
              </w:rPr>
              <w:t>6,4 [4,0; 8,0]</w:t>
            </w:r>
          </w:p>
        </w:tc>
        <w:tc>
          <w:tcPr>
            <w:tcW w:w="1006" w:type="dxa"/>
            <w:vAlign w:val="center"/>
          </w:tcPr>
          <w:p w14:paraId="4E61BDC9">
            <w:pPr>
              <w:ind w:firstLine="0"/>
              <w:jc w:val="center"/>
              <w:rPr>
                <w:szCs w:val="28"/>
                <w:highlight w:val="none"/>
              </w:rPr>
            </w:pPr>
            <w:r>
              <w:rPr>
                <w:szCs w:val="28"/>
                <w:highlight w:val="none"/>
              </w:rPr>
              <w:t>0,012</w:t>
            </w:r>
          </w:p>
        </w:tc>
      </w:tr>
    </w:tbl>
    <w:p w14:paraId="03F4979F">
      <w:pPr>
        <w:rPr>
          <w:szCs w:val="28"/>
          <w:highlight w:val="none"/>
        </w:rPr>
      </w:pPr>
    </w:p>
    <w:p w14:paraId="3A4DF0B8">
      <w:pPr>
        <w:rPr>
          <w:szCs w:val="28"/>
          <w:highlight w:val="none"/>
        </w:rPr>
      </w:pPr>
      <w:r>
        <w:rPr>
          <w:szCs w:val="28"/>
          <w:highlight w:val="none"/>
        </w:rPr>
        <w:t xml:space="preserve">Так, серед оцінених параметрів клінічного аналізу крові не було визначено достовірної різниці в медіанних рівнях еритроцитів, гемоглобіну, гематокриту та середнього об’єму еритроцита, хоча зазначені параметри незначно були нижчі у пацієнтів з ВГС. Було визначено, що медіанне значення середньої концентрації гемоглобіну в еритроцитах було достовірно (р&lt;0,001) вище у пацієнтів з ВГС. Достовірно (р&lt;0,001) нижчою був медіанний рівень тромбоцитів у пацієнтів з ВГС, порівняно з контролем: відповідно 208,0 [166,0; 243,0] та 275,0 [245,0; 293,0]. Відповідно у пацієнтів з ВГС був достовірно нижчий тромбокрит (р = 0,009). Медіана КП в двох основних групах обстеження достовірно не різнилася. В три рази вища була медіана ШОЕ у пацієнтів з ВГС, ніж в контролі, та зазначена різниця була достовірною. </w:t>
      </w:r>
    </w:p>
    <w:p w14:paraId="7CAE1E47">
      <w:pPr>
        <w:rPr>
          <w:i/>
          <w:iCs/>
          <w:szCs w:val="28"/>
          <w:highlight w:val="none"/>
        </w:rPr>
      </w:pPr>
      <w:r>
        <w:rPr>
          <w:szCs w:val="28"/>
          <w:highlight w:val="none"/>
        </w:rPr>
        <w:t>Хоча медіанний рівень лейкоцитів у пацієнтів з ВГС превалював над групою контролю, показник був на межі достовірності (р = 0,057). При цьому, достовірно (р&lt;0,001) вищою була відносна кількість як паличкоядерних, так й сегментоядерних нейтрофілів в групі контролю. Спостерігався достовірно вищі рівні еозинофілів у пацієнтів з ВГС, хоча кількісно медіани показників не відрізнялися. Варто наголосити, що в 4 рази, проте в межах норми, був вищий рівень лімфоцитів у пацієнтів з ВГС, ніж в групі контролю: відповідно 36,0 [25,0; 45,0] % та 8,0 [6,0; 30,0] %, р&lt;0,001. Та спостерігався достовірно вищий рівень моноцитів, але в межах норми, у пацієнтів основної групи, порівняно з контролем (р=0,012), табл. 3.3</w:t>
      </w:r>
    </w:p>
    <w:p w14:paraId="118D9364">
      <w:pPr>
        <w:rPr>
          <w:szCs w:val="28"/>
          <w:highlight w:val="none"/>
        </w:rPr>
      </w:pPr>
    </w:p>
    <w:p w14:paraId="06385FEF">
      <w:pPr>
        <w:jc w:val="right"/>
        <w:rPr>
          <w:i/>
          <w:iCs/>
          <w:szCs w:val="28"/>
          <w:highlight w:val="none"/>
        </w:rPr>
      </w:pPr>
      <w:bookmarkStart w:id="34" w:name="_Hlk154338796"/>
      <w:r>
        <w:rPr>
          <w:i/>
          <w:iCs/>
          <w:szCs w:val="28"/>
          <w:highlight w:val="none"/>
        </w:rPr>
        <w:t>Таблиця 3.4</w:t>
      </w:r>
    </w:p>
    <w:bookmarkEnd w:id="34"/>
    <w:p w14:paraId="2858B561">
      <w:pPr>
        <w:rPr>
          <w:b/>
          <w:bCs/>
          <w:szCs w:val="28"/>
          <w:highlight w:val="none"/>
        </w:rPr>
      </w:pPr>
      <w:r>
        <w:rPr>
          <w:b/>
          <w:bCs/>
          <w:szCs w:val="28"/>
          <w:highlight w:val="none"/>
        </w:rPr>
        <w:t>Показники біохімічного аналізу крові та рівнів остеопонтину обстежених пацієнтів, Me [Lq; Uq]</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73"/>
        <w:gridCol w:w="2782"/>
        <w:gridCol w:w="2783"/>
        <w:gridCol w:w="1006"/>
      </w:tblGrid>
      <w:tr w14:paraId="23CC8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26CCA34D">
            <w:pPr>
              <w:ind w:firstLine="0"/>
              <w:jc w:val="left"/>
              <w:rPr>
                <w:b/>
                <w:bCs/>
                <w:szCs w:val="28"/>
                <w:highlight w:val="none"/>
              </w:rPr>
            </w:pPr>
            <w:bookmarkStart w:id="35" w:name="_Hlk154338710"/>
            <w:r>
              <w:rPr>
                <w:b/>
                <w:bCs/>
                <w:szCs w:val="28"/>
                <w:highlight w:val="none"/>
              </w:rPr>
              <w:t>Показник</w:t>
            </w:r>
          </w:p>
        </w:tc>
        <w:tc>
          <w:tcPr>
            <w:tcW w:w="2782" w:type="dxa"/>
            <w:vAlign w:val="center"/>
          </w:tcPr>
          <w:p w14:paraId="58D7F48E">
            <w:pPr>
              <w:ind w:firstLine="0"/>
              <w:jc w:val="center"/>
              <w:rPr>
                <w:b/>
                <w:bCs/>
                <w:szCs w:val="28"/>
                <w:highlight w:val="none"/>
              </w:rPr>
            </w:pPr>
            <w:r>
              <w:rPr>
                <w:b/>
                <w:bCs/>
                <w:szCs w:val="28"/>
                <w:highlight w:val="none"/>
              </w:rPr>
              <w:t>Контроль (n=31)</w:t>
            </w:r>
          </w:p>
        </w:tc>
        <w:tc>
          <w:tcPr>
            <w:tcW w:w="2783" w:type="dxa"/>
            <w:vAlign w:val="center"/>
          </w:tcPr>
          <w:p w14:paraId="26B00BC1">
            <w:pPr>
              <w:ind w:firstLine="0"/>
              <w:jc w:val="center"/>
              <w:rPr>
                <w:b/>
                <w:bCs/>
                <w:szCs w:val="28"/>
                <w:highlight w:val="none"/>
              </w:rPr>
            </w:pPr>
            <w:r>
              <w:rPr>
                <w:b/>
                <w:bCs/>
                <w:szCs w:val="28"/>
                <w:highlight w:val="none"/>
              </w:rPr>
              <w:t>Основна група (n=47)</w:t>
            </w:r>
          </w:p>
        </w:tc>
        <w:tc>
          <w:tcPr>
            <w:tcW w:w="1006" w:type="dxa"/>
            <w:vAlign w:val="center"/>
          </w:tcPr>
          <w:p w14:paraId="474B5459">
            <w:pPr>
              <w:ind w:firstLine="0"/>
              <w:jc w:val="center"/>
              <w:rPr>
                <w:b/>
                <w:bCs/>
                <w:szCs w:val="28"/>
                <w:highlight w:val="none"/>
              </w:rPr>
            </w:pPr>
            <w:r>
              <w:rPr>
                <w:b/>
                <w:bCs/>
                <w:szCs w:val="28"/>
                <w:highlight w:val="none"/>
              </w:rPr>
              <w:t>p</w:t>
            </w:r>
          </w:p>
        </w:tc>
      </w:tr>
      <w:bookmarkEnd w:id="35"/>
      <w:tr w14:paraId="287A9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51C088C3">
            <w:pPr>
              <w:ind w:firstLine="0"/>
              <w:jc w:val="left"/>
              <w:rPr>
                <w:szCs w:val="28"/>
                <w:highlight w:val="none"/>
              </w:rPr>
            </w:pPr>
            <w:r>
              <w:rPr>
                <w:szCs w:val="28"/>
                <w:highlight w:val="none"/>
              </w:rPr>
              <w:t>АЛТ, Од/л</w:t>
            </w:r>
          </w:p>
        </w:tc>
        <w:tc>
          <w:tcPr>
            <w:tcW w:w="2782" w:type="dxa"/>
            <w:vAlign w:val="center"/>
          </w:tcPr>
          <w:p w14:paraId="0AED1731">
            <w:pPr>
              <w:ind w:firstLine="0"/>
              <w:jc w:val="center"/>
              <w:rPr>
                <w:szCs w:val="28"/>
                <w:highlight w:val="none"/>
              </w:rPr>
            </w:pPr>
            <w:r>
              <w:rPr>
                <w:szCs w:val="28"/>
                <w:highlight w:val="none"/>
              </w:rPr>
              <w:t>36,0 [32,0; 39,0]</w:t>
            </w:r>
          </w:p>
        </w:tc>
        <w:tc>
          <w:tcPr>
            <w:tcW w:w="2783" w:type="dxa"/>
            <w:vAlign w:val="center"/>
          </w:tcPr>
          <w:p w14:paraId="0D4271A7">
            <w:pPr>
              <w:ind w:firstLine="0"/>
              <w:jc w:val="center"/>
              <w:rPr>
                <w:szCs w:val="28"/>
                <w:highlight w:val="none"/>
              </w:rPr>
            </w:pPr>
            <w:r>
              <w:rPr>
                <w:szCs w:val="28"/>
                <w:highlight w:val="none"/>
              </w:rPr>
              <w:t>67,0 [43,0; 314,0]</w:t>
            </w:r>
          </w:p>
        </w:tc>
        <w:tc>
          <w:tcPr>
            <w:tcW w:w="1006" w:type="dxa"/>
            <w:vAlign w:val="center"/>
          </w:tcPr>
          <w:p w14:paraId="2BF98A53">
            <w:pPr>
              <w:ind w:firstLine="0"/>
              <w:jc w:val="center"/>
              <w:rPr>
                <w:szCs w:val="28"/>
                <w:highlight w:val="none"/>
              </w:rPr>
            </w:pPr>
            <w:r>
              <w:rPr>
                <w:szCs w:val="28"/>
                <w:highlight w:val="none"/>
              </w:rPr>
              <w:t>&lt;0,001</w:t>
            </w:r>
          </w:p>
        </w:tc>
      </w:tr>
      <w:tr w14:paraId="276C1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7892628B">
            <w:pPr>
              <w:ind w:firstLine="0"/>
              <w:jc w:val="left"/>
              <w:rPr>
                <w:szCs w:val="28"/>
                <w:highlight w:val="none"/>
              </w:rPr>
            </w:pPr>
            <w:r>
              <w:rPr>
                <w:szCs w:val="28"/>
                <w:highlight w:val="none"/>
              </w:rPr>
              <w:t>АСТ, Од/л</w:t>
            </w:r>
          </w:p>
        </w:tc>
        <w:tc>
          <w:tcPr>
            <w:tcW w:w="2782" w:type="dxa"/>
            <w:vAlign w:val="center"/>
          </w:tcPr>
          <w:p w14:paraId="3D1A3FFB">
            <w:pPr>
              <w:ind w:firstLine="0"/>
              <w:jc w:val="center"/>
              <w:rPr>
                <w:szCs w:val="28"/>
                <w:highlight w:val="none"/>
              </w:rPr>
            </w:pPr>
            <w:r>
              <w:rPr>
                <w:szCs w:val="28"/>
                <w:highlight w:val="none"/>
              </w:rPr>
              <w:t>36,0 [33,0; 37,0]</w:t>
            </w:r>
          </w:p>
        </w:tc>
        <w:tc>
          <w:tcPr>
            <w:tcW w:w="2783" w:type="dxa"/>
            <w:vAlign w:val="center"/>
          </w:tcPr>
          <w:p w14:paraId="00C65D10">
            <w:pPr>
              <w:ind w:firstLine="0"/>
              <w:jc w:val="center"/>
              <w:rPr>
                <w:szCs w:val="28"/>
                <w:highlight w:val="none"/>
              </w:rPr>
            </w:pPr>
            <w:r>
              <w:rPr>
                <w:szCs w:val="28"/>
                <w:highlight w:val="none"/>
              </w:rPr>
              <w:t>65,0 [45,0; 301,0]</w:t>
            </w:r>
          </w:p>
        </w:tc>
        <w:tc>
          <w:tcPr>
            <w:tcW w:w="1006" w:type="dxa"/>
            <w:vAlign w:val="center"/>
          </w:tcPr>
          <w:p w14:paraId="55AE3322">
            <w:pPr>
              <w:ind w:firstLine="0"/>
              <w:jc w:val="center"/>
              <w:rPr>
                <w:szCs w:val="28"/>
                <w:highlight w:val="none"/>
              </w:rPr>
            </w:pPr>
            <w:r>
              <w:rPr>
                <w:szCs w:val="28"/>
                <w:highlight w:val="none"/>
              </w:rPr>
              <w:t>&lt;0,001</w:t>
            </w:r>
          </w:p>
        </w:tc>
      </w:tr>
      <w:tr w14:paraId="738CE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5C76C1ED">
            <w:pPr>
              <w:ind w:firstLine="0"/>
              <w:jc w:val="left"/>
              <w:rPr>
                <w:szCs w:val="28"/>
                <w:highlight w:val="none"/>
              </w:rPr>
            </w:pPr>
            <w:r>
              <w:rPr>
                <w:szCs w:val="28"/>
                <w:highlight w:val="none"/>
              </w:rPr>
              <w:t>ГГТ, Од/л</w:t>
            </w:r>
          </w:p>
        </w:tc>
        <w:tc>
          <w:tcPr>
            <w:tcW w:w="2782" w:type="dxa"/>
            <w:vAlign w:val="center"/>
          </w:tcPr>
          <w:p w14:paraId="0703B795">
            <w:pPr>
              <w:ind w:firstLine="0"/>
              <w:jc w:val="center"/>
              <w:rPr>
                <w:szCs w:val="28"/>
                <w:highlight w:val="none"/>
              </w:rPr>
            </w:pPr>
            <w:r>
              <w:rPr>
                <w:szCs w:val="28"/>
                <w:highlight w:val="none"/>
              </w:rPr>
              <w:t>25,0 [23,0; 38,0]</w:t>
            </w:r>
          </w:p>
        </w:tc>
        <w:tc>
          <w:tcPr>
            <w:tcW w:w="2783" w:type="dxa"/>
            <w:vAlign w:val="center"/>
          </w:tcPr>
          <w:p w14:paraId="26910F70">
            <w:pPr>
              <w:ind w:firstLine="0"/>
              <w:jc w:val="center"/>
              <w:rPr>
                <w:szCs w:val="28"/>
                <w:highlight w:val="none"/>
              </w:rPr>
            </w:pPr>
            <w:r>
              <w:rPr>
                <w:szCs w:val="28"/>
                <w:highlight w:val="none"/>
              </w:rPr>
              <w:t>89,0 [64,0; 323,0]</w:t>
            </w:r>
          </w:p>
        </w:tc>
        <w:tc>
          <w:tcPr>
            <w:tcW w:w="1006" w:type="dxa"/>
            <w:vAlign w:val="center"/>
          </w:tcPr>
          <w:p w14:paraId="3959A59A">
            <w:pPr>
              <w:ind w:firstLine="0"/>
              <w:jc w:val="center"/>
              <w:rPr>
                <w:szCs w:val="28"/>
                <w:highlight w:val="none"/>
              </w:rPr>
            </w:pPr>
            <w:r>
              <w:rPr>
                <w:szCs w:val="28"/>
                <w:highlight w:val="none"/>
              </w:rPr>
              <w:t>&lt;0,001</w:t>
            </w:r>
          </w:p>
        </w:tc>
      </w:tr>
      <w:tr w14:paraId="41533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4DF416FD">
            <w:pPr>
              <w:ind w:firstLine="0"/>
              <w:jc w:val="left"/>
              <w:rPr>
                <w:szCs w:val="28"/>
                <w:highlight w:val="none"/>
              </w:rPr>
            </w:pPr>
            <w:r>
              <w:rPr>
                <w:szCs w:val="28"/>
                <w:highlight w:val="none"/>
              </w:rPr>
              <w:t>ЛФ, Од/л</w:t>
            </w:r>
          </w:p>
        </w:tc>
        <w:tc>
          <w:tcPr>
            <w:tcW w:w="2782" w:type="dxa"/>
            <w:vAlign w:val="center"/>
          </w:tcPr>
          <w:p w14:paraId="0A60A243">
            <w:pPr>
              <w:ind w:firstLine="0"/>
              <w:jc w:val="center"/>
              <w:rPr>
                <w:szCs w:val="28"/>
                <w:highlight w:val="none"/>
              </w:rPr>
            </w:pPr>
            <w:r>
              <w:rPr>
                <w:szCs w:val="28"/>
                <w:highlight w:val="none"/>
              </w:rPr>
              <w:t>100,9 [93,2; 314,8]</w:t>
            </w:r>
          </w:p>
        </w:tc>
        <w:tc>
          <w:tcPr>
            <w:tcW w:w="2783" w:type="dxa"/>
            <w:vAlign w:val="center"/>
          </w:tcPr>
          <w:p w14:paraId="2A346C44">
            <w:pPr>
              <w:ind w:firstLine="0"/>
              <w:jc w:val="center"/>
              <w:rPr>
                <w:szCs w:val="28"/>
                <w:highlight w:val="none"/>
              </w:rPr>
            </w:pPr>
            <w:r>
              <w:rPr>
                <w:szCs w:val="28"/>
                <w:highlight w:val="none"/>
              </w:rPr>
              <w:t>93,0 [73,1; 357,3]</w:t>
            </w:r>
          </w:p>
        </w:tc>
        <w:tc>
          <w:tcPr>
            <w:tcW w:w="1006" w:type="dxa"/>
            <w:vAlign w:val="center"/>
          </w:tcPr>
          <w:p w14:paraId="79A78E5C">
            <w:pPr>
              <w:ind w:firstLine="0"/>
              <w:jc w:val="center"/>
              <w:rPr>
                <w:szCs w:val="28"/>
                <w:highlight w:val="none"/>
              </w:rPr>
            </w:pPr>
            <w:r>
              <w:rPr>
                <w:szCs w:val="28"/>
                <w:highlight w:val="none"/>
              </w:rPr>
              <w:t>0,624</w:t>
            </w:r>
          </w:p>
        </w:tc>
      </w:tr>
    </w:tbl>
    <w:p w14:paraId="4A0CD580">
      <w:pPr>
        <w:jc w:val="right"/>
        <w:rPr>
          <w:i/>
          <w:iCs/>
          <w:szCs w:val="28"/>
          <w:highlight w:val="none"/>
        </w:rPr>
      </w:pPr>
      <w:r>
        <w:rPr>
          <w:i/>
          <w:iCs/>
          <w:szCs w:val="28"/>
          <w:highlight w:val="none"/>
        </w:rPr>
        <w:t>Продовження таблиці 3.4</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73"/>
        <w:gridCol w:w="2782"/>
        <w:gridCol w:w="2783"/>
        <w:gridCol w:w="1006"/>
      </w:tblGrid>
      <w:tr w14:paraId="0A4E5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773" w:type="dxa"/>
            <w:vAlign w:val="center"/>
          </w:tcPr>
          <w:p w14:paraId="3EA765C3">
            <w:pPr>
              <w:ind w:firstLine="0"/>
              <w:jc w:val="left"/>
              <w:rPr>
                <w:b/>
                <w:bCs/>
                <w:szCs w:val="28"/>
                <w:highlight w:val="none"/>
              </w:rPr>
            </w:pPr>
            <w:r>
              <w:rPr>
                <w:b/>
                <w:bCs/>
                <w:szCs w:val="28"/>
                <w:highlight w:val="none"/>
              </w:rPr>
              <w:t>Показник</w:t>
            </w:r>
          </w:p>
        </w:tc>
        <w:tc>
          <w:tcPr>
            <w:tcW w:w="2782" w:type="dxa"/>
            <w:vAlign w:val="center"/>
          </w:tcPr>
          <w:p w14:paraId="331C015E">
            <w:pPr>
              <w:ind w:firstLine="0"/>
              <w:jc w:val="center"/>
              <w:rPr>
                <w:b/>
                <w:bCs/>
                <w:szCs w:val="28"/>
                <w:highlight w:val="none"/>
              </w:rPr>
            </w:pPr>
            <w:r>
              <w:rPr>
                <w:b/>
                <w:bCs/>
                <w:szCs w:val="28"/>
                <w:highlight w:val="none"/>
              </w:rPr>
              <w:t>Контроль (n=31)</w:t>
            </w:r>
          </w:p>
        </w:tc>
        <w:tc>
          <w:tcPr>
            <w:tcW w:w="2783" w:type="dxa"/>
            <w:vAlign w:val="center"/>
          </w:tcPr>
          <w:p w14:paraId="066D41A9">
            <w:pPr>
              <w:ind w:firstLine="0"/>
              <w:jc w:val="center"/>
              <w:rPr>
                <w:b/>
                <w:bCs/>
                <w:szCs w:val="28"/>
                <w:highlight w:val="none"/>
              </w:rPr>
            </w:pPr>
            <w:r>
              <w:rPr>
                <w:b/>
                <w:bCs/>
                <w:szCs w:val="28"/>
                <w:highlight w:val="none"/>
              </w:rPr>
              <w:t>Основна група (n=47)</w:t>
            </w:r>
          </w:p>
        </w:tc>
        <w:tc>
          <w:tcPr>
            <w:tcW w:w="1006" w:type="dxa"/>
            <w:vAlign w:val="center"/>
          </w:tcPr>
          <w:p w14:paraId="59251A97">
            <w:pPr>
              <w:ind w:firstLine="0"/>
              <w:jc w:val="center"/>
              <w:rPr>
                <w:b/>
                <w:bCs/>
                <w:szCs w:val="28"/>
                <w:highlight w:val="none"/>
              </w:rPr>
            </w:pPr>
            <w:r>
              <w:rPr>
                <w:b/>
                <w:bCs/>
                <w:szCs w:val="28"/>
                <w:highlight w:val="none"/>
              </w:rPr>
              <w:t>p</w:t>
            </w:r>
          </w:p>
        </w:tc>
      </w:tr>
      <w:tr w14:paraId="293CC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6B039F28">
            <w:pPr>
              <w:ind w:firstLine="0"/>
              <w:jc w:val="left"/>
              <w:rPr>
                <w:szCs w:val="28"/>
                <w:highlight w:val="none"/>
              </w:rPr>
            </w:pPr>
            <w:r>
              <w:rPr>
                <w:szCs w:val="28"/>
                <w:highlight w:val="none"/>
              </w:rPr>
              <w:t>Білірубін загальний, ммоль/л</w:t>
            </w:r>
          </w:p>
        </w:tc>
        <w:tc>
          <w:tcPr>
            <w:tcW w:w="2782" w:type="dxa"/>
            <w:vAlign w:val="center"/>
          </w:tcPr>
          <w:p w14:paraId="0F5A2315">
            <w:pPr>
              <w:ind w:firstLine="0"/>
              <w:jc w:val="center"/>
              <w:rPr>
                <w:szCs w:val="28"/>
                <w:highlight w:val="none"/>
              </w:rPr>
            </w:pPr>
            <w:r>
              <w:rPr>
                <w:szCs w:val="28"/>
                <w:highlight w:val="none"/>
              </w:rPr>
              <w:t>12,6 [10,8; 35,5]</w:t>
            </w:r>
          </w:p>
        </w:tc>
        <w:tc>
          <w:tcPr>
            <w:tcW w:w="2783" w:type="dxa"/>
            <w:vAlign w:val="center"/>
          </w:tcPr>
          <w:p w14:paraId="38741A17">
            <w:pPr>
              <w:ind w:firstLine="0"/>
              <w:jc w:val="center"/>
              <w:rPr>
                <w:szCs w:val="28"/>
                <w:highlight w:val="none"/>
              </w:rPr>
            </w:pPr>
            <w:r>
              <w:rPr>
                <w:szCs w:val="28"/>
                <w:highlight w:val="none"/>
              </w:rPr>
              <w:t>12,0 [10,0; 37,0]</w:t>
            </w:r>
          </w:p>
        </w:tc>
        <w:tc>
          <w:tcPr>
            <w:tcW w:w="1006" w:type="dxa"/>
            <w:vAlign w:val="center"/>
          </w:tcPr>
          <w:p w14:paraId="2EA1529F">
            <w:pPr>
              <w:ind w:firstLine="0"/>
              <w:jc w:val="center"/>
              <w:rPr>
                <w:szCs w:val="28"/>
                <w:highlight w:val="none"/>
              </w:rPr>
            </w:pPr>
            <w:r>
              <w:rPr>
                <w:szCs w:val="28"/>
                <w:highlight w:val="none"/>
              </w:rPr>
              <w:t>0,721</w:t>
            </w:r>
          </w:p>
        </w:tc>
      </w:tr>
      <w:tr w14:paraId="32873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747783AA">
            <w:pPr>
              <w:ind w:firstLine="0"/>
              <w:jc w:val="left"/>
              <w:rPr>
                <w:szCs w:val="28"/>
                <w:highlight w:val="none"/>
              </w:rPr>
            </w:pPr>
            <w:r>
              <w:rPr>
                <w:szCs w:val="28"/>
                <w:highlight w:val="none"/>
              </w:rPr>
              <w:t>Білірубін прямий, ммоль/л</w:t>
            </w:r>
          </w:p>
        </w:tc>
        <w:tc>
          <w:tcPr>
            <w:tcW w:w="2782" w:type="dxa"/>
            <w:vAlign w:val="center"/>
          </w:tcPr>
          <w:p w14:paraId="56899838">
            <w:pPr>
              <w:ind w:firstLine="0"/>
              <w:jc w:val="center"/>
              <w:rPr>
                <w:szCs w:val="28"/>
                <w:highlight w:val="none"/>
              </w:rPr>
            </w:pPr>
            <w:r>
              <w:rPr>
                <w:szCs w:val="28"/>
                <w:highlight w:val="none"/>
              </w:rPr>
              <w:t>2,52 [1,92; 4,09]</w:t>
            </w:r>
          </w:p>
        </w:tc>
        <w:tc>
          <w:tcPr>
            <w:tcW w:w="2783" w:type="dxa"/>
            <w:vAlign w:val="center"/>
          </w:tcPr>
          <w:p w14:paraId="2F014A0C">
            <w:pPr>
              <w:ind w:firstLine="0"/>
              <w:jc w:val="center"/>
              <w:rPr>
                <w:szCs w:val="28"/>
                <w:highlight w:val="none"/>
              </w:rPr>
            </w:pPr>
            <w:r>
              <w:rPr>
                <w:szCs w:val="28"/>
                <w:highlight w:val="none"/>
              </w:rPr>
              <w:t>3,58 [2,85; 5,30]</w:t>
            </w:r>
          </w:p>
        </w:tc>
        <w:tc>
          <w:tcPr>
            <w:tcW w:w="1006" w:type="dxa"/>
            <w:vAlign w:val="center"/>
          </w:tcPr>
          <w:p w14:paraId="72480D3C">
            <w:pPr>
              <w:ind w:firstLine="0"/>
              <w:jc w:val="center"/>
              <w:rPr>
                <w:szCs w:val="28"/>
                <w:highlight w:val="none"/>
              </w:rPr>
            </w:pPr>
            <w:r>
              <w:rPr>
                <w:szCs w:val="28"/>
                <w:highlight w:val="none"/>
              </w:rPr>
              <w:t>0,001</w:t>
            </w:r>
          </w:p>
        </w:tc>
      </w:tr>
      <w:tr w14:paraId="23E92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69657B81">
            <w:pPr>
              <w:ind w:firstLine="0"/>
              <w:jc w:val="left"/>
              <w:rPr>
                <w:szCs w:val="28"/>
                <w:highlight w:val="none"/>
              </w:rPr>
            </w:pPr>
            <w:r>
              <w:rPr>
                <w:szCs w:val="28"/>
                <w:highlight w:val="none"/>
              </w:rPr>
              <w:t>Білірубін непрямий, ммоль/л</w:t>
            </w:r>
          </w:p>
        </w:tc>
        <w:tc>
          <w:tcPr>
            <w:tcW w:w="2782" w:type="dxa"/>
            <w:vAlign w:val="center"/>
          </w:tcPr>
          <w:p w14:paraId="4B9D5F8C">
            <w:pPr>
              <w:ind w:firstLine="0"/>
              <w:jc w:val="center"/>
              <w:rPr>
                <w:szCs w:val="28"/>
                <w:highlight w:val="none"/>
              </w:rPr>
            </w:pPr>
            <w:r>
              <w:rPr>
                <w:szCs w:val="28"/>
                <w:highlight w:val="none"/>
              </w:rPr>
              <w:t>10,2 [8,5; 33,1]</w:t>
            </w:r>
          </w:p>
        </w:tc>
        <w:tc>
          <w:tcPr>
            <w:tcW w:w="2783" w:type="dxa"/>
            <w:vAlign w:val="center"/>
          </w:tcPr>
          <w:p w14:paraId="44AAEDEE">
            <w:pPr>
              <w:ind w:firstLine="0"/>
              <w:jc w:val="center"/>
              <w:rPr>
                <w:szCs w:val="28"/>
                <w:highlight w:val="none"/>
              </w:rPr>
            </w:pPr>
            <w:r>
              <w:rPr>
                <w:szCs w:val="28"/>
                <w:highlight w:val="none"/>
              </w:rPr>
              <w:t>8,0 [6,0; 32,0]</w:t>
            </w:r>
          </w:p>
        </w:tc>
        <w:tc>
          <w:tcPr>
            <w:tcW w:w="1006" w:type="dxa"/>
            <w:vAlign w:val="center"/>
          </w:tcPr>
          <w:p w14:paraId="73ED37A1">
            <w:pPr>
              <w:ind w:firstLine="0"/>
              <w:jc w:val="center"/>
              <w:rPr>
                <w:szCs w:val="28"/>
                <w:highlight w:val="none"/>
              </w:rPr>
            </w:pPr>
            <w:r>
              <w:rPr>
                <w:szCs w:val="28"/>
                <w:highlight w:val="none"/>
              </w:rPr>
              <w:t>0,084</w:t>
            </w:r>
          </w:p>
        </w:tc>
      </w:tr>
      <w:tr w14:paraId="1CF45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34BF631D">
            <w:pPr>
              <w:ind w:firstLine="0"/>
              <w:jc w:val="left"/>
              <w:rPr>
                <w:szCs w:val="28"/>
                <w:highlight w:val="none"/>
              </w:rPr>
            </w:pPr>
            <w:r>
              <w:rPr>
                <w:szCs w:val="28"/>
                <w:highlight w:val="none"/>
              </w:rPr>
              <w:t xml:space="preserve">Тимолова проба, Од SH </w:t>
            </w:r>
          </w:p>
        </w:tc>
        <w:tc>
          <w:tcPr>
            <w:tcW w:w="2782" w:type="dxa"/>
            <w:vAlign w:val="center"/>
          </w:tcPr>
          <w:p w14:paraId="0D529ED9">
            <w:pPr>
              <w:ind w:firstLine="0"/>
              <w:jc w:val="center"/>
              <w:rPr>
                <w:szCs w:val="28"/>
                <w:highlight w:val="none"/>
              </w:rPr>
            </w:pPr>
            <w:r>
              <w:rPr>
                <w:szCs w:val="28"/>
                <w:highlight w:val="none"/>
              </w:rPr>
              <w:t>1,6 [1,2; 3,8]</w:t>
            </w:r>
          </w:p>
        </w:tc>
        <w:tc>
          <w:tcPr>
            <w:tcW w:w="2783" w:type="dxa"/>
            <w:vAlign w:val="center"/>
          </w:tcPr>
          <w:p w14:paraId="2E9B2B91">
            <w:pPr>
              <w:ind w:firstLine="0"/>
              <w:jc w:val="center"/>
              <w:rPr>
                <w:szCs w:val="28"/>
                <w:highlight w:val="none"/>
              </w:rPr>
            </w:pPr>
            <w:r>
              <w:rPr>
                <w:szCs w:val="28"/>
                <w:highlight w:val="none"/>
              </w:rPr>
              <w:t>4,1 [2,9; 5,0]</w:t>
            </w:r>
          </w:p>
        </w:tc>
        <w:tc>
          <w:tcPr>
            <w:tcW w:w="1006" w:type="dxa"/>
            <w:vAlign w:val="center"/>
          </w:tcPr>
          <w:p w14:paraId="031A539F">
            <w:pPr>
              <w:ind w:firstLine="0"/>
              <w:jc w:val="center"/>
              <w:rPr>
                <w:szCs w:val="28"/>
                <w:highlight w:val="none"/>
              </w:rPr>
            </w:pPr>
            <w:r>
              <w:rPr>
                <w:szCs w:val="28"/>
                <w:highlight w:val="none"/>
              </w:rPr>
              <w:t>&lt;0,001</w:t>
            </w:r>
          </w:p>
        </w:tc>
      </w:tr>
      <w:tr w14:paraId="321F8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7A3668E7">
            <w:pPr>
              <w:ind w:firstLine="0"/>
              <w:jc w:val="left"/>
              <w:rPr>
                <w:szCs w:val="28"/>
                <w:highlight w:val="none"/>
              </w:rPr>
            </w:pPr>
            <w:r>
              <w:rPr>
                <w:szCs w:val="28"/>
                <w:highlight w:val="none"/>
              </w:rPr>
              <w:t>Альбумін, г/л</w:t>
            </w:r>
          </w:p>
        </w:tc>
        <w:tc>
          <w:tcPr>
            <w:tcW w:w="2782" w:type="dxa"/>
            <w:vAlign w:val="center"/>
          </w:tcPr>
          <w:p w14:paraId="4C5766AC">
            <w:pPr>
              <w:ind w:firstLine="0"/>
              <w:jc w:val="center"/>
              <w:rPr>
                <w:szCs w:val="28"/>
                <w:highlight w:val="none"/>
              </w:rPr>
            </w:pPr>
            <w:r>
              <w:rPr>
                <w:szCs w:val="28"/>
                <w:highlight w:val="none"/>
              </w:rPr>
              <w:t>50,0 [47,6; 53,1]</w:t>
            </w:r>
          </w:p>
        </w:tc>
        <w:tc>
          <w:tcPr>
            <w:tcW w:w="2783" w:type="dxa"/>
            <w:vAlign w:val="center"/>
          </w:tcPr>
          <w:p w14:paraId="581E42BC">
            <w:pPr>
              <w:ind w:firstLine="0"/>
              <w:jc w:val="center"/>
              <w:rPr>
                <w:szCs w:val="28"/>
                <w:highlight w:val="none"/>
              </w:rPr>
            </w:pPr>
            <w:r>
              <w:rPr>
                <w:szCs w:val="28"/>
                <w:highlight w:val="none"/>
              </w:rPr>
              <w:t>45,2 [31,8; 54,0]</w:t>
            </w:r>
          </w:p>
        </w:tc>
        <w:tc>
          <w:tcPr>
            <w:tcW w:w="1006" w:type="dxa"/>
            <w:vAlign w:val="center"/>
          </w:tcPr>
          <w:p w14:paraId="26C16336">
            <w:pPr>
              <w:ind w:firstLine="0"/>
              <w:jc w:val="center"/>
              <w:rPr>
                <w:szCs w:val="28"/>
                <w:highlight w:val="none"/>
              </w:rPr>
            </w:pPr>
            <w:r>
              <w:rPr>
                <w:szCs w:val="28"/>
                <w:highlight w:val="none"/>
              </w:rPr>
              <w:t>0,005</w:t>
            </w:r>
          </w:p>
        </w:tc>
      </w:tr>
      <w:tr w14:paraId="16FC1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5C6BE6FC">
            <w:pPr>
              <w:ind w:firstLine="0"/>
              <w:jc w:val="left"/>
              <w:rPr>
                <w:szCs w:val="28"/>
                <w:highlight w:val="none"/>
              </w:rPr>
            </w:pPr>
            <w:r>
              <w:rPr>
                <w:szCs w:val="28"/>
                <w:highlight w:val="none"/>
              </w:rPr>
              <w:t>Білок загальний, г/л</w:t>
            </w:r>
          </w:p>
        </w:tc>
        <w:tc>
          <w:tcPr>
            <w:tcW w:w="2782" w:type="dxa"/>
            <w:vAlign w:val="center"/>
          </w:tcPr>
          <w:p w14:paraId="58475384">
            <w:pPr>
              <w:ind w:firstLine="0"/>
              <w:jc w:val="center"/>
              <w:rPr>
                <w:szCs w:val="28"/>
                <w:highlight w:val="none"/>
              </w:rPr>
            </w:pPr>
            <w:r>
              <w:rPr>
                <w:szCs w:val="28"/>
                <w:highlight w:val="none"/>
              </w:rPr>
              <w:t>73,3 [68,3; 76,8]</w:t>
            </w:r>
          </w:p>
        </w:tc>
        <w:tc>
          <w:tcPr>
            <w:tcW w:w="2783" w:type="dxa"/>
            <w:vAlign w:val="center"/>
          </w:tcPr>
          <w:p w14:paraId="65EDEAE8">
            <w:pPr>
              <w:ind w:firstLine="0"/>
              <w:jc w:val="center"/>
              <w:rPr>
                <w:szCs w:val="28"/>
                <w:highlight w:val="none"/>
              </w:rPr>
            </w:pPr>
            <w:r>
              <w:rPr>
                <w:szCs w:val="28"/>
                <w:highlight w:val="none"/>
              </w:rPr>
              <w:t>75,7 [70,0; 78,0]</w:t>
            </w:r>
          </w:p>
        </w:tc>
        <w:tc>
          <w:tcPr>
            <w:tcW w:w="1006" w:type="dxa"/>
            <w:vAlign w:val="center"/>
          </w:tcPr>
          <w:p w14:paraId="5E4BA06C">
            <w:pPr>
              <w:ind w:firstLine="0"/>
              <w:jc w:val="center"/>
              <w:rPr>
                <w:szCs w:val="28"/>
                <w:highlight w:val="none"/>
              </w:rPr>
            </w:pPr>
            <w:r>
              <w:rPr>
                <w:szCs w:val="28"/>
                <w:highlight w:val="none"/>
              </w:rPr>
              <w:t>0,109</w:t>
            </w:r>
          </w:p>
        </w:tc>
      </w:tr>
      <w:tr w14:paraId="3F3B0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5E49B6C6">
            <w:pPr>
              <w:ind w:firstLine="0"/>
              <w:jc w:val="left"/>
              <w:rPr>
                <w:szCs w:val="28"/>
                <w:highlight w:val="none"/>
              </w:rPr>
            </w:pPr>
            <w:r>
              <w:rPr>
                <w:szCs w:val="28"/>
                <w:highlight w:val="none"/>
              </w:rPr>
              <w:t>ХС, ммоль/л</w:t>
            </w:r>
          </w:p>
        </w:tc>
        <w:tc>
          <w:tcPr>
            <w:tcW w:w="2782" w:type="dxa"/>
            <w:vAlign w:val="center"/>
          </w:tcPr>
          <w:p w14:paraId="387C458C">
            <w:pPr>
              <w:ind w:firstLine="0"/>
              <w:jc w:val="center"/>
              <w:rPr>
                <w:szCs w:val="28"/>
                <w:highlight w:val="none"/>
              </w:rPr>
            </w:pPr>
            <w:r>
              <w:rPr>
                <w:szCs w:val="28"/>
                <w:highlight w:val="none"/>
              </w:rPr>
              <w:t>3,95 [3,30; 5,30]</w:t>
            </w:r>
          </w:p>
        </w:tc>
        <w:tc>
          <w:tcPr>
            <w:tcW w:w="2783" w:type="dxa"/>
            <w:vAlign w:val="center"/>
          </w:tcPr>
          <w:p w14:paraId="37AAA2B1">
            <w:pPr>
              <w:ind w:firstLine="0"/>
              <w:jc w:val="center"/>
              <w:rPr>
                <w:szCs w:val="28"/>
                <w:highlight w:val="none"/>
              </w:rPr>
            </w:pPr>
            <w:r>
              <w:rPr>
                <w:szCs w:val="28"/>
                <w:highlight w:val="none"/>
              </w:rPr>
              <w:t>4,25 [3,23; 5,20]</w:t>
            </w:r>
          </w:p>
        </w:tc>
        <w:tc>
          <w:tcPr>
            <w:tcW w:w="1006" w:type="dxa"/>
            <w:vAlign w:val="center"/>
          </w:tcPr>
          <w:p w14:paraId="428FA390">
            <w:pPr>
              <w:ind w:firstLine="0"/>
              <w:jc w:val="center"/>
              <w:rPr>
                <w:szCs w:val="28"/>
                <w:highlight w:val="none"/>
              </w:rPr>
            </w:pPr>
            <w:r>
              <w:rPr>
                <w:szCs w:val="28"/>
                <w:highlight w:val="none"/>
              </w:rPr>
              <w:t>0,668</w:t>
            </w:r>
          </w:p>
        </w:tc>
      </w:tr>
      <w:tr w14:paraId="2A881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227062B5">
            <w:pPr>
              <w:ind w:firstLine="0"/>
              <w:jc w:val="left"/>
              <w:rPr>
                <w:szCs w:val="28"/>
                <w:highlight w:val="none"/>
              </w:rPr>
            </w:pPr>
            <w:r>
              <w:rPr>
                <w:szCs w:val="28"/>
                <w:highlight w:val="none"/>
              </w:rPr>
              <w:t>ЛПВЩ, ммоль/л</w:t>
            </w:r>
          </w:p>
        </w:tc>
        <w:tc>
          <w:tcPr>
            <w:tcW w:w="2782" w:type="dxa"/>
            <w:vAlign w:val="center"/>
          </w:tcPr>
          <w:p w14:paraId="0B8A3CAA">
            <w:pPr>
              <w:ind w:firstLine="0"/>
              <w:jc w:val="center"/>
              <w:rPr>
                <w:szCs w:val="28"/>
                <w:highlight w:val="none"/>
              </w:rPr>
            </w:pPr>
            <w:r>
              <w:rPr>
                <w:szCs w:val="28"/>
                <w:highlight w:val="none"/>
              </w:rPr>
              <w:t>1,22 [1,19; 3,66]</w:t>
            </w:r>
          </w:p>
        </w:tc>
        <w:tc>
          <w:tcPr>
            <w:tcW w:w="2783" w:type="dxa"/>
            <w:vAlign w:val="center"/>
          </w:tcPr>
          <w:p w14:paraId="3B166695">
            <w:pPr>
              <w:ind w:firstLine="0"/>
              <w:jc w:val="center"/>
              <w:rPr>
                <w:szCs w:val="28"/>
                <w:highlight w:val="none"/>
              </w:rPr>
            </w:pPr>
            <w:r>
              <w:rPr>
                <w:szCs w:val="28"/>
                <w:highlight w:val="none"/>
              </w:rPr>
              <w:t>1,36 [1,19; 3,65]</w:t>
            </w:r>
          </w:p>
        </w:tc>
        <w:tc>
          <w:tcPr>
            <w:tcW w:w="1006" w:type="dxa"/>
            <w:vAlign w:val="center"/>
          </w:tcPr>
          <w:p w14:paraId="582DFE71">
            <w:pPr>
              <w:ind w:firstLine="0"/>
              <w:jc w:val="center"/>
              <w:rPr>
                <w:szCs w:val="28"/>
                <w:highlight w:val="none"/>
              </w:rPr>
            </w:pPr>
            <w:r>
              <w:rPr>
                <w:szCs w:val="28"/>
                <w:highlight w:val="none"/>
              </w:rPr>
              <w:t>0,478</w:t>
            </w:r>
          </w:p>
        </w:tc>
      </w:tr>
      <w:tr w14:paraId="5DE4B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12340FDC">
            <w:pPr>
              <w:ind w:firstLine="0"/>
              <w:jc w:val="left"/>
              <w:rPr>
                <w:szCs w:val="28"/>
                <w:highlight w:val="none"/>
              </w:rPr>
            </w:pPr>
            <w:r>
              <w:rPr>
                <w:szCs w:val="28"/>
                <w:highlight w:val="none"/>
              </w:rPr>
              <w:t>ТГ, ммоль/л</w:t>
            </w:r>
          </w:p>
        </w:tc>
        <w:tc>
          <w:tcPr>
            <w:tcW w:w="2782" w:type="dxa"/>
            <w:vAlign w:val="center"/>
          </w:tcPr>
          <w:p w14:paraId="75789D49">
            <w:pPr>
              <w:ind w:firstLine="0"/>
              <w:jc w:val="center"/>
              <w:rPr>
                <w:szCs w:val="28"/>
                <w:highlight w:val="none"/>
              </w:rPr>
            </w:pPr>
            <w:r>
              <w:rPr>
                <w:szCs w:val="28"/>
                <w:highlight w:val="none"/>
              </w:rPr>
              <w:t>1,30 [0,91; 3,65]</w:t>
            </w:r>
          </w:p>
        </w:tc>
        <w:tc>
          <w:tcPr>
            <w:tcW w:w="2783" w:type="dxa"/>
            <w:vAlign w:val="center"/>
          </w:tcPr>
          <w:p w14:paraId="3F75210E">
            <w:pPr>
              <w:ind w:firstLine="0"/>
              <w:jc w:val="center"/>
              <w:rPr>
                <w:szCs w:val="28"/>
                <w:highlight w:val="none"/>
              </w:rPr>
            </w:pPr>
            <w:r>
              <w:rPr>
                <w:szCs w:val="28"/>
                <w:highlight w:val="none"/>
              </w:rPr>
              <w:t>1,14 [0,89; 3,82]</w:t>
            </w:r>
          </w:p>
        </w:tc>
        <w:tc>
          <w:tcPr>
            <w:tcW w:w="1006" w:type="dxa"/>
            <w:vAlign w:val="center"/>
          </w:tcPr>
          <w:p w14:paraId="01DA9BD5">
            <w:pPr>
              <w:ind w:firstLine="0"/>
              <w:jc w:val="center"/>
              <w:rPr>
                <w:szCs w:val="28"/>
                <w:highlight w:val="none"/>
              </w:rPr>
            </w:pPr>
            <w:r>
              <w:rPr>
                <w:szCs w:val="28"/>
                <w:highlight w:val="none"/>
              </w:rPr>
              <w:t>0,698</w:t>
            </w:r>
          </w:p>
        </w:tc>
      </w:tr>
      <w:tr w14:paraId="652E6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1E5B6C7C">
            <w:pPr>
              <w:ind w:firstLine="0"/>
              <w:jc w:val="left"/>
              <w:rPr>
                <w:szCs w:val="28"/>
                <w:highlight w:val="none"/>
              </w:rPr>
            </w:pPr>
            <w:r>
              <w:rPr>
                <w:szCs w:val="28"/>
                <w:highlight w:val="none"/>
              </w:rPr>
              <w:t>ЛПНЩ, ммоль/л</w:t>
            </w:r>
          </w:p>
        </w:tc>
        <w:tc>
          <w:tcPr>
            <w:tcW w:w="2782" w:type="dxa"/>
            <w:vAlign w:val="center"/>
          </w:tcPr>
          <w:p w14:paraId="284E0E9F">
            <w:pPr>
              <w:ind w:firstLine="0"/>
              <w:jc w:val="center"/>
              <w:rPr>
                <w:szCs w:val="28"/>
                <w:highlight w:val="none"/>
              </w:rPr>
            </w:pPr>
            <w:r>
              <w:rPr>
                <w:szCs w:val="28"/>
                <w:highlight w:val="none"/>
              </w:rPr>
              <w:t>2,10 [1,53; 2,68]</w:t>
            </w:r>
          </w:p>
        </w:tc>
        <w:tc>
          <w:tcPr>
            <w:tcW w:w="2783" w:type="dxa"/>
            <w:vAlign w:val="center"/>
          </w:tcPr>
          <w:p w14:paraId="1291D1A3">
            <w:pPr>
              <w:ind w:firstLine="0"/>
              <w:jc w:val="center"/>
              <w:rPr>
                <w:szCs w:val="28"/>
                <w:highlight w:val="none"/>
              </w:rPr>
            </w:pPr>
            <w:r>
              <w:rPr>
                <w:szCs w:val="28"/>
                <w:highlight w:val="none"/>
              </w:rPr>
              <w:t>2,19 [1,53; 3,00]</w:t>
            </w:r>
          </w:p>
        </w:tc>
        <w:tc>
          <w:tcPr>
            <w:tcW w:w="1006" w:type="dxa"/>
            <w:vAlign w:val="center"/>
          </w:tcPr>
          <w:p w14:paraId="49C961EC">
            <w:pPr>
              <w:ind w:firstLine="0"/>
              <w:jc w:val="center"/>
              <w:rPr>
                <w:szCs w:val="28"/>
                <w:highlight w:val="none"/>
              </w:rPr>
            </w:pPr>
            <w:r>
              <w:rPr>
                <w:szCs w:val="28"/>
                <w:highlight w:val="none"/>
              </w:rPr>
              <w:t>0,402</w:t>
            </w:r>
          </w:p>
        </w:tc>
      </w:tr>
      <w:tr w14:paraId="01E9E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0C0EE19F">
            <w:pPr>
              <w:ind w:firstLine="0"/>
              <w:jc w:val="left"/>
              <w:rPr>
                <w:szCs w:val="28"/>
                <w:highlight w:val="none"/>
              </w:rPr>
            </w:pPr>
            <w:r>
              <w:rPr>
                <w:szCs w:val="28"/>
                <w:highlight w:val="none"/>
              </w:rPr>
              <w:t>ЛПДНЩ, ммоль/л</w:t>
            </w:r>
          </w:p>
        </w:tc>
        <w:tc>
          <w:tcPr>
            <w:tcW w:w="2782" w:type="dxa"/>
            <w:vAlign w:val="center"/>
          </w:tcPr>
          <w:p w14:paraId="4C956CA0">
            <w:pPr>
              <w:ind w:firstLine="0"/>
              <w:jc w:val="center"/>
              <w:rPr>
                <w:szCs w:val="28"/>
                <w:highlight w:val="none"/>
              </w:rPr>
            </w:pPr>
            <w:r>
              <w:rPr>
                <w:szCs w:val="28"/>
                <w:highlight w:val="none"/>
              </w:rPr>
              <w:t>0,59 [0,43; 0,75]</w:t>
            </w:r>
          </w:p>
        </w:tc>
        <w:tc>
          <w:tcPr>
            <w:tcW w:w="2783" w:type="dxa"/>
            <w:vAlign w:val="center"/>
          </w:tcPr>
          <w:p w14:paraId="575A5FFF">
            <w:pPr>
              <w:ind w:firstLine="0"/>
              <w:jc w:val="center"/>
              <w:rPr>
                <w:szCs w:val="28"/>
                <w:highlight w:val="none"/>
              </w:rPr>
            </w:pPr>
            <w:r>
              <w:rPr>
                <w:szCs w:val="28"/>
                <w:highlight w:val="none"/>
              </w:rPr>
              <w:t>0,52 [0,40; 0,82]</w:t>
            </w:r>
          </w:p>
        </w:tc>
        <w:tc>
          <w:tcPr>
            <w:tcW w:w="1006" w:type="dxa"/>
            <w:vAlign w:val="center"/>
          </w:tcPr>
          <w:p w14:paraId="47E33B77">
            <w:pPr>
              <w:ind w:firstLine="0"/>
              <w:jc w:val="center"/>
              <w:rPr>
                <w:szCs w:val="28"/>
                <w:highlight w:val="none"/>
              </w:rPr>
            </w:pPr>
            <w:r>
              <w:rPr>
                <w:szCs w:val="28"/>
                <w:highlight w:val="none"/>
              </w:rPr>
              <w:t>0,491</w:t>
            </w:r>
          </w:p>
        </w:tc>
      </w:tr>
      <w:tr w14:paraId="7573B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32358DCB">
            <w:pPr>
              <w:ind w:firstLine="0"/>
              <w:jc w:val="left"/>
              <w:rPr>
                <w:szCs w:val="28"/>
                <w:highlight w:val="none"/>
              </w:rPr>
            </w:pPr>
            <w:r>
              <w:rPr>
                <w:szCs w:val="28"/>
                <w:highlight w:val="none"/>
              </w:rPr>
              <w:t>КА</w:t>
            </w:r>
          </w:p>
        </w:tc>
        <w:tc>
          <w:tcPr>
            <w:tcW w:w="2782" w:type="dxa"/>
            <w:vAlign w:val="center"/>
          </w:tcPr>
          <w:p w14:paraId="620B9DCE">
            <w:pPr>
              <w:ind w:firstLine="0"/>
              <w:jc w:val="center"/>
              <w:rPr>
                <w:szCs w:val="28"/>
                <w:highlight w:val="none"/>
              </w:rPr>
            </w:pPr>
            <w:r>
              <w:rPr>
                <w:szCs w:val="28"/>
                <w:highlight w:val="none"/>
              </w:rPr>
              <w:t>2,10 [1,71; 2,44]</w:t>
            </w:r>
          </w:p>
        </w:tc>
        <w:tc>
          <w:tcPr>
            <w:tcW w:w="2783" w:type="dxa"/>
            <w:vAlign w:val="center"/>
          </w:tcPr>
          <w:p w14:paraId="1275E00F">
            <w:pPr>
              <w:ind w:firstLine="0"/>
              <w:jc w:val="center"/>
              <w:rPr>
                <w:szCs w:val="28"/>
                <w:highlight w:val="none"/>
              </w:rPr>
            </w:pPr>
            <w:r>
              <w:rPr>
                <w:szCs w:val="28"/>
                <w:highlight w:val="none"/>
              </w:rPr>
              <w:t>2,00 [1,59; 2,77]</w:t>
            </w:r>
          </w:p>
        </w:tc>
        <w:tc>
          <w:tcPr>
            <w:tcW w:w="1006" w:type="dxa"/>
            <w:vAlign w:val="center"/>
          </w:tcPr>
          <w:p w14:paraId="387F1CB1">
            <w:pPr>
              <w:ind w:firstLine="0"/>
              <w:jc w:val="center"/>
              <w:rPr>
                <w:szCs w:val="28"/>
                <w:highlight w:val="none"/>
              </w:rPr>
            </w:pPr>
            <w:r>
              <w:rPr>
                <w:szCs w:val="28"/>
                <w:highlight w:val="none"/>
              </w:rPr>
              <w:t>0,571</w:t>
            </w:r>
          </w:p>
        </w:tc>
      </w:tr>
      <w:tr w14:paraId="0D895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3A317FFC">
            <w:pPr>
              <w:ind w:firstLine="0"/>
              <w:jc w:val="left"/>
              <w:rPr>
                <w:szCs w:val="28"/>
                <w:highlight w:val="none"/>
              </w:rPr>
            </w:pPr>
            <w:r>
              <w:rPr>
                <w:szCs w:val="28"/>
                <w:highlight w:val="none"/>
              </w:rPr>
              <w:t>Креатинін, мкмоль/л</w:t>
            </w:r>
          </w:p>
        </w:tc>
        <w:tc>
          <w:tcPr>
            <w:tcW w:w="2782" w:type="dxa"/>
            <w:vAlign w:val="center"/>
          </w:tcPr>
          <w:p w14:paraId="0C25500E">
            <w:pPr>
              <w:ind w:firstLine="0"/>
              <w:jc w:val="center"/>
              <w:rPr>
                <w:szCs w:val="28"/>
                <w:highlight w:val="none"/>
              </w:rPr>
            </w:pPr>
            <w:r>
              <w:rPr>
                <w:szCs w:val="28"/>
                <w:highlight w:val="none"/>
              </w:rPr>
              <w:t>76,1 [71,0; 93,9]</w:t>
            </w:r>
          </w:p>
        </w:tc>
        <w:tc>
          <w:tcPr>
            <w:tcW w:w="2783" w:type="dxa"/>
            <w:vAlign w:val="center"/>
          </w:tcPr>
          <w:p w14:paraId="13007FB5">
            <w:pPr>
              <w:ind w:firstLine="0"/>
              <w:jc w:val="center"/>
              <w:rPr>
                <w:szCs w:val="28"/>
                <w:highlight w:val="none"/>
              </w:rPr>
            </w:pPr>
            <w:r>
              <w:rPr>
                <w:szCs w:val="28"/>
                <w:highlight w:val="none"/>
              </w:rPr>
              <w:t>76,8 [68,0; 83,9]</w:t>
            </w:r>
          </w:p>
        </w:tc>
        <w:tc>
          <w:tcPr>
            <w:tcW w:w="1006" w:type="dxa"/>
            <w:vAlign w:val="center"/>
          </w:tcPr>
          <w:p w14:paraId="57644939">
            <w:pPr>
              <w:ind w:firstLine="0"/>
              <w:jc w:val="center"/>
              <w:rPr>
                <w:szCs w:val="28"/>
                <w:highlight w:val="none"/>
              </w:rPr>
            </w:pPr>
            <w:r>
              <w:rPr>
                <w:szCs w:val="28"/>
                <w:highlight w:val="none"/>
              </w:rPr>
              <w:t>0,259</w:t>
            </w:r>
          </w:p>
        </w:tc>
      </w:tr>
      <w:tr w14:paraId="2A8AD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4BA172D0">
            <w:pPr>
              <w:ind w:firstLine="0"/>
              <w:jc w:val="left"/>
              <w:rPr>
                <w:szCs w:val="28"/>
                <w:highlight w:val="none"/>
              </w:rPr>
            </w:pPr>
            <w:r>
              <w:rPr>
                <w:szCs w:val="28"/>
                <w:highlight w:val="none"/>
              </w:rPr>
              <w:t>Глюкоза, ммоль/л</w:t>
            </w:r>
          </w:p>
        </w:tc>
        <w:tc>
          <w:tcPr>
            <w:tcW w:w="2782" w:type="dxa"/>
            <w:vAlign w:val="center"/>
          </w:tcPr>
          <w:p w14:paraId="503E8BEF">
            <w:pPr>
              <w:ind w:firstLine="0"/>
              <w:jc w:val="center"/>
              <w:rPr>
                <w:szCs w:val="28"/>
                <w:highlight w:val="none"/>
              </w:rPr>
            </w:pPr>
            <w:r>
              <w:rPr>
                <w:szCs w:val="28"/>
                <w:highlight w:val="none"/>
              </w:rPr>
              <w:t>4,70 [4,30; 5,30]</w:t>
            </w:r>
          </w:p>
        </w:tc>
        <w:tc>
          <w:tcPr>
            <w:tcW w:w="2783" w:type="dxa"/>
            <w:vAlign w:val="center"/>
          </w:tcPr>
          <w:p w14:paraId="33C7B2AF">
            <w:pPr>
              <w:ind w:firstLine="0"/>
              <w:jc w:val="center"/>
              <w:rPr>
                <w:szCs w:val="28"/>
                <w:highlight w:val="none"/>
              </w:rPr>
            </w:pPr>
            <w:r>
              <w:rPr>
                <w:szCs w:val="28"/>
                <w:highlight w:val="none"/>
              </w:rPr>
              <w:t>5,00 [4,70; 5,50]</w:t>
            </w:r>
          </w:p>
        </w:tc>
        <w:tc>
          <w:tcPr>
            <w:tcW w:w="1006" w:type="dxa"/>
            <w:vAlign w:val="center"/>
          </w:tcPr>
          <w:p w14:paraId="15B8523C">
            <w:pPr>
              <w:ind w:firstLine="0"/>
              <w:jc w:val="center"/>
              <w:rPr>
                <w:szCs w:val="28"/>
                <w:highlight w:val="none"/>
              </w:rPr>
            </w:pPr>
            <w:r>
              <w:rPr>
                <w:szCs w:val="28"/>
                <w:highlight w:val="none"/>
              </w:rPr>
              <w:t>0,164</w:t>
            </w:r>
          </w:p>
        </w:tc>
      </w:tr>
      <w:tr w14:paraId="142D7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75920FF6">
            <w:pPr>
              <w:ind w:firstLine="0"/>
              <w:jc w:val="left"/>
              <w:rPr>
                <w:szCs w:val="28"/>
                <w:highlight w:val="none"/>
              </w:rPr>
            </w:pPr>
            <w:r>
              <w:rPr>
                <w:szCs w:val="28"/>
                <w:highlight w:val="none"/>
              </w:rPr>
              <w:t>ОП, пг/мл</w:t>
            </w:r>
          </w:p>
        </w:tc>
        <w:tc>
          <w:tcPr>
            <w:tcW w:w="2782" w:type="dxa"/>
            <w:vAlign w:val="center"/>
          </w:tcPr>
          <w:p w14:paraId="59E23DF5">
            <w:pPr>
              <w:ind w:firstLine="0"/>
              <w:jc w:val="center"/>
              <w:rPr>
                <w:szCs w:val="28"/>
                <w:highlight w:val="none"/>
              </w:rPr>
            </w:pPr>
            <w:r>
              <w:rPr>
                <w:szCs w:val="28"/>
                <w:highlight w:val="none"/>
              </w:rPr>
              <w:t>4,61 [3,86; 4,87]</w:t>
            </w:r>
          </w:p>
        </w:tc>
        <w:tc>
          <w:tcPr>
            <w:tcW w:w="2783" w:type="dxa"/>
            <w:vAlign w:val="center"/>
          </w:tcPr>
          <w:p w14:paraId="2E385A87">
            <w:pPr>
              <w:ind w:firstLine="0"/>
              <w:jc w:val="center"/>
              <w:rPr>
                <w:szCs w:val="28"/>
                <w:highlight w:val="none"/>
              </w:rPr>
            </w:pPr>
            <w:r>
              <w:rPr>
                <w:szCs w:val="28"/>
                <w:highlight w:val="none"/>
              </w:rPr>
              <w:t>7,49 [5,21; 9,90]</w:t>
            </w:r>
          </w:p>
        </w:tc>
        <w:tc>
          <w:tcPr>
            <w:tcW w:w="1006" w:type="dxa"/>
            <w:vAlign w:val="center"/>
          </w:tcPr>
          <w:p w14:paraId="235A39D9">
            <w:pPr>
              <w:ind w:firstLine="0"/>
              <w:jc w:val="center"/>
              <w:rPr>
                <w:szCs w:val="28"/>
                <w:highlight w:val="none"/>
              </w:rPr>
            </w:pPr>
            <w:r>
              <w:rPr>
                <w:szCs w:val="28"/>
                <w:highlight w:val="none"/>
              </w:rPr>
              <w:t>&lt;0,001</w:t>
            </w:r>
          </w:p>
        </w:tc>
      </w:tr>
      <w:tr w14:paraId="2358E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20D9B12C">
            <w:pPr>
              <w:ind w:firstLine="0"/>
              <w:jc w:val="left"/>
              <w:rPr>
                <w:szCs w:val="28"/>
                <w:highlight w:val="none"/>
              </w:rPr>
            </w:pPr>
            <w:r>
              <w:rPr>
                <w:szCs w:val="28"/>
                <w:highlight w:val="none"/>
              </w:rPr>
              <w:t>Вітамін D, нг/мл</w:t>
            </w:r>
          </w:p>
        </w:tc>
        <w:tc>
          <w:tcPr>
            <w:tcW w:w="2782" w:type="dxa"/>
            <w:vAlign w:val="center"/>
          </w:tcPr>
          <w:p w14:paraId="3EBDD0AE">
            <w:pPr>
              <w:ind w:firstLine="0"/>
              <w:jc w:val="center"/>
              <w:rPr>
                <w:szCs w:val="28"/>
                <w:highlight w:val="none"/>
              </w:rPr>
            </w:pPr>
            <w:r>
              <w:rPr>
                <w:szCs w:val="28"/>
                <w:highlight w:val="none"/>
              </w:rPr>
              <w:t>24,69 [22,80; 26,87]</w:t>
            </w:r>
          </w:p>
        </w:tc>
        <w:tc>
          <w:tcPr>
            <w:tcW w:w="2783" w:type="dxa"/>
            <w:vAlign w:val="center"/>
          </w:tcPr>
          <w:p w14:paraId="597578DB">
            <w:pPr>
              <w:ind w:firstLine="0"/>
              <w:jc w:val="center"/>
              <w:rPr>
                <w:szCs w:val="28"/>
                <w:highlight w:val="none"/>
              </w:rPr>
            </w:pPr>
            <w:r>
              <w:rPr>
                <w:szCs w:val="28"/>
                <w:highlight w:val="none"/>
              </w:rPr>
              <w:t>18,03 [15,47; 39,57]</w:t>
            </w:r>
          </w:p>
        </w:tc>
        <w:tc>
          <w:tcPr>
            <w:tcW w:w="1006" w:type="dxa"/>
            <w:vAlign w:val="center"/>
          </w:tcPr>
          <w:p w14:paraId="0844B27A">
            <w:pPr>
              <w:ind w:firstLine="0"/>
              <w:jc w:val="center"/>
              <w:rPr>
                <w:szCs w:val="28"/>
                <w:highlight w:val="none"/>
              </w:rPr>
            </w:pPr>
            <w:r>
              <w:rPr>
                <w:szCs w:val="28"/>
                <w:highlight w:val="none"/>
              </w:rPr>
              <w:t>&lt;0,001</w:t>
            </w:r>
          </w:p>
        </w:tc>
      </w:tr>
    </w:tbl>
    <w:p w14:paraId="125E92C0">
      <w:pPr>
        <w:rPr>
          <w:szCs w:val="28"/>
          <w:highlight w:val="none"/>
        </w:rPr>
      </w:pPr>
    </w:p>
    <w:p w14:paraId="0792BE48">
      <w:pPr>
        <w:rPr>
          <w:szCs w:val="28"/>
          <w:highlight w:val="none"/>
        </w:rPr>
      </w:pPr>
      <w:r>
        <w:rPr>
          <w:szCs w:val="28"/>
          <w:highlight w:val="none"/>
        </w:rPr>
        <w:t xml:space="preserve">Серед параметрів біохімічного аналізу крові, достовірно (р&lt;0,001) вищими були медіани АЛТ, АСТ та ГГТ у пацієнтів з ВГС, ніж у контролі, проте рівні ЛФ були майже однакові в обох досліджених групах (р=0,624). У обстежених пацієнтів спостерігалася гіпербілірубінемія за рахунок прямої фракції: 3,58 [2,85; 5,30] ммоль/л та 2,52 [1,92; 4,09] ммоль/л (р = 0,001) для основної та групи контролю відповідно. Рівні непрямої фракції недостовірно переважали в групі контролю (р=0,084). Майже в 3 рази вищим був медіанний показник тимолової проби у пацієнтів з ВГС, ніж в контролі: відповідно 4,1 [2,9; 5,0] Од S-H та 1,6 [1,2; 3,8] Од S-H, р&lt;0,001. У пацієнтів з ВГС спостерігався нижчий рівень альбуміну (р = 0,005), табл. 3.4. </w:t>
      </w:r>
    </w:p>
    <w:p w14:paraId="7D64ECB3">
      <w:pPr>
        <w:rPr>
          <w:szCs w:val="28"/>
          <w:highlight w:val="none"/>
        </w:rPr>
      </w:pPr>
      <w:r>
        <w:rPr>
          <w:szCs w:val="28"/>
          <w:highlight w:val="none"/>
        </w:rPr>
        <w:t xml:space="preserve">Серед параметрів метаболізму ліпідів не було визначено достовірної різниці між дослідженими групами пацієнтів. Медіани креатиніну та глюкози також достовірно не різнилися, хоча кількісно незначно переважали у пацієнтів основної групи (табл. 3.4). </w:t>
      </w:r>
    </w:p>
    <w:p w14:paraId="37F1AF23">
      <w:pPr>
        <w:rPr>
          <w:szCs w:val="28"/>
          <w:highlight w:val="none"/>
        </w:rPr>
      </w:pPr>
      <w:r>
        <w:rPr>
          <w:szCs w:val="28"/>
          <w:highlight w:val="none"/>
        </w:rPr>
        <w:t>Стосовно вивчених маркерів, то рівні остеопонтину були достовірно вищі у пацієнтів з ВГС, ніж в контролі: відповідно 7,49 [5,21; 9,90] пг/мл та 4,61 [3,86; 4,87] пг/мл (р&lt;0,001); та рівні вітаміну D достовірно (р&lt;0,001) превалювали в групі контролю, ніж у пацієнтів з ВГС: відповідно 24,69 [22,80; 26,87] нг/мл та 18,03 915,47; 39,57] нг/мл (табл. 3.4).</w:t>
      </w:r>
    </w:p>
    <w:p w14:paraId="56659B6D">
      <w:pPr>
        <w:rPr>
          <w:highlight w:val="none"/>
        </w:rPr>
      </w:pPr>
    </w:p>
    <w:p w14:paraId="0167CA50">
      <w:pPr>
        <w:pStyle w:val="3"/>
        <w:rPr>
          <w:szCs w:val="28"/>
          <w:highlight w:val="none"/>
        </w:rPr>
      </w:pPr>
      <w:bookmarkStart w:id="36" w:name="_Toc153923957"/>
      <w:bookmarkStart w:id="37" w:name="_Toc147703406"/>
      <w:r>
        <w:rPr>
          <w:szCs w:val="28"/>
          <w:highlight w:val="none"/>
        </w:rPr>
        <w:t>3.2 Показники обстежених пацієнтів в залежності від ступеню фіброзу до лікування</w:t>
      </w:r>
      <w:bookmarkEnd w:id="36"/>
      <w:bookmarkEnd w:id="37"/>
    </w:p>
    <w:p w14:paraId="6DAD988D">
      <w:pPr>
        <w:rPr>
          <w:szCs w:val="28"/>
          <w:highlight w:val="none"/>
        </w:rPr>
      </w:pPr>
    </w:p>
    <w:p w14:paraId="2840E79B">
      <w:pPr>
        <w:rPr>
          <w:szCs w:val="28"/>
          <w:highlight w:val="none"/>
        </w:rPr>
      </w:pPr>
      <w:r>
        <w:rPr>
          <w:szCs w:val="28"/>
          <w:highlight w:val="none"/>
        </w:rPr>
        <w:t>В даному підрозділі надано статистичний аналіз отриманих даних показників пацієнтів з ВГС, розподілених за стадією фіброзу. До 1 підгрупи входили пацієнти з початковою (0–2) стадією фіброзу, до другої було включено пацієнтів з прогресуючою (3–4) стадією. Надано порівняння отриманих клініко-анамнестичних показників.</w:t>
      </w:r>
    </w:p>
    <w:p w14:paraId="5315E1E2">
      <w:pPr>
        <w:rPr>
          <w:szCs w:val="28"/>
          <w:highlight w:val="none"/>
        </w:rPr>
      </w:pPr>
      <w:r>
        <w:rPr>
          <w:szCs w:val="28"/>
          <w:highlight w:val="none"/>
        </w:rPr>
        <w:t xml:space="preserve">Медіанний вік пацієнтів в 1 підгрупі фіброзу становив 45,0 [37,0; 51,0] років, а в 2 підгрупі — 47,0 [44,25; 56,25] років, р = 0,113. </w:t>
      </w:r>
    </w:p>
    <w:p w14:paraId="2F6C1C26">
      <w:pPr>
        <w:rPr>
          <w:szCs w:val="28"/>
          <w:highlight w:val="none"/>
        </w:rPr>
      </w:pPr>
    </w:p>
    <w:p w14:paraId="4ECA2282">
      <w:pPr>
        <w:jc w:val="right"/>
        <w:rPr>
          <w:i/>
          <w:iCs/>
          <w:szCs w:val="28"/>
          <w:highlight w:val="none"/>
        </w:rPr>
      </w:pPr>
      <w:bookmarkStart w:id="38" w:name="_Hlk154338906"/>
      <w:r>
        <w:rPr>
          <w:i/>
          <w:iCs/>
          <w:szCs w:val="28"/>
          <w:highlight w:val="none"/>
        </w:rPr>
        <w:t>Таблиця 3.5</w:t>
      </w:r>
    </w:p>
    <w:bookmarkEnd w:id="38"/>
    <w:p w14:paraId="3E3A91D1">
      <w:pPr>
        <w:rPr>
          <w:b/>
          <w:bCs/>
          <w:szCs w:val="28"/>
          <w:highlight w:val="none"/>
        </w:rPr>
      </w:pPr>
      <w:r>
        <w:rPr>
          <w:b/>
          <w:bCs/>
          <w:szCs w:val="28"/>
          <w:highlight w:val="none"/>
        </w:rPr>
        <w:t>Стать обстежених пацієнтів (абс., %)</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396"/>
        <w:gridCol w:w="2547"/>
        <w:gridCol w:w="2547"/>
        <w:gridCol w:w="854"/>
      </w:tblGrid>
      <w:tr w14:paraId="7DB08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96" w:type="dxa"/>
            <w:vAlign w:val="center"/>
          </w:tcPr>
          <w:p w14:paraId="2456872F">
            <w:pPr>
              <w:ind w:firstLine="0"/>
              <w:jc w:val="left"/>
              <w:rPr>
                <w:b/>
                <w:bCs/>
                <w:szCs w:val="28"/>
                <w:highlight w:val="none"/>
              </w:rPr>
            </w:pPr>
            <w:bookmarkStart w:id="39" w:name="_Hlk154338931"/>
            <w:r>
              <w:rPr>
                <w:b/>
                <w:bCs/>
                <w:szCs w:val="28"/>
                <w:highlight w:val="none"/>
              </w:rPr>
              <w:t>Показник</w:t>
            </w:r>
          </w:p>
        </w:tc>
        <w:tc>
          <w:tcPr>
            <w:tcW w:w="2547" w:type="dxa"/>
            <w:vAlign w:val="center"/>
          </w:tcPr>
          <w:p w14:paraId="60AC829A">
            <w:pPr>
              <w:ind w:firstLine="0"/>
              <w:jc w:val="center"/>
              <w:rPr>
                <w:b/>
                <w:bCs/>
                <w:szCs w:val="28"/>
                <w:highlight w:val="none"/>
              </w:rPr>
            </w:pPr>
            <w:r>
              <w:rPr>
                <w:b/>
                <w:bCs/>
                <w:szCs w:val="28"/>
                <w:highlight w:val="none"/>
              </w:rPr>
              <w:t>1 підгрупа (n=31)</w:t>
            </w:r>
          </w:p>
        </w:tc>
        <w:tc>
          <w:tcPr>
            <w:tcW w:w="2547" w:type="dxa"/>
            <w:vAlign w:val="center"/>
          </w:tcPr>
          <w:p w14:paraId="6350E5DD">
            <w:pPr>
              <w:ind w:firstLine="0"/>
              <w:jc w:val="center"/>
              <w:rPr>
                <w:b/>
                <w:bCs/>
                <w:szCs w:val="28"/>
                <w:highlight w:val="none"/>
              </w:rPr>
            </w:pPr>
            <w:r>
              <w:rPr>
                <w:b/>
                <w:bCs/>
                <w:szCs w:val="28"/>
                <w:highlight w:val="none"/>
              </w:rPr>
              <w:t>3–4 (n=16)</w:t>
            </w:r>
          </w:p>
        </w:tc>
        <w:tc>
          <w:tcPr>
            <w:tcW w:w="854" w:type="dxa"/>
            <w:vAlign w:val="center"/>
          </w:tcPr>
          <w:p w14:paraId="1C582157">
            <w:pPr>
              <w:ind w:firstLine="0"/>
              <w:jc w:val="center"/>
              <w:rPr>
                <w:b/>
                <w:bCs/>
                <w:szCs w:val="28"/>
                <w:highlight w:val="none"/>
              </w:rPr>
            </w:pPr>
            <w:r>
              <w:rPr>
                <w:b/>
                <w:bCs/>
                <w:szCs w:val="28"/>
                <w:highlight w:val="none"/>
              </w:rPr>
              <w:t>p</w:t>
            </w:r>
          </w:p>
        </w:tc>
      </w:tr>
      <w:bookmarkEnd w:id="39"/>
      <w:tr w14:paraId="2768B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96" w:type="dxa"/>
            <w:vAlign w:val="center"/>
          </w:tcPr>
          <w:p w14:paraId="29948125">
            <w:pPr>
              <w:ind w:firstLine="0"/>
              <w:jc w:val="left"/>
              <w:rPr>
                <w:szCs w:val="28"/>
                <w:highlight w:val="none"/>
              </w:rPr>
            </w:pPr>
            <w:r>
              <w:rPr>
                <w:szCs w:val="28"/>
                <w:highlight w:val="none"/>
              </w:rPr>
              <w:t>Жінки</w:t>
            </w:r>
          </w:p>
        </w:tc>
        <w:tc>
          <w:tcPr>
            <w:tcW w:w="2547" w:type="dxa"/>
            <w:vAlign w:val="center"/>
          </w:tcPr>
          <w:p w14:paraId="2D6D7FEB">
            <w:pPr>
              <w:ind w:firstLine="0"/>
              <w:jc w:val="center"/>
              <w:rPr>
                <w:szCs w:val="28"/>
                <w:highlight w:val="none"/>
              </w:rPr>
            </w:pPr>
            <w:r>
              <w:rPr>
                <w:szCs w:val="28"/>
                <w:highlight w:val="none"/>
              </w:rPr>
              <w:t>11 (35,5)</w:t>
            </w:r>
          </w:p>
        </w:tc>
        <w:tc>
          <w:tcPr>
            <w:tcW w:w="2547" w:type="dxa"/>
            <w:vAlign w:val="center"/>
          </w:tcPr>
          <w:p w14:paraId="3389711A">
            <w:pPr>
              <w:ind w:firstLine="0"/>
              <w:jc w:val="center"/>
              <w:rPr>
                <w:szCs w:val="28"/>
                <w:highlight w:val="none"/>
              </w:rPr>
            </w:pPr>
            <w:r>
              <w:rPr>
                <w:szCs w:val="28"/>
                <w:highlight w:val="none"/>
              </w:rPr>
              <w:t>8 (50,0)</w:t>
            </w:r>
          </w:p>
        </w:tc>
        <w:tc>
          <w:tcPr>
            <w:tcW w:w="854" w:type="dxa"/>
            <w:vMerge w:val="restart"/>
            <w:vAlign w:val="center"/>
          </w:tcPr>
          <w:p w14:paraId="0C18DF99">
            <w:pPr>
              <w:ind w:firstLine="0"/>
              <w:jc w:val="center"/>
              <w:rPr>
                <w:szCs w:val="28"/>
                <w:highlight w:val="none"/>
              </w:rPr>
            </w:pPr>
            <w:r>
              <w:rPr>
                <w:szCs w:val="28"/>
                <w:highlight w:val="none"/>
              </w:rPr>
              <w:t>0,337</w:t>
            </w:r>
          </w:p>
        </w:tc>
      </w:tr>
      <w:tr w14:paraId="5CDDD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96" w:type="dxa"/>
            <w:vAlign w:val="center"/>
          </w:tcPr>
          <w:p w14:paraId="30805CDE">
            <w:pPr>
              <w:ind w:firstLine="0"/>
              <w:jc w:val="left"/>
              <w:rPr>
                <w:szCs w:val="28"/>
                <w:highlight w:val="none"/>
              </w:rPr>
            </w:pPr>
            <w:r>
              <w:rPr>
                <w:szCs w:val="28"/>
                <w:highlight w:val="none"/>
              </w:rPr>
              <w:t>Чоловіки</w:t>
            </w:r>
          </w:p>
        </w:tc>
        <w:tc>
          <w:tcPr>
            <w:tcW w:w="2547" w:type="dxa"/>
            <w:vAlign w:val="center"/>
          </w:tcPr>
          <w:p w14:paraId="0EB106C3">
            <w:pPr>
              <w:ind w:firstLine="0"/>
              <w:jc w:val="center"/>
              <w:rPr>
                <w:szCs w:val="28"/>
                <w:highlight w:val="none"/>
              </w:rPr>
            </w:pPr>
            <w:r>
              <w:rPr>
                <w:szCs w:val="28"/>
                <w:highlight w:val="none"/>
              </w:rPr>
              <w:t>20 (64,5)</w:t>
            </w:r>
          </w:p>
        </w:tc>
        <w:tc>
          <w:tcPr>
            <w:tcW w:w="2547" w:type="dxa"/>
            <w:vAlign w:val="center"/>
          </w:tcPr>
          <w:p w14:paraId="22F5CE69">
            <w:pPr>
              <w:ind w:firstLine="0"/>
              <w:jc w:val="center"/>
              <w:rPr>
                <w:szCs w:val="28"/>
                <w:highlight w:val="none"/>
              </w:rPr>
            </w:pPr>
            <w:r>
              <w:rPr>
                <w:szCs w:val="28"/>
                <w:highlight w:val="none"/>
              </w:rPr>
              <w:t>8 (50,0)</w:t>
            </w:r>
          </w:p>
        </w:tc>
        <w:tc>
          <w:tcPr>
            <w:tcW w:w="854" w:type="dxa"/>
            <w:vMerge w:val="continue"/>
            <w:vAlign w:val="center"/>
          </w:tcPr>
          <w:p w14:paraId="75F91128">
            <w:pPr>
              <w:ind w:firstLine="0"/>
              <w:jc w:val="center"/>
              <w:rPr>
                <w:szCs w:val="28"/>
                <w:highlight w:val="none"/>
              </w:rPr>
            </w:pPr>
          </w:p>
        </w:tc>
      </w:tr>
    </w:tbl>
    <w:p w14:paraId="748647A5">
      <w:pPr>
        <w:jc w:val="right"/>
        <w:rPr>
          <w:i/>
          <w:iCs/>
          <w:szCs w:val="28"/>
          <w:highlight w:val="none"/>
        </w:rPr>
      </w:pPr>
      <w:r>
        <w:rPr>
          <w:i/>
          <w:iCs/>
          <w:szCs w:val="28"/>
          <w:highlight w:val="none"/>
        </w:rPr>
        <w:t>Продовження таблиці 3.5</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396"/>
        <w:gridCol w:w="2547"/>
        <w:gridCol w:w="2547"/>
        <w:gridCol w:w="854"/>
      </w:tblGrid>
      <w:tr w14:paraId="356DD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96" w:type="dxa"/>
            <w:vAlign w:val="center"/>
          </w:tcPr>
          <w:p w14:paraId="32D10E98">
            <w:pPr>
              <w:ind w:firstLine="0"/>
              <w:jc w:val="left"/>
              <w:rPr>
                <w:b/>
                <w:bCs/>
                <w:szCs w:val="28"/>
                <w:highlight w:val="none"/>
              </w:rPr>
            </w:pPr>
            <w:r>
              <w:rPr>
                <w:b/>
                <w:bCs/>
                <w:szCs w:val="28"/>
                <w:highlight w:val="none"/>
              </w:rPr>
              <w:t>Показник</w:t>
            </w:r>
          </w:p>
        </w:tc>
        <w:tc>
          <w:tcPr>
            <w:tcW w:w="2547" w:type="dxa"/>
            <w:vAlign w:val="center"/>
          </w:tcPr>
          <w:p w14:paraId="3FF0AD56">
            <w:pPr>
              <w:ind w:firstLine="0"/>
              <w:jc w:val="center"/>
              <w:rPr>
                <w:b/>
                <w:bCs/>
                <w:szCs w:val="28"/>
                <w:highlight w:val="none"/>
              </w:rPr>
            </w:pPr>
            <w:r>
              <w:rPr>
                <w:b/>
                <w:bCs/>
                <w:szCs w:val="28"/>
                <w:highlight w:val="none"/>
              </w:rPr>
              <w:t>1 підгрупа (n=31)</w:t>
            </w:r>
          </w:p>
        </w:tc>
        <w:tc>
          <w:tcPr>
            <w:tcW w:w="2547" w:type="dxa"/>
            <w:vAlign w:val="center"/>
          </w:tcPr>
          <w:p w14:paraId="1727EA5E">
            <w:pPr>
              <w:ind w:firstLine="0"/>
              <w:jc w:val="center"/>
              <w:rPr>
                <w:b/>
                <w:bCs/>
                <w:szCs w:val="28"/>
                <w:highlight w:val="none"/>
              </w:rPr>
            </w:pPr>
            <w:r>
              <w:rPr>
                <w:b/>
                <w:bCs/>
                <w:szCs w:val="28"/>
                <w:highlight w:val="none"/>
              </w:rPr>
              <w:t>3–4 (n=16)</w:t>
            </w:r>
          </w:p>
        </w:tc>
        <w:tc>
          <w:tcPr>
            <w:tcW w:w="854" w:type="dxa"/>
            <w:vAlign w:val="center"/>
          </w:tcPr>
          <w:p w14:paraId="75D7751E">
            <w:pPr>
              <w:ind w:firstLine="0"/>
              <w:jc w:val="center"/>
              <w:rPr>
                <w:b/>
                <w:bCs/>
                <w:szCs w:val="28"/>
                <w:highlight w:val="none"/>
              </w:rPr>
            </w:pPr>
            <w:r>
              <w:rPr>
                <w:b/>
                <w:bCs/>
                <w:szCs w:val="28"/>
                <w:highlight w:val="none"/>
              </w:rPr>
              <w:t>p</w:t>
            </w:r>
          </w:p>
        </w:tc>
      </w:tr>
      <w:tr w14:paraId="3C308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96" w:type="dxa"/>
            <w:vAlign w:val="center"/>
          </w:tcPr>
          <w:p w14:paraId="6356575F">
            <w:pPr>
              <w:ind w:firstLine="0"/>
              <w:jc w:val="left"/>
              <w:rPr>
                <w:szCs w:val="28"/>
                <w:highlight w:val="none"/>
              </w:rPr>
            </w:pPr>
            <w:r>
              <w:rPr>
                <w:szCs w:val="28"/>
                <w:highlight w:val="none"/>
              </w:rPr>
              <w:t>Тривалість захворювання, років</w:t>
            </w:r>
          </w:p>
        </w:tc>
        <w:tc>
          <w:tcPr>
            <w:tcW w:w="2547" w:type="dxa"/>
            <w:vAlign w:val="center"/>
          </w:tcPr>
          <w:p w14:paraId="19D6FC20">
            <w:pPr>
              <w:ind w:firstLine="0"/>
              <w:jc w:val="center"/>
              <w:rPr>
                <w:szCs w:val="28"/>
                <w:highlight w:val="none"/>
              </w:rPr>
            </w:pPr>
            <w:r>
              <w:rPr>
                <w:szCs w:val="28"/>
                <w:highlight w:val="none"/>
              </w:rPr>
              <w:t>2,0 [1,0; 6,0]</w:t>
            </w:r>
          </w:p>
        </w:tc>
        <w:tc>
          <w:tcPr>
            <w:tcW w:w="2547" w:type="dxa"/>
            <w:vAlign w:val="center"/>
          </w:tcPr>
          <w:p w14:paraId="1D5F6455">
            <w:pPr>
              <w:ind w:firstLine="0"/>
              <w:jc w:val="center"/>
              <w:rPr>
                <w:szCs w:val="28"/>
                <w:highlight w:val="none"/>
              </w:rPr>
            </w:pPr>
            <w:r>
              <w:rPr>
                <w:szCs w:val="28"/>
                <w:highlight w:val="none"/>
              </w:rPr>
              <w:t>3,5 [1,0; 31,5]</w:t>
            </w:r>
          </w:p>
        </w:tc>
        <w:tc>
          <w:tcPr>
            <w:tcW w:w="854" w:type="dxa"/>
            <w:vAlign w:val="center"/>
          </w:tcPr>
          <w:p w14:paraId="4CFBBB1F">
            <w:pPr>
              <w:ind w:firstLine="0"/>
              <w:jc w:val="center"/>
              <w:rPr>
                <w:szCs w:val="28"/>
                <w:highlight w:val="none"/>
              </w:rPr>
            </w:pPr>
            <w:r>
              <w:rPr>
                <w:szCs w:val="28"/>
                <w:highlight w:val="none"/>
              </w:rPr>
              <w:t>0,502</w:t>
            </w:r>
          </w:p>
        </w:tc>
      </w:tr>
    </w:tbl>
    <w:p w14:paraId="3895E4D4">
      <w:pPr>
        <w:rPr>
          <w:szCs w:val="28"/>
          <w:highlight w:val="none"/>
        </w:rPr>
      </w:pPr>
    </w:p>
    <w:p w14:paraId="5F89F06B">
      <w:pPr>
        <w:rPr>
          <w:szCs w:val="28"/>
          <w:highlight w:val="none"/>
        </w:rPr>
      </w:pPr>
      <w:r>
        <w:rPr>
          <w:szCs w:val="28"/>
          <w:highlight w:val="none"/>
        </w:rPr>
        <w:t>До підгрупи з початковим фіброзом увійшло 11 (35,5 %) жінок та 20 (64,5 %) чоловіків, до підгрупи з прогресуючим фіброзом — по 8 (50,0 %) осіб відповідно, р = 0,337. Медіанний стаж захворювання достовірно не різнився між підгрупами та становив відповідно 2,0 [1,0; 6,0] років та 3,5 [1,0; 31,5] років, р =0,502 (табл. 3.5).</w:t>
      </w:r>
    </w:p>
    <w:p w14:paraId="123B3B9A">
      <w:pPr>
        <w:rPr>
          <w:szCs w:val="28"/>
          <w:highlight w:val="none"/>
        </w:rPr>
      </w:pPr>
    </w:p>
    <w:p w14:paraId="2A48887F">
      <w:pPr>
        <w:jc w:val="right"/>
        <w:rPr>
          <w:i/>
          <w:iCs/>
          <w:szCs w:val="28"/>
          <w:highlight w:val="none"/>
        </w:rPr>
      </w:pPr>
      <w:r>
        <w:rPr>
          <w:i/>
          <w:iCs/>
          <w:szCs w:val="28"/>
          <w:highlight w:val="none"/>
        </w:rPr>
        <w:t>Таблиця 3.6</w:t>
      </w:r>
    </w:p>
    <w:p w14:paraId="28145C72">
      <w:pPr>
        <w:rPr>
          <w:b/>
          <w:bCs/>
          <w:szCs w:val="28"/>
          <w:highlight w:val="none"/>
        </w:rPr>
      </w:pPr>
      <w:r>
        <w:rPr>
          <w:b/>
          <w:bCs/>
          <w:szCs w:val="28"/>
          <w:highlight w:val="none"/>
        </w:rPr>
        <w:t>Розподіл пацієнтів основної групи (n = 47) за стадією фіброзу</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823"/>
        <w:gridCol w:w="5522"/>
      </w:tblGrid>
      <w:tr w14:paraId="0C788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3" w:type="dxa"/>
          </w:tcPr>
          <w:p w14:paraId="3E893042">
            <w:pPr>
              <w:ind w:firstLine="0"/>
              <w:rPr>
                <w:b/>
                <w:bCs/>
                <w:szCs w:val="28"/>
                <w:highlight w:val="none"/>
              </w:rPr>
            </w:pPr>
            <w:r>
              <w:rPr>
                <w:b/>
                <w:bCs/>
                <w:szCs w:val="28"/>
                <w:highlight w:val="none"/>
              </w:rPr>
              <w:t>Стадії фіброзу</w:t>
            </w:r>
          </w:p>
        </w:tc>
        <w:tc>
          <w:tcPr>
            <w:tcW w:w="5522" w:type="dxa"/>
            <w:vAlign w:val="center"/>
          </w:tcPr>
          <w:p w14:paraId="184E2287">
            <w:pPr>
              <w:ind w:firstLine="0"/>
              <w:jc w:val="center"/>
              <w:rPr>
                <w:b/>
                <w:bCs/>
                <w:szCs w:val="28"/>
                <w:highlight w:val="none"/>
              </w:rPr>
            </w:pPr>
            <w:r>
              <w:rPr>
                <w:b/>
                <w:bCs/>
                <w:szCs w:val="28"/>
                <w:highlight w:val="none"/>
              </w:rPr>
              <w:t>Кількість пацієнтів, абс ( %)</w:t>
            </w:r>
          </w:p>
        </w:tc>
      </w:tr>
      <w:tr w14:paraId="36D53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3" w:type="dxa"/>
          </w:tcPr>
          <w:p w14:paraId="0892445F">
            <w:pPr>
              <w:ind w:firstLine="0"/>
              <w:rPr>
                <w:szCs w:val="28"/>
                <w:highlight w:val="none"/>
              </w:rPr>
            </w:pPr>
            <w:r>
              <w:rPr>
                <w:szCs w:val="28"/>
                <w:highlight w:val="none"/>
              </w:rPr>
              <w:t>0</w:t>
            </w:r>
          </w:p>
        </w:tc>
        <w:tc>
          <w:tcPr>
            <w:tcW w:w="5522" w:type="dxa"/>
            <w:vAlign w:val="center"/>
          </w:tcPr>
          <w:p w14:paraId="49CB2B39">
            <w:pPr>
              <w:ind w:firstLine="0"/>
              <w:jc w:val="center"/>
              <w:rPr>
                <w:szCs w:val="28"/>
                <w:highlight w:val="none"/>
              </w:rPr>
            </w:pPr>
            <w:r>
              <w:rPr>
                <w:szCs w:val="28"/>
                <w:highlight w:val="none"/>
              </w:rPr>
              <w:t>2 (4,3)</w:t>
            </w:r>
          </w:p>
        </w:tc>
      </w:tr>
      <w:tr w14:paraId="3DA93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3" w:type="dxa"/>
          </w:tcPr>
          <w:p w14:paraId="423984A6">
            <w:pPr>
              <w:ind w:firstLine="0"/>
              <w:rPr>
                <w:szCs w:val="28"/>
                <w:highlight w:val="none"/>
              </w:rPr>
            </w:pPr>
            <w:r>
              <w:rPr>
                <w:szCs w:val="28"/>
                <w:highlight w:val="none"/>
              </w:rPr>
              <w:t>1</w:t>
            </w:r>
          </w:p>
        </w:tc>
        <w:tc>
          <w:tcPr>
            <w:tcW w:w="5522" w:type="dxa"/>
            <w:vAlign w:val="center"/>
          </w:tcPr>
          <w:p w14:paraId="5A994C86">
            <w:pPr>
              <w:ind w:firstLine="0"/>
              <w:jc w:val="center"/>
              <w:rPr>
                <w:szCs w:val="28"/>
                <w:highlight w:val="none"/>
              </w:rPr>
            </w:pPr>
            <w:r>
              <w:rPr>
                <w:szCs w:val="28"/>
                <w:highlight w:val="none"/>
              </w:rPr>
              <w:t>15 (31,9)</w:t>
            </w:r>
          </w:p>
        </w:tc>
      </w:tr>
      <w:tr w14:paraId="58CC8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3" w:type="dxa"/>
          </w:tcPr>
          <w:p w14:paraId="7566FA1F">
            <w:pPr>
              <w:ind w:firstLine="0"/>
              <w:rPr>
                <w:szCs w:val="28"/>
                <w:highlight w:val="none"/>
              </w:rPr>
            </w:pPr>
            <w:r>
              <w:rPr>
                <w:szCs w:val="28"/>
                <w:highlight w:val="none"/>
              </w:rPr>
              <w:t>2</w:t>
            </w:r>
          </w:p>
        </w:tc>
        <w:tc>
          <w:tcPr>
            <w:tcW w:w="5522" w:type="dxa"/>
            <w:vAlign w:val="center"/>
          </w:tcPr>
          <w:p w14:paraId="42C83E4B">
            <w:pPr>
              <w:ind w:firstLine="0"/>
              <w:jc w:val="center"/>
              <w:rPr>
                <w:szCs w:val="28"/>
                <w:highlight w:val="none"/>
              </w:rPr>
            </w:pPr>
            <w:r>
              <w:rPr>
                <w:szCs w:val="28"/>
                <w:highlight w:val="none"/>
              </w:rPr>
              <w:t>14 (29,8)</w:t>
            </w:r>
          </w:p>
        </w:tc>
      </w:tr>
      <w:tr w14:paraId="61818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3" w:type="dxa"/>
          </w:tcPr>
          <w:p w14:paraId="4D9DF5A0">
            <w:pPr>
              <w:ind w:firstLine="0"/>
              <w:rPr>
                <w:szCs w:val="28"/>
                <w:highlight w:val="none"/>
              </w:rPr>
            </w:pPr>
            <w:r>
              <w:rPr>
                <w:szCs w:val="28"/>
                <w:highlight w:val="none"/>
              </w:rPr>
              <w:t>3</w:t>
            </w:r>
          </w:p>
        </w:tc>
        <w:tc>
          <w:tcPr>
            <w:tcW w:w="5522" w:type="dxa"/>
            <w:vAlign w:val="center"/>
          </w:tcPr>
          <w:p w14:paraId="7EB426F3">
            <w:pPr>
              <w:ind w:firstLine="0"/>
              <w:jc w:val="center"/>
              <w:rPr>
                <w:szCs w:val="28"/>
                <w:highlight w:val="none"/>
              </w:rPr>
            </w:pPr>
            <w:r>
              <w:rPr>
                <w:szCs w:val="28"/>
                <w:highlight w:val="none"/>
              </w:rPr>
              <w:t>13 (27,7)</w:t>
            </w:r>
          </w:p>
        </w:tc>
      </w:tr>
      <w:tr w14:paraId="4E1F4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3" w:type="dxa"/>
          </w:tcPr>
          <w:p w14:paraId="2109953B">
            <w:pPr>
              <w:ind w:firstLine="0"/>
              <w:rPr>
                <w:szCs w:val="28"/>
                <w:highlight w:val="none"/>
              </w:rPr>
            </w:pPr>
            <w:r>
              <w:rPr>
                <w:szCs w:val="28"/>
                <w:highlight w:val="none"/>
              </w:rPr>
              <w:t>4</w:t>
            </w:r>
          </w:p>
        </w:tc>
        <w:tc>
          <w:tcPr>
            <w:tcW w:w="5522" w:type="dxa"/>
            <w:vAlign w:val="center"/>
          </w:tcPr>
          <w:p w14:paraId="1FD4C828">
            <w:pPr>
              <w:ind w:firstLine="0"/>
              <w:jc w:val="center"/>
              <w:rPr>
                <w:szCs w:val="28"/>
                <w:highlight w:val="none"/>
              </w:rPr>
            </w:pPr>
            <w:r>
              <w:rPr>
                <w:szCs w:val="28"/>
                <w:highlight w:val="none"/>
              </w:rPr>
              <w:t>3 (6,4)</w:t>
            </w:r>
          </w:p>
        </w:tc>
      </w:tr>
      <w:tr w14:paraId="20830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3" w:type="dxa"/>
          </w:tcPr>
          <w:p w14:paraId="400101E8">
            <w:pPr>
              <w:ind w:firstLine="0"/>
              <w:rPr>
                <w:szCs w:val="28"/>
                <w:highlight w:val="none"/>
              </w:rPr>
            </w:pPr>
            <w:r>
              <w:rPr>
                <w:szCs w:val="28"/>
                <w:highlight w:val="none"/>
              </w:rPr>
              <w:t>Кількість пацієнтів 2 підгрупі</w:t>
            </w:r>
          </w:p>
        </w:tc>
        <w:tc>
          <w:tcPr>
            <w:tcW w:w="5522" w:type="dxa"/>
            <w:vAlign w:val="center"/>
          </w:tcPr>
          <w:p w14:paraId="2B6E8C1A">
            <w:pPr>
              <w:ind w:firstLine="0"/>
              <w:jc w:val="center"/>
              <w:rPr>
                <w:szCs w:val="28"/>
                <w:highlight w:val="none"/>
              </w:rPr>
            </w:pPr>
            <w:r>
              <w:rPr>
                <w:szCs w:val="28"/>
                <w:highlight w:val="none"/>
              </w:rPr>
              <w:t>16 (34,0)</w:t>
            </w:r>
          </w:p>
        </w:tc>
      </w:tr>
    </w:tbl>
    <w:p w14:paraId="6675B3C8">
      <w:pPr>
        <w:rPr>
          <w:szCs w:val="28"/>
          <w:highlight w:val="none"/>
        </w:rPr>
      </w:pPr>
    </w:p>
    <w:p w14:paraId="7ABAC783">
      <w:pPr>
        <w:rPr>
          <w:szCs w:val="28"/>
          <w:highlight w:val="none"/>
        </w:rPr>
      </w:pPr>
      <w:r>
        <w:rPr>
          <w:szCs w:val="28"/>
          <w:highlight w:val="none"/>
        </w:rPr>
        <w:t xml:space="preserve">Детальна характеристика показала, що пацієнтів з 0 стадією фіброзу було 4,3 %, 1 — 31,9 %, 2 та 3 — відповідно 29,8 % й 27,7 %. Пацієнтів 4 стадії було 6,4 % з дослідженої групи (табл. 3.6). </w:t>
      </w:r>
    </w:p>
    <w:p w14:paraId="05AD246D">
      <w:pPr>
        <w:rPr>
          <w:szCs w:val="28"/>
          <w:highlight w:val="none"/>
        </w:rPr>
      </w:pPr>
    </w:p>
    <w:p w14:paraId="53CE0DC6">
      <w:pPr>
        <w:jc w:val="right"/>
        <w:rPr>
          <w:i/>
          <w:iCs/>
          <w:szCs w:val="28"/>
          <w:highlight w:val="none"/>
        </w:rPr>
      </w:pPr>
      <w:bookmarkStart w:id="40" w:name="_Hlk154339084"/>
      <w:r>
        <w:rPr>
          <w:i/>
          <w:iCs/>
          <w:szCs w:val="28"/>
          <w:highlight w:val="none"/>
        </w:rPr>
        <w:t>Таблиця 3.7</w:t>
      </w:r>
    </w:p>
    <w:bookmarkEnd w:id="40"/>
    <w:p w14:paraId="3EB222D7">
      <w:pPr>
        <w:ind w:firstLine="0"/>
        <w:rPr>
          <w:b/>
          <w:bCs/>
          <w:szCs w:val="28"/>
          <w:highlight w:val="none"/>
        </w:rPr>
      </w:pPr>
      <w:r>
        <w:rPr>
          <w:b/>
          <w:bCs/>
          <w:szCs w:val="28"/>
          <w:highlight w:val="none"/>
        </w:rPr>
        <w:t>Розподіл пацієнтів основної групи (n = 47) за стадією фіброзу та статтю</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36"/>
        <w:gridCol w:w="3187"/>
        <w:gridCol w:w="2967"/>
        <w:gridCol w:w="854"/>
      </w:tblGrid>
      <w:tr w14:paraId="7DE0C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6" w:type="dxa"/>
            <w:vAlign w:val="center"/>
          </w:tcPr>
          <w:p w14:paraId="6FF2C37A">
            <w:pPr>
              <w:ind w:firstLine="0"/>
              <w:jc w:val="left"/>
              <w:rPr>
                <w:b/>
                <w:bCs/>
                <w:szCs w:val="28"/>
                <w:highlight w:val="none"/>
              </w:rPr>
            </w:pPr>
            <w:bookmarkStart w:id="41" w:name="_Hlk154339905"/>
            <w:r>
              <w:rPr>
                <w:b/>
                <w:bCs/>
                <w:szCs w:val="28"/>
                <w:highlight w:val="none"/>
              </w:rPr>
              <w:t>Показник</w:t>
            </w:r>
          </w:p>
        </w:tc>
        <w:tc>
          <w:tcPr>
            <w:tcW w:w="3187" w:type="dxa"/>
            <w:vAlign w:val="center"/>
          </w:tcPr>
          <w:p w14:paraId="6F97CAE2">
            <w:pPr>
              <w:ind w:firstLine="0"/>
              <w:jc w:val="center"/>
              <w:rPr>
                <w:b/>
                <w:bCs/>
                <w:szCs w:val="28"/>
                <w:highlight w:val="none"/>
              </w:rPr>
            </w:pPr>
            <w:r>
              <w:rPr>
                <w:b/>
                <w:bCs/>
                <w:szCs w:val="28"/>
                <w:highlight w:val="none"/>
              </w:rPr>
              <w:t>Жінки (n = 39)</w:t>
            </w:r>
          </w:p>
        </w:tc>
        <w:tc>
          <w:tcPr>
            <w:tcW w:w="2967" w:type="dxa"/>
            <w:vAlign w:val="center"/>
          </w:tcPr>
          <w:p w14:paraId="4FACA8FD">
            <w:pPr>
              <w:ind w:firstLine="0"/>
              <w:jc w:val="center"/>
              <w:rPr>
                <w:b/>
                <w:bCs/>
                <w:szCs w:val="28"/>
                <w:highlight w:val="none"/>
              </w:rPr>
            </w:pPr>
            <w:r>
              <w:rPr>
                <w:b/>
                <w:bCs/>
                <w:szCs w:val="28"/>
                <w:highlight w:val="none"/>
              </w:rPr>
              <w:t>Чоловіки (n = 28)</w:t>
            </w:r>
          </w:p>
        </w:tc>
        <w:tc>
          <w:tcPr>
            <w:tcW w:w="854" w:type="dxa"/>
            <w:vAlign w:val="center"/>
          </w:tcPr>
          <w:p w14:paraId="24EC1223">
            <w:pPr>
              <w:ind w:firstLine="0"/>
              <w:jc w:val="center"/>
              <w:rPr>
                <w:b/>
                <w:bCs/>
                <w:szCs w:val="28"/>
                <w:highlight w:val="none"/>
              </w:rPr>
            </w:pPr>
            <w:r>
              <w:rPr>
                <w:b/>
                <w:bCs/>
                <w:szCs w:val="28"/>
                <w:highlight w:val="none"/>
              </w:rPr>
              <w:t>p</w:t>
            </w:r>
          </w:p>
        </w:tc>
      </w:tr>
      <w:bookmarkEnd w:id="41"/>
      <w:tr w14:paraId="1C1A1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6" w:type="dxa"/>
            <w:vAlign w:val="center"/>
          </w:tcPr>
          <w:p w14:paraId="0279D8B3">
            <w:pPr>
              <w:ind w:firstLine="0"/>
              <w:jc w:val="left"/>
              <w:rPr>
                <w:szCs w:val="28"/>
                <w:highlight w:val="none"/>
              </w:rPr>
            </w:pPr>
            <w:r>
              <w:rPr>
                <w:szCs w:val="28"/>
                <w:highlight w:val="none"/>
              </w:rPr>
              <w:t>0</w:t>
            </w:r>
          </w:p>
        </w:tc>
        <w:tc>
          <w:tcPr>
            <w:tcW w:w="3187" w:type="dxa"/>
            <w:vAlign w:val="center"/>
          </w:tcPr>
          <w:p w14:paraId="15F94EB8">
            <w:pPr>
              <w:ind w:firstLine="0"/>
              <w:jc w:val="center"/>
              <w:rPr>
                <w:szCs w:val="28"/>
                <w:highlight w:val="none"/>
              </w:rPr>
            </w:pPr>
            <w:r>
              <w:rPr>
                <w:szCs w:val="28"/>
                <w:highlight w:val="none"/>
              </w:rPr>
              <w:t>2 (10,5)</w:t>
            </w:r>
          </w:p>
        </w:tc>
        <w:tc>
          <w:tcPr>
            <w:tcW w:w="2967" w:type="dxa"/>
            <w:vAlign w:val="center"/>
          </w:tcPr>
          <w:p w14:paraId="4CA9C3A0">
            <w:pPr>
              <w:ind w:firstLine="0"/>
              <w:jc w:val="center"/>
              <w:rPr>
                <w:szCs w:val="28"/>
                <w:highlight w:val="none"/>
              </w:rPr>
            </w:pPr>
            <w:r>
              <w:rPr>
                <w:szCs w:val="28"/>
                <w:highlight w:val="none"/>
              </w:rPr>
              <w:t>0 (0,0)</w:t>
            </w:r>
          </w:p>
        </w:tc>
        <w:tc>
          <w:tcPr>
            <w:tcW w:w="854" w:type="dxa"/>
            <w:vAlign w:val="center"/>
          </w:tcPr>
          <w:p w14:paraId="7689C112">
            <w:pPr>
              <w:ind w:firstLine="0"/>
              <w:jc w:val="center"/>
              <w:rPr>
                <w:szCs w:val="28"/>
                <w:highlight w:val="none"/>
              </w:rPr>
            </w:pPr>
            <w:r>
              <w:rPr>
                <w:szCs w:val="28"/>
                <w:highlight w:val="none"/>
              </w:rPr>
              <w:t>0,074</w:t>
            </w:r>
          </w:p>
        </w:tc>
      </w:tr>
    </w:tbl>
    <w:p w14:paraId="5DCE36D8">
      <w:pPr>
        <w:rPr>
          <w:highlight w:val="none"/>
        </w:rPr>
      </w:pPr>
    </w:p>
    <w:p w14:paraId="4D5074C0">
      <w:pPr>
        <w:jc w:val="right"/>
        <w:rPr>
          <w:i/>
          <w:iCs/>
          <w:szCs w:val="28"/>
          <w:highlight w:val="none"/>
        </w:rPr>
      </w:pPr>
      <w:r>
        <w:rPr>
          <w:i/>
          <w:iCs/>
          <w:szCs w:val="28"/>
          <w:highlight w:val="none"/>
        </w:rPr>
        <w:t>Продовження таблиці 3.7</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36"/>
        <w:gridCol w:w="3187"/>
        <w:gridCol w:w="2967"/>
        <w:gridCol w:w="854"/>
      </w:tblGrid>
      <w:tr w14:paraId="65812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6" w:type="dxa"/>
            <w:vAlign w:val="center"/>
          </w:tcPr>
          <w:p w14:paraId="26F874D5">
            <w:pPr>
              <w:ind w:firstLine="0"/>
              <w:jc w:val="left"/>
              <w:rPr>
                <w:b/>
                <w:bCs/>
                <w:szCs w:val="28"/>
                <w:highlight w:val="none"/>
              </w:rPr>
            </w:pPr>
            <w:r>
              <w:rPr>
                <w:b/>
                <w:bCs/>
                <w:szCs w:val="28"/>
                <w:highlight w:val="none"/>
              </w:rPr>
              <w:t>Показник</w:t>
            </w:r>
          </w:p>
        </w:tc>
        <w:tc>
          <w:tcPr>
            <w:tcW w:w="3187" w:type="dxa"/>
            <w:vAlign w:val="center"/>
          </w:tcPr>
          <w:p w14:paraId="08511B8E">
            <w:pPr>
              <w:ind w:firstLine="0"/>
              <w:jc w:val="center"/>
              <w:rPr>
                <w:b/>
                <w:bCs/>
                <w:szCs w:val="28"/>
                <w:highlight w:val="none"/>
              </w:rPr>
            </w:pPr>
            <w:r>
              <w:rPr>
                <w:b/>
                <w:bCs/>
                <w:szCs w:val="28"/>
                <w:highlight w:val="none"/>
              </w:rPr>
              <w:t>Жінки (n = 39)</w:t>
            </w:r>
          </w:p>
        </w:tc>
        <w:tc>
          <w:tcPr>
            <w:tcW w:w="2967" w:type="dxa"/>
            <w:vAlign w:val="center"/>
          </w:tcPr>
          <w:p w14:paraId="5E051B75">
            <w:pPr>
              <w:ind w:firstLine="0"/>
              <w:jc w:val="center"/>
              <w:rPr>
                <w:b/>
                <w:bCs/>
                <w:szCs w:val="28"/>
                <w:highlight w:val="none"/>
              </w:rPr>
            </w:pPr>
            <w:r>
              <w:rPr>
                <w:b/>
                <w:bCs/>
                <w:szCs w:val="28"/>
                <w:highlight w:val="none"/>
              </w:rPr>
              <w:t>Чоловіки (n = 28)</w:t>
            </w:r>
          </w:p>
        </w:tc>
        <w:tc>
          <w:tcPr>
            <w:tcW w:w="854" w:type="dxa"/>
            <w:vAlign w:val="center"/>
          </w:tcPr>
          <w:p w14:paraId="0F8ABF46">
            <w:pPr>
              <w:ind w:firstLine="0"/>
              <w:jc w:val="center"/>
              <w:rPr>
                <w:b/>
                <w:bCs/>
                <w:szCs w:val="28"/>
                <w:highlight w:val="none"/>
              </w:rPr>
            </w:pPr>
            <w:r>
              <w:rPr>
                <w:b/>
                <w:bCs/>
                <w:szCs w:val="28"/>
                <w:highlight w:val="none"/>
              </w:rPr>
              <w:t>p</w:t>
            </w:r>
          </w:p>
        </w:tc>
      </w:tr>
      <w:tr w14:paraId="29652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6" w:type="dxa"/>
            <w:vAlign w:val="center"/>
          </w:tcPr>
          <w:p w14:paraId="29E4D194">
            <w:pPr>
              <w:ind w:firstLine="0"/>
              <w:jc w:val="left"/>
              <w:rPr>
                <w:szCs w:val="28"/>
                <w:highlight w:val="none"/>
              </w:rPr>
            </w:pPr>
            <w:r>
              <w:rPr>
                <w:szCs w:val="28"/>
                <w:highlight w:val="none"/>
              </w:rPr>
              <w:t>1</w:t>
            </w:r>
          </w:p>
        </w:tc>
        <w:tc>
          <w:tcPr>
            <w:tcW w:w="3187" w:type="dxa"/>
            <w:vAlign w:val="center"/>
          </w:tcPr>
          <w:p w14:paraId="7C86DD8C">
            <w:pPr>
              <w:ind w:firstLine="0"/>
              <w:jc w:val="center"/>
              <w:rPr>
                <w:szCs w:val="28"/>
                <w:highlight w:val="none"/>
              </w:rPr>
            </w:pPr>
            <w:r>
              <w:rPr>
                <w:szCs w:val="28"/>
                <w:highlight w:val="none"/>
              </w:rPr>
              <w:t>5 (26,3)</w:t>
            </w:r>
          </w:p>
        </w:tc>
        <w:tc>
          <w:tcPr>
            <w:tcW w:w="2967" w:type="dxa"/>
            <w:vAlign w:val="center"/>
          </w:tcPr>
          <w:p w14:paraId="000D476A">
            <w:pPr>
              <w:ind w:firstLine="0"/>
              <w:jc w:val="center"/>
              <w:rPr>
                <w:szCs w:val="28"/>
                <w:highlight w:val="none"/>
              </w:rPr>
            </w:pPr>
            <w:r>
              <w:rPr>
                <w:szCs w:val="28"/>
                <w:highlight w:val="none"/>
              </w:rPr>
              <w:t>10 (35,7)</w:t>
            </w:r>
          </w:p>
        </w:tc>
        <w:tc>
          <w:tcPr>
            <w:tcW w:w="854" w:type="dxa"/>
            <w:vMerge w:val="restart"/>
            <w:vAlign w:val="center"/>
          </w:tcPr>
          <w:p w14:paraId="0B94F378">
            <w:pPr>
              <w:ind w:firstLine="0"/>
              <w:jc w:val="center"/>
              <w:rPr>
                <w:szCs w:val="28"/>
                <w:highlight w:val="none"/>
              </w:rPr>
            </w:pPr>
          </w:p>
        </w:tc>
      </w:tr>
      <w:tr w14:paraId="7BCD0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6" w:type="dxa"/>
            <w:vAlign w:val="center"/>
          </w:tcPr>
          <w:p w14:paraId="5B37AE4A">
            <w:pPr>
              <w:ind w:firstLine="0"/>
              <w:jc w:val="left"/>
              <w:rPr>
                <w:szCs w:val="28"/>
                <w:highlight w:val="none"/>
              </w:rPr>
            </w:pPr>
            <w:r>
              <w:rPr>
                <w:szCs w:val="28"/>
                <w:highlight w:val="none"/>
              </w:rPr>
              <w:t>2</w:t>
            </w:r>
          </w:p>
        </w:tc>
        <w:tc>
          <w:tcPr>
            <w:tcW w:w="3187" w:type="dxa"/>
            <w:vAlign w:val="center"/>
          </w:tcPr>
          <w:p w14:paraId="3DD9FA9C">
            <w:pPr>
              <w:ind w:firstLine="0"/>
              <w:jc w:val="center"/>
              <w:rPr>
                <w:szCs w:val="28"/>
                <w:highlight w:val="none"/>
              </w:rPr>
            </w:pPr>
            <w:r>
              <w:rPr>
                <w:szCs w:val="28"/>
                <w:highlight w:val="none"/>
              </w:rPr>
              <w:t>4 (21,1)</w:t>
            </w:r>
          </w:p>
        </w:tc>
        <w:tc>
          <w:tcPr>
            <w:tcW w:w="2967" w:type="dxa"/>
            <w:vAlign w:val="center"/>
          </w:tcPr>
          <w:p w14:paraId="66427E56">
            <w:pPr>
              <w:ind w:firstLine="0"/>
              <w:jc w:val="center"/>
              <w:rPr>
                <w:szCs w:val="28"/>
                <w:highlight w:val="none"/>
              </w:rPr>
            </w:pPr>
            <w:r>
              <w:rPr>
                <w:szCs w:val="28"/>
                <w:highlight w:val="none"/>
              </w:rPr>
              <w:t>10 (35,7)</w:t>
            </w:r>
          </w:p>
        </w:tc>
        <w:tc>
          <w:tcPr>
            <w:tcW w:w="854" w:type="dxa"/>
            <w:vMerge w:val="continue"/>
            <w:vAlign w:val="center"/>
          </w:tcPr>
          <w:p w14:paraId="0D39A84D">
            <w:pPr>
              <w:ind w:firstLine="0"/>
              <w:jc w:val="center"/>
              <w:rPr>
                <w:szCs w:val="28"/>
                <w:highlight w:val="none"/>
              </w:rPr>
            </w:pPr>
          </w:p>
        </w:tc>
      </w:tr>
      <w:tr w14:paraId="0F360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6" w:type="dxa"/>
            <w:vAlign w:val="center"/>
          </w:tcPr>
          <w:p w14:paraId="200DD4E4">
            <w:pPr>
              <w:ind w:firstLine="0"/>
              <w:jc w:val="left"/>
              <w:rPr>
                <w:szCs w:val="28"/>
                <w:highlight w:val="none"/>
              </w:rPr>
            </w:pPr>
            <w:r>
              <w:rPr>
                <w:szCs w:val="28"/>
                <w:highlight w:val="none"/>
              </w:rPr>
              <w:t>3</w:t>
            </w:r>
          </w:p>
        </w:tc>
        <w:tc>
          <w:tcPr>
            <w:tcW w:w="3187" w:type="dxa"/>
            <w:vAlign w:val="center"/>
          </w:tcPr>
          <w:p w14:paraId="1BCAC0A8">
            <w:pPr>
              <w:ind w:firstLine="0"/>
              <w:jc w:val="center"/>
              <w:rPr>
                <w:szCs w:val="28"/>
                <w:highlight w:val="none"/>
              </w:rPr>
            </w:pPr>
            <w:r>
              <w:rPr>
                <w:szCs w:val="28"/>
                <w:highlight w:val="none"/>
              </w:rPr>
              <w:t>8 (42,1)</w:t>
            </w:r>
          </w:p>
        </w:tc>
        <w:tc>
          <w:tcPr>
            <w:tcW w:w="2967" w:type="dxa"/>
            <w:vAlign w:val="center"/>
          </w:tcPr>
          <w:p w14:paraId="06478320">
            <w:pPr>
              <w:ind w:firstLine="0"/>
              <w:jc w:val="center"/>
              <w:rPr>
                <w:szCs w:val="28"/>
                <w:highlight w:val="none"/>
              </w:rPr>
            </w:pPr>
            <w:r>
              <w:rPr>
                <w:szCs w:val="28"/>
                <w:highlight w:val="none"/>
              </w:rPr>
              <w:t>5 (17,9)</w:t>
            </w:r>
          </w:p>
        </w:tc>
        <w:tc>
          <w:tcPr>
            <w:tcW w:w="854" w:type="dxa"/>
            <w:vMerge w:val="continue"/>
            <w:vAlign w:val="center"/>
          </w:tcPr>
          <w:p w14:paraId="2E76D745">
            <w:pPr>
              <w:ind w:firstLine="0"/>
              <w:jc w:val="center"/>
              <w:rPr>
                <w:szCs w:val="28"/>
                <w:highlight w:val="none"/>
              </w:rPr>
            </w:pPr>
          </w:p>
        </w:tc>
      </w:tr>
      <w:tr w14:paraId="3F750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336" w:type="dxa"/>
            <w:vAlign w:val="center"/>
          </w:tcPr>
          <w:p w14:paraId="61CB2E16">
            <w:pPr>
              <w:ind w:firstLine="0"/>
              <w:jc w:val="left"/>
              <w:rPr>
                <w:szCs w:val="28"/>
                <w:highlight w:val="none"/>
              </w:rPr>
            </w:pPr>
            <w:r>
              <w:rPr>
                <w:szCs w:val="28"/>
                <w:highlight w:val="none"/>
              </w:rPr>
              <w:t>4</w:t>
            </w:r>
          </w:p>
        </w:tc>
        <w:tc>
          <w:tcPr>
            <w:tcW w:w="3187" w:type="dxa"/>
            <w:vAlign w:val="center"/>
          </w:tcPr>
          <w:p w14:paraId="12C12C35">
            <w:pPr>
              <w:ind w:firstLine="0"/>
              <w:jc w:val="center"/>
              <w:rPr>
                <w:szCs w:val="28"/>
                <w:highlight w:val="none"/>
              </w:rPr>
            </w:pPr>
            <w:r>
              <w:rPr>
                <w:szCs w:val="28"/>
                <w:highlight w:val="none"/>
              </w:rPr>
              <w:t>0 (0,0)</w:t>
            </w:r>
          </w:p>
        </w:tc>
        <w:tc>
          <w:tcPr>
            <w:tcW w:w="2967" w:type="dxa"/>
            <w:vAlign w:val="center"/>
          </w:tcPr>
          <w:p w14:paraId="59F8FB3C">
            <w:pPr>
              <w:ind w:firstLine="0"/>
              <w:jc w:val="center"/>
              <w:rPr>
                <w:szCs w:val="28"/>
                <w:highlight w:val="none"/>
              </w:rPr>
            </w:pPr>
            <w:r>
              <w:rPr>
                <w:szCs w:val="28"/>
                <w:highlight w:val="none"/>
              </w:rPr>
              <w:t>3 (10,7)</w:t>
            </w:r>
          </w:p>
        </w:tc>
        <w:tc>
          <w:tcPr>
            <w:tcW w:w="854" w:type="dxa"/>
            <w:vMerge w:val="continue"/>
            <w:vAlign w:val="center"/>
          </w:tcPr>
          <w:p w14:paraId="0C89268B">
            <w:pPr>
              <w:ind w:firstLine="0"/>
              <w:jc w:val="center"/>
              <w:rPr>
                <w:szCs w:val="28"/>
                <w:highlight w:val="none"/>
              </w:rPr>
            </w:pPr>
          </w:p>
        </w:tc>
      </w:tr>
      <w:tr w14:paraId="070B9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6" w:type="dxa"/>
            <w:vAlign w:val="center"/>
          </w:tcPr>
          <w:p w14:paraId="2A13262B">
            <w:pPr>
              <w:ind w:firstLine="0"/>
              <w:jc w:val="left"/>
              <w:rPr>
                <w:szCs w:val="28"/>
                <w:highlight w:val="none"/>
              </w:rPr>
            </w:pPr>
            <w:r>
              <w:rPr>
                <w:szCs w:val="28"/>
                <w:highlight w:val="none"/>
              </w:rPr>
              <w:t>1 підгрупа</w:t>
            </w:r>
          </w:p>
        </w:tc>
        <w:tc>
          <w:tcPr>
            <w:tcW w:w="3187" w:type="dxa"/>
            <w:vAlign w:val="center"/>
          </w:tcPr>
          <w:p w14:paraId="5F319540">
            <w:pPr>
              <w:ind w:firstLine="0"/>
              <w:jc w:val="center"/>
              <w:rPr>
                <w:szCs w:val="28"/>
                <w:highlight w:val="none"/>
              </w:rPr>
            </w:pPr>
            <w:r>
              <w:rPr>
                <w:szCs w:val="28"/>
                <w:highlight w:val="none"/>
              </w:rPr>
              <w:t>11 (57,9)</w:t>
            </w:r>
          </w:p>
        </w:tc>
        <w:tc>
          <w:tcPr>
            <w:tcW w:w="2967" w:type="dxa"/>
            <w:vAlign w:val="center"/>
          </w:tcPr>
          <w:p w14:paraId="20133C7E">
            <w:pPr>
              <w:ind w:firstLine="0"/>
              <w:jc w:val="center"/>
              <w:rPr>
                <w:szCs w:val="28"/>
                <w:highlight w:val="none"/>
              </w:rPr>
            </w:pPr>
            <w:r>
              <w:rPr>
                <w:szCs w:val="28"/>
                <w:highlight w:val="none"/>
              </w:rPr>
              <w:t>20 (71,4)</w:t>
            </w:r>
          </w:p>
        </w:tc>
        <w:tc>
          <w:tcPr>
            <w:tcW w:w="854" w:type="dxa"/>
            <w:vMerge w:val="restart"/>
            <w:vAlign w:val="center"/>
          </w:tcPr>
          <w:p w14:paraId="1A781F8B">
            <w:pPr>
              <w:ind w:firstLine="0"/>
              <w:jc w:val="center"/>
              <w:rPr>
                <w:szCs w:val="28"/>
                <w:highlight w:val="none"/>
              </w:rPr>
            </w:pPr>
            <w:r>
              <w:rPr>
                <w:szCs w:val="28"/>
                <w:highlight w:val="none"/>
              </w:rPr>
              <w:t>0,337</w:t>
            </w:r>
          </w:p>
        </w:tc>
      </w:tr>
      <w:tr w14:paraId="2D139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6" w:type="dxa"/>
            <w:vAlign w:val="center"/>
          </w:tcPr>
          <w:p w14:paraId="4AD5B2F8">
            <w:pPr>
              <w:ind w:firstLine="0"/>
              <w:jc w:val="left"/>
              <w:rPr>
                <w:szCs w:val="28"/>
                <w:highlight w:val="none"/>
              </w:rPr>
            </w:pPr>
            <w:r>
              <w:rPr>
                <w:szCs w:val="28"/>
                <w:highlight w:val="none"/>
              </w:rPr>
              <w:t>2 підгрупа</w:t>
            </w:r>
          </w:p>
        </w:tc>
        <w:tc>
          <w:tcPr>
            <w:tcW w:w="3187" w:type="dxa"/>
            <w:vAlign w:val="center"/>
          </w:tcPr>
          <w:p w14:paraId="514A4079">
            <w:pPr>
              <w:ind w:firstLine="0"/>
              <w:jc w:val="center"/>
              <w:rPr>
                <w:szCs w:val="28"/>
                <w:highlight w:val="none"/>
              </w:rPr>
            </w:pPr>
            <w:r>
              <w:rPr>
                <w:szCs w:val="28"/>
                <w:highlight w:val="none"/>
              </w:rPr>
              <w:t>8 (42,1)</w:t>
            </w:r>
          </w:p>
        </w:tc>
        <w:tc>
          <w:tcPr>
            <w:tcW w:w="2967" w:type="dxa"/>
            <w:vAlign w:val="center"/>
          </w:tcPr>
          <w:p w14:paraId="1498A6E8">
            <w:pPr>
              <w:ind w:firstLine="0"/>
              <w:jc w:val="center"/>
              <w:rPr>
                <w:szCs w:val="28"/>
                <w:highlight w:val="none"/>
              </w:rPr>
            </w:pPr>
            <w:r>
              <w:rPr>
                <w:szCs w:val="28"/>
                <w:highlight w:val="none"/>
              </w:rPr>
              <w:t>8 (28,6)</w:t>
            </w:r>
          </w:p>
        </w:tc>
        <w:tc>
          <w:tcPr>
            <w:tcW w:w="854" w:type="dxa"/>
            <w:vMerge w:val="continue"/>
            <w:vAlign w:val="center"/>
          </w:tcPr>
          <w:p w14:paraId="7E2615F2">
            <w:pPr>
              <w:ind w:firstLine="0"/>
              <w:jc w:val="center"/>
              <w:rPr>
                <w:szCs w:val="28"/>
                <w:highlight w:val="none"/>
              </w:rPr>
            </w:pPr>
          </w:p>
        </w:tc>
      </w:tr>
    </w:tbl>
    <w:p w14:paraId="3681FAA4">
      <w:pPr>
        <w:rPr>
          <w:szCs w:val="28"/>
          <w:highlight w:val="none"/>
        </w:rPr>
      </w:pPr>
    </w:p>
    <w:p w14:paraId="0EBF531E">
      <w:pPr>
        <w:rPr>
          <w:szCs w:val="28"/>
          <w:highlight w:val="none"/>
        </w:rPr>
      </w:pPr>
      <w:r>
        <w:rPr>
          <w:szCs w:val="28"/>
          <w:highlight w:val="none"/>
        </w:rPr>
        <w:t>Пацієнти досліджених підгруп були співставні за гендерною характеристикою в залежності від стадії ураження печінки. Так, 0 стадію мали 2 (10,5 %) жінок та 0 (0,0 %) чоловіків; 1 стадію — 5 (26,3 %) жінок та 10 (35,7 %) чоловіків; 2 стадію реєстрували у 4 (21,1 %) та 10 (35,7 %) осіб відповідної статі; 3 стадія фіброзу була визначена у 8 (42,1 %) жінок та 5 (17,9 %) чоловіків. Четверту стадію було діагностовано у 0 (0,0 %) жінок та 3 (10,7 %) чоловіків. Загальний аналіз не визначив достовірної різниці між отриманими показниками: р = 0,074 (табл. 3.7).</w:t>
      </w:r>
    </w:p>
    <w:p w14:paraId="177DE167">
      <w:pPr>
        <w:rPr>
          <w:szCs w:val="28"/>
          <w:highlight w:val="none"/>
        </w:rPr>
      </w:pPr>
    </w:p>
    <w:p w14:paraId="1FD8285F">
      <w:pPr>
        <w:jc w:val="right"/>
        <w:rPr>
          <w:i/>
          <w:iCs/>
          <w:szCs w:val="28"/>
          <w:highlight w:val="none"/>
        </w:rPr>
      </w:pPr>
      <w:bookmarkStart w:id="42" w:name="_Hlk154339953"/>
      <w:r>
        <w:rPr>
          <w:i/>
          <w:iCs/>
          <w:szCs w:val="28"/>
          <w:highlight w:val="none"/>
        </w:rPr>
        <w:t>Таблиця 3.8</w:t>
      </w:r>
    </w:p>
    <w:bookmarkEnd w:id="42"/>
    <w:p w14:paraId="525619EB">
      <w:pPr>
        <w:rPr>
          <w:b/>
          <w:bCs/>
          <w:szCs w:val="28"/>
          <w:highlight w:val="none"/>
        </w:rPr>
      </w:pPr>
      <w:r>
        <w:rPr>
          <w:b/>
          <w:bCs/>
          <w:szCs w:val="28"/>
          <w:highlight w:val="none"/>
        </w:rPr>
        <w:t>Показники біохімічного аналізу крові та рівнів остеопонтину обстежених пацієнтів основної групи в залежності від стадії фіброзу, Me [Lq; Uq]</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85"/>
        <w:gridCol w:w="2776"/>
        <w:gridCol w:w="2777"/>
        <w:gridCol w:w="1006"/>
      </w:tblGrid>
      <w:tr w14:paraId="20A9A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5" w:type="dxa"/>
            <w:vAlign w:val="center"/>
          </w:tcPr>
          <w:p w14:paraId="5D46D1B1">
            <w:pPr>
              <w:ind w:firstLine="0"/>
              <w:jc w:val="left"/>
              <w:rPr>
                <w:b/>
                <w:bCs/>
                <w:szCs w:val="28"/>
                <w:highlight w:val="none"/>
              </w:rPr>
            </w:pPr>
            <w:bookmarkStart w:id="43" w:name="_Hlk154339975"/>
            <w:r>
              <w:rPr>
                <w:b/>
                <w:bCs/>
                <w:szCs w:val="28"/>
                <w:highlight w:val="none"/>
              </w:rPr>
              <w:t>Показник</w:t>
            </w:r>
          </w:p>
        </w:tc>
        <w:tc>
          <w:tcPr>
            <w:tcW w:w="2776" w:type="dxa"/>
            <w:vAlign w:val="center"/>
          </w:tcPr>
          <w:p w14:paraId="52F60D26">
            <w:pPr>
              <w:ind w:firstLine="0"/>
              <w:jc w:val="center"/>
              <w:rPr>
                <w:b/>
                <w:bCs/>
                <w:szCs w:val="28"/>
                <w:highlight w:val="none"/>
              </w:rPr>
            </w:pPr>
            <w:r>
              <w:rPr>
                <w:b/>
                <w:bCs/>
                <w:szCs w:val="28"/>
                <w:highlight w:val="none"/>
              </w:rPr>
              <w:t>1 підгрупа (n = 31)</w:t>
            </w:r>
          </w:p>
        </w:tc>
        <w:tc>
          <w:tcPr>
            <w:tcW w:w="2777" w:type="dxa"/>
            <w:vAlign w:val="center"/>
          </w:tcPr>
          <w:p w14:paraId="66FD4E0C">
            <w:pPr>
              <w:ind w:firstLine="0"/>
              <w:jc w:val="center"/>
              <w:rPr>
                <w:b/>
                <w:bCs/>
                <w:szCs w:val="28"/>
                <w:highlight w:val="none"/>
              </w:rPr>
            </w:pPr>
            <w:r>
              <w:rPr>
                <w:b/>
                <w:bCs/>
                <w:szCs w:val="28"/>
                <w:highlight w:val="none"/>
              </w:rPr>
              <w:t>2 підгрупа (n = 36)</w:t>
            </w:r>
          </w:p>
        </w:tc>
        <w:tc>
          <w:tcPr>
            <w:tcW w:w="1006" w:type="dxa"/>
            <w:vAlign w:val="center"/>
          </w:tcPr>
          <w:p w14:paraId="751A1673">
            <w:pPr>
              <w:ind w:firstLine="0"/>
              <w:jc w:val="center"/>
              <w:rPr>
                <w:b/>
                <w:bCs/>
                <w:szCs w:val="28"/>
                <w:highlight w:val="none"/>
              </w:rPr>
            </w:pPr>
            <w:r>
              <w:rPr>
                <w:b/>
                <w:bCs/>
                <w:szCs w:val="28"/>
                <w:highlight w:val="none"/>
              </w:rPr>
              <w:t>p</w:t>
            </w:r>
          </w:p>
        </w:tc>
      </w:tr>
      <w:bookmarkEnd w:id="43"/>
      <w:tr w14:paraId="17B1C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5" w:type="dxa"/>
            <w:vAlign w:val="center"/>
          </w:tcPr>
          <w:p w14:paraId="7B3D18C3">
            <w:pPr>
              <w:ind w:firstLine="0"/>
              <w:jc w:val="left"/>
              <w:rPr>
                <w:szCs w:val="28"/>
                <w:highlight w:val="none"/>
              </w:rPr>
            </w:pPr>
            <w:r>
              <w:rPr>
                <w:szCs w:val="28"/>
                <w:highlight w:val="none"/>
              </w:rPr>
              <w:t>АЛТ, Од/л</w:t>
            </w:r>
          </w:p>
        </w:tc>
        <w:tc>
          <w:tcPr>
            <w:tcW w:w="2776" w:type="dxa"/>
            <w:vAlign w:val="center"/>
          </w:tcPr>
          <w:p w14:paraId="69A95163">
            <w:pPr>
              <w:ind w:firstLine="0"/>
              <w:jc w:val="center"/>
              <w:rPr>
                <w:szCs w:val="28"/>
                <w:highlight w:val="none"/>
              </w:rPr>
            </w:pPr>
            <w:r>
              <w:rPr>
                <w:szCs w:val="28"/>
                <w:highlight w:val="none"/>
              </w:rPr>
              <w:t>48,0 [38,0; 68,8]</w:t>
            </w:r>
          </w:p>
        </w:tc>
        <w:tc>
          <w:tcPr>
            <w:tcW w:w="2777" w:type="dxa"/>
            <w:vAlign w:val="center"/>
          </w:tcPr>
          <w:p w14:paraId="62961C71">
            <w:pPr>
              <w:ind w:firstLine="0"/>
              <w:jc w:val="center"/>
              <w:rPr>
                <w:szCs w:val="28"/>
                <w:highlight w:val="none"/>
              </w:rPr>
            </w:pPr>
            <w:r>
              <w:rPr>
                <w:szCs w:val="28"/>
                <w:highlight w:val="none"/>
              </w:rPr>
              <w:t>112,5 [82,5; 325,8]</w:t>
            </w:r>
          </w:p>
        </w:tc>
        <w:tc>
          <w:tcPr>
            <w:tcW w:w="1006" w:type="dxa"/>
            <w:vAlign w:val="center"/>
          </w:tcPr>
          <w:p w14:paraId="025806A5">
            <w:pPr>
              <w:ind w:firstLine="0"/>
              <w:jc w:val="center"/>
              <w:rPr>
                <w:szCs w:val="28"/>
                <w:highlight w:val="none"/>
              </w:rPr>
            </w:pPr>
            <w:r>
              <w:rPr>
                <w:szCs w:val="28"/>
                <w:highlight w:val="none"/>
              </w:rPr>
              <w:t>&lt;0,001</w:t>
            </w:r>
          </w:p>
        </w:tc>
      </w:tr>
      <w:tr w14:paraId="605A6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5" w:type="dxa"/>
            <w:vAlign w:val="center"/>
          </w:tcPr>
          <w:p w14:paraId="4CF6BBE6">
            <w:pPr>
              <w:ind w:firstLine="0"/>
              <w:jc w:val="left"/>
              <w:rPr>
                <w:szCs w:val="28"/>
                <w:highlight w:val="none"/>
              </w:rPr>
            </w:pPr>
            <w:r>
              <w:rPr>
                <w:szCs w:val="28"/>
                <w:highlight w:val="none"/>
              </w:rPr>
              <w:t>АСТ, Од/л</w:t>
            </w:r>
          </w:p>
        </w:tc>
        <w:tc>
          <w:tcPr>
            <w:tcW w:w="2776" w:type="dxa"/>
            <w:vAlign w:val="center"/>
          </w:tcPr>
          <w:p w14:paraId="1A2C45ED">
            <w:pPr>
              <w:ind w:firstLine="0"/>
              <w:jc w:val="center"/>
              <w:rPr>
                <w:szCs w:val="28"/>
                <w:highlight w:val="none"/>
              </w:rPr>
            </w:pPr>
            <w:r>
              <w:rPr>
                <w:szCs w:val="28"/>
                <w:highlight w:val="none"/>
              </w:rPr>
              <w:t>51,0 [43,0; 69,0]</w:t>
            </w:r>
          </w:p>
        </w:tc>
        <w:tc>
          <w:tcPr>
            <w:tcW w:w="2777" w:type="dxa"/>
            <w:vAlign w:val="center"/>
          </w:tcPr>
          <w:p w14:paraId="3693DA3D">
            <w:pPr>
              <w:ind w:firstLine="0"/>
              <w:jc w:val="center"/>
              <w:rPr>
                <w:szCs w:val="28"/>
                <w:highlight w:val="none"/>
              </w:rPr>
            </w:pPr>
            <w:r>
              <w:rPr>
                <w:szCs w:val="28"/>
                <w:highlight w:val="none"/>
              </w:rPr>
              <w:t>102,0 [97,0; 339,0]</w:t>
            </w:r>
          </w:p>
        </w:tc>
        <w:tc>
          <w:tcPr>
            <w:tcW w:w="1006" w:type="dxa"/>
            <w:vAlign w:val="center"/>
          </w:tcPr>
          <w:p w14:paraId="0925F952">
            <w:pPr>
              <w:ind w:firstLine="0"/>
              <w:jc w:val="center"/>
              <w:rPr>
                <w:szCs w:val="28"/>
                <w:highlight w:val="none"/>
              </w:rPr>
            </w:pPr>
            <w:r>
              <w:rPr>
                <w:szCs w:val="28"/>
                <w:highlight w:val="none"/>
              </w:rPr>
              <w:t>&lt;0,001</w:t>
            </w:r>
          </w:p>
        </w:tc>
      </w:tr>
      <w:tr w14:paraId="278D0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5" w:type="dxa"/>
            <w:vAlign w:val="center"/>
          </w:tcPr>
          <w:p w14:paraId="08BF9A32">
            <w:pPr>
              <w:ind w:firstLine="0"/>
              <w:jc w:val="left"/>
              <w:rPr>
                <w:szCs w:val="28"/>
                <w:highlight w:val="none"/>
              </w:rPr>
            </w:pPr>
            <w:r>
              <w:rPr>
                <w:szCs w:val="28"/>
                <w:highlight w:val="none"/>
              </w:rPr>
              <w:t>ГГТ, Од/л</w:t>
            </w:r>
          </w:p>
        </w:tc>
        <w:tc>
          <w:tcPr>
            <w:tcW w:w="2776" w:type="dxa"/>
            <w:vAlign w:val="center"/>
          </w:tcPr>
          <w:p w14:paraId="02B0DA17">
            <w:pPr>
              <w:ind w:firstLine="0"/>
              <w:jc w:val="center"/>
              <w:rPr>
                <w:szCs w:val="28"/>
                <w:highlight w:val="none"/>
              </w:rPr>
            </w:pPr>
            <w:r>
              <w:rPr>
                <w:szCs w:val="28"/>
                <w:highlight w:val="none"/>
              </w:rPr>
              <w:t>73,0 [51,0; 97,0]</w:t>
            </w:r>
          </w:p>
        </w:tc>
        <w:tc>
          <w:tcPr>
            <w:tcW w:w="2777" w:type="dxa"/>
            <w:vAlign w:val="center"/>
          </w:tcPr>
          <w:p w14:paraId="4AAA8D39">
            <w:pPr>
              <w:ind w:firstLine="0"/>
              <w:jc w:val="center"/>
              <w:rPr>
                <w:szCs w:val="28"/>
                <w:highlight w:val="none"/>
              </w:rPr>
            </w:pPr>
            <w:r>
              <w:rPr>
                <w:szCs w:val="28"/>
                <w:highlight w:val="none"/>
              </w:rPr>
              <w:t>101,0 [89,3; 353,0]</w:t>
            </w:r>
          </w:p>
        </w:tc>
        <w:tc>
          <w:tcPr>
            <w:tcW w:w="1006" w:type="dxa"/>
            <w:vAlign w:val="center"/>
          </w:tcPr>
          <w:p w14:paraId="08C83F4C">
            <w:pPr>
              <w:ind w:firstLine="0"/>
              <w:jc w:val="center"/>
              <w:rPr>
                <w:szCs w:val="28"/>
                <w:highlight w:val="none"/>
              </w:rPr>
            </w:pPr>
            <w:r>
              <w:rPr>
                <w:szCs w:val="28"/>
                <w:highlight w:val="none"/>
              </w:rPr>
              <w:t>0,002</w:t>
            </w:r>
          </w:p>
        </w:tc>
      </w:tr>
      <w:tr w14:paraId="66E7F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5" w:type="dxa"/>
            <w:vAlign w:val="center"/>
          </w:tcPr>
          <w:p w14:paraId="3AB53511">
            <w:pPr>
              <w:ind w:firstLine="0"/>
              <w:jc w:val="left"/>
              <w:rPr>
                <w:szCs w:val="28"/>
                <w:highlight w:val="none"/>
              </w:rPr>
            </w:pPr>
            <w:r>
              <w:rPr>
                <w:szCs w:val="28"/>
                <w:highlight w:val="none"/>
              </w:rPr>
              <w:t>ЛФ, Од/л</w:t>
            </w:r>
          </w:p>
        </w:tc>
        <w:tc>
          <w:tcPr>
            <w:tcW w:w="2776" w:type="dxa"/>
            <w:vAlign w:val="center"/>
          </w:tcPr>
          <w:p w14:paraId="177CE955">
            <w:pPr>
              <w:ind w:firstLine="0"/>
              <w:jc w:val="center"/>
              <w:rPr>
                <w:szCs w:val="28"/>
                <w:highlight w:val="none"/>
              </w:rPr>
            </w:pPr>
            <w:r>
              <w:rPr>
                <w:szCs w:val="28"/>
                <w:highlight w:val="none"/>
              </w:rPr>
              <w:t>90,0 [74,5; 314,9]</w:t>
            </w:r>
          </w:p>
        </w:tc>
        <w:tc>
          <w:tcPr>
            <w:tcW w:w="2777" w:type="dxa"/>
            <w:vAlign w:val="center"/>
          </w:tcPr>
          <w:p w14:paraId="18D816ED">
            <w:pPr>
              <w:ind w:firstLine="0"/>
              <w:jc w:val="center"/>
              <w:rPr>
                <w:szCs w:val="28"/>
                <w:highlight w:val="none"/>
              </w:rPr>
            </w:pPr>
            <w:r>
              <w:rPr>
                <w:szCs w:val="28"/>
                <w:highlight w:val="none"/>
              </w:rPr>
              <w:t>141,9 [81,8; 384,5]</w:t>
            </w:r>
          </w:p>
        </w:tc>
        <w:tc>
          <w:tcPr>
            <w:tcW w:w="1006" w:type="dxa"/>
            <w:vAlign w:val="center"/>
          </w:tcPr>
          <w:p w14:paraId="0B74BDD6">
            <w:pPr>
              <w:ind w:firstLine="0"/>
              <w:jc w:val="center"/>
              <w:rPr>
                <w:szCs w:val="28"/>
                <w:highlight w:val="none"/>
              </w:rPr>
            </w:pPr>
            <w:r>
              <w:rPr>
                <w:szCs w:val="28"/>
                <w:highlight w:val="none"/>
              </w:rPr>
              <w:t>0,075</w:t>
            </w:r>
          </w:p>
        </w:tc>
      </w:tr>
      <w:tr w14:paraId="2B4D4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5" w:type="dxa"/>
            <w:vAlign w:val="center"/>
          </w:tcPr>
          <w:p w14:paraId="1616AA6C">
            <w:pPr>
              <w:ind w:firstLine="0"/>
              <w:jc w:val="left"/>
              <w:rPr>
                <w:szCs w:val="28"/>
                <w:highlight w:val="none"/>
              </w:rPr>
            </w:pPr>
            <w:r>
              <w:rPr>
                <w:szCs w:val="28"/>
                <w:highlight w:val="none"/>
              </w:rPr>
              <w:t>Білірубін загальний, ммоль/л</w:t>
            </w:r>
          </w:p>
        </w:tc>
        <w:tc>
          <w:tcPr>
            <w:tcW w:w="2776" w:type="dxa"/>
            <w:vAlign w:val="center"/>
          </w:tcPr>
          <w:p w14:paraId="42BC3EBA">
            <w:pPr>
              <w:ind w:firstLine="0"/>
              <w:jc w:val="center"/>
              <w:rPr>
                <w:szCs w:val="28"/>
                <w:highlight w:val="none"/>
              </w:rPr>
            </w:pPr>
            <w:r>
              <w:rPr>
                <w:szCs w:val="28"/>
                <w:highlight w:val="none"/>
              </w:rPr>
              <w:t>11,0 [9,30; 36,0]</w:t>
            </w:r>
          </w:p>
        </w:tc>
        <w:tc>
          <w:tcPr>
            <w:tcW w:w="2777" w:type="dxa"/>
            <w:vAlign w:val="center"/>
          </w:tcPr>
          <w:p w14:paraId="748F98D3">
            <w:pPr>
              <w:ind w:firstLine="0"/>
              <w:jc w:val="center"/>
              <w:rPr>
                <w:szCs w:val="28"/>
                <w:highlight w:val="none"/>
              </w:rPr>
            </w:pPr>
            <w:r>
              <w:rPr>
                <w:szCs w:val="28"/>
                <w:highlight w:val="none"/>
              </w:rPr>
              <w:t>14,1 [10,7; 37,8]</w:t>
            </w:r>
          </w:p>
        </w:tc>
        <w:tc>
          <w:tcPr>
            <w:tcW w:w="1006" w:type="dxa"/>
            <w:vAlign w:val="center"/>
          </w:tcPr>
          <w:p w14:paraId="78DA53CA">
            <w:pPr>
              <w:ind w:firstLine="0"/>
              <w:jc w:val="center"/>
              <w:rPr>
                <w:szCs w:val="28"/>
                <w:highlight w:val="none"/>
              </w:rPr>
            </w:pPr>
            <w:r>
              <w:rPr>
                <w:szCs w:val="28"/>
                <w:highlight w:val="none"/>
              </w:rPr>
              <w:t>0,216</w:t>
            </w:r>
          </w:p>
        </w:tc>
      </w:tr>
    </w:tbl>
    <w:p w14:paraId="142C8F27">
      <w:pPr>
        <w:rPr>
          <w:highlight w:val="none"/>
        </w:rPr>
      </w:pPr>
    </w:p>
    <w:p w14:paraId="7370DE42">
      <w:pPr>
        <w:jc w:val="right"/>
        <w:rPr>
          <w:i/>
          <w:iCs/>
          <w:szCs w:val="28"/>
          <w:highlight w:val="none"/>
        </w:rPr>
      </w:pPr>
      <w:r>
        <w:rPr>
          <w:i/>
          <w:iCs/>
          <w:szCs w:val="28"/>
          <w:highlight w:val="none"/>
        </w:rPr>
        <w:t>Продовження таблиці 3.8</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85"/>
        <w:gridCol w:w="2776"/>
        <w:gridCol w:w="2777"/>
        <w:gridCol w:w="1006"/>
      </w:tblGrid>
      <w:tr w14:paraId="15E60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5" w:type="dxa"/>
            <w:vAlign w:val="center"/>
          </w:tcPr>
          <w:p w14:paraId="418014BD">
            <w:pPr>
              <w:ind w:firstLine="0"/>
              <w:jc w:val="left"/>
              <w:rPr>
                <w:b/>
                <w:bCs/>
                <w:szCs w:val="28"/>
                <w:highlight w:val="none"/>
              </w:rPr>
            </w:pPr>
            <w:r>
              <w:rPr>
                <w:b/>
                <w:bCs/>
                <w:szCs w:val="28"/>
                <w:highlight w:val="none"/>
              </w:rPr>
              <w:t>Показник</w:t>
            </w:r>
          </w:p>
        </w:tc>
        <w:tc>
          <w:tcPr>
            <w:tcW w:w="2776" w:type="dxa"/>
            <w:vAlign w:val="center"/>
          </w:tcPr>
          <w:p w14:paraId="3CD92E0A">
            <w:pPr>
              <w:ind w:firstLine="0"/>
              <w:jc w:val="center"/>
              <w:rPr>
                <w:b/>
                <w:bCs/>
                <w:szCs w:val="28"/>
                <w:highlight w:val="none"/>
              </w:rPr>
            </w:pPr>
            <w:r>
              <w:rPr>
                <w:b/>
                <w:bCs/>
                <w:szCs w:val="28"/>
                <w:highlight w:val="none"/>
              </w:rPr>
              <w:t>1 підгрупа (n = 31)</w:t>
            </w:r>
          </w:p>
        </w:tc>
        <w:tc>
          <w:tcPr>
            <w:tcW w:w="2777" w:type="dxa"/>
            <w:vAlign w:val="center"/>
          </w:tcPr>
          <w:p w14:paraId="48B9F9D5">
            <w:pPr>
              <w:ind w:firstLine="0"/>
              <w:jc w:val="center"/>
              <w:rPr>
                <w:b/>
                <w:bCs/>
                <w:szCs w:val="28"/>
                <w:highlight w:val="none"/>
              </w:rPr>
            </w:pPr>
            <w:r>
              <w:rPr>
                <w:b/>
                <w:bCs/>
                <w:szCs w:val="28"/>
                <w:highlight w:val="none"/>
              </w:rPr>
              <w:t>2 підгрупа (n = 36)</w:t>
            </w:r>
          </w:p>
        </w:tc>
        <w:tc>
          <w:tcPr>
            <w:tcW w:w="1006" w:type="dxa"/>
            <w:vAlign w:val="center"/>
          </w:tcPr>
          <w:p w14:paraId="45D4BFF3">
            <w:pPr>
              <w:ind w:firstLine="0"/>
              <w:jc w:val="center"/>
              <w:rPr>
                <w:b/>
                <w:bCs/>
                <w:szCs w:val="28"/>
                <w:highlight w:val="none"/>
              </w:rPr>
            </w:pPr>
            <w:r>
              <w:rPr>
                <w:b/>
                <w:bCs/>
                <w:szCs w:val="28"/>
                <w:highlight w:val="none"/>
              </w:rPr>
              <w:t>p</w:t>
            </w:r>
          </w:p>
        </w:tc>
      </w:tr>
      <w:tr w14:paraId="0D498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5" w:type="dxa"/>
            <w:vAlign w:val="center"/>
          </w:tcPr>
          <w:p w14:paraId="7F57CA17">
            <w:pPr>
              <w:ind w:firstLine="0"/>
              <w:jc w:val="left"/>
              <w:rPr>
                <w:szCs w:val="28"/>
                <w:highlight w:val="none"/>
              </w:rPr>
            </w:pPr>
            <w:r>
              <w:rPr>
                <w:szCs w:val="28"/>
                <w:highlight w:val="none"/>
              </w:rPr>
              <w:t>Білірубін прямий, ммоль/л</w:t>
            </w:r>
          </w:p>
        </w:tc>
        <w:tc>
          <w:tcPr>
            <w:tcW w:w="2776" w:type="dxa"/>
            <w:vAlign w:val="center"/>
          </w:tcPr>
          <w:p w14:paraId="7FEE19E6">
            <w:pPr>
              <w:ind w:firstLine="0"/>
              <w:jc w:val="center"/>
              <w:rPr>
                <w:szCs w:val="28"/>
                <w:highlight w:val="none"/>
              </w:rPr>
            </w:pPr>
            <w:r>
              <w:rPr>
                <w:szCs w:val="28"/>
                <w:highlight w:val="none"/>
              </w:rPr>
              <w:t>3,44 [2,70; 5,00]</w:t>
            </w:r>
          </w:p>
        </w:tc>
        <w:tc>
          <w:tcPr>
            <w:tcW w:w="2777" w:type="dxa"/>
            <w:vAlign w:val="center"/>
          </w:tcPr>
          <w:p w14:paraId="2A64B8F2">
            <w:pPr>
              <w:ind w:firstLine="0"/>
              <w:jc w:val="center"/>
              <w:rPr>
                <w:szCs w:val="28"/>
                <w:highlight w:val="none"/>
              </w:rPr>
            </w:pPr>
            <w:r>
              <w:rPr>
                <w:szCs w:val="28"/>
                <w:highlight w:val="none"/>
              </w:rPr>
              <w:t>4,67 [3,13; 8,13]</w:t>
            </w:r>
          </w:p>
        </w:tc>
        <w:tc>
          <w:tcPr>
            <w:tcW w:w="1006" w:type="dxa"/>
            <w:vAlign w:val="center"/>
          </w:tcPr>
          <w:p w14:paraId="5ABE86F8">
            <w:pPr>
              <w:ind w:firstLine="0"/>
              <w:jc w:val="center"/>
              <w:rPr>
                <w:szCs w:val="28"/>
                <w:highlight w:val="none"/>
              </w:rPr>
            </w:pPr>
            <w:r>
              <w:rPr>
                <w:szCs w:val="28"/>
                <w:highlight w:val="none"/>
              </w:rPr>
              <w:t>0,083</w:t>
            </w:r>
          </w:p>
        </w:tc>
      </w:tr>
      <w:tr w14:paraId="71062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5" w:type="dxa"/>
            <w:vAlign w:val="center"/>
          </w:tcPr>
          <w:p w14:paraId="5E80A91D">
            <w:pPr>
              <w:ind w:firstLine="0"/>
              <w:jc w:val="left"/>
              <w:rPr>
                <w:szCs w:val="28"/>
                <w:highlight w:val="none"/>
              </w:rPr>
            </w:pPr>
            <w:r>
              <w:rPr>
                <w:szCs w:val="28"/>
                <w:highlight w:val="none"/>
              </w:rPr>
              <w:t>Білірубін непрямий, ммоль/л</w:t>
            </w:r>
          </w:p>
        </w:tc>
        <w:tc>
          <w:tcPr>
            <w:tcW w:w="2776" w:type="dxa"/>
            <w:vAlign w:val="center"/>
          </w:tcPr>
          <w:p w14:paraId="77A273ED">
            <w:pPr>
              <w:ind w:firstLine="0"/>
              <w:jc w:val="center"/>
              <w:rPr>
                <w:szCs w:val="28"/>
                <w:highlight w:val="none"/>
              </w:rPr>
            </w:pPr>
            <w:r>
              <w:rPr>
                <w:szCs w:val="28"/>
                <w:highlight w:val="none"/>
              </w:rPr>
              <w:t>8,00 [6,40; 32,0]</w:t>
            </w:r>
          </w:p>
        </w:tc>
        <w:tc>
          <w:tcPr>
            <w:tcW w:w="2777" w:type="dxa"/>
            <w:vAlign w:val="center"/>
          </w:tcPr>
          <w:p w14:paraId="1B4D83A8">
            <w:pPr>
              <w:ind w:firstLine="0"/>
              <w:jc w:val="center"/>
              <w:rPr>
                <w:szCs w:val="28"/>
                <w:highlight w:val="none"/>
              </w:rPr>
            </w:pPr>
            <w:r>
              <w:rPr>
                <w:szCs w:val="28"/>
                <w:highlight w:val="none"/>
              </w:rPr>
              <w:t>7,85 [6,00; 31,8]</w:t>
            </w:r>
          </w:p>
        </w:tc>
        <w:tc>
          <w:tcPr>
            <w:tcW w:w="1006" w:type="dxa"/>
            <w:vAlign w:val="center"/>
          </w:tcPr>
          <w:p w14:paraId="2DDECCE2">
            <w:pPr>
              <w:ind w:firstLine="0"/>
              <w:jc w:val="center"/>
              <w:rPr>
                <w:szCs w:val="28"/>
                <w:highlight w:val="none"/>
              </w:rPr>
            </w:pPr>
            <w:r>
              <w:rPr>
                <w:szCs w:val="28"/>
                <w:highlight w:val="none"/>
              </w:rPr>
              <w:t>0,544</w:t>
            </w:r>
          </w:p>
        </w:tc>
      </w:tr>
      <w:tr w14:paraId="61369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5" w:type="dxa"/>
            <w:vAlign w:val="center"/>
          </w:tcPr>
          <w:p w14:paraId="5F404634">
            <w:pPr>
              <w:ind w:firstLine="0"/>
              <w:jc w:val="left"/>
              <w:rPr>
                <w:szCs w:val="28"/>
                <w:highlight w:val="none"/>
              </w:rPr>
            </w:pPr>
            <w:r>
              <w:rPr>
                <w:szCs w:val="28"/>
                <w:highlight w:val="none"/>
              </w:rPr>
              <w:t>Тимолова проба, Од SH</w:t>
            </w:r>
          </w:p>
        </w:tc>
        <w:tc>
          <w:tcPr>
            <w:tcW w:w="2776" w:type="dxa"/>
            <w:vAlign w:val="center"/>
          </w:tcPr>
          <w:p w14:paraId="1648602F">
            <w:pPr>
              <w:ind w:firstLine="0"/>
              <w:jc w:val="center"/>
              <w:rPr>
                <w:szCs w:val="28"/>
                <w:highlight w:val="none"/>
              </w:rPr>
            </w:pPr>
            <w:r>
              <w:rPr>
                <w:szCs w:val="28"/>
                <w:highlight w:val="none"/>
              </w:rPr>
              <w:t>3,70 [2,60; 5,00]</w:t>
            </w:r>
          </w:p>
        </w:tc>
        <w:tc>
          <w:tcPr>
            <w:tcW w:w="2777" w:type="dxa"/>
            <w:vAlign w:val="center"/>
          </w:tcPr>
          <w:p w14:paraId="48383276">
            <w:pPr>
              <w:ind w:firstLine="0"/>
              <w:jc w:val="center"/>
              <w:rPr>
                <w:szCs w:val="28"/>
                <w:highlight w:val="none"/>
              </w:rPr>
            </w:pPr>
            <w:r>
              <w:rPr>
                <w:szCs w:val="28"/>
                <w:highlight w:val="none"/>
              </w:rPr>
              <w:t>4,40 [3,53; 6,88]</w:t>
            </w:r>
          </w:p>
        </w:tc>
        <w:tc>
          <w:tcPr>
            <w:tcW w:w="1006" w:type="dxa"/>
            <w:vAlign w:val="center"/>
          </w:tcPr>
          <w:p w14:paraId="0B4C961B">
            <w:pPr>
              <w:ind w:firstLine="0"/>
              <w:jc w:val="center"/>
              <w:rPr>
                <w:szCs w:val="28"/>
                <w:highlight w:val="none"/>
              </w:rPr>
            </w:pPr>
            <w:r>
              <w:rPr>
                <w:szCs w:val="28"/>
                <w:highlight w:val="none"/>
              </w:rPr>
              <w:t>0,074</w:t>
            </w:r>
          </w:p>
        </w:tc>
      </w:tr>
      <w:tr w14:paraId="5CDB2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5" w:type="dxa"/>
            <w:vAlign w:val="center"/>
          </w:tcPr>
          <w:p w14:paraId="7532605F">
            <w:pPr>
              <w:ind w:firstLine="0"/>
              <w:jc w:val="left"/>
              <w:rPr>
                <w:szCs w:val="28"/>
                <w:highlight w:val="none"/>
              </w:rPr>
            </w:pPr>
            <w:r>
              <w:rPr>
                <w:szCs w:val="28"/>
                <w:highlight w:val="none"/>
              </w:rPr>
              <w:t>Альбумін, г/л</w:t>
            </w:r>
          </w:p>
        </w:tc>
        <w:tc>
          <w:tcPr>
            <w:tcW w:w="2776" w:type="dxa"/>
            <w:vAlign w:val="center"/>
          </w:tcPr>
          <w:p w14:paraId="251EA80C">
            <w:pPr>
              <w:ind w:firstLine="0"/>
              <w:jc w:val="center"/>
              <w:rPr>
                <w:szCs w:val="28"/>
                <w:highlight w:val="none"/>
              </w:rPr>
            </w:pPr>
            <w:r>
              <w:rPr>
                <w:szCs w:val="28"/>
                <w:highlight w:val="none"/>
              </w:rPr>
              <w:t>46,1 [39,4; 62,7]</w:t>
            </w:r>
          </w:p>
        </w:tc>
        <w:tc>
          <w:tcPr>
            <w:tcW w:w="2777" w:type="dxa"/>
            <w:vAlign w:val="center"/>
          </w:tcPr>
          <w:p w14:paraId="3F45CF3C">
            <w:pPr>
              <w:ind w:firstLine="0"/>
              <w:jc w:val="center"/>
              <w:rPr>
                <w:szCs w:val="28"/>
                <w:highlight w:val="none"/>
              </w:rPr>
            </w:pPr>
            <w:r>
              <w:rPr>
                <w:szCs w:val="28"/>
                <w:highlight w:val="none"/>
              </w:rPr>
              <w:t>44,3 [42,6; 47,8]</w:t>
            </w:r>
          </w:p>
        </w:tc>
        <w:tc>
          <w:tcPr>
            <w:tcW w:w="1006" w:type="dxa"/>
            <w:vAlign w:val="center"/>
          </w:tcPr>
          <w:p w14:paraId="2385BBB9">
            <w:pPr>
              <w:ind w:firstLine="0"/>
              <w:jc w:val="center"/>
              <w:rPr>
                <w:szCs w:val="28"/>
                <w:highlight w:val="none"/>
              </w:rPr>
            </w:pPr>
            <w:r>
              <w:rPr>
                <w:szCs w:val="28"/>
                <w:highlight w:val="none"/>
              </w:rPr>
              <w:t>0,508</w:t>
            </w:r>
          </w:p>
        </w:tc>
      </w:tr>
      <w:tr w14:paraId="4F2F2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5" w:type="dxa"/>
            <w:vAlign w:val="center"/>
          </w:tcPr>
          <w:p w14:paraId="55E5B192">
            <w:pPr>
              <w:ind w:firstLine="0"/>
              <w:jc w:val="left"/>
              <w:rPr>
                <w:szCs w:val="28"/>
                <w:highlight w:val="none"/>
              </w:rPr>
            </w:pPr>
            <w:r>
              <w:rPr>
                <w:szCs w:val="28"/>
                <w:highlight w:val="none"/>
              </w:rPr>
              <w:t>Білок загальний, г/л</w:t>
            </w:r>
          </w:p>
        </w:tc>
        <w:tc>
          <w:tcPr>
            <w:tcW w:w="2776" w:type="dxa"/>
            <w:vAlign w:val="center"/>
          </w:tcPr>
          <w:p w14:paraId="7D6C0F27">
            <w:pPr>
              <w:ind w:firstLine="0"/>
              <w:jc w:val="center"/>
              <w:rPr>
                <w:szCs w:val="28"/>
                <w:highlight w:val="none"/>
              </w:rPr>
            </w:pPr>
            <w:r>
              <w:rPr>
                <w:szCs w:val="28"/>
                <w:highlight w:val="none"/>
              </w:rPr>
              <w:t>73,8 [69,8; 77,1]</w:t>
            </w:r>
          </w:p>
        </w:tc>
        <w:tc>
          <w:tcPr>
            <w:tcW w:w="2777" w:type="dxa"/>
            <w:vAlign w:val="center"/>
          </w:tcPr>
          <w:p w14:paraId="4BD9441D">
            <w:pPr>
              <w:ind w:firstLine="0"/>
              <w:jc w:val="center"/>
              <w:rPr>
                <w:szCs w:val="28"/>
                <w:highlight w:val="none"/>
              </w:rPr>
            </w:pPr>
            <w:r>
              <w:rPr>
                <w:szCs w:val="28"/>
                <w:highlight w:val="none"/>
              </w:rPr>
              <w:t>77,7 [71,3; 80,3]</w:t>
            </w:r>
          </w:p>
        </w:tc>
        <w:tc>
          <w:tcPr>
            <w:tcW w:w="1006" w:type="dxa"/>
            <w:vAlign w:val="center"/>
          </w:tcPr>
          <w:p w14:paraId="49588E22">
            <w:pPr>
              <w:ind w:firstLine="0"/>
              <w:jc w:val="center"/>
              <w:rPr>
                <w:szCs w:val="28"/>
                <w:highlight w:val="none"/>
              </w:rPr>
            </w:pPr>
            <w:r>
              <w:rPr>
                <w:szCs w:val="28"/>
                <w:highlight w:val="none"/>
              </w:rPr>
              <w:t>0,026</w:t>
            </w:r>
          </w:p>
        </w:tc>
      </w:tr>
      <w:tr w14:paraId="76662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5" w:type="dxa"/>
            <w:vAlign w:val="center"/>
          </w:tcPr>
          <w:p w14:paraId="399DAFBF">
            <w:pPr>
              <w:ind w:firstLine="0"/>
              <w:jc w:val="left"/>
              <w:rPr>
                <w:szCs w:val="28"/>
                <w:highlight w:val="none"/>
              </w:rPr>
            </w:pPr>
            <w:r>
              <w:rPr>
                <w:szCs w:val="28"/>
                <w:highlight w:val="none"/>
              </w:rPr>
              <w:t>ОП, пг/мл</w:t>
            </w:r>
          </w:p>
        </w:tc>
        <w:tc>
          <w:tcPr>
            <w:tcW w:w="2776" w:type="dxa"/>
            <w:vAlign w:val="center"/>
          </w:tcPr>
          <w:p w14:paraId="325385DC">
            <w:pPr>
              <w:ind w:firstLine="0"/>
              <w:jc w:val="center"/>
              <w:rPr>
                <w:szCs w:val="28"/>
                <w:highlight w:val="none"/>
              </w:rPr>
            </w:pPr>
            <w:r>
              <w:rPr>
                <w:szCs w:val="28"/>
                <w:highlight w:val="none"/>
              </w:rPr>
              <w:t>6,59 [4,81; 7,49]</w:t>
            </w:r>
          </w:p>
        </w:tc>
        <w:tc>
          <w:tcPr>
            <w:tcW w:w="2777" w:type="dxa"/>
            <w:vAlign w:val="center"/>
          </w:tcPr>
          <w:p w14:paraId="6AC72C36">
            <w:pPr>
              <w:ind w:firstLine="0"/>
              <w:jc w:val="center"/>
              <w:rPr>
                <w:szCs w:val="28"/>
                <w:highlight w:val="none"/>
              </w:rPr>
            </w:pPr>
            <w:r>
              <w:rPr>
                <w:szCs w:val="28"/>
                <w:highlight w:val="none"/>
              </w:rPr>
              <w:t>10,1 [8,42; 30,7]</w:t>
            </w:r>
          </w:p>
        </w:tc>
        <w:tc>
          <w:tcPr>
            <w:tcW w:w="1006" w:type="dxa"/>
            <w:vAlign w:val="center"/>
          </w:tcPr>
          <w:p w14:paraId="20634AB2">
            <w:pPr>
              <w:ind w:firstLine="0"/>
              <w:jc w:val="center"/>
              <w:rPr>
                <w:szCs w:val="28"/>
                <w:highlight w:val="none"/>
              </w:rPr>
            </w:pPr>
            <w:r>
              <w:rPr>
                <w:szCs w:val="28"/>
                <w:highlight w:val="none"/>
              </w:rPr>
              <w:t>&lt;0,001</w:t>
            </w:r>
          </w:p>
        </w:tc>
      </w:tr>
      <w:tr w14:paraId="60732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5" w:type="dxa"/>
            <w:vAlign w:val="center"/>
          </w:tcPr>
          <w:p w14:paraId="446AB0FA">
            <w:pPr>
              <w:ind w:firstLine="0"/>
              <w:jc w:val="left"/>
              <w:rPr>
                <w:szCs w:val="28"/>
                <w:highlight w:val="none"/>
              </w:rPr>
            </w:pPr>
            <w:r>
              <w:rPr>
                <w:szCs w:val="28"/>
                <w:highlight w:val="none"/>
              </w:rPr>
              <w:t>Вітамін D, нг/мл</w:t>
            </w:r>
          </w:p>
        </w:tc>
        <w:tc>
          <w:tcPr>
            <w:tcW w:w="2776" w:type="dxa"/>
            <w:vAlign w:val="center"/>
          </w:tcPr>
          <w:p w14:paraId="401DED38">
            <w:pPr>
              <w:ind w:firstLine="0"/>
              <w:jc w:val="center"/>
              <w:rPr>
                <w:szCs w:val="28"/>
                <w:highlight w:val="none"/>
              </w:rPr>
            </w:pPr>
            <w:r>
              <w:rPr>
                <w:szCs w:val="28"/>
                <w:highlight w:val="none"/>
              </w:rPr>
              <w:t>17,23 [15,05; 38,03]</w:t>
            </w:r>
          </w:p>
        </w:tc>
        <w:tc>
          <w:tcPr>
            <w:tcW w:w="2777" w:type="dxa"/>
            <w:vAlign w:val="center"/>
          </w:tcPr>
          <w:p w14:paraId="752F8971">
            <w:pPr>
              <w:ind w:firstLine="0"/>
              <w:jc w:val="center"/>
              <w:rPr>
                <w:szCs w:val="28"/>
                <w:highlight w:val="none"/>
              </w:rPr>
            </w:pPr>
            <w:r>
              <w:rPr>
                <w:szCs w:val="28"/>
                <w:highlight w:val="none"/>
              </w:rPr>
              <w:t>19,90 [19,17; 21,51]</w:t>
            </w:r>
          </w:p>
        </w:tc>
        <w:tc>
          <w:tcPr>
            <w:tcW w:w="1006" w:type="dxa"/>
            <w:vAlign w:val="center"/>
          </w:tcPr>
          <w:p w14:paraId="345ECC1C">
            <w:pPr>
              <w:ind w:firstLine="0"/>
              <w:jc w:val="center"/>
              <w:rPr>
                <w:szCs w:val="28"/>
                <w:highlight w:val="none"/>
              </w:rPr>
            </w:pPr>
            <w:r>
              <w:rPr>
                <w:szCs w:val="28"/>
                <w:highlight w:val="none"/>
              </w:rPr>
              <w:t>&lt;0,001</w:t>
            </w:r>
          </w:p>
        </w:tc>
      </w:tr>
    </w:tbl>
    <w:p w14:paraId="24EE9CBE">
      <w:pPr>
        <w:rPr>
          <w:szCs w:val="28"/>
          <w:highlight w:val="none"/>
        </w:rPr>
      </w:pPr>
    </w:p>
    <w:p w14:paraId="0AB741C0">
      <w:pPr>
        <w:rPr>
          <w:szCs w:val="28"/>
          <w:highlight w:val="none"/>
        </w:rPr>
      </w:pPr>
      <w:r>
        <w:rPr>
          <w:szCs w:val="28"/>
          <w:highlight w:val="none"/>
        </w:rPr>
        <w:t xml:space="preserve">Аналіз показників біохімічного аналізу крові та рівнів остеопонтину серед пацієнтів основної групи в залежності від стадії фіброзу показав, що у пацієнтів 2 підгрупи рівні АЛТ та АСТ достовірно (р&lt;0,001) переважали, ніж у пацієнтів 1 підгрупи. Поряд з цим, медіана ГГТ була в півтора рази достовірно (р=0,002) вищою. Хоча значення медіанного рівню ЛФ у пацієнтів 2 підгрупи було майже в півтора рази вищим, ніж у пацієнтів 1 підгрупи, показник не досяг встановленого рівню достовірності. </w:t>
      </w:r>
    </w:p>
    <w:p w14:paraId="7D7046B0">
      <w:pPr>
        <w:rPr>
          <w:szCs w:val="28"/>
          <w:highlight w:val="none"/>
        </w:rPr>
      </w:pPr>
      <w:r>
        <w:rPr>
          <w:szCs w:val="28"/>
          <w:highlight w:val="none"/>
        </w:rPr>
        <w:t xml:space="preserve">Медіани загального білірубіну та його прямої фракції недостовірно переважали у пацієнтів 2 підгрупи, в той час як непряма фракція була незначно більшою в 1 підгрупі по медіані. Достовірної різниці відносно значення тимолової проби між підгрупами отримано не було. </w:t>
      </w:r>
    </w:p>
    <w:p w14:paraId="662F5907">
      <w:pPr>
        <w:rPr>
          <w:szCs w:val="28"/>
          <w:highlight w:val="none"/>
        </w:rPr>
      </w:pPr>
      <w:r>
        <w:rPr>
          <w:szCs w:val="28"/>
          <w:highlight w:val="none"/>
        </w:rPr>
        <w:t>Медіанний рівень загального білку достовірно переважав у пацієнтів 2 підгрупи (р=0,026), проте рівні альбуміну були однакові в обох підгрупах (р=0,508). Відносно рівнів остеопонтину було визначено, що рівень у пацієнтів 2 підгрупи достовірно (р&lt;0,001) в півтора рази переважав над 1 підгрупою. Рівні вітаміну D відповідали значенням дефіциту, проте були достовірно (р&lt;0,001) вищими у пацієнтів з 3–4 стадією фіброзу.</w:t>
      </w:r>
    </w:p>
    <w:p w14:paraId="36BA5291">
      <w:pPr>
        <w:rPr>
          <w:szCs w:val="28"/>
          <w:highlight w:val="none"/>
        </w:rPr>
      </w:pPr>
    </w:p>
    <w:p w14:paraId="3282CA22">
      <w:pPr>
        <w:jc w:val="right"/>
        <w:rPr>
          <w:i/>
          <w:iCs/>
          <w:szCs w:val="28"/>
          <w:highlight w:val="none"/>
        </w:rPr>
      </w:pPr>
      <w:r>
        <w:rPr>
          <w:i/>
          <w:iCs/>
          <w:szCs w:val="28"/>
          <w:highlight w:val="none"/>
        </w:rPr>
        <w:t>Таблиця 3.9</w:t>
      </w:r>
    </w:p>
    <w:p w14:paraId="33005A2D">
      <w:pPr>
        <w:rPr>
          <w:b/>
          <w:bCs/>
          <w:szCs w:val="28"/>
          <w:highlight w:val="none"/>
        </w:rPr>
      </w:pPr>
      <w:r>
        <w:rPr>
          <w:b/>
          <w:bCs/>
          <w:szCs w:val="28"/>
          <w:highlight w:val="none"/>
        </w:rPr>
        <w:t>Показники клінічного аналізу крові обстежених пацієнтів в залежності від стадії фіброзу, Me [Lq; Uq]</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47"/>
        <w:gridCol w:w="2693"/>
        <w:gridCol w:w="3099"/>
        <w:gridCol w:w="1006"/>
      </w:tblGrid>
      <w:tr w14:paraId="010FA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5F6122F4">
            <w:pPr>
              <w:ind w:firstLine="0"/>
              <w:jc w:val="left"/>
              <w:rPr>
                <w:b/>
                <w:bCs/>
                <w:szCs w:val="28"/>
                <w:highlight w:val="none"/>
              </w:rPr>
            </w:pPr>
            <w:r>
              <w:rPr>
                <w:b/>
                <w:bCs/>
                <w:szCs w:val="28"/>
                <w:highlight w:val="none"/>
              </w:rPr>
              <w:t>Показник</w:t>
            </w:r>
          </w:p>
        </w:tc>
        <w:tc>
          <w:tcPr>
            <w:tcW w:w="2693" w:type="dxa"/>
            <w:vAlign w:val="center"/>
          </w:tcPr>
          <w:p w14:paraId="44F9C801">
            <w:pPr>
              <w:ind w:firstLine="0"/>
              <w:jc w:val="center"/>
              <w:rPr>
                <w:b/>
                <w:bCs/>
                <w:szCs w:val="28"/>
                <w:highlight w:val="none"/>
              </w:rPr>
            </w:pPr>
            <w:r>
              <w:rPr>
                <w:b/>
                <w:bCs/>
                <w:szCs w:val="28"/>
                <w:highlight w:val="none"/>
              </w:rPr>
              <w:t>1 підгрупа (n = 31)</w:t>
            </w:r>
          </w:p>
        </w:tc>
        <w:tc>
          <w:tcPr>
            <w:tcW w:w="3099" w:type="dxa"/>
            <w:vAlign w:val="center"/>
          </w:tcPr>
          <w:p w14:paraId="62D2F9C1">
            <w:pPr>
              <w:ind w:firstLine="0"/>
              <w:jc w:val="center"/>
              <w:rPr>
                <w:b/>
                <w:bCs/>
                <w:szCs w:val="28"/>
                <w:highlight w:val="none"/>
              </w:rPr>
            </w:pPr>
            <w:r>
              <w:rPr>
                <w:b/>
                <w:bCs/>
                <w:szCs w:val="28"/>
                <w:highlight w:val="none"/>
              </w:rPr>
              <w:t>2 підгрупа (n = 36)</w:t>
            </w:r>
          </w:p>
        </w:tc>
        <w:tc>
          <w:tcPr>
            <w:tcW w:w="1006" w:type="dxa"/>
            <w:vAlign w:val="center"/>
          </w:tcPr>
          <w:p w14:paraId="5658F356">
            <w:pPr>
              <w:ind w:firstLine="0"/>
              <w:jc w:val="center"/>
              <w:rPr>
                <w:b/>
                <w:bCs/>
                <w:szCs w:val="28"/>
                <w:highlight w:val="none"/>
              </w:rPr>
            </w:pPr>
            <w:r>
              <w:rPr>
                <w:b/>
                <w:bCs/>
                <w:szCs w:val="28"/>
                <w:highlight w:val="none"/>
              </w:rPr>
              <w:t>p</w:t>
            </w:r>
          </w:p>
        </w:tc>
      </w:tr>
      <w:tr w14:paraId="40C51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2F1C72B6">
            <w:pPr>
              <w:ind w:firstLine="0"/>
              <w:jc w:val="left"/>
              <w:rPr>
                <w:szCs w:val="28"/>
                <w:highlight w:val="none"/>
              </w:rPr>
            </w:pPr>
            <w:r>
              <w:rPr>
                <w:szCs w:val="28"/>
                <w:highlight w:val="none"/>
              </w:rPr>
              <w:t>Еритроцити, 10</w:t>
            </w:r>
            <w:r>
              <w:rPr>
                <w:szCs w:val="28"/>
                <w:highlight w:val="none"/>
                <w:vertAlign w:val="superscript"/>
              </w:rPr>
              <w:t>12</w:t>
            </w:r>
            <w:r>
              <w:rPr>
                <w:szCs w:val="28"/>
                <w:highlight w:val="none"/>
              </w:rPr>
              <w:t>/л</w:t>
            </w:r>
          </w:p>
        </w:tc>
        <w:tc>
          <w:tcPr>
            <w:tcW w:w="2693" w:type="dxa"/>
            <w:vAlign w:val="center"/>
          </w:tcPr>
          <w:p w14:paraId="1BD082A6">
            <w:pPr>
              <w:ind w:firstLine="0"/>
              <w:jc w:val="center"/>
              <w:rPr>
                <w:szCs w:val="28"/>
                <w:highlight w:val="none"/>
              </w:rPr>
            </w:pPr>
            <w:r>
              <w:rPr>
                <w:szCs w:val="28"/>
                <w:highlight w:val="none"/>
              </w:rPr>
              <w:t>4,85 [4,56; 5,20]</w:t>
            </w:r>
          </w:p>
        </w:tc>
        <w:tc>
          <w:tcPr>
            <w:tcW w:w="3099" w:type="dxa"/>
            <w:vAlign w:val="center"/>
          </w:tcPr>
          <w:p w14:paraId="6A0A1C38">
            <w:pPr>
              <w:ind w:firstLine="0"/>
              <w:jc w:val="center"/>
              <w:rPr>
                <w:szCs w:val="28"/>
                <w:highlight w:val="none"/>
              </w:rPr>
            </w:pPr>
            <w:r>
              <w:rPr>
                <w:szCs w:val="28"/>
                <w:highlight w:val="none"/>
              </w:rPr>
              <w:t>4,60 [4,28; 4,98]</w:t>
            </w:r>
          </w:p>
        </w:tc>
        <w:tc>
          <w:tcPr>
            <w:tcW w:w="1006" w:type="dxa"/>
            <w:vAlign w:val="center"/>
          </w:tcPr>
          <w:p w14:paraId="296BB877">
            <w:pPr>
              <w:ind w:firstLine="0"/>
              <w:jc w:val="center"/>
              <w:rPr>
                <w:szCs w:val="28"/>
                <w:highlight w:val="none"/>
              </w:rPr>
            </w:pPr>
            <w:r>
              <w:rPr>
                <w:szCs w:val="28"/>
                <w:highlight w:val="none"/>
              </w:rPr>
              <w:t>0,132</w:t>
            </w:r>
          </w:p>
        </w:tc>
      </w:tr>
      <w:tr w14:paraId="4D8F9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37C58D63">
            <w:pPr>
              <w:ind w:firstLine="0"/>
              <w:jc w:val="left"/>
              <w:rPr>
                <w:szCs w:val="28"/>
                <w:highlight w:val="none"/>
              </w:rPr>
            </w:pPr>
            <w:r>
              <w:rPr>
                <w:szCs w:val="28"/>
                <w:highlight w:val="none"/>
              </w:rPr>
              <w:t>Гемоглобін, г/л</w:t>
            </w:r>
          </w:p>
        </w:tc>
        <w:tc>
          <w:tcPr>
            <w:tcW w:w="2693" w:type="dxa"/>
            <w:vAlign w:val="center"/>
          </w:tcPr>
          <w:p w14:paraId="714C6328">
            <w:pPr>
              <w:ind w:firstLine="0"/>
              <w:jc w:val="center"/>
              <w:rPr>
                <w:szCs w:val="28"/>
                <w:highlight w:val="none"/>
              </w:rPr>
            </w:pPr>
            <w:r>
              <w:rPr>
                <w:szCs w:val="28"/>
                <w:highlight w:val="none"/>
              </w:rPr>
              <w:t>146,0 [135,0; 355,0]</w:t>
            </w:r>
          </w:p>
        </w:tc>
        <w:tc>
          <w:tcPr>
            <w:tcW w:w="3099" w:type="dxa"/>
            <w:vAlign w:val="center"/>
          </w:tcPr>
          <w:p w14:paraId="5EA08D54">
            <w:pPr>
              <w:ind w:firstLine="0"/>
              <w:jc w:val="center"/>
              <w:rPr>
                <w:szCs w:val="28"/>
                <w:highlight w:val="none"/>
              </w:rPr>
            </w:pPr>
            <w:r>
              <w:rPr>
                <w:szCs w:val="28"/>
                <w:highlight w:val="none"/>
              </w:rPr>
              <w:t>141,5 [125,5; 356,8]</w:t>
            </w:r>
          </w:p>
        </w:tc>
        <w:tc>
          <w:tcPr>
            <w:tcW w:w="1006" w:type="dxa"/>
            <w:vAlign w:val="center"/>
          </w:tcPr>
          <w:p w14:paraId="281EB71E">
            <w:pPr>
              <w:ind w:firstLine="0"/>
              <w:jc w:val="center"/>
              <w:rPr>
                <w:szCs w:val="28"/>
                <w:highlight w:val="none"/>
              </w:rPr>
            </w:pPr>
            <w:r>
              <w:rPr>
                <w:szCs w:val="28"/>
                <w:highlight w:val="none"/>
              </w:rPr>
              <w:t>0,567</w:t>
            </w:r>
          </w:p>
        </w:tc>
      </w:tr>
      <w:tr w14:paraId="3F5E0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6803280E">
            <w:pPr>
              <w:ind w:firstLine="0"/>
              <w:jc w:val="left"/>
              <w:rPr>
                <w:szCs w:val="28"/>
                <w:highlight w:val="none"/>
              </w:rPr>
            </w:pPr>
            <w:r>
              <w:rPr>
                <w:szCs w:val="28"/>
                <w:highlight w:val="none"/>
              </w:rPr>
              <w:t>Гематокрит</w:t>
            </w:r>
          </w:p>
        </w:tc>
        <w:tc>
          <w:tcPr>
            <w:tcW w:w="2693" w:type="dxa"/>
            <w:vAlign w:val="center"/>
          </w:tcPr>
          <w:p w14:paraId="684D2FD9">
            <w:pPr>
              <w:ind w:firstLine="0"/>
              <w:jc w:val="center"/>
              <w:rPr>
                <w:szCs w:val="28"/>
                <w:highlight w:val="none"/>
              </w:rPr>
            </w:pPr>
            <w:r>
              <w:rPr>
                <w:szCs w:val="28"/>
                <w:highlight w:val="none"/>
              </w:rPr>
              <w:t>0,43 [0,41; 0,47]</w:t>
            </w:r>
          </w:p>
        </w:tc>
        <w:tc>
          <w:tcPr>
            <w:tcW w:w="3099" w:type="dxa"/>
            <w:vAlign w:val="center"/>
          </w:tcPr>
          <w:p w14:paraId="0ECFA541">
            <w:pPr>
              <w:ind w:firstLine="0"/>
              <w:jc w:val="center"/>
              <w:rPr>
                <w:szCs w:val="28"/>
                <w:highlight w:val="none"/>
              </w:rPr>
            </w:pPr>
            <w:r>
              <w:rPr>
                <w:szCs w:val="28"/>
                <w:highlight w:val="none"/>
              </w:rPr>
              <w:t>0,45 [0,40; 0,45]</w:t>
            </w:r>
          </w:p>
        </w:tc>
        <w:tc>
          <w:tcPr>
            <w:tcW w:w="1006" w:type="dxa"/>
            <w:vAlign w:val="center"/>
          </w:tcPr>
          <w:p w14:paraId="01CFD566">
            <w:pPr>
              <w:ind w:firstLine="0"/>
              <w:jc w:val="center"/>
              <w:rPr>
                <w:szCs w:val="28"/>
                <w:highlight w:val="none"/>
              </w:rPr>
            </w:pPr>
            <w:r>
              <w:rPr>
                <w:szCs w:val="28"/>
                <w:highlight w:val="none"/>
              </w:rPr>
              <w:t>0,910</w:t>
            </w:r>
          </w:p>
        </w:tc>
      </w:tr>
      <w:tr w14:paraId="5922E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01C763FA">
            <w:pPr>
              <w:ind w:firstLine="0"/>
              <w:jc w:val="left"/>
              <w:rPr>
                <w:szCs w:val="28"/>
                <w:highlight w:val="none"/>
              </w:rPr>
            </w:pPr>
            <w:r>
              <w:rPr>
                <w:szCs w:val="28"/>
                <w:highlight w:val="none"/>
              </w:rPr>
              <w:t>MCV, fl</w:t>
            </w:r>
          </w:p>
        </w:tc>
        <w:tc>
          <w:tcPr>
            <w:tcW w:w="2693" w:type="dxa"/>
            <w:vAlign w:val="center"/>
          </w:tcPr>
          <w:p w14:paraId="4AE38E36">
            <w:pPr>
              <w:ind w:firstLine="0"/>
              <w:jc w:val="center"/>
              <w:rPr>
                <w:szCs w:val="28"/>
                <w:highlight w:val="none"/>
              </w:rPr>
            </w:pPr>
            <w:r>
              <w:rPr>
                <w:szCs w:val="28"/>
                <w:highlight w:val="none"/>
              </w:rPr>
              <w:t>90,0 [86,0; 93,0]</w:t>
            </w:r>
          </w:p>
        </w:tc>
        <w:tc>
          <w:tcPr>
            <w:tcW w:w="3099" w:type="dxa"/>
            <w:vAlign w:val="center"/>
          </w:tcPr>
          <w:p w14:paraId="3B709F5A">
            <w:pPr>
              <w:ind w:firstLine="0"/>
              <w:jc w:val="center"/>
              <w:rPr>
                <w:szCs w:val="28"/>
                <w:highlight w:val="none"/>
              </w:rPr>
            </w:pPr>
            <w:r>
              <w:rPr>
                <w:szCs w:val="28"/>
                <w:highlight w:val="none"/>
              </w:rPr>
              <w:t>91,0 [84,1; 94,3]</w:t>
            </w:r>
          </w:p>
        </w:tc>
        <w:tc>
          <w:tcPr>
            <w:tcW w:w="1006" w:type="dxa"/>
            <w:vAlign w:val="center"/>
          </w:tcPr>
          <w:p w14:paraId="139F02E6">
            <w:pPr>
              <w:ind w:firstLine="0"/>
              <w:jc w:val="center"/>
              <w:rPr>
                <w:szCs w:val="28"/>
                <w:highlight w:val="none"/>
              </w:rPr>
            </w:pPr>
            <w:r>
              <w:rPr>
                <w:szCs w:val="28"/>
                <w:highlight w:val="none"/>
              </w:rPr>
              <w:t>0,955</w:t>
            </w:r>
          </w:p>
        </w:tc>
      </w:tr>
      <w:tr w14:paraId="7B78D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4FE45628">
            <w:pPr>
              <w:ind w:firstLine="0"/>
              <w:jc w:val="left"/>
              <w:rPr>
                <w:szCs w:val="28"/>
                <w:highlight w:val="none"/>
              </w:rPr>
            </w:pPr>
            <w:r>
              <w:rPr>
                <w:szCs w:val="28"/>
                <w:highlight w:val="none"/>
              </w:rPr>
              <w:t>MCH, пкг/л</w:t>
            </w:r>
          </w:p>
        </w:tc>
        <w:tc>
          <w:tcPr>
            <w:tcW w:w="2693" w:type="dxa"/>
            <w:vAlign w:val="center"/>
          </w:tcPr>
          <w:p w14:paraId="06AFDAEB">
            <w:pPr>
              <w:ind w:firstLine="0"/>
              <w:jc w:val="center"/>
              <w:rPr>
                <w:szCs w:val="28"/>
                <w:highlight w:val="none"/>
              </w:rPr>
            </w:pPr>
            <w:r>
              <w:rPr>
                <w:szCs w:val="28"/>
                <w:highlight w:val="none"/>
              </w:rPr>
              <w:t>30,3 [29,5; 31,2]</w:t>
            </w:r>
          </w:p>
        </w:tc>
        <w:tc>
          <w:tcPr>
            <w:tcW w:w="3099" w:type="dxa"/>
            <w:vAlign w:val="center"/>
          </w:tcPr>
          <w:p w14:paraId="7043C0DF">
            <w:pPr>
              <w:ind w:firstLine="0"/>
              <w:jc w:val="center"/>
              <w:rPr>
                <w:szCs w:val="28"/>
                <w:highlight w:val="none"/>
              </w:rPr>
            </w:pPr>
            <w:r>
              <w:rPr>
                <w:szCs w:val="28"/>
                <w:highlight w:val="none"/>
              </w:rPr>
              <w:t>32,8 [29,7; 34,2]</w:t>
            </w:r>
          </w:p>
        </w:tc>
        <w:tc>
          <w:tcPr>
            <w:tcW w:w="1006" w:type="dxa"/>
            <w:vAlign w:val="center"/>
          </w:tcPr>
          <w:p w14:paraId="5CAC4010">
            <w:pPr>
              <w:ind w:firstLine="0"/>
              <w:jc w:val="center"/>
              <w:rPr>
                <w:szCs w:val="28"/>
                <w:highlight w:val="none"/>
              </w:rPr>
            </w:pPr>
            <w:r>
              <w:rPr>
                <w:szCs w:val="28"/>
                <w:highlight w:val="none"/>
              </w:rPr>
              <w:t>0,025</w:t>
            </w:r>
          </w:p>
        </w:tc>
      </w:tr>
      <w:tr w14:paraId="7B297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3E2DCD4F">
            <w:pPr>
              <w:ind w:firstLine="0"/>
              <w:jc w:val="left"/>
              <w:rPr>
                <w:szCs w:val="28"/>
                <w:highlight w:val="none"/>
              </w:rPr>
            </w:pPr>
            <w:r>
              <w:rPr>
                <w:szCs w:val="28"/>
                <w:highlight w:val="none"/>
              </w:rPr>
              <w:t>MCHC, г/л</w:t>
            </w:r>
          </w:p>
        </w:tc>
        <w:tc>
          <w:tcPr>
            <w:tcW w:w="2693" w:type="dxa"/>
            <w:vAlign w:val="center"/>
          </w:tcPr>
          <w:p w14:paraId="107E2FF2">
            <w:pPr>
              <w:ind w:firstLine="0"/>
              <w:jc w:val="center"/>
              <w:rPr>
                <w:szCs w:val="28"/>
                <w:highlight w:val="none"/>
              </w:rPr>
            </w:pPr>
            <w:r>
              <w:rPr>
                <w:szCs w:val="28"/>
                <w:highlight w:val="none"/>
              </w:rPr>
              <w:t>338,0 [330; 348,0]</w:t>
            </w:r>
          </w:p>
        </w:tc>
        <w:tc>
          <w:tcPr>
            <w:tcW w:w="3099" w:type="dxa"/>
            <w:vAlign w:val="center"/>
          </w:tcPr>
          <w:p w14:paraId="572CF694">
            <w:pPr>
              <w:ind w:firstLine="0"/>
              <w:jc w:val="center"/>
              <w:rPr>
                <w:szCs w:val="28"/>
                <w:highlight w:val="none"/>
              </w:rPr>
            </w:pPr>
            <w:r>
              <w:rPr>
                <w:szCs w:val="28"/>
                <w:highlight w:val="none"/>
              </w:rPr>
              <w:t>338,0 [327,8; 346,3]</w:t>
            </w:r>
          </w:p>
        </w:tc>
        <w:tc>
          <w:tcPr>
            <w:tcW w:w="1006" w:type="dxa"/>
            <w:vAlign w:val="center"/>
          </w:tcPr>
          <w:p w14:paraId="26536C51">
            <w:pPr>
              <w:ind w:firstLine="0"/>
              <w:jc w:val="center"/>
              <w:rPr>
                <w:szCs w:val="28"/>
                <w:highlight w:val="none"/>
              </w:rPr>
            </w:pPr>
            <w:r>
              <w:rPr>
                <w:szCs w:val="28"/>
                <w:highlight w:val="none"/>
              </w:rPr>
              <w:t>0,770</w:t>
            </w:r>
          </w:p>
        </w:tc>
      </w:tr>
      <w:tr w14:paraId="3BCFA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601799EB">
            <w:pPr>
              <w:ind w:firstLine="0"/>
              <w:jc w:val="left"/>
              <w:rPr>
                <w:szCs w:val="28"/>
                <w:highlight w:val="none"/>
              </w:rPr>
            </w:pPr>
            <w:r>
              <w:rPr>
                <w:szCs w:val="28"/>
                <w:highlight w:val="none"/>
              </w:rPr>
              <w:t>Тромбоцити, 10</w:t>
            </w:r>
            <w:r>
              <w:rPr>
                <w:szCs w:val="28"/>
                <w:highlight w:val="none"/>
                <w:vertAlign w:val="superscript"/>
              </w:rPr>
              <w:t>9</w:t>
            </w:r>
            <w:r>
              <w:rPr>
                <w:szCs w:val="28"/>
                <w:highlight w:val="none"/>
              </w:rPr>
              <w:t>/л</w:t>
            </w:r>
          </w:p>
        </w:tc>
        <w:tc>
          <w:tcPr>
            <w:tcW w:w="2693" w:type="dxa"/>
            <w:vAlign w:val="center"/>
          </w:tcPr>
          <w:p w14:paraId="446F4C78">
            <w:pPr>
              <w:ind w:firstLine="0"/>
              <w:jc w:val="center"/>
              <w:rPr>
                <w:szCs w:val="28"/>
                <w:highlight w:val="none"/>
              </w:rPr>
            </w:pPr>
            <w:r>
              <w:rPr>
                <w:szCs w:val="28"/>
                <w:highlight w:val="none"/>
              </w:rPr>
              <w:t>229,0 [185,0; 259,0]</w:t>
            </w:r>
          </w:p>
        </w:tc>
        <w:tc>
          <w:tcPr>
            <w:tcW w:w="3099" w:type="dxa"/>
            <w:vAlign w:val="center"/>
          </w:tcPr>
          <w:p w14:paraId="64BF08B9">
            <w:pPr>
              <w:ind w:firstLine="0"/>
              <w:jc w:val="center"/>
              <w:rPr>
                <w:szCs w:val="28"/>
                <w:highlight w:val="none"/>
              </w:rPr>
            </w:pPr>
            <w:r>
              <w:rPr>
                <w:szCs w:val="28"/>
                <w:highlight w:val="none"/>
              </w:rPr>
              <w:t>178,5 [154,8; 204,8]</w:t>
            </w:r>
          </w:p>
        </w:tc>
        <w:tc>
          <w:tcPr>
            <w:tcW w:w="1006" w:type="dxa"/>
            <w:vAlign w:val="center"/>
          </w:tcPr>
          <w:p w14:paraId="554CA6A6">
            <w:pPr>
              <w:ind w:firstLine="0"/>
              <w:jc w:val="center"/>
              <w:rPr>
                <w:szCs w:val="28"/>
                <w:highlight w:val="none"/>
              </w:rPr>
            </w:pPr>
            <w:r>
              <w:rPr>
                <w:szCs w:val="28"/>
                <w:highlight w:val="none"/>
              </w:rPr>
              <w:t>0,012</w:t>
            </w:r>
          </w:p>
        </w:tc>
      </w:tr>
      <w:tr w14:paraId="30504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19D04E0">
            <w:pPr>
              <w:ind w:firstLine="0"/>
              <w:jc w:val="left"/>
              <w:rPr>
                <w:szCs w:val="28"/>
                <w:highlight w:val="none"/>
              </w:rPr>
            </w:pPr>
            <w:r>
              <w:rPr>
                <w:szCs w:val="28"/>
                <w:highlight w:val="none"/>
              </w:rPr>
              <w:t>Тромбокрит, %</w:t>
            </w:r>
          </w:p>
        </w:tc>
        <w:tc>
          <w:tcPr>
            <w:tcW w:w="2693" w:type="dxa"/>
            <w:vAlign w:val="center"/>
          </w:tcPr>
          <w:p w14:paraId="3686029F">
            <w:pPr>
              <w:ind w:firstLine="0"/>
              <w:jc w:val="center"/>
              <w:rPr>
                <w:szCs w:val="28"/>
                <w:highlight w:val="none"/>
              </w:rPr>
            </w:pPr>
            <w:r>
              <w:rPr>
                <w:szCs w:val="28"/>
                <w:highlight w:val="none"/>
              </w:rPr>
              <w:t>0,18 [0,16; 0,21]</w:t>
            </w:r>
          </w:p>
        </w:tc>
        <w:tc>
          <w:tcPr>
            <w:tcW w:w="3099" w:type="dxa"/>
            <w:vAlign w:val="center"/>
          </w:tcPr>
          <w:p w14:paraId="10752AB2">
            <w:pPr>
              <w:ind w:firstLine="0"/>
              <w:jc w:val="center"/>
              <w:rPr>
                <w:szCs w:val="28"/>
                <w:highlight w:val="none"/>
              </w:rPr>
            </w:pPr>
            <w:r>
              <w:rPr>
                <w:szCs w:val="28"/>
                <w:highlight w:val="none"/>
              </w:rPr>
              <w:t>0,19 [0,16; 0,24]</w:t>
            </w:r>
          </w:p>
        </w:tc>
        <w:tc>
          <w:tcPr>
            <w:tcW w:w="1006" w:type="dxa"/>
            <w:vAlign w:val="center"/>
          </w:tcPr>
          <w:p w14:paraId="57458427">
            <w:pPr>
              <w:ind w:firstLine="0"/>
              <w:jc w:val="center"/>
              <w:rPr>
                <w:szCs w:val="28"/>
                <w:highlight w:val="none"/>
              </w:rPr>
            </w:pPr>
            <w:r>
              <w:rPr>
                <w:szCs w:val="28"/>
                <w:highlight w:val="none"/>
              </w:rPr>
              <w:t>0,410</w:t>
            </w:r>
          </w:p>
        </w:tc>
      </w:tr>
      <w:tr w14:paraId="0670F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517EE3D8">
            <w:pPr>
              <w:ind w:firstLine="0"/>
              <w:jc w:val="left"/>
              <w:rPr>
                <w:szCs w:val="28"/>
                <w:highlight w:val="none"/>
              </w:rPr>
            </w:pPr>
            <w:r>
              <w:rPr>
                <w:szCs w:val="28"/>
                <w:highlight w:val="none"/>
              </w:rPr>
              <w:t>КП</w:t>
            </w:r>
          </w:p>
        </w:tc>
        <w:tc>
          <w:tcPr>
            <w:tcW w:w="2693" w:type="dxa"/>
            <w:vAlign w:val="center"/>
          </w:tcPr>
          <w:p w14:paraId="5D38D22A">
            <w:pPr>
              <w:ind w:firstLine="0"/>
              <w:jc w:val="center"/>
              <w:rPr>
                <w:szCs w:val="28"/>
                <w:highlight w:val="none"/>
              </w:rPr>
            </w:pPr>
            <w:r>
              <w:rPr>
                <w:szCs w:val="28"/>
                <w:highlight w:val="none"/>
              </w:rPr>
              <w:t>0,90 [0,87; 0,93]</w:t>
            </w:r>
          </w:p>
        </w:tc>
        <w:tc>
          <w:tcPr>
            <w:tcW w:w="3099" w:type="dxa"/>
            <w:vAlign w:val="center"/>
          </w:tcPr>
          <w:p w14:paraId="30513B73">
            <w:pPr>
              <w:ind w:firstLine="0"/>
              <w:jc w:val="center"/>
              <w:rPr>
                <w:szCs w:val="28"/>
                <w:highlight w:val="none"/>
              </w:rPr>
            </w:pPr>
            <w:r>
              <w:rPr>
                <w:szCs w:val="28"/>
                <w:highlight w:val="none"/>
              </w:rPr>
              <w:t>0,90 [0,85; 0,97]</w:t>
            </w:r>
          </w:p>
        </w:tc>
        <w:tc>
          <w:tcPr>
            <w:tcW w:w="1006" w:type="dxa"/>
            <w:vAlign w:val="center"/>
          </w:tcPr>
          <w:p w14:paraId="26FC24D6">
            <w:pPr>
              <w:ind w:firstLine="0"/>
              <w:jc w:val="center"/>
              <w:rPr>
                <w:szCs w:val="28"/>
                <w:highlight w:val="none"/>
              </w:rPr>
            </w:pPr>
            <w:r>
              <w:rPr>
                <w:szCs w:val="28"/>
                <w:highlight w:val="none"/>
              </w:rPr>
              <w:t>0,685</w:t>
            </w:r>
          </w:p>
        </w:tc>
      </w:tr>
      <w:tr w14:paraId="4F374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18BB9A91">
            <w:pPr>
              <w:ind w:firstLine="0"/>
              <w:jc w:val="left"/>
              <w:rPr>
                <w:szCs w:val="28"/>
                <w:highlight w:val="none"/>
              </w:rPr>
            </w:pPr>
            <w:r>
              <w:rPr>
                <w:szCs w:val="28"/>
                <w:highlight w:val="none"/>
              </w:rPr>
              <w:t>ШОЕ, мм/год</w:t>
            </w:r>
          </w:p>
        </w:tc>
        <w:tc>
          <w:tcPr>
            <w:tcW w:w="2693" w:type="dxa"/>
            <w:vAlign w:val="center"/>
          </w:tcPr>
          <w:p w14:paraId="1118B7D4">
            <w:pPr>
              <w:ind w:firstLine="0"/>
              <w:jc w:val="center"/>
              <w:rPr>
                <w:szCs w:val="28"/>
                <w:highlight w:val="none"/>
              </w:rPr>
            </w:pPr>
            <w:r>
              <w:rPr>
                <w:szCs w:val="28"/>
                <w:highlight w:val="none"/>
              </w:rPr>
              <w:t>9,0 [4,0; 32,0]</w:t>
            </w:r>
          </w:p>
        </w:tc>
        <w:tc>
          <w:tcPr>
            <w:tcW w:w="3099" w:type="dxa"/>
            <w:vAlign w:val="center"/>
          </w:tcPr>
          <w:p w14:paraId="6AD9D9CF">
            <w:pPr>
              <w:ind w:firstLine="0"/>
              <w:jc w:val="center"/>
              <w:rPr>
                <w:szCs w:val="28"/>
                <w:highlight w:val="none"/>
              </w:rPr>
            </w:pPr>
            <w:r>
              <w:rPr>
                <w:szCs w:val="28"/>
                <w:highlight w:val="none"/>
              </w:rPr>
              <w:t>10,5 [6,50; 38,3]</w:t>
            </w:r>
          </w:p>
        </w:tc>
        <w:tc>
          <w:tcPr>
            <w:tcW w:w="1006" w:type="dxa"/>
            <w:vAlign w:val="center"/>
          </w:tcPr>
          <w:p w14:paraId="6CDBE0AF">
            <w:pPr>
              <w:ind w:firstLine="0"/>
              <w:jc w:val="center"/>
              <w:rPr>
                <w:szCs w:val="28"/>
                <w:highlight w:val="none"/>
              </w:rPr>
            </w:pPr>
            <w:r>
              <w:rPr>
                <w:szCs w:val="28"/>
                <w:highlight w:val="none"/>
              </w:rPr>
              <w:t>0,131</w:t>
            </w:r>
          </w:p>
        </w:tc>
      </w:tr>
      <w:tr w14:paraId="7D448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261AB87D">
            <w:pPr>
              <w:ind w:firstLine="0"/>
              <w:jc w:val="left"/>
              <w:rPr>
                <w:szCs w:val="28"/>
                <w:highlight w:val="none"/>
              </w:rPr>
            </w:pPr>
            <w:r>
              <w:rPr>
                <w:szCs w:val="28"/>
                <w:highlight w:val="none"/>
              </w:rPr>
              <w:t>Лейкоцити, 10</w:t>
            </w:r>
            <w:r>
              <w:rPr>
                <w:szCs w:val="28"/>
                <w:highlight w:val="none"/>
                <w:vertAlign w:val="superscript"/>
              </w:rPr>
              <w:t>9</w:t>
            </w:r>
            <w:r>
              <w:rPr>
                <w:szCs w:val="28"/>
                <w:highlight w:val="none"/>
              </w:rPr>
              <w:t>/л</w:t>
            </w:r>
          </w:p>
        </w:tc>
        <w:tc>
          <w:tcPr>
            <w:tcW w:w="2693" w:type="dxa"/>
            <w:vAlign w:val="center"/>
          </w:tcPr>
          <w:p w14:paraId="14CD9F1F">
            <w:pPr>
              <w:ind w:firstLine="0"/>
              <w:jc w:val="center"/>
              <w:rPr>
                <w:szCs w:val="28"/>
                <w:highlight w:val="none"/>
              </w:rPr>
            </w:pPr>
            <w:r>
              <w:rPr>
                <w:szCs w:val="28"/>
                <w:highlight w:val="none"/>
              </w:rPr>
              <w:t>6,30 [5,50; 7,50]</w:t>
            </w:r>
          </w:p>
        </w:tc>
        <w:tc>
          <w:tcPr>
            <w:tcW w:w="3099" w:type="dxa"/>
            <w:vAlign w:val="center"/>
          </w:tcPr>
          <w:p w14:paraId="14CDB57A">
            <w:pPr>
              <w:ind w:firstLine="0"/>
              <w:jc w:val="center"/>
              <w:rPr>
                <w:szCs w:val="28"/>
                <w:highlight w:val="none"/>
              </w:rPr>
            </w:pPr>
            <w:r>
              <w:rPr>
                <w:szCs w:val="28"/>
                <w:highlight w:val="none"/>
              </w:rPr>
              <w:t>6,90 [4,65; 8,25]</w:t>
            </w:r>
          </w:p>
        </w:tc>
        <w:tc>
          <w:tcPr>
            <w:tcW w:w="1006" w:type="dxa"/>
            <w:vAlign w:val="center"/>
          </w:tcPr>
          <w:p w14:paraId="1DCE6974">
            <w:pPr>
              <w:ind w:firstLine="0"/>
              <w:jc w:val="center"/>
              <w:rPr>
                <w:szCs w:val="28"/>
                <w:highlight w:val="none"/>
              </w:rPr>
            </w:pPr>
            <w:r>
              <w:rPr>
                <w:szCs w:val="28"/>
                <w:highlight w:val="none"/>
              </w:rPr>
              <w:t>0,982</w:t>
            </w:r>
          </w:p>
        </w:tc>
      </w:tr>
      <w:tr w14:paraId="07B1B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79D4B09">
            <w:pPr>
              <w:ind w:firstLine="0"/>
              <w:jc w:val="left"/>
              <w:rPr>
                <w:szCs w:val="28"/>
                <w:highlight w:val="none"/>
              </w:rPr>
            </w:pPr>
            <w:r>
              <w:rPr>
                <w:szCs w:val="28"/>
                <w:highlight w:val="none"/>
              </w:rPr>
              <w:t>П/я нейтрофіли, %</w:t>
            </w:r>
          </w:p>
        </w:tc>
        <w:tc>
          <w:tcPr>
            <w:tcW w:w="2693" w:type="dxa"/>
            <w:vAlign w:val="center"/>
          </w:tcPr>
          <w:p w14:paraId="0F214C77">
            <w:pPr>
              <w:ind w:firstLine="0"/>
              <w:jc w:val="center"/>
              <w:rPr>
                <w:szCs w:val="28"/>
                <w:highlight w:val="none"/>
              </w:rPr>
            </w:pPr>
            <w:r>
              <w:rPr>
                <w:szCs w:val="28"/>
                <w:highlight w:val="none"/>
              </w:rPr>
              <w:t>2,00 [1,00; 3,00]</w:t>
            </w:r>
          </w:p>
        </w:tc>
        <w:tc>
          <w:tcPr>
            <w:tcW w:w="3099" w:type="dxa"/>
            <w:vAlign w:val="center"/>
          </w:tcPr>
          <w:p w14:paraId="075DD000">
            <w:pPr>
              <w:ind w:firstLine="0"/>
              <w:jc w:val="center"/>
              <w:rPr>
                <w:szCs w:val="28"/>
                <w:highlight w:val="none"/>
              </w:rPr>
            </w:pPr>
            <w:r>
              <w:rPr>
                <w:szCs w:val="28"/>
                <w:highlight w:val="none"/>
              </w:rPr>
              <w:t>2,00 [2,00; 3,00]</w:t>
            </w:r>
          </w:p>
        </w:tc>
        <w:tc>
          <w:tcPr>
            <w:tcW w:w="1006" w:type="dxa"/>
            <w:vAlign w:val="center"/>
          </w:tcPr>
          <w:p w14:paraId="0E9601A9">
            <w:pPr>
              <w:ind w:firstLine="0"/>
              <w:jc w:val="center"/>
              <w:rPr>
                <w:szCs w:val="28"/>
                <w:highlight w:val="none"/>
              </w:rPr>
            </w:pPr>
            <w:r>
              <w:rPr>
                <w:szCs w:val="28"/>
                <w:highlight w:val="none"/>
              </w:rPr>
              <w:t>0,268</w:t>
            </w:r>
          </w:p>
        </w:tc>
      </w:tr>
      <w:tr w14:paraId="6A96C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30C53A50">
            <w:pPr>
              <w:ind w:firstLine="0"/>
              <w:jc w:val="left"/>
              <w:rPr>
                <w:szCs w:val="28"/>
                <w:highlight w:val="none"/>
              </w:rPr>
            </w:pPr>
            <w:r>
              <w:rPr>
                <w:szCs w:val="28"/>
                <w:highlight w:val="none"/>
              </w:rPr>
              <w:t>С/я нейтрофіли, %</w:t>
            </w:r>
          </w:p>
        </w:tc>
        <w:tc>
          <w:tcPr>
            <w:tcW w:w="2693" w:type="dxa"/>
            <w:vAlign w:val="center"/>
          </w:tcPr>
          <w:p w14:paraId="4FC65C71">
            <w:pPr>
              <w:ind w:firstLine="0"/>
              <w:jc w:val="center"/>
              <w:rPr>
                <w:szCs w:val="28"/>
                <w:highlight w:val="none"/>
              </w:rPr>
            </w:pPr>
            <w:r>
              <w:rPr>
                <w:szCs w:val="28"/>
                <w:highlight w:val="none"/>
              </w:rPr>
              <w:t>56,0 [44,0; 64,0]</w:t>
            </w:r>
          </w:p>
        </w:tc>
        <w:tc>
          <w:tcPr>
            <w:tcW w:w="3099" w:type="dxa"/>
            <w:vAlign w:val="center"/>
          </w:tcPr>
          <w:p w14:paraId="6CA39F15">
            <w:pPr>
              <w:ind w:firstLine="0"/>
              <w:jc w:val="center"/>
              <w:rPr>
                <w:szCs w:val="28"/>
                <w:highlight w:val="none"/>
              </w:rPr>
            </w:pPr>
            <w:r>
              <w:rPr>
                <w:szCs w:val="28"/>
                <w:highlight w:val="none"/>
              </w:rPr>
              <w:t>54,0 [45,3; 67,8]</w:t>
            </w:r>
          </w:p>
        </w:tc>
        <w:tc>
          <w:tcPr>
            <w:tcW w:w="1006" w:type="dxa"/>
            <w:vAlign w:val="center"/>
          </w:tcPr>
          <w:p w14:paraId="1C3D903D">
            <w:pPr>
              <w:ind w:firstLine="0"/>
              <w:jc w:val="center"/>
              <w:rPr>
                <w:szCs w:val="28"/>
                <w:highlight w:val="none"/>
              </w:rPr>
            </w:pPr>
            <w:r>
              <w:rPr>
                <w:szCs w:val="28"/>
                <w:highlight w:val="none"/>
              </w:rPr>
              <w:t>0,322</w:t>
            </w:r>
          </w:p>
        </w:tc>
      </w:tr>
      <w:tr w14:paraId="3413C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03B1955">
            <w:pPr>
              <w:ind w:firstLine="0"/>
              <w:jc w:val="left"/>
              <w:rPr>
                <w:szCs w:val="28"/>
                <w:highlight w:val="none"/>
              </w:rPr>
            </w:pPr>
            <w:r>
              <w:rPr>
                <w:szCs w:val="28"/>
                <w:highlight w:val="none"/>
              </w:rPr>
              <w:t>Еозинофіли, %</w:t>
            </w:r>
          </w:p>
        </w:tc>
        <w:tc>
          <w:tcPr>
            <w:tcW w:w="2693" w:type="dxa"/>
            <w:vAlign w:val="center"/>
          </w:tcPr>
          <w:p w14:paraId="2BBC6235">
            <w:pPr>
              <w:ind w:firstLine="0"/>
              <w:jc w:val="center"/>
              <w:rPr>
                <w:szCs w:val="28"/>
                <w:highlight w:val="none"/>
              </w:rPr>
            </w:pPr>
            <w:r>
              <w:rPr>
                <w:szCs w:val="28"/>
                <w:highlight w:val="none"/>
              </w:rPr>
              <w:t>1,0 [1,0; 3,0]</w:t>
            </w:r>
          </w:p>
        </w:tc>
        <w:tc>
          <w:tcPr>
            <w:tcW w:w="3099" w:type="dxa"/>
            <w:vAlign w:val="center"/>
          </w:tcPr>
          <w:p w14:paraId="05ED72B1">
            <w:pPr>
              <w:ind w:firstLine="0"/>
              <w:jc w:val="center"/>
              <w:rPr>
                <w:szCs w:val="28"/>
                <w:highlight w:val="none"/>
              </w:rPr>
            </w:pPr>
            <w:r>
              <w:rPr>
                <w:szCs w:val="28"/>
                <w:highlight w:val="none"/>
              </w:rPr>
              <w:t>1,0 [1,0; 2,8]</w:t>
            </w:r>
          </w:p>
        </w:tc>
        <w:tc>
          <w:tcPr>
            <w:tcW w:w="1006" w:type="dxa"/>
            <w:vAlign w:val="center"/>
          </w:tcPr>
          <w:p w14:paraId="3B24F75B">
            <w:pPr>
              <w:ind w:firstLine="0"/>
              <w:jc w:val="center"/>
              <w:rPr>
                <w:szCs w:val="28"/>
                <w:highlight w:val="none"/>
              </w:rPr>
            </w:pPr>
            <w:r>
              <w:rPr>
                <w:szCs w:val="28"/>
                <w:highlight w:val="none"/>
              </w:rPr>
              <w:t>0,501</w:t>
            </w:r>
          </w:p>
        </w:tc>
      </w:tr>
      <w:tr w14:paraId="7EE76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547" w:type="dxa"/>
            <w:vAlign w:val="center"/>
          </w:tcPr>
          <w:p w14:paraId="26B2076C">
            <w:pPr>
              <w:ind w:firstLine="0"/>
              <w:jc w:val="left"/>
              <w:rPr>
                <w:szCs w:val="28"/>
                <w:highlight w:val="none"/>
              </w:rPr>
            </w:pPr>
            <w:r>
              <w:rPr>
                <w:szCs w:val="28"/>
                <w:highlight w:val="none"/>
              </w:rPr>
              <w:t>Лімфоцити, %</w:t>
            </w:r>
          </w:p>
        </w:tc>
        <w:tc>
          <w:tcPr>
            <w:tcW w:w="2693" w:type="dxa"/>
            <w:vAlign w:val="center"/>
          </w:tcPr>
          <w:p w14:paraId="5E737469">
            <w:pPr>
              <w:ind w:firstLine="0"/>
              <w:jc w:val="center"/>
              <w:rPr>
                <w:szCs w:val="28"/>
                <w:highlight w:val="none"/>
              </w:rPr>
            </w:pPr>
            <w:r>
              <w:rPr>
                <w:szCs w:val="28"/>
                <w:highlight w:val="none"/>
              </w:rPr>
              <w:t>36,0 [28,0; 42,0]</w:t>
            </w:r>
          </w:p>
        </w:tc>
        <w:tc>
          <w:tcPr>
            <w:tcW w:w="3099" w:type="dxa"/>
            <w:vAlign w:val="center"/>
          </w:tcPr>
          <w:p w14:paraId="46764303">
            <w:pPr>
              <w:ind w:firstLine="0"/>
              <w:jc w:val="center"/>
              <w:rPr>
                <w:szCs w:val="28"/>
                <w:highlight w:val="none"/>
              </w:rPr>
            </w:pPr>
            <w:r>
              <w:rPr>
                <w:szCs w:val="28"/>
                <w:highlight w:val="none"/>
              </w:rPr>
              <w:t>36,0 [21,8; 38,0]</w:t>
            </w:r>
          </w:p>
        </w:tc>
        <w:tc>
          <w:tcPr>
            <w:tcW w:w="1006" w:type="dxa"/>
            <w:vAlign w:val="center"/>
          </w:tcPr>
          <w:p w14:paraId="196394AC">
            <w:pPr>
              <w:ind w:firstLine="0"/>
              <w:jc w:val="center"/>
              <w:rPr>
                <w:szCs w:val="28"/>
                <w:highlight w:val="none"/>
              </w:rPr>
            </w:pPr>
            <w:r>
              <w:rPr>
                <w:szCs w:val="28"/>
                <w:highlight w:val="none"/>
              </w:rPr>
              <w:t>0,265</w:t>
            </w:r>
          </w:p>
        </w:tc>
      </w:tr>
      <w:tr w14:paraId="44845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4E240DF1">
            <w:pPr>
              <w:ind w:firstLine="0"/>
              <w:jc w:val="left"/>
              <w:rPr>
                <w:szCs w:val="28"/>
                <w:highlight w:val="none"/>
              </w:rPr>
            </w:pPr>
            <w:r>
              <w:rPr>
                <w:szCs w:val="28"/>
                <w:highlight w:val="none"/>
              </w:rPr>
              <w:t>Моноцити, %</w:t>
            </w:r>
          </w:p>
        </w:tc>
        <w:tc>
          <w:tcPr>
            <w:tcW w:w="2693" w:type="dxa"/>
            <w:vAlign w:val="center"/>
          </w:tcPr>
          <w:p w14:paraId="5116C2A5">
            <w:pPr>
              <w:ind w:firstLine="0"/>
              <w:jc w:val="center"/>
              <w:rPr>
                <w:szCs w:val="28"/>
                <w:highlight w:val="none"/>
              </w:rPr>
            </w:pPr>
            <w:r>
              <w:rPr>
                <w:szCs w:val="28"/>
                <w:highlight w:val="none"/>
              </w:rPr>
              <w:t>6,00 [4,00; 7,00]</w:t>
            </w:r>
          </w:p>
        </w:tc>
        <w:tc>
          <w:tcPr>
            <w:tcW w:w="3099" w:type="dxa"/>
            <w:vAlign w:val="center"/>
          </w:tcPr>
          <w:p w14:paraId="12949BFE">
            <w:pPr>
              <w:ind w:firstLine="0"/>
              <w:jc w:val="center"/>
              <w:rPr>
                <w:szCs w:val="28"/>
                <w:highlight w:val="none"/>
              </w:rPr>
            </w:pPr>
            <w:r>
              <w:rPr>
                <w:szCs w:val="28"/>
                <w:highlight w:val="none"/>
              </w:rPr>
              <w:t>7,50 [4,25; 8,75]</w:t>
            </w:r>
          </w:p>
        </w:tc>
        <w:tc>
          <w:tcPr>
            <w:tcW w:w="1006" w:type="dxa"/>
            <w:vAlign w:val="center"/>
          </w:tcPr>
          <w:p w14:paraId="529C584F">
            <w:pPr>
              <w:ind w:firstLine="0"/>
              <w:jc w:val="center"/>
              <w:rPr>
                <w:szCs w:val="28"/>
                <w:highlight w:val="none"/>
              </w:rPr>
            </w:pPr>
            <w:r>
              <w:rPr>
                <w:szCs w:val="28"/>
                <w:highlight w:val="none"/>
              </w:rPr>
              <w:t>0,519</w:t>
            </w:r>
          </w:p>
        </w:tc>
      </w:tr>
    </w:tbl>
    <w:p w14:paraId="618E2B9A">
      <w:pPr>
        <w:rPr>
          <w:szCs w:val="28"/>
          <w:highlight w:val="none"/>
        </w:rPr>
      </w:pPr>
    </w:p>
    <w:p w14:paraId="2DCAB04C">
      <w:pPr>
        <w:rPr>
          <w:szCs w:val="28"/>
          <w:highlight w:val="none"/>
        </w:rPr>
      </w:pPr>
      <w:r>
        <w:rPr>
          <w:szCs w:val="28"/>
          <w:highlight w:val="none"/>
        </w:rPr>
        <w:t xml:space="preserve">Аналіз параметрів клінічного аналізу крові за підгрупами фіброзу в основній групі показав наступні особливості. Так, рівні еритроцитів достовірно не відрізнялися в підгрупах. Подібна картина спостерігалася відносно гемоглобіну та гематокриту. Параметр </w:t>
      </w:r>
      <w:r>
        <w:rPr>
          <w:szCs w:val="28"/>
          <w:highlight w:val="none"/>
          <w:lang w:val="en-US"/>
        </w:rPr>
        <w:t>MCV</w:t>
      </w:r>
      <w:r>
        <w:rPr>
          <w:szCs w:val="28"/>
          <w:highlight w:val="none"/>
        </w:rPr>
        <w:t xml:space="preserve"> був однаковий в обох підгрупах. Варто зазначити, що медіана концентрації гемоглобіну в еритроциті була вищою у пацієнтів 2 підгрупі (р=0,025).</w:t>
      </w:r>
    </w:p>
    <w:p w14:paraId="7A7B217A">
      <w:pPr>
        <w:rPr>
          <w:szCs w:val="28"/>
          <w:highlight w:val="none"/>
        </w:rPr>
      </w:pPr>
      <w:r>
        <w:rPr>
          <w:szCs w:val="28"/>
          <w:highlight w:val="none"/>
        </w:rPr>
        <w:t xml:space="preserve">Поряд з цим, медіана тромбоцитів була достовірно (р=0,012) нижчою у пацієнтів 2 підгрупи, ніж у пацієнтів 1 підгрупи. Параметри тромбокриту, кольорового показнику та ШОЕ статистично достовірно не різнилися між зазначеними підгрупами основної групи. </w:t>
      </w:r>
    </w:p>
    <w:p w14:paraId="405FB5C9">
      <w:pPr>
        <w:rPr>
          <w:szCs w:val="28"/>
          <w:highlight w:val="none"/>
        </w:rPr>
      </w:pPr>
      <w:r>
        <w:rPr>
          <w:szCs w:val="28"/>
          <w:highlight w:val="none"/>
        </w:rPr>
        <w:t>Медіана лейкоцитів, п/я нейтрофілів, с/я нейтрофілів були однакові в обох досліджених підгрупах та статистично не різнилися між собою. Медіанні рівні еозинофілів, лімфоцитів та моноцитів в результаті проведеного аналізу також були статично однакові в залежності від стадії фіброзу у обстежених пацієнтів основної групи.</w:t>
      </w:r>
    </w:p>
    <w:p w14:paraId="42B3D249">
      <w:pPr>
        <w:rPr>
          <w:szCs w:val="28"/>
          <w:highlight w:val="none"/>
        </w:rPr>
      </w:pPr>
    </w:p>
    <w:p w14:paraId="1AE1043C">
      <w:pPr>
        <w:pStyle w:val="3"/>
        <w:rPr>
          <w:rFonts w:cs="Times New Roman"/>
          <w:szCs w:val="28"/>
          <w:highlight w:val="none"/>
        </w:rPr>
      </w:pPr>
      <w:bookmarkStart w:id="44" w:name="_Toc153923958"/>
      <w:r>
        <w:rPr>
          <w:rFonts w:cs="Times New Roman"/>
          <w:szCs w:val="28"/>
          <w:highlight w:val="none"/>
        </w:rPr>
        <w:t>Висновки за розділом 3</w:t>
      </w:r>
      <w:bookmarkEnd w:id="44"/>
    </w:p>
    <w:p w14:paraId="4A6A513C">
      <w:pPr>
        <w:rPr>
          <w:rFonts w:cs="Times New Roman"/>
          <w:szCs w:val="28"/>
          <w:highlight w:val="none"/>
          <w:lang w:eastAsia="ru-RU"/>
        </w:rPr>
      </w:pPr>
    </w:p>
    <w:p w14:paraId="76942B25">
      <w:pPr>
        <w:widowControl w:val="0"/>
        <w:rPr>
          <w:spacing w:val="-4"/>
          <w:szCs w:val="28"/>
          <w:highlight w:val="none"/>
        </w:rPr>
      </w:pPr>
      <w:r>
        <w:rPr>
          <w:spacing w:val="-4"/>
          <w:szCs w:val="28"/>
          <w:highlight w:val="none"/>
        </w:rPr>
        <w:t>1. Визначено достовірні зміни в гемограмі пацієнтів з ХГС порівняно з контрольною групою, зокрема переважання значення середньої концентрації гемоглобіну на 5 % (р&lt;0,001), достовірно нижча медіана тромбоцитів (208,0</w:t>
      </w:r>
      <w:r>
        <w:rPr>
          <w:rFonts w:cs="Times New Roman"/>
          <w:spacing w:val="-4"/>
          <w:szCs w:val="28"/>
          <w:highlight w:val="none"/>
        </w:rPr>
        <w:t>×</w:t>
      </w:r>
      <w:r>
        <w:rPr>
          <w:spacing w:val="-4"/>
          <w:szCs w:val="28"/>
          <w:highlight w:val="none"/>
        </w:rPr>
        <w:t>10</w:t>
      </w:r>
      <w:r>
        <w:rPr>
          <w:spacing w:val="-4"/>
          <w:szCs w:val="28"/>
          <w:highlight w:val="none"/>
          <w:vertAlign w:val="superscript"/>
        </w:rPr>
        <w:t>9</w:t>
      </w:r>
      <w:r>
        <w:rPr>
          <w:spacing w:val="-4"/>
          <w:szCs w:val="28"/>
          <w:highlight w:val="none"/>
        </w:rPr>
        <w:t>/л та 275,0</w:t>
      </w:r>
      <w:r>
        <w:rPr>
          <w:rFonts w:cs="Times New Roman"/>
          <w:spacing w:val="-4"/>
          <w:szCs w:val="28"/>
          <w:highlight w:val="none"/>
        </w:rPr>
        <w:t>×</w:t>
      </w:r>
      <w:r>
        <w:rPr>
          <w:spacing w:val="-4"/>
          <w:szCs w:val="28"/>
          <w:highlight w:val="none"/>
        </w:rPr>
        <w:t>10</w:t>
      </w:r>
      <w:r>
        <w:rPr>
          <w:spacing w:val="-4"/>
          <w:szCs w:val="28"/>
          <w:highlight w:val="none"/>
          <w:vertAlign w:val="superscript"/>
        </w:rPr>
        <w:t>9</w:t>
      </w:r>
      <w:r>
        <w:rPr>
          <w:spacing w:val="-4"/>
          <w:szCs w:val="28"/>
          <w:highlight w:val="none"/>
        </w:rPr>
        <w:t>/л, р&lt;0,001), на 10 % нижча медіана тромбокриту (р=0,009), трикратне переважання ШОЕ (9,0 мм/год та 3,0 мм/год, р&lt;0,001), в 3,5 рази достовірно нижча відносна кількість п/я нейтрофілів (р&lt;0,001) та на 20 % нижча відносна кількість с/я нейтрофілів (р&lt;0,001). В той же час достовірно (р&lt;0,001) в 4,5 рази вищою була медіана відносної кількості лімфоцитів та на 1,4 % більша медіана моноцитів (р=0,012).</w:t>
      </w:r>
    </w:p>
    <w:p w14:paraId="434FED94">
      <w:pPr>
        <w:widowControl w:val="0"/>
        <w:rPr>
          <w:spacing w:val="-4"/>
          <w:szCs w:val="28"/>
          <w:highlight w:val="none"/>
        </w:rPr>
      </w:pPr>
      <w:r>
        <w:rPr>
          <w:spacing w:val="-4"/>
          <w:szCs w:val="28"/>
          <w:highlight w:val="none"/>
        </w:rPr>
        <w:t xml:space="preserve">2. З’ясовано достовірне (р&lt;0,001) двократне перевищення рівнів АЛТ та АСТ та трикратне переважання медіани рівнів ГГТ у пацієнтів з ХГС (р&lt;0,001). Медіанні рівні тимолової проби у пацієнтів з ХГС були в 3 рази достовірно (р&lt;0,001) вищими за контроль. Достовірне зниження було отримано відносно рівнів загального білку (р=0,005), хоча рівні альбуміну достовірно не різнилися. </w:t>
      </w:r>
    </w:p>
    <w:p w14:paraId="05A6DAF4">
      <w:pPr>
        <w:widowControl w:val="0"/>
        <w:rPr>
          <w:spacing w:val="-4"/>
          <w:szCs w:val="28"/>
          <w:highlight w:val="none"/>
        </w:rPr>
      </w:pPr>
      <w:r>
        <w:rPr>
          <w:spacing w:val="-4"/>
          <w:szCs w:val="28"/>
          <w:highlight w:val="none"/>
        </w:rPr>
        <w:t>3. Констатовано, що медіана рівнів остеопонтину більше, ніж в 1,5 рази переважало у пацієнтів з ХГС, ніж в контрольній групі (р&lt;0,001); в обох досліджених групах медіанні рівні вітаміну D характеризувалися його недостатністю, при цьому, достовірно (р&lt;0,001) були нижчими саме у пацієнтів з ХГС.</w:t>
      </w:r>
    </w:p>
    <w:p w14:paraId="5358965B">
      <w:pPr>
        <w:rPr>
          <w:spacing w:val="-4"/>
          <w:szCs w:val="28"/>
          <w:highlight w:val="none"/>
        </w:rPr>
      </w:pPr>
      <w:r>
        <w:rPr>
          <w:spacing w:val="-4"/>
          <w:szCs w:val="28"/>
          <w:highlight w:val="none"/>
        </w:rPr>
        <w:t>4. Визначено, що середня концентрація гемоглобіну була достовірно вища (р=0,025) у пацієнтів зі значним (3–4 стадії) фіброзом, проте рівні тромбоцитів були майже на чверть достовірно нижчими (р=0,012). Параметри біохімічного аналізу крові також показали суттєві відмінності в залежності від стадії фіброзу печінки. Так, медіана АЛТ достовірно (р&lt;0,001) переважала у пацієнтів з 3-4 стадією фіброзу; двократне збільшення рівнів АСТ (р&lt;0,001) також спостерігалося в даній підгрупі. При значному фіброзі також достовірно (р=0,002) була вища медіана ГГТ. Вміст остеопонтину та вітаміну D в сироватці крові хворих на ХГС достовірно (р&lt;0,001) збільшувалися із поглибленням стадії фіброзного процесу.</w:t>
      </w:r>
    </w:p>
    <w:p w14:paraId="03036BB0">
      <w:pPr>
        <w:rPr>
          <w:rFonts w:cs="Times New Roman"/>
          <w:szCs w:val="28"/>
          <w:highlight w:val="none"/>
          <w:lang w:eastAsia="ru-RU"/>
        </w:rPr>
      </w:pPr>
    </w:p>
    <w:p w14:paraId="50C03603">
      <w:pPr>
        <w:pStyle w:val="23"/>
        <w:tabs>
          <w:tab w:val="left" w:pos="1134"/>
        </w:tabs>
        <w:spacing w:before="0" w:beforeAutospacing="0" w:after="0" w:afterAutospacing="0" w:line="360" w:lineRule="auto"/>
        <w:ind w:firstLine="709"/>
        <w:jc w:val="both"/>
        <w:rPr>
          <w:i/>
          <w:iCs/>
          <w:sz w:val="28"/>
          <w:szCs w:val="28"/>
          <w:highlight w:val="none"/>
        </w:rPr>
      </w:pPr>
      <w:r>
        <w:rPr>
          <w:i/>
          <w:iCs/>
          <w:sz w:val="28"/>
          <w:szCs w:val="28"/>
          <w:highlight w:val="none"/>
        </w:rPr>
        <w:t>Перелік публікацій за даними розділу:</w:t>
      </w:r>
    </w:p>
    <w:p w14:paraId="21AD6015">
      <w:pPr>
        <w:pStyle w:val="23"/>
        <w:numPr>
          <w:ilvl w:val="0"/>
          <w:numId w:val="3"/>
        </w:numPr>
        <w:tabs>
          <w:tab w:val="left" w:pos="1134"/>
        </w:tabs>
        <w:spacing w:before="0" w:beforeAutospacing="0" w:after="0" w:afterAutospacing="0" w:line="360" w:lineRule="auto"/>
        <w:ind w:left="0" w:firstLine="709"/>
        <w:jc w:val="both"/>
        <w:rPr>
          <w:sz w:val="28"/>
          <w:szCs w:val="28"/>
          <w:highlight w:val="none"/>
        </w:rPr>
      </w:pPr>
      <w:r>
        <w:rPr>
          <w:b/>
          <w:bCs/>
          <w:sz w:val="28"/>
          <w:szCs w:val="28"/>
          <w:highlight w:val="none"/>
        </w:rPr>
        <w:t>Шейко, А.</w:t>
      </w:r>
      <w:r>
        <w:rPr>
          <w:sz w:val="28"/>
          <w:szCs w:val="28"/>
          <w:highlight w:val="none"/>
        </w:rPr>
        <w:t xml:space="preserve"> (2023). Значення показників клінічного аналізу крові для визначення ступеня фіброзного процесу у хворих на хронічний гепатит С. </w:t>
      </w:r>
      <w:r>
        <w:rPr>
          <w:i/>
          <w:iCs/>
          <w:sz w:val="28"/>
          <w:szCs w:val="28"/>
          <w:highlight w:val="none"/>
        </w:rPr>
        <w:t>Інфекційні Хвороби</w:t>
      </w:r>
      <w:r>
        <w:rPr>
          <w:sz w:val="28"/>
          <w:szCs w:val="28"/>
          <w:highlight w:val="none"/>
        </w:rPr>
        <w:t xml:space="preserve">, </w:t>
      </w:r>
      <w:r>
        <w:rPr>
          <w:i/>
          <w:iCs/>
          <w:sz w:val="28"/>
          <w:szCs w:val="28"/>
          <w:highlight w:val="none"/>
        </w:rPr>
        <w:t>4</w:t>
      </w:r>
      <w:r>
        <w:rPr>
          <w:sz w:val="28"/>
          <w:szCs w:val="28"/>
          <w:highlight w:val="none"/>
        </w:rPr>
        <w:t>(114), 29–33. https://doi.org/DOI 10.11603/1681-2727.2023.4.14244</w:t>
      </w:r>
    </w:p>
    <w:p w14:paraId="5F734CEE">
      <w:pPr>
        <w:pStyle w:val="23"/>
        <w:numPr>
          <w:ilvl w:val="0"/>
          <w:numId w:val="3"/>
        </w:numPr>
        <w:tabs>
          <w:tab w:val="left" w:pos="1134"/>
        </w:tabs>
        <w:spacing w:before="0" w:beforeAutospacing="0" w:after="0" w:afterAutospacing="0" w:line="360" w:lineRule="auto"/>
        <w:ind w:left="0" w:firstLine="709"/>
        <w:jc w:val="both"/>
        <w:rPr>
          <w:sz w:val="28"/>
          <w:szCs w:val="28"/>
          <w:highlight w:val="none"/>
        </w:rPr>
      </w:pPr>
      <w:r>
        <w:rPr>
          <w:sz w:val="28"/>
          <w:szCs w:val="28"/>
          <w:highlight w:val="none"/>
        </w:rPr>
        <w:t xml:space="preserve">Юрко, К., &amp; </w:t>
      </w:r>
      <w:r>
        <w:rPr>
          <w:b/>
          <w:bCs/>
          <w:sz w:val="28"/>
          <w:szCs w:val="28"/>
          <w:highlight w:val="none"/>
        </w:rPr>
        <w:t>Шейко, А.</w:t>
      </w:r>
      <w:r>
        <w:rPr>
          <w:sz w:val="28"/>
          <w:szCs w:val="28"/>
          <w:highlight w:val="none"/>
        </w:rPr>
        <w:t xml:space="preserve"> (2023). Остеопонтин як неінвазивний предиктор процесів фіброзу в пацієнтів із хронічним вірусним гепатитом С. </w:t>
      </w:r>
      <w:r>
        <w:rPr>
          <w:i/>
          <w:iCs/>
          <w:sz w:val="28"/>
          <w:szCs w:val="28"/>
          <w:highlight w:val="none"/>
        </w:rPr>
        <w:t>«Інфекційні Захворювання — Виклики Сьогодення. Сучасні Аспекти Клініки, Діагностики, Лікування Та Профілактики</w:t>
      </w:r>
      <w:r>
        <w:rPr>
          <w:sz w:val="28"/>
          <w:szCs w:val="28"/>
          <w:highlight w:val="none"/>
        </w:rPr>
        <w:t>, 213. https://doi.org/https://doi.org/10.22141/2224-0586.19.3.2023.1581</w:t>
      </w:r>
    </w:p>
    <w:p w14:paraId="4C6E7F94">
      <w:pPr>
        <w:pStyle w:val="23"/>
        <w:numPr>
          <w:ilvl w:val="0"/>
          <w:numId w:val="3"/>
        </w:numPr>
        <w:tabs>
          <w:tab w:val="left" w:pos="1134"/>
        </w:tabs>
        <w:spacing w:before="0" w:beforeAutospacing="0" w:after="0" w:afterAutospacing="0" w:line="360" w:lineRule="auto"/>
        <w:ind w:left="0" w:firstLine="709"/>
        <w:jc w:val="both"/>
        <w:rPr>
          <w:sz w:val="28"/>
          <w:szCs w:val="28"/>
          <w:highlight w:val="none"/>
        </w:rPr>
      </w:pPr>
      <w:r>
        <w:rPr>
          <w:b/>
          <w:bCs/>
          <w:sz w:val="28"/>
          <w:szCs w:val="28"/>
          <w:highlight w:val="none"/>
        </w:rPr>
        <w:t>Шейко, А.</w:t>
      </w:r>
      <w:r>
        <w:rPr>
          <w:sz w:val="28"/>
          <w:szCs w:val="28"/>
          <w:highlight w:val="none"/>
        </w:rPr>
        <w:t xml:space="preserve"> (2023). Маркерні можливості остеопонтину в прогнозуванні значного фіброзного процесу у хворих на хронічний вірусний гепатит С. </w:t>
      </w:r>
      <w:r>
        <w:rPr>
          <w:i/>
          <w:iCs/>
          <w:sz w:val="28"/>
          <w:szCs w:val="28"/>
          <w:highlight w:val="none"/>
        </w:rPr>
        <w:t>Мечниковські Читання – 2023</w:t>
      </w:r>
      <w:r>
        <w:rPr>
          <w:sz w:val="28"/>
          <w:szCs w:val="28"/>
          <w:highlight w:val="none"/>
        </w:rPr>
        <w:t>, 89–90.</w:t>
      </w:r>
    </w:p>
    <w:p w14:paraId="6D69F412">
      <w:pPr>
        <w:ind w:firstLine="708"/>
        <w:rPr>
          <w:rFonts w:cs="Times New Roman"/>
          <w:szCs w:val="28"/>
          <w:highlight w:val="none"/>
        </w:rPr>
      </w:pPr>
      <w:r>
        <w:rPr>
          <w:rFonts w:cs="Times New Roman"/>
          <w:szCs w:val="28"/>
          <w:highlight w:val="none"/>
        </w:rPr>
        <w:t xml:space="preserve">4. </w:t>
      </w:r>
      <w:r>
        <w:rPr>
          <w:rFonts w:cs="Times New Roman"/>
          <w:b/>
          <w:bCs/>
          <w:szCs w:val="28"/>
          <w:highlight w:val="none"/>
        </w:rPr>
        <w:t>Sheiko, A. H.</w:t>
      </w:r>
      <w:r>
        <w:rPr>
          <w:rFonts w:cs="Times New Roman"/>
          <w:szCs w:val="28"/>
          <w:highlight w:val="none"/>
        </w:rPr>
        <w:t>, Yurko, K. V., Solomennyk, H. O., &amp; Kucheriavchenko, V. V. (2023). The prognostic value of blood markers in prediction of the probability of the development of fibrotic process in patients with chronic hepatitis C virus. Клінічна Та Профілактична Медицина, 29(7), 6-12. https://doi.org/10.31612/2616-4868.7.2023.01</w:t>
      </w:r>
      <w:r>
        <w:rPr>
          <w:rFonts w:cs="Times New Roman"/>
          <w:szCs w:val="28"/>
          <w:highlight w:val="none"/>
        </w:rPr>
        <w:br w:type="page"/>
      </w:r>
    </w:p>
    <w:p w14:paraId="1CDAD9DE">
      <w:pPr>
        <w:pStyle w:val="2"/>
        <w:rPr>
          <w:highlight w:val="none"/>
          <w:lang w:val="uk-UA"/>
        </w:rPr>
      </w:pPr>
      <w:bookmarkStart w:id="45" w:name="_Toc153923959"/>
      <w:r>
        <w:rPr>
          <w:highlight w:val="none"/>
          <w:lang w:val="uk-UA"/>
        </w:rPr>
        <w:t>РОЗДІЛ 4</w:t>
      </w:r>
      <w:r>
        <w:rPr>
          <w:highlight w:val="none"/>
          <w:lang w:val="uk-UA"/>
        </w:rPr>
        <w:br w:type="textWrapping"/>
      </w:r>
      <w:r>
        <w:rPr>
          <w:highlight w:val="none"/>
          <w:lang w:val="uk-UA"/>
        </w:rPr>
        <w:t>ОЦІНКА ЗМІН РІВНІВ ОСТЕОПОНТИНУ, ВІТАМІНУ D ТА ЛАБОРАТОРНИХ ПОКАЗНИКІВ ПІСЛЯ ЛІКУВАННЯ</w:t>
      </w:r>
      <w:bookmarkEnd w:id="45"/>
      <w:r>
        <w:rPr>
          <w:highlight w:val="none"/>
          <w:lang w:val="uk-UA"/>
        </w:rPr>
        <w:t xml:space="preserve"> </w:t>
      </w:r>
    </w:p>
    <w:p w14:paraId="5A0847CE">
      <w:pPr>
        <w:rPr>
          <w:highlight w:val="none"/>
        </w:rPr>
      </w:pPr>
    </w:p>
    <w:p w14:paraId="4DA07A6F">
      <w:pPr>
        <w:rPr>
          <w:highlight w:val="none"/>
        </w:rPr>
      </w:pPr>
      <w:r>
        <w:rPr>
          <w:highlight w:val="none"/>
        </w:rPr>
        <w:t>В даному розділі надана характеристика обстежених пацієнтів після проведеного лікування. Показані показники клінічного та біохімічного аналізу крові в обстежених групах дослідження та їх порівняння. Також наведено та порівняно зазначені показники на етапі до та після лікування. В кінці розділу подано порівняння клінічних та біохімічних показників обстежених пацієнтів в залежності від ступеню фіброзу печінки та до та після лікування.</w:t>
      </w:r>
    </w:p>
    <w:p w14:paraId="2EE0182A">
      <w:pPr>
        <w:rPr>
          <w:highlight w:val="none"/>
        </w:rPr>
      </w:pPr>
    </w:p>
    <w:p w14:paraId="7D133125">
      <w:pPr>
        <w:pStyle w:val="3"/>
        <w:rPr>
          <w:szCs w:val="28"/>
          <w:highlight w:val="none"/>
        </w:rPr>
      </w:pPr>
      <w:bookmarkStart w:id="46" w:name="_Toc147703408"/>
      <w:bookmarkStart w:id="47" w:name="_Toc153923960"/>
      <w:r>
        <w:rPr>
          <w:szCs w:val="28"/>
          <w:highlight w:val="none"/>
        </w:rPr>
        <w:t>4.1 </w:t>
      </w:r>
      <w:bookmarkEnd w:id="46"/>
      <w:r>
        <w:rPr>
          <w:szCs w:val="28"/>
          <w:highlight w:val="none"/>
        </w:rPr>
        <w:t>Характеристика рівнів остеопонтину та вітаміну D, параметрів клінічного та біохімічного аналізів крові обстежених пацієнтів після лікування</w:t>
      </w:r>
      <w:bookmarkEnd w:id="47"/>
    </w:p>
    <w:p w14:paraId="350D2DA6">
      <w:pPr>
        <w:rPr>
          <w:szCs w:val="28"/>
          <w:highlight w:val="none"/>
        </w:rPr>
      </w:pPr>
    </w:p>
    <w:p w14:paraId="591A8E66">
      <w:pPr>
        <w:jc w:val="right"/>
        <w:rPr>
          <w:i/>
          <w:iCs/>
          <w:szCs w:val="28"/>
          <w:highlight w:val="none"/>
        </w:rPr>
      </w:pPr>
      <w:r>
        <w:rPr>
          <w:i/>
          <w:iCs/>
          <w:szCs w:val="28"/>
          <w:highlight w:val="none"/>
        </w:rPr>
        <w:t>Таблиця 4.1</w:t>
      </w:r>
    </w:p>
    <w:p w14:paraId="571BF55B">
      <w:pPr>
        <w:rPr>
          <w:b/>
          <w:bCs/>
          <w:szCs w:val="28"/>
          <w:highlight w:val="none"/>
        </w:rPr>
      </w:pPr>
      <w:r>
        <w:rPr>
          <w:b/>
          <w:bCs/>
          <w:szCs w:val="28"/>
          <w:highlight w:val="none"/>
        </w:rPr>
        <w:t>Показники клінічного аналізу крові обстежених пацієнтів після лікування, Me [Lq; Uq]</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46"/>
        <w:gridCol w:w="2693"/>
        <w:gridCol w:w="3099"/>
        <w:gridCol w:w="1006"/>
      </w:tblGrid>
      <w:tr w14:paraId="70BD9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6" w:type="dxa"/>
            <w:vAlign w:val="center"/>
          </w:tcPr>
          <w:p w14:paraId="089B3684">
            <w:pPr>
              <w:ind w:firstLine="0"/>
              <w:jc w:val="left"/>
              <w:rPr>
                <w:b/>
                <w:bCs/>
                <w:szCs w:val="28"/>
                <w:highlight w:val="none"/>
              </w:rPr>
            </w:pPr>
            <w:bookmarkStart w:id="48" w:name="_Hlk154340031"/>
            <w:r>
              <w:rPr>
                <w:b/>
                <w:bCs/>
                <w:szCs w:val="28"/>
                <w:highlight w:val="none"/>
              </w:rPr>
              <w:t>Показник</w:t>
            </w:r>
          </w:p>
        </w:tc>
        <w:tc>
          <w:tcPr>
            <w:tcW w:w="2693" w:type="dxa"/>
            <w:vAlign w:val="center"/>
          </w:tcPr>
          <w:p w14:paraId="19482436">
            <w:pPr>
              <w:ind w:firstLine="0"/>
              <w:jc w:val="center"/>
              <w:rPr>
                <w:b/>
                <w:bCs/>
                <w:szCs w:val="28"/>
                <w:highlight w:val="none"/>
              </w:rPr>
            </w:pPr>
            <w:r>
              <w:rPr>
                <w:b/>
                <w:bCs/>
                <w:szCs w:val="28"/>
                <w:highlight w:val="none"/>
              </w:rPr>
              <w:t>Контроль (n=31)</w:t>
            </w:r>
          </w:p>
        </w:tc>
        <w:tc>
          <w:tcPr>
            <w:tcW w:w="3099" w:type="dxa"/>
            <w:vAlign w:val="center"/>
          </w:tcPr>
          <w:p w14:paraId="5A6E1601">
            <w:pPr>
              <w:ind w:firstLine="0"/>
              <w:jc w:val="center"/>
              <w:rPr>
                <w:b/>
                <w:bCs/>
                <w:szCs w:val="28"/>
                <w:highlight w:val="none"/>
              </w:rPr>
            </w:pPr>
            <w:r>
              <w:rPr>
                <w:b/>
                <w:bCs/>
                <w:szCs w:val="28"/>
                <w:highlight w:val="none"/>
              </w:rPr>
              <w:t>Основна група (n=47)</w:t>
            </w:r>
          </w:p>
        </w:tc>
        <w:tc>
          <w:tcPr>
            <w:tcW w:w="1006" w:type="dxa"/>
            <w:vAlign w:val="center"/>
          </w:tcPr>
          <w:p w14:paraId="544775F2">
            <w:pPr>
              <w:ind w:firstLine="0"/>
              <w:jc w:val="center"/>
              <w:rPr>
                <w:b/>
                <w:bCs/>
                <w:szCs w:val="28"/>
                <w:highlight w:val="none"/>
              </w:rPr>
            </w:pPr>
            <w:r>
              <w:rPr>
                <w:b/>
                <w:bCs/>
                <w:szCs w:val="28"/>
                <w:highlight w:val="none"/>
              </w:rPr>
              <w:t>p</w:t>
            </w:r>
          </w:p>
        </w:tc>
      </w:tr>
      <w:bookmarkEnd w:id="48"/>
      <w:tr w14:paraId="43B6E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6" w:type="dxa"/>
            <w:vAlign w:val="center"/>
          </w:tcPr>
          <w:p w14:paraId="70411FDC">
            <w:pPr>
              <w:ind w:firstLine="0"/>
              <w:jc w:val="left"/>
              <w:rPr>
                <w:szCs w:val="28"/>
                <w:highlight w:val="none"/>
              </w:rPr>
            </w:pPr>
            <w:r>
              <w:rPr>
                <w:szCs w:val="28"/>
                <w:highlight w:val="none"/>
              </w:rPr>
              <w:t>Еритроцити, 10</w:t>
            </w:r>
            <w:r>
              <w:rPr>
                <w:szCs w:val="28"/>
                <w:highlight w:val="none"/>
                <w:vertAlign w:val="superscript"/>
              </w:rPr>
              <w:t>12</w:t>
            </w:r>
            <w:r>
              <w:rPr>
                <w:szCs w:val="28"/>
                <w:highlight w:val="none"/>
              </w:rPr>
              <w:t>/л</w:t>
            </w:r>
          </w:p>
        </w:tc>
        <w:tc>
          <w:tcPr>
            <w:tcW w:w="2693" w:type="dxa"/>
            <w:vAlign w:val="center"/>
          </w:tcPr>
          <w:p w14:paraId="762B723C">
            <w:pPr>
              <w:ind w:firstLine="0"/>
              <w:jc w:val="center"/>
              <w:rPr>
                <w:szCs w:val="28"/>
                <w:highlight w:val="none"/>
              </w:rPr>
            </w:pPr>
            <w:r>
              <w:rPr>
                <w:szCs w:val="28"/>
                <w:highlight w:val="none"/>
              </w:rPr>
              <w:t>4,72 [4,41; 5,21]</w:t>
            </w:r>
          </w:p>
        </w:tc>
        <w:tc>
          <w:tcPr>
            <w:tcW w:w="3099" w:type="dxa"/>
            <w:vAlign w:val="center"/>
          </w:tcPr>
          <w:p w14:paraId="39CE76B7">
            <w:pPr>
              <w:ind w:firstLine="0"/>
              <w:jc w:val="center"/>
              <w:rPr>
                <w:szCs w:val="28"/>
                <w:highlight w:val="none"/>
              </w:rPr>
            </w:pPr>
            <w:r>
              <w:rPr>
                <w:szCs w:val="28"/>
                <w:highlight w:val="none"/>
              </w:rPr>
              <w:t>4,65 [4,23; 5,04]</w:t>
            </w:r>
          </w:p>
        </w:tc>
        <w:tc>
          <w:tcPr>
            <w:tcW w:w="1006" w:type="dxa"/>
            <w:vAlign w:val="center"/>
          </w:tcPr>
          <w:p w14:paraId="2E725006">
            <w:pPr>
              <w:ind w:firstLine="0"/>
              <w:jc w:val="center"/>
              <w:rPr>
                <w:szCs w:val="28"/>
                <w:highlight w:val="none"/>
              </w:rPr>
            </w:pPr>
            <w:r>
              <w:rPr>
                <w:szCs w:val="28"/>
                <w:highlight w:val="none"/>
              </w:rPr>
              <w:t>0,251</w:t>
            </w:r>
          </w:p>
        </w:tc>
      </w:tr>
      <w:tr w14:paraId="2E4D4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6" w:type="dxa"/>
            <w:vAlign w:val="center"/>
          </w:tcPr>
          <w:p w14:paraId="1BA09BCB">
            <w:pPr>
              <w:ind w:firstLine="0"/>
              <w:jc w:val="left"/>
              <w:rPr>
                <w:szCs w:val="28"/>
                <w:highlight w:val="none"/>
              </w:rPr>
            </w:pPr>
            <w:r>
              <w:rPr>
                <w:szCs w:val="28"/>
                <w:highlight w:val="none"/>
              </w:rPr>
              <w:t>Гемоглобін, г/л</w:t>
            </w:r>
          </w:p>
        </w:tc>
        <w:tc>
          <w:tcPr>
            <w:tcW w:w="2693" w:type="dxa"/>
            <w:vAlign w:val="center"/>
          </w:tcPr>
          <w:p w14:paraId="6DE047DA">
            <w:pPr>
              <w:ind w:firstLine="0"/>
              <w:jc w:val="center"/>
              <w:rPr>
                <w:szCs w:val="28"/>
                <w:highlight w:val="none"/>
              </w:rPr>
            </w:pPr>
            <w:r>
              <w:rPr>
                <w:szCs w:val="28"/>
                <w:highlight w:val="none"/>
              </w:rPr>
              <w:t>142,0 [134,0; 152,0]</w:t>
            </w:r>
          </w:p>
        </w:tc>
        <w:tc>
          <w:tcPr>
            <w:tcW w:w="3099" w:type="dxa"/>
            <w:vAlign w:val="center"/>
          </w:tcPr>
          <w:p w14:paraId="170F2542">
            <w:pPr>
              <w:ind w:firstLine="0"/>
              <w:jc w:val="center"/>
              <w:rPr>
                <w:szCs w:val="28"/>
                <w:highlight w:val="none"/>
              </w:rPr>
            </w:pPr>
            <w:r>
              <w:rPr>
                <w:szCs w:val="28"/>
                <w:highlight w:val="none"/>
              </w:rPr>
              <w:t>145,0 [134,0; 151,0]</w:t>
            </w:r>
          </w:p>
        </w:tc>
        <w:tc>
          <w:tcPr>
            <w:tcW w:w="1006" w:type="dxa"/>
            <w:vAlign w:val="center"/>
          </w:tcPr>
          <w:p w14:paraId="45D005EF">
            <w:pPr>
              <w:ind w:firstLine="0"/>
              <w:jc w:val="center"/>
              <w:rPr>
                <w:szCs w:val="28"/>
                <w:highlight w:val="none"/>
              </w:rPr>
            </w:pPr>
            <w:r>
              <w:rPr>
                <w:szCs w:val="28"/>
                <w:highlight w:val="none"/>
              </w:rPr>
              <w:t>0,360</w:t>
            </w:r>
          </w:p>
        </w:tc>
      </w:tr>
      <w:tr w14:paraId="0C255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6" w:type="dxa"/>
            <w:vAlign w:val="center"/>
          </w:tcPr>
          <w:p w14:paraId="562DE72C">
            <w:pPr>
              <w:ind w:firstLine="0"/>
              <w:jc w:val="left"/>
              <w:rPr>
                <w:szCs w:val="28"/>
                <w:highlight w:val="none"/>
              </w:rPr>
            </w:pPr>
            <w:r>
              <w:rPr>
                <w:szCs w:val="28"/>
                <w:highlight w:val="none"/>
              </w:rPr>
              <w:t>Гематокрит, %</w:t>
            </w:r>
          </w:p>
        </w:tc>
        <w:tc>
          <w:tcPr>
            <w:tcW w:w="2693" w:type="dxa"/>
            <w:vAlign w:val="center"/>
          </w:tcPr>
          <w:p w14:paraId="3FAAC1B7">
            <w:pPr>
              <w:ind w:firstLine="0"/>
              <w:jc w:val="center"/>
              <w:rPr>
                <w:szCs w:val="28"/>
                <w:highlight w:val="none"/>
              </w:rPr>
            </w:pPr>
            <w:r>
              <w:rPr>
                <w:szCs w:val="28"/>
                <w:highlight w:val="none"/>
              </w:rPr>
              <w:t>0,43 [0,42; 0,45]</w:t>
            </w:r>
          </w:p>
        </w:tc>
        <w:tc>
          <w:tcPr>
            <w:tcW w:w="3099" w:type="dxa"/>
            <w:vAlign w:val="center"/>
          </w:tcPr>
          <w:p w14:paraId="02BB606B">
            <w:pPr>
              <w:ind w:firstLine="0"/>
              <w:jc w:val="center"/>
              <w:rPr>
                <w:szCs w:val="28"/>
                <w:highlight w:val="none"/>
              </w:rPr>
            </w:pPr>
            <w:r>
              <w:rPr>
                <w:szCs w:val="28"/>
                <w:highlight w:val="none"/>
              </w:rPr>
              <w:t>0,43 [0,41; 0,45]</w:t>
            </w:r>
          </w:p>
        </w:tc>
        <w:tc>
          <w:tcPr>
            <w:tcW w:w="1006" w:type="dxa"/>
            <w:vAlign w:val="center"/>
          </w:tcPr>
          <w:p w14:paraId="56684070">
            <w:pPr>
              <w:ind w:firstLine="0"/>
              <w:jc w:val="center"/>
              <w:rPr>
                <w:szCs w:val="28"/>
                <w:highlight w:val="none"/>
              </w:rPr>
            </w:pPr>
            <w:r>
              <w:rPr>
                <w:szCs w:val="28"/>
                <w:highlight w:val="none"/>
              </w:rPr>
              <w:t>0,910</w:t>
            </w:r>
          </w:p>
        </w:tc>
      </w:tr>
      <w:tr w14:paraId="42465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6" w:type="dxa"/>
            <w:vAlign w:val="center"/>
          </w:tcPr>
          <w:p w14:paraId="3F86DBBA">
            <w:pPr>
              <w:ind w:firstLine="0"/>
              <w:jc w:val="left"/>
              <w:rPr>
                <w:szCs w:val="28"/>
                <w:highlight w:val="none"/>
              </w:rPr>
            </w:pPr>
            <w:r>
              <w:rPr>
                <w:szCs w:val="28"/>
                <w:highlight w:val="none"/>
              </w:rPr>
              <w:t>MCV, fl</w:t>
            </w:r>
          </w:p>
        </w:tc>
        <w:tc>
          <w:tcPr>
            <w:tcW w:w="2693" w:type="dxa"/>
            <w:vAlign w:val="center"/>
          </w:tcPr>
          <w:p w14:paraId="5BB0C412">
            <w:pPr>
              <w:ind w:firstLine="0"/>
              <w:jc w:val="center"/>
              <w:rPr>
                <w:szCs w:val="28"/>
                <w:highlight w:val="none"/>
              </w:rPr>
            </w:pPr>
            <w:r>
              <w:rPr>
                <w:szCs w:val="28"/>
                <w:highlight w:val="none"/>
              </w:rPr>
              <w:t>90,6 [87,7; 92,6]</w:t>
            </w:r>
          </w:p>
        </w:tc>
        <w:tc>
          <w:tcPr>
            <w:tcW w:w="3099" w:type="dxa"/>
            <w:vAlign w:val="center"/>
          </w:tcPr>
          <w:p w14:paraId="5174B3D2">
            <w:pPr>
              <w:ind w:firstLine="0"/>
              <w:jc w:val="center"/>
              <w:rPr>
                <w:szCs w:val="28"/>
                <w:highlight w:val="none"/>
              </w:rPr>
            </w:pPr>
            <w:r>
              <w:rPr>
                <w:szCs w:val="28"/>
                <w:highlight w:val="none"/>
              </w:rPr>
              <w:t>90,6 [87,4; 93,0]</w:t>
            </w:r>
          </w:p>
        </w:tc>
        <w:tc>
          <w:tcPr>
            <w:tcW w:w="1006" w:type="dxa"/>
            <w:vAlign w:val="center"/>
          </w:tcPr>
          <w:p w14:paraId="4E0FF9DF">
            <w:pPr>
              <w:ind w:firstLine="0"/>
              <w:jc w:val="center"/>
              <w:rPr>
                <w:szCs w:val="28"/>
                <w:highlight w:val="none"/>
              </w:rPr>
            </w:pPr>
            <w:r>
              <w:rPr>
                <w:szCs w:val="28"/>
                <w:highlight w:val="none"/>
              </w:rPr>
              <w:t>0,609</w:t>
            </w:r>
          </w:p>
        </w:tc>
      </w:tr>
      <w:tr w14:paraId="75122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6" w:type="dxa"/>
            <w:vAlign w:val="center"/>
          </w:tcPr>
          <w:p w14:paraId="7096809D">
            <w:pPr>
              <w:ind w:firstLine="0"/>
              <w:jc w:val="left"/>
              <w:rPr>
                <w:szCs w:val="28"/>
                <w:highlight w:val="none"/>
              </w:rPr>
            </w:pPr>
            <w:r>
              <w:rPr>
                <w:szCs w:val="28"/>
                <w:highlight w:val="none"/>
              </w:rPr>
              <w:t>MCH, пкг/л</w:t>
            </w:r>
          </w:p>
        </w:tc>
        <w:tc>
          <w:tcPr>
            <w:tcW w:w="2693" w:type="dxa"/>
            <w:vAlign w:val="center"/>
          </w:tcPr>
          <w:p w14:paraId="74C01726">
            <w:pPr>
              <w:ind w:firstLine="0"/>
              <w:jc w:val="center"/>
              <w:rPr>
                <w:szCs w:val="28"/>
                <w:highlight w:val="none"/>
              </w:rPr>
            </w:pPr>
            <w:r>
              <w:rPr>
                <w:szCs w:val="28"/>
                <w:highlight w:val="none"/>
              </w:rPr>
              <w:t>28,6 [27,9; 29,5]</w:t>
            </w:r>
          </w:p>
        </w:tc>
        <w:tc>
          <w:tcPr>
            <w:tcW w:w="3099" w:type="dxa"/>
            <w:vAlign w:val="center"/>
          </w:tcPr>
          <w:p w14:paraId="054E79A0">
            <w:pPr>
              <w:ind w:firstLine="0"/>
              <w:jc w:val="center"/>
              <w:rPr>
                <w:szCs w:val="28"/>
                <w:highlight w:val="none"/>
              </w:rPr>
            </w:pPr>
            <w:r>
              <w:rPr>
                <w:szCs w:val="28"/>
                <w:highlight w:val="none"/>
              </w:rPr>
              <w:t>29,8 [27,5; 31,2]</w:t>
            </w:r>
          </w:p>
        </w:tc>
        <w:tc>
          <w:tcPr>
            <w:tcW w:w="1006" w:type="dxa"/>
            <w:vAlign w:val="center"/>
          </w:tcPr>
          <w:p w14:paraId="012E5094">
            <w:pPr>
              <w:ind w:firstLine="0"/>
              <w:jc w:val="center"/>
              <w:rPr>
                <w:szCs w:val="28"/>
                <w:highlight w:val="none"/>
              </w:rPr>
            </w:pPr>
            <w:r>
              <w:rPr>
                <w:szCs w:val="28"/>
                <w:highlight w:val="none"/>
              </w:rPr>
              <w:t>0,104</w:t>
            </w:r>
          </w:p>
        </w:tc>
      </w:tr>
      <w:tr w14:paraId="31B67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6" w:type="dxa"/>
            <w:vAlign w:val="center"/>
          </w:tcPr>
          <w:p w14:paraId="5DDB5672">
            <w:pPr>
              <w:ind w:firstLine="0"/>
              <w:jc w:val="left"/>
              <w:rPr>
                <w:szCs w:val="28"/>
                <w:highlight w:val="none"/>
              </w:rPr>
            </w:pPr>
            <w:r>
              <w:rPr>
                <w:szCs w:val="28"/>
                <w:highlight w:val="none"/>
              </w:rPr>
              <w:t>MCHC, г/л</w:t>
            </w:r>
          </w:p>
        </w:tc>
        <w:tc>
          <w:tcPr>
            <w:tcW w:w="2693" w:type="dxa"/>
            <w:vAlign w:val="center"/>
          </w:tcPr>
          <w:p w14:paraId="2070A083">
            <w:pPr>
              <w:ind w:firstLine="0"/>
              <w:jc w:val="center"/>
              <w:rPr>
                <w:szCs w:val="28"/>
                <w:highlight w:val="none"/>
              </w:rPr>
            </w:pPr>
            <w:r>
              <w:rPr>
                <w:szCs w:val="28"/>
                <w:highlight w:val="none"/>
              </w:rPr>
              <w:t>340,0 [332,0; 346,0]</w:t>
            </w:r>
          </w:p>
        </w:tc>
        <w:tc>
          <w:tcPr>
            <w:tcW w:w="3099" w:type="dxa"/>
            <w:vAlign w:val="center"/>
          </w:tcPr>
          <w:p w14:paraId="66136975">
            <w:pPr>
              <w:ind w:firstLine="0"/>
              <w:jc w:val="center"/>
              <w:rPr>
                <w:szCs w:val="28"/>
                <w:highlight w:val="none"/>
              </w:rPr>
            </w:pPr>
            <w:r>
              <w:rPr>
                <w:szCs w:val="28"/>
                <w:highlight w:val="none"/>
              </w:rPr>
              <w:t>334,0 [329,0; 344,0]</w:t>
            </w:r>
          </w:p>
        </w:tc>
        <w:tc>
          <w:tcPr>
            <w:tcW w:w="1006" w:type="dxa"/>
            <w:vAlign w:val="center"/>
          </w:tcPr>
          <w:p w14:paraId="15D49BFD">
            <w:pPr>
              <w:ind w:firstLine="0"/>
              <w:jc w:val="center"/>
              <w:rPr>
                <w:szCs w:val="28"/>
                <w:highlight w:val="none"/>
              </w:rPr>
            </w:pPr>
            <w:r>
              <w:rPr>
                <w:szCs w:val="28"/>
                <w:highlight w:val="none"/>
              </w:rPr>
              <w:t>0,151</w:t>
            </w:r>
          </w:p>
        </w:tc>
      </w:tr>
      <w:tr w14:paraId="7E72C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6" w:type="dxa"/>
            <w:vAlign w:val="center"/>
          </w:tcPr>
          <w:p w14:paraId="03CA57E0">
            <w:pPr>
              <w:ind w:firstLine="0"/>
              <w:jc w:val="left"/>
              <w:rPr>
                <w:szCs w:val="28"/>
                <w:highlight w:val="none"/>
              </w:rPr>
            </w:pPr>
            <w:r>
              <w:rPr>
                <w:szCs w:val="28"/>
                <w:highlight w:val="none"/>
              </w:rPr>
              <w:t>Тромбоцити, 10</w:t>
            </w:r>
            <w:r>
              <w:rPr>
                <w:szCs w:val="28"/>
                <w:highlight w:val="none"/>
                <w:vertAlign w:val="superscript"/>
              </w:rPr>
              <w:t>9</w:t>
            </w:r>
            <w:r>
              <w:rPr>
                <w:szCs w:val="28"/>
                <w:highlight w:val="none"/>
              </w:rPr>
              <w:t>/л</w:t>
            </w:r>
          </w:p>
        </w:tc>
        <w:tc>
          <w:tcPr>
            <w:tcW w:w="2693" w:type="dxa"/>
            <w:vAlign w:val="center"/>
          </w:tcPr>
          <w:p w14:paraId="29A7879B">
            <w:pPr>
              <w:ind w:firstLine="0"/>
              <w:jc w:val="center"/>
              <w:rPr>
                <w:szCs w:val="28"/>
                <w:highlight w:val="none"/>
              </w:rPr>
            </w:pPr>
            <w:r>
              <w:rPr>
                <w:szCs w:val="28"/>
                <w:highlight w:val="none"/>
              </w:rPr>
              <w:t>275,0 [248,0; 294,0]</w:t>
            </w:r>
          </w:p>
        </w:tc>
        <w:tc>
          <w:tcPr>
            <w:tcW w:w="3099" w:type="dxa"/>
            <w:vAlign w:val="center"/>
          </w:tcPr>
          <w:p w14:paraId="41F6450B">
            <w:pPr>
              <w:ind w:firstLine="0"/>
              <w:jc w:val="center"/>
              <w:rPr>
                <w:szCs w:val="28"/>
                <w:highlight w:val="none"/>
              </w:rPr>
            </w:pPr>
            <w:r>
              <w:rPr>
                <w:szCs w:val="28"/>
                <w:highlight w:val="none"/>
              </w:rPr>
              <w:t>244,0 [206,0; 271,0]</w:t>
            </w:r>
          </w:p>
        </w:tc>
        <w:tc>
          <w:tcPr>
            <w:tcW w:w="1006" w:type="dxa"/>
            <w:vAlign w:val="center"/>
          </w:tcPr>
          <w:p w14:paraId="3C27B35E">
            <w:pPr>
              <w:ind w:firstLine="0"/>
              <w:jc w:val="center"/>
              <w:rPr>
                <w:szCs w:val="28"/>
                <w:highlight w:val="none"/>
              </w:rPr>
            </w:pPr>
            <w:r>
              <w:rPr>
                <w:szCs w:val="28"/>
                <w:highlight w:val="none"/>
              </w:rPr>
              <w:t>0,004</w:t>
            </w:r>
          </w:p>
        </w:tc>
      </w:tr>
      <w:tr w14:paraId="28A9A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6" w:type="dxa"/>
            <w:vAlign w:val="center"/>
          </w:tcPr>
          <w:p w14:paraId="0E506E72">
            <w:pPr>
              <w:ind w:firstLine="0"/>
              <w:jc w:val="left"/>
              <w:rPr>
                <w:szCs w:val="28"/>
                <w:highlight w:val="none"/>
              </w:rPr>
            </w:pPr>
            <w:r>
              <w:rPr>
                <w:szCs w:val="28"/>
                <w:highlight w:val="none"/>
              </w:rPr>
              <w:t>Тромбокрит, %</w:t>
            </w:r>
          </w:p>
        </w:tc>
        <w:tc>
          <w:tcPr>
            <w:tcW w:w="2693" w:type="dxa"/>
            <w:vAlign w:val="center"/>
          </w:tcPr>
          <w:p w14:paraId="48A5723E">
            <w:pPr>
              <w:ind w:firstLine="0"/>
              <w:jc w:val="center"/>
              <w:rPr>
                <w:szCs w:val="28"/>
                <w:highlight w:val="none"/>
              </w:rPr>
            </w:pPr>
            <w:r>
              <w:rPr>
                <w:szCs w:val="28"/>
                <w:highlight w:val="none"/>
              </w:rPr>
              <w:t>0,21 [0,17; 0,25]</w:t>
            </w:r>
          </w:p>
        </w:tc>
        <w:tc>
          <w:tcPr>
            <w:tcW w:w="3099" w:type="dxa"/>
            <w:vAlign w:val="center"/>
          </w:tcPr>
          <w:p w14:paraId="04391253">
            <w:pPr>
              <w:ind w:firstLine="0"/>
              <w:jc w:val="center"/>
              <w:rPr>
                <w:szCs w:val="28"/>
                <w:highlight w:val="none"/>
              </w:rPr>
            </w:pPr>
            <w:r>
              <w:rPr>
                <w:szCs w:val="28"/>
                <w:highlight w:val="none"/>
              </w:rPr>
              <w:t>0,18 [0,16; 0,22]</w:t>
            </w:r>
          </w:p>
        </w:tc>
        <w:tc>
          <w:tcPr>
            <w:tcW w:w="1006" w:type="dxa"/>
            <w:vAlign w:val="center"/>
          </w:tcPr>
          <w:p w14:paraId="7DE4850C">
            <w:pPr>
              <w:ind w:firstLine="0"/>
              <w:jc w:val="center"/>
              <w:rPr>
                <w:szCs w:val="28"/>
                <w:highlight w:val="none"/>
              </w:rPr>
            </w:pPr>
            <w:r>
              <w:rPr>
                <w:szCs w:val="28"/>
                <w:highlight w:val="none"/>
              </w:rPr>
              <w:t>0,118</w:t>
            </w:r>
          </w:p>
        </w:tc>
      </w:tr>
      <w:tr w14:paraId="01207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6" w:type="dxa"/>
            <w:vAlign w:val="center"/>
          </w:tcPr>
          <w:p w14:paraId="58A46827">
            <w:pPr>
              <w:ind w:firstLine="0"/>
              <w:jc w:val="left"/>
              <w:rPr>
                <w:szCs w:val="28"/>
                <w:highlight w:val="none"/>
              </w:rPr>
            </w:pPr>
            <w:r>
              <w:rPr>
                <w:szCs w:val="28"/>
                <w:highlight w:val="none"/>
              </w:rPr>
              <w:t>КП</w:t>
            </w:r>
          </w:p>
        </w:tc>
        <w:tc>
          <w:tcPr>
            <w:tcW w:w="2693" w:type="dxa"/>
            <w:vAlign w:val="center"/>
          </w:tcPr>
          <w:p w14:paraId="0613D798">
            <w:pPr>
              <w:ind w:firstLine="0"/>
              <w:jc w:val="center"/>
              <w:rPr>
                <w:szCs w:val="28"/>
                <w:highlight w:val="none"/>
              </w:rPr>
            </w:pPr>
            <w:r>
              <w:rPr>
                <w:szCs w:val="28"/>
                <w:highlight w:val="none"/>
              </w:rPr>
              <w:t>0,91 [0,89; 0,94]</w:t>
            </w:r>
          </w:p>
        </w:tc>
        <w:tc>
          <w:tcPr>
            <w:tcW w:w="3099" w:type="dxa"/>
            <w:vAlign w:val="center"/>
          </w:tcPr>
          <w:p w14:paraId="3A2B9D7B">
            <w:pPr>
              <w:ind w:firstLine="0"/>
              <w:jc w:val="center"/>
              <w:rPr>
                <w:szCs w:val="28"/>
                <w:highlight w:val="none"/>
              </w:rPr>
            </w:pPr>
            <w:r>
              <w:rPr>
                <w:szCs w:val="28"/>
                <w:highlight w:val="none"/>
              </w:rPr>
              <w:t>0,90 [0,88; 0,93]</w:t>
            </w:r>
          </w:p>
        </w:tc>
        <w:tc>
          <w:tcPr>
            <w:tcW w:w="1006" w:type="dxa"/>
            <w:vAlign w:val="center"/>
          </w:tcPr>
          <w:p w14:paraId="21B049FB">
            <w:pPr>
              <w:ind w:firstLine="0"/>
              <w:jc w:val="center"/>
              <w:rPr>
                <w:szCs w:val="28"/>
                <w:highlight w:val="none"/>
              </w:rPr>
            </w:pPr>
            <w:r>
              <w:rPr>
                <w:szCs w:val="28"/>
                <w:highlight w:val="none"/>
              </w:rPr>
              <w:t>0,878</w:t>
            </w:r>
          </w:p>
        </w:tc>
      </w:tr>
      <w:tr w14:paraId="749DA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6" w:type="dxa"/>
            <w:vAlign w:val="center"/>
          </w:tcPr>
          <w:p w14:paraId="1E473E1A">
            <w:pPr>
              <w:ind w:firstLine="0"/>
              <w:jc w:val="left"/>
              <w:rPr>
                <w:szCs w:val="28"/>
                <w:highlight w:val="none"/>
              </w:rPr>
            </w:pPr>
            <w:r>
              <w:rPr>
                <w:szCs w:val="28"/>
                <w:highlight w:val="none"/>
              </w:rPr>
              <w:t>ШОЕ, мм/год</w:t>
            </w:r>
          </w:p>
        </w:tc>
        <w:tc>
          <w:tcPr>
            <w:tcW w:w="2693" w:type="dxa"/>
            <w:vAlign w:val="center"/>
          </w:tcPr>
          <w:p w14:paraId="08836C68">
            <w:pPr>
              <w:ind w:firstLine="0"/>
              <w:jc w:val="center"/>
              <w:rPr>
                <w:szCs w:val="28"/>
                <w:highlight w:val="none"/>
              </w:rPr>
            </w:pPr>
            <w:r>
              <w:rPr>
                <w:szCs w:val="28"/>
                <w:highlight w:val="none"/>
              </w:rPr>
              <w:t>3,0 [1,0; 5,0]</w:t>
            </w:r>
          </w:p>
        </w:tc>
        <w:tc>
          <w:tcPr>
            <w:tcW w:w="3099" w:type="dxa"/>
            <w:vAlign w:val="center"/>
          </w:tcPr>
          <w:p w14:paraId="16CFF6AF">
            <w:pPr>
              <w:ind w:firstLine="0"/>
              <w:jc w:val="center"/>
              <w:rPr>
                <w:szCs w:val="28"/>
                <w:highlight w:val="none"/>
              </w:rPr>
            </w:pPr>
            <w:r>
              <w:rPr>
                <w:szCs w:val="28"/>
                <w:highlight w:val="none"/>
              </w:rPr>
              <w:t>4,0 [2,0; 9,0]</w:t>
            </w:r>
          </w:p>
        </w:tc>
        <w:tc>
          <w:tcPr>
            <w:tcW w:w="1006" w:type="dxa"/>
            <w:vAlign w:val="center"/>
          </w:tcPr>
          <w:p w14:paraId="5CD60794">
            <w:pPr>
              <w:ind w:firstLine="0"/>
              <w:jc w:val="center"/>
              <w:rPr>
                <w:szCs w:val="28"/>
                <w:highlight w:val="none"/>
              </w:rPr>
            </w:pPr>
            <w:r>
              <w:rPr>
                <w:szCs w:val="28"/>
                <w:highlight w:val="none"/>
              </w:rPr>
              <w:t>0,070</w:t>
            </w:r>
          </w:p>
        </w:tc>
      </w:tr>
    </w:tbl>
    <w:p w14:paraId="614D9A3C">
      <w:pPr>
        <w:rPr>
          <w:highlight w:val="none"/>
        </w:rPr>
      </w:pPr>
    </w:p>
    <w:p w14:paraId="19D8DD6D">
      <w:pPr>
        <w:jc w:val="right"/>
        <w:rPr>
          <w:i/>
          <w:iCs/>
          <w:szCs w:val="28"/>
          <w:highlight w:val="none"/>
        </w:rPr>
      </w:pPr>
      <w:r>
        <w:rPr>
          <w:i/>
          <w:iCs/>
          <w:szCs w:val="28"/>
          <w:highlight w:val="none"/>
        </w:rPr>
        <w:t>Продовження таблиці 4.1</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46"/>
        <w:gridCol w:w="2693"/>
        <w:gridCol w:w="3099"/>
        <w:gridCol w:w="1006"/>
      </w:tblGrid>
      <w:tr w14:paraId="0E9EF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6" w:type="dxa"/>
            <w:vAlign w:val="center"/>
          </w:tcPr>
          <w:p w14:paraId="6DB799B6">
            <w:pPr>
              <w:ind w:firstLine="0"/>
              <w:jc w:val="left"/>
              <w:rPr>
                <w:b/>
                <w:bCs/>
                <w:szCs w:val="28"/>
                <w:highlight w:val="none"/>
              </w:rPr>
            </w:pPr>
            <w:r>
              <w:rPr>
                <w:b/>
                <w:bCs/>
                <w:szCs w:val="28"/>
                <w:highlight w:val="none"/>
              </w:rPr>
              <w:t>Показник</w:t>
            </w:r>
          </w:p>
        </w:tc>
        <w:tc>
          <w:tcPr>
            <w:tcW w:w="2693" w:type="dxa"/>
            <w:vAlign w:val="center"/>
          </w:tcPr>
          <w:p w14:paraId="314A6316">
            <w:pPr>
              <w:ind w:firstLine="0"/>
              <w:jc w:val="center"/>
              <w:rPr>
                <w:b/>
                <w:bCs/>
                <w:szCs w:val="28"/>
                <w:highlight w:val="none"/>
              </w:rPr>
            </w:pPr>
            <w:r>
              <w:rPr>
                <w:b/>
                <w:bCs/>
                <w:szCs w:val="28"/>
                <w:highlight w:val="none"/>
              </w:rPr>
              <w:t>Контроль (n=31)</w:t>
            </w:r>
          </w:p>
        </w:tc>
        <w:tc>
          <w:tcPr>
            <w:tcW w:w="3099" w:type="dxa"/>
            <w:vAlign w:val="center"/>
          </w:tcPr>
          <w:p w14:paraId="07154BF7">
            <w:pPr>
              <w:ind w:firstLine="0"/>
              <w:jc w:val="center"/>
              <w:rPr>
                <w:b/>
                <w:bCs/>
                <w:szCs w:val="28"/>
                <w:highlight w:val="none"/>
              </w:rPr>
            </w:pPr>
            <w:r>
              <w:rPr>
                <w:b/>
                <w:bCs/>
                <w:szCs w:val="28"/>
                <w:highlight w:val="none"/>
              </w:rPr>
              <w:t>Основна група (n=47)</w:t>
            </w:r>
          </w:p>
        </w:tc>
        <w:tc>
          <w:tcPr>
            <w:tcW w:w="1006" w:type="dxa"/>
            <w:vAlign w:val="center"/>
          </w:tcPr>
          <w:p w14:paraId="35A00018">
            <w:pPr>
              <w:ind w:firstLine="0"/>
              <w:jc w:val="center"/>
              <w:rPr>
                <w:b/>
                <w:bCs/>
                <w:szCs w:val="28"/>
                <w:highlight w:val="none"/>
              </w:rPr>
            </w:pPr>
            <w:r>
              <w:rPr>
                <w:b/>
                <w:bCs/>
                <w:szCs w:val="28"/>
                <w:highlight w:val="none"/>
              </w:rPr>
              <w:t>p</w:t>
            </w:r>
          </w:p>
        </w:tc>
      </w:tr>
      <w:tr w14:paraId="7D3B6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6" w:type="dxa"/>
            <w:vAlign w:val="center"/>
          </w:tcPr>
          <w:p w14:paraId="09A3BF8B">
            <w:pPr>
              <w:ind w:firstLine="0"/>
              <w:jc w:val="left"/>
              <w:rPr>
                <w:szCs w:val="28"/>
                <w:highlight w:val="none"/>
              </w:rPr>
            </w:pPr>
            <w:r>
              <w:rPr>
                <w:szCs w:val="28"/>
                <w:highlight w:val="none"/>
              </w:rPr>
              <w:t>Лейкоцити, 10</w:t>
            </w:r>
            <w:r>
              <w:rPr>
                <w:szCs w:val="28"/>
                <w:highlight w:val="none"/>
                <w:vertAlign w:val="superscript"/>
              </w:rPr>
              <w:t>9</w:t>
            </w:r>
            <w:r>
              <w:rPr>
                <w:szCs w:val="28"/>
                <w:highlight w:val="none"/>
              </w:rPr>
              <w:t>/л</w:t>
            </w:r>
          </w:p>
        </w:tc>
        <w:tc>
          <w:tcPr>
            <w:tcW w:w="2693" w:type="dxa"/>
            <w:vAlign w:val="center"/>
          </w:tcPr>
          <w:p w14:paraId="663F2635">
            <w:pPr>
              <w:ind w:firstLine="0"/>
              <w:jc w:val="center"/>
              <w:rPr>
                <w:szCs w:val="28"/>
                <w:highlight w:val="none"/>
              </w:rPr>
            </w:pPr>
            <w:r>
              <w:rPr>
                <w:szCs w:val="28"/>
                <w:highlight w:val="none"/>
              </w:rPr>
              <w:t>6,17 [4,86; 7,65]</w:t>
            </w:r>
          </w:p>
        </w:tc>
        <w:tc>
          <w:tcPr>
            <w:tcW w:w="3099" w:type="dxa"/>
            <w:vAlign w:val="center"/>
          </w:tcPr>
          <w:p w14:paraId="6DF1FDB8">
            <w:pPr>
              <w:ind w:firstLine="0"/>
              <w:jc w:val="center"/>
              <w:rPr>
                <w:szCs w:val="28"/>
                <w:highlight w:val="none"/>
              </w:rPr>
            </w:pPr>
            <w:r>
              <w:rPr>
                <w:szCs w:val="28"/>
                <w:highlight w:val="none"/>
              </w:rPr>
              <w:t>5,95 [5,11; 7,96]</w:t>
            </w:r>
          </w:p>
        </w:tc>
        <w:tc>
          <w:tcPr>
            <w:tcW w:w="1006" w:type="dxa"/>
            <w:vAlign w:val="center"/>
          </w:tcPr>
          <w:p w14:paraId="6700D39D">
            <w:pPr>
              <w:ind w:firstLine="0"/>
              <w:jc w:val="center"/>
              <w:rPr>
                <w:szCs w:val="28"/>
                <w:highlight w:val="none"/>
              </w:rPr>
            </w:pPr>
            <w:r>
              <w:rPr>
                <w:szCs w:val="28"/>
                <w:highlight w:val="none"/>
              </w:rPr>
              <w:t>0,675</w:t>
            </w:r>
          </w:p>
        </w:tc>
      </w:tr>
      <w:tr w14:paraId="38461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6" w:type="dxa"/>
            <w:vAlign w:val="center"/>
          </w:tcPr>
          <w:p w14:paraId="111AE94A">
            <w:pPr>
              <w:ind w:firstLine="0"/>
              <w:jc w:val="left"/>
              <w:rPr>
                <w:szCs w:val="28"/>
                <w:highlight w:val="none"/>
              </w:rPr>
            </w:pPr>
            <w:r>
              <w:rPr>
                <w:szCs w:val="28"/>
                <w:highlight w:val="none"/>
              </w:rPr>
              <w:t>П/я нейтрофіли, %</w:t>
            </w:r>
          </w:p>
        </w:tc>
        <w:tc>
          <w:tcPr>
            <w:tcW w:w="2693" w:type="dxa"/>
            <w:vAlign w:val="center"/>
          </w:tcPr>
          <w:p w14:paraId="7F660184">
            <w:pPr>
              <w:ind w:firstLine="0"/>
              <w:jc w:val="center"/>
              <w:rPr>
                <w:szCs w:val="28"/>
                <w:highlight w:val="none"/>
              </w:rPr>
            </w:pPr>
            <w:r>
              <w:rPr>
                <w:szCs w:val="28"/>
                <w:highlight w:val="none"/>
              </w:rPr>
              <w:t>7,0 [4,0; 8,0]</w:t>
            </w:r>
          </w:p>
        </w:tc>
        <w:tc>
          <w:tcPr>
            <w:tcW w:w="3099" w:type="dxa"/>
            <w:vAlign w:val="center"/>
          </w:tcPr>
          <w:p w14:paraId="5C8A9EA1">
            <w:pPr>
              <w:ind w:firstLine="0"/>
              <w:jc w:val="center"/>
              <w:rPr>
                <w:szCs w:val="28"/>
                <w:highlight w:val="none"/>
              </w:rPr>
            </w:pPr>
            <w:r>
              <w:rPr>
                <w:szCs w:val="28"/>
                <w:highlight w:val="none"/>
              </w:rPr>
              <w:t>3,0 [2,0; 5,0]</w:t>
            </w:r>
          </w:p>
        </w:tc>
        <w:tc>
          <w:tcPr>
            <w:tcW w:w="1006" w:type="dxa"/>
            <w:vAlign w:val="center"/>
          </w:tcPr>
          <w:p w14:paraId="40E33E2E">
            <w:pPr>
              <w:ind w:firstLine="0"/>
              <w:jc w:val="center"/>
              <w:rPr>
                <w:b/>
                <w:bCs/>
                <w:szCs w:val="28"/>
                <w:highlight w:val="none"/>
              </w:rPr>
            </w:pPr>
            <w:r>
              <w:rPr>
                <w:b/>
                <w:bCs/>
                <w:szCs w:val="28"/>
                <w:highlight w:val="none"/>
              </w:rPr>
              <w:t>0,001</w:t>
            </w:r>
          </w:p>
        </w:tc>
      </w:tr>
      <w:tr w14:paraId="79F2E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6" w:type="dxa"/>
            <w:vAlign w:val="center"/>
          </w:tcPr>
          <w:p w14:paraId="6DB26F8D">
            <w:pPr>
              <w:ind w:firstLine="0"/>
              <w:jc w:val="left"/>
              <w:rPr>
                <w:szCs w:val="28"/>
                <w:highlight w:val="none"/>
              </w:rPr>
            </w:pPr>
            <w:r>
              <w:rPr>
                <w:szCs w:val="28"/>
                <w:highlight w:val="none"/>
              </w:rPr>
              <w:t>С/я нейтрофіли, %</w:t>
            </w:r>
          </w:p>
        </w:tc>
        <w:tc>
          <w:tcPr>
            <w:tcW w:w="2693" w:type="dxa"/>
            <w:vAlign w:val="center"/>
          </w:tcPr>
          <w:p w14:paraId="74016CAA">
            <w:pPr>
              <w:ind w:firstLine="0"/>
              <w:jc w:val="center"/>
              <w:rPr>
                <w:szCs w:val="28"/>
                <w:highlight w:val="none"/>
              </w:rPr>
            </w:pPr>
            <w:r>
              <w:rPr>
                <w:szCs w:val="28"/>
                <w:highlight w:val="none"/>
              </w:rPr>
              <w:t>77,0 [73,0; 81,0]</w:t>
            </w:r>
          </w:p>
        </w:tc>
        <w:tc>
          <w:tcPr>
            <w:tcW w:w="3099" w:type="dxa"/>
            <w:vAlign w:val="center"/>
          </w:tcPr>
          <w:p w14:paraId="01C0943C">
            <w:pPr>
              <w:ind w:firstLine="0"/>
              <w:jc w:val="center"/>
              <w:rPr>
                <w:szCs w:val="28"/>
                <w:highlight w:val="none"/>
              </w:rPr>
            </w:pPr>
            <w:r>
              <w:rPr>
                <w:szCs w:val="28"/>
                <w:highlight w:val="none"/>
              </w:rPr>
              <w:t>64,0 [51,0; 76,0]</w:t>
            </w:r>
          </w:p>
        </w:tc>
        <w:tc>
          <w:tcPr>
            <w:tcW w:w="1006" w:type="dxa"/>
            <w:vAlign w:val="center"/>
          </w:tcPr>
          <w:p w14:paraId="2A0E9777">
            <w:pPr>
              <w:ind w:firstLine="0"/>
              <w:jc w:val="center"/>
              <w:rPr>
                <w:b/>
                <w:bCs/>
                <w:szCs w:val="28"/>
                <w:highlight w:val="none"/>
              </w:rPr>
            </w:pPr>
            <w:r>
              <w:rPr>
                <w:b/>
                <w:bCs/>
                <w:szCs w:val="28"/>
                <w:highlight w:val="none"/>
              </w:rPr>
              <w:t>0,001</w:t>
            </w:r>
          </w:p>
        </w:tc>
      </w:tr>
      <w:tr w14:paraId="3077E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6" w:type="dxa"/>
            <w:vAlign w:val="center"/>
          </w:tcPr>
          <w:p w14:paraId="7A4839DD">
            <w:pPr>
              <w:ind w:firstLine="0"/>
              <w:jc w:val="left"/>
              <w:rPr>
                <w:szCs w:val="28"/>
                <w:highlight w:val="none"/>
              </w:rPr>
            </w:pPr>
            <w:r>
              <w:rPr>
                <w:szCs w:val="28"/>
                <w:highlight w:val="none"/>
              </w:rPr>
              <w:t>Еозинофіли, %</w:t>
            </w:r>
          </w:p>
        </w:tc>
        <w:tc>
          <w:tcPr>
            <w:tcW w:w="2693" w:type="dxa"/>
            <w:vAlign w:val="center"/>
          </w:tcPr>
          <w:p w14:paraId="292A389C">
            <w:pPr>
              <w:ind w:firstLine="0"/>
              <w:jc w:val="center"/>
              <w:rPr>
                <w:szCs w:val="28"/>
                <w:highlight w:val="none"/>
              </w:rPr>
            </w:pPr>
            <w:r>
              <w:rPr>
                <w:szCs w:val="28"/>
                <w:highlight w:val="none"/>
              </w:rPr>
              <w:t>1,0 [1,0; 2,0]</w:t>
            </w:r>
          </w:p>
        </w:tc>
        <w:tc>
          <w:tcPr>
            <w:tcW w:w="3099" w:type="dxa"/>
            <w:vAlign w:val="center"/>
          </w:tcPr>
          <w:p w14:paraId="339AADDD">
            <w:pPr>
              <w:ind w:firstLine="0"/>
              <w:jc w:val="center"/>
              <w:rPr>
                <w:szCs w:val="28"/>
                <w:highlight w:val="none"/>
              </w:rPr>
            </w:pPr>
            <w:r>
              <w:rPr>
                <w:szCs w:val="28"/>
                <w:highlight w:val="none"/>
              </w:rPr>
              <w:t>1,0 [1,0; 3,0]</w:t>
            </w:r>
          </w:p>
        </w:tc>
        <w:tc>
          <w:tcPr>
            <w:tcW w:w="1006" w:type="dxa"/>
            <w:vAlign w:val="center"/>
          </w:tcPr>
          <w:p w14:paraId="17EE08CA">
            <w:pPr>
              <w:ind w:firstLine="0"/>
              <w:jc w:val="center"/>
              <w:rPr>
                <w:szCs w:val="28"/>
                <w:highlight w:val="none"/>
              </w:rPr>
            </w:pPr>
            <w:r>
              <w:rPr>
                <w:szCs w:val="28"/>
                <w:highlight w:val="none"/>
              </w:rPr>
              <w:t>0,141</w:t>
            </w:r>
          </w:p>
        </w:tc>
      </w:tr>
      <w:tr w14:paraId="3EB8A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6" w:type="dxa"/>
            <w:vAlign w:val="center"/>
          </w:tcPr>
          <w:p w14:paraId="4ABCB46C">
            <w:pPr>
              <w:ind w:firstLine="0"/>
              <w:jc w:val="left"/>
              <w:rPr>
                <w:szCs w:val="28"/>
                <w:highlight w:val="none"/>
              </w:rPr>
            </w:pPr>
            <w:r>
              <w:rPr>
                <w:szCs w:val="28"/>
                <w:highlight w:val="none"/>
              </w:rPr>
              <w:t>Лімфоцити, %</w:t>
            </w:r>
          </w:p>
        </w:tc>
        <w:tc>
          <w:tcPr>
            <w:tcW w:w="2693" w:type="dxa"/>
            <w:vAlign w:val="center"/>
          </w:tcPr>
          <w:p w14:paraId="702CB9F2">
            <w:pPr>
              <w:ind w:firstLine="0"/>
              <w:jc w:val="center"/>
              <w:rPr>
                <w:szCs w:val="28"/>
                <w:highlight w:val="none"/>
              </w:rPr>
            </w:pPr>
            <w:r>
              <w:rPr>
                <w:szCs w:val="28"/>
                <w:highlight w:val="none"/>
              </w:rPr>
              <w:t>9,0 [6,0; 11,0]</w:t>
            </w:r>
          </w:p>
        </w:tc>
        <w:tc>
          <w:tcPr>
            <w:tcW w:w="3099" w:type="dxa"/>
            <w:vAlign w:val="center"/>
          </w:tcPr>
          <w:p w14:paraId="1E714732">
            <w:pPr>
              <w:ind w:firstLine="0"/>
              <w:jc w:val="center"/>
              <w:rPr>
                <w:szCs w:val="28"/>
                <w:highlight w:val="none"/>
              </w:rPr>
            </w:pPr>
            <w:r>
              <w:rPr>
                <w:szCs w:val="28"/>
                <w:highlight w:val="none"/>
              </w:rPr>
              <w:t>30,0 [10,0; 38,0]</w:t>
            </w:r>
          </w:p>
        </w:tc>
        <w:tc>
          <w:tcPr>
            <w:tcW w:w="1006" w:type="dxa"/>
            <w:vAlign w:val="center"/>
          </w:tcPr>
          <w:p w14:paraId="7CE80969">
            <w:pPr>
              <w:ind w:firstLine="0"/>
              <w:jc w:val="center"/>
              <w:rPr>
                <w:b/>
                <w:bCs/>
                <w:szCs w:val="28"/>
                <w:highlight w:val="none"/>
              </w:rPr>
            </w:pPr>
            <w:r>
              <w:rPr>
                <w:b/>
                <w:bCs/>
                <w:szCs w:val="28"/>
                <w:highlight w:val="none"/>
              </w:rPr>
              <w:t>0,001</w:t>
            </w:r>
          </w:p>
        </w:tc>
      </w:tr>
      <w:tr w14:paraId="2B3E5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6" w:type="dxa"/>
            <w:vAlign w:val="center"/>
          </w:tcPr>
          <w:p w14:paraId="74C89DD6">
            <w:pPr>
              <w:ind w:firstLine="0"/>
              <w:jc w:val="left"/>
              <w:rPr>
                <w:szCs w:val="28"/>
                <w:highlight w:val="none"/>
              </w:rPr>
            </w:pPr>
            <w:r>
              <w:rPr>
                <w:szCs w:val="28"/>
                <w:highlight w:val="none"/>
              </w:rPr>
              <w:t>Моноцити, %</w:t>
            </w:r>
          </w:p>
        </w:tc>
        <w:tc>
          <w:tcPr>
            <w:tcW w:w="2693" w:type="dxa"/>
            <w:vAlign w:val="center"/>
          </w:tcPr>
          <w:p w14:paraId="4644F894">
            <w:pPr>
              <w:ind w:firstLine="0"/>
              <w:jc w:val="center"/>
              <w:rPr>
                <w:szCs w:val="28"/>
                <w:highlight w:val="none"/>
              </w:rPr>
            </w:pPr>
            <w:r>
              <w:rPr>
                <w:szCs w:val="28"/>
                <w:highlight w:val="none"/>
              </w:rPr>
              <w:t>5,0 [4,0; 7,0]</w:t>
            </w:r>
          </w:p>
        </w:tc>
        <w:tc>
          <w:tcPr>
            <w:tcW w:w="3099" w:type="dxa"/>
            <w:vAlign w:val="center"/>
          </w:tcPr>
          <w:p w14:paraId="54CA416C">
            <w:pPr>
              <w:ind w:firstLine="0"/>
              <w:jc w:val="center"/>
              <w:rPr>
                <w:szCs w:val="28"/>
                <w:highlight w:val="none"/>
              </w:rPr>
            </w:pPr>
            <w:r>
              <w:rPr>
                <w:szCs w:val="28"/>
                <w:highlight w:val="none"/>
              </w:rPr>
              <w:t>6,0 [3,0; 8,0]</w:t>
            </w:r>
          </w:p>
        </w:tc>
        <w:tc>
          <w:tcPr>
            <w:tcW w:w="1006" w:type="dxa"/>
            <w:vAlign w:val="center"/>
          </w:tcPr>
          <w:p w14:paraId="0E984BF4">
            <w:pPr>
              <w:ind w:firstLine="0"/>
              <w:jc w:val="center"/>
              <w:rPr>
                <w:szCs w:val="28"/>
                <w:highlight w:val="none"/>
              </w:rPr>
            </w:pPr>
            <w:r>
              <w:rPr>
                <w:szCs w:val="28"/>
                <w:highlight w:val="none"/>
              </w:rPr>
              <w:t>0,715</w:t>
            </w:r>
          </w:p>
        </w:tc>
      </w:tr>
    </w:tbl>
    <w:p w14:paraId="056F8531">
      <w:pPr>
        <w:rPr>
          <w:szCs w:val="28"/>
          <w:highlight w:val="none"/>
        </w:rPr>
      </w:pPr>
    </w:p>
    <w:p w14:paraId="52938FA7">
      <w:pPr>
        <w:rPr>
          <w:szCs w:val="28"/>
          <w:highlight w:val="none"/>
        </w:rPr>
      </w:pPr>
      <w:r>
        <w:rPr>
          <w:szCs w:val="28"/>
          <w:highlight w:val="none"/>
        </w:rPr>
        <w:t>Так, рівні еритроцитів, гемоглобіну, гематокрит достовірно не відрізнялися між контролем та основною групою на етапі після проведеного лікування. Медіанні значення MCV, MCH та MCHC були також майже однакові в досліджених групах та достовірно не відрізнялися (табл. 4.1).</w:t>
      </w:r>
    </w:p>
    <w:p w14:paraId="545C0F45">
      <w:pPr>
        <w:rPr>
          <w:szCs w:val="28"/>
          <w:highlight w:val="none"/>
        </w:rPr>
      </w:pPr>
      <w:r>
        <w:rPr>
          <w:szCs w:val="28"/>
          <w:highlight w:val="none"/>
        </w:rPr>
        <w:t>Варто зазначити, що було визначено достовірне переважання медіанних рівнів тромбоцитів в групі контролю, ніж в основній групі дослідження: відповідно 275,0 [248,0; 294,0] на 10</w:t>
      </w:r>
      <w:r>
        <w:rPr>
          <w:szCs w:val="28"/>
          <w:highlight w:val="none"/>
          <w:vertAlign w:val="superscript"/>
        </w:rPr>
        <w:t>9</w:t>
      </w:r>
      <w:r>
        <w:rPr>
          <w:szCs w:val="28"/>
          <w:highlight w:val="none"/>
        </w:rPr>
        <w:t>/л та 244,0 [206,0; 271,0] на 10</w:t>
      </w:r>
      <w:r>
        <w:rPr>
          <w:szCs w:val="28"/>
          <w:highlight w:val="none"/>
          <w:vertAlign w:val="superscript"/>
        </w:rPr>
        <w:t>9</w:t>
      </w:r>
      <w:r>
        <w:rPr>
          <w:szCs w:val="28"/>
          <w:highlight w:val="none"/>
        </w:rPr>
        <w:t>/л (р=0,004). При цьому тромбокрит недостовірно превалював у групі контролю (табл. 4.1).</w:t>
      </w:r>
    </w:p>
    <w:p w14:paraId="6C88A840">
      <w:pPr>
        <w:rPr>
          <w:szCs w:val="28"/>
          <w:highlight w:val="none"/>
        </w:rPr>
      </w:pPr>
      <w:r>
        <w:rPr>
          <w:szCs w:val="28"/>
          <w:highlight w:val="none"/>
        </w:rPr>
        <w:t xml:space="preserve">Дещо вище була медіана ШОЕ у пацієнтів основної групи дослідження, порівняно з групою контролю: відповідно 4,0 [2,0; 9,0] мм/год та 3,0 [1,0; 5,0] мм/год, р=0,070. Незначно переважав медіанний рівень лейкоцитів в групі контролю, ніж основній, але відмінність не була достовірною (р=0,675). </w:t>
      </w:r>
    </w:p>
    <w:p w14:paraId="02EACC58">
      <w:pPr>
        <w:rPr>
          <w:szCs w:val="28"/>
          <w:highlight w:val="none"/>
        </w:rPr>
      </w:pPr>
      <w:r>
        <w:rPr>
          <w:szCs w:val="28"/>
          <w:highlight w:val="none"/>
        </w:rPr>
        <w:t>Варто наголосити, що рівні п/я нейтрофілів були достовірно нижчими в основній групі, ніж в контролі та становили: відповідно 3,0 [2,0; 5,0] % та 7,0 [4,0; 8,0] %, р=0,001. Подібна динаміка спостерігалася й відносно рівню с/я нейтрофілів: відповідно 77,0 [73,0; 81,0] % та 64,0 [51,0; 76,0], р=0,001. В той же час майже в 3,5 рази переважала медіана рівню лімфоцитів у пацієнтів основної групи, ніж в контролі: відповідно 30,0 [10,0; 38,0] % та 9,0 [6,0; 11,0] %, р=0,001 (табл. 4.1).</w:t>
      </w:r>
    </w:p>
    <w:p w14:paraId="3ED62FDA">
      <w:pPr>
        <w:rPr>
          <w:szCs w:val="28"/>
          <w:highlight w:val="none"/>
        </w:rPr>
      </w:pPr>
    </w:p>
    <w:p w14:paraId="6B9D8265">
      <w:pPr>
        <w:jc w:val="right"/>
        <w:rPr>
          <w:i/>
          <w:iCs/>
          <w:szCs w:val="28"/>
          <w:highlight w:val="none"/>
        </w:rPr>
      </w:pPr>
      <w:r>
        <w:rPr>
          <w:i/>
          <w:iCs/>
          <w:szCs w:val="28"/>
          <w:highlight w:val="none"/>
        </w:rPr>
        <w:t>Таблиця 4.2</w:t>
      </w:r>
    </w:p>
    <w:p w14:paraId="695B9B9C">
      <w:pPr>
        <w:rPr>
          <w:b/>
          <w:bCs/>
          <w:szCs w:val="28"/>
          <w:highlight w:val="none"/>
        </w:rPr>
      </w:pPr>
      <w:r>
        <w:rPr>
          <w:b/>
          <w:bCs/>
          <w:szCs w:val="28"/>
          <w:highlight w:val="none"/>
        </w:rPr>
        <w:t>Показники біохімічного аналізу крові обстежених пацієнтів після лікування, Me [Lq; Uq]</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770"/>
        <w:gridCol w:w="2301"/>
        <w:gridCol w:w="2301"/>
        <w:gridCol w:w="972"/>
      </w:tblGrid>
      <w:tr w14:paraId="709A4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70" w:type="dxa"/>
            <w:vAlign w:val="center"/>
          </w:tcPr>
          <w:p w14:paraId="39A96492">
            <w:pPr>
              <w:ind w:firstLine="0"/>
              <w:jc w:val="left"/>
              <w:rPr>
                <w:b/>
                <w:bCs/>
                <w:szCs w:val="28"/>
                <w:highlight w:val="none"/>
              </w:rPr>
            </w:pPr>
            <w:r>
              <w:rPr>
                <w:b/>
                <w:bCs/>
                <w:szCs w:val="28"/>
                <w:highlight w:val="none"/>
              </w:rPr>
              <w:t>Показник</w:t>
            </w:r>
          </w:p>
        </w:tc>
        <w:tc>
          <w:tcPr>
            <w:tcW w:w="2301" w:type="dxa"/>
            <w:vAlign w:val="center"/>
          </w:tcPr>
          <w:p w14:paraId="1E2126A6">
            <w:pPr>
              <w:ind w:firstLine="0"/>
              <w:jc w:val="center"/>
              <w:rPr>
                <w:b/>
                <w:bCs/>
                <w:szCs w:val="28"/>
                <w:highlight w:val="none"/>
              </w:rPr>
            </w:pPr>
            <w:r>
              <w:rPr>
                <w:b/>
                <w:bCs/>
                <w:szCs w:val="28"/>
                <w:highlight w:val="none"/>
              </w:rPr>
              <w:t>Контроль (n=31)</w:t>
            </w:r>
          </w:p>
        </w:tc>
        <w:tc>
          <w:tcPr>
            <w:tcW w:w="2301" w:type="dxa"/>
            <w:vAlign w:val="center"/>
          </w:tcPr>
          <w:p w14:paraId="00E89B9A">
            <w:pPr>
              <w:ind w:firstLine="0"/>
              <w:jc w:val="center"/>
              <w:rPr>
                <w:b/>
                <w:bCs/>
                <w:szCs w:val="28"/>
                <w:highlight w:val="none"/>
              </w:rPr>
            </w:pPr>
            <w:r>
              <w:rPr>
                <w:b/>
                <w:bCs/>
                <w:szCs w:val="28"/>
                <w:highlight w:val="none"/>
              </w:rPr>
              <w:t>Основна група (n=47)</w:t>
            </w:r>
          </w:p>
        </w:tc>
        <w:tc>
          <w:tcPr>
            <w:tcW w:w="972" w:type="dxa"/>
            <w:vAlign w:val="center"/>
          </w:tcPr>
          <w:p w14:paraId="5CA454FA">
            <w:pPr>
              <w:ind w:firstLine="0"/>
              <w:jc w:val="center"/>
              <w:rPr>
                <w:b/>
                <w:bCs/>
                <w:szCs w:val="28"/>
                <w:highlight w:val="none"/>
              </w:rPr>
            </w:pPr>
            <w:r>
              <w:rPr>
                <w:b/>
                <w:bCs/>
                <w:szCs w:val="28"/>
                <w:highlight w:val="none"/>
              </w:rPr>
              <w:t>p</w:t>
            </w:r>
          </w:p>
        </w:tc>
      </w:tr>
      <w:tr w14:paraId="003C26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70" w:type="dxa"/>
            <w:vAlign w:val="center"/>
          </w:tcPr>
          <w:p w14:paraId="326A4B80">
            <w:pPr>
              <w:ind w:firstLine="0"/>
              <w:jc w:val="left"/>
              <w:rPr>
                <w:szCs w:val="28"/>
                <w:highlight w:val="none"/>
              </w:rPr>
            </w:pPr>
            <w:r>
              <w:rPr>
                <w:szCs w:val="28"/>
                <w:highlight w:val="none"/>
              </w:rPr>
              <w:t>АЛТ, Од/л</w:t>
            </w:r>
          </w:p>
        </w:tc>
        <w:tc>
          <w:tcPr>
            <w:tcW w:w="2301" w:type="dxa"/>
            <w:vAlign w:val="center"/>
          </w:tcPr>
          <w:p w14:paraId="018403B0">
            <w:pPr>
              <w:ind w:firstLine="0"/>
              <w:jc w:val="center"/>
              <w:rPr>
                <w:szCs w:val="28"/>
                <w:highlight w:val="none"/>
              </w:rPr>
            </w:pPr>
            <w:r>
              <w:rPr>
                <w:szCs w:val="28"/>
                <w:highlight w:val="none"/>
              </w:rPr>
              <w:t>36,0 [32,0; 39,0]</w:t>
            </w:r>
          </w:p>
        </w:tc>
        <w:tc>
          <w:tcPr>
            <w:tcW w:w="2301" w:type="dxa"/>
            <w:vAlign w:val="center"/>
          </w:tcPr>
          <w:p w14:paraId="6D6B2FFF">
            <w:pPr>
              <w:ind w:firstLine="0"/>
              <w:jc w:val="center"/>
              <w:rPr>
                <w:szCs w:val="28"/>
                <w:highlight w:val="none"/>
              </w:rPr>
            </w:pPr>
            <w:r>
              <w:rPr>
                <w:szCs w:val="28"/>
                <w:highlight w:val="none"/>
              </w:rPr>
              <w:t>31,0 [16,1; 40,0]</w:t>
            </w:r>
          </w:p>
        </w:tc>
        <w:tc>
          <w:tcPr>
            <w:tcW w:w="972" w:type="dxa"/>
            <w:vAlign w:val="center"/>
          </w:tcPr>
          <w:p w14:paraId="2CE59CB6">
            <w:pPr>
              <w:ind w:firstLine="0"/>
              <w:jc w:val="center"/>
              <w:rPr>
                <w:b/>
                <w:bCs/>
                <w:szCs w:val="28"/>
                <w:highlight w:val="none"/>
              </w:rPr>
            </w:pPr>
            <w:r>
              <w:rPr>
                <w:b/>
                <w:bCs/>
                <w:szCs w:val="28"/>
                <w:highlight w:val="none"/>
              </w:rPr>
              <w:t>0,025</w:t>
            </w:r>
          </w:p>
        </w:tc>
      </w:tr>
      <w:tr w14:paraId="6975F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70" w:type="dxa"/>
            <w:vAlign w:val="center"/>
          </w:tcPr>
          <w:p w14:paraId="032EF118">
            <w:pPr>
              <w:ind w:firstLine="0"/>
              <w:jc w:val="left"/>
              <w:rPr>
                <w:szCs w:val="28"/>
                <w:highlight w:val="none"/>
              </w:rPr>
            </w:pPr>
            <w:r>
              <w:rPr>
                <w:szCs w:val="28"/>
                <w:highlight w:val="none"/>
              </w:rPr>
              <w:t>АСТ, Од/л</w:t>
            </w:r>
          </w:p>
        </w:tc>
        <w:tc>
          <w:tcPr>
            <w:tcW w:w="2301" w:type="dxa"/>
            <w:vAlign w:val="center"/>
          </w:tcPr>
          <w:p w14:paraId="6E4D0B72">
            <w:pPr>
              <w:ind w:firstLine="0"/>
              <w:jc w:val="center"/>
              <w:rPr>
                <w:szCs w:val="28"/>
                <w:highlight w:val="none"/>
              </w:rPr>
            </w:pPr>
            <w:r>
              <w:rPr>
                <w:szCs w:val="28"/>
                <w:highlight w:val="none"/>
              </w:rPr>
              <w:t>36,0 [33,0; 38,0]</w:t>
            </w:r>
          </w:p>
        </w:tc>
        <w:tc>
          <w:tcPr>
            <w:tcW w:w="2301" w:type="dxa"/>
            <w:vAlign w:val="center"/>
          </w:tcPr>
          <w:p w14:paraId="1F805C23">
            <w:pPr>
              <w:ind w:firstLine="0"/>
              <w:jc w:val="center"/>
              <w:rPr>
                <w:szCs w:val="28"/>
                <w:highlight w:val="none"/>
              </w:rPr>
            </w:pPr>
            <w:r>
              <w:rPr>
                <w:szCs w:val="28"/>
                <w:highlight w:val="none"/>
              </w:rPr>
              <w:t>33,0 [17,7; 36,0]</w:t>
            </w:r>
          </w:p>
        </w:tc>
        <w:tc>
          <w:tcPr>
            <w:tcW w:w="972" w:type="dxa"/>
            <w:vAlign w:val="center"/>
          </w:tcPr>
          <w:p w14:paraId="1C40122B">
            <w:pPr>
              <w:ind w:firstLine="0"/>
              <w:jc w:val="center"/>
              <w:rPr>
                <w:b/>
                <w:bCs/>
                <w:szCs w:val="28"/>
                <w:highlight w:val="none"/>
              </w:rPr>
            </w:pPr>
            <w:r>
              <w:rPr>
                <w:b/>
                <w:bCs/>
                <w:szCs w:val="28"/>
                <w:highlight w:val="none"/>
              </w:rPr>
              <w:t>0,003</w:t>
            </w:r>
          </w:p>
        </w:tc>
      </w:tr>
      <w:tr w14:paraId="77579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70" w:type="dxa"/>
            <w:vAlign w:val="center"/>
          </w:tcPr>
          <w:p w14:paraId="5E846C51">
            <w:pPr>
              <w:ind w:firstLine="0"/>
              <w:jc w:val="left"/>
              <w:rPr>
                <w:szCs w:val="28"/>
                <w:highlight w:val="none"/>
              </w:rPr>
            </w:pPr>
            <w:r>
              <w:rPr>
                <w:szCs w:val="28"/>
                <w:highlight w:val="none"/>
              </w:rPr>
              <w:t>ГГТ, Од/л</w:t>
            </w:r>
          </w:p>
        </w:tc>
        <w:tc>
          <w:tcPr>
            <w:tcW w:w="2301" w:type="dxa"/>
            <w:vAlign w:val="center"/>
          </w:tcPr>
          <w:p w14:paraId="51BD0EC0">
            <w:pPr>
              <w:ind w:firstLine="0"/>
              <w:jc w:val="center"/>
              <w:rPr>
                <w:szCs w:val="28"/>
                <w:highlight w:val="none"/>
              </w:rPr>
            </w:pPr>
            <w:r>
              <w:rPr>
                <w:szCs w:val="28"/>
                <w:highlight w:val="none"/>
              </w:rPr>
              <w:t>25,0 [23,0; 39,0]</w:t>
            </w:r>
          </w:p>
        </w:tc>
        <w:tc>
          <w:tcPr>
            <w:tcW w:w="2301" w:type="dxa"/>
            <w:vAlign w:val="center"/>
          </w:tcPr>
          <w:p w14:paraId="264D8D22">
            <w:pPr>
              <w:ind w:firstLine="0"/>
              <w:jc w:val="center"/>
              <w:rPr>
                <w:szCs w:val="28"/>
                <w:highlight w:val="none"/>
              </w:rPr>
            </w:pPr>
            <w:r>
              <w:rPr>
                <w:szCs w:val="28"/>
                <w:highlight w:val="none"/>
              </w:rPr>
              <w:t>25,0 [18,3; 36,0]</w:t>
            </w:r>
          </w:p>
        </w:tc>
        <w:tc>
          <w:tcPr>
            <w:tcW w:w="972" w:type="dxa"/>
            <w:vAlign w:val="center"/>
          </w:tcPr>
          <w:p w14:paraId="6CEE3A0A">
            <w:pPr>
              <w:ind w:firstLine="0"/>
              <w:jc w:val="center"/>
              <w:rPr>
                <w:szCs w:val="28"/>
                <w:highlight w:val="none"/>
              </w:rPr>
            </w:pPr>
            <w:r>
              <w:rPr>
                <w:szCs w:val="28"/>
                <w:highlight w:val="none"/>
              </w:rPr>
              <w:t>0,347</w:t>
            </w:r>
          </w:p>
        </w:tc>
      </w:tr>
      <w:tr w14:paraId="126DF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70" w:type="dxa"/>
            <w:vAlign w:val="center"/>
          </w:tcPr>
          <w:p w14:paraId="35043420">
            <w:pPr>
              <w:ind w:firstLine="0"/>
              <w:jc w:val="left"/>
              <w:rPr>
                <w:szCs w:val="28"/>
                <w:highlight w:val="none"/>
              </w:rPr>
            </w:pPr>
            <w:r>
              <w:rPr>
                <w:szCs w:val="28"/>
                <w:highlight w:val="none"/>
              </w:rPr>
              <w:t>ЛФ, Од/л</w:t>
            </w:r>
          </w:p>
        </w:tc>
        <w:tc>
          <w:tcPr>
            <w:tcW w:w="2301" w:type="dxa"/>
            <w:vAlign w:val="center"/>
          </w:tcPr>
          <w:p w14:paraId="737F63E7">
            <w:pPr>
              <w:ind w:firstLine="0"/>
              <w:jc w:val="center"/>
              <w:rPr>
                <w:szCs w:val="28"/>
                <w:highlight w:val="none"/>
              </w:rPr>
            </w:pPr>
            <w:r>
              <w:rPr>
                <w:szCs w:val="28"/>
                <w:highlight w:val="none"/>
              </w:rPr>
              <w:t>103,3 [93,2; 115,3]</w:t>
            </w:r>
          </w:p>
        </w:tc>
        <w:tc>
          <w:tcPr>
            <w:tcW w:w="2301" w:type="dxa"/>
            <w:vAlign w:val="center"/>
          </w:tcPr>
          <w:p w14:paraId="273F86CE">
            <w:pPr>
              <w:ind w:firstLine="0"/>
              <w:jc w:val="center"/>
              <w:rPr>
                <w:szCs w:val="28"/>
                <w:highlight w:val="none"/>
              </w:rPr>
            </w:pPr>
            <w:r>
              <w:rPr>
                <w:szCs w:val="28"/>
                <w:highlight w:val="none"/>
              </w:rPr>
              <w:t>94,9 [84,0; 112,2]</w:t>
            </w:r>
          </w:p>
        </w:tc>
        <w:tc>
          <w:tcPr>
            <w:tcW w:w="972" w:type="dxa"/>
            <w:vAlign w:val="center"/>
          </w:tcPr>
          <w:p w14:paraId="468835B1">
            <w:pPr>
              <w:ind w:firstLine="0"/>
              <w:jc w:val="center"/>
              <w:rPr>
                <w:szCs w:val="28"/>
                <w:highlight w:val="none"/>
              </w:rPr>
            </w:pPr>
            <w:r>
              <w:rPr>
                <w:szCs w:val="28"/>
                <w:highlight w:val="none"/>
              </w:rPr>
              <w:t>0,261</w:t>
            </w:r>
          </w:p>
        </w:tc>
      </w:tr>
      <w:tr w14:paraId="466E3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70" w:type="dxa"/>
            <w:vAlign w:val="center"/>
          </w:tcPr>
          <w:p w14:paraId="37F15251">
            <w:pPr>
              <w:ind w:firstLine="0"/>
              <w:jc w:val="left"/>
              <w:rPr>
                <w:szCs w:val="28"/>
                <w:highlight w:val="none"/>
              </w:rPr>
            </w:pPr>
            <w:r>
              <w:rPr>
                <w:szCs w:val="28"/>
                <w:highlight w:val="none"/>
              </w:rPr>
              <w:t>Білірубін загальний, ммоль/л</w:t>
            </w:r>
          </w:p>
        </w:tc>
        <w:tc>
          <w:tcPr>
            <w:tcW w:w="2301" w:type="dxa"/>
            <w:vAlign w:val="center"/>
          </w:tcPr>
          <w:p w14:paraId="16968FBA">
            <w:pPr>
              <w:ind w:firstLine="0"/>
              <w:jc w:val="center"/>
              <w:rPr>
                <w:szCs w:val="28"/>
                <w:highlight w:val="none"/>
              </w:rPr>
            </w:pPr>
            <w:r>
              <w:rPr>
                <w:szCs w:val="28"/>
                <w:highlight w:val="none"/>
              </w:rPr>
              <w:t>12,65 [11,10; 15,27]</w:t>
            </w:r>
          </w:p>
        </w:tc>
        <w:tc>
          <w:tcPr>
            <w:tcW w:w="2301" w:type="dxa"/>
            <w:vAlign w:val="center"/>
          </w:tcPr>
          <w:p w14:paraId="5841825C">
            <w:pPr>
              <w:ind w:firstLine="0"/>
              <w:jc w:val="center"/>
              <w:rPr>
                <w:szCs w:val="28"/>
                <w:highlight w:val="none"/>
              </w:rPr>
            </w:pPr>
            <w:r>
              <w:rPr>
                <w:szCs w:val="28"/>
                <w:highlight w:val="none"/>
              </w:rPr>
              <w:t>12,44 [9,99; 15,73]</w:t>
            </w:r>
          </w:p>
        </w:tc>
        <w:tc>
          <w:tcPr>
            <w:tcW w:w="972" w:type="dxa"/>
            <w:vAlign w:val="center"/>
          </w:tcPr>
          <w:p w14:paraId="606B47FD">
            <w:pPr>
              <w:ind w:firstLine="0"/>
              <w:jc w:val="center"/>
              <w:rPr>
                <w:szCs w:val="28"/>
                <w:highlight w:val="none"/>
              </w:rPr>
            </w:pPr>
            <w:r>
              <w:rPr>
                <w:szCs w:val="28"/>
                <w:highlight w:val="none"/>
              </w:rPr>
              <w:t>0,388</w:t>
            </w:r>
          </w:p>
        </w:tc>
      </w:tr>
      <w:tr w14:paraId="21188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70" w:type="dxa"/>
            <w:vAlign w:val="center"/>
          </w:tcPr>
          <w:p w14:paraId="13A116F5">
            <w:pPr>
              <w:ind w:firstLine="0"/>
              <w:jc w:val="left"/>
              <w:rPr>
                <w:szCs w:val="28"/>
                <w:highlight w:val="none"/>
              </w:rPr>
            </w:pPr>
            <w:r>
              <w:rPr>
                <w:szCs w:val="28"/>
                <w:highlight w:val="none"/>
              </w:rPr>
              <w:t>Білірубін прямий, ммоль/л</w:t>
            </w:r>
          </w:p>
        </w:tc>
        <w:tc>
          <w:tcPr>
            <w:tcW w:w="2301" w:type="dxa"/>
            <w:vAlign w:val="center"/>
          </w:tcPr>
          <w:p w14:paraId="6409C1F5">
            <w:pPr>
              <w:ind w:firstLine="0"/>
              <w:jc w:val="center"/>
              <w:rPr>
                <w:szCs w:val="28"/>
                <w:highlight w:val="none"/>
              </w:rPr>
            </w:pPr>
            <w:r>
              <w:rPr>
                <w:szCs w:val="28"/>
                <w:highlight w:val="none"/>
              </w:rPr>
              <w:t>3,02 [2,06; 3,45]</w:t>
            </w:r>
          </w:p>
        </w:tc>
        <w:tc>
          <w:tcPr>
            <w:tcW w:w="2301" w:type="dxa"/>
            <w:vAlign w:val="center"/>
          </w:tcPr>
          <w:p w14:paraId="4CE55F0E">
            <w:pPr>
              <w:ind w:firstLine="0"/>
              <w:jc w:val="center"/>
              <w:rPr>
                <w:szCs w:val="28"/>
                <w:highlight w:val="none"/>
              </w:rPr>
            </w:pPr>
            <w:r>
              <w:rPr>
                <w:szCs w:val="28"/>
                <w:highlight w:val="none"/>
              </w:rPr>
              <w:t>3,31 [2,52; 4,34]</w:t>
            </w:r>
          </w:p>
        </w:tc>
        <w:tc>
          <w:tcPr>
            <w:tcW w:w="972" w:type="dxa"/>
            <w:vAlign w:val="center"/>
          </w:tcPr>
          <w:p w14:paraId="6A1FA804">
            <w:pPr>
              <w:ind w:firstLine="0"/>
              <w:jc w:val="center"/>
              <w:rPr>
                <w:szCs w:val="28"/>
                <w:highlight w:val="none"/>
              </w:rPr>
            </w:pPr>
            <w:r>
              <w:rPr>
                <w:szCs w:val="28"/>
                <w:highlight w:val="none"/>
              </w:rPr>
              <w:t>0,098</w:t>
            </w:r>
          </w:p>
        </w:tc>
      </w:tr>
      <w:tr w14:paraId="16CFD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70" w:type="dxa"/>
            <w:vAlign w:val="center"/>
          </w:tcPr>
          <w:p w14:paraId="56C723DF">
            <w:pPr>
              <w:ind w:firstLine="0"/>
              <w:jc w:val="left"/>
              <w:rPr>
                <w:szCs w:val="28"/>
                <w:highlight w:val="none"/>
              </w:rPr>
            </w:pPr>
            <w:r>
              <w:rPr>
                <w:szCs w:val="28"/>
                <w:highlight w:val="none"/>
              </w:rPr>
              <w:t>Білірубін непрямий, ммоль/л</w:t>
            </w:r>
          </w:p>
        </w:tc>
        <w:tc>
          <w:tcPr>
            <w:tcW w:w="2301" w:type="dxa"/>
            <w:vAlign w:val="center"/>
          </w:tcPr>
          <w:p w14:paraId="1A09A81B">
            <w:pPr>
              <w:ind w:firstLine="0"/>
              <w:jc w:val="center"/>
              <w:rPr>
                <w:szCs w:val="28"/>
                <w:highlight w:val="none"/>
              </w:rPr>
            </w:pPr>
            <w:r>
              <w:rPr>
                <w:szCs w:val="28"/>
                <w:highlight w:val="none"/>
              </w:rPr>
              <w:t>10,21 [7,66; 12,95]</w:t>
            </w:r>
          </w:p>
        </w:tc>
        <w:tc>
          <w:tcPr>
            <w:tcW w:w="2301" w:type="dxa"/>
            <w:vAlign w:val="center"/>
          </w:tcPr>
          <w:p w14:paraId="105DBB25">
            <w:pPr>
              <w:ind w:firstLine="0"/>
              <w:jc w:val="center"/>
              <w:rPr>
                <w:szCs w:val="28"/>
                <w:highlight w:val="none"/>
              </w:rPr>
            </w:pPr>
            <w:r>
              <w:rPr>
                <w:szCs w:val="28"/>
                <w:highlight w:val="none"/>
              </w:rPr>
              <w:t>9,5 [6,54; 11,38]</w:t>
            </w:r>
          </w:p>
        </w:tc>
        <w:tc>
          <w:tcPr>
            <w:tcW w:w="972" w:type="dxa"/>
            <w:vAlign w:val="center"/>
          </w:tcPr>
          <w:p w14:paraId="0CCAAE1D">
            <w:pPr>
              <w:ind w:firstLine="0"/>
              <w:jc w:val="center"/>
              <w:rPr>
                <w:szCs w:val="28"/>
                <w:highlight w:val="none"/>
              </w:rPr>
            </w:pPr>
            <w:r>
              <w:rPr>
                <w:szCs w:val="28"/>
                <w:highlight w:val="none"/>
              </w:rPr>
              <w:t>0,095</w:t>
            </w:r>
          </w:p>
        </w:tc>
      </w:tr>
      <w:tr w14:paraId="1A3E3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70" w:type="dxa"/>
            <w:vAlign w:val="center"/>
          </w:tcPr>
          <w:p w14:paraId="6B8E0C3A">
            <w:pPr>
              <w:ind w:firstLine="0"/>
              <w:jc w:val="left"/>
              <w:rPr>
                <w:szCs w:val="28"/>
                <w:highlight w:val="none"/>
              </w:rPr>
            </w:pPr>
            <w:r>
              <w:rPr>
                <w:szCs w:val="28"/>
                <w:highlight w:val="none"/>
              </w:rPr>
              <w:t>Тимолова проба, Од SH</w:t>
            </w:r>
          </w:p>
        </w:tc>
        <w:tc>
          <w:tcPr>
            <w:tcW w:w="2301" w:type="dxa"/>
            <w:vAlign w:val="center"/>
          </w:tcPr>
          <w:p w14:paraId="37C8702C">
            <w:pPr>
              <w:ind w:firstLine="0"/>
              <w:jc w:val="center"/>
              <w:rPr>
                <w:szCs w:val="28"/>
                <w:highlight w:val="none"/>
              </w:rPr>
            </w:pPr>
            <w:r>
              <w:rPr>
                <w:szCs w:val="28"/>
                <w:highlight w:val="none"/>
              </w:rPr>
              <w:t>1,6 [1,2; 1,7]</w:t>
            </w:r>
          </w:p>
        </w:tc>
        <w:tc>
          <w:tcPr>
            <w:tcW w:w="2301" w:type="dxa"/>
            <w:vAlign w:val="center"/>
          </w:tcPr>
          <w:p w14:paraId="5577FB3F">
            <w:pPr>
              <w:ind w:firstLine="0"/>
              <w:jc w:val="center"/>
              <w:rPr>
                <w:szCs w:val="28"/>
                <w:highlight w:val="none"/>
              </w:rPr>
            </w:pPr>
            <w:r>
              <w:rPr>
                <w:szCs w:val="28"/>
                <w:highlight w:val="none"/>
              </w:rPr>
              <w:t>1,6 [1,4; 1,9]</w:t>
            </w:r>
          </w:p>
        </w:tc>
        <w:tc>
          <w:tcPr>
            <w:tcW w:w="972" w:type="dxa"/>
            <w:vAlign w:val="center"/>
          </w:tcPr>
          <w:p w14:paraId="6926911C">
            <w:pPr>
              <w:ind w:firstLine="0"/>
              <w:jc w:val="center"/>
              <w:rPr>
                <w:szCs w:val="28"/>
                <w:highlight w:val="none"/>
              </w:rPr>
            </w:pPr>
            <w:r>
              <w:rPr>
                <w:szCs w:val="28"/>
                <w:highlight w:val="none"/>
              </w:rPr>
              <w:t>0,114</w:t>
            </w:r>
          </w:p>
        </w:tc>
      </w:tr>
      <w:tr w14:paraId="657F4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70" w:type="dxa"/>
            <w:vAlign w:val="center"/>
          </w:tcPr>
          <w:p w14:paraId="79AB2859">
            <w:pPr>
              <w:ind w:firstLine="0"/>
              <w:jc w:val="left"/>
              <w:rPr>
                <w:szCs w:val="28"/>
                <w:highlight w:val="none"/>
              </w:rPr>
            </w:pPr>
            <w:r>
              <w:rPr>
                <w:szCs w:val="28"/>
                <w:highlight w:val="none"/>
              </w:rPr>
              <w:t>Альбумін, г/л</w:t>
            </w:r>
          </w:p>
        </w:tc>
        <w:tc>
          <w:tcPr>
            <w:tcW w:w="2301" w:type="dxa"/>
            <w:vAlign w:val="center"/>
          </w:tcPr>
          <w:p w14:paraId="1A28CE46">
            <w:pPr>
              <w:ind w:firstLine="0"/>
              <w:jc w:val="center"/>
              <w:rPr>
                <w:szCs w:val="28"/>
                <w:highlight w:val="none"/>
              </w:rPr>
            </w:pPr>
            <w:r>
              <w:rPr>
                <w:szCs w:val="28"/>
                <w:highlight w:val="none"/>
              </w:rPr>
              <w:t>73,3 [67,9; 76,8]</w:t>
            </w:r>
          </w:p>
        </w:tc>
        <w:tc>
          <w:tcPr>
            <w:tcW w:w="2301" w:type="dxa"/>
            <w:vAlign w:val="center"/>
          </w:tcPr>
          <w:p w14:paraId="0CEEC883">
            <w:pPr>
              <w:ind w:firstLine="0"/>
              <w:jc w:val="center"/>
              <w:rPr>
                <w:szCs w:val="28"/>
                <w:highlight w:val="none"/>
              </w:rPr>
            </w:pPr>
            <w:r>
              <w:rPr>
                <w:szCs w:val="28"/>
                <w:highlight w:val="none"/>
              </w:rPr>
              <w:t>69,1 [48,17; 76,0]</w:t>
            </w:r>
          </w:p>
        </w:tc>
        <w:tc>
          <w:tcPr>
            <w:tcW w:w="972" w:type="dxa"/>
            <w:vAlign w:val="center"/>
          </w:tcPr>
          <w:p w14:paraId="66A398A0">
            <w:pPr>
              <w:ind w:firstLine="0"/>
              <w:jc w:val="center"/>
              <w:rPr>
                <w:szCs w:val="28"/>
                <w:highlight w:val="none"/>
              </w:rPr>
            </w:pPr>
            <w:r>
              <w:rPr>
                <w:szCs w:val="28"/>
                <w:highlight w:val="none"/>
              </w:rPr>
              <w:t>0,533</w:t>
            </w:r>
          </w:p>
        </w:tc>
      </w:tr>
      <w:tr w14:paraId="6B6C1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70" w:type="dxa"/>
            <w:vAlign w:val="center"/>
          </w:tcPr>
          <w:p w14:paraId="28CA1343">
            <w:pPr>
              <w:ind w:firstLine="0"/>
              <w:jc w:val="left"/>
              <w:rPr>
                <w:szCs w:val="28"/>
                <w:highlight w:val="none"/>
              </w:rPr>
            </w:pPr>
            <w:r>
              <w:rPr>
                <w:szCs w:val="28"/>
                <w:highlight w:val="none"/>
              </w:rPr>
              <w:t>Білок загальний, г/л</w:t>
            </w:r>
          </w:p>
        </w:tc>
        <w:tc>
          <w:tcPr>
            <w:tcW w:w="2301" w:type="dxa"/>
            <w:vAlign w:val="center"/>
          </w:tcPr>
          <w:p w14:paraId="75AC9A88">
            <w:pPr>
              <w:ind w:firstLine="0"/>
              <w:jc w:val="center"/>
              <w:rPr>
                <w:szCs w:val="28"/>
                <w:highlight w:val="none"/>
              </w:rPr>
            </w:pPr>
            <w:r>
              <w:rPr>
                <w:szCs w:val="28"/>
                <w:highlight w:val="none"/>
              </w:rPr>
              <w:t>49,5 [48,0; 54,0]</w:t>
            </w:r>
          </w:p>
        </w:tc>
        <w:tc>
          <w:tcPr>
            <w:tcW w:w="2301" w:type="dxa"/>
            <w:vAlign w:val="center"/>
          </w:tcPr>
          <w:p w14:paraId="04B85B29">
            <w:pPr>
              <w:ind w:firstLine="0"/>
              <w:jc w:val="center"/>
              <w:rPr>
                <w:szCs w:val="28"/>
                <w:highlight w:val="none"/>
              </w:rPr>
            </w:pPr>
            <w:r>
              <w:rPr>
                <w:szCs w:val="28"/>
                <w:highlight w:val="none"/>
              </w:rPr>
              <w:t>48,6 [42,8; 56,0]</w:t>
            </w:r>
          </w:p>
        </w:tc>
        <w:tc>
          <w:tcPr>
            <w:tcW w:w="972" w:type="dxa"/>
            <w:vAlign w:val="center"/>
          </w:tcPr>
          <w:p w14:paraId="3799A0DC">
            <w:pPr>
              <w:ind w:firstLine="0"/>
              <w:jc w:val="center"/>
              <w:rPr>
                <w:szCs w:val="28"/>
                <w:highlight w:val="none"/>
              </w:rPr>
            </w:pPr>
            <w:r>
              <w:rPr>
                <w:szCs w:val="28"/>
                <w:highlight w:val="none"/>
              </w:rPr>
              <w:t>0,162</w:t>
            </w:r>
          </w:p>
        </w:tc>
      </w:tr>
      <w:tr w14:paraId="36339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70" w:type="dxa"/>
            <w:vAlign w:val="center"/>
          </w:tcPr>
          <w:p w14:paraId="46657F74">
            <w:pPr>
              <w:ind w:firstLine="0"/>
              <w:jc w:val="left"/>
              <w:rPr>
                <w:szCs w:val="28"/>
                <w:highlight w:val="none"/>
              </w:rPr>
            </w:pPr>
            <w:r>
              <w:rPr>
                <w:szCs w:val="28"/>
                <w:highlight w:val="none"/>
              </w:rPr>
              <w:t>ХС, ммоль/л</w:t>
            </w:r>
          </w:p>
        </w:tc>
        <w:tc>
          <w:tcPr>
            <w:tcW w:w="2301" w:type="dxa"/>
            <w:vAlign w:val="center"/>
          </w:tcPr>
          <w:p w14:paraId="621469C3">
            <w:pPr>
              <w:ind w:firstLine="0"/>
              <w:jc w:val="center"/>
              <w:rPr>
                <w:szCs w:val="28"/>
                <w:highlight w:val="none"/>
              </w:rPr>
            </w:pPr>
            <w:r>
              <w:rPr>
                <w:szCs w:val="28"/>
                <w:highlight w:val="none"/>
              </w:rPr>
              <w:t>4,47 [3,29; 5,12]</w:t>
            </w:r>
          </w:p>
        </w:tc>
        <w:tc>
          <w:tcPr>
            <w:tcW w:w="2301" w:type="dxa"/>
            <w:vAlign w:val="center"/>
          </w:tcPr>
          <w:p w14:paraId="1426127D">
            <w:pPr>
              <w:ind w:firstLine="0"/>
              <w:jc w:val="center"/>
              <w:rPr>
                <w:szCs w:val="28"/>
                <w:highlight w:val="none"/>
              </w:rPr>
            </w:pPr>
            <w:r>
              <w:rPr>
                <w:szCs w:val="28"/>
                <w:highlight w:val="none"/>
              </w:rPr>
              <w:t>4,67 [3,31; 5,68]</w:t>
            </w:r>
          </w:p>
        </w:tc>
        <w:tc>
          <w:tcPr>
            <w:tcW w:w="972" w:type="dxa"/>
            <w:vAlign w:val="center"/>
          </w:tcPr>
          <w:p w14:paraId="4FB9B7C9">
            <w:pPr>
              <w:ind w:firstLine="0"/>
              <w:jc w:val="center"/>
              <w:rPr>
                <w:szCs w:val="28"/>
                <w:highlight w:val="none"/>
              </w:rPr>
            </w:pPr>
            <w:r>
              <w:rPr>
                <w:szCs w:val="28"/>
                <w:highlight w:val="none"/>
              </w:rPr>
              <w:t>0,128</w:t>
            </w:r>
          </w:p>
        </w:tc>
      </w:tr>
      <w:tr w14:paraId="12552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70" w:type="dxa"/>
            <w:vAlign w:val="center"/>
          </w:tcPr>
          <w:p w14:paraId="29E48A01">
            <w:pPr>
              <w:ind w:firstLine="0"/>
              <w:jc w:val="left"/>
              <w:rPr>
                <w:szCs w:val="28"/>
                <w:highlight w:val="none"/>
              </w:rPr>
            </w:pPr>
            <w:r>
              <w:rPr>
                <w:szCs w:val="28"/>
                <w:highlight w:val="none"/>
              </w:rPr>
              <w:t>ЛПВЩ, ммоль/л</w:t>
            </w:r>
          </w:p>
        </w:tc>
        <w:tc>
          <w:tcPr>
            <w:tcW w:w="2301" w:type="dxa"/>
            <w:vAlign w:val="center"/>
          </w:tcPr>
          <w:p w14:paraId="0D28AA26">
            <w:pPr>
              <w:ind w:firstLine="0"/>
              <w:jc w:val="center"/>
              <w:rPr>
                <w:szCs w:val="28"/>
                <w:highlight w:val="none"/>
              </w:rPr>
            </w:pPr>
            <w:r>
              <w:rPr>
                <w:szCs w:val="28"/>
                <w:highlight w:val="none"/>
              </w:rPr>
              <w:t>1,48 [1,19; 1,84]</w:t>
            </w:r>
          </w:p>
        </w:tc>
        <w:tc>
          <w:tcPr>
            <w:tcW w:w="2301" w:type="dxa"/>
            <w:vAlign w:val="center"/>
          </w:tcPr>
          <w:p w14:paraId="550C5325">
            <w:pPr>
              <w:ind w:firstLine="0"/>
              <w:jc w:val="center"/>
              <w:rPr>
                <w:szCs w:val="28"/>
                <w:highlight w:val="none"/>
              </w:rPr>
            </w:pPr>
            <w:r>
              <w:rPr>
                <w:szCs w:val="28"/>
                <w:highlight w:val="none"/>
              </w:rPr>
              <w:t>1,43 [1,19; 1,76]</w:t>
            </w:r>
          </w:p>
        </w:tc>
        <w:tc>
          <w:tcPr>
            <w:tcW w:w="972" w:type="dxa"/>
            <w:vAlign w:val="center"/>
          </w:tcPr>
          <w:p w14:paraId="369F5F3E">
            <w:pPr>
              <w:ind w:firstLine="0"/>
              <w:jc w:val="center"/>
              <w:rPr>
                <w:szCs w:val="28"/>
                <w:highlight w:val="none"/>
              </w:rPr>
            </w:pPr>
            <w:r>
              <w:rPr>
                <w:szCs w:val="28"/>
                <w:highlight w:val="none"/>
              </w:rPr>
              <w:t>0,456</w:t>
            </w:r>
          </w:p>
        </w:tc>
      </w:tr>
      <w:tr w14:paraId="7DF29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70" w:type="dxa"/>
            <w:vAlign w:val="center"/>
          </w:tcPr>
          <w:p w14:paraId="08C7552F">
            <w:pPr>
              <w:ind w:firstLine="0"/>
              <w:jc w:val="left"/>
              <w:rPr>
                <w:szCs w:val="28"/>
                <w:highlight w:val="none"/>
              </w:rPr>
            </w:pPr>
            <w:r>
              <w:rPr>
                <w:szCs w:val="28"/>
                <w:highlight w:val="none"/>
              </w:rPr>
              <w:t>ТГ, ммоль/л</w:t>
            </w:r>
          </w:p>
        </w:tc>
        <w:tc>
          <w:tcPr>
            <w:tcW w:w="2301" w:type="dxa"/>
            <w:vAlign w:val="center"/>
          </w:tcPr>
          <w:p w14:paraId="2986B1FE">
            <w:pPr>
              <w:ind w:firstLine="0"/>
              <w:jc w:val="center"/>
              <w:rPr>
                <w:szCs w:val="28"/>
                <w:highlight w:val="none"/>
              </w:rPr>
            </w:pPr>
            <w:r>
              <w:rPr>
                <w:szCs w:val="28"/>
                <w:highlight w:val="none"/>
              </w:rPr>
              <w:t>1,14 [0,91; 1,66]</w:t>
            </w:r>
          </w:p>
        </w:tc>
        <w:tc>
          <w:tcPr>
            <w:tcW w:w="2301" w:type="dxa"/>
            <w:vAlign w:val="center"/>
          </w:tcPr>
          <w:p w14:paraId="29BFB038">
            <w:pPr>
              <w:ind w:firstLine="0"/>
              <w:jc w:val="center"/>
              <w:rPr>
                <w:szCs w:val="28"/>
                <w:highlight w:val="none"/>
              </w:rPr>
            </w:pPr>
            <w:r>
              <w:rPr>
                <w:szCs w:val="28"/>
                <w:highlight w:val="none"/>
              </w:rPr>
              <w:t>1,03 [0,89; 1,40]</w:t>
            </w:r>
          </w:p>
        </w:tc>
        <w:tc>
          <w:tcPr>
            <w:tcW w:w="972" w:type="dxa"/>
            <w:vAlign w:val="center"/>
          </w:tcPr>
          <w:p w14:paraId="1E2E8D9C">
            <w:pPr>
              <w:ind w:firstLine="0"/>
              <w:jc w:val="center"/>
              <w:rPr>
                <w:szCs w:val="28"/>
                <w:highlight w:val="none"/>
              </w:rPr>
            </w:pPr>
            <w:r>
              <w:rPr>
                <w:szCs w:val="28"/>
                <w:highlight w:val="none"/>
              </w:rPr>
              <w:t>0,717</w:t>
            </w:r>
          </w:p>
        </w:tc>
      </w:tr>
      <w:tr w14:paraId="482B9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70" w:type="dxa"/>
            <w:vAlign w:val="center"/>
          </w:tcPr>
          <w:p w14:paraId="5D912D9A">
            <w:pPr>
              <w:ind w:firstLine="0"/>
              <w:jc w:val="left"/>
              <w:rPr>
                <w:szCs w:val="28"/>
                <w:highlight w:val="none"/>
              </w:rPr>
            </w:pPr>
            <w:r>
              <w:rPr>
                <w:szCs w:val="28"/>
                <w:highlight w:val="none"/>
              </w:rPr>
              <w:t>ЛПНЩ, ммоль/л</w:t>
            </w:r>
          </w:p>
        </w:tc>
        <w:tc>
          <w:tcPr>
            <w:tcW w:w="2301" w:type="dxa"/>
            <w:vAlign w:val="center"/>
          </w:tcPr>
          <w:p w14:paraId="2E0F4354">
            <w:pPr>
              <w:ind w:firstLine="0"/>
              <w:jc w:val="center"/>
              <w:rPr>
                <w:szCs w:val="28"/>
                <w:highlight w:val="none"/>
              </w:rPr>
            </w:pPr>
            <w:r>
              <w:rPr>
                <w:szCs w:val="28"/>
                <w:highlight w:val="none"/>
              </w:rPr>
              <w:t>2,57 [2,00; 3,19]</w:t>
            </w:r>
          </w:p>
        </w:tc>
        <w:tc>
          <w:tcPr>
            <w:tcW w:w="2301" w:type="dxa"/>
            <w:vAlign w:val="center"/>
          </w:tcPr>
          <w:p w14:paraId="5053E679">
            <w:pPr>
              <w:ind w:firstLine="0"/>
              <w:jc w:val="center"/>
              <w:rPr>
                <w:szCs w:val="28"/>
                <w:highlight w:val="none"/>
              </w:rPr>
            </w:pPr>
            <w:r>
              <w:rPr>
                <w:szCs w:val="28"/>
                <w:highlight w:val="none"/>
              </w:rPr>
              <w:t>2,66 [2,00; 3,55]</w:t>
            </w:r>
          </w:p>
        </w:tc>
        <w:tc>
          <w:tcPr>
            <w:tcW w:w="972" w:type="dxa"/>
            <w:vAlign w:val="center"/>
          </w:tcPr>
          <w:p w14:paraId="0C026278">
            <w:pPr>
              <w:ind w:firstLine="0"/>
              <w:jc w:val="center"/>
              <w:rPr>
                <w:szCs w:val="28"/>
                <w:highlight w:val="none"/>
              </w:rPr>
            </w:pPr>
            <w:r>
              <w:rPr>
                <w:szCs w:val="28"/>
                <w:highlight w:val="none"/>
              </w:rPr>
              <w:t>0,567</w:t>
            </w:r>
          </w:p>
        </w:tc>
      </w:tr>
      <w:tr w14:paraId="18C1E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70" w:type="dxa"/>
            <w:vAlign w:val="center"/>
          </w:tcPr>
          <w:p w14:paraId="593034B5">
            <w:pPr>
              <w:ind w:firstLine="0"/>
              <w:jc w:val="left"/>
              <w:rPr>
                <w:szCs w:val="28"/>
                <w:highlight w:val="none"/>
              </w:rPr>
            </w:pPr>
            <w:r>
              <w:rPr>
                <w:szCs w:val="28"/>
                <w:highlight w:val="none"/>
              </w:rPr>
              <w:t>ЛПДНЩ, ммоль/л</w:t>
            </w:r>
          </w:p>
        </w:tc>
        <w:tc>
          <w:tcPr>
            <w:tcW w:w="2301" w:type="dxa"/>
            <w:vAlign w:val="center"/>
          </w:tcPr>
          <w:p w14:paraId="5A6F8A7E">
            <w:pPr>
              <w:ind w:firstLine="0"/>
              <w:jc w:val="center"/>
              <w:rPr>
                <w:szCs w:val="28"/>
                <w:highlight w:val="none"/>
              </w:rPr>
            </w:pPr>
            <w:r>
              <w:rPr>
                <w:szCs w:val="28"/>
                <w:highlight w:val="none"/>
              </w:rPr>
              <w:t>0,55 [0,40; 0,75]</w:t>
            </w:r>
          </w:p>
        </w:tc>
        <w:tc>
          <w:tcPr>
            <w:tcW w:w="2301" w:type="dxa"/>
            <w:vAlign w:val="center"/>
          </w:tcPr>
          <w:p w14:paraId="6978FFA6">
            <w:pPr>
              <w:ind w:firstLine="0"/>
              <w:jc w:val="center"/>
              <w:rPr>
                <w:szCs w:val="28"/>
                <w:highlight w:val="none"/>
              </w:rPr>
            </w:pPr>
            <w:r>
              <w:rPr>
                <w:szCs w:val="28"/>
                <w:highlight w:val="none"/>
              </w:rPr>
              <w:t>0,51 [0,34; 0,66]</w:t>
            </w:r>
          </w:p>
        </w:tc>
        <w:tc>
          <w:tcPr>
            <w:tcW w:w="972" w:type="dxa"/>
            <w:vAlign w:val="center"/>
          </w:tcPr>
          <w:p w14:paraId="30344499">
            <w:pPr>
              <w:ind w:firstLine="0"/>
              <w:jc w:val="center"/>
              <w:rPr>
                <w:szCs w:val="28"/>
                <w:highlight w:val="none"/>
              </w:rPr>
            </w:pPr>
            <w:r>
              <w:rPr>
                <w:szCs w:val="28"/>
                <w:highlight w:val="none"/>
              </w:rPr>
              <w:t>0,660</w:t>
            </w:r>
          </w:p>
        </w:tc>
      </w:tr>
      <w:tr w14:paraId="1198A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70" w:type="dxa"/>
            <w:vAlign w:val="center"/>
          </w:tcPr>
          <w:p w14:paraId="12E08812">
            <w:pPr>
              <w:ind w:firstLine="0"/>
              <w:jc w:val="left"/>
              <w:rPr>
                <w:szCs w:val="28"/>
                <w:highlight w:val="none"/>
              </w:rPr>
            </w:pPr>
            <w:r>
              <w:rPr>
                <w:szCs w:val="28"/>
                <w:highlight w:val="none"/>
              </w:rPr>
              <w:t>КА</w:t>
            </w:r>
          </w:p>
        </w:tc>
        <w:tc>
          <w:tcPr>
            <w:tcW w:w="2301" w:type="dxa"/>
            <w:vAlign w:val="center"/>
          </w:tcPr>
          <w:p w14:paraId="4D9E968E">
            <w:pPr>
              <w:ind w:firstLine="0"/>
              <w:jc w:val="center"/>
              <w:rPr>
                <w:szCs w:val="28"/>
                <w:highlight w:val="none"/>
              </w:rPr>
            </w:pPr>
            <w:r>
              <w:rPr>
                <w:szCs w:val="28"/>
                <w:highlight w:val="none"/>
              </w:rPr>
              <w:t>2,0 [1,73; 4,94]</w:t>
            </w:r>
          </w:p>
        </w:tc>
        <w:tc>
          <w:tcPr>
            <w:tcW w:w="2301" w:type="dxa"/>
            <w:vAlign w:val="center"/>
          </w:tcPr>
          <w:p w14:paraId="3B605120">
            <w:pPr>
              <w:ind w:firstLine="0"/>
              <w:jc w:val="center"/>
              <w:rPr>
                <w:szCs w:val="28"/>
                <w:highlight w:val="none"/>
              </w:rPr>
            </w:pPr>
            <w:r>
              <w:rPr>
                <w:szCs w:val="28"/>
                <w:highlight w:val="none"/>
              </w:rPr>
              <w:t>2,18 [1,73; 4,92]</w:t>
            </w:r>
          </w:p>
        </w:tc>
        <w:tc>
          <w:tcPr>
            <w:tcW w:w="972" w:type="dxa"/>
            <w:vAlign w:val="center"/>
          </w:tcPr>
          <w:p w14:paraId="674C0EA8">
            <w:pPr>
              <w:ind w:firstLine="0"/>
              <w:jc w:val="center"/>
              <w:rPr>
                <w:szCs w:val="28"/>
                <w:highlight w:val="none"/>
              </w:rPr>
            </w:pPr>
            <w:r>
              <w:rPr>
                <w:szCs w:val="28"/>
                <w:highlight w:val="none"/>
              </w:rPr>
              <w:t>0,434</w:t>
            </w:r>
          </w:p>
        </w:tc>
      </w:tr>
      <w:tr w14:paraId="14D19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70" w:type="dxa"/>
            <w:vAlign w:val="center"/>
          </w:tcPr>
          <w:p w14:paraId="154A78AB">
            <w:pPr>
              <w:ind w:firstLine="0"/>
              <w:jc w:val="left"/>
              <w:rPr>
                <w:szCs w:val="28"/>
                <w:highlight w:val="none"/>
              </w:rPr>
            </w:pPr>
            <w:r>
              <w:rPr>
                <w:szCs w:val="28"/>
                <w:highlight w:val="none"/>
              </w:rPr>
              <w:t>Креатинін, мкмоль/л</w:t>
            </w:r>
          </w:p>
        </w:tc>
        <w:tc>
          <w:tcPr>
            <w:tcW w:w="2301" w:type="dxa"/>
            <w:vAlign w:val="center"/>
          </w:tcPr>
          <w:p w14:paraId="5A814885">
            <w:pPr>
              <w:ind w:firstLine="0"/>
              <w:jc w:val="center"/>
              <w:rPr>
                <w:szCs w:val="28"/>
                <w:highlight w:val="none"/>
              </w:rPr>
            </w:pPr>
            <w:r>
              <w:rPr>
                <w:szCs w:val="28"/>
                <w:highlight w:val="none"/>
              </w:rPr>
              <w:t>79,0 [69,2; 84,0]</w:t>
            </w:r>
          </w:p>
        </w:tc>
        <w:tc>
          <w:tcPr>
            <w:tcW w:w="2301" w:type="dxa"/>
            <w:vAlign w:val="center"/>
          </w:tcPr>
          <w:p w14:paraId="15B0FECC">
            <w:pPr>
              <w:ind w:firstLine="0"/>
              <w:jc w:val="center"/>
              <w:rPr>
                <w:szCs w:val="28"/>
                <w:highlight w:val="none"/>
              </w:rPr>
            </w:pPr>
            <w:r>
              <w:rPr>
                <w:szCs w:val="28"/>
                <w:highlight w:val="none"/>
              </w:rPr>
              <w:t>79,6 [72,7; 92,1]</w:t>
            </w:r>
          </w:p>
        </w:tc>
        <w:tc>
          <w:tcPr>
            <w:tcW w:w="972" w:type="dxa"/>
            <w:vAlign w:val="center"/>
          </w:tcPr>
          <w:p w14:paraId="1DB43970">
            <w:pPr>
              <w:ind w:firstLine="0"/>
              <w:jc w:val="center"/>
              <w:rPr>
                <w:szCs w:val="28"/>
                <w:highlight w:val="none"/>
              </w:rPr>
            </w:pPr>
            <w:r>
              <w:rPr>
                <w:szCs w:val="28"/>
                <w:highlight w:val="none"/>
              </w:rPr>
              <w:t>0,337</w:t>
            </w:r>
          </w:p>
        </w:tc>
      </w:tr>
      <w:tr w14:paraId="63A84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70" w:type="dxa"/>
            <w:vAlign w:val="center"/>
          </w:tcPr>
          <w:p w14:paraId="6B7F44E2">
            <w:pPr>
              <w:ind w:firstLine="0"/>
              <w:jc w:val="left"/>
              <w:rPr>
                <w:szCs w:val="28"/>
                <w:highlight w:val="none"/>
              </w:rPr>
            </w:pPr>
            <w:r>
              <w:rPr>
                <w:szCs w:val="28"/>
                <w:highlight w:val="none"/>
              </w:rPr>
              <w:t>Глюкоза, ммоль/л</w:t>
            </w:r>
          </w:p>
        </w:tc>
        <w:tc>
          <w:tcPr>
            <w:tcW w:w="2301" w:type="dxa"/>
            <w:vAlign w:val="center"/>
          </w:tcPr>
          <w:p w14:paraId="2EB2E74C">
            <w:pPr>
              <w:ind w:firstLine="0"/>
              <w:jc w:val="center"/>
              <w:rPr>
                <w:szCs w:val="28"/>
                <w:highlight w:val="none"/>
              </w:rPr>
            </w:pPr>
            <w:r>
              <w:rPr>
                <w:szCs w:val="28"/>
                <w:highlight w:val="none"/>
              </w:rPr>
              <w:t>5,12 [4,61; 5,58]</w:t>
            </w:r>
          </w:p>
        </w:tc>
        <w:tc>
          <w:tcPr>
            <w:tcW w:w="2301" w:type="dxa"/>
            <w:vAlign w:val="center"/>
          </w:tcPr>
          <w:p w14:paraId="3F18DAD8">
            <w:pPr>
              <w:ind w:firstLine="0"/>
              <w:jc w:val="center"/>
              <w:rPr>
                <w:szCs w:val="28"/>
                <w:highlight w:val="none"/>
              </w:rPr>
            </w:pPr>
            <w:r>
              <w:rPr>
                <w:szCs w:val="28"/>
                <w:highlight w:val="none"/>
              </w:rPr>
              <w:t>5,01 [4,70; 5,39]</w:t>
            </w:r>
          </w:p>
        </w:tc>
        <w:tc>
          <w:tcPr>
            <w:tcW w:w="972" w:type="dxa"/>
            <w:vAlign w:val="center"/>
          </w:tcPr>
          <w:p w14:paraId="16C61652">
            <w:pPr>
              <w:ind w:firstLine="0"/>
              <w:jc w:val="center"/>
              <w:rPr>
                <w:szCs w:val="28"/>
                <w:highlight w:val="none"/>
              </w:rPr>
            </w:pPr>
            <w:r>
              <w:rPr>
                <w:szCs w:val="28"/>
                <w:highlight w:val="none"/>
              </w:rPr>
              <w:t>0,361</w:t>
            </w:r>
          </w:p>
        </w:tc>
      </w:tr>
    </w:tbl>
    <w:p w14:paraId="52D717D0">
      <w:pPr>
        <w:rPr>
          <w:szCs w:val="28"/>
          <w:highlight w:val="none"/>
        </w:rPr>
      </w:pPr>
    </w:p>
    <w:p w14:paraId="3121B721">
      <w:pPr>
        <w:rPr>
          <w:szCs w:val="28"/>
          <w:highlight w:val="none"/>
        </w:rPr>
      </w:pPr>
      <w:r>
        <w:rPr>
          <w:szCs w:val="28"/>
          <w:highlight w:val="none"/>
        </w:rPr>
        <w:t>Аналіз показників біохімічного аналізу крові на етапі після лікування показав, що у пацієнтів групи контролю рівні АЛТ та АСТ були достовірно вищі за відповідні рівні основної групи: відповідно 36,0 [32,0; 39,0] Од/л й 31,0 [16,1; 40,0] Од/л (р=0,025) та 36,0 [33,0; 38,0] Од/л та 33,0 [17,7; 36,0] Од/л (р=0,003). Рівні ГГТ та ЛФ достовірно не різнилися між зазначеними групами. Медіани загального білірубіну та його фракцій статистично не різнилися між групами дослідження. Достовірної різниці між показниками ліпідного обміну між дослідженими групами не було визначено (табл. 4.2).</w:t>
      </w:r>
    </w:p>
    <w:p w14:paraId="68D6F7CD">
      <w:pPr>
        <w:rPr>
          <w:szCs w:val="28"/>
          <w:highlight w:val="none"/>
        </w:rPr>
      </w:pPr>
    </w:p>
    <w:p w14:paraId="1FCFA15A">
      <w:pPr>
        <w:pStyle w:val="3"/>
        <w:rPr>
          <w:szCs w:val="28"/>
          <w:highlight w:val="none"/>
        </w:rPr>
      </w:pPr>
      <w:bookmarkStart w:id="49" w:name="_Toc147703409"/>
      <w:bookmarkStart w:id="50" w:name="_Toc153923961"/>
      <w:r>
        <w:rPr>
          <w:szCs w:val="28"/>
          <w:highlight w:val="none"/>
        </w:rPr>
        <w:t>4.2 Визначення динаміки змін вивчених лабораторних показників у пацієнтів з хронічним гепатитом С</w:t>
      </w:r>
      <w:bookmarkEnd w:id="49"/>
      <w:r>
        <w:rPr>
          <w:szCs w:val="28"/>
          <w:highlight w:val="none"/>
          <w:lang w:val="ru-RU"/>
        </w:rPr>
        <w:t xml:space="preserve"> </w:t>
      </w:r>
      <w:r>
        <w:rPr>
          <w:szCs w:val="28"/>
          <w:highlight w:val="none"/>
        </w:rPr>
        <w:t>після проведення курсу лікування</w:t>
      </w:r>
      <w:bookmarkEnd w:id="50"/>
    </w:p>
    <w:p w14:paraId="160C36D0">
      <w:pPr>
        <w:rPr>
          <w:highlight w:val="none"/>
        </w:rPr>
      </w:pPr>
    </w:p>
    <w:p w14:paraId="0D405FC0">
      <w:pPr>
        <w:rPr>
          <w:highlight w:val="none"/>
        </w:rPr>
      </w:pPr>
      <w:r>
        <w:rPr>
          <w:highlight w:val="none"/>
        </w:rPr>
        <w:t>Пацієнти з хронічним гепатитом С протягом участі в дослідженні отримували противірусну терапію згідно Протоколу лікування. Після проведеного лікування пацієнти повторно були оглянуті в рамках дисертаційного дослідження, їм було проведено клінічний та біохімічний аналіз крові з подальшою оцінкою отриманих параметрів та порівнянням їх з відповідними значенням на момент включення в дослідження.</w:t>
      </w:r>
    </w:p>
    <w:p w14:paraId="1E2B7B3D">
      <w:pPr>
        <w:rPr>
          <w:szCs w:val="28"/>
          <w:highlight w:val="none"/>
        </w:rPr>
      </w:pPr>
    </w:p>
    <w:p w14:paraId="30171952">
      <w:pPr>
        <w:jc w:val="right"/>
        <w:rPr>
          <w:i/>
          <w:iCs/>
          <w:szCs w:val="28"/>
          <w:highlight w:val="none"/>
        </w:rPr>
      </w:pPr>
      <w:r>
        <w:rPr>
          <w:i/>
          <w:iCs/>
          <w:szCs w:val="28"/>
          <w:highlight w:val="none"/>
        </w:rPr>
        <w:t>Таблиця 4.3</w:t>
      </w:r>
    </w:p>
    <w:p w14:paraId="5A28A8D7">
      <w:pPr>
        <w:rPr>
          <w:b/>
          <w:bCs/>
          <w:szCs w:val="28"/>
          <w:highlight w:val="none"/>
        </w:rPr>
      </w:pPr>
      <w:r>
        <w:rPr>
          <w:b/>
          <w:bCs/>
          <w:szCs w:val="28"/>
          <w:highlight w:val="none"/>
        </w:rPr>
        <w:t>Порівняння показників клінічного аналізу крові до та після лікування в основній групі, Me [Lq; Uq]</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47"/>
        <w:gridCol w:w="2693"/>
        <w:gridCol w:w="3098"/>
        <w:gridCol w:w="1006"/>
      </w:tblGrid>
      <w:tr w14:paraId="15E74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313C9660">
            <w:pPr>
              <w:ind w:firstLine="0"/>
              <w:jc w:val="left"/>
              <w:rPr>
                <w:b/>
                <w:bCs/>
                <w:szCs w:val="28"/>
                <w:highlight w:val="none"/>
              </w:rPr>
            </w:pPr>
            <w:bookmarkStart w:id="51" w:name="_Hlk154340077"/>
            <w:r>
              <w:rPr>
                <w:b/>
                <w:bCs/>
                <w:szCs w:val="28"/>
                <w:highlight w:val="none"/>
              </w:rPr>
              <w:t>Показник</w:t>
            </w:r>
          </w:p>
        </w:tc>
        <w:tc>
          <w:tcPr>
            <w:tcW w:w="2693" w:type="dxa"/>
            <w:vAlign w:val="center"/>
          </w:tcPr>
          <w:p w14:paraId="36F8753E">
            <w:pPr>
              <w:ind w:firstLine="0"/>
              <w:jc w:val="center"/>
              <w:rPr>
                <w:b/>
                <w:bCs/>
                <w:szCs w:val="28"/>
                <w:highlight w:val="none"/>
              </w:rPr>
            </w:pPr>
            <w:r>
              <w:rPr>
                <w:b/>
                <w:bCs/>
                <w:szCs w:val="28"/>
                <w:highlight w:val="none"/>
              </w:rPr>
              <w:t>До лікування</w:t>
            </w:r>
          </w:p>
        </w:tc>
        <w:tc>
          <w:tcPr>
            <w:tcW w:w="3098" w:type="dxa"/>
            <w:vAlign w:val="center"/>
          </w:tcPr>
          <w:p w14:paraId="62EB777B">
            <w:pPr>
              <w:ind w:firstLine="0"/>
              <w:jc w:val="center"/>
              <w:rPr>
                <w:b/>
                <w:bCs/>
                <w:szCs w:val="28"/>
                <w:highlight w:val="none"/>
              </w:rPr>
            </w:pPr>
            <w:r>
              <w:rPr>
                <w:b/>
                <w:bCs/>
                <w:szCs w:val="28"/>
                <w:highlight w:val="none"/>
              </w:rPr>
              <w:t>Після лікування</w:t>
            </w:r>
          </w:p>
        </w:tc>
        <w:tc>
          <w:tcPr>
            <w:tcW w:w="1006" w:type="dxa"/>
            <w:vAlign w:val="center"/>
          </w:tcPr>
          <w:p w14:paraId="3F9EE4FF">
            <w:pPr>
              <w:ind w:firstLine="0"/>
              <w:jc w:val="center"/>
              <w:rPr>
                <w:b/>
                <w:bCs/>
                <w:szCs w:val="28"/>
                <w:highlight w:val="none"/>
              </w:rPr>
            </w:pPr>
            <w:r>
              <w:rPr>
                <w:b/>
                <w:bCs/>
                <w:szCs w:val="28"/>
                <w:highlight w:val="none"/>
              </w:rPr>
              <w:t>p</w:t>
            </w:r>
          </w:p>
        </w:tc>
      </w:tr>
      <w:bookmarkEnd w:id="51"/>
      <w:tr w14:paraId="675BB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27EE3898">
            <w:pPr>
              <w:ind w:firstLine="0"/>
              <w:jc w:val="left"/>
              <w:rPr>
                <w:szCs w:val="28"/>
                <w:highlight w:val="none"/>
              </w:rPr>
            </w:pPr>
            <w:r>
              <w:rPr>
                <w:szCs w:val="28"/>
                <w:highlight w:val="none"/>
              </w:rPr>
              <w:t>Еритроцити, 10</w:t>
            </w:r>
            <w:r>
              <w:rPr>
                <w:szCs w:val="28"/>
                <w:highlight w:val="none"/>
                <w:vertAlign w:val="superscript"/>
              </w:rPr>
              <w:t>12</w:t>
            </w:r>
            <w:r>
              <w:rPr>
                <w:szCs w:val="28"/>
                <w:highlight w:val="none"/>
              </w:rPr>
              <w:t>/л</w:t>
            </w:r>
          </w:p>
        </w:tc>
        <w:tc>
          <w:tcPr>
            <w:tcW w:w="2693" w:type="dxa"/>
            <w:vAlign w:val="center"/>
          </w:tcPr>
          <w:p w14:paraId="30CF3663">
            <w:pPr>
              <w:ind w:firstLine="0"/>
              <w:jc w:val="center"/>
              <w:rPr>
                <w:szCs w:val="28"/>
                <w:highlight w:val="none"/>
              </w:rPr>
            </w:pPr>
            <w:r>
              <w:rPr>
                <w:szCs w:val="28"/>
                <w:highlight w:val="none"/>
              </w:rPr>
              <w:t>4,78 [4,46; 5,16]</w:t>
            </w:r>
          </w:p>
        </w:tc>
        <w:tc>
          <w:tcPr>
            <w:tcW w:w="3098" w:type="dxa"/>
            <w:vAlign w:val="center"/>
          </w:tcPr>
          <w:p w14:paraId="32C4882E">
            <w:pPr>
              <w:ind w:firstLine="0"/>
              <w:jc w:val="center"/>
              <w:rPr>
                <w:szCs w:val="28"/>
                <w:highlight w:val="none"/>
              </w:rPr>
            </w:pPr>
            <w:r>
              <w:rPr>
                <w:szCs w:val="28"/>
                <w:highlight w:val="none"/>
              </w:rPr>
              <w:t>4,65 [4,23; 5,04]</w:t>
            </w:r>
          </w:p>
        </w:tc>
        <w:tc>
          <w:tcPr>
            <w:tcW w:w="1006" w:type="dxa"/>
            <w:vAlign w:val="center"/>
          </w:tcPr>
          <w:p w14:paraId="39EC9B71">
            <w:pPr>
              <w:ind w:firstLine="0"/>
              <w:jc w:val="center"/>
              <w:rPr>
                <w:szCs w:val="28"/>
                <w:highlight w:val="none"/>
              </w:rPr>
            </w:pPr>
            <w:r>
              <w:rPr>
                <w:szCs w:val="28"/>
                <w:highlight w:val="none"/>
              </w:rPr>
              <w:t>0,259</w:t>
            </w:r>
          </w:p>
        </w:tc>
      </w:tr>
      <w:tr w14:paraId="55EFF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2A3CEFA3">
            <w:pPr>
              <w:ind w:firstLine="0"/>
              <w:jc w:val="left"/>
              <w:rPr>
                <w:szCs w:val="28"/>
                <w:highlight w:val="none"/>
              </w:rPr>
            </w:pPr>
            <w:r>
              <w:rPr>
                <w:szCs w:val="28"/>
                <w:highlight w:val="none"/>
              </w:rPr>
              <w:t>Гемоглобін, г/л</w:t>
            </w:r>
          </w:p>
        </w:tc>
        <w:tc>
          <w:tcPr>
            <w:tcW w:w="2693" w:type="dxa"/>
            <w:vAlign w:val="center"/>
          </w:tcPr>
          <w:p w14:paraId="5C28D2F8">
            <w:pPr>
              <w:ind w:firstLine="0"/>
              <w:jc w:val="center"/>
              <w:rPr>
                <w:szCs w:val="28"/>
                <w:highlight w:val="none"/>
              </w:rPr>
            </w:pPr>
            <w:r>
              <w:rPr>
                <w:szCs w:val="28"/>
                <w:highlight w:val="none"/>
              </w:rPr>
              <w:t>144,0 [133,0; 155,0]</w:t>
            </w:r>
          </w:p>
        </w:tc>
        <w:tc>
          <w:tcPr>
            <w:tcW w:w="3098" w:type="dxa"/>
            <w:vAlign w:val="center"/>
          </w:tcPr>
          <w:p w14:paraId="12CAF320">
            <w:pPr>
              <w:ind w:firstLine="0"/>
              <w:jc w:val="center"/>
              <w:rPr>
                <w:szCs w:val="28"/>
                <w:highlight w:val="none"/>
              </w:rPr>
            </w:pPr>
            <w:r>
              <w:rPr>
                <w:szCs w:val="28"/>
                <w:highlight w:val="none"/>
              </w:rPr>
              <w:t>145,0 [134,0; 151,0]</w:t>
            </w:r>
          </w:p>
        </w:tc>
        <w:tc>
          <w:tcPr>
            <w:tcW w:w="1006" w:type="dxa"/>
            <w:vAlign w:val="center"/>
          </w:tcPr>
          <w:p w14:paraId="49DEF8A4">
            <w:pPr>
              <w:ind w:firstLine="0"/>
              <w:jc w:val="center"/>
              <w:rPr>
                <w:szCs w:val="28"/>
                <w:highlight w:val="none"/>
              </w:rPr>
            </w:pPr>
            <w:r>
              <w:rPr>
                <w:szCs w:val="28"/>
                <w:highlight w:val="none"/>
              </w:rPr>
              <w:t>0,824</w:t>
            </w:r>
          </w:p>
        </w:tc>
      </w:tr>
      <w:tr w14:paraId="1A569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35A89F47">
            <w:pPr>
              <w:ind w:firstLine="0"/>
              <w:jc w:val="left"/>
              <w:rPr>
                <w:szCs w:val="28"/>
                <w:highlight w:val="none"/>
              </w:rPr>
            </w:pPr>
            <w:r>
              <w:rPr>
                <w:szCs w:val="28"/>
                <w:highlight w:val="none"/>
              </w:rPr>
              <w:t>Гематокрит, %</w:t>
            </w:r>
          </w:p>
        </w:tc>
        <w:tc>
          <w:tcPr>
            <w:tcW w:w="2693" w:type="dxa"/>
            <w:vAlign w:val="center"/>
          </w:tcPr>
          <w:p w14:paraId="4B4833A4">
            <w:pPr>
              <w:ind w:firstLine="0"/>
              <w:jc w:val="center"/>
              <w:rPr>
                <w:szCs w:val="28"/>
                <w:highlight w:val="none"/>
              </w:rPr>
            </w:pPr>
            <w:r>
              <w:rPr>
                <w:szCs w:val="28"/>
                <w:highlight w:val="none"/>
              </w:rPr>
              <w:t>0,44 [0,41; 0,;6]</w:t>
            </w:r>
          </w:p>
        </w:tc>
        <w:tc>
          <w:tcPr>
            <w:tcW w:w="3098" w:type="dxa"/>
            <w:vAlign w:val="center"/>
          </w:tcPr>
          <w:p w14:paraId="0F22F055">
            <w:pPr>
              <w:ind w:firstLine="0"/>
              <w:jc w:val="center"/>
              <w:rPr>
                <w:szCs w:val="28"/>
                <w:highlight w:val="none"/>
              </w:rPr>
            </w:pPr>
            <w:r>
              <w:rPr>
                <w:szCs w:val="28"/>
                <w:highlight w:val="none"/>
              </w:rPr>
              <w:t>0,43 [0,41; 0,45]</w:t>
            </w:r>
          </w:p>
        </w:tc>
        <w:tc>
          <w:tcPr>
            <w:tcW w:w="1006" w:type="dxa"/>
            <w:vAlign w:val="center"/>
          </w:tcPr>
          <w:p w14:paraId="753E9287">
            <w:pPr>
              <w:ind w:firstLine="0"/>
              <w:jc w:val="center"/>
              <w:rPr>
                <w:szCs w:val="28"/>
                <w:highlight w:val="none"/>
              </w:rPr>
            </w:pPr>
            <w:r>
              <w:rPr>
                <w:szCs w:val="28"/>
                <w:highlight w:val="none"/>
              </w:rPr>
              <w:t>0,554</w:t>
            </w:r>
          </w:p>
        </w:tc>
      </w:tr>
      <w:tr w14:paraId="766BA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C2C0D56">
            <w:pPr>
              <w:ind w:firstLine="0"/>
              <w:jc w:val="left"/>
              <w:rPr>
                <w:szCs w:val="28"/>
                <w:highlight w:val="none"/>
              </w:rPr>
            </w:pPr>
            <w:r>
              <w:rPr>
                <w:szCs w:val="28"/>
                <w:highlight w:val="none"/>
              </w:rPr>
              <w:t>MCV, fl</w:t>
            </w:r>
          </w:p>
        </w:tc>
        <w:tc>
          <w:tcPr>
            <w:tcW w:w="2693" w:type="dxa"/>
            <w:vAlign w:val="center"/>
          </w:tcPr>
          <w:p w14:paraId="69BA3409">
            <w:pPr>
              <w:ind w:firstLine="0"/>
              <w:jc w:val="center"/>
              <w:rPr>
                <w:szCs w:val="28"/>
                <w:highlight w:val="none"/>
              </w:rPr>
            </w:pPr>
            <w:r>
              <w:rPr>
                <w:szCs w:val="28"/>
                <w:highlight w:val="none"/>
              </w:rPr>
              <w:t>90,0 [86,0; 93,0]</w:t>
            </w:r>
          </w:p>
        </w:tc>
        <w:tc>
          <w:tcPr>
            <w:tcW w:w="3098" w:type="dxa"/>
            <w:vAlign w:val="center"/>
          </w:tcPr>
          <w:p w14:paraId="18FE6382">
            <w:pPr>
              <w:ind w:firstLine="0"/>
              <w:jc w:val="center"/>
              <w:rPr>
                <w:szCs w:val="28"/>
                <w:highlight w:val="none"/>
              </w:rPr>
            </w:pPr>
            <w:r>
              <w:rPr>
                <w:szCs w:val="28"/>
                <w:highlight w:val="none"/>
              </w:rPr>
              <w:t>90,6 [87,4; 93,0]</w:t>
            </w:r>
          </w:p>
        </w:tc>
        <w:tc>
          <w:tcPr>
            <w:tcW w:w="1006" w:type="dxa"/>
            <w:vAlign w:val="center"/>
          </w:tcPr>
          <w:p w14:paraId="162817A2">
            <w:pPr>
              <w:ind w:firstLine="0"/>
              <w:jc w:val="center"/>
              <w:rPr>
                <w:szCs w:val="28"/>
                <w:highlight w:val="none"/>
              </w:rPr>
            </w:pPr>
            <w:r>
              <w:rPr>
                <w:szCs w:val="28"/>
                <w:highlight w:val="none"/>
              </w:rPr>
              <w:t>0,305</w:t>
            </w:r>
          </w:p>
        </w:tc>
      </w:tr>
      <w:tr w14:paraId="3B2F5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5C01D9FE">
            <w:pPr>
              <w:ind w:firstLine="0"/>
              <w:jc w:val="left"/>
              <w:rPr>
                <w:szCs w:val="28"/>
                <w:highlight w:val="none"/>
              </w:rPr>
            </w:pPr>
            <w:r>
              <w:rPr>
                <w:szCs w:val="28"/>
                <w:highlight w:val="none"/>
              </w:rPr>
              <w:t>MCH, пкг/л</w:t>
            </w:r>
          </w:p>
        </w:tc>
        <w:tc>
          <w:tcPr>
            <w:tcW w:w="2693" w:type="dxa"/>
            <w:vAlign w:val="center"/>
          </w:tcPr>
          <w:p w14:paraId="045B57E4">
            <w:pPr>
              <w:ind w:firstLine="0"/>
              <w:jc w:val="center"/>
              <w:rPr>
                <w:szCs w:val="28"/>
                <w:highlight w:val="none"/>
              </w:rPr>
            </w:pPr>
            <w:r>
              <w:rPr>
                <w:szCs w:val="28"/>
                <w:highlight w:val="none"/>
              </w:rPr>
              <w:t>30,7 [29,5; 32,2]</w:t>
            </w:r>
          </w:p>
        </w:tc>
        <w:tc>
          <w:tcPr>
            <w:tcW w:w="3098" w:type="dxa"/>
            <w:vAlign w:val="center"/>
          </w:tcPr>
          <w:p w14:paraId="1E87B8C1">
            <w:pPr>
              <w:ind w:firstLine="0"/>
              <w:jc w:val="center"/>
              <w:rPr>
                <w:szCs w:val="28"/>
                <w:highlight w:val="none"/>
              </w:rPr>
            </w:pPr>
            <w:r>
              <w:rPr>
                <w:szCs w:val="28"/>
                <w:highlight w:val="none"/>
              </w:rPr>
              <w:t>29,8 [27,5; 31,2]</w:t>
            </w:r>
          </w:p>
        </w:tc>
        <w:tc>
          <w:tcPr>
            <w:tcW w:w="1006" w:type="dxa"/>
            <w:vAlign w:val="center"/>
          </w:tcPr>
          <w:p w14:paraId="063BE422">
            <w:pPr>
              <w:ind w:firstLine="0"/>
              <w:jc w:val="center"/>
              <w:rPr>
                <w:b/>
                <w:bCs/>
                <w:szCs w:val="28"/>
                <w:highlight w:val="none"/>
              </w:rPr>
            </w:pPr>
            <w:r>
              <w:rPr>
                <w:b/>
                <w:bCs/>
                <w:szCs w:val="28"/>
                <w:highlight w:val="none"/>
              </w:rPr>
              <w:t>0,042</w:t>
            </w:r>
          </w:p>
        </w:tc>
      </w:tr>
      <w:tr w14:paraId="40125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3D7148C3">
            <w:pPr>
              <w:ind w:firstLine="0"/>
              <w:jc w:val="left"/>
              <w:rPr>
                <w:szCs w:val="28"/>
                <w:highlight w:val="none"/>
              </w:rPr>
            </w:pPr>
            <w:r>
              <w:rPr>
                <w:szCs w:val="28"/>
                <w:highlight w:val="none"/>
              </w:rPr>
              <w:t>MCHC, г/л</w:t>
            </w:r>
          </w:p>
        </w:tc>
        <w:tc>
          <w:tcPr>
            <w:tcW w:w="2693" w:type="dxa"/>
            <w:vAlign w:val="center"/>
          </w:tcPr>
          <w:p w14:paraId="4B5E50F7">
            <w:pPr>
              <w:ind w:firstLine="0"/>
              <w:jc w:val="center"/>
              <w:rPr>
                <w:szCs w:val="28"/>
                <w:highlight w:val="none"/>
              </w:rPr>
            </w:pPr>
            <w:r>
              <w:rPr>
                <w:szCs w:val="28"/>
                <w:highlight w:val="none"/>
              </w:rPr>
              <w:t>338,0 [330,0; 347,0]</w:t>
            </w:r>
          </w:p>
        </w:tc>
        <w:tc>
          <w:tcPr>
            <w:tcW w:w="3098" w:type="dxa"/>
            <w:vAlign w:val="center"/>
          </w:tcPr>
          <w:p w14:paraId="0BAE8E88">
            <w:pPr>
              <w:ind w:firstLine="0"/>
              <w:jc w:val="center"/>
              <w:rPr>
                <w:szCs w:val="28"/>
                <w:highlight w:val="none"/>
              </w:rPr>
            </w:pPr>
            <w:r>
              <w:rPr>
                <w:szCs w:val="28"/>
                <w:highlight w:val="none"/>
              </w:rPr>
              <w:t>334,0 [329,0; 344,0]</w:t>
            </w:r>
          </w:p>
        </w:tc>
        <w:tc>
          <w:tcPr>
            <w:tcW w:w="1006" w:type="dxa"/>
            <w:vAlign w:val="center"/>
          </w:tcPr>
          <w:p w14:paraId="257830CD">
            <w:pPr>
              <w:ind w:firstLine="0"/>
              <w:jc w:val="center"/>
              <w:rPr>
                <w:szCs w:val="28"/>
                <w:highlight w:val="none"/>
              </w:rPr>
            </w:pPr>
            <w:r>
              <w:rPr>
                <w:szCs w:val="28"/>
                <w:highlight w:val="none"/>
              </w:rPr>
              <w:t>0,181</w:t>
            </w:r>
          </w:p>
        </w:tc>
      </w:tr>
      <w:tr w14:paraId="1771D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C200178">
            <w:pPr>
              <w:ind w:firstLine="0"/>
              <w:jc w:val="left"/>
              <w:rPr>
                <w:szCs w:val="28"/>
                <w:highlight w:val="none"/>
              </w:rPr>
            </w:pPr>
            <w:r>
              <w:rPr>
                <w:szCs w:val="28"/>
                <w:highlight w:val="none"/>
              </w:rPr>
              <w:t>Тромбоцити, 10</w:t>
            </w:r>
            <w:r>
              <w:rPr>
                <w:szCs w:val="28"/>
                <w:highlight w:val="none"/>
                <w:vertAlign w:val="superscript"/>
              </w:rPr>
              <w:t>9</w:t>
            </w:r>
            <w:r>
              <w:rPr>
                <w:szCs w:val="28"/>
                <w:highlight w:val="none"/>
              </w:rPr>
              <w:t>/л</w:t>
            </w:r>
          </w:p>
        </w:tc>
        <w:tc>
          <w:tcPr>
            <w:tcW w:w="2693" w:type="dxa"/>
            <w:vAlign w:val="center"/>
          </w:tcPr>
          <w:p w14:paraId="75D829BF">
            <w:pPr>
              <w:ind w:firstLine="0"/>
              <w:jc w:val="center"/>
              <w:rPr>
                <w:szCs w:val="28"/>
                <w:highlight w:val="none"/>
              </w:rPr>
            </w:pPr>
            <w:r>
              <w:rPr>
                <w:szCs w:val="28"/>
                <w:highlight w:val="none"/>
              </w:rPr>
              <w:t>208,0 [166,0; 443,0]</w:t>
            </w:r>
          </w:p>
        </w:tc>
        <w:tc>
          <w:tcPr>
            <w:tcW w:w="3098" w:type="dxa"/>
            <w:vAlign w:val="center"/>
          </w:tcPr>
          <w:p w14:paraId="06D7ECBD">
            <w:pPr>
              <w:ind w:firstLine="0"/>
              <w:jc w:val="center"/>
              <w:rPr>
                <w:szCs w:val="28"/>
                <w:highlight w:val="none"/>
              </w:rPr>
            </w:pPr>
            <w:r>
              <w:rPr>
                <w:szCs w:val="28"/>
                <w:highlight w:val="none"/>
              </w:rPr>
              <w:t>244,0 [206,0; 271,0]</w:t>
            </w:r>
          </w:p>
        </w:tc>
        <w:tc>
          <w:tcPr>
            <w:tcW w:w="1006" w:type="dxa"/>
            <w:vAlign w:val="center"/>
          </w:tcPr>
          <w:p w14:paraId="78FA47B3">
            <w:pPr>
              <w:ind w:firstLine="0"/>
              <w:jc w:val="center"/>
              <w:rPr>
                <w:b/>
                <w:bCs/>
                <w:szCs w:val="28"/>
                <w:highlight w:val="none"/>
              </w:rPr>
            </w:pPr>
            <w:r>
              <w:rPr>
                <w:b/>
                <w:bCs/>
                <w:szCs w:val="28"/>
                <w:highlight w:val="none"/>
              </w:rPr>
              <w:t>0,008</w:t>
            </w:r>
          </w:p>
        </w:tc>
      </w:tr>
      <w:tr w14:paraId="25702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699811BC">
            <w:pPr>
              <w:ind w:firstLine="0"/>
              <w:jc w:val="left"/>
              <w:rPr>
                <w:szCs w:val="28"/>
                <w:highlight w:val="none"/>
              </w:rPr>
            </w:pPr>
            <w:r>
              <w:rPr>
                <w:szCs w:val="28"/>
                <w:highlight w:val="none"/>
              </w:rPr>
              <w:t>Тромбокрит, %</w:t>
            </w:r>
          </w:p>
        </w:tc>
        <w:tc>
          <w:tcPr>
            <w:tcW w:w="2693" w:type="dxa"/>
            <w:vAlign w:val="center"/>
          </w:tcPr>
          <w:p w14:paraId="181E329F">
            <w:pPr>
              <w:ind w:firstLine="0"/>
              <w:jc w:val="center"/>
              <w:rPr>
                <w:szCs w:val="28"/>
                <w:highlight w:val="none"/>
              </w:rPr>
            </w:pPr>
            <w:r>
              <w:rPr>
                <w:szCs w:val="28"/>
                <w:highlight w:val="none"/>
              </w:rPr>
              <w:t>0,18 [0,16; 0,21]</w:t>
            </w:r>
          </w:p>
        </w:tc>
        <w:tc>
          <w:tcPr>
            <w:tcW w:w="3098" w:type="dxa"/>
            <w:vAlign w:val="center"/>
          </w:tcPr>
          <w:p w14:paraId="7A0B0943">
            <w:pPr>
              <w:ind w:firstLine="0"/>
              <w:jc w:val="center"/>
              <w:rPr>
                <w:szCs w:val="28"/>
                <w:highlight w:val="none"/>
              </w:rPr>
            </w:pPr>
            <w:r>
              <w:rPr>
                <w:szCs w:val="28"/>
                <w:highlight w:val="none"/>
              </w:rPr>
              <w:t>0,18 [0,16; 0,22]</w:t>
            </w:r>
          </w:p>
        </w:tc>
        <w:tc>
          <w:tcPr>
            <w:tcW w:w="1006" w:type="dxa"/>
            <w:vAlign w:val="center"/>
          </w:tcPr>
          <w:p w14:paraId="0DCDA176">
            <w:pPr>
              <w:ind w:firstLine="0"/>
              <w:jc w:val="center"/>
              <w:rPr>
                <w:szCs w:val="28"/>
                <w:highlight w:val="none"/>
              </w:rPr>
            </w:pPr>
            <w:r>
              <w:rPr>
                <w:szCs w:val="28"/>
                <w:highlight w:val="none"/>
              </w:rPr>
              <w:t>0,523</w:t>
            </w:r>
          </w:p>
        </w:tc>
      </w:tr>
    </w:tbl>
    <w:p w14:paraId="3A004A3B">
      <w:pPr>
        <w:rPr>
          <w:highlight w:val="none"/>
        </w:rPr>
      </w:pPr>
    </w:p>
    <w:p w14:paraId="2AB7D0EB">
      <w:pPr>
        <w:jc w:val="right"/>
        <w:rPr>
          <w:i/>
          <w:iCs/>
          <w:szCs w:val="28"/>
          <w:highlight w:val="none"/>
        </w:rPr>
      </w:pPr>
      <w:r>
        <w:rPr>
          <w:i/>
          <w:iCs/>
          <w:szCs w:val="28"/>
          <w:highlight w:val="none"/>
        </w:rPr>
        <w:t>Продовження таблиці 4.3</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47"/>
        <w:gridCol w:w="2693"/>
        <w:gridCol w:w="3098"/>
        <w:gridCol w:w="1006"/>
      </w:tblGrid>
      <w:tr w14:paraId="1DC79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4A1D8648">
            <w:pPr>
              <w:ind w:firstLine="0"/>
              <w:jc w:val="left"/>
              <w:rPr>
                <w:b/>
                <w:bCs/>
                <w:szCs w:val="28"/>
                <w:highlight w:val="none"/>
              </w:rPr>
            </w:pPr>
            <w:r>
              <w:rPr>
                <w:b/>
                <w:bCs/>
                <w:szCs w:val="28"/>
                <w:highlight w:val="none"/>
              </w:rPr>
              <w:t>Показник</w:t>
            </w:r>
          </w:p>
        </w:tc>
        <w:tc>
          <w:tcPr>
            <w:tcW w:w="2693" w:type="dxa"/>
            <w:vAlign w:val="center"/>
          </w:tcPr>
          <w:p w14:paraId="2FF5D612">
            <w:pPr>
              <w:ind w:firstLine="0"/>
              <w:jc w:val="center"/>
              <w:rPr>
                <w:b/>
                <w:bCs/>
                <w:szCs w:val="28"/>
                <w:highlight w:val="none"/>
              </w:rPr>
            </w:pPr>
            <w:r>
              <w:rPr>
                <w:b/>
                <w:bCs/>
                <w:szCs w:val="28"/>
                <w:highlight w:val="none"/>
              </w:rPr>
              <w:t>До лікування</w:t>
            </w:r>
          </w:p>
        </w:tc>
        <w:tc>
          <w:tcPr>
            <w:tcW w:w="3098" w:type="dxa"/>
            <w:vAlign w:val="center"/>
          </w:tcPr>
          <w:p w14:paraId="103F0A73">
            <w:pPr>
              <w:ind w:firstLine="0"/>
              <w:jc w:val="center"/>
              <w:rPr>
                <w:b/>
                <w:bCs/>
                <w:szCs w:val="28"/>
                <w:highlight w:val="none"/>
              </w:rPr>
            </w:pPr>
            <w:r>
              <w:rPr>
                <w:b/>
                <w:bCs/>
                <w:szCs w:val="28"/>
                <w:highlight w:val="none"/>
              </w:rPr>
              <w:t>Після лікування</w:t>
            </w:r>
          </w:p>
        </w:tc>
        <w:tc>
          <w:tcPr>
            <w:tcW w:w="1006" w:type="dxa"/>
            <w:vAlign w:val="center"/>
          </w:tcPr>
          <w:p w14:paraId="1F549D98">
            <w:pPr>
              <w:ind w:firstLine="0"/>
              <w:jc w:val="center"/>
              <w:rPr>
                <w:b/>
                <w:bCs/>
                <w:szCs w:val="28"/>
                <w:highlight w:val="none"/>
              </w:rPr>
            </w:pPr>
            <w:r>
              <w:rPr>
                <w:b/>
                <w:bCs/>
                <w:szCs w:val="28"/>
                <w:highlight w:val="none"/>
              </w:rPr>
              <w:t>p</w:t>
            </w:r>
          </w:p>
        </w:tc>
      </w:tr>
      <w:tr w14:paraId="1B361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6EA85A4C">
            <w:pPr>
              <w:ind w:firstLine="0"/>
              <w:jc w:val="left"/>
              <w:rPr>
                <w:szCs w:val="28"/>
                <w:highlight w:val="none"/>
              </w:rPr>
            </w:pPr>
            <w:r>
              <w:rPr>
                <w:szCs w:val="28"/>
                <w:highlight w:val="none"/>
              </w:rPr>
              <w:t>КП</w:t>
            </w:r>
          </w:p>
        </w:tc>
        <w:tc>
          <w:tcPr>
            <w:tcW w:w="2693" w:type="dxa"/>
            <w:vAlign w:val="center"/>
          </w:tcPr>
          <w:p w14:paraId="6201E623">
            <w:pPr>
              <w:ind w:firstLine="0"/>
              <w:jc w:val="center"/>
              <w:rPr>
                <w:szCs w:val="28"/>
                <w:highlight w:val="none"/>
              </w:rPr>
            </w:pPr>
            <w:r>
              <w:rPr>
                <w:szCs w:val="28"/>
                <w:highlight w:val="none"/>
              </w:rPr>
              <w:t>0,90 [0,87; 0,94]</w:t>
            </w:r>
          </w:p>
        </w:tc>
        <w:tc>
          <w:tcPr>
            <w:tcW w:w="3098" w:type="dxa"/>
            <w:vAlign w:val="center"/>
          </w:tcPr>
          <w:p w14:paraId="6E0F82B1">
            <w:pPr>
              <w:ind w:firstLine="0"/>
              <w:jc w:val="center"/>
              <w:rPr>
                <w:szCs w:val="28"/>
                <w:highlight w:val="none"/>
              </w:rPr>
            </w:pPr>
            <w:r>
              <w:rPr>
                <w:szCs w:val="28"/>
                <w:highlight w:val="none"/>
              </w:rPr>
              <w:t>0,90 [0,88; 0,93]</w:t>
            </w:r>
          </w:p>
        </w:tc>
        <w:tc>
          <w:tcPr>
            <w:tcW w:w="1006" w:type="dxa"/>
            <w:vAlign w:val="center"/>
          </w:tcPr>
          <w:p w14:paraId="54749174">
            <w:pPr>
              <w:ind w:firstLine="0"/>
              <w:jc w:val="center"/>
              <w:rPr>
                <w:szCs w:val="28"/>
                <w:highlight w:val="none"/>
              </w:rPr>
            </w:pPr>
            <w:r>
              <w:rPr>
                <w:szCs w:val="28"/>
                <w:highlight w:val="none"/>
              </w:rPr>
              <w:t>0,416</w:t>
            </w:r>
          </w:p>
        </w:tc>
      </w:tr>
      <w:tr w14:paraId="4E1E2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29380B2C">
            <w:pPr>
              <w:ind w:firstLine="0"/>
              <w:jc w:val="left"/>
              <w:rPr>
                <w:szCs w:val="28"/>
                <w:highlight w:val="none"/>
              </w:rPr>
            </w:pPr>
            <w:r>
              <w:rPr>
                <w:szCs w:val="28"/>
                <w:highlight w:val="none"/>
              </w:rPr>
              <w:t>ШОЕ, мм/год</w:t>
            </w:r>
          </w:p>
        </w:tc>
        <w:tc>
          <w:tcPr>
            <w:tcW w:w="2693" w:type="dxa"/>
            <w:vAlign w:val="center"/>
          </w:tcPr>
          <w:p w14:paraId="0387AC45">
            <w:pPr>
              <w:ind w:firstLine="0"/>
              <w:jc w:val="center"/>
              <w:rPr>
                <w:szCs w:val="28"/>
                <w:highlight w:val="none"/>
              </w:rPr>
            </w:pPr>
            <w:r>
              <w:rPr>
                <w:szCs w:val="28"/>
                <w:highlight w:val="none"/>
              </w:rPr>
              <w:t>9,0 [5,0; 15,0]</w:t>
            </w:r>
          </w:p>
        </w:tc>
        <w:tc>
          <w:tcPr>
            <w:tcW w:w="3098" w:type="dxa"/>
            <w:vAlign w:val="center"/>
          </w:tcPr>
          <w:p w14:paraId="043AFD52">
            <w:pPr>
              <w:ind w:firstLine="0"/>
              <w:jc w:val="center"/>
              <w:rPr>
                <w:szCs w:val="28"/>
                <w:highlight w:val="none"/>
              </w:rPr>
            </w:pPr>
            <w:r>
              <w:rPr>
                <w:szCs w:val="28"/>
                <w:highlight w:val="none"/>
              </w:rPr>
              <w:t>4,0 [2,0; 9,0]</w:t>
            </w:r>
          </w:p>
        </w:tc>
        <w:tc>
          <w:tcPr>
            <w:tcW w:w="1006" w:type="dxa"/>
            <w:vAlign w:val="center"/>
          </w:tcPr>
          <w:p w14:paraId="297C3A71">
            <w:pPr>
              <w:ind w:firstLine="0"/>
              <w:jc w:val="center"/>
              <w:rPr>
                <w:b/>
                <w:bCs/>
                <w:szCs w:val="28"/>
                <w:highlight w:val="none"/>
              </w:rPr>
            </w:pPr>
            <w:r>
              <w:rPr>
                <w:b/>
                <w:bCs/>
                <w:szCs w:val="28"/>
                <w:highlight w:val="none"/>
              </w:rPr>
              <w:t>0,005</w:t>
            </w:r>
          </w:p>
        </w:tc>
      </w:tr>
      <w:tr w14:paraId="33A40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4A0D3722">
            <w:pPr>
              <w:ind w:firstLine="0"/>
              <w:jc w:val="left"/>
              <w:rPr>
                <w:szCs w:val="28"/>
                <w:highlight w:val="none"/>
              </w:rPr>
            </w:pPr>
            <w:r>
              <w:rPr>
                <w:szCs w:val="28"/>
                <w:highlight w:val="none"/>
              </w:rPr>
              <w:t>Лейкоцити, 10</w:t>
            </w:r>
            <w:r>
              <w:rPr>
                <w:szCs w:val="28"/>
                <w:highlight w:val="none"/>
                <w:vertAlign w:val="superscript"/>
              </w:rPr>
              <w:t>9</w:t>
            </w:r>
            <w:r>
              <w:rPr>
                <w:szCs w:val="28"/>
                <w:highlight w:val="none"/>
              </w:rPr>
              <w:t>/л</w:t>
            </w:r>
          </w:p>
        </w:tc>
        <w:tc>
          <w:tcPr>
            <w:tcW w:w="2693" w:type="dxa"/>
            <w:vAlign w:val="center"/>
          </w:tcPr>
          <w:p w14:paraId="7E5843C3">
            <w:pPr>
              <w:ind w:firstLine="0"/>
              <w:jc w:val="center"/>
              <w:rPr>
                <w:szCs w:val="28"/>
                <w:highlight w:val="none"/>
              </w:rPr>
            </w:pPr>
            <w:r>
              <w:rPr>
                <w:szCs w:val="28"/>
                <w:highlight w:val="none"/>
              </w:rPr>
              <w:t>6,70 [5,20; 7,80]</w:t>
            </w:r>
          </w:p>
        </w:tc>
        <w:tc>
          <w:tcPr>
            <w:tcW w:w="3098" w:type="dxa"/>
            <w:vAlign w:val="center"/>
          </w:tcPr>
          <w:p w14:paraId="700FC665">
            <w:pPr>
              <w:ind w:firstLine="0"/>
              <w:jc w:val="center"/>
              <w:rPr>
                <w:szCs w:val="28"/>
                <w:highlight w:val="none"/>
              </w:rPr>
            </w:pPr>
            <w:r>
              <w:rPr>
                <w:szCs w:val="28"/>
                <w:highlight w:val="none"/>
              </w:rPr>
              <w:t>5,95 [5,11; 7,96]</w:t>
            </w:r>
          </w:p>
        </w:tc>
        <w:tc>
          <w:tcPr>
            <w:tcW w:w="1006" w:type="dxa"/>
            <w:vAlign w:val="center"/>
          </w:tcPr>
          <w:p w14:paraId="1EF063F1">
            <w:pPr>
              <w:ind w:firstLine="0"/>
              <w:jc w:val="center"/>
              <w:rPr>
                <w:szCs w:val="28"/>
                <w:highlight w:val="none"/>
              </w:rPr>
            </w:pPr>
            <w:r>
              <w:rPr>
                <w:szCs w:val="28"/>
                <w:highlight w:val="none"/>
              </w:rPr>
              <w:t>0,992</w:t>
            </w:r>
          </w:p>
        </w:tc>
      </w:tr>
      <w:tr w14:paraId="742CF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00596263">
            <w:pPr>
              <w:ind w:firstLine="0"/>
              <w:jc w:val="left"/>
              <w:rPr>
                <w:szCs w:val="28"/>
                <w:highlight w:val="none"/>
              </w:rPr>
            </w:pPr>
            <w:r>
              <w:rPr>
                <w:szCs w:val="28"/>
                <w:highlight w:val="none"/>
              </w:rPr>
              <w:t>П/я нейтрофіли, %</w:t>
            </w:r>
          </w:p>
        </w:tc>
        <w:tc>
          <w:tcPr>
            <w:tcW w:w="2693" w:type="dxa"/>
            <w:vAlign w:val="center"/>
          </w:tcPr>
          <w:p w14:paraId="097A3B9B">
            <w:pPr>
              <w:ind w:firstLine="0"/>
              <w:jc w:val="center"/>
              <w:rPr>
                <w:szCs w:val="28"/>
                <w:highlight w:val="none"/>
              </w:rPr>
            </w:pPr>
            <w:r>
              <w:rPr>
                <w:szCs w:val="28"/>
                <w:highlight w:val="none"/>
              </w:rPr>
              <w:t>2,0 [1,0; 3,0]</w:t>
            </w:r>
          </w:p>
        </w:tc>
        <w:tc>
          <w:tcPr>
            <w:tcW w:w="3098" w:type="dxa"/>
            <w:vAlign w:val="center"/>
          </w:tcPr>
          <w:p w14:paraId="6DBDC85E">
            <w:pPr>
              <w:ind w:firstLine="0"/>
              <w:jc w:val="center"/>
              <w:rPr>
                <w:szCs w:val="28"/>
                <w:highlight w:val="none"/>
              </w:rPr>
            </w:pPr>
            <w:r>
              <w:rPr>
                <w:szCs w:val="28"/>
                <w:highlight w:val="none"/>
              </w:rPr>
              <w:t>3,0 [2,0; 5,0]</w:t>
            </w:r>
          </w:p>
        </w:tc>
        <w:tc>
          <w:tcPr>
            <w:tcW w:w="1006" w:type="dxa"/>
            <w:vAlign w:val="center"/>
          </w:tcPr>
          <w:p w14:paraId="2778BB92">
            <w:pPr>
              <w:ind w:firstLine="0"/>
              <w:jc w:val="center"/>
              <w:rPr>
                <w:b/>
                <w:bCs/>
                <w:szCs w:val="28"/>
                <w:highlight w:val="none"/>
              </w:rPr>
            </w:pPr>
            <w:r>
              <w:rPr>
                <w:b/>
                <w:bCs/>
                <w:szCs w:val="28"/>
                <w:highlight w:val="none"/>
              </w:rPr>
              <w:t>0,021</w:t>
            </w:r>
          </w:p>
        </w:tc>
      </w:tr>
      <w:tr w14:paraId="30FA5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5661DDC0">
            <w:pPr>
              <w:ind w:firstLine="0"/>
              <w:jc w:val="left"/>
              <w:rPr>
                <w:szCs w:val="28"/>
                <w:highlight w:val="none"/>
              </w:rPr>
            </w:pPr>
            <w:r>
              <w:rPr>
                <w:szCs w:val="28"/>
                <w:highlight w:val="none"/>
              </w:rPr>
              <w:t>С/я нейтрофіли, %</w:t>
            </w:r>
          </w:p>
        </w:tc>
        <w:tc>
          <w:tcPr>
            <w:tcW w:w="2693" w:type="dxa"/>
            <w:vAlign w:val="center"/>
          </w:tcPr>
          <w:p w14:paraId="1FA0B051">
            <w:pPr>
              <w:ind w:firstLine="0"/>
              <w:jc w:val="center"/>
              <w:rPr>
                <w:szCs w:val="28"/>
                <w:highlight w:val="none"/>
              </w:rPr>
            </w:pPr>
            <w:r>
              <w:rPr>
                <w:szCs w:val="28"/>
                <w:highlight w:val="none"/>
              </w:rPr>
              <w:t>55,0 [44,0; 65,0]</w:t>
            </w:r>
          </w:p>
        </w:tc>
        <w:tc>
          <w:tcPr>
            <w:tcW w:w="3098" w:type="dxa"/>
            <w:vAlign w:val="center"/>
          </w:tcPr>
          <w:p w14:paraId="1EAC94D8">
            <w:pPr>
              <w:ind w:firstLine="0"/>
              <w:jc w:val="center"/>
              <w:rPr>
                <w:szCs w:val="28"/>
                <w:highlight w:val="none"/>
              </w:rPr>
            </w:pPr>
            <w:r>
              <w:rPr>
                <w:szCs w:val="28"/>
                <w:highlight w:val="none"/>
              </w:rPr>
              <w:t>64,0 [51,0; 76,0]</w:t>
            </w:r>
          </w:p>
        </w:tc>
        <w:tc>
          <w:tcPr>
            <w:tcW w:w="1006" w:type="dxa"/>
            <w:vAlign w:val="center"/>
          </w:tcPr>
          <w:p w14:paraId="5E25B36D">
            <w:pPr>
              <w:ind w:firstLine="0"/>
              <w:jc w:val="center"/>
              <w:rPr>
                <w:b/>
                <w:bCs/>
                <w:szCs w:val="28"/>
                <w:highlight w:val="none"/>
              </w:rPr>
            </w:pPr>
            <w:r>
              <w:rPr>
                <w:b/>
                <w:bCs/>
                <w:szCs w:val="28"/>
                <w:highlight w:val="none"/>
              </w:rPr>
              <w:t>0,011</w:t>
            </w:r>
          </w:p>
        </w:tc>
      </w:tr>
      <w:tr w14:paraId="2FE19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03D336E7">
            <w:pPr>
              <w:ind w:firstLine="0"/>
              <w:jc w:val="left"/>
              <w:rPr>
                <w:szCs w:val="28"/>
                <w:highlight w:val="none"/>
              </w:rPr>
            </w:pPr>
            <w:r>
              <w:rPr>
                <w:szCs w:val="28"/>
                <w:highlight w:val="none"/>
              </w:rPr>
              <w:t>Еозинофіли, %</w:t>
            </w:r>
          </w:p>
        </w:tc>
        <w:tc>
          <w:tcPr>
            <w:tcW w:w="2693" w:type="dxa"/>
            <w:vAlign w:val="center"/>
          </w:tcPr>
          <w:p w14:paraId="250F67CF">
            <w:pPr>
              <w:ind w:firstLine="0"/>
              <w:jc w:val="center"/>
              <w:rPr>
                <w:szCs w:val="28"/>
                <w:highlight w:val="none"/>
              </w:rPr>
            </w:pPr>
            <w:r>
              <w:rPr>
                <w:szCs w:val="28"/>
                <w:highlight w:val="none"/>
              </w:rPr>
              <w:t>1,0 [1,0; 3,0]</w:t>
            </w:r>
          </w:p>
        </w:tc>
        <w:tc>
          <w:tcPr>
            <w:tcW w:w="3098" w:type="dxa"/>
            <w:vAlign w:val="center"/>
          </w:tcPr>
          <w:p w14:paraId="6EAD4D01">
            <w:pPr>
              <w:ind w:firstLine="0"/>
              <w:jc w:val="center"/>
              <w:rPr>
                <w:szCs w:val="28"/>
                <w:highlight w:val="none"/>
              </w:rPr>
            </w:pPr>
            <w:r>
              <w:rPr>
                <w:szCs w:val="28"/>
                <w:highlight w:val="none"/>
              </w:rPr>
              <w:t>1,0 [1,0; 3,0]</w:t>
            </w:r>
          </w:p>
        </w:tc>
        <w:tc>
          <w:tcPr>
            <w:tcW w:w="1006" w:type="dxa"/>
            <w:vAlign w:val="center"/>
          </w:tcPr>
          <w:p w14:paraId="04088F83">
            <w:pPr>
              <w:ind w:firstLine="0"/>
              <w:jc w:val="center"/>
              <w:rPr>
                <w:szCs w:val="28"/>
                <w:highlight w:val="none"/>
              </w:rPr>
            </w:pPr>
            <w:r>
              <w:rPr>
                <w:szCs w:val="28"/>
                <w:highlight w:val="none"/>
              </w:rPr>
              <w:t>0,739</w:t>
            </w:r>
          </w:p>
        </w:tc>
      </w:tr>
      <w:tr w14:paraId="76A51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5072E9FA">
            <w:pPr>
              <w:ind w:firstLine="0"/>
              <w:jc w:val="left"/>
              <w:rPr>
                <w:szCs w:val="28"/>
                <w:highlight w:val="none"/>
              </w:rPr>
            </w:pPr>
            <w:r>
              <w:rPr>
                <w:szCs w:val="28"/>
                <w:highlight w:val="none"/>
              </w:rPr>
              <w:t>Лімфоцити, %</w:t>
            </w:r>
          </w:p>
        </w:tc>
        <w:tc>
          <w:tcPr>
            <w:tcW w:w="2693" w:type="dxa"/>
            <w:vAlign w:val="center"/>
          </w:tcPr>
          <w:p w14:paraId="005AF3EE">
            <w:pPr>
              <w:ind w:firstLine="0"/>
              <w:jc w:val="center"/>
              <w:rPr>
                <w:szCs w:val="28"/>
                <w:highlight w:val="none"/>
              </w:rPr>
            </w:pPr>
            <w:r>
              <w:rPr>
                <w:szCs w:val="28"/>
                <w:highlight w:val="none"/>
              </w:rPr>
              <w:t>36,0 [25,0; 40,0]</w:t>
            </w:r>
          </w:p>
        </w:tc>
        <w:tc>
          <w:tcPr>
            <w:tcW w:w="3098" w:type="dxa"/>
            <w:vAlign w:val="center"/>
          </w:tcPr>
          <w:p w14:paraId="17BCF0F8">
            <w:pPr>
              <w:ind w:firstLine="0"/>
              <w:jc w:val="center"/>
              <w:rPr>
                <w:szCs w:val="28"/>
                <w:highlight w:val="none"/>
              </w:rPr>
            </w:pPr>
            <w:r>
              <w:rPr>
                <w:szCs w:val="28"/>
                <w:highlight w:val="none"/>
              </w:rPr>
              <w:t>30,0 [10,0; 38,0]</w:t>
            </w:r>
          </w:p>
        </w:tc>
        <w:tc>
          <w:tcPr>
            <w:tcW w:w="1006" w:type="dxa"/>
            <w:vAlign w:val="center"/>
          </w:tcPr>
          <w:p w14:paraId="518A1490">
            <w:pPr>
              <w:ind w:firstLine="0"/>
              <w:jc w:val="center"/>
              <w:rPr>
                <w:b/>
                <w:bCs/>
                <w:szCs w:val="28"/>
                <w:highlight w:val="none"/>
              </w:rPr>
            </w:pPr>
            <w:r>
              <w:rPr>
                <w:b/>
                <w:bCs/>
                <w:szCs w:val="28"/>
                <w:highlight w:val="none"/>
              </w:rPr>
              <w:t>0,008</w:t>
            </w:r>
          </w:p>
        </w:tc>
      </w:tr>
      <w:tr w14:paraId="6C04D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2F19FE43">
            <w:pPr>
              <w:ind w:firstLine="0"/>
              <w:jc w:val="left"/>
              <w:rPr>
                <w:szCs w:val="28"/>
                <w:highlight w:val="none"/>
              </w:rPr>
            </w:pPr>
            <w:r>
              <w:rPr>
                <w:szCs w:val="28"/>
                <w:highlight w:val="none"/>
              </w:rPr>
              <w:t>Моноцити, %</w:t>
            </w:r>
          </w:p>
        </w:tc>
        <w:tc>
          <w:tcPr>
            <w:tcW w:w="2693" w:type="dxa"/>
            <w:vAlign w:val="center"/>
          </w:tcPr>
          <w:p w14:paraId="514873A7">
            <w:pPr>
              <w:ind w:firstLine="0"/>
              <w:jc w:val="center"/>
              <w:rPr>
                <w:szCs w:val="28"/>
                <w:highlight w:val="none"/>
              </w:rPr>
            </w:pPr>
            <w:r>
              <w:rPr>
                <w:szCs w:val="28"/>
                <w:highlight w:val="none"/>
              </w:rPr>
              <w:t>6,4 [4,0; 8,0]</w:t>
            </w:r>
          </w:p>
        </w:tc>
        <w:tc>
          <w:tcPr>
            <w:tcW w:w="3098" w:type="dxa"/>
            <w:vAlign w:val="center"/>
          </w:tcPr>
          <w:p w14:paraId="7B2DBEA7">
            <w:pPr>
              <w:ind w:firstLine="0"/>
              <w:jc w:val="center"/>
              <w:rPr>
                <w:szCs w:val="28"/>
                <w:highlight w:val="none"/>
              </w:rPr>
            </w:pPr>
            <w:r>
              <w:rPr>
                <w:szCs w:val="28"/>
                <w:highlight w:val="none"/>
              </w:rPr>
              <w:t>6,0 [3,0; 8,0]</w:t>
            </w:r>
          </w:p>
        </w:tc>
        <w:tc>
          <w:tcPr>
            <w:tcW w:w="1006" w:type="dxa"/>
            <w:vAlign w:val="center"/>
          </w:tcPr>
          <w:p w14:paraId="0C879269">
            <w:pPr>
              <w:ind w:firstLine="0"/>
              <w:jc w:val="center"/>
              <w:rPr>
                <w:szCs w:val="28"/>
                <w:highlight w:val="none"/>
              </w:rPr>
            </w:pPr>
            <w:r>
              <w:rPr>
                <w:szCs w:val="28"/>
                <w:highlight w:val="none"/>
              </w:rPr>
              <w:t>0,104</w:t>
            </w:r>
          </w:p>
        </w:tc>
      </w:tr>
    </w:tbl>
    <w:p w14:paraId="628921A5">
      <w:pPr>
        <w:rPr>
          <w:highlight w:val="none"/>
        </w:rPr>
      </w:pPr>
    </w:p>
    <w:p w14:paraId="0585C4F1">
      <w:pPr>
        <w:rPr>
          <w:highlight w:val="none"/>
        </w:rPr>
      </w:pPr>
      <w:r>
        <w:rPr>
          <w:highlight w:val="none"/>
        </w:rPr>
        <w:t>В основній групі рівні МСН достовірно знизилися після проведеного лікування (р=0,042). Було визначено достовірне підвищення кількості тромбоцитів до 244,0 [206,0; 471,0] на 10</w:t>
      </w:r>
      <w:r>
        <w:rPr>
          <w:highlight w:val="none"/>
          <w:vertAlign w:val="superscript"/>
        </w:rPr>
        <w:t>9</w:t>
      </w:r>
      <w:r>
        <w:rPr>
          <w:highlight w:val="none"/>
        </w:rPr>
        <w:t>/л (р=0,008). Було зареєстровано зниження рівні ШОЕ та лімфоцитів на тлі проведеного лікування, зміна показників була достовірною. В той же час медіани п/я та с/я нейтрофілів після лікування у пацієнтів даної підгрупи достовірно підвищилися (табл. 4.3).</w:t>
      </w:r>
    </w:p>
    <w:p w14:paraId="3A5F0A46">
      <w:pPr>
        <w:rPr>
          <w:highlight w:val="none"/>
        </w:rPr>
      </w:pPr>
    </w:p>
    <w:p w14:paraId="4BA9AFC2">
      <w:pPr>
        <w:jc w:val="right"/>
        <w:rPr>
          <w:i/>
          <w:iCs/>
          <w:szCs w:val="28"/>
          <w:highlight w:val="none"/>
        </w:rPr>
      </w:pPr>
      <w:r>
        <w:rPr>
          <w:i/>
          <w:iCs/>
          <w:szCs w:val="28"/>
          <w:highlight w:val="none"/>
        </w:rPr>
        <w:t>Таблиця 4.4</w:t>
      </w:r>
    </w:p>
    <w:p w14:paraId="2665A55B">
      <w:pPr>
        <w:rPr>
          <w:b/>
          <w:bCs/>
          <w:szCs w:val="28"/>
          <w:highlight w:val="none"/>
        </w:rPr>
      </w:pPr>
      <w:r>
        <w:rPr>
          <w:b/>
          <w:bCs/>
          <w:szCs w:val="28"/>
          <w:highlight w:val="none"/>
        </w:rPr>
        <w:t>Порівняння показників біохімічного аналізу крові до та після лікування в основній групі, Me [Lq; Uq]</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73"/>
        <w:gridCol w:w="2782"/>
        <w:gridCol w:w="2783"/>
        <w:gridCol w:w="1006"/>
      </w:tblGrid>
      <w:tr w14:paraId="79145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244F14B6">
            <w:pPr>
              <w:ind w:firstLine="0"/>
              <w:jc w:val="left"/>
              <w:rPr>
                <w:b/>
                <w:bCs/>
                <w:szCs w:val="28"/>
                <w:highlight w:val="none"/>
              </w:rPr>
            </w:pPr>
            <w:bookmarkStart w:id="52" w:name="_Hlk154340125"/>
            <w:r>
              <w:rPr>
                <w:b/>
                <w:bCs/>
                <w:szCs w:val="28"/>
                <w:highlight w:val="none"/>
              </w:rPr>
              <w:t>Показник</w:t>
            </w:r>
          </w:p>
        </w:tc>
        <w:tc>
          <w:tcPr>
            <w:tcW w:w="2782" w:type="dxa"/>
            <w:vAlign w:val="center"/>
          </w:tcPr>
          <w:p w14:paraId="023439F1">
            <w:pPr>
              <w:ind w:firstLine="0"/>
              <w:jc w:val="center"/>
              <w:rPr>
                <w:b/>
                <w:bCs/>
                <w:szCs w:val="28"/>
                <w:highlight w:val="none"/>
              </w:rPr>
            </w:pPr>
            <w:r>
              <w:rPr>
                <w:b/>
                <w:bCs/>
                <w:szCs w:val="28"/>
                <w:highlight w:val="none"/>
              </w:rPr>
              <w:t>До лікування</w:t>
            </w:r>
          </w:p>
        </w:tc>
        <w:tc>
          <w:tcPr>
            <w:tcW w:w="2783" w:type="dxa"/>
            <w:vAlign w:val="center"/>
          </w:tcPr>
          <w:p w14:paraId="39CC4C3F">
            <w:pPr>
              <w:ind w:firstLine="0"/>
              <w:jc w:val="center"/>
              <w:rPr>
                <w:b/>
                <w:bCs/>
                <w:szCs w:val="28"/>
                <w:highlight w:val="none"/>
              </w:rPr>
            </w:pPr>
            <w:r>
              <w:rPr>
                <w:b/>
                <w:bCs/>
                <w:szCs w:val="28"/>
                <w:highlight w:val="none"/>
              </w:rPr>
              <w:t>Після лікування</w:t>
            </w:r>
          </w:p>
        </w:tc>
        <w:tc>
          <w:tcPr>
            <w:tcW w:w="1006" w:type="dxa"/>
            <w:vAlign w:val="center"/>
          </w:tcPr>
          <w:p w14:paraId="447DF87D">
            <w:pPr>
              <w:ind w:firstLine="0"/>
              <w:jc w:val="center"/>
              <w:rPr>
                <w:b/>
                <w:bCs/>
                <w:szCs w:val="28"/>
                <w:highlight w:val="none"/>
              </w:rPr>
            </w:pPr>
            <w:r>
              <w:rPr>
                <w:b/>
                <w:bCs/>
                <w:szCs w:val="28"/>
                <w:highlight w:val="none"/>
              </w:rPr>
              <w:t>p</w:t>
            </w:r>
          </w:p>
        </w:tc>
      </w:tr>
      <w:bookmarkEnd w:id="52"/>
      <w:tr w14:paraId="6919D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358F94F1">
            <w:pPr>
              <w:ind w:firstLine="0"/>
              <w:jc w:val="left"/>
              <w:rPr>
                <w:szCs w:val="28"/>
                <w:highlight w:val="none"/>
              </w:rPr>
            </w:pPr>
            <w:r>
              <w:rPr>
                <w:szCs w:val="28"/>
                <w:highlight w:val="none"/>
              </w:rPr>
              <w:t>АЛТ, Од/л</w:t>
            </w:r>
          </w:p>
        </w:tc>
        <w:tc>
          <w:tcPr>
            <w:tcW w:w="2782" w:type="dxa"/>
            <w:vAlign w:val="center"/>
          </w:tcPr>
          <w:p w14:paraId="20E6A507">
            <w:pPr>
              <w:ind w:firstLine="0"/>
              <w:jc w:val="center"/>
              <w:rPr>
                <w:szCs w:val="28"/>
                <w:highlight w:val="none"/>
              </w:rPr>
            </w:pPr>
            <w:r>
              <w:rPr>
                <w:szCs w:val="28"/>
                <w:highlight w:val="none"/>
              </w:rPr>
              <w:t>67,0 [43,0; 114,0]</w:t>
            </w:r>
          </w:p>
        </w:tc>
        <w:tc>
          <w:tcPr>
            <w:tcW w:w="2783" w:type="dxa"/>
            <w:vAlign w:val="center"/>
          </w:tcPr>
          <w:p w14:paraId="476E69D3">
            <w:pPr>
              <w:ind w:firstLine="0"/>
              <w:jc w:val="center"/>
              <w:rPr>
                <w:szCs w:val="28"/>
                <w:highlight w:val="none"/>
              </w:rPr>
            </w:pPr>
            <w:r>
              <w:rPr>
                <w:szCs w:val="28"/>
                <w:highlight w:val="none"/>
              </w:rPr>
              <w:t>31,0 [16,1; 40,0]</w:t>
            </w:r>
          </w:p>
        </w:tc>
        <w:tc>
          <w:tcPr>
            <w:tcW w:w="1006" w:type="dxa"/>
            <w:vAlign w:val="center"/>
          </w:tcPr>
          <w:p w14:paraId="408F557E">
            <w:pPr>
              <w:ind w:firstLine="0"/>
              <w:jc w:val="center"/>
              <w:rPr>
                <w:b/>
                <w:bCs/>
                <w:szCs w:val="28"/>
                <w:highlight w:val="none"/>
              </w:rPr>
            </w:pPr>
            <w:r>
              <w:rPr>
                <w:b/>
                <w:bCs/>
                <w:szCs w:val="28"/>
                <w:highlight w:val="none"/>
              </w:rPr>
              <w:t>&lt;0,001</w:t>
            </w:r>
          </w:p>
        </w:tc>
      </w:tr>
      <w:tr w14:paraId="2EA0E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02706C0D">
            <w:pPr>
              <w:ind w:firstLine="0"/>
              <w:jc w:val="left"/>
              <w:rPr>
                <w:szCs w:val="28"/>
                <w:highlight w:val="none"/>
              </w:rPr>
            </w:pPr>
            <w:r>
              <w:rPr>
                <w:szCs w:val="28"/>
                <w:highlight w:val="none"/>
              </w:rPr>
              <w:t>АСТ, Од/л</w:t>
            </w:r>
          </w:p>
        </w:tc>
        <w:tc>
          <w:tcPr>
            <w:tcW w:w="2782" w:type="dxa"/>
            <w:vAlign w:val="center"/>
          </w:tcPr>
          <w:p w14:paraId="2E9E43F1">
            <w:pPr>
              <w:ind w:firstLine="0"/>
              <w:jc w:val="center"/>
              <w:rPr>
                <w:szCs w:val="28"/>
                <w:highlight w:val="none"/>
              </w:rPr>
            </w:pPr>
            <w:r>
              <w:rPr>
                <w:szCs w:val="28"/>
                <w:highlight w:val="none"/>
              </w:rPr>
              <w:t>65,0 [45,0; 101,0]</w:t>
            </w:r>
          </w:p>
        </w:tc>
        <w:tc>
          <w:tcPr>
            <w:tcW w:w="2783" w:type="dxa"/>
            <w:vAlign w:val="center"/>
          </w:tcPr>
          <w:p w14:paraId="071DF482">
            <w:pPr>
              <w:ind w:firstLine="0"/>
              <w:jc w:val="center"/>
              <w:rPr>
                <w:szCs w:val="28"/>
                <w:highlight w:val="none"/>
              </w:rPr>
            </w:pPr>
            <w:r>
              <w:rPr>
                <w:szCs w:val="28"/>
                <w:highlight w:val="none"/>
              </w:rPr>
              <w:t>33,0 [17,7; 36,0]</w:t>
            </w:r>
          </w:p>
        </w:tc>
        <w:tc>
          <w:tcPr>
            <w:tcW w:w="1006" w:type="dxa"/>
            <w:vAlign w:val="center"/>
          </w:tcPr>
          <w:p w14:paraId="23DB0879">
            <w:pPr>
              <w:ind w:firstLine="0"/>
              <w:jc w:val="center"/>
              <w:rPr>
                <w:b/>
                <w:bCs/>
                <w:szCs w:val="28"/>
                <w:highlight w:val="none"/>
              </w:rPr>
            </w:pPr>
            <w:r>
              <w:rPr>
                <w:b/>
                <w:bCs/>
                <w:szCs w:val="28"/>
                <w:highlight w:val="none"/>
              </w:rPr>
              <w:t>&lt;0,001</w:t>
            </w:r>
          </w:p>
        </w:tc>
      </w:tr>
      <w:tr w14:paraId="1E6EB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0EC8178D">
            <w:pPr>
              <w:ind w:firstLine="0"/>
              <w:jc w:val="left"/>
              <w:rPr>
                <w:szCs w:val="28"/>
                <w:highlight w:val="none"/>
              </w:rPr>
            </w:pPr>
            <w:r>
              <w:rPr>
                <w:szCs w:val="28"/>
                <w:highlight w:val="none"/>
              </w:rPr>
              <w:t>ГГТ, Од/л</w:t>
            </w:r>
          </w:p>
        </w:tc>
        <w:tc>
          <w:tcPr>
            <w:tcW w:w="2782" w:type="dxa"/>
            <w:vAlign w:val="center"/>
          </w:tcPr>
          <w:p w14:paraId="620552FD">
            <w:pPr>
              <w:ind w:firstLine="0"/>
              <w:jc w:val="center"/>
              <w:rPr>
                <w:szCs w:val="28"/>
                <w:highlight w:val="none"/>
              </w:rPr>
            </w:pPr>
            <w:r>
              <w:rPr>
                <w:szCs w:val="28"/>
                <w:highlight w:val="none"/>
              </w:rPr>
              <w:t>89,0 [64,0; 123,0]</w:t>
            </w:r>
          </w:p>
        </w:tc>
        <w:tc>
          <w:tcPr>
            <w:tcW w:w="2783" w:type="dxa"/>
            <w:vAlign w:val="center"/>
          </w:tcPr>
          <w:p w14:paraId="09D77122">
            <w:pPr>
              <w:ind w:firstLine="0"/>
              <w:jc w:val="center"/>
              <w:rPr>
                <w:szCs w:val="28"/>
                <w:highlight w:val="none"/>
              </w:rPr>
            </w:pPr>
            <w:r>
              <w:rPr>
                <w:szCs w:val="28"/>
                <w:highlight w:val="none"/>
              </w:rPr>
              <w:t>25,0 [18,3; 36,0]</w:t>
            </w:r>
          </w:p>
        </w:tc>
        <w:tc>
          <w:tcPr>
            <w:tcW w:w="1006" w:type="dxa"/>
            <w:vAlign w:val="center"/>
          </w:tcPr>
          <w:p w14:paraId="10752D5C">
            <w:pPr>
              <w:ind w:firstLine="0"/>
              <w:jc w:val="center"/>
              <w:rPr>
                <w:b/>
                <w:bCs/>
                <w:szCs w:val="28"/>
                <w:highlight w:val="none"/>
              </w:rPr>
            </w:pPr>
            <w:r>
              <w:rPr>
                <w:b/>
                <w:bCs/>
                <w:szCs w:val="28"/>
                <w:highlight w:val="none"/>
              </w:rPr>
              <w:t>&lt;0,001</w:t>
            </w:r>
          </w:p>
        </w:tc>
      </w:tr>
      <w:tr w14:paraId="24817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0F7BBB8C">
            <w:pPr>
              <w:ind w:firstLine="0"/>
              <w:jc w:val="left"/>
              <w:rPr>
                <w:szCs w:val="28"/>
                <w:highlight w:val="none"/>
              </w:rPr>
            </w:pPr>
            <w:r>
              <w:rPr>
                <w:szCs w:val="28"/>
                <w:highlight w:val="none"/>
              </w:rPr>
              <w:t>ЛФ, Од/л</w:t>
            </w:r>
          </w:p>
        </w:tc>
        <w:tc>
          <w:tcPr>
            <w:tcW w:w="2782" w:type="dxa"/>
            <w:vAlign w:val="center"/>
          </w:tcPr>
          <w:p w14:paraId="0C7DED8D">
            <w:pPr>
              <w:ind w:firstLine="0"/>
              <w:jc w:val="center"/>
              <w:rPr>
                <w:szCs w:val="28"/>
                <w:highlight w:val="none"/>
              </w:rPr>
            </w:pPr>
            <w:r>
              <w:rPr>
                <w:szCs w:val="28"/>
                <w:highlight w:val="none"/>
              </w:rPr>
              <w:t>93,0 [73,1; 157,3]</w:t>
            </w:r>
          </w:p>
        </w:tc>
        <w:tc>
          <w:tcPr>
            <w:tcW w:w="2783" w:type="dxa"/>
            <w:vAlign w:val="center"/>
          </w:tcPr>
          <w:p w14:paraId="1731935E">
            <w:pPr>
              <w:ind w:firstLine="0"/>
              <w:jc w:val="center"/>
              <w:rPr>
                <w:szCs w:val="28"/>
                <w:highlight w:val="none"/>
              </w:rPr>
            </w:pPr>
            <w:r>
              <w:rPr>
                <w:szCs w:val="28"/>
                <w:highlight w:val="none"/>
              </w:rPr>
              <w:t>94,9 [84,0; 112,2]</w:t>
            </w:r>
          </w:p>
        </w:tc>
        <w:tc>
          <w:tcPr>
            <w:tcW w:w="1006" w:type="dxa"/>
            <w:vAlign w:val="center"/>
          </w:tcPr>
          <w:p w14:paraId="6B1D9023">
            <w:pPr>
              <w:ind w:firstLine="0"/>
              <w:jc w:val="center"/>
              <w:rPr>
                <w:szCs w:val="28"/>
                <w:highlight w:val="none"/>
              </w:rPr>
            </w:pPr>
            <w:r>
              <w:rPr>
                <w:szCs w:val="28"/>
                <w:highlight w:val="none"/>
              </w:rPr>
              <w:t>0,421</w:t>
            </w:r>
          </w:p>
        </w:tc>
      </w:tr>
      <w:tr w14:paraId="224BD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7E3D2D00">
            <w:pPr>
              <w:ind w:firstLine="0"/>
              <w:jc w:val="left"/>
              <w:rPr>
                <w:szCs w:val="28"/>
                <w:highlight w:val="none"/>
              </w:rPr>
            </w:pPr>
            <w:r>
              <w:rPr>
                <w:szCs w:val="28"/>
                <w:highlight w:val="none"/>
              </w:rPr>
              <w:t>Білірубін загальний, ммоль/л</w:t>
            </w:r>
          </w:p>
        </w:tc>
        <w:tc>
          <w:tcPr>
            <w:tcW w:w="2782" w:type="dxa"/>
            <w:vAlign w:val="center"/>
          </w:tcPr>
          <w:p w14:paraId="0FD0C225">
            <w:pPr>
              <w:ind w:firstLine="0"/>
              <w:jc w:val="center"/>
              <w:rPr>
                <w:szCs w:val="28"/>
                <w:highlight w:val="none"/>
              </w:rPr>
            </w:pPr>
            <w:r>
              <w:rPr>
                <w:szCs w:val="28"/>
                <w:highlight w:val="none"/>
              </w:rPr>
              <w:t>12,0 [10,0; 17,0]</w:t>
            </w:r>
          </w:p>
        </w:tc>
        <w:tc>
          <w:tcPr>
            <w:tcW w:w="2783" w:type="dxa"/>
            <w:vAlign w:val="center"/>
          </w:tcPr>
          <w:p w14:paraId="511352F4">
            <w:pPr>
              <w:ind w:firstLine="0"/>
              <w:jc w:val="center"/>
              <w:rPr>
                <w:szCs w:val="28"/>
                <w:highlight w:val="none"/>
              </w:rPr>
            </w:pPr>
            <w:r>
              <w:rPr>
                <w:szCs w:val="28"/>
                <w:highlight w:val="none"/>
              </w:rPr>
              <w:t>12,44 [9,99; 15,73]</w:t>
            </w:r>
          </w:p>
        </w:tc>
        <w:tc>
          <w:tcPr>
            <w:tcW w:w="1006" w:type="dxa"/>
            <w:vAlign w:val="center"/>
          </w:tcPr>
          <w:p w14:paraId="009D5150">
            <w:pPr>
              <w:ind w:firstLine="0"/>
              <w:jc w:val="center"/>
              <w:rPr>
                <w:szCs w:val="28"/>
                <w:highlight w:val="none"/>
              </w:rPr>
            </w:pPr>
            <w:r>
              <w:rPr>
                <w:szCs w:val="28"/>
                <w:highlight w:val="none"/>
              </w:rPr>
              <w:t>0,366</w:t>
            </w:r>
          </w:p>
        </w:tc>
      </w:tr>
    </w:tbl>
    <w:p w14:paraId="45A4344C">
      <w:pPr>
        <w:rPr>
          <w:highlight w:val="none"/>
        </w:rPr>
      </w:pPr>
    </w:p>
    <w:p w14:paraId="330665CB">
      <w:pPr>
        <w:rPr>
          <w:highlight w:val="none"/>
        </w:rPr>
      </w:pPr>
    </w:p>
    <w:p w14:paraId="79E5CA92">
      <w:pPr>
        <w:jc w:val="right"/>
        <w:rPr>
          <w:i/>
          <w:iCs/>
          <w:szCs w:val="28"/>
          <w:highlight w:val="none"/>
        </w:rPr>
      </w:pPr>
      <w:r>
        <w:rPr>
          <w:i/>
          <w:iCs/>
          <w:szCs w:val="28"/>
          <w:highlight w:val="none"/>
        </w:rPr>
        <w:t>Продовження таблиці 4.4</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73"/>
        <w:gridCol w:w="2782"/>
        <w:gridCol w:w="2783"/>
        <w:gridCol w:w="1006"/>
      </w:tblGrid>
      <w:tr w14:paraId="1BC41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3035F9D2">
            <w:pPr>
              <w:ind w:firstLine="0"/>
              <w:jc w:val="left"/>
              <w:rPr>
                <w:b/>
                <w:bCs/>
                <w:szCs w:val="28"/>
                <w:highlight w:val="none"/>
              </w:rPr>
            </w:pPr>
            <w:r>
              <w:rPr>
                <w:b/>
                <w:bCs/>
                <w:szCs w:val="28"/>
                <w:highlight w:val="none"/>
              </w:rPr>
              <w:t>Показник</w:t>
            </w:r>
          </w:p>
        </w:tc>
        <w:tc>
          <w:tcPr>
            <w:tcW w:w="2782" w:type="dxa"/>
            <w:vAlign w:val="center"/>
          </w:tcPr>
          <w:p w14:paraId="3E722225">
            <w:pPr>
              <w:ind w:firstLine="0"/>
              <w:jc w:val="center"/>
              <w:rPr>
                <w:b/>
                <w:bCs/>
                <w:szCs w:val="28"/>
                <w:highlight w:val="none"/>
              </w:rPr>
            </w:pPr>
            <w:r>
              <w:rPr>
                <w:b/>
                <w:bCs/>
                <w:szCs w:val="28"/>
                <w:highlight w:val="none"/>
              </w:rPr>
              <w:t>До лікування</w:t>
            </w:r>
          </w:p>
        </w:tc>
        <w:tc>
          <w:tcPr>
            <w:tcW w:w="2783" w:type="dxa"/>
            <w:vAlign w:val="center"/>
          </w:tcPr>
          <w:p w14:paraId="433BBB7F">
            <w:pPr>
              <w:ind w:firstLine="0"/>
              <w:jc w:val="center"/>
              <w:rPr>
                <w:b/>
                <w:bCs/>
                <w:szCs w:val="28"/>
                <w:highlight w:val="none"/>
              </w:rPr>
            </w:pPr>
            <w:r>
              <w:rPr>
                <w:b/>
                <w:bCs/>
                <w:szCs w:val="28"/>
                <w:highlight w:val="none"/>
              </w:rPr>
              <w:t>Після лікування</w:t>
            </w:r>
          </w:p>
        </w:tc>
        <w:tc>
          <w:tcPr>
            <w:tcW w:w="1006" w:type="dxa"/>
            <w:vAlign w:val="center"/>
          </w:tcPr>
          <w:p w14:paraId="699ABFE2">
            <w:pPr>
              <w:ind w:firstLine="0"/>
              <w:jc w:val="center"/>
              <w:rPr>
                <w:b/>
                <w:bCs/>
                <w:szCs w:val="28"/>
                <w:highlight w:val="none"/>
              </w:rPr>
            </w:pPr>
            <w:r>
              <w:rPr>
                <w:b/>
                <w:bCs/>
                <w:szCs w:val="28"/>
                <w:highlight w:val="none"/>
              </w:rPr>
              <w:t>p</w:t>
            </w:r>
          </w:p>
        </w:tc>
      </w:tr>
      <w:tr w14:paraId="5A4D8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7313815D">
            <w:pPr>
              <w:ind w:firstLine="0"/>
              <w:jc w:val="left"/>
              <w:rPr>
                <w:szCs w:val="28"/>
                <w:highlight w:val="none"/>
              </w:rPr>
            </w:pPr>
            <w:r>
              <w:rPr>
                <w:szCs w:val="28"/>
                <w:highlight w:val="none"/>
              </w:rPr>
              <w:t>Білірубін прямий, ммоль/л</w:t>
            </w:r>
          </w:p>
        </w:tc>
        <w:tc>
          <w:tcPr>
            <w:tcW w:w="2782" w:type="dxa"/>
            <w:vAlign w:val="center"/>
          </w:tcPr>
          <w:p w14:paraId="7A6555B8">
            <w:pPr>
              <w:ind w:firstLine="0"/>
              <w:jc w:val="center"/>
              <w:rPr>
                <w:szCs w:val="28"/>
                <w:highlight w:val="none"/>
              </w:rPr>
            </w:pPr>
            <w:r>
              <w:rPr>
                <w:szCs w:val="28"/>
                <w:highlight w:val="none"/>
              </w:rPr>
              <w:t>3,58 [2,85; 5,30]</w:t>
            </w:r>
          </w:p>
        </w:tc>
        <w:tc>
          <w:tcPr>
            <w:tcW w:w="2783" w:type="dxa"/>
            <w:vAlign w:val="center"/>
          </w:tcPr>
          <w:p w14:paraId="155FFBFC">
            <w:pPr>
              <w:ind w:firstLine="0"/>
              <w:jc w:val="center"/>
              <w:rPr>
                <w:szCs w:val="28"/>
                <w:highlight w:val="none"/>
              </w:rPr>
            </w:pPr>
            <w:r>
              <w:rPr>
                <w:szCs w:val="28"/>
                <w:highlight w:val="none"/>
              </w:rPr>
              <w:t>3,31 [2,52; 4,34]</w:t>
            </w:r>
          </w:p>
        </w:tc>
        <w:tc>
          <w:tcPr>
            <w:tcW w:w="1006" w:type="dxa"/>
            <w:vAlign w:val="center"/>
          </w:tcPr>
          <w:p w14:paraId="4F7544FB">
            <w:pPr>
              <w:ind w:firstLine="0"/>
              <w:jc w:val="center"/>
              <w:rPr>
                <w:b/>
                <w:bCs/>
                <w:szCs w:val="28"/>
                <w:highlight w:val="none"/>
              </w:rPr>
            </w:pPr>
            <w:r>
              <w:rPr>
                <w:b/>
                <w:bCs/>
                <w:szCs w:val="28"/>
                <w:highlight w:val="none"/>
              </w:rPr>
              <w:t>0,038</w:t>
            </w:r>
          </w:p>
        </w:tc>
      </w:tr>
      <w:tr w14:paraId="75AAF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6139037A">
            <w:pPr>
              <w:ind w:firstLine="0"/>
              <w:jc w:val="left"/>
              <w:rPr>
                <w:szCs w:val="28"/>
                <w:highlight w:val="none"/>
              </w:rPr>
            </w:pPr>
            <w:r>
              <w:rPr>
                <w:szCs w:val="28"/>
                <w:highlight w:val="none"/>
              </w:rPr>
              <w:t>Білірубін непрямий, ммоль/л</w:t>
            </w:r>
          </w:p>
        </w:tc>
        <w:tc>
          <w:tcPr>
            <w:tcW w:w="2782" w:type="dxa"/>
            <w:vAlign w:val="center"/>
          </w:tcPr>
          <w:p w14:paraId="4096796C">
            <w:pPr>
              <w:ind w:firstLine="0"/>
              <w:jc w:val="center"/>
              <w:rPr>
                <w:szCs w:val="28"/>
                <w:highlight w:val="none"/>
              </w:rPr>
            </w:pPr>
            <w:r>
              <w:rPr>
                <w:szCs w:val="28"/>
                <w:highlight w:val="none"/>
              </w:rPr>
              <w:t>8,0 [6,0; 12,0]</w:t>
            </w:r>
          </w:p>
        </w:tc>
        <w:tc>
          <w:tcPr>
            <w:tcW w:w="2783" w:type="dxa"/>
            <w:vAlign w:val="center"/>
          </w:tcPr>
          <w:p w14:paraId="6D0D5A65">
            <w:pPr>
              <w:ind w:firstLine="0"/>
              <w:jc w:val="center"/>
              <w:rPr>
                <w:szCs w:val="28"/>
                <w:highlight w:val="none"/>
              </w:rPr>
            </w:pPr>
            <w:r>
              <w:rPr>
                <w:szCs w:val="28"/>
                <w:highlight w:val="none"/>
              </w:rPr>
              <w:t>9,5 [6,54; 11,38]</w:t>
            </w:r>
          </w:p>
        </w:tc>
        <w:tc>
          <w:tcPr>
            <w:tcW w:w="1006" w:type="dxa"/>
            <w:vAlign w:val="center"/>
          </w:tcPr>
          <w:p w14:paraId="196D937B">
            <w:pPr>
              <w:ind w:firstLine="0"/>
              <w:jc w:val="center"/>
              <w:rPr>
                <w:szCs w:val="28"/>
                <w:highlight w:val="none"/>
              </w:rPr>
            </w:pPr>
            <w:r>
              <w:rPr>
                <w:szCs w:val="28"/>
                <w:highlight w:val="none"/>
              </w:rPr>
              <w:t>0,962</w:t>
            </w:r>
          </w:p>
        </w:tc>
      </w:tr>
      <w:tr w14:paraId="1EF1B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355013D5">
            <w:pPr>
              <w:ind w:firstLine="0"/>
              <w:jc w:val="left"/>
              <w:rPr>
                <w:szCs w:val="28"/>
                <w:highlight w:val="none"/>
              </w:rPr>
            </w:pPr>
            <w:r>
              <w:rPr>
                <w:szCs w:val="28"/>
                <w:highlight w:val="none"/>
              </w:rPr>
              <w:t>Тимолова проба, Од SH</w:t>
            </w:r>
          </w:p>
        </w:tc>
        <w:tc>
          <w:tcPr>
            <w:tcW w:w="2782" w:type="dxa"/>
            <w:vAlign w:val="center"/>
          </w:tcPr>
          <w:p w14:paraId="0FD6C696">
            <w:pPr>
              <w:ind w:firstLine="0"/>
              <w:jc w:val="center"/>
              <w:rPr>
                <w:szCs w:val="28"/>
                <w:highlight w:val="none"/>
              </w:rPr>
            </w:pPr>
            <w:r>
              <w:rPr>
                <w:szCs w:val="28"/>
                <w:highlight w:val="none"/>
              </w:rPr>
              <w:t>4,1 [2,9; 5,0]</w:t>
            </w:r>
          </w:p>
        </w:tc>
        <w:tc>
          <w:tcPr>
            <w:tcW w:w="2783" w:type="dxa"/>
            <w:vAlign w:val="center"/>
          </w:tcPr>
          <w:p w14:paraId="32585209">
            <w:pPr>
              <w:ind w:firstLine="0"/>
              <w:jc w:val="center"/>
              <w:rPr>
                <w:szCs w:val="28"/>
                <w:highlight w:val="none"/>
              </w:rPr>
            </w:pPr>
            <w:r>
              <w:rPr>
                <w:szCs w:val="28"/>
                <w:highlight w:val="none"/>
              </w:rPr>
              <w:t>1,6 [1,4; 1,9]</w:t>
            </w:r>
          </w:p>
        </w:tc>
        <w:tc>
          <w:tcPr>
            <w:tcW w:w="1006" w:type="dxa"/>
            <w:vAlign w:val="center"/>
          </w:tcPr>
          <w:p w14:paraId="01B0076E">
            <w:pPr>
              <w:ind w:firstLine="0"/>
              <w:jc w:val="center"/>
              <w:rPr>
                <w:b/>
                <w:bCs/>
                <w:szCs w:val="28"/>
                <w:highlight w:val="none"/>
              </w:rPr>
            </w:pPr>
            <w:r>
              <w:rPr>
                <w:b/>
                <w:bCs/>
                <w:szCs w:val="28"/>
                <w:highlight w:val="none"/>
              </w:rPr>
              <w:t>&lt;0,001</w:t>
            </w:r>
          </w:p>
        </w:tc>
      </w:tr>
      <w:tr w14:paraId="58078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5929ABB3">
            <w:pPr>
              <w:ind w:firstLine="0"/>
              <w:jc w:val="left"/>
              <w:rPr>
                <w:szCs w:val="28"/>
                <w:highlight w:val="none"/>
              </w:rPr>
            </w:pPr>
            <w:r>
              <w:rPr>
                <w:szCs w:val="28"/>
                <w:highlight w:val="none"/>
              </w:rPr>
              <w:t>Альбумін, г/л</w:t>
            </w:r>
          </w:p>
        </w:tc>
        <w:tc>
          <w:tcPr>
            <w:tcW w:w="2782" w:type="dxa"/>
            <w:vAlign w:val="center"/>
          </w:tcPr>
          <w:p w14:paraId="745F57AB">
            <w:pPr>
              <w:ind w:firstLine="0"/>
              <w:jc w:val="center"/>
              <w:rPr>
                <w:szCs w:val="28"/>
                <w:highlight w:val="none"/>
              </w:rPr>
            </w:pPr>
            <w:r>
              <w:rPr>
                <w:szCs w:val="28"/>
                <w:highlight w:val="none"/>
              </w:rPr>
              <w:t>45,2 [31,8; 54,0]</w:t>
            </w:r>
          </w:p>
        </w:tc>
        <w:tc>
          <w:tcPr>
            <w:tcW w:w="2783" w:type="dxa"/>
            <w:vAlign w:val="center"/>
          </w:tcPr>
          <w:p w14:paraId="00237028">
            <w:pPr>
              <w:ind w:firstLine="0"/>
              <w:jc w:val="center"/>
              <w:rPr>
                <w:szCs w:val="28"/>
                <w:highlight w:val="none"/>
              </w:rPr>
            </w:pPr>
            <w:r>
              <w:rPr>
                <w:szCs w:val="28"/>
                <w:highlight w:val="none"/>
              </w:rPr>
              <w:t>48,6 [42,8; 56,0]</w:t>
            </w:r>
          </w:p>
        </w:tc>
        <w:tc>
          <w:tcPr>
            <w:tcW w:w="1006" w:type="dxa"/>
            <w:vAlign w:val="center"/>
          </w:tcPr>
          <w:p w14:paraId="41EDA31A">
            <w:pPr>
              <w:ind w:firstLine="0"/>
              <w:jc w:val="center"/>
              <w:rPr>
                <w:b/>
                <w:bCs/>
                <w:szCs w:val="28"/>
                <w:highlight w:val="none"/>
              </w:rPr>
            </w:pPr>
            <w:r>
              <w:rPr>
                <w:b/>
                <w:bCs/>
                <w:szCs w:val="28"/>
                <w:highlight w:val="none"/>
              </w:rPr>
              <w:t>&lt;0,001</w:t>
            </w:r>
          </w:p>
        </w:tc>
      </w:tr>
      <w:tr w14:paraId="7C6B6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75898AA7">
            <w:pPr>
              <w:ind w:firstLine="0"/>
              <w:jc w:val="left"/>
              <w:rPr>
                <w:szCs w:val="28"/>
                <w:highlight w:val="none"/>
              </w:rPr>
            </w:pPr>
            <w:r>
              <w:rPr>
                <w:szCs w:val="28"/>
                <w:highlight w:val="none"/>
              </w:rPr>
              <w:t>Білок загальний, г/л</w:t>
            </w:r>
          </w:p>
        </w:tc>
        <w:tc>
          <w:tcPr>
            <w:tcW w:w="2782" w:type="dxa"/>
            <w:vAlign w:val="center"/>
          </w:tcPr>
          <w:p w14:paraId="1186E7C5">
            <w:pPr>
              <w:ind w:firstLine="0"/>
              <w:jc w:val="center"/>
              <w:rPr>
                <w:szCs w:val="28"/>
                <w:highlight w:val="none"/>
              </w:rPr>
            </w:pPr>
            <w:r>
              <w:rPr>
                <w:szCs w:val="28"/>
                <w:highlight w:val="none"/>
              </w:rPr>
              <w:t>75,7 [70,0; 78,0]</w:t>
            </w:r>
          </w:p>
        </w:tc>
        <w:tc>
          <w:tcPr>
            <w:tcW w:w="2783" w:type="dxa"/>
            <w:vAlign w:val="center"/>
          </w:tcPr>
          <w:p w14:paraId="364262D9">
            <w:pPr>
              <w:ind w:firstLine="0"/>
              <w:jc w:val="center"/>
              <w:rPr>
                <w:szCs w:val="28"/>
                <w:highlight w:val="none"/>
              </w:rPr>
            </w:pPr>
            <w:r>
              <w:rPr>
                <w:szCs w:val="28"/>
                <w:highlight w:val="none"/>
              </w:rPr>
              <w:t>69,1 [48,17; 76,0]</w:t>
            </w:r>
          </w:p>
        </w:tc>
        <w:tc>
          <w:tcPr>
            <w:tcW w:w="1006" w:type="dxa"/>
            <w:vAlign w:val="center"/>
          </w:tcPr>
          <w:p w14:paraId="6BCB38C3">
            <w:pPr>
              <w:ind w:firstLine="0"/>
              <w:jc w:val="center"/>
              <w:rPr>
                <w:b/>
                <w:bCs/>
                <w:szCs w:val="28"/>
                <w:highlight w:val="none"/>
              </w:rPr>
            </w:pPr>
            <w:r>
              <w:rPr>
                <w:b/>
                <w:bCs/>
                <w:szCs w:val="28"/>
                <w:highlight w:val="none"/>
              </w:rPr>
              <w:t>&lt;0,001</w:t>
            </w:r>
          </w:p>
        </w:tc>
      </w:tr>
      <w:tr w14:paraId="6D565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3AF4CF8D">
            <w:pPr>
              <w:ind w:firstLine="0"/>
              <w:jc w:val="left"/>
              <w:rPr>
                <w:szCs w:val="28"/>
                <w:highlight w:val="none"/>
              </w:rPr>
            </w:pPr>
            <w:r>
              <w:rPr>
                <w:szCs w:val="28"/>
                <w:highlight w:val="none"/>
              </w:rPr>
              <w:t>ХС, ммоль/л</w:t>
            </w:r>
          </w:p>
        </w:tc>
        <w:tc>
          <w:tcPr>
            <w:tcW w:w="2782" w:type="dxa"/>
            <w:vAlign w:val="center"/>
          </w:tcPr>
          <w:p w14:paraId="3E749DA3">
            <w:pPr>
              <w:ind w:firstLine="0"/>
              <w:jc w:val="center"/>
              <w:rPr>
                <w:szCs w:val="28"/>
                <w:highlight w:val="none"/>
              </w:rPr>
            </w:pPr>
            <w:r>
              <w:rPr>
                <w:szCs w:val="28"/>
                <w:highlight w:val="none"/>
              </w:rPr>
              <w:t>4,25 [3,23; 5,20]</w:t>
            </w:r>
          </w:p>
        </w:tc>
        <w:tc>
          <w:tcPr>
            <w:tcW w:w="2783" w:type="dxa"/>
            <w:vAlign w:val="center"/>
          </w:tcPr>
          <w:p w14:paraId="57960EBA">
            <w:pPr>
              <w:ind w:firstLine="0"/>
              <w:jc w:val="center"/>
              <w:rPr>
                <w:szCs w:val="28"/>
                <w:highlight w:val="none"/>
              </w:rPr>
            </w:pPr>
            <w:r>
              <w:rPr>
                <w:szCs w:val="28"/>
                <w:highlight w:val="none"/>
              </w:rPr>
              <w:t>4,67 [3,31; 5,68]</w:t>
            </w:r>
          </w:p>
        </w:tc>
        <w:tc>
          <w:tcPr>
            <w:tcW w:w="1006" w:type="dxa"/>
            <w:vAlign w:val="center"/>
          </w:tcPr>
          <w:p w14:paraId="1A545A1B">
            <w:pPr>
              <w:ind w:firstLine="0"/>
              <w:jc w:val="center"/>
              <w:rPr>
                <w:szCs w:val="28"/>
                <w:highlight w:val="none"/>
              </w:rPr>
            </w:pPr>
            <w:r>
              <w:rPr>
                <w:szCs w:val="28"/>
                <w:highlight w:val="none"/>
              </w:rPr>
              <w:t>0,205</w:t>
            </w:r>
          </w:p>
        </w:tc>
      </w:tr>
      <w:tr w14:paraId="72B97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57076467">
            <w:pPr>
              <w:ind w:firstLine="0"/>
              <w:jc w:val="left"/>
              <w:rPr>
                <w:szCs w:val="28"/>
                <w:highlight w:val="none"/>
              </w:rPr>
            </w:pPr>
            <w:r>
              <w:rPr>
                <w:szCs w:val="28"/>
                <w:highlight w:val="none"/>
              </w:rPr>
              <w:t>ЛПВЩ, ммоль/л</w:t>
            </w:r>
          </w:p>
        </w:tc>
        <w:tc>
          <w:tcPr>
            <w:tcW w:w="2782" w:type="dxa"/>
            <w:vAlign w:val="center"/>
          </w:tcPr>
          <w:p w14:paraId="255BEB9F">
            <w:pPr>
              <w:ind w:firstLine="0"/>
              <w:jc w:val="center"/>
              <w:rPr>
                <w:szCs w:val="28"/>
                <w:highlight w:val="none"/>
              </w:rPr>
            </w:pPr>
            <w:r>
              <w:rPr>
                <w:szCs w:val="28"/>
                <w:highlight w:val="none"/>
              </w:rPr>
              <w:t>1,36 [1,19; 1,65]</w:t>
            </w:r>
          </w:p>
        </w:tc>
        <w:tc>
          <w:tcPr>
            <w:tcW w:w="2783" w:type="dxa"/>
            <w:vAlign w:val="center"/>
          </w:tcPr>
          <w:p w14:paraId="2AEF8911">
            <w:pPr>
              <w:ind w:firstLine="0"/>
              <w:jc w:val="center"/>
              <w:rPr>
                <w:szCs w:val="28"/>
                <w:highlight w:val="none"/>
              </w:rPr>
            </w:pPr>
            <w:r>
              <w:rPr>
                <w:szCs w:val="28"/>
                <w:highlight w:val="none"/>
              </w:rPr>
              <w:t>1,43 [1,19; 1,76]</w:t>
            </w:r>
          </w:p>
        </w:tc>
        <w:tc>
          <w:tcPr>
            <w:tcW w:w="1006" w:type="dxa"/>
            <w:vAlign w:val="center"/>
          </w:tcPr>
          <w:p w14:paraId="76EC5FBA">
            <w:pPr>
              <w:ind w:firstLine="0"/>
              <w:jc w:val="center"/>
              <w:rPr>
                <w:szCs w:val="28"/>
                <w:highlight w:val="none"/>
              </w:rPr>
            </w:pPr>
            <w:r>
              <w:rPr>
                <w:szCs w:val="28"/>
                <w:highlight w:val="none"/>
              </w:rPr>
              <w:t>0,513</w:t>
            </w:r>
          </w:p>
        </w:tc>
      </w:tr>
      <w:tr w14:paraId="42E43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324CCE86">
            <w:pPr>
              <w:ind w:firstLine="0"/>
              <w:jc w:val="left"/>
              <w:rPr>
                <w:szCs w:val="28"/>
                <w:highlight w:val="none"/>
              </w:rPr>
            </w:pPr>
            <w:r>
              <w:rPr>
                <w:szCs w:val="28"/>
                <w:highlight w:val="none"/>
              </w:rPr>
              <w:t>ТГ, ммоль/л</w:t>
            </w:r>
          </w:p>
        </w:tc>
        <w:tc>
          <w:tcPr>
            <w:tcW w:w="2782" w:type="dxa"/>
            <w:vAlign w:val="center"/>
          </w:tcPr>
          <w:p w14:paraId="12EE69D9">
            <w:pPr>
              <w:ind w:firstLine="0"/>
              <w:jc w:val="center"/>
              <w:rPr>
                <w:szCs w:val="28"/>
                <w:highlight w:val="none"/>
              </w:rPr>
            </w:pPr>
            <w:r>
              <w:rPr>
                <w:szCs w:val="28"/>
                <w:highlight w:val="none"/>
              </w:rPr>
              <w:t>1,14 [0,89; 1,82]</w:t>
            </w:r>
          </w:p>
        </w:tc>
        <w:tc>
          <w:tcPr>
            <w:tcW w:w="2783" w:type="dxa"/>
            <w:vAlign w:val="center"/>
          </w:tcPr>
          <w:p w14:paraId="69C82464">
            <w:pPr>
              <w:ind w:firstLine="0"/>
              <w:jc w:val="center"/>
              <w:rPr>
                <w:szCs w:val="28"/>
                <w:highlight w:val="none"/>
              </w:rPr>
            </w:pPr>
            <w:r>
              <w:rPr>
                <w:szCs w:val="28"/>
                <w:highlight w:val="none"/>
              </w:rPr>
              <w:t>1,03 [0,89; 1,40]</w:t>
            </w:r>
          </w:p>
        </w:tc>
        <w:tc>
          <w:tcPr>
            <w:tcW w:w="1006" w:type="dxa"/>
            <w:vAlign w:val="center"/>
          </w:tcPr>
          <w:p w14:paraId="18FB5602">
            <w:pPr>
              <w:ind w:firstLine="0"/>
              <w:jc w:val="center"/>
              <w:rPr>
                <w:szCs w:val="28"/>
                <w:highlight w:val="none"/>
              </w:rPr>
            </w:pPr>
            <w:r>
              <w:rPr>
                <w:szCs w:val="28"/>
                <w:highlight w:val="none"/>
              </w:rPr>
              <w:t>0,238</w:t>
            </w:r>
          </w:p>
        </w:tc>
      </w:tr>
      <w:tr w14:paraId="3C9FC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77F4809F">
            <w:pPr>
              <w:ind w:firstLine="0"/>
              <w:jc w:val="left"/>
              <w:rPr>
                <w:szCs w:val="28"/>
                <w:highlight w:val="none"/>
              </w:rPr>
            </w:pPr>
            <w:r>
              <w:rPr>
                <w:szCs w:val="28"/>
                <w:highlight w:val="none"/>
              </w:rPr>
              <w:t>ЛПНЩ, ммоль/л</w:t>
            </w:r>
          </w:p>
        </w:tc>
        <w:tc>
          <w:tcPr>
            <w:tcW w:w="2782" w:type="dxa"/>
            <w:vAlign w:val="center"/>
          </w:tcPr>
          <w:p w14:paraId="01D3E9C6">
            <w:pPr>
              <w:ind w:firstLine="0"/>
              <w:jc w:val="center"/>
              <w:rPr>
                <w:szCs w:val="28"/>
                <w:highlight w:val="none"/>
              </w:rPr>
            </w:pPr>
            <w:r>
              <w:rPr>
                <w:szCs w:val="28"/>
                <w:highlight w:val="none"/>
              </w:rPr>
              <w:t>2,19 [1,53; 3,00]</w:t>
            </w:r>
          </w:p>
        </w:tc>
        <w:tc>
          <w:tcPr>
            <w:tcW w:w="2783" w:type="dxa"/>
            <w:vAlign w:val="center"/>
          </w:tcPr>
          <w:p w14:paraId="7FE9101B">
            <w:pPr>
              <w:ind w:firstLine="0"/>
              <w:jc w:val="center"/>
              <w:rPr>
                <w:szCs w:val="28"/>
                <w:highlight w:val="none"/>
              </w:rPr>
            </w:pPr>
            <w:r>
              <w:rPr>
                <w:szCs w:val="28"/>
                <w:highlight w:val="none"/>
              </w:rPr>
              <w:t>2,66 [2,00; 3,55]</w:t>
            </w:r>
          </w:p>
        </w:tc>
        <w:tc>
          <w:tcPr>
            <w:tcW w:w="1006" w:type="dxa"/>
            <w:vAlign w:val="center"/>
          </w:tcPr>
          <w:p w14:paraId="7FFAC080">
            <w:pPr>
              <w:ind w:firstLine="0"/>
              <w:jc w:val="center"/>
              <w:rPr>
                <w:b/>
                <w:bCs/>
                <w:szCs w:val="28"/>
                <w:highlight w:val="none"/>
              </w:rPr>
            </w:pPr>
            <w:r>
              <w:rPr>
                <w:b/>
                <w:bCs/>
                <w:szCs w:val="28"/>
                <w:highlight w:val="none"/>
              </w:rPr>
              <w:t>0,016</w:t>
            </w:r>
          </w:p>
        </w:tc>
      </w:tr>
      <w:tr w14:paraId="0E289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0D4E75A9">
            <w:pPr>
              <w:ind w:firstLine="0"/>
              <w:jc w:val="left"/>
              <w:rPr>
                <w:szCs w:val="28"/>
                <w:highlight w:val="none"/>
              </w:rPr>
            </w:pPr>
            <w:r>
              <w:rPr>
                <w:szCs w:val="28"/>
                <w:highlight w:val="none"/>
              </w:rPr>
              <w:t>ЛПДНЩ, ммоль/л</w:t>
            </w:r>
          </w:p>
        </w:tc>
        <w:tc>
          <w:tcPr>
            <w:tcW w:w="2782" w:type="dxa"/>
            <w:vAlign w:val="center"/>
          </w:tcPr>
          <w:p w14:paraId="5AEC1798">
            <w:pPr>
              <w:ind w:firstLine="0"/>
              <w:jc w:val="center"/>
              <w:rPr>
                <w:szCs w:val="28"/>
                <w:highlight w:val="none"/>
              </w:rPr>
            </w:pPr>
            <w:r>
              <w:rPr>
                <w:szCs w:val="28"/>
                <w:highlight w:val="none"/>
              </w:rPr>
              <w:t>0,52 [0,40; 0,82]</w:t>
            </w:r>
          </w:p>
        </w:tc>
        <w:tc>
          <w:tcPr>
            <w:tcW w:w="2783" w:type="dxa"/>
            <w:vAlign w:val="center"/>
          </w:tcPr>
          <w:p w14:paraId="0F70FFA1">
            <w:pPr>
              <w:ind w:firstLine="0"/>
              <w:jc w:val="center"/>
              <w:rPr>
                <w:szCs w:val="28"/>
                <w:highlight w:val="none"/>
              </w:rPr>
            </w:pPr>
            <w:r>
              <w:rPr>
                <w:szCs w:val="28"/>
                <w:highlight w:val="none"/>
              </w:rPr>
              <w:t>0,51 [0,34; 0,66]</w:t>
            </w:r>
          </w:p>
        </w:tc>
        <w:tc>
          <w:tcPr>
            <w:tcW w:w="1006" w:type="dxa"/>
            <w:vAlign w:val="center"/>
          </w:tcPr>
          <w:p w14:paraId="0E998ECF">
            <w:pPr>
              <w:ind w:firstLine="0"/>
              <w:jc w:val="center"/>
              <w:rPr>
                <w:szCs w:val="28"/>
                <w:highlight w:val="none"/>
              </w:rPr>
            </w:pPr>
            <w:r>
              <w:rPr>
                <w:szCs w:val="28"/>
                <w:highlight w:val="none"/>
              </w:rPr>
              <w:t>0,323</w:t>
            </w:r>
          </w:p>
        </w:tc>
      </w:tr>
      <w:tr w14:paraId="4342C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7743628F">
            <w:pPr>
              <w:ind w:firstLine="0"/>
              <w:jc w:val="left"/>
              <w:rPr>
                <w:szCs w:val="28"/>
                <w:highlight w:val="none"/>
              </w:rPr>
            </w:pPr>
            <w:r>
              <w:rPr>
                <w:szCs w:val="28"/>
                <w:highlight w:val="none"/>
              </w:rPr>
              <w:t>КА</w:t>
            </w:r>
          </w:p>
        </w:tc>
        <w:tc>
          <w:tcPr>
            <w:tcW w:w="2782" w:type="dxa"/>
            <w:vAlign w:val="center"/>
          </w:tcPr>
          <w:p w14:paraId="0FE71A39">
            <w:pPr>
              <w:ind w:firstLine="0"/>
              <w:jc w:val="center"/>
              <w:rPr>
                <w:szCs w:val="28"/>
                <w:highlight w:val="none"/>
              </w:rPr>
            </w:pPr>
            <w:r>
              <w:rPr>
                <w:szCs w:val="28"/>
                <w:highlight w:val="none"/>
              </w:rPr>
              <w:t>2,00 [1,59; 4,77]</w:t>
            </w:r>
          </w:p>
        </w:tc>
        <w:tc>
          <w:tcPr>
            <w:tcW w:w="2783" w:type="dxa"/>
            <w:vAlign w:val="center"/>
          </w:tcPr>
          <w:p w14:paraId="6EB7FC8A">
            <w:pPr>
              <w:ind w:firstLine="0"/>
              <w:jc w:val="center"/>
              <w:rPr>
                <w:szCs w:val="28"/>
                <w:highlight w:val="none"/>
              </w:rPr>
            </w:pPr>
            <w:r>
              <w:rPr>
                <w:szCs w:val="28"/>
                <w:highlight w:val="none"/>
              </w:rPr>
              <w:t>2,18 [1,73; 4,92]</w:t>
            </w:r>
          </w:p>
        </w:tc>
        <w:tc>
          <w:tcPr>
            <w:tcW w:w="1006" w:type="dxa"/>
            <w:vAlign w:val="center"/>
          </w:tcPr>
          <w:p w14:paraId="5A852A9D">
            <w:pPr>
              <w:ind w:firstLine="0"/>
              <w:jc w:val="center"/>
              <w:rPr>
                <w:szCs w:val="28"/>
                <w:highlight w:val="none"/>
              </w:rPr>
            </w:pPr>
            <w:r>
              <w:rPr>
                <w:szCs w:val="28"/>
                <w:highlight w:val="none"/>
              </w:rPr>
              <w:t>0,188</w:t>
            </w:r>
          </w:p>
        </w:tc>
      </w:tr>
      <w:tr w14:paraId="4C296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667A8A40">
            <w:pPr>
              <w:ind w:firstLine="0"/>
              <w:jc w:val="left"/>
              <w:rPr>
                <w:szCs w:val="28"/>
                <w:highlight w:val="none"/>
              </w:rPr>
            </w:pPr>
            <w:r>
              <w:rPr>
                <w:szCs w:val="28"/>
                <w:highlight w:val="none"/>
              </w:rPr>
              <w:t>Креатинін, мкмоль/л</w:t>
            </w:r>
          </w:p>
        </w:tc>
        <w:tc>
          <w:tcPr>
            <w:tcW w:w="2782" w:type="dxa"/>
            <w:vAlign w:val="center"/>
          </w:tcPr>
          <w:p w14:paraId="03E31039">
            <w:pPr>
              <w:ind w:firstLine="0"/>
              <w:jc w:val="center"/>
              <w:rPr>
                <w:szCs w:val="28"/>
                <w:highlight w:val="none"/>
              </w:rPr>
            </w:pPr>
            <w:r>
              <w:rPr>
                <w:szCs w:val="28"/>
                <w:highlight w:val="none"/>
              </w:rPr>
              <w:t>76,8 [68,0; 83,9]</w:t>
            </w:r>
          </w:p>
        </w:tc>
        <w:tc>
          <w:tcPr>
            <w:tcW w:w="2783" w:type="dxa"/>
            <w:vAlign w:val="center"/>
          </w:tcPr>
          <w:p w14:paraId="4FD1F1A6">
            <w:pPr>
              <w:ind w:firstLine="0"/>
              <w:jc w:val="center"/>
              <w:rPr>
                <w:szCs w:val="28"/>
                <w:highlight w:val="none"/>
              </w:rPr>
            </w:pPr>
            <w:r>
              <w:rPr>
                <w:szCs w:val="28"/>
                <w:highlight w:val="none"/>
              </w:rPr>
              <w:t>79,6 [72,7; 92,1]</w:t>
            </w:r>
          </w:p>
        </w:tc>
        <w:tc>
          <w:tcPr>
            <w:tcW w:w="1006" w:type="dxa"/>
            <w:vAlign w:val="center"/>
          </w:tcPr>
          <w:p w14:paraId="48EC6B55">
            <w:pPr>
              <w:ind w:firstLine="0"/>
              <w:jc w:val="center"/>
              <w:rPr>
                <w:b/>
                <w:bCs/>
                <w:szCs w:val="28"/>
                <w:highlight w:val="none"/>
              </w:rPr>
            </w:pPr>
            <w:r>
              <w:rPr>
                <w:b/>
                <w:bCs/>
                <w:szCs w:val="28"/>
                <w:highlight w:val="none"/>
              </w:rPr>
              <w:t>0,082</w:t>
            </w:r>
          </w:p>
        </w:tc>
      </w:tr>
      <w:tr w14:paraId="31440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17892948">
            <w:pPr>
              <w:ind w:firstLine="0"/>
              <w:jc w:val="left"/>
              <w:rPr>
                <w:szCs w:val="28"/>
                <w:highlight w:val="none"/>
              </w:rPr>
            </w:pPr>
            <w:r>
              <w:rPr>
                <w:szCs w:val="28"/>
                <w:highlight w:val="none"/>
              </w:rPr>
              <w:t>Глюкоза, ммоль/л</w:t>
            </w:r>
          </w:p>
        </w:tc>
        <w:tc>
          <w:tcPr>
            <w:tcW w:w="2782" w:type="dxa"/>
            <w:vAlign w:val="center"/>
          </w:tcPr>
          <w:p w14:paraId="644DB39D">
            <w:pPr>
              <w:ind w:firstLine="0"/>
              <w:jc w:val="center"/>
              <w:rPr>
                <w:szCs w:val="28"/>
                <w:highlight w:val="none"/>
              </w:rPr>
            </w:pPr>
            <w:r>
              <w:rPr>
                <w:szCs w:val="28"/>
                <w:highlight w:val="none"/>
              </w:rPr>
              <w:t>5,00 [4,70; 5,50]</w:t>
            </w:r>
          </w:p>
        </w:tc>
        <w:tc>
          <w:tcPr>
            <w:tcW w:w="2783" w:type="dxa"/>
            <w:vAlign w:val="center"/>
          </w:tcPr>
          <w:p w14:paraId="5A76D706">
            <w:pPr>
              <w:ind w:firstLine="0"/>
              <w:jc w:val="center"/>
              <w:rPr>
                <w:szCs w:val="28"/>
                <w:highlight w:val="none"/>
              </w:rPr>
            </w:pPr>
            <w:r>
              <w:rPr>
                <w:szCs w:val="28"/>
                <w:highlight w:val="none"/>
              </w:rPr>
              <w:t>5,01 [4,70; 5,39]</w:t>
            </w:r>
          </w:p>
        </w:tc>
        <w:tc>
          <w:tcPr>
            <w:tcW w:w="1006" w:type="dxa"/>
            <w:vAlign w:val="center"/>
          </w:tcPr>
          <w:p w14:paraId="4D22E22E">
            <w:pPr>
              <w:ind w:firstLine="0"/>
              <w:jc w:val="center"/>
              <w:rPr>
                <w:szCs w:val="28"/>
                <w:highlight w:val="none"/>
              </w:rPr>
            </w:pPr>
            <w:r>
              <w:rPr>
                <w:szCs w:val="28"/>
                <w:highlight w:val="none"/>
              </w:rPr>
              <w:t>0,954</w:t>
            </w:r>
          </w:p>
        </w:tc>
      </w:tr>
    </w:tbl>
    <w:p w14:paraId="64978C8A">
      <w:pPr>
        <w:rPr>
          <w:highlight w:val="none"/>
        </w:rPr>
      </w:pPr>
    </w:p>
    <w:p w14:paraId="5CEB98EC">
      <w:pPr>
        <w:rPr>
          <w:highlight w:val="none"/>
        </w:rPr>
      </w:pPr>
      <w:r>
        <w:rPr>
          <w:highlight w:val="none"/>
        </w:rPr>
        <w:t>В основній групі після проведеного лікування було відмічено достовірне (р&lt;0,001) зниження рівнів АЛТ, АСТ та ГГТ. Також знизилися медіанні рівні прямого білірубіну: 3,58 [2,85; 5,30] ммоль/л та 3,31 [2,52; 4,34] ммоль/л (р=0,038). Майже в 2,5 рази знизилися показники тимолової проби: 4,1 [2,9; 5,0] та 1,6 [1,4; 1,9] (р&lt;0,001). Медіанні рівні альбуміну після лікування достовірно підвищилися до 48,6 [42,8; 56,0] г/л (р&lt;0,001), та рівні загального білку достовірно (р&lt;0,001) стали нижчими від відповідних до лікування: 69,1 [48,2; 76,0] г/л та 75,7 [70,0; 78,0] г/л. Незначне проте достовірне підвищення було зареєстровано відносно рівнів ЛПНЩ: до 2,66 [2,00; 3,55] ммоль/л (р=0,016).</w:t>
      </w:r>
    </w:p>
    <w:p w14:paraId="46F41BAD">
      <w:pPr>
        <w:rPr>
          <w:highlight w:val="none"/>
        </w:rPr>
      </w:pPr>
    </w:p>
    <w:p w14:paraId="0A246FDB">
      <w:pPr>
        <w:pStyle w:val="3"/>
        <w:rPr>
          <w:szCs w:val="28"/>
          <w:highlight w:val="none"/>
        </w:rPr>
      </w:pPr>
      <w:bookmarkStart w:id="53" w:name="_Toc147703410"/>
      <w:bookmarkStart w:id="54" w:name="_Toc153923962"/>
      <w:r>
        <w:rPr>
          <w:szCs w:val="28"/>
          <w:highlight w:val="none"/>
        </w:rPr>
        <w:t>4.3 Показники в залежності від ступеню фіброзу печінки після лікування в основній групі</w:t>
      </w:r>
      <w:bookmarkEnd w:id="53"/>
      <w:bookmarkEnd w:id="54"/>
    </w:p>
    <w:p w14:paraId="2A61B192">
      <w:pPr>
        <w:rPr>
          <w:szCs w:val="28"/>
          <w:highlight w:val="none"/>
        </w:rPr>
      </w:pPr>
    </w:p>
    <w:p w14:paraId="1949DD57">
      <w:pPr>
        <w:rPr>
          <w:szCs w:val="28"/>
          <w:highlight w:val="none"/>
        </w:rPr>
      </w:pPr>
      <w:r>
        <w:rPr>
          <w:szCs w:val="28"/>
          <w:highlight w:val="none"/>
        </w:rPr>
        <w:t>В даному підрозділі надано порівняння показників клінічного та біохімічного аналізу крові пацієнтів основної групи в залежності від стадії фіброзу печінки на етапі після лікування.</w:t>
      </w:r>
    </w:p>
    <w:p w14:paraId="3E3539EB">
      <w:pPr>
        <w:jc w:val="right"/>
        <w:rPr>
          <w:i/>
          <w:iCs/>
          <w:szCs w:val="28"/>
          <w:highlight w:val="none"/>
        </w:rPr>
      </w:pPr>
      <w:r>
        <w:rPr>
          <w:i/>
          <w:iCs/>
          <w:szCs w:val="28"/>
          <w:highlight w:val="none"/>
        </w:rPr>
        <w:t>Таблиця 4.5</w:t>
      </w:r>
    </w:p>
    <w:p w14:paraId="1E7FA093">
      <w:pPr>
        <w:rPr>
          <w:b/>
          <w:bCs/>
          <w:szCs w:val="28"/>
          <w:highlight w:val="none"/>
        </w:rPr>
      </w:pPr>
      <w:r>
        <w:rPr>
          <w:b/>
          <w:bCs/>
          <w:szCs w:val="28"/>
          <w:highlight w:val="none"/>
        </w:rPr>
        <w:t>Показники клінічного аналізу крові обстежених пацієнтів після лікування</w:t>
      </w:r>
      <w:r>
        <w:rPr>
          <w:szCs w:val="28"/>
          <w:highlight w:val="none"/>
        </w:rPr>
        <w:t xml:space="preserve"> </w:t>
      </w:r>
      <w:r>
        <w:rPr>
          <w:b/>
          <w:bCs/>
          <w:szCs w:val="28"/>
          <w:highlight w:val="none"/>
        </w:rPr>
        <w:t>в залежності від ступеню фіброзу печінки, Me [Lq; Uq]</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47"/>
        <w:gridCol w:w="2693"/>
        <w:gridCol w:w="3099"/>
        <w:gridCol w:w="1006"/>
      </w:tblGrid>
      <w:tr w14:paraId="0CDC33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4A1F59C5">
            <w:pPr>
              <w:ind w:firstLine="0"/>
              <w:jc w:val="left"/>
              <w:rPr>
                <w:b/>
                <w:bCs/>
                <w:szCs w:val="28"/>
                <w:highlight w:val="none"/>
              </w:rPr>
            </w:pPr>
            <w:r>
              <w:rPr>
                <w:b/>
                <w:bCs/>
                <w:szCs w:val="28"/>
                <w:highlight w:val="none"/>
              </w:rPr>
              <w:t>Показник</w:t>
            </w:r>
          </w:p>
        </w:tc>
        <w:tc>
          <w:tcPr>
            <w:tcW w:w="2693" w:type="dxa"/>
            <w:vAlign w:val="center"/>
          </w:tcPr>
          <w:p w14:paraId="1AFC4881">
            <w:pPr>
              <w:ind w:firstLine="0"/>
              <w:jc w:val="center"/>
              <w:rPr>
                <w:b/>
                <w:bCs/>
                <w:szCs w:val="28"/>
                <w:highlight w:val="none"/>
              </w:rPr>
            </w:pPr>
            <w:r>
              <w:rPr>
                <w:b/>
                <w:bCs/>
                <w:szCs w:val="28"/>
                <w:highlight w:val="none"/>
              </w:rPr>
              <w:t>1 підгрупа (n = 31)</w:t>
            </w:r>
          </w:p>
        </w:tc>
        <w:tc>
          <w:tcPr>
            <w:tcW w:w="3099" w:type="dxa"/>
            <w:vAlign w:val="center"/>
          </w:tcPr>
          <w:p w14:paraId="5C0C98E3">
            <w:pPr>
              <w:ind w:firstLine="0"/>
              <w:jc w:val="center"/>
              <w:rPr>
                <w:b/>
                <w:bCs/>
                <w:szCs w:val="28"/>
                <w:highlight w:val="none"/>
              </w:rPr>
            </w:pPr>
            <w:r>
              <w:rPr>
                <w:b/>
                <w:bCs/>
                <w:szCs w:val="28"/>
                <w:highlight w:val="none"/>
              </w:rPr>
              <w:t>2 підгрупа (n = 16)</w:t>
            </w:r>
          </w:p>
        </w:tc>
        <w:tc>
          <w:tcPr>
            <w:tcW w:w="1006" w:type="dxa"/>
            <w:vAlign w:val="center"/>
          </w:tcPr>
          <w:p w14:paraId="2189B3A8">
            <w:pPr>
              <w:ind w:firstLine="0"/>
              <w:jc w:val="center"/>
              <w:rPr>
                <w:b/>
                <w:bCs/>
                <w:szCs w:val="28"/>
                <w:highlight w:val="none"/>
              </w:rPr>
            </w:pPr>
            <w:r>
              <w:rPr>
                <w:b/>
                <w:bCs/>
                <w:szCs w:val="28"/>
                <w:highlight w:val="none"/>
              </w:rPr>
              <w:t>p</w:t>
            </w:r>
          </w:p>
        </w:tc>
      </w:tr>
      <w:tr w14:paraId="79A7A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439BD868">
            <w:pPr>
              <w:ind w:firstLine="0"/>
              <w:jc w:val="left"/>
              <w:rPr>
                <w:szCs w:val="28"/>
                <w:highlight w:val="none"/>
              </w:rPr>
            </w:pPr>
            <w:r>
              <w:rPr>
                <w:szCs w:val="28"/>
                <w:highlight w:val="none"/>
              </w:rPr>
              <w:t>Еритроцити, 10</w:t>
            </w:r>
            <w:r>
              <w:rPr>
                <w:szCs w:val="28"/>
                <w:highlight w:val="none"/>
                <w:vertAlign w:val="superscript"/>
              </w:rPr>
              <w:t>12</w:t>
            </w:r>
            <w:r>
              <w:rPr>
                <w:szCs w:val="28"/>
                <w:highlight w:val="none"/>
              </w:rPr>
              <w:t>/л</w:t>
            </w:r>
          </w:p>
        </w:tc>
        <w:tc>
          <w:tcPr>
            <w:tcW w:w="2693" w:type="dxa"/>
            <w:vAlign w:val="center"/>
          </w:tcPr>
          <w:p w14:paraId="74757E8C">
            <w:pPr>
              <w:ind w:firstLine="0"/>
              <w:jc w:val="center"/>
              <w:rPr>
                <w:szCs w:val="28"/>
                <w:highlight w:val="none"/>
              </w:rPr>
            </w:pPr>
            <w:r>
              <w:rPr>
                <w:szCs w:val="28"/>
                <w:highlight w:val="none"/>
              </w:rPr>
              <w:t>4,73 [4,23; 5,04]</w:t>
            </w:r>
          </w:p>
        </w:tc>
        <w:tc>
          <w:tcPr>
            <w:tcW w:w="3099" w:type="dxa"/>
            <w:vAlign w:val="center"/>
          </w:tcPr>
          <w:p w14:paraId="482FE566">
            <w:pPr>
              <w:ind w:firstLine="0"/>
              <w:jc w:val="center"/>
              <w:rPr>
                <w:szCs w:val="28"/>
                <w:highlight w:val="none"/>
              </w:rPr>
            </w:pPr>
            <w:r>
              <w:rPr>
                <w:szCs w:val="28"/>
                <w:highlight w:val="none"/>
              </w:rPr>
              <w:t>4,56 [4,23; 5,08]</w:t>
            </w:r>
          </w:p>
        </w:tc>
        <w:tc>
          <w:tcPr>
            <w:tcW w:w="1006" w:type="dxa"/>
            <w:vAlign w:val="center"/>
          </w:tcPr>
          <w:p w14:paraId="5AD56C9D">
            <w:pPr>
              <w:ind w:firstLine="0"/>
              <w:jc w:val="center"/>
              <w:rPr>
                <w:szCs w:val="28"/>
                <w:highlight w:val="none"/>
              </w:rPr>
            </w:pPr>
            <w:r>
              <w:rPr>
                <w:szCs w:val="28"/>
                <w:highlight w:val="none"/>
              </w:rPr>
              <w:t>0,637</w:t>
            </w:r>
          </w:p>
        </w:tc>
      </w:tr>
      <w:tr w14:paraId="771DB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2C8C755A">
            <w:pPr>
              <w:ind w:firstLine="0"/>
              <w:jc w:val="left"/>
              <w:rPr>
                <w:szCs w:val="28"/>
                <w:highlight w:val="none"/>
              </w:rPr>
            </w:pPr>
            <w:r>
              <w:rPr>
                <w:szCs w:val="28"/>
                <w:highlight w:val="none"/>
              </w:rPr>
              <w:t>Гемоглобін, г/л</w:t>
            </w:r>
          </w:p>
        </w:tc>
        <w:tc>
          <w:tcPr>
            <w:tcW w:w="2693" w:type="dxa"/>
            <w:vAlign w:val="center"/>
          </w:tcPr>
          <w:p w14:paraId="58AF1EF1">
            <w:pPr>
              <w:ind w:firstLine="0"/>
              <w:jc w:val="center"/>
              <w:rPr>
                <w:szCs w:val="28"/>
                <w:highlight w:val="none"/>
              </w:rPr>
            </w:pPr>
            <w:r>
              <w:rPr>
                <w:szCs w:val="28"/>
                <w:highlight w:val="none"/>
              </w:rPr>
              <w:t>144,0 [134,0; 155,0]</w:t>
            </w:r>
          </w:p>
        </w:tc>
        <w:tc>
          <w:tcPr>
            <w:tcW w:w="3099" w:type="dxa"/>
            <w:vAlign w:val="center"/>
          </w:tcPr>
          <w:p w14:paraId="611547CA">
            <w:pPr>
              <w:ind w:firstLine="0"/>
              <w:jc w:val="center"/>
              <w:rPr>
                <w:szCs w:val="28"/>
                <w:highlight w:val="none"/>
              </w:rPr>
            </w:pPr>
            <w:r>
              <w:rPr>
                <w:szCs w:val="28"/>
                <w:highlight w:val="none"/>
              </w:rPr>
              <w:t>145,0 [132,0; 148,5]</w:t>
            </w:r>
          </w:p>
        </w:tc>
        <w:tc>
          <w:tcPr>
            <w:tcW w:w="1006" w:type="dxa"/>
            <w:vAlign w:val="center"/>
          </w:tcPr>
          <w:p w14:paraId="6C662F9F">
            <w:pPr>
              <w:ind w:firstLine="0"/>
              <w:jc w:val="center"/>
              <w:rPr>
                <w:szCs w:val="28"/>
                <w:highlight w:val="none"/>
              </w:rPr>
            </w:pPr>
            <w:r>
              <w:rPr>
                <w:szCs w:val="28"/>
                <w:highlight w:val="none"/>
              </w:rPr>
              <w:t>0,590</w:t>
            </w:r>
          </w:p>
        </w:tc>
      </w:tr>
      <w:tr w14:paraId="774EC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66C81C5">
            <w:pPr>
              <w:ind w:firstLine="0"/>
              <w:jc w:val="left"/>
              <w:rPr>
                <w:szCs w:val="28"/>
                <w:highlight w:val="none"/>
              </w:rPr>
            </w:pPr>
            <w:r>
              <w:rPr>
                <w:szCs w:val="28"/>
                <w:highlight w:val="none"/>
              </w:rPr>
              <w:t>Гематокрит</w:t>
            </w:r>
          </w:p>
        </w:tc>
        <w:tc>
          <w:tcPr>
            <w:tcW w:w="2693" w:type="dxa"/>
            <w:vAlign w:val="center"/>
          </w:tcPr>
          <w:p w14:paraId="3EA11D93">
            <w:pPr>
              <w:ind w:firstLine="0"/>
              <w:jc w:val="center"/>
              <w:rPr>
                <w:szCs w:val="28"/>
                <w:highlight w:val="none"/>
              </w:rPr>
            </w:pPr>
            <w:r>
              <w:rPr>
                <w:szCs w:val="28"/>
                <w:highlight w:val="none"/>
              </w:rPr>
              <w:t>0,44 [0,41; 0,46]</w:t>
            </w:r>
          </w:p>
        </w:tc>
        <w:tc>
          <w:tcPr>
            <w:tcW w:w="3099" w:type="dxa"/>
            <w:vAlign w:val="center"/>
          </w:tcPr>
          <w:p w14:paraId="774AB53E">
            <w:pPr>
              <w:ind w:firstLine="0"/>
              <w:jc w:val="center"/>
              <w:rPr>
                <w:szCs w:val="28"/>
                <w:highlight w:val="none"/>
              </w:rPr>
            </w:pPr>
            <w:r>
              <w:rPr>
                <w:szCs w:val="28"/>
                <w:highlight w:val="none"/>
              </w:rPr>
              <w:t>0,43 [0,39; 0,45]</w:t>
            </w:r>
          </w:p>
        </w:tc>
        <w:tc>
          <w:tcPr>
            <w:tcW w:w="1006" w:type="dxa"/>
            <w:vAlign w:val="center"/>
          </w:tcPr>
          <w:p w14:paraId="4CE3D0B9">
            <w:pPr>
              <w:ind w:firstLine="0"/>
              <w:jc w:val="center"/>
              <w:rPr>
                <w:szCs w:val="28"/>
                <w:highlight w:val="none"/>
              </w:rPr>
            </w:pPr>
            <w:r>
              <w:rPr>
                <w:szCs w:val="28"/>
                <w:highlight w:val="none"/>
              </w:rPr>
              <w:t>0,450</w:t>
            </w:r>
          </w:p>
        </w:tc>
      </w:tr>
      <w:tr w14:paraId="30520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5BA6183">
            <w:pPr>
              <w:ind w:firstLine="0"/>
              <w:jc w:val="left"/>
              <w:rPr>
                <w:szCs w:val="28"/>
                <w:highlight w:val="none"/>
              </w:rPr>
            </w:pPr>
            <w:r>
              <w:rPr>
                <w:szCs w:val="28"/>
                <w:highlight w:val="none"/>
              </w:rPr>
              <w:t>MCV, fl</w:t>
            </w:r>
          </w:p>
        </w:tc>
        <w:tc>
          <w:tcPr>
            <w:tcW w:w="2693" w:type="dxa"/>
            <w:vAlign w:val="center"/>
          </w:tcPr>
          <w:p w14:paraId="01691B57">
            <w:pPr>
              <w:ind w:firstLine="0"/>
              <w:jc w:val="center"/>
              <w:rPr>
                <w:szCs w:val="28"/>
                <w:highlight w:val="none"/>
              </w:rPr>
            </w:pPr>
            <w:r>
              <w:rPr>
                <w:szCs w:val="28"/>
                <w:highlight w:val="none"/>
              </w:rPr>
              <w:t>90,0 [87,0; 93,0]</w:t>
            </w:r>
          </w:p>
        </w:tc>
        <w:tc>
          <w:tcPr>
            <w:tcW w:w="3099" w:type="dxa"/>
            <w:vAlign w:val="center"/>
          </w:tcPr>
          <w:p w14:paraId="2C60D373">
            <w:pPr>
              <w:ind w:firstLine="0"/>
              <w:jc w:val="center"/>
              <w:rPr>
                <w:szCs w:val="28"/>
                <w:highlight w:val="none"/>
              </w:rPr>
            </w:pPr>
            <w:r>
              <w:rPr>
                <w:szCs w:val="28"/>
                <w:highlight w:val="none"/>
              </w:rPr>
              <w:t>91,1 [88,2; 92,9]</w:t>
            </w:r>
          </w:p>
        </w:tc>
        <w:tc>
          <w:tcPr>
            <w:tcW w:w="1006" w:type="dxa"/>
            <w:vAlign w:val="center"/>
          </w:tcPr>
          <w:p w14:paraId="489E1D62">
            <w:pPr>
              <w:ind w:firstLine="0"/>
              <w:jc w:val="center"/>
              <w:rPr>
                <w:szCs w:val="28"/>
                <w:highlight w:val="none"/>
              </w:rPr>
            </w:pPr>
            <w:r>
              <w:rPr>
                <w:szCs w:val="28"/>
                <w:highlight w:val="none"/>
              </w:rPr>
              <w:t>0,438</w:t>
            </w:r>
          </w:p>
        </w:tc>
      </w:tr>
      <w:tr w14:paraId="5077E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12796DB7">
            <w:pPr>
              <w:ind w:firstLine="0"/>
              <w:jc w:val="left"/>
              <w:rPr>
                <w:szCs w:val="28"/>
                <w:highlight w:val="none"/>
              </w:rPr>
            </w:pPr>
            <w:r>
              <w:rPr>
                <w:szCs w:val="28"/>
                <w:highlight w:val="none"/>
              </w:rPr>
              <w:t>MCH, пкг/л</w:t>
            </w:r>
          </w:p>
        </w:tc>
        <w:tc>
          <w:tcPr>
            <w:tcW w:w="2693" w:type="dxa"/>
            <w:vAlign w:val="center"/>
          </w:tcPr>
          <w:p w14:paraId="134B55B0">
            <w:pPr>
              <w:ind w:firstLine="0"/>
              <w:jc w:val="center"/>
              <w:rPr>
                <w:szCs w:val="28"/>
                <w:highlight w:val="none"/>
              </w:rPr>
            </w:pPr>
            <w:r>
              <w:rPr>
                <w:szCs w:val="28"/>
                <w:highlight w:val="none"/>
              </w:rPr>
              <w:t>30,2 [29,0; 32,6]</w:t>
            </w:r>
          </w:p>
        </w:tc>
        <w:tc>
          <w:tcPr>
            <w:tcW w:w="3099" w:type="dxa"/>
            <w:vAlign w:val="center"/>
          </w:tcPr>
          <w:p w14:paraId="1E1796E4">
            <w:pPr>
              <w:ind w:firstLine="0"/>
              <w:jc w:val="center"/>
              <w:rPr>
                <w:szCs w:val="28"/>
                <w:highlight w:val="none"/>
              </w:rPr>
            </w:pPr>
            <w:r>
              <w:rPr>
                <w:szCs w:val="28"/>
                <w:highlight w:val="none"/>
              </w:rPr>
              <w:t>27,8 [27,2; 29,5]</w:t>
            </w:r>
          </w:p>
        </w:tc>
        <w:tc>
          <w:tcPr>
            <w:tcW w:w="1006" w:type="dxa"/>
            <w:vAlign w:val="center"/>
          </w:tcPr>
          <w:p w14:paraId="27976CC5">
            <w:pPr>
              <w:ind w:firstLine="0"/>
              <w:jc w:val="center"/>
              <w:rPr>
                <w:szCs w:val="28"/>
                <w:highlight w:val="none"/>
              </w:rPr>
            </w:pPr>
            <w:r>
              <w:rPr>
                <w:szCs w:val="28"/>
                <w:highlight w:val="none"/>
              </w:rPr>
              <w:t>0,005</w:t>
            </w:r>
          </w:p>
        </w:tc>
      </w:tr>
      <w:tr w14:paraId="660E9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52C4BABD">
            <w:pPr>
              <w:ind w:firstLine="0"/>
              <w:jc w:val="left"/>
              <w:rPr>
                <w:szCs w:val="28"/>
                <w:highlight w:val="none"/>
              </w:rPr>
            </w:pPr>
            <w:r>
              <w:rPr>
                <w:szCs w:val="28"/>
                <w:highlight w:val="none"/>
              </w:rPr>
              <w:t>MCHC, г/л</w:t>
            </w:r>
          </w:p>
        </w:tc>
        <w:tc>
          <w:tcPr>
            <w:tcW w:w="2693" w:type="dxa"/>
            <w:vAlign w:val="center"/>
          </w:tcPr>
          <w:p w14:paraId="081C305B">
            <w:pPr>
              <w:ind w:firstLine="0"/>
              <w:jc w:val="center"/>
              <w:rPr>
                <w:szCs w:val="28"/>
                <w:highlight w:val="none"/>
              </w:rPr>
            </w:pPr>
            <w:r>
              <w:rPr>
                <w:szCs w:val="28"/>
                <w:highlight w:val="none"/>
              </w:rPr>
              <w:t>335,0 [330,0; 345,0]</w:t>
            </w:r>
          </w:p>
        </w:tc>
        <w:tc>
          <w:tcPr>
            <w:tcW w:w="3099" w:type="dxa"/>
            <w:vAlign w:val="center"/>
          </w:tcPr>
          <w:p w14:paraId="5C7DE05E">
            <w:pPr>
              <w:ind w:firstLine="0"/>
              <w:jc w:val="center"/>
              <w:rPr>
                <w:szCs w:val="28"/>
                <w:highlight w:val="none"/>
              </w:rPr>
            </w:pPr>
            <w:r>
              <w:rPr>
                <w:szCs w:val="28"/>
                <w:highlight w:val="none"/>
              </w:rPr>
              <w:t>333,0 [328,3; 339,0]</w:t>
            </w:r>
          </w:p>
        </w:tc>
        <w:tc>
          <w:tcPr>
            <w:tcW w:w="1006" w:type="dxa"/>
            <w:vAlign w:val="center"/>
          </w:tcPr>
          <w:p w14:paraId="3D856EB5">
            <w:pPr>
              <w:ind w:firstLine="0"/>
              <w:jc w:val="center"/>
              <w:rPr>
                <w:szCs w:val="28"/>
                <w:highlight w:val="none"/>
              </w:rPr>
            </w:pPr>
            <w:r>
              <w:rPr>
                <w:szCs w:val="28"/>
                <w:highlight w:val="none"/>
              </w:rPr>
              <w:t>0,425</w:t>
            </w:r>
          </w:p>
        </w:tc>
      </w:tr>
      <w:tr w14:paraId="4C17D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0EA89891">
            <w:pPr>
              <w:ind w:firstLine="0"/>
              <w:jc w:val="left"/>
              <w:rPr>
                <w:szCs w:val="28"/>
                <w:highlight w:val="none"/>
              </w:rPr>
            </w:pPr>
            <w:r>
              <w:rPr>
                <w:szCs w:val="28"/>
                <w:highlight w:val="none"/>
              </w:rPr>
              <w:t>Тромбоцити, 10</w:t>
            </w:r>
            <w:r>
              <w:rPr>
                <w:szCs w:val="28"/>
                <w:highlight w:val="none"/>
                <w:vertAlign w:val="superscript"/>
              </w:rPr>
              <w:t>9</w:t>
            </w:r>
            <w:r>
              <w:rPr>
                <w:szCs w:val="28"/>
                <w:highlight w:val="none"/>
              </w:rPr>
              <w:t>/л</w:t>
            </w:r>
          </w:p>
        </w:tc>
        <w:tc>
          <w:tcPr>
            <w:tcW w:w="2693" w:type="dxa"/>
            <w:vAlign w:val="center"/>
          </w:tcPr>
          <w:p w14:paraId="3FA9E9AC">
            <w:pPr>
              <w:ind w:firstLine="0"/>
              <w:jc w:val="center"/>
              <w:rPr>
                <w:szCs w:val="28"/>
                <w:highlight w:val="none"/>
              </w:rPr>
            </w:pPr>
            <w:r>
              <w:rPr>
                <w:szCs w:val="28"/>
                <w:highlight w:val="none"/>
              </w:rPr>
              <w:t>233,0 [189,0; 260,0]</w:t>
            </w:r>
          </w:p>
        </w:tc>
        <w:tc>
          <w:tcPr>
            <w:tcW w:w="3099" w:type="dxa"/>
            <w:vAlign w:val="center"/>
          </w:tcPr>
          <w:p w14:paraId="5ACEC79F">
            <w:pPr>
              <w:ind w:firstLine="0"/>
              <w:jc w:val="center"/>
              <w:rPr>
                <w:szCs w:val="28"/>
                <w:highlight w:val="none"/>
              </w:rPr>
            </w:pPr>
            <w:r>
              <w:rPr>
                <w:szCs w:val="28"/>
                <w:highlight w:val="none"/>
              </w:rPr>
              <w:t>267,0 [240,5; 294,0]</w:t>
            </w:r>
          </w:p>
        </w:tc>
        <w:tc>
          <w:tcPr>
            <w:tcW w:w="1006" w:type="dxa"/>
            <w:vAlign w:val="center"/>
          </w:tcPr>
          <w:p w14:paraId="07E06DCF">
            <w:pPr>
              <w:ind w:firstLine="0"/>
              <w:jc w:val="center"/>
              <w:rPr>
                <w:szCs w:val="28"/>
                <w:highlight w:val="none"/>
              </w:rPr>
            </w:pPr>
            <w:r>
              <w:rPr>
                <w:szCs w:val="28"/>
                <w:highlight w:val="none"/>
              </w:rPr>
              <w:t>0,005</w:t>
            </w:r>
          </w:p>
        </w:tc>
      </w:tr>
      <w:tr w14:paraId="507BD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0C5E8A3F">
            <w:pPr>
              <w:ind w:firstLine="0"/>
              <w:jc w:val="left"/>
              <w:rPr>
                <w:szCs w:val="28"/>
                <w:highlight w:val="none"/>
              </w:rPr>
            </w:pPr>
            <w:r>
              <w:rPr>
                <w:szCs w:val="28"/>
                <w:highlight w:val="none"/>
              </w:rPr>
              <w:t>Тромбокрит, %</w:t>
            </w:r>
          </w:p>
        </w:tc>
        <w:tc>
          <w:tcPr>
            <w:tcW w:w="2693" w:type="dxa"/>
            <w:vAlign w:val="center"/>
          </w:tcPr>
          <w:p w14:paraId="20B04D81">
            <w:pPr>
              <w:ind w:firstLine="0"/>
              <w:jc w:val="center"/>
              <w:rPr>
                <w:szCs w:val="28"/>
                <w:highlight w:val="none"/>
              </w:rPr>
            </w:pPr>
            <w:r>
              <w:rPr>
                <w:szCs w:val="28"/>
                <w:highlight w:val="none"/>
              </w:rPr>
              <w:t>0,18 [0,15; 0,19]</w:t>
            </w:r>
          </w:p>
        </w:tc>
        <w:tc>
          <w:tcPr>
            <w:tcW w:w="3099" w:type="dxa"/>
            <w:vAlign w:val="center"/>
          </w:tcPr>
          <w:p w14:paraId="0BC09D6A">
            <w:pPr>
              <w:ind w:firstLine="0"/>
              <w:jc w:val="center"/>
              <w:rPr>
                <w:szCs w:val="28"/>
                <w:highlight w:val="none"/>
              </w:rPr>
            </w:pPr>
            <w:r>
              <w:rPr>
                <w:szCs w:val="28"/>
                <w:highlight w:val="none"/>
              </w:rPr>
              <w:t>0,21 [0,18; 0,29]</w:t>
            </w:r>
          </w:p>
        </w:tc>
        <w:tc>
          <w:tcPr>
            <w:tcW w:w="1006" w:type="dxa"/>
            <w:vAlign w:val="center"/>
          </w:tcPr>
          <w:p w14:paraId="208C0ABC">
            <w:pPr>
              <w:ind w:firstLine="0"/>
              <w:jc w:val="center"/>
              <w:rPr>
                <w:szCs w:val="28"/>
                <w:highlight w:val="none"/>
              </w:rPr>
            </w:pPr>
            <w:r>
              <w:rPr>
                <w:szCs w:val="28"/>
                <w:highlight w:val="none"/>
              </w:rPr>
              <w:t>0,017</w:t>
            </w:r>
          </w:p>
        </w:tc>
      </w:tr>
      <w:tr w14:paraId="3F2CA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4D33876F">
            <w:pPr>
              <w:ind w:firstLine="0"/>
              <w:jc w:val="left"/>
              <w:rPr>
                <w:szCs w:val="28"/>
                <w:highlight w:val="none"/>
              </w:rPr>
            </w:pPr>
            <w:r>
              <w:rPr>
                <w:szCs w:val="28"/>
                <w:highlight w:val="none"/>
              </w:rPr>
              <w:t>КП</w:t>
            </w:r>
          </w:p>
        </w:tc>
        <w:tc>
          <w:tcPr>
            <w:tcW w:w="2693" w:type="dxa"/>
            <w:vAlign w:val="center"/>
          </w:tcPr>
          <w:p w14:paraId="27A87A1C">
            <w:pPr>
              <w:ind w:firstLine="0"/>
              <w:jc w:val="center"/>
              <w:rPr>
                <w:szCs w:val="28"/>
                <w:highlight w:val="none"/>
              </w:rPr>
            </w:pPr>
            <w:r>
              <w:rPr>
                <w:szCs w:val="28"/>
                <w:highlight w:val="none"/>
              </w:rPr>
              <w:t>0,92 [0,89; 0,96]</w:t>
            </w:r>
          </w:p>
        </w:tc>
        <w:tc>
          <w:tcPr>
            <w:tcW w:w="3099" w:type="dxa"/>
            <w:vAlign w:val="center"/>
          </w:tcPr>
          <w:p w14:paraId="01208846">
            <w:pPr>
              <w:ind w:firstLine="0"/>
              <w:jc w:val="center"/>
              <w:rPr>
                <w:szCs w:val="28"/>
                <w:highlight w:val="none"/>
              </w:rPr>
            </w:pPr>
            <w:r>
              <w:rPr>
                <w:szCs w:val="28"/>
                <w:highlight w:val="none"/>
              </w:rPr>
              <w:t>0,90 [0,88; 0,93]</w:t>
            </w:r>
          </w:p>
        </w:tc>
        <w:tc>
          <w:tcPr>
            <w:tcW w:w="1006" w:type="dxa"/>
            <w:vAlign w:val="center"/>
          </w:tcPr>
          <w:p w14:paraId="0DC1F266">
            <w:pPr>
              <w:ind w:firstLine="0"/>
              <w:jc w:val="center"/>
              <w:rPr>
                <w:szCs w:val="28"/>
                <w:highlight w:val="none"/>
              </w:rPr>
            </w:pPr>
            <w:r>
              <w:rPr>
                <w:szCs w:val="28"/>
                <w:highlight w:val="none"/>
              </w:rPr>
              <w:t>0,304</w:t>
            </w:r>
          </w:p>
        </w:tc>
      </w:tr>
      <w:tr w14:paraId="6D1FD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3BDECEDF">
            <w:pPr>
              <w:ind w:firstLine="0"/>
              <w:jc w:val="left"/>
              <w:rPr>
                <w:szCs w:val="28"/>
                <w:highlight w:val="none"/>
              </w:rPr>
            </w:pPr>
            <w:r>
              <w:rPr>
                <w:szCs w:val="28"/>
                <w:highlight w:val="none"/>
              </w:rPr>
              <w:t>ШОЕ, мм/год</w:t>
            </w:r>
          </w:p>
        </w:tc>
        <w:tc>
          <w:tcPr>
            <w:tcW w:w="2693" w:type="dxa"/>
            <w:vAlign w:val="center"/>
          </w:tcPr>
          <w:p w14:paraId="25B17AD6">
            <w:pPr>
              <w:ind w:firstLine="0"/>
              <w:jc w:val="center"/>
              <w:rPr>
                <w:szCs w:val="28"/>
                <w:highlight w:val="none"/>
              </w:rPr>
            </w:pPr>
            <w:r>
              <w:rPr>
                <w:szCs w:val="28"/>
                <w:highlight w:val="none"/>
              </w:rPr>
              <w:t>5,0 [3,0; 12,0]</w:t>
            </w:r>
          </w:p>
        </w:tc>
        <w:tc>
          <w:tcPr>
            <w:tcW w:w="3099" w:type="dxa"/>
            <w:vAlign w:val="center"/>
          </w:tcPr>
          <w:p w14:paraId="786ABB0E">
            <w:pPr>
              <w:ind w:firstLine="0"/>
              <w:jc w:val="center"/>
              <w:rPr>
                <w:szCs w:val="28"/>
                <w:highlight w:val="none"/>
              </w:rPr>
            </w:pPr>
            <w:r>
              <w:rPr>
                <w:szCs w:val="28"/>
                <w:highlight w:val="none"/>
              </w:rPr>
              <w:t>2,0 [1,25; 5,0]</w:t>
            </w:r>
          </w:p>
        </w:tc>
        <w:tc>
          <w:tcPr>
            <w:tcW w:w="1006" w:type="dxa"/>
            <w:vAlign w:val="center"/>
          </w:tcPr>
          <w:p w14:paraId="571A7BD4">
            <w:pPr>
              <w:ind w:firstLine="0"/>
              <w:jc w:val="center"/>
              <w:rPr>
                <w:szCs w:val="28"/>
                <w:highlight w:val="none"/>
              </w:rPr>
            </w:pPr>
            <w:r>
              <w:rPr>
                <w:szCs w:val="28"/>
                <w:highlight w:val="none"/>
              </w:rPr>
              <w:t>0,019</w:t>
            </w:r>
          </w:p>
        </w:tc>
      </w:tr>
      <w:tr w14:paraId="0364F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087FCC7B">
            <w:pPr>
              <w:ind w:firstLine="0"/>
              <w:jc w:val="left"/>
              <w:rPr>
                <w:szCs w:val="28"/>
                <w:highlight w:val="none"/>
              </w:rPr>
            </w:pPr>
            <w:r>
              <w:rPr>
                <w:szCs w:val="28"/>
                <w:highlight w:val="none"/>
              </w:rPr>
              <w:t>Лейкоцити, 10</w:t>
            </w:r>
            <w:r>
              <w:rPr>
                <w:szCs w:val="28"/>
                <w:highlight w:val="none"/>
                <w:vertAlign w:val="superscript"/>
              </w:rPr>
              <w:t>9</w:t>
            </w:r>
            <w:r>
              <w:rPr>
                <w:szCs w:val="28"/>
                <w:highlight w:val="none"/>
              </w:rPr>
              <w:t>/л</w:t>
            </w:r>
          </w:p>
        </w:tc>
        <w:tc>
          <w:tcPr>
            <w:tcW w:w="2693" w:type="dxa"/>
            <w:vAlign w:val="center"/>
          </w:tcPr>
          <w:p w14:paraId="2A13A8BC">
            <w:pPr>
              <w:ind w:firstLine="0"/>
              <w:jc w:val="center"/>
              <w:rPr>
                <w:szCs w:val="28"/>
                <w:highlight w:val="none"/>
              </w:rPr>
            </w:pPr>
            <w:r>
              <w:rPr>
                <w:szCs w:val="28"/>
                <w:highlight w:val="none"/>
              </w:rPr>
              <w:t>6,7 [5,3; 8,2]</w:t>
            </w:r>
          </w:p>
        </w:tc>
        <w:tc>
          <w:tcPr>
            <w:tcW w:w="3099" w:type="dxa"/>
            <w:vAlign w:val="center"/>
          </w:tcPr>
          <w:p w14:paraId="5C507661">
            <w:pPr>
              <w:ind w:firstLine="0"/>
              <w:jc w:val="center"/>
              <w:rPr>
                <w:szCs w:val="28"/>
                <w:highlight w:val="none"/>
              </w:rPr>
            </w:pPr>
            <w:r>
              <w:rPr>
                <w:szCs w:val="28"/>
                <w:highlight w:val="none"/>
              </w:rPr>
              <w:t>5,4 [5,1; 6,2]</w:t>
            </w:r>
          </w:p>
        </w:tc>
        <w:tc>
          <w:tcPr>
            <w:tcW w:w="1006" w:type="dxa"/>
            <w:vAlign w:val="center"/>
          </w:tcPr>
          <w:p w14:paraId="0DCBFCCC">
            <w:pPr>
              <w:ind w:firstLine="0"/>
              <w:jc w:val="center"/>
              <w:rPr>
                <w:szCs w:val="28"/>
                <w:highlight w:val="none"/>
              </w:rPr>
            </w:pPr>
            <w:r>
              <w:rPr>
                <w:szCs w:val="28"/>
                <w:highlight w:val="none"/>
              </w:rPr>
              <w:t>0,050</w:t>
            </w:r>
          </w:p>
        </w:tc>
      </w:tr>
      <w:tr w14:paraId="4408B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29C2BC1E">
            <w:pPr>
              <w:ind w:firstLine="0"/>
              <w:jc w:val="left"/>
              <w:rPr>
                <w:szCs w:val="28"/>
                <w:highlight w:val="none"/>
              </w:rPr>
            </w:pPr>
            <w:r>
              <w:rPr>
                <w:szCs w:val="28"/>
                <w:highlight w:val="none"/>
              </w:rPr>
              <w:t>П/я нейтрофіли, %</w:t>
            </w:r>
          </w:p>
        </w:tc>
        <w:tc>
          <w:tcPr>
            <w:tcW w:w="2693" w:type="dxa"/>
            <w:vAlign w:val="center"/>
          </w:tcPr>
          <w:p w14:paraId="6E3F23D6">
            <w:pPr>
              <w:ind w:firstLine="0"/>
              <w:jc w:val="center"/>
              <w:rPr>
                <w:szCs w:val="28"/>
                <w:highlight w:val="none"/>
              </w:rPr>
            </w:pPr>
            <w:r>
              <w:rPr>
                <w:szCs w:val="28"/>
                <w:highlight w:val="none"/>
              </w:rPr>
              <w:t>2,0 [1,0; 4,0]</w:t>
            </w:r>
          </w:p>
        </w:tc>
        <w:tc>
          <w:tcPr>
            <w:tcW w:w="3099" w:type="dxa"/>
            <w:vAlign w:val="center"/>
          </w:tcPr>
          <w:p w14:paraId="0B316F6B">
            <w:pPr>
              <w:ind w:firstLine="0"/>
              <w:jc w:val="center"/>
              <w:rPr>
                <w:szCs w:val="28"/>
                <w:highlight w:val="none"/>
              </w:rPr>
            </w:pPr>
            <w:r>
              <w:rPr>
                <w:szCs w:val="28"/>
                <w:highlight w:val="none"/>
              </w:rPr>
              <w:t>5,0 [3,0; 6,2]</w:t>
            </w:r>
          </w:p>
        </w:tc>
        <w:tc>
          <w:tcPr>
            <w:tcW w:w="1006" w:type="dxa"/>
            <w:vAlign w:val="center"/>
          </w:tcPr>
          <w:p w14:paraId="6546B0B2">
            <w:pPr>
              <w:ind w:firstLine="0"/>
              <w:jc w:val="center"/>
              <w:rPr>
                <w:szCs w:val="28"/>
                <w:highlight w:val="none"/>
              </w:rPr>
            </w:pPr>
            <w:r>
              <w:rPr>
                <w:szCs w:val="28"/>
                <w:highlight w:val="none"/>
              </w:rPr>
              <w:t>0,004</w:t>
            </w:r>
          </w:p>
        </w:tc>
      </w:tr>
      <w:tr w14:paraId="2C73A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2F4BA861">
            <w:pPr>
              <w:ind w:firstLine="0"/>
              <w:jc w:val="left"/>
              <w:rPr>
                <w:szCs w:val="28"/>
                <w:highlight w:val="none"/>
              </w:rPr>
            </w:pPr>
            <w:r>
              <w:rPr>
                <w:szCs w:val="28"/>
                <w:highlight w:val="none"/>
              </w:rPr>
              <w:t>С/я нейтрофіли, %</w:t>
            </w:r>
          </w:p>
        </w:tc>
        <w:tc>
          <w:tcPr>
            <w:tcW w:w="2693" w:type="dxa"/>
            <w:vAlign w:val="center"/>
          </w:tcPr>
          <w:p w14:paraId="04EF68FC">
            <w:pPr>
              <w:ind w:firstLine="0"/>
              <w:jc w:val="center"/>
              <w:rPr>
                <w:szCs w:val="28"/>
                <w:highlight w:val="none"/>
              </w:rPr>
            </w:pPr>
            <w:r>
              <w:rPr>
                <w:szCs w:val="28"/>
                <w:highlight w:val="none"/>
              </w:rPr>
              <w:t>55,0 [49,0; 67,0]</w:t>
            </w:r>
          </w:p>
        </w:tc>
        <w:tc>
          <w:tcPr>
            <w:tcW w:w="3099" w:type="dxa"/>
            <w:vAlign w:val="center"/>
          </w:tcPr>
          <w:p w14:paraId="1962E917">
            <w:pPr>
              <w:ind w:firstLine="0"/>
              <w:jc w:val="center"/>
              <w:rPr>
                <w:szCs w:val="28"/>
                <w:highlight w:val="none"/>
              </w:rPr>
            </w:pPr>
            <w:r>
              <w:rPr>
                <w:szCs w:val="28"/>
                <w:highlight w:val="none"/>
              </w:rPr>
              <w:t>76,0 [62,8; 82,5]</w:t>
            </w:r>
          </w:p>
        </w:tc>
        <w:tc>
          <w:tcPr>
            <w:tcW w:w="1006" w:type="dxa"/>
            <w:vAlign w:val="center"/>
          </w:tcPr>
          <w:p w14:paraId="04AA37F3">
            <w:pPr>
              <w:ind w:firstLine="0"/>
              <w:jc w:val="center"/>
              <w:rPr>
                <w:szCs w:val="28"/>
                <w:highlight w:val="none"/>
              </w:rPr>
            </w:pPr>
            <w:r>
              <w:rPr>
                <w:szCs w:val="28"/>
                <w:highlight w:val="none"/>
              </w:rPr>
              <w:t>0,002</w:t>
            </w:r>
          </w:p>
        </w:tc>
      </w:tr>
      <w:tr w14:paraId="0C079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461060A1">
            <w:pPr>
              <w:ind w:firstLine="0"/>
              <w:jc w:val="left"/>
              <w:rPr>
                <w:szCs w:val="28"/>
                <w:highlight w:val="none"/>
              </w:rPr>
            </w:pPr>
            <w:r>
              <w:rPr>
                <w:szCs w:val="28"/>
                <w:highlight w:val="none"/>
              </w:rPr>
              <w:t>Еозинофіли, %</w:t>
            </w:r>
          </w:p>
        </w:tc>
        <w:tc>
          <w:tcPr>
            <w:tcW w:w="2693" w:type="dxa"/>
            <w:vAlign w:val="center"/>
          </w:tcPr>
          <w:p w14:paraId="2B9858EE">
            <w:pPr>
              <w:ind w:firstLine="0"/>
              <w:jc w:val="center"/>
              <w:rPr>
                <w:szCs w:val="28"/>
                <w:highlight w:val="none"/>
              </w:rPr>
            </w:pPr>
            <w:r>
              <w:rPr>
                <w:szCs w:val="28"/>
                <w:highlight w:val="none"/>
              </w:rPr>
              <w:t>1,0 [1,0; 3,0]</w:t>
            </w:r>
          </w:p>
        </w:tc>
        <w:tc>
          <w:tcPr>
            <w:tcW w:w="3099" w:type="dxa"/>
            <w:vAlign w:val="center"/>
          </w:tcPr>
          <w:p w14:paraId="3E256B41">
            <w:pPr>
              <w:ind w:firstLine="0"/>
              <w:jc w:val="center"/>
              <w:rPr>
                <w:szCs w:val="28"/>
                <w:highlight w:val="none"/>
              </w:rPr>
            </w:pPr>
            <w:r>
              <w:rPr>
                <w:szCs w:val="28"/>
                <w:highlight w:val="none"/>
              </w:rPr>
              <w:t>1,0 [1,0; 2,0]</w:t>
            </w:r>
          </w:p>
        </w:tc>
        <w:tc>
          <w:tcPr>
            <w:tcW w:w="1006" w:type="dxa"/>
            <w:vAlign w:val="center"/>
          </w:tcPr>
          <w:p w14:paraId="442F20E6">
            <w:pPr>
              <w:ind w:firstLine="0"/>
              <w:jc w:val="center"/>
              <w:rPr>
                <w:szCs w:val="28"/>
                <w:highlight w:val="none"/>
              </w:rPr>
            </w:pPr>
            <w:r>
              <w:rPr>
                <w:szCs w:val="28"/>
                <w:highlight w:val="none"/>
              </w:rPr>
              <w:t>0,352</w:t>
            </w:r>
          </w:p>
        </w:tc>
      </w:tr>
      <w:tr w14:paraId="07E81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6A54318F">
            <w:pPr>
              <w:ind w:firstLine="0"/>
              <w:jc w:val="left"/>
              <w:rPr>
                <w:szCs w:val="28"/>
                <w:highlight w:val="none"/>
              </w:rPr>
            </w:pPr>
            <w:r>
              <w:rPr>
                <w:szCs w:val="28"/>
                <w:highlight w:val="none"/>
              </w:rPr>
              <w:t>Лімфоцити, %</w:t>
            </w:r>
          </w:p>
        </w:tc>
        <w:tc>
          <w:tcPr>
            <w:tcW w:w="2693" w:type="dxa"/>
            <w:vAlign w:val="center"/>
          </w:tcPr>
          <w:p w14:paraId="1D1F24EF">
            <w:pPr>
              <w:ind w:firstLine="0"/>
              <w:jc w:val="center"/>
              <w:rPr>
                <w:szCs w:val="28"/>
                <w:highlight w:val="none"/>
              </w:rPr>
            </w:pPr>
            <w:r>
              <w:rPr>
                <w:szCs w:val="28"/>
                <w:highlight w:val="none"/>
              </w:rPr>
              <w:t>36,0 [23,4; 38,0]</w:t>
            </w:r>
          </w:p>
        </w:tc>
        <w:tc>
          <w:tcPr>
            <w:tcW w:w="3099" w:type="dxa"/>
            <w:vAlign w:val="center"/>
          </w:tcPr>
          <w:p w14:paraId="38BBBEEC">
            <w:pPr>
              <w:ind w:firstLine="0"/>
              <w:jc w:val="center"/>
              <w:rPr>
                <w:szCs w:val="28"/>
                <w:highlight w:val="none"/>
              </w:rPr>
            </w:pPr>
            <w:r>
              <w:rPr>
                <w:szCs w:val="28"/>
                <w:highlight w:val="none"/>
              </w:rPr>
              <w:t>9,0 [6,5; 25,8]</w:t>
            </w:r>
          </w:p>
        </w:tc>
        <w:tc>
          <w:tcPr>
            <w:tcW w:w="1006" w:type="dxa"/>
            <w:vAlign w:val="center"/>
          </w:tcPr>
          <w:p w14:paraId="2723871D">
            <w:pPr>
              <w:ind w:firstLine="0"/>
              <w:jc w:val="center"/>
              <w:rPr>
                <w:szCs w:val="28"/>
                <w:highlight w:val="none"/>
              </w:rPr>
            </w:pPr>
            <w:r>
              <w:rPr>
                <w:szCs w:val="28"/>
                <w:highlight w:val="none"/>
              </w:rPr>
              <w:t>0,001</w:t>
            </w:r>
          </w:p>
        </w:tc>
      </w:tr>
      <w:tr w14:paraId="11C31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51FDE136">
            <w:pPr>
              <w:ind w:firstLine="0"/>
              <w:jc w:val="left"/>
              <w:rPr>
                <w:szCs w:val="28"/>
                <w:highlight w:val="none"/>
              </w:rPr>
            </w:pPr>
            <w:r>
              <w:rPr>
                <w:szCs w:val="28"/>
                <w:highlight w:val="none"/>
              </w:rPr>
              <w:t>Моноцити, %</w:t>
            </w:r>
          </w:p>
        </w:tc>
        <w:tc>
          <w:tcPr>
            <w:tcW w:w="2693" w:type="dxa"/>
            <w:vAlign w:val="center"/>
          </w:tcPr>
          <w:p w14:paraId="6ED58F2D">
            <w:pPr>
              <w:ind w:firstLine="0"/>
              <w:jc w:val="center"/>
              <w:rPr>
                <w:szCs w:val="28"/>
                <w:highlight w:val="none"/>
              </w:rPr>
            </w:pPr>
            <w:r>
              <w:rPr>
                <w:szCs w:val="28"/>
                <w:highlight w:val="none"/>
              </w:rPr>
              <w:t>5,0 [3,0; 6,0]</w:t>
            </w:r>
          </w:p>
        </w:tc>
        <w:tc>
          <w:tcPr>
            <w:tcW w:w="3099" w:type="dxa"/>
            <w:vAlign w:val="center"/>
          </w:tcPr>
          <w:p w14:paraId="5DEE9A37">
            <w:pPr>
              <w:ind w:firstLine="0"/>
              <w:jc w:val="center"/>
              <w:rPr>
                <w:szCs w:val="28"/>
                <w:highlight w:val="none"/>
              </w:rPr>
            </w:pPr>
            <w:r>
              <w:rPr>
                <w:szCs w:val="28"/>
                <w:highlight w:val="none"/>
              </w:rPr>
              <w:t>6,0 [3,3; 7,8]</w:t>
            </w:r>
          </w:p>
        </w:tc>
        <w:tc>
          <w:tcPr>
            <w:tcW w:w="1006" w:type="dxa"/>
            <w:vAlign w:val="center"/>
          </w:tcPr>
          <w:p w14:paraId="0562F2C2">
            <w:pPr>
              <w:ind w:firstLine="0"/>
              <w:jc w:val="center"/>
              <w:rPr>
                <w:szCs w:val="28"/>
                <w:highlight w:val="none"/>
              </w:rPr>
            </w:pPr>
            <w:r>
              <w:rPr>
                <w:szCs w:val="28"/>
                <w:highlight w:val="none"/>
              </w:rPr>
              <w:t>0,675</w:t>
            </w:r>
          </w:p>
        </w:tc>
      </w:tr>
    </w:tbl>
    <w:p w14:paraId="7B2804EE">
      <w:pPr>
        <w:rPr>
          <w:szCs w:val="28"/>
          <w:highlight w:val="none"/>
        </w:rPr>
      </w:pPr>
    </w:p>
    <w:p w14:paraId="1AA44B7F">
      <w:pPr>
        <w:rPr>
          <w:szCs w:val="28"/>
          <w:highlight w:val="none"/>
        </w:rPr>
      </w:pPr>
      <w:r>
        <w:rPr>
          <w:szCs w:val="28"/>
          <w:highlight w:val="none"/>
        </w:rPr>
        <w:t xml:space="preserve">Серед параметрів клінічного аналізу крові у пацієнтів основної групи в залежності від стадії фіброзу достовірно були нижчі рівні МСН у пацієнтів 2 підгрупі (р=0,005). В той же час рівні тромбоцитів у пацієнтів 2 підгрупи були вищі, ніж у пацієнтів 1 підгрупі ( (р=0,005). Відповідну тенденцію біло відмічено відносно тромбокриту (р=0,017). Рівні ШОЕ, лейкоцитів та лімфоцитів у пацієнтів 1 підгрупі фіброзу були достовірно нижчі, ніж у пацієнтів 2 підгрупі фіброзу. При цьому, у останній підгрупі переважали медіани п/я та с/я нейтрофілів (відповідно р=0,004 та р=0,002). </w:t>
      </w:r>
    </w:p>
    <w:p w14:paraId="350ED802">
      <w:pPr>
        <w:rPr>
          <w:szCs w:val="28"/>
          <w:highlight w:val="none"/>
        </w:rPr>
      </w:pPr>
    </w:p>
    <w:p w14:paraId="3B7AE842">
      <w:pPr>
        <w:jc w:val="right"/>
        <w:rPr>
          <w:i/>
          <w:iCs/>
          <w:szCs w:val="28"/>
          <w:highlight w:val="none"/>
        </w:rPr>
      </w:pPr>
      <w:r>
        <w:rPr>
          <w:i/>
          <w:iCs/>
          <w:szCs w:val="28"/>
          <w:highlight w:val="none"/>
        </w:rPr>
        <w:t>Таблиця 4.6</w:t>
      </w:r>
    </w:p>
    <w:p w14:paraId="74488766">
      <w:pPr>
        <w:rPr>
          <w:b/>
          <w:bCs/>
          <w:szCs w:val="28"/>
          <w:highlight w:val="none"/>
        </w:rPr>
      </w:pPr>
      <w:r>
        <w:rPr>
          <w:b/>
          <w:bCs/>
          <w:szCs w:val="28"/>
          <w:highlight w:val="none"/>
        </w:rPr>
        <w:t>Показники біохімічного аналізу крові обстежених пацієнтів після лікування в залежності від ступеню фіброзу печінки, Me [Lq; Uq]</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73"/>
        <w:gridCol w:w="2782"/>
        <w:gridCol w:w="2783"/>
        <w:gridCol w:w="1006"/>
      </w:tblGrid>
      <w:tr w14:paraId="543EE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63FBDA15">
            <w:pPr>
              <w:ind w:firstLine="0"/>
              <w:jc w:val="left"/>
              <w:rPr>
                <w:b/>
                <w:bCs/>
                <w:szCs w:val="28"/>
                <w:highlight w:val="none"/>
              </w:rPr>
            </w:pPr>
            <w:bookmarkStart w:id="55" w:name="_Hlk154340172"/>
            <w:r>
              <w:rPr>
                <w:b/>
                <w:bCs/>
                <w:szCs w:val="28"/>
                <w:highlight w:val="none"/>
              </w:rPr>
              <w:t>Показник</w:t>
            </w:r>
          </w:p>
        </w:tc>
        <w:tc>
          <w:tcPr>
            <w:tcW w:w="2782" w:type="dxa"/>
            <w:vAlign w:val="center"/>
          </w:tcPr>
          <w:p w14:paraId="1DDD242F">
            <w:pPr>
              <w:ind w:firstLine="0"/>
              <w:jc w:val="center"/>
              <w:rPr>
                <w:b/>
                <w:bCs/>
                <w:szCs w:val="28"/>
                <w:highlight w:val="none"/>
              </w:rPr>
            </w:pPr>
            <w:r>
              <w:rPr>
                <w:b/>
                <w:bCs/>
                <w:szCs w:val="28"/>
                <w:highlight w:val="none"/>
              </w:rPr>
              <w:t>1 підгрупа (n = 31)</w:t>
            </w:r>
          </w:p>
        </w:tc>
        <w:tc>
          <w:tcPr>
            <w:tcW w:w="2783" w:type="dxa"/>
            <w:vAlign w:val="center"/>
          </w:tcPr>
          <w:p w14:paraId="3099A8FD">
            <w:pPr>
              <w:ind w:firstLine="0"/>
              <w:jc w:val="center"/>
              <w:rPr>
                <w:b/>
                <w:bCs/>
                <w:szCs w:val="28"/>
                <w:highlight w:val="none"/>
              </w:rPr>
            </w:pPr>
            <w:r>
              <w:rPr>
                <w:b/>
                <w:bCs/>
                <w:szCs w:val="28"/>
                <w:highlight w:val="none"/>
              </w:rPr>
              <w:t>2 підгрупа (n = 16)</w:t>
            </w:r>
          </w:p>
        </w:tc>
        <w:tc>
          <w:tcPr>
            <w:tcW w:w="1006" w:type="dxa"/>
            <w:vAlign w:val="center"/>
          </w:tcPr>
          <w:p w14:paraId="075DD28B">
            <w:pPr>
              <w:ind w:firstLine="0"/>
              <w:jc w:val="center"/>
              <w:rPr>
                <w:b/>
                <w:bCs/>
                <w:szCs w:val="28"/>
                <w:highlight w:val="none"/>
              </w:rPr>
            </w:pPr>
            <w:r>
              <w:rPr>
                <w:b/>
                <w:bCs/>
                <w:szCs w:val="28"/>
                <w:highlight w:val="none"/>
              </w:rPr>
              <w:t>p</w:t>
            </w:r>
          </w:p>
        </w:tc>
      </w:tr>
      <w:bookmarkEnd w:id="55"/>
      <w:tr w14:paraId="577AA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746C29E4">
            <w:pPr>
              <w:ind w:firstLine="0"/>
              <w:jc w:val="left"/>
              <w:rPr>
                <w:szCs w:val="28"/>
                <w:highlight w:val="none"/>
              </w:rPr>
            </w:pPr>
            <w:r>
              <w:rPr>
                <w:szCs w:val="28"/>
                <w:highlight w:val="none"/>
              </w:rPr>
              <w:t>АЛТ, Од/л</w:t>
            </w:r>
          </w:p>
        </w:tc>
        <w:tc>
          <w:tcPr>
            <w:tcW w:w="2782" w:type="dxa"/>
            <w:vAlign w:val="center"/>
          </w:tcPr>
          <w:p w14:paraId="0FFAC714">
            <w:pPr>
              <w:ind w:firstLine="0"/>
              <w:jc w:val="center"/>
              <w:rPr>
                <w:szCs w:val="28"/>
                <w:highlight w:val="none"/>
              </w:rPr>
            </w:pPr>
            <w:r>
              <w:rPr>
                <w:szCs w:val="28"/>
                <w:highlight w:val="none"/>
              </w:rPr>
              <w:t>31,0 [15,2; 39,0]</w:t>
            </w:r>
          </w:p>
        </w:tc>
        <w:tc>
          <w:tcPr>
            <w:tcW w:w="2783" w:type="dxa"/>
            <w:vAlign w:val="center"/>
          </w:tcPr>
          <w:p w14:paraId="559571D1">
            <w:pPr>
              <w:ind w:firstLine="0"/>
              <w:jc w:val="center"/>
              <w:rPr>
                <w:szCs w:val="28"/>
                <w:highlight w:val="none"/>
              </w:rPr>
            </w:pPr>
            <w:r>
              <w:rPr>
                <w:szCs w:val="28"/>
                <w:highlight w:val="none"/>
              </w:rPr>
              <w:t>30,0 [22,0; 40,0]</w:t>
            </w:r>
          </w:p>
        </w:tc>
        <w:tc>
          <w:tcPr>
            <w:tcW w:w="1006" w:type="dxa"/>
            <w:vAlign w:val="center"/>
          </w:tcPr>
          <w:p w14:paraId="642DC69A">
            <w:pPr>
              <w:ind w:firstLine="0"/>
              <w:jc w:val="center"/>
              <w:rPr>
                <w:szCs w:val="28"/>
                <w:highlight w:val="none"/>
              </w:rPr>
            </w:pPr>
            <w:r>
              <w:rPr>
                <w:szCs w:val="28"/>
                <w:highlight w:val="none"/>
              </w:rPr>
              <w:t>0,719</w:t>
            </w:r>
          </w:p>
        </w:tc>
      </w:tr>
      <w:tr w14:paraId="35E21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0A421CAD">
            <w:pPr>
              <w:ind w:firstLine="0"/>
              <w:jc w:val="left"/>
              <w:rPr>
                <w:szCs w:val="28"/>
                <w:highlight w:val="none"/>
              </w:rPr>
            </w:pPr>
            <w:r>
              <w:rPr>
                <w:szCs w:val="28"/>
                <w:highlight w:val="none"/>
              </w:rPr>
              <w:t>АСТ, Од/л</w:t>
            </w:r>
          </w:p>
        </w:tc>
        <w:tc>
          <w:tcPr>
            <w:tcW w:w="2782" w:type="dxa"/>
            <w:vAlign w:val="center"/>
          </w:tcPr>
          <w:p w14:paraId="43B38CA6">
            <w:pPr>
              <w:ind w:firstLine="0"/>
              <w:jc w:val="center"/>
              <w:rPr>
                <w:szCs w:val="28"/>
                <w:highlight w:val="none"/>
              </w:rPr>
            </w:pPr>
            <w:r>
              <w:rPr>
                <w:szCs w:val="28"/>
                <w:highlight w:val="none"/>
              </w:rPr>
              <w:t>33,0 [16,9; 36,0]</w:t>
            </w:r>
          </w:p>
        </w:tc>
        <w:tc>
          <w:tcPr>
            <w:tcW w:w="2783" w:type="dxa"/>
            <w:vAlign w:val="center"/>
          </w:tcPr>
          <w:p w14:paraId="53B84EA8">
            <w:pPr>
              <w:ind w:firstLine="0"/>
              <w:jc w:val="center"/>
              <w:rPr>
                <w:szCs w:val="28"/>
                <w:highlight w:val="none"/>
              </w:rPr>
            </w:pPr>
            <w:r>
              <w:rPr>
                <w:szCs w:val="28"/>
                <w:highlight w:val="none"/>
              </w:rPr>
              <w:t>32,5 [19,4; 36,0]</w:t>
            </w:r>
          </w:p>
        </w:tc>
        <w:tc>
          <w:tcPr>
            <w:tcW w:w="1006" w:type="dxa"/>
            <w:vAlign w:val="center"/>
          </w:tcPr>
          <w:p w14:paraId="39D505B5">
            <w:pPr>
              <w:ind w:firstLine="0"/>
              <w:jc w:val="center"/>
              <w:rPr>
                <w:szCs w:val="28"/>
                <w:highlight w:val="none"/>
              </w:rPr>
            </w:pPr>
            <w:r>
              <w:rPr>
                <w:szCs w:val="28"/>
                <w:highlight w:val="none"/>
              </w:rPr>
              <w:t>0,830</w:t>
            </w:r>
          </w:p>
        </w:tc>
      </w:tr>
      <w:tr w14:paraId="0DEE0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505ACD02">
            <w:pPr>
              <w:ind w:firstLine="0"/>
              <w:jc w:val="left"/>
              <w:rPr>
                <w:szCs w:val="28"/>
                <w:highlight w:val="none"/>
              </w:rPr>
            </w:pPr>
            <w:r>
              <w:rPr>
                <w:szCs w:val="28"/>
                <w:highlight w:val="none"/>
              </w:rPr>
              <w:t>ГГТ, Од/л</w:t>
            </w:r>
          </w:p>
        </w:tc>
        <w:tc>
          <w:tcPr>
            <w:tcW w:w="2782" w:type="dxa"/>
            <w:vAlign w:val="center"/>
          </w:tcPr>
          <w:p w14:paraId="79278772">
            <w:pPr>
              <w:ind w:firstLine="0"/>
              <w:jc w:val="center"/>
              <w:rPr>
                <w:szCs w:val="28"/>
                <w:highlight w:val="none"/>
              </w:rPr>
            </w:pPr>
            <w:r>
              <w:rPr>
                <w:szCs w:val="28"/>
                <w:highlight w:val="none"/>
              </w:rPr>
              <w:t>25,0 [18,3; 31,0]</w:t>
            </w:r>
          </w:p>
        </w:tc>
        <w:tc>
          <w:tcPr>
            <w:tcW w:w="2783" w:type="dxa"/>
            <w:vAlign w:val="center"/>
          </w:tcPr>
          <w:p w14:paraId="0DCF071D">
            <w:pPr>
              <w:ind w:firstLine="0"/>
              <w:jc w:val="center"/>
              <w:rPr>
                <w:szCs w:val="28"/>
                <w:highlight w:val="none"/>
              </w:rPr>
            </w:pPr>
            <w:r>
              <w:rPr>
                <w:szCs w:val="28"/>
                <w:highlight w:val="none"/>
              </w:rPr>
              <w:t>33,5 [17,4; 44,1]</w:t>
            </w:r>
          </w:p>
        </w:tc>
        <w:tc>
          <w:tcPr>
            <w:tcW w:w="1006" w:type="dxa"/>
            <w:vAlign w:val="center"/>
          </w:tcPr>
          <w:p w14:paraId="130CA3D5">
            <w:pPr>
              <w:ind w:firstLine="0"/>
              <w:jc w:val="center"/>
              <w:rPr>
                <w:szCs w:val="28"/>
                <w:highlight w:val="none"/>
              </w:rPr>
            </w:pPr>
            <w:r>
              <w:rPr>
                <w:szCs w:val="28"/>
                <w:highlight w:val="none"/>
              </w:rPr>
              <w:t>0,257</w:t>
            </w:r>
          </w:p>
        </w:tc>
      </w:tr>
      <w:tr w14:paraId="52620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39111241">
            <w:pPr>
              <w:ind w:firstLine="0"/>
              <w:jc w:val="left"/>
              <w:rPr>
                <w:szCs w:val="28"/>
                <w:highlight w:val="none"/>
              </w:rPr>
            </w:pPr>
            <w:r>
              <w:rPr>
                <w:szCs w:val="28"/>
                <w:highlight w:val="none"/>
              </w:rPr>
              <w:t>ЛФ, Од/л</w:t>
            </w:r>
          </w:p>
        </w:tc>
        <w:tc>
          <w:tcPr>
            <w:tcW w:w="2782" w:type="dxa"/>
            <w:vAlign w:val="center"/>
          </w:tcPr>
          <w:p w14:paraId="3B5FFF02">
            <w:pPr>
              <w:ind w:firstLine="0"/>
              <w:jc w:val="center"/>
              <w:rPr>
                <w:szCs w:val="28"/>
                <w:highlight w:val="none"/>
              </w:rPr>
            </w:pPr>
            <w:r>
              <w:rPr>
                <w:szCs w:val="28"/>
                <w:highlight w:val="none"/>
              </w:rPr>
              <w:t>93,2 [84,1; 114,4]</w:t>
            </w:r>
          </w:p>
        </w:tc>
        <w:tc>
          <w:tcPr>
            <w:tcW w:w="2783" w:type="dxa"/>
            <w:vAlign w:val="center"/>
          </w:tcPr>
          <w:p w14:paraId="6FF5418A">
            <w:pPr>
              <w:ind w:firstLine="0"/>
              <w:jc w:val="center"/>
              <w:rPr>
                <w:szCs w:val="28"/>
                <w:highlight w:val="none"/>
              </w:rPr>
            </w:pPr>
            <w:r>
              <w:rPr>
                <w:szCs w:val="28"/>
                <w:highlight w:val="none"/>
              </w:rPr>
              <w:t>96,2 [80,0; 104,6]</w:t>
            </w:r>
          </w:p>
        </w:tc>
        <w:tc>
          <w:tcPr>
            <w:tcW w:w="1006" w:type="dxa"/>
            <w:vAlign w:val="center"/>
          </w:tcPr>
          <w:p w14:paraId="73A4F265">
            <w:pPr>
              <w:ind w:firstLine="0"/>
              <w:jc w:val="center"/>
              <w:rPr>
                <w:szCs w:val="28"/>
                <w:highlight w:val="none"/>
              </w:rPr>
            </w:pPr>
            <w:r>
              <w:rPr>
                <w:szCs w:val="28"/>
                <w:highlight w:val="none"/>
              </w:rPr>
              <w:t>0,703</w:t>
            </w:r>
          </w:p>
        </w:tc>
      </w:tr>
      <w:tr w14:paraId="2313B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0B9FA63F">
            <w:pPr>
              <w:ind w:firstLine="0"/>
              <w:jc w:val="left"/>
              <w:rPr>
                <w:szCs w:val="28"/>
                <w:highlight w:val="none"/>
              </w:rPr>
            </w:pPr>
            <w:r>
              <w:rPr>
                <w:szCs w:val="28"/>
                <w:highlight w:val="none"/>
              </w:rPr>
              <w:t>Білірубін загальний, ммоль/л</w:t>
            </w:r>
          </w:p>
        </w:tc>
        <w:tc>
          <w:tcPr>
            <w:tcW w:w="2782" w:type="dxa"/>
            <w:vAlign w:val="center"/>
          </w:tcPr>
          <w:p w14:paraId="20F3D54B">
            <w:pPr>
              <w:ind w:firstLine="0"/>
              <w:jc w:val="center"/>
              <w:rPr>
                <w:szCs w:val="28"/>
                <w:highlight w:val="none"/>
              </w:rPr>
            </w:pPr>
            <w:r>
              <w:rPr>
                <w:szCs w:val="28"/>
                <w:highlight w:val="none"/>
              </w:rPr>
              <w:t>13,8 [10,4; 16,0]</w:t>
            </w:r>
          </w:p>
        </w:tc>
        <w:tc>
          <w:tcPr>
            <w:tcW w:w="2783" w:type="dxa"/>
            <w:vAlign w:val="center"/>
          </w:tcPr>
          <w:p w14:paraId="31359957">
            <w:pPr>
              <w:ind w:firstLine="0"/>
              <w:jc w:val="center"/>
              <w:rPr>
                <w:szCs w:val="28"/>
                <w:highlight w:val="none"/>
              </w:rPr>
            </w:pPr>
            <w:r>
              <w:rPr>
                <w:szCs w:val="28"/>
                <w:highlight w:val="none"/>
              </w:rPr>
              <w:t>10,0 [9,3; 15,5]</w:t>
            </w:r>
          </w:p>
        </w:tc>
        <w:tc>
          <w:tcPr>
            <w:tcW w:w="1006" w:type="dxa"/>
            <w:vAlign w:val="center"/>
          </w:tcPr>
          <w:p w14:paraId="11EC4DD8">
            <w:pPr>
              <w:ind w:firstLine="0"/>
              <w:jc w:val="center"/>
              <w:rPr>
                <w:szCs w:val="28"/>
                <w:highlight w:val="none"/>
              </w:rPr>
            </w:pPr>
            <w:r>
              <w:rPr>
                <w:szCs w:val="28"/>
                <w:highlight w:val="none"/>
              </w:rPr>
              <w:t>0,065</w:t>
            </w:r>
          </w:p>
        </w:tc>
      </w:tr>
      <w:tr w14:paraId="0AE14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666D2EBA">
            <w:pPr>
              <w:ind w:firstLine="0"/>
              <w:jc w:val="left"/>
              <w:rPr>
                <w:szCs w:val="28"/>
                <w:highlight w:val="none"/>
              </w:rPr>
            </w:pPr>
            <w:r>
              <w:rPr>
                <w:szCs w:val="28"/>
                <w:highlight w:val="none"/>
              </w:rPr>
              <w:t>Білірубін прямий, ммоль/л</w:t>
            </w:r>
          </w:p>
        </w:tc>
        <w:tc>
          <w:tcPr>
            <w:tcW w:w="2782" w:type="dxa"/>
            <w:vAlign w:val="center"/>
          </w:tcPr>
          <w:p w14:paraId="404CD61D">
            <w:pPr>
              <w:ind w:firstLine="0"/>
              <w:jc w:val="center"/>
              <w:rPr>
                <w:szCs w:val="28"/>
                <w:highlight w:val="none"/>
              </w:rPr>
            </w:pPr>
            <w:r>
              <w:rPr>
                <w:szCs w:val="28"/>
                <w:highlight w:val="none"/>
              </w:rPr>
              <w:t>3,31 [2,55; 4,27]</w:t>
            </w:r>
          </w:p>
        </w:tc>
        <w:tc>
          <w:tcPr>
            <w:tcW w:w="2783" w:type="dxa"/>
            <w:vAlign w:val="center"/>
          </w:tcPr>
          <w:p w14:paraId="2EFD0919">
            <w:pPr>
              <w:ind w:firstLine="0"/>
              <w:jc w:val="center"/>
              <w:rPr>
                <w:szCs w:val="28"/>
                <w:highlight w:val="none"/>
              </w:rPr>
            </w:pPr>
            <w:r>
              <w:rPr>
                <w:szCs w:val="28"/>
                <w:highlight w:val="none"/>
              </w:rPr>
              <w:t>3,22 [2,45; 4,83]</w:t>
            </w:r>
          </w:p>
        </w:tc>
        <w:tc>
          <w:tcPr>
            <w:tcW w:w="1006" w:type="dxa"/>
            <w:vAlign w:val="center"/>
          </w:tcPr>
          <w:p w14:paraId="13BC41E5">
            <w:pPr>
              <w:ind w:firstLine="0"/>
              <w:jc w:val="center"/>
              <w:rPr>
                <w:szCs w:val="28"/>
                <w:highlight w:val="none"/>
              </w:rPr>
            </w:pPr>
            <w:r>
              <w:rPr>
                <w:szCs w:val="28"/>
                <w:highlight w:val="none"/>
              </w:rPr>
              <w:t>0,866</w:t>
            </w:r>
          </w:p>
        </w:tc>
      </w:tr>
      <w:tr w14:paraId="72E2F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64C63CD9">
            <w:pPr>
              <w:ind w:firstLine="0"/>
              <w:jc w:val="left"/>
              <w:rPr>
                <w:szCs w:val="28"/>
                <w:highlight w:val="none"/>
              </w:rPr>
            </w:pPr>
            <w:r>
              <w:rPr>
                <w:szCs w:val="28"/>
                <w:highlight w:val="none"/>
              </w:rPr>
              <w:t>Білірубін непрямий, ммоль/л</w:t>
            </w:r>
          </w:p>
        </w:tc>
        <w:tc>
          <w:tcPr>
            <w:tcW w:w="2782" w:type="dxa"/>
            <w:vAlign w:val="center"/>
          </w:tcPr>
          <w:p w14:paraId="3A22B387">
            <w:pPr>
              <w:ind w:firstLine="0"/>
              <w:jc w:val="center"/>
              <w:rPr>
                <w:szCs w:val="28"/>
                <w:highlight w:val="none"/>
              </w:rPr>
            </w:pPr>
            <w:r>
              <w:rPr>
                <w:szCs w:val="28"/>
                <w:highlight w:val="none"/>
              </w:rPr>
              <w:t>9,89 [7,05; 12,95]</w:t>
            </w:r>
          </w:p>
        </w:tc>
        <w:tc>
          <w:tcPr>
            <w:tcW w:w="2783" w:type="dxa"/>
            <w:vAlign w:val="center"/>
          </w:tcPr>
          <w:p w14:paraId="0147A9F4">
            <w:pPr>
              <w:ind w:firstLine="0"/>
              <w:jc w:val="center"/>
              <w:rPr>
                <w:szCs w:val="28"/>
                <w:highlight w:val="none"/>
              </w:rPr>
            </w:pPr>
            <w:r>
              <w:rPr>
                <w:szCs w:val="28"/>
                <w:highlight w:val="none"/>
              </w:rPr>
              <w:t>7,01 [6,32; 10,69]</w:t>
            </w:r>
          </w:p>
        </w:tc>
        <w:tc>
          <w:tcPr>
            <w:tcW w:w="1006" w:type="dxa"/>
            <w:vAlign w:val="center"/>
          </w:tcPr>
          <w:p w14:paraId="55834F34">
            <w:pPr>
              <w:ind w:firstLine="0"/>
              <w:jc w:val="center"/>
              <w:rPr>
                <w:szCs w:val="28"/>
                <w:highlight w:val="none"/>
              </w:rPr>
            </w:pPr>
            <w:r>
              <w:rPr>
                <w:szCs w:val="28"/>
                <w:highlight w:val="none"/>
              </w:rPr>
              <w:t>0,092</w:t>
            </w:r>
          </w:p>
        </w:tc>
      </w:tr>
      <w:tr w14:paraId="135D1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28322E0D">
            <w:pPr>
              <w:ind w:firstLine="0"/>
              <w:jc w:val="left"/>
              <w:rPr>
                <w:szCs w:val="28"/>
                <w:highlight w:val="none"/>
              </w:rPr>
            </w:pPr>
            <w:r>
              <w:rPr>
                <w:szCs w:val="28"/>
                <w:highlight w:val="none"/>
              </w:rPr>
              <w:t>Тимолова проба, Од SH</w:t>
            </w:r>
          </w:p>
        </w:tc>
        <w:tc>
          <w:tcPr>
            <w:tcW w:w="2782" w:type="dxa"/>
            <w:vAlign w:val="center"/>
          </w:tcPr>
          <w:p w14:paraId="0F7D697F">
            <w:pPr>
              <w:ind w:firstLine="0"/>
              <w:jc w:val="center"/>
              <w:rPr>
                <w:szCs w:val="28"/>
                <w:highlight w:val="none"/>
              </w:rPr>
            </w:pPr>
            <w:r>
              <w:rPr>
                <w:szCs w:val="28"/>
                <w:highlight w:val="none"/>
              </w:rPr>
              <w:t>1,70 [1,40; 2,20]</w:t>
            </w:r>
          </w:p>
        </w:tc>
        <w:tc>
          <w:tcPr>
            <w:tcW w:w="2783" w:type="dxa"/>
            <w:vAlign w:val="center"/>
          </w:tcPr>
          <w:p w14:paraId="5A3A0193">
            <w:pPr>
              <w:ind w:firstLine="0"/>
              <w:jc w:val="center"/>
              <w:rPr>
                <w:szCs w:val="28"/>
                <w:highlight w:val="none"/>
              </w:rPr>
            </w:pPr>
            <w:r>
              <w:rPr>
                <w:szCs w:val="28"/>
                <w:highlight w:val="none"/>
              </w:rPr>
              <w:t>1,55 [1,33; 1,80]</w:t>
            </w:r>
          </w:p>
        </w:tc>
        <w:tc>
          <w:tcPr>
            <w:tcW w:w="1006" w:type="dxa"/>
            <w:vAlign w:val="center"/>
          </w:tcPr>
          <w:p w14:paraId="0DDC9E25">
            <w:pPr>
              <w:ind w:firstLine="0"/>
              <w:jc w:val="center"/>
              <w:rPr>
                <w:szCs w:val="28"/>
                <w:highlight w:val="none"/>
              </w:rPr>
            </w:pPr>
            <w:r>
              <w:rPr>
                <w:szCs w:val="28"/>
                <w:highlight w:val="none"/>
              </w:rPr>
              <w:t>0,338</w:t>
            </w:r>
          </w:p>
        </w:tc>
      </w:tr>
      <w:tr w14:paraId="08BFC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27DDF9AE">
            <w:pPr>
              <w:ind w:firstLine="0"/>
              <w:jc w:val="left"/>
              <w:rPr>
                <w:szCs w:val="28"/>
                <w:highlight w:val="none"/>
              </w:rPr>
            </w:pPr>
            <w:r>
              <w:rPr>
                <w:szCs w:val="28"/>
                <w:highlight w:val="none"/>
              </w:rPr>
              <w:t>Білок загальний, г/л</w:t>
            </w:r>
          </w:p>
        </w:tc>
        <w:tc>
          <w:tcPr>
            <w:tcW w:w="2782" w:type="dxa"/>
            <w:vAlign w:val="center"/>
          </w:tcPr>
          <w:p w14:paraId="1E4D865C">
            <w:pPr>
              <w:ind w:firstLine="0"/>
              <w:jc w:val="center"/>
              <w:rPr>
                <w:szCs w:val="28"/>
                <w:highlight w:val="none"/>
              </w:rPr>
            </w:pPr>
            <w:r>
              <w:rPr>
                <w:szCs w:val="28"/>
                <w:highlight w:val="none"/>
              </w:rPr>
              <w:t>68,1 [65,2; 75,7]</w:t>
            </w:r>
          </w:p>
        </w:tc>
        <w:tc>
          <w:tcPr>
            <w:tcW w:w="2783" w:type="dxa"/>
            <w:vAlign w:val="center"/>
          </w:tcPr>
          <w:p w14:paraId="78C94F9A">
            <w:pPr>
              <w:ind w:firstLine="0"/>
              <w:jc w:val="center"/>
              <w:rPr>
                <w:szCs w:val="28"/>
                <w:highlight w:val="none"/>
              </w:rPr>
            </w:pPr>
            <w:r>
              <w:rPr>
                <w:szCs w:val="28"/>
                <w:highlight w:val="none"/>
              </w:rPr>
              <w:t>71,4 [45,8; 78,3]</w:t>
            </w:r>
          </w:p>
        </w:tc>
        <w:tc>
          <w:tcPr>
            <w:tcW w:w="1006" w:type="dxa"/>
            <w:vAlign w:val="center"/>
          </w:tcPr>
          <w:p w14:paraId="1912AF91">
            <w:pPr>
              <w:ind w:firstLine="0"/>
              <w:jc w:val="center"/>
              <w:rPr>
                <w:szCs w:val="28"/>
                <w:highlight w:val="none"/>
              </w:rPr>
            </w:pPr>
            <w:r>
              <w:rPr>
                <w:szCs w:val="28"/>
                <w:highlight w:val="none"/>
              </w:rPr>
              <w:t>0,686</w:t>
            </w:r>
          </w:p>
        </w:tc>
      </w:tr>
      <w:tr w14:paraId="3B563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2CCB17E1">
            <w:pPr>
              <w:ind w:firstLine="0"/>
              <w:jc w:val="left"/>
              <w:rPr>
                <w:szCs w:val="28"/>
                <w:highlight w:val="none"/>
              </w:rPr>
            </w:pPr>
            <w:r>
              <w:rPr>
                <w:szCs w:val="28"/>
                <w:highlight w:val="none"/>
              </w:rPr>
              <w:t>Альбумін, г/л</w:t>
            </w:r>
          </w:p>
        </w:tc>
        <w:tc>
          <w:tcPr>
            <w:tcW w:w="2782" w:type="dxa"/>
            <w:vAlign w:val="center"/>
          </w:tcPr>
          <w:p w14:paraId="510E1D48">
            <w:pPr>
              <w:ind w:firstLine="0"/>
              <w:jc w:val="center"/>
              <w:rPr>
                <w:szCs w:val="28"/>
                <w:highlight w:val="none"/>
              </w:rPr>
            </w:pPr>
            <w:r>
              <w:rPr>
                <w:szCs w:val="28"/>
                <w:highlight w:val="none"/>
              </w:rPr>
              <w:t>48,6 [41,6; 54,9]</w:t>
            </w:r>
          </w:p>
        </w:tc>
        <w:tc>
          <w:tcPr>
            <w:tcW w:w="2783" w:type="dxa"/>
            <w:vAlign w:val="center"/>
          </w:tcPr>
          <w:p w14:paraId="3B560548">
            <w:pPr>
              <w:ind w:firstLine="0"/>
              <w:jc w:val="center"/>
              <w:rPr>
                <w:szCs w:val="28"/>
                <w:highlight w:val="none"/>
              </w:rPr>
            </w:pPr>
            <w:r>
              <w:rPr>
                <w:szCs w:val="28"/>
                <w:highlight w:val="none"/>
              </w:rPr>
              <w:t>51,6 [45,4; 72,8]</w:t>
            </w:r>
          </w:p>
        </w:tc>
        <w:tc>
          <w:tcPr>
            <w:tcW w:w="1006" w:type="dxa"/>
            <w:vAlign w:val="center"/>
          </w:tcPr>
          <w:p w14:paraId="3E81BFC5">
            <w:pPr>
              <w:ind w:firstLine="0"/>
              <w:jc w:val="center"/>
              <w:rPr>
                <w:szCs w:val="28"/>
                <w:highlight w:val="none"/>
              </w:rPr>
            </w:pPr>
            <w:r>
              <w:rPr>
                <w:szCs w:val="28"/>
                <w:highlight w:val="none"/>
              </w:rPr>
              <w:t>0,286</w:t>
            </w:r>
          </w:p>
        </w:tc>
      </w:tr>
      <w:tr w14:paraId="03793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3929B25B">
            <w:pPr>
              <w:ind w:firstLine="0"/>
              <w:jc w:val="left"/>
              <w:rPr>
                <w:szCs w:val="28"/>
                <w:highlight w:val="none"/>
              </w:rPr>
            </w:pPr>
            <w:r>
              <w:rPr>
                <w:szCs w:val="28"/>
                <w:highlight w:val="none"/>
              </w:rPr>
              <w:t>ХС, ммоль/л</w:t>
            </w:r>
          </w:p>
        </w:tc>
        <w:tc>
          <w:tcPr>
            <w:tcW w:w="2782" w:type="dxa"/>
            <w:vAlign w:val="center"/>
          </w:tcPr>
          <w:p w14:paraId="6D02219B">
            <w:pPr>
              <w:ind w:firstLine="0"/>
              <w:jc w:val="center"/>
              <w:rPr>
                <w:szCs w:val="28"/>
                <w:highlight w:val="none"/>
              </w:rPr>
            </w:pPr>
            <w:r>
              <w:rPr>
                <w:szCs w:val="28"/>
                <w:highlight w:val="none"/>
              </w:rPr>
              <w:t>4,67 [3,31; 5,68]</w:t>
            </w:r>
          </w:p>
        </w:tc>
        <w:tc>
          <w:tcPr>
            <w:tcW w:w="2783" w:type="dxa"/>
            <w:vAlign w:val="center"/>
          </w:tcPr>
          <w:p w14:paraId="23C7B48F">
            <w:pPr>
              <w:ind w:firstLine="0"/>
              <w:jc w:val="center"/>
              <w:rPr>
                <w:szCs w:val="28"/>
                <w:highlight w:val="none"/>
              </w:rPr>
            </w:pPr>
            <w:r>
              <w:rPr>
                <w:szCs w:val="28"/>
                <w:highlight w:val="none"/>
              </w:rPr>
              <w:t>4,57 [3,43; 5,62]</w:t>
            </w:r>
          </w:p>
        </w:tc>
        <w:tc>
          <w:tcPr>
            <w:tcW w:w="1006" w:type="dxa"/>
            <w:vAlign w:val="center"/>
          </w:tcPr>
          <w:p w14:paraId="0178B301">
            <w:pPr>
              <w:ind w:firstLine="0"/>
              <w:jc w:val="center"/>
              <w:rPr>
                <w:szCs w:val="28"/>
                <w:highlight w:val="none"/>
              </w:rPr>
            </w:pPr>
            <w:r>
              <w:rPr>
                <w:szCs w:val="28"/>
                <w:highlight w:val="none"/>
              </w:rPr>
              <w:t>0,964</w:t>
            </w:r>
          </w:p>
        </w:tc>
      </w:tr>
      <w:tr w14:paraId="0B1BF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40CEDC01">
            <w:pPr>
              <w:ind w:firstLine="0"/>
              <w:jc w:val="left"/>
              <w:rPr>
                <w:szCs w:val="28"/>
                <w:highlight w:val="none"/>
              </w:rPr>
            </w:pPr>
            <w:r>
              <w:rPr>
                <w:szCs w:val="28"/>
                <w:highlight w:val="none"/>
              </w:rPr>
              <w:t>ЛПВЩ, ммоль/л</w:t>
            </w:r>
          </w:p>
        </w:tc>
        <w:tc>
          <w:tcPr>
            <w:tcW w:w="2782" w:type="dxa"/>
            <w:vAlign w:val="center"/>
          </w:tcPr>
          <w:p w14:paraId="3D27F676">
            <w:pPr>
              <w:ind w:firstLine="0"/>
              <w:jc w:val="center"/>
              <w:rPr>
                <w:szCs w:val="28"/>
                <w:highlight w:val="none"/>
              </w:rPr>
            </w:pPr>
            <w:r>
              <w:rPr>
                <w:szCs w:val="28"/>
                <w:highlight w:val="none"/>
              </w:rPr>
              <w:t>1,43 [1,19; 1,73]</w:t>
            </w:r>
          </w:p>
        </w:tc>
        <w:tc>
          <w:tcPr>
            <w:tcW w:w="2783" w:type="dxa"/>
            <w:vAlign w:val="center"/>
          </w:tcPr>
          <w:p w14:paraId="60A5648E">
            <w:pPr>
              <w:ind w:firstLine="0"/>
              <w:jc w:val="center"/>
              <w:rPr>
                <w:szCs w:val="28"/>
                <w:highlight w:val="none"/>
              </w:rPr>
            </w:pPr>
            <w:r>
              <w:rPr>
                <w:szCs w:val="28"/>
                <w:highlight w:val="none"/>
              </w:rPr>
              <w:t>1,50 [1,19; 1,84]</w:t>
            </w:r>
          </w:p>
        </w:tc>
        <w:tc>
          <w:tcPr>
            <w:tcW w:w="1006" w:type="dxa"/>
            <w:vAlign w:val="center"/>
          </w:tcPr>
          <w:p w14:paraId="2C3BD834">
            <w:pPr>
              <w:ind w:firstLine="0"/>
              <w:jc w:val="center"/>
              <w:rPr>
                <w:szCs w:val="28"/>
                <w:highlight w:val="none"/>
              </w:rPr>
            </w:pPr>
            <w:r>
              <w:rPr>
                <w:szCs w:val="28"/>
                <w:highlight w:val="none"/>
              </w:rPr>
              <w:t>0,544</w:t>
            </w:r>
          </w:p>
        </w:tc>
      </w:tr>
      <w:tr w14:paraId="445CB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5176FBDF">
            <w:pPr>
              <w:ind w:firstLine="0"/>
              <w:jc w:val="left"/>
              <w:rPr>
                <w:szCs w:val="28"/>
                <w:highlight w:val="none"/>
              </w:rPr>
            </w:pPr>
            <w:r>
              <w:rPr>
                <w:szCs w:val="28"/>
                <w:highlight w:val="none"/>
              </w:rPr>
              <w:t>ТГ, ммоль/л</w:t>
            </w:r>
          </w:p>
        </w:tc>
        <w:tc>
          <w:tcPr>
            <w:tcW w:w="2782" w:type="dxa"/>
            <w:vAlign w:val="center"/>
          </w:tcPr>
          <w:p w14:paraId="3D7FE2DB">
            <w:pPr>
              <w:ind w:firstLine="0"/>
              <w:jc w:val="center"/>
              <w:rPr>
                <w:szCs w:val="28"/>
                <w:highlight w:val="none"/>
              </w:rPr>
            </w:pPr>
            <w:r>
              <w:rPr>
                <w:szCs w:val="28"/>
                <w:highlight w:val="none"/>
              </w:rPr>
              <w:t>0,98 [0,70; 1,16]</w:t>
            </w:r>
          </w:p>
        </w:tc>
        <w:tc>
          <w:tcPr>
            <w:tcW w:w="2783" w:type="dxa"/>
            <w:vAlign w:val="center"/>
          </w:tcPr>
          <w:p w14:paraId="6B971A91">
            <w:pPr>
              <w:ind w:firstLine="0"/>
              <w:jc w:val="center"/>
              <w:rPr>
                <w:szCs w:val="28"/>
                <w:highlight w:val="none"/>
              </w:rPr>
            </w:pPr>
            <w:r>
              <w:rPr>
                <w:szCs w:val="28"/>
                <w:highlight w:val="none"/>
              </w:rPr>
              <w:t>1,22 [0,94; 1,48]</w:t>
            </w:r>
          </w:p>
        </w:tc>
        <w:tc>
          <w:tcPr>
            <w:tcW w:w="1006" w:type="dxa"/>
            <w:vAlign w:val="center"/>
          </w:tcPr>
          <w:p w14:paraId="364A9723">
            <w:pPr>
              <w:ind w:firstLine="0"/>
              <w:jc w:val="center"/>
              <w:rPr>
                <w:szCs w:val="28"/>
                <w:highlight w:val="none"/>
              </w:rPr>
            </w:pPr>
            <w:r>
              <w:rPr>
                <w:szCs w:val="28"/>
                <w:highlight w:val="none"/>
              </w:rPr>
              <w:t>0,082</w:t>
            </w:r>
          </w:p>
        </w:tc>
      </w:tr>
      <w:tr w14:paraId="4BB5A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02F60E5D">
            <w:pPr>
              <w:ind w:firstLine="0"/>
              <w:jc w:val="left"/>
              <w:rPr>
                <w:szCs w:val="28"/>
                <w:highlight w:val="none"/>
              </w:rPr>
            </w:pPr>
            <w:r>
              <w:rPr>
                <w:szCs w:val="28"/>
                <w:highlight w:val="none"/>
              </w:rPr>
              <w:t>ЛПНЩ, ммоль/л</w:t>
            </w:r>
          </w:p>
        </w:tc>
        <w:tc>
          <w:tcPr>
            <w:tcW w:w="2782" w:type="dxa"/>
            <w:vAlign w:val="center"/>
          </w:tcPr>
          <w:p w14:paraId="729C6152">
            <w:pPr>
              <w:ind w:firstLine="0"/>
              <w:jc w:val="center"/>
              <w:rPr>
                <w:szCs w:val="28"/>
                <w:highlight w:val="none"/>
              </w:rPr>
            </w:pPr>
            <w:r>
              <w:rPr>
                <w:szCs w:val="28"/>
                <w:highlight w:val="none"/>
              </w:rPr>
              <w:t>2,66 [2,10; 3,86]</w:t>
            </w:r>
          </w:p>
        </w:tc>
        <w:tc>
          <w:tcPr>
            <w:tcW w:w="2783" w:type="dxa"/>
            <w:vAlign w:val="center"/>
          </w:tcPr>
          <w:p w14:paraId="033497EB">
            <w:pPr>
              <w:ind w:firstLine="0"/>
              <w:jc w:val="center"/>
              <w:rPr>
                <w:szCs w:val="28"/>
                <w:highlight w:val="none"/>
              </w:rPr>
            </w:pPr>
            <w:r>
              <w:rPr>
                <w:szCs w:val="28"/>
                <w:highlight w:val="none"/>
              </w:rPr>
              <w:t>2,62 [1,53; 3,29]</w:t>
            </w:r>
          </w:p>
        </w:tc>
        <w:tc>
          <w:tcPr>
            <w:tcW w:w="1006" w:type="dxa"/>
            <w:vAlign w:val="center"/>
          </w:tcPr>
          <w:p w14:paraId="0D3E33F6">
            <w:pPr>
              <w:ind w:firstLine="0"/>
              <w:jc w:val="center"/>
              <w:rPr>
                <w:szCs w:val="28"/>
                <w:highlight w:val="none"/>
              </w:rPr>
            </w:pPr>
            <w:r>
              <w:rPr>
                <w:szCs w:val="28"/>
                <w:highlight w:val="none"/>
              </w:rPr>
              <w:t>0,221</w:t>
            </w:r>
          </w:p>
        </w:tc>
      </w:tr>
      <w:tr w14:paraId="1F141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3603FDBD">
            <w:pPr>
              <w:ind w:firstLine="0"/>
              <w:jc w:val="left"/>
              <w:rPr>
                <w:szCs w:val="28"/>
                <w:highlight w:val="none"/>
              </w:rPr>
            </w:pPr>
            <w:r>
              <w:rPr>
                <w:szCs w:val="28"/>
                <w:highlight w:val="none"/>
              </w:rPr>
              <w:t>ЛПДНЩ, ммоль/л</w:t>
            </w:r>
          </w:p>
        </w:tc>
        <w:tc>
          <w:tcPr>
            <w:tcW w:w="2782" w:type="dxa"/>
            <w:vAlign w:val="center"/>
          </w:tcPr>
          <w:p w14:paraId="46813522">
            <w:pPr>
              <w:ind w:firstLine="0"/>
              <w:jc w:val="center"/>
              <w:rPr>
                <w:szCs w:val="28"/>
                <w:highlight w:val="none"/>
              </w:rPr>
            </w:pPr>
            <w:r>
              <w:rPr>
                <w:szCs w:val="28"/>
                <w:highlight w:val="none"/>
              </w:rPr>
              <w:t>0,46 [0,30; 0,62]</w:t>
            </w:r>
          </w:p>
        </w:tc>
        <w:tc>
          <w:tcPr>
            <w:tcW w:w="2783" w:type="dxa"/>
            <w:vAlign w:val="center"/>
          </w:tcPr>
          <w:p w14:paraId="7A62C519">
            <w:pPr>
              <w:ind w:firstLine="0"/>
              <w:jc w:val="center"/>
              <w:rPr>
                <w:szCs w:val="28"/>
                <w:highlight w:val="none"/>
              </w:rPr>
            </w:pPr>
            <w:r>
              <w:rPr>
                <w:szCs w:val="28"/>
                <w:highlight w:val="none"/>
              </w:rPr>
              <w:t>0,55 [0,43; 0,79]</w:t>
            </w:r>
          </w:p>
        </w:tc>
        <w:tc>
          <w:tcPr>
            <w:tcW w:w="1006" w:type="dxa"/>
            <w:vAlign w:val="center"/>
          </w:tcPr>
          <w:p w14:paraId="1A75063C">
            <w:pPr>
              <w:ind w:firstLine="0"/>
              <w:jc w:val="center"/>
              <w:rPr>
                <w:szCs w:val="28"/>
                <w:highlight w:val="none"/>
              </w:rPr>
            </w:pPr>
            <w:r>
              <w:rPr>
                <w:szCs w:val="28"/>
                <w:highlight w:val="none"/>
              </w:rPr>
              <w:t>0,181</w:t>
            </w:r>
          </w:p>
        </w:tc>
      </w:tr>
    </w:tbl>
    <w:p w14:paraId="07C3B572">
      <w:pPr>
        <w:rPr>
          <w:highlight w:val="none"/>
        </w:rPr>
      </w:pPr>
    </w:p>
    <w:p w14:paraId="7024EE23">
      <w:pPr>
        <w:jc w:val="right"/>
        <w:rPr>
          <w:i/>
          <w:iCs/>
          <w:szCs w:val="28"/>
          <w:highlight w:val="none"/>
        </w:rPr>
      </w:pPr>
      <w:r>
        <w:rPr>
          <w:i/>
          <w:iCs/>
          <w:szCs w:val="28"/>
          <w:highlight w:val="none"/>
        </w:rPr>
        <w:t>Продовження таблиці 4.6</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73"/>
        <w:gridCol w:w="2782"/>
        <w:gridCol w:w="2783"/>
        <w:gridCol w:w="1006"/>
      </w:tblGrid>
      <w:tr w14:paraId="205E5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31241A6E">
            <w:pPr>
              <w:ind w:firstLine="0"/>
              <w:jc w:val="left"/>
              <w:rPr>
                <w:b/>
                <w:bCs/>
                <w:szCs w:val="28"/>
                <w:highlight w:val="none"/>
              </w:rPr>
            </w:pPr>
            <w:r>
              <w:rPr>
                <w:b/>
                <w:bCs/>
                <w:szCs w:val="28"/>
                <w:highlight w:val="none"/>
              </w:rPr>
              <w:t>Показник</w:t>
            </w:r>
          </w:p>
        </w:tc>
        <w:tc>
          <w:tcPr>
            <w:tcW w:w="2782" w:type="dxa"/>
            <w:vAlign w:val="center"/>
          </w:tcPr>
          <w:p w14:paraId="3AFE77A1">
            <w:pPr>
              <w:ind w:firstLine="0"/>
              <w:jc w:val="center"/>
              <w:rPr>
                <w:b/>
                <w:bCs/>
                <w:szCs w:val="28"/>
                <w:highlight w:val="none"/>
              </w:rPr>
            </w:pPr>
            <w:r>
              <w:rPr>
                <w:b/>
                <w:bCs/>
                <w:szCs w:val="28"/>
                <w:highlight w:val="none"/>
              </w:rPr>
              <w:t>1 підгрупа (n = 31)</w:t>
            </w:r>
          </w:p>
        </w:tc>
        <w:tc>
          <w:tcPr>
            <w:tcW w:w="2783" w:type="dxa"/>
            <w:vAlign w:val="center"/>
          </w:tcPr>
          <w:p w14:paraId="640F8172">
            <w:pPr>
              <w:ind w:firstLine="0"/>
              <w:jc w:val="center"/>
              <w:rPr>
                <w:b/>
                <w:bCs/>
                <w:szCs w:val="28"/>
                <w:highlight w:val="none"/>
              </w:rPr>
            </w:pPr>
            <w:r>
              <w:rPr>
                <w:b/>
                <w:bCs/>
                <w:szCs w:val="28"/>
                <w:highlight w:val="none"/>
              </w:rPr>
              <w:t>2 підгрупа (n = 16)</w:t>
            </w:r>
          </w:p>
        </w:tc>
        <w:tc>
          <w:tcPr>
            <w:tcW w:w="1006" w:type="dxa"/>
            <w:vAlign w:val="center"/>
          </w:tcPr>
          <w:p w14:paraId="23E302BC">
            <w:pPr>
              <w:ind w:firstLine="0"/>
              <w:jc w:val="center"/>
              <w:rPr>
                <w:b/>
                <w:bCs/>
                <w:szCs w:val="28"/>
                <w:highlight w:val="none"/>
              </w:rPr>
            </w:pPr>
            <w:r>
              <w:rPr>
                <w:b/>
                <w:bCs/>
                <w:szCs w:val="28"/>
                <w:highlight w:val="none"/>
              </w:rPr>
              <w:t>p</w:t>
            </w:r>
          </w:p>
        </w:tc>
      </w:tr>
      <w:tr w14:paraId="77DCF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1F00E313">
            <w:pPr>
              <w:ind w:firstLine="0"/>
              <w:jc w:val="left"/>
              <w:rPr>
                <w:szCs w:val="28"/>
                <w:highlight w:val="none"/>
              </w:rPr>
            </w:pPr>
            <w:r>
              <w:rPr>
                <w:szCs w:val="28"/>
                <w:highlight w:val="none"/>
              </w:rPr>
              <w:t>КА</w:t>
            </w:r>
          </w:p>
        </w:tc>
        <w:tc>
          <w:tcPr>
            <w:tcW w:w="2782" w:type="dxa"/>
            <w:vAlign w:val="center"/>
          </w:tcPr>
          <w:p w14:paraId="6889468E">
            <w:pPr>
              <w:ind w:firstLine="0"/>
              <w:jc w:val="center"/>
              <w:rPr>
                <w:szCs w:val="28"/>
                <w:highlight w:val="none"/>
              </w:rPr>
            </w:pPr>
            <w:r>
              <w:rPr>
                <w:szCs w:val="28"/>
                <w:highlight w:val="none"/>
              </w:rPr>
              <w:t>2,44 [1,78; 2,96]</w:t>
            </w:r>
          </w:p>
        </w:tc>
        <w:tc>
          <w:tcPr>
            <w:tcW w:w="2783" w:type="dxa"/>
            <w:vAlign w:val="center"/>
          </w:tcPr>
          <w:p w14:paraId="3E230427">
            <w:pPr>
              <w:ind w:firstLine="0"/>
              <w:jc w:val="center"/>
              <w:rPr>
                <w:szCs w:val="28"/>
                <w:highlight w:val="none"/>
              </w:rPr>
            </w:pPr>
            <w:r>
              <w:rPr>
                <w:szCs w:val="28"/>
                <w:highlight w:val="none"/>
              </w:rPr>
              <w:t>2,08 [1,71; 2,24]</w:t>
            </w:r>
          </w:p>
        </w:tc>
        <w:tc>
          <w:tcPr>
            <w:tcW w:w="1006" w:type="dxa"/>
            <w:vAlign w:val="center"/>
          </w:tcPr>
          <w:p w14:paraId="4D8321C9">
            <w:pPr>
              <w:ind w:firstLine="0"/>
              <w:jc w:val="center"/>
              <w:rPr>
                <w:szCs w:val="28"/>
                <w:highlight w:val="none"/>
              </w:rPr>
            </w:pPr>
            <w:r>
              <w:rPr>
                <w:szCs w:val="28"/>
                <w:highlight w:val="none"/>
              </w:rPr>
              <w:t>0,078</w:t>
            </w:r>
          </w:p>
        </w:tc>
      </w:tr>
      <w:tr w14:paraId="16FC9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7945983A">
            <w:pPr>
              <w:ind w:firstLine="0"/>
              <w:jc w:val="left"/>
              <w:rPr>
                <w:szCs w:val="28"/>
                <w:highlight w:val="none"/>
              </w:rPr>
            </w:pPr>
            <w:r>
              <w:rPr>
                <w:szCs w:val="28"/>
                <w:highlight w:val="none"/>
              </w:rPr>
              <w:t>Креатинін, мкмоль/л</w:t>
            </w:r>
          </w:p>
        </w:tc>
        <w:tc>
          <w:tcPr>
            <w:tcW w:w="2782" w:type="dxa"/>
            <w:vAlign w:val="center"/>
          </w:tcPr>
          <w:p w14:paraId="5B684BD6">
            <w:pPr>
              <w:ind w:firstLine="0"/>
              <w:jc w:val="center"/>
              <w:rPr>
                <w:szCs w:val="28"/>
                <w:highlight w:val="none"/>
              </w:rPr>
            </w:pPr>
            <w:r>
              <w:rPr>
                <w:szCs w:val="28"/>
                <w:highlight w:val="none"/>
              </w:rPr>
              <w:t>78,0 [72,9; 93,9]</w:t>
            </w:r>
          </w:p>
        </w:tc>
        <w:tc>
          <w:tcPr>
            <w:tcW w:w="2783" w:type="dxa"/>
            <w:vAlign w:val="center"/>
          </w:tcPr>
          <w:p w14:paraId="244B84CA">
            <w:pPr>
              <w:ind w:firstLine="0"/>
              <w:jc w:val="center"/>
              <w:rPr>
                <w:szCs w:val="28"/>
                <w:highlight w:val="none"/>
              </w:rPr>
            </w:pPr>
            <w:r>
              <w:rPr>
                <w:szCs w:val="28"/>
                <w:highlight w:val="none"/>
              </w:rPr>
              <w:t>81,4 [71,3; 91,8]</w:t>
            </w:r>
          </w:p>
        </w:tc>
        <w:tc>
          <w:tcPr>
            <w:tcW w:w="1006" w:type="dxa"/>
            <w:vAlign w:val="center"/>
          </w:tcPr>
          <w:p w14:paraId="655CE056">
            <w:pPr>
              <w:ind w:firstLine="0"/>
              <w:jc w:val="center"/>
              <w:rPr>
                <w:szCs w:val="28"/>
                <w:highlight w:val="none"/>
              </w:rPr>
            </w:pPr>
            <w:r>
              <w:rPr>
                <w:szCs w:val="28"/>
                <w:highlight w:val="none"/>
              </w:rPr>
              <w:t>0,678</w:t>
            </w:r>
          </w:p>
        </w:tc>
      </w:tr>
      <w:tr w14:paraId="41ACB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64124495">
            <w:pPr>
              <w:ind w:firstLine="0"/>
              <w:jc w:val="left"/>
              <w:rPr>
                <w:szCs w:val="28"/>
                <w:highlight w:val="none"/>
              </w:rPr>
            </w:pPr>
            <w:r>
              <w:rPr>
                <w:szCs w:val="28"/>
                <w:highlight w:val="none"/>
              </w:rPr>
              <w:t>Глюкоза, ммоль/л</w:t>
            </w:r>
          </w:p>
        </w:tc>
        <w:tc>
          <w:tcPr>
            <w:tcW w:w="2782" w:type="dxa"/>
            <w:vAlign w:val="center"/>
          </w:tcPr>
          <w:p w14:paraId="785E5ACA">
            <w:pPr>
              <w:ind w:firstLine="0"/>
              <w:jc w:val="center"/>
              <w:rPr>
                <w:szCs w:val="28"/>
                <w:highlight w:val="none"/>
              </w:rPr>
            </w:pPr>
            <w:r>
              <w:rPr>
                <w:szCs w:val="28"/>
                <w:highlight w:val="none"/>
              </w:rPr>
              <w:t>5,0 [4,7; 5,3]</w:t>
            </w:r>
          </w:p>
        </w:tc>
        <w:tc>
          <w:tcPr>
            <w:tcW w:w="2783" w:type="dxa"/>
            <w:vAlign w:val="center"/>
          </w:tcPr>
          <w:p w14:paraId="625D6060">
            <w:pPr>
              <w:ind w:firstLine="0"/>
              <w:jc w:val="center"/>
              <w:rPr>
                <w:szCs w:val="28"/>
                <w:highlight w:val="none"/>
              </w:rPr>
            </w:pPr>
            <w:r>
              <w:rPr>
                <w:szCs w:val="28"/>
                <w:highlight w:val="none"/>
              </w:rPr>
              <w:t>5,1 [4,8; 5,5]</w:t>
            </w:r>
          </w:p>
        </w:tc>
        <w:tc>
          <w:tcPr>
            <w:tcW w:w="1006" w:type="dxa"/>
            <w:vAlign w:val="center"/>
          </w:tcPr>
          <w:p w14:paraId="204AF779">
            <w:pPr>
              <w:ind w:firstLine="0"/>
              <w:jc w:val="center"/>
              <w:rPr>
                <w:szCs w:val="28"/>
                <w:highlight w:val="none"/>
              </w:rPr>
            </w:pPr>
            <w:r>
              <w:rPr>
                <w:szCs w:val="28"/>
                <w:highlight w:val="none"/>
              </w:rPr>
              <w:t>0,544</w:t>
            </w:r>
          </w:p>
        </w:tc>
      </w:tr>
    </w:tbl>
    <w:p w14:paraId="0AB833AE">
      <w:pPr>
        <w:rPr>
          <w:szCs w:val="28"/>
          <w:highlight w:val="none"/>
        </w:rPr>
      </w:pPr>
    </w:p>
    <w:p w14:paraId="6DFB5F1E">
      <w:pPr>
        <w:rPr>
          <w:szCs w:val="28"/>
          <w:highlight w:val="none"/>
        </w:rPr>
      </w:pPr>
      <w:r>
        <w:rPr>
          <w:szCs w:val="28"/>
          <w:highlight w:val="none"/>
        </w:rPr>
        <w:t>Проведений аналіз біохімічних параметрів показав, що після проведеного лікування зазначені показники знизилися до загально встановлених норм. Так, незначно переважала медіана рівнів АЛТ та АСТ у пацієнтів 1 підгрупи у порівнянні з 2 підгрупою. Проте медіанні рівнів ГГТ та ЛФ були вищі у пацієнтів зі значним фіброзом, ніж у пацієнтів з фіброзом 0–2 стадії. Медіани рівнів загального білірубіну та його фракцій у пацієнтів з фіброзом 3–4 стадії недостовірно кількісно були нижчими за відповідні значення в 1 підгрупі. Рівнів тимолової проби також нормалізувалися та достовірно не різнилися між даними підгрупами.</w:t>
      </w:r>
    </w:p>
    <w:p w14:paraId="7A329B6F">
      <w:pPr>
        <w:rPr>
          <w:szCs w:val="28"/>
          <w:highlight w:val="none"/>
        </w:rPr>
      </w:pPr>
      <w:r>
        <w:rPr>
          <w:szCs w:val="28"/>
          <w:highlight w:val="none"/>
        </w:rPr>
        <w:t>Медіанні рівні загального білку та альбуміну недостовірно кількісно переважали у пацієнтів з 3–4 стадією фіброзу на 3 г/л відповідно. Концентрація холестерину у пацієнтів 1 підгрупи були незначно вищими, ніж в 2 підгрупі, проте достовірної різниці визначено не було. Фракції ліпідів незначно відрізнялися між зазначеними підгрупами, хоча коефіцієнт атерогенності у пацієнтів з меншими стадіями фіброзу був вищим, ніж у пацієнтів з 3–4 стадією фіброзу. Медіани рівнів креатиніну та глюкози були недостовірно вищими у пацієнтів 2 підгрупи (табл. 4.6).</w:t>
      </w:r>
    </w:p>
    <w:p w14:paraId="4F604049">
      <w:pPr>
        <w:rPr>
          <w:highlight w:val="none"/>
        </w:rPr>
      </w:pPr>
      <w:bookmarkStart w:id="56" w:name="_Toc147703411"/>
    </w:p>
    <w:p w14:paraId="76A74D19">
      <w:pPr>
        <w:pStyle w:val="3"/>
        <w:rPr>
          <w:szCs w:val="28"/>
          <w:highlight w:val="none"/>
        </w:rPr>
      </w:pPr>
      <w:bookmarkStart w:id="57" w:name="_Toc153923963"/>
      <w:r>
        <w:rPr>
          <w:szCs w:val="28"/>
          <w:highlight w:val="none"/>
        </w:rPr>
        <w:t>4.4 Показники до та після лікування в основній групі у пацієнтів в 1 підгрупі фіброзу</w:t>
      </w:r>
      <w:bookmarkEnd w:id="56"/>
      <w:bookmarkEnd w:id="57"/>
    </w:p>
    <w:p w14:paraId="7573C23A">
      <w:pPr>
        <w:rPr>
          <w:szCs w:val="28"/>
          <w:highlight w:val="none"/>
        </w:rPr>
      </w:pPr>
    </w:p>
    <w:p w14:paraId="467112BC">
      <w:pPr>
        <w:jc w:val="right"/>
        <w:rPr>
          <w:i/>
          <w:iCs/>
          <w:szCs w:val="28"/>
          <w:highlight w:val="none"/>
        </w:rPr>
      </w:pPr>
      <w:r>
        <w:rPr>
          <w:i/>
          <w:iCs/>
          <w:szCs w:val="28"/>
          <w:highlight w:val="none"/>
        </w:rPr>
        <w:t>Таблиця 4.7</w:t>
      </w:r>
    </w:p>
    <w:p w14:paraId="7B1B04DE">
      <w:pPr>
        <w:rPr>
          <w:b/>
          <w:bCs/>
          <w:szCs w:val="28"/>
          <w:highlight w:val="none"/>
        </w:rPr>
      </w:pPr>
      <w:r>
        <w:rPr>
          <w:b/>
          <w:bCs/>
          <w:szCs w:val="28"/>
          <w:highlight w:val="none"/>
        </w:rPr>
        <w:t>Порівняння показників клінічного аналізу крові до та після лікування в основній групі 1 підгрупа (n = 31) , Me [Lq; Uq]</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47"/>
        <w:gridCol w:w="2693"/>
        <w:gridCol w:w="3099"/>
        <w:gridCol w:w="1006"/>
      </w:tblGrid>
      <w:tr w14:paraId="553E6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428737D4">
            <w:pPr>
              <w:ind w:firstLine="0"/>
              <w:jc w:val="left"/>
              <w:rPr>
                <w:b/>
                <w:bCs/>
                <w:szCs w:val="28"/>
                <w:highlight w:val="none"/>
              </w:rPr>
            </w:pPr>
            <w:r>
              <w:rPr>
                <w:b/>
                <w:bCs/>
                <w:szCs w:val="28"/>
                <w:highlight w:val="none"/>
              </w:rPr>
              <w:t>Показник</w:t>
            </w:r>
          </w:p>
        </w:tc>
        <w:tc>
          <w:tcPr>
            <w:tcW w:w="2693" w:type="dxa"/>
            <w:vAlign w:val="center"/>
          </w:tcPr>
          <w:p w14:paraId="7291701D">
            <w:pPr>
              <w:ind w:firstLine="0"/>
              <w:jc w:val="center"/>
              <w:rPr>
                <w:b/>
                <w:bCs/>
                <w:szCs w:val="28"/>
                <w:highlight w:val="none"/>
              </w:rPr>
            </w:pPr>
            <w:r>
              <w:rPr>
                <w:b/>
                <w:bCs/>
                <w:szCs w:val="28"/>
                <w:highlight w:val="none"/>
              </w:rPr>
              <w:t>До лікування</w:t>
            </w:r>
          </w:p>
        </w:tc>
        <w:tc>
          <w:tcPr>
            <w:tcW w:w="3099" w:type="dxa"/>
            <w:vAlign w:val="center"/>
          </w:tcPr>
          <w:p w14:paraId="6DD534CE">
            <w:pPr>
              <w:ind w:firstLine="0"/>
              <w:jc w:val="center"/>
              <w:rPr>
                <w:b/>
                <w:bCs/>
                <w:szCs w:val="28"/>
                <w:highlight w:val="none"/>
              </w:rPr>
            </w:pPr>
            <w:r>
              <w:rPr>
                <w:b/>
                <w:bCs/>
                <w:szCs w:val="28"/>
                <w:highlight w:val="none"/>
              </w:rPr>
              <w:t>Після лікування</w:t>
            </w:r>
          </w:p>
        </w:tc>
        <w:tc>
          <w:tcPr>
            <w:tcW w:w="1006" w:type="dxa"/>
            <w:vAlign w:val="center"/>
          </w:tcPr>
          <w:p w14:paraId="179B864F">
            <w:pPr>
              <w:ind w:firstLine="0"/>
              <w:jc w:val="center"/>
              <w:rPr>
                <w:b/>
                <w:bCs/>
                <w:szCs w:val="28"/>
                <w:highlight w:val="none"/>
              </w:rPr>
            </w:pPr>
            <w:r>
              <w:rPr>
                <w:b/>
                <w:bCs/>
                <w:szCs w:val="28"/>
                <w:highlight w:val="none"/>
              </w:rPr>
              <w:t>p</w:t>
            </w:r>
          </w:p>
        </w:tc>
      </w:tr>
      <w:tr w14:paraId="294C2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0C3AB0CA">
            <w:pPr>
              <w:ind w:firstLine="0"/>
              <w:jc w:val="left"/>
              <w:rPr>
                <w:szCs w:val="28"/>
                <w:highlight w:val="none"/>
              </w:rPr>
            </w:pPr>
            <w:r>
              <w:rPr>
                <w:szCs w:val="28"/>
                <w:highlight w:val="none"/>
              </w:rPr>
              <w:t>Еритроцити, 10</w:t>
            </w:r>
            <w:r>
              <w:rPr>
                <w:szCs w:val="28"/>
                <w:highlight w:val="none"/>
                <w:vertAlign w:val="superscript"/>
              </w:rPr>
              <w:t>12</w:t>
            </w:r>
            <w:r>
              <w:rPr>
                <w:szCs w:val="28"/>
                <w:highlight w:val="none"/>
              </w:rPr>
              <w:t>/л</w:t>
            </w:r>
          </w:p>
        </w:tc>
        <w:tc>
          <w:tcPr>
            <w:tcW w:w="2693" w:type="dxa"/>
            <w:vAlign w:val="center"/>
          </w:tcPr>
          <w:p w14:paraId="212683E3">
            <w:pPr>
              <w:ind w:firstLine="0"/>
              <w:jc w:val="center"/>
              <w:rPr>
                <w:szCs w:val="28"/>
                <w:highlight w:val="none"/>
              </w:rPr>
            </w:pPr>
            <w:r>
              <w:rPr>
                <w:szCs w:val="28"/>
                <w:highlight w:val="none"/>
              </w:rPr>
              <w:t>4,85 [4,56; 5,20]</w:t>
            </w:r>
          </w:p>
        </w:tc>
        <w:tc>
          <w:tcPr>
            <w:tcW w:w="3099" w:type="dxa"/>
            <w:vAlign w:val="center"/>
          </w:tcPr>
          <w:p w14:paraId="7A930277">
            <w:pPr>
              <w:ind w:firstLine="0"/>
              <w:jc w:val="center"/>
              <w:rPr>
                <w:szCs w:val="28"/>
                <w:highlight w:val="none"/>
              </w:rPr>
            </w:pPr>
            <w:r>
              <w:rPr>
                <w:szCs w:val="28"/>
                <w:highlight w:val="none"/>
              </w:rPr>
              <w:t>4,73 [4,23; 5,04]</w:t>
            </w:r>
          </w:p>
        </w:tc>
        <w:tc>
          <w:tcPr>
            <w:tcW w:w="1006" w:type="dxa"/>
            <w:vAlign w:val="center"/>
          </w:tcPr>
          <w:p w14:paraId="20CAB285">
            <w:pPr>
              <w:ind w:firstLine="0"/>
              <w:jc w:val="center"/>
              <w:rPr>
                <w:szCs w:val="28"/>
                <w:highlight w:val="none"/>
              </w:rPr>
            </w:pPr>
            <w:r>
              <w:rPr>
                <w:szCs w:val="28"/>
                <w:highlight w:val="none"/>
              </w:rPr>
              <w:t>0,147</w:t>
            </w:r>
          </w:p>
        </w:tc>
      </w:tr>
      <w:tr w14:paraId="7C6E7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75D6335">
            <w:pPr>
              <w:ind w:firstLine="0"/>
              <w:jc w:val="left"/>
              <w:rPr>
                <w:szCs w:val="28"/>
                <w:highlight w:val="none"/>
              </w:rPr>
            </w:pPr>
            <w:r>
              <w:rPr>
                <w:szCs w:val="28"/>
                <w:highlight w:val="none"/>
              </w:rPr>
              <w:t>Гемоглобін, г/л</w:t>
            </w:r>
          </w:p>
        </w:tc>
        <w:tc>
          <w:tcPr>
            <w:tcW w:w="2693" w:type="dxa"/>
            <w:vAlign w:val="center"/>
          </w:tcPr>
          <w:p w14:paraId="61674DF8">
            <w:pPr>
              <w:ind w:firstLine="0"/>
              <w:jc w:val="center"/>
              <w:rPr>
                <w:szCs w:val="28"/>
                <w:highlight w:val="none"/>
              </w:rPr>
            </w:pPr>
            <w:r>
              <w:rPr>
                <w:szCs w:val="28"/>
                <w:highlight w:val="none"/>
              </w:rPr>
              <w:t>146,0 [135,0; 155,0]</w:t>
            </w:r>
          </w:p>
        </w:tc>
        <w:tc>
          <w:tcPr>
            <w:tcW w:w="3099" w:type="dxa"/>
            <w:vAlign w:val="center"/>
          </w:tcPr>
          <w:p w14:paraId="4CF5EF2D">
            <w:pPr>
              <w:ind w:firstLine="0"/>
              <w:jc w:val="center"/>
              <w:rPr>
                <w:szCs w:val="28"/>
                <w:highlight w:val="none"/>
              </w:rPr>
            </w:pPr>
            <w:r>
              <w:rPr>
                <w:szCs w:val="28"/>
                <w:highlight w:val="none"/>
              </w:rPr>
              <w:t>144,0 [134,0; 155,0]</w:t>
            </w:r>
          </w:p>
        </w:tc>
        <w:tc>
          <w:tcPr>
            <w:tcW w:w="1006" w:type="dxa"/>
            <w:vAlign w:val="center"/>
          </w:tcPr>
          <w:p w14:paraId="4A3FE776">
            <w:pPr>
              <w:ind w:firstLine="0"/>
              <w:jc w:val="center"/>
              <w:rPr>
                <w:szCs w:val="28"/>
                <w:highlight w:val="none"/>
              </w:rPr>
            </w:pPr>
            <w:r>
              <w:rPr>
                <w:szCs w:val="28"/>
                <w:highlight w:val="none"/>
              </w:rPr>
              <w:t>0,829</w:t>
            </w:r>
          </w:p>
        </w:tc>
      </w:tr>
      <w:tr w14:paraId="14A52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1C49C1E8">
            <w:pPr>
              <w:ind w:firstLine="0"/>
              <w:jc w:val="left"/>
              <w:rPr>
                <w:szCs w:val="28"/>
                <w:highlight w:val="none"/>
              </w:rPr>
            </w:pPr>
            <w:r>
              <w:rPr>
                <w:szCs w:val="28"/>
                <w:highlight w:val="none"/>
              </w:rPr>
              <w:t>Гематокрит, %</w:t>
            </w:r>
          </w:p>
        </w:tc>
        <w:tc>
          <w:tcPr>
            <w:tcW w:w="2693" w:type="dxa"/>
            <w:vAlign w:val="center"/>
          </w:tcPr>
          <w:p w14:paraId="7EDA3EE4">
            <w:pPr>
              <w:ind w:firstLine="0"/>
              <w:jc w:val="center"/>
              <w:rPr>
                <w:szCs w:val="28"/>
                <w:highlight w:val="none"/>
              </w:rPr>
            </w:pPr>
            <w:r>
              <w:rPr>
                <w:szCs w:val="28"/>
                <w:highlight w:val="none"/>
              </w:rPr>
              <w:t>0,43 [0,41; 0,47]</w:t>
            </w:r>
          </w:p>
        </w:tc>
        <w:tc>
          <w:tcPr>
            <w:tcW w:w="3099" w:type="dxa"/>
            <w:vAlign w:val="center"/>
          </w:tcPr>
          <w:p w14:paraId="578BBA6B">
            <w:pPr>
              <w:ind w:firstLine="0"/>
              <w:jc w:val="center"/>
              <w:rPr>
                <w:szCs w:val="28"/>
                <w:highlight w:val="none"/>
              </w:rPr>
            </w:pPr>
            <w:r>
              <w:rPr>
                <w:szCs w:val="28"/>
                <w:highlight w:val="none"/>
              </w:rPr>
              <w:t>0,44 [0,41; 0,46]</w:t>
            </w:r>
          </w:p>
        </w:tc>
        <w:tc>
          <w:tcPr>
            <w:tcW w:w="1006" w:type="dxa"/>
            <w:vAlign w:val="center"/>
          </w:tcPr>
          <w:p w14:paraId="5595DC3C">
            <w:pPr>
              <w:ind w:firstLine="0"/>
              <w:jc w:val="center"/>
              <w:rPr>
                <w:szCs w:val="28"/>
                <w:highlight w:val="none"/>
              </w:rPr>
            </w:pPr>
            <w:r>
              <w:rPr>
                <w:szCs w:val="28"/>
                <w:highlight w:val="none"/>
              </w:rPr>
              <w:t>0,779</w:t>
            </w:r>
          </w:p>
        </w:tc>
      </w:tr>
      <w:tr w14:paraId="7053C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361876B">
            <w:pPr>
              <w:ind w:firstLine="0"/>
              <w:jc w:val="left"/>
              <w:rPr>
                <w:szCs w:val="28"/>
                <w:highlight w:val="none"/>
              </w:rPr>
            </w:pPr>
            <w:r>
              <w:rPr>
                <w:szCs w:val="28"/>
                <w:highlight w:val="none"/>
              </w:rPr>
              <w:t>MCV, fl</w:t>
            </w:r>
          </w:p>
        </w:tc>
        <w:tc>
          <w:tcPr>
            <w:tcW w:w="2693" w:type="dxa"/>
            <w:vAlign w:val="center"/>
          </w:tcPr>
          <w:p w14:paraId="55918483">
            <w:pPr>
              <w:ind w:firstLine="0"/>
              <w:jc w:val="center"/>
              <w:rPr>
                <w:szCs w:val="28"/>
                <w:highlight w:val="none"/>
              </w:rPr>
            </w:pPr>
            <w:r>
              <w:rPr>
                <w:szCs w:val="28"/>
                <w:highlight w:val="none"/>
              </w:rPr>
              <w:t>90,0 [86,0; 93,0]</w:t>
            </w:r>
          </w:p>
        </w:tc>
        <w:tc>
          <w:tcPr>
            <w:tcW w:w="3099" w:type="dxa"/>
            <w:vAlign w:val="center"/>
          </w:tcPr>
          <w:p w14:paraId="5BF07FE1">
            <w:pPr>
              <w:ind w:firstLine="0"/>
              <w:jc w:val="center"/>
              <w:rPr>
                <w:szCs w:val="28"/>
                <w:highlight w:val="none"/>
              </w:rPr>
            </w:pPr>
            <w:r>
              <w:rPr>
                <w:szCs w:val="28"/>
                <w:highlight w:val="none"/>
              </w:rPr>
              <w:t>90,0 [87,0; 93,0]</w:t>
            </w:r>
          </w:p>
        </w:tc>
        <w:tc>
          <w:tcPr>
            <w:tcW w:w="1006" w:type="dxa"/>
            <w:vAlign w:val="center"/>
          </w:tcPr>
          <w:p w14:paraId="43EDE1AC">
            <w:pPr>
              <w:ind w:firstLine="0"/>
              <w:jc w:val="center"/>
              <w:rPr>
                <w:szCs w:val="28"/>
                <w:highlight w:val="none"/>
              </w:rPr>
            </w:pPr>
            <w:r>
              <w:rPr>
                <w:szCs w:val="28"/>
                <w:highlight w:val="none"/>
              </w:rPr>
              <w:t>0,445</w:t>
            </w:r>
          </w:p>
        </w:tc>
      </w:tr>
      <w:tr w14:paraId="3C382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3B477F70">
            <w:pPr>
              <w:ind w:firstLine="0"/>
              <w:jc w:val="left"/>
              <w:rPr>
                <w:szCs w:val="28"/>
                <w:highlight w:val="none"/>
              </w:rPr>
            </w:pPr>
            <w:r>
              <w:rPr>
                <w:szCs w:val="28"/>
                <w:highlight w:val="none"/>
              </w:rPr>
              <w:t>MCH, пкг/л</w:t>
            </w:r>
          </w:p>
        </w:tc>
        <w:tc>
          <w:tcPr>
            <w:tcW w:w="2693" w:type="dxa"/>
            <w:vAlign w:val="center"/>
          </w:tcPr>
          <w:p w14:paraId="6393BDC4">
            <w:pPr>
              <w:ind w:firstLine="0"/>
              <w:jc w:val="center"/>
              <w:rPr>
                <w:szCs w:val="28"/>
                <w:highlight w:val="none"/>
              </w:rPr>
            </w:pPr>
            <w:r>
              <w:rPr>
                <w:szCs w:val="28"/>
                <w:highlight w:val="none"/>
              </w:rPr>
              <w:t>30,3 [29,5; 31,2]</w:t>
            </w:r>
          </w:p>
        </w:tc>
        <w:tc>
          <w:tcPr>
            <w:tcW w:w="3099" w:type="dxa"/>
            <w:vAlign w:val="center"/>
          </w:tcPr>
          <w:p w14:paraId="232EFCF1">
            <w:pPr>
              <w:ind w:firstLine="0"/>
              <w:jc w:val="center"/>
              <w:rPr>
                <w:szCs w:val="28"/>
                <w:highlight w:val="none"/>
              </w:rPr>
            </w:pPr>
            <w:r>
              <w:rPr>
                <w:szCs w:val="28"/>
                <w:highlight w:val="none"/>
              </w:rPr>
              <w:t>30,2 [29,0; 32,6]</w:t>
            </w:r>
          </w:p>
        </w:tc>
        <w:tc>
          <w:tcPr>
            <w:tcW w:w="1006" w:type="dxa"/>
            <w:vAlign w:val="center"/>
          </w:tcPr>
          <w:p w14:paraId="29582C9C">
            <w:pPr>
              <w:ind w:firstLine="0"/>
              <w:jc w:val="center"/>
              <w:rPr>
                <w:b/>
                <w:bCs/>
                <w:szCs w:val="28"/>
                <w:highlight w:val="none"/>
              </w:rPr>
            </w:pPr>
            <w:r>
              <w:rPr>
                <w:szCs w:val="28"/>
                <w:highlight w:val="none"/>
              </w:rPr>
              <w:t>0,969</w:t>
            </w:r>
          </w:p>
        </w:tc>
      </w:tr>
      <w:tr w14:paraId="65CBD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3C8C0864">
            <w:pPr>
              <w:ind w:firstLine="0"/>
              <w:jc w:val="left"/>
              <w:rPr>
                <w:szCs w:val="28"/>
                <w:highlight w:val="none"/>
              </w:rPr>
            </w:pPr>
            <w:r>
              <w:rPr>
                <w:szCs w:val="28"/>
                <w:highlight w:val="none"/>
              </w:rPr>
              <w:t>MCHC, г/л</w:t>
            </w:r>
          </w:p>
        </w:tc>
        <w:tc>
          <w:tcPr>
            <w:tcW w:w="2693" w:type="dxa"/>
            <w:vAlign w:val="center"/>
          </w:tcPr>
          <w:p w14:paraId="18B0BC48">
            <w:pPr>
              <w:ind w:firstLine="0"/>
              <w:jc w:val="center"/>
              <w:rPr>
                <w:szCs w:val="28"/>
                <w:highlight w:val="none"/>
              </w:rPr>
            </w:pPr>
            <w:r>
              <w:rPr>
                <w:szCs w:val="28"/>
                <w:highlight w:val="none"/>
              </w:rPr>
              <w:t>338,0 [330; 348,0]</w:t>
            </w:r>
          </w:p>
        </w:tc>
        <w:tc>
          <w:tcPr>
            <w:tcW w:w="3099" w:type="dxa"/>
            <w:vAlign w:val="center"/>
          </w:tcPr>
          <w:p w14:paraId="027B3F4C">
            <w:pPr>
              <w:ind w:firstLine="0"/>
              <w:jc w:val="center"/>
              <w:rPr>
                <w:szCs w:val="28"/>
                <w:highlight w:val="none"/>
              </w:rPr>
            </w:pPr>
            <w:r>
              <w:rPr>
                <w:szCs w:val="28"/>
                <w:highlight w:val="none"/>
              </w:rPr>
              <w:t>335,0 [330,0; 345,0]</w:t>
            </w:r>
          </w:p>
        </w:tc>
        <w:tc>
          <w:tcPr>
            <w:tcW w:w="1006" w:type="dxa"/>
            <w:vAlign w:val="center"/>
          </w:tcPr>
          <w:p w14:paraId="32C4FC44">
            <w:pPr>
              <w:ind w:firstLine="0"/>
              <w:jc w:val="center"/>
              <w:rPr>
                <w:szCs w:val="28"/>
                <w:highlight w:val="none"/>
              </w:rPr>
            </w:pPr>
            <w:r>
              <w:rPr>
                <w:szCs w:val="28"/>
                <w:highlight w:val="none"/>
              </w:rPr>
              <w:t>0,339</w:t>
            </w:r>
          </w:p>
        </w:tc>
      </w:tr>
      <w:tr w14:paraId="4F314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0158B962">
            <w:pPr>
              <w:ind w:firstLine="0"/>
              <w:jc w:val="left"/>
              <w:rPr>
                <w:szCs w:val="28"/>
                <w:highlight w:val="none"/>
              </w:rPr>
            </w:pPr>
            <w:r>
              <w:rPr>
                <w:szCs w:val="28"/>
                <w:highlight w:val="none"/>
              </w:rPr>
              <w:t>Тромбоцити, 10</w:t>
            </w:r>
            <w:r>
              <w:rPr>
                <w:szCs w:val="28"/>
                <w:highlight w:val="none"/>
                <w:vertAlign w:val="superscript"/>
              </w:rPr>
              <w:t>9</w:t>
            </w:r>
            <w:r>
              <w:rPr>
                <w:szCs w:val="28"/>
                <w:highlight w:val="none"/>
              </w:rPr>
              <w:t>/л</w:t>
            </w:r>
          </w:p>
        </w:tc>
        <w:tc>
          <w:tcPr>
            <w:tcW w:w="2693" w:type="dxa"/>
            <w:vAlign w:val="center"/>
          </w:tcPr>
          <w:p w14:paraId="550BDD44">
            <w:pPr>
              <w:ind w:firstLine="0"/>
              <w:jc w:val="center"/>
              <w:rPr>
                <w:szCs w:val="28"/>
                <w:highlight w:val="none"/>
              </w:rPr>
            </w:pPr>
            <w:r>
              <w:rPr>
                <w:szCs w:val="28"/>
                <w:highlight w:val="none"/>
              </w:rPr>
              <w:t>229,0 [185,0; 459,0]</w:t>
            </w:r>
          </w:p>
        </w:tc>
        <w:tc>
          <w:tcPr>
            <w:tcW w:w="3099" w:type="dxa"/>
            <w:vAlign w:val="center"/>
          </w:tcPr>
          <w:p w14:paraId="54498A1F">
            <w:pPr>
              <w:ind w:firstLine="0"/>
              <w:jc w:val="center"/>
              <w:rPr>
                <w:szCs w:val="28"/>
                <w:highlight w:val="none"/>
              </w:rPr>
            </w:pPr>
            <w:r>
              <w:rPr>
                <w:szCs w:val="28"/>
                <w:highlight w:val="none"/>
              </w:rPr>
              <w:t>233,0 [189,0; 260,0]</w:t>
            </w:r>
          </w:p>
        </w:tc>
        <w:tc>
          <w:tcPr>
            <w:tcW w:w="1006" w:type="dxa"/>
            <w:vAlign w:val="center"/>
          </w:tcPr>
          <w:p w14:paraId="1C50274A">
            <w:pPr>
              <w:ind w:firstLine="0"/>
              <w:jc w:val="center"/>
              <w:rPr>
                <w:b/>
                <w:bCs/>
                <w:szCs w:val="28"/>
                <w:highlight w:val="none"/>
              </w:rPr>
            </w:pPr>
            <w:r>
              <w:rPr>
                <w:szCs w:val="28"/>
                <w:highlight w:val="none"/>
              </w:rPr>
              <w:t>0,891</w:t>
            </w:r>
          </w:p>
        </w:tc>
      </w:tr>
      <w:tr w14:paraId="27D88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3BF56250">
            <w:pPr>
              <w:ind w:firstLine="0"/>
              <w:jc w:val="left"/>
              <w:rPr>
                <w:szCs w:val="28"/>
                <w:highlight w:val="none"/>
              </w:rPr>
            </w:pPr>
            <w:r>
              <w:rPr>
                <w:szCs w:val="28"/>
                <w:highlight w:val="none"/>
              </w:rPr>
              <w:t>Тромбокрит, %</w:t>
            </w:r>
          </w:p>
        </w:tc>
        <w:tc>
          <w:tcPr>
            <w:tcW w:w="2693" w:type="dxa"/>
            <w:vAlign w:val="center"/>
          </w:tcPr>
          <w:p w14:paraId="4AFEECC9">
            <w:pPr>
              <w:ind w:firstLine="0"/>
              <w:jc w:val="center"/>
              <w:rPr>
                <w:szCs w:val="28"/>
                <w:highlight w:val="none"/>
              </w:rPr>
            </w:pPr>
            <w:r>
              <w:rPr>
                <w:szCs w:val="28"/>
                <w:highlight w:val="none"/>
              </w:rPr>
              <w:t>0,18 [0,16; 0,21]</w:t>
            </w:r>
          </w:p>
        </w:tc>
        <w:tc>
          <w:tcPr>
            <w:tcW w:w="3099" w:type="dxa"/>
            <w:vAlign w:val="center"/>
          </w:tcPr>
          <w:p w14:paraId="7732DEE0">
            <w:pPr>
              <w:ind w:firstLine="0"/>
              <w:jc w:val="center"/>
              <w:rPr>
                <w:szCs w:val="28"/>
                <w:highlight w:val="none"/>
              </w:rPr>
            </w:pPr>
            <w:r>
              <w:rPr>
                <w:szCs w:val="28"/>
                <w:highlight w:val="none"/>
              </w:rPr>
              <w:t>0,18 [0,15; 0,19]</w:t>
            </w:r>
          </w:p>
        </w:tc>
        <w:tc>
          <w:tcPr>
            <w:tcW w:w="1006" w:type="dxa"/>
            <w:vAlign w:val="center"/>
          </w:tcPr>
          <w:p w14:paraId="6DB8EECE">
            <w:pPr>
              <w:ind w:firstLine="0"/>
              <w:jc w:val="center"/>
              <w:rPr>
                <w:szCs w:val="28"/>
                <w:highlight w:val="none"/>
              </w:rPr>
            </w:pPr>
            <w:r>
              <w:rPr>
                <w:szCs w:val="28"/>
                <w:highlight w:val="none"/>
              </w:rPr>
              <w:t>0,665</w:t>
            </w:r>
          </w:p>
        </w:tc>
      </w:tr>
      <w:tr w14:paraId="754EE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BD8ED05">
            <w:pPr>
              <w:ind w:firstLine="0"/>
              <w:jc w:val="left"/>
              <w:rPr>
                <w:szCs w:val="28"/>
                <w:highlight w:val="none"/>
              </w:rPr>
            </w:pPr>
            <w:r>
              <w:rPr>
                <w:szCs w:val="28"/>
                <w:highlight w:val="none"/>
              </w:rPr>
              <w:t>КП</w:t>
            </w:r>
          </w:p>
        </w:tc>
        <w:tc>
          <w:tcPr>
            <w:tcW w:w="2693" w:type="dxa"/>
            <w:vAlign w:val="center"/>
          </w:tcPr>
          <w:p w14:paraId="163C88A0">
            <w:pPr>
              <w:ind w:firstLine="0"/>
              <w:jc w:val="center"/>
              <w:rPr>
                <w:szCs w:val="28"/>
                <w:highlight w:val="none"/>
              </w:rPr>
            </w:pPr>
            <w:r>
              <w:rPr>
                <w:szCs w:val="28"/>
                <w:highlight w:val="none"/>
              </w:rPr>
              <w:t>0,90 [0,87; 0,93]</w:t>
            </w:r>
          </w:p>
        </w:tc>
        <w:tc>
          <w:tcPr>
            <w:tcW w:w="3099" w:type="dxa"/>
            <w:vAlign w:val="center"/>
          </w:tcPr>
          <w:p w14:paraId="121EFF0A">
            <w:pPr>
              <w:ind w:firstLine="0"/>
              <w:jc w:val="center"/>
              <w:rPr>
                <w:szCs w:val="28"/>
                <w:highlight w:val="none"/>
              </w:rPr>
            </w:pPr>
            <w:r>
              <w:rPr>
                <w:szCs w:val="28"/>
                <w:highlight w:val="none"/>
              </w:rPr>
              <w:t>0,92 [0,89; 0,96]</w:t>
            </w:r>
          </w:p>
        </w:tc>
        <w:tc>
          <w:tcPr>
            <w:tcW w:w="1006" w:type="dxa"/>
            <w:vAlign w:val="center"/>
          </w:tcPr>
          <w:p w14:paraId="71AA3466">
            <w:pPr>
              <w:ind w:firstLine="0"/>
              <w:jc w:val="center"/>
              <w:rPr>
                <w:szCs w:val="28"/>
                <w:highlight w:val="none"/>
              </w:rPr>
            </w:pPr>
            <w:r>
              <w:rPr>
                <w:szCs w:val="28"/>
                <w:highlight w:val="none"/>
              </w:rPr>
              <w:t>0,244</w:t>
            </w:r>
          </w:p>
        </w:tc>
      </w:tr>
      <w:tr w14:paraId="42B86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1B90E3C3">
            <w:pPr>
              <w:ind w:firstLine="0"/>
              <w:jc w:val="left"/>
              <w:rPr>
                <w:szCs w:val="28"/>
                <w:highlight w:val="none"/>
              </w:rPr>
            </w:pPr>
            <w:r>
              <w:rPr>
                <w:szCs w:val="28"/>
                <w:highlight w:val="none"/>
              </w:rPr>
              <w:t>ШОЕ, мм/год</w:t>
            </w:r>
          </w:p>
        </w:tc>
        <w:tc>
          <w:tcPr>
            <w:tcW w:w="2693" w:type="dxa"/>
            <w:vAlign w:val="center"/>
          </w:tcPr>
          <w:p w14:paraId="6877824A">
            <w:pPr>
              <w:ind w:firstLine="0"/>
              <w:jc w:val="center"/>
              <w:rPr>
                <w:szCs w:val="28"/>
                <w:highlight w:val="none"/>
              </w:rPr>
            </w:pPr>
            <w:r>
              <w:rPr>
                <w:szCs w:val="28"/>
                <w:highlight w:val="none"/>
              </w:rPr>
              <w:t>9,0 [4,0; 12,0]</w:t>
            </w:r>
          </w:p>
        </w:tc>
        <w:tc>
          <w:tcPr>
            <w:tcW w:w="3099" w:type="dxa"/>
            <w:vAlign w:val="center"/>
          </w:tcPr>
          <w:p w14:paraId="6430EA6E">
            <w:pPr>
              <w:ind w:firstLine="0"/>
              <w:jc w:val="center"/>
              <w:rPr>
                <w:szCs w:val="28"/>
                <w:highlight w:val="none"/>
              </w:rPr>
            </w:pPr>
            <w:r>
              <w:rPr>
                <w:szCs w:val="28"/>
                <w:highlight w:val="none"/>
              </w:rPr>
              <w:t>5,0 [3,0; 12,0]</w:t>
            </w:r>
          </w:p>
        </w:tc>
        <w:tc>
          <w:tcPr>
            <w:tcW w:w="1006" w:type="dxa"/>
            <w:vAlign w:val="center"/>
          </w:tcPr>
          <w:p w14:paraId="269548BA">
            <w:pPr>
              <w:ind w:firstLine="0"/>
              <w:jc w:val="center"/>
              <w:rPr>
                <w:b/>
                <w:bCs/>
                <w:szCs w:val="28"/>
                <w:highlight w:val="none"/>
              </w:rPr>
            </w:pPr>
            <w:r>
              <w:rPr>
                <w:szCs w:val="28"/>
                <w:highlight w:val="none"/>
              </w:rPr>
              <w:t>0,183</w:t>
            </w:r>
          </w:p>
        </w:tc>
      </w:tr>
      <w:tr w14:paraId="4EB42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3771ACE3">
            <w:pPr>
              <w:ind w:firstLine="0"/>
              <w:jc w:val="left"/>
              <w:rPr>
                <w:szCs w:val="28"/>
                <w:highlight w:val="none"/>
              </w:rPr>
            </w:pPr>
            <w:r>
              <w:rPr>
                <w:szCs w:val="28"/>
                <w:highlight w:val="none"/>
              </w:rPr>
              <w:t>Лейкоцити, 10</w:t>
            </w:r>
            <w:r>
              <w:rPr>
                <w:szCs w:val="28"/>
                <w:highlight w:val="none"/>
                <w:vertAlign w:val="superscript"/>
              </w:rPr>
              <w:t>9</w:t>
            </w:r>
            <w:r>
              <w:rPr>
                <w:szCs w:val="28"/>
                <w:highlight w:val="none"/>
              </w:rPr>
              <w:t>/л</w:t>
            </w:r>
          </w:p>
        </w:tc>
        <w:tc>
          <w:tcPr>
            <w:tcW w:w="2693" w:type="dxa"/>
            <w:vAlign w:val="center"/>
          </w:tcPr>
          <w:p w14:paraId="242984C0">
            <w:pPr>
              <w:ind w:firstLine="0"/>
              <w:jc w:val="center"/>
              <w:rPr>
                <w:szCs w:val="28"/>
                <w:highlight w:val="none"/>
              </w:rPr>
            </w:pPr>
            <w:r>
              <w:rPr>
                <w:szCs w:val="28"/>
                <w:highlight w:val="none"/>
              </w:rPr>
              <w:t>6,30 [5,50; 7,50]</w:t>
            </w:r>
          </w:p>
        </w:tc>
        <w:tc>
          <w:tcPr>
            <w:tcW w:w="3099" w:type="dxa"/>
            <w:vAlign w:val="center"/>
          </w:tcPr>
          <w:p w14:paraId="43CB2C63">
            <w:pPr>
              <w:ind w:firstLine="0"/>
              <w:jc w:val="center"/>
              <w:rPr>
                <w:szCs w:val="28"/>
                <w:highlight w:val="none"/>
              </w:rPr>
            </w:pPr>
            <w:r>
              <w:rPr>
                <w:szCs w:val="28"/>
                <w:highlight w:val="none"/>
              </w:rPr>
              <w:t>6,7 [5,3; 8,2]</w:t>
            </w:r>
          </w:p>
        </w:tc>
        <w:tc>
          <w:tcPr>
            <w:tcW w:w="1006" w:type="dxa"/>
            <w:vAlign w:val="center"/>
          </w:tcPr>
          <w:p w14:paraId="306917A1">
            <w:pPr>
              <w:ind w:firstLine="0"/>
              <w:jc w:val="center"/>
              <w:rPr>
                <w:szCs w:val="28"/>
                <w:highlight w:val="none"/>
              </w:rPr>
            </w:pPr>
            <w:r>
              <w:rPr>
                <w:szCs w:val="28"/>
                <w:highlight w:val="none"/>
              </w:rPr>
              <w:t>0,474</w:t>
            </w:r>
          </w:p>
        </w:tc>
      </w:tr>
      <w:tr w14:paraId="75964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3D97200D">
            <w:pPr>
              <w:ind w:firstLine="0"/>
              <w:jc w:val="left"/>
              <w:rPr>
                <w:szCs w:val="28"/>
                <w:highlight w:val="none"/>
              </w:rPr>
            </w:pPr>
            <w:r>
              <w:rPr>
                <w:szCs w:val="28"/>
                <w:highlight w:val="none"/>
              </w:rPr>
              <w:t>П/я нейтрофіли, %</w:t>
            </w:r>
          </w:p>
        </w:tc>
        <w:tc>
          <w:tcPr>
            <w:tcW w:w="2693" w:type="dxa"/>
            <w:vAlign w:val="center"/>
          </w:tcPr>
          <w:p w14:paraId="42B44652">
            <w:pPr>
              <w:ind w:firstLine="0"/>
              <w:jc w:val="center"/>
              <w:rPr>
                <w:szCs w:val="28"/>
                <w:highlight w:val="none"/>
              </w:rPr>
            </w:pPr>
            <w:r>
              <w:rPr>
                <w:szCs w:val="28"/>
                <w:highlight w:val="none"/>
              </w:rPr>
              <w:t>2,00 [1,00; 3,00]</w:t>
            </w:r>
          </w:p>
        </w:tc>
        <w:tc>
          <w:tcPr>
            <w:tcW w:w="3099" w:type="dxa"/>
            <w:vAlign w:val="center"/>
          </w:tcPr>
          <w:p w14:paraId="2E8F9AD7">
            <w:pPr>
              <w:ind w:firstLine="0"/>
              <w:jc w:val="center"/>
              <w:rPr>
                <w:szCs w:val="28"/>
                <w:highlight w:val="none"/>
              </w:rPr>
            </w:pPr>
            <w:r>
              <w:rPr>
                <w:szCs w:val="28"/>
                <w:highlight w:val="none"/>
              </w:rPr>
              <w:t>2,0 [1,0; 4,0]</w:t>
            </w:r>
          </w:p>
        </w:tc>
        <w:tc>
          <w:tcPr>
            <w:tcW w:w="1006" w:type="dxa"/>
            <w:vAlign w:val="center"/>
          </w:tcPr>
          <w:p w14:paraId="1DEACC10">
            <w:pPr>
              <w:ind w:firstLine="0"/>
              <w:jc w:val="center"/>
              <w:rPr>
                <w:b/>
                <w:bCs/>
                <w:szCs w:val="28"/>
                <w:highlight w:val="none"/>
              </w:rPr>
            </w:pPr>
            <w:r>
              <w:rPr>
                <w:szCs w:val="28"/>
                <w:highlight w:val="none"/>
              </w:rPr>
              <w:t>0,312</w:t>
            </w:r>
          </w:p>
        </w:tc>
      </w:tr>
      <w:tr w14:paraId="233C3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1D37E1B2">
            <w:pPr>
              <w:ind w:firstLine="0"/>
              <w:jc w:val="left"/>
              <w:rPr>
                <w:szCs w:val="28"/>
                <w:highlight w:val="none"/>
              </w:rPr>
            </w:pPr>
            <w:r>
              <w:rPr>
                <w:szCs w:val="28"/>
                <w:highlight w:val="none"/>
              </w:rPr>
              <w:t>С/я нейтрофіли, %</w:t>
            </w:r>
          </w:p>
        </w:tc>
        <w:tc>
          <w:tcPr>
            <w:tcW w:w="2693" w:type="dxa"/>
            <w:vAlign w:val="center"/>
          </w:tcPr>
          <w:p w14:paraId="7934BC61">
            <w:pPr>
              <w:ind w:firstLine="0"/>
              <w:jc w:val="center"/>
              <w:rPr>
                <w:szCs w:val="28"/>
                <w:highlight w:val="none"/>
              </w:rPr>
            </w:pPr>
            <w:r>
              <w:rPr>
                <w:szCs w:val="28"/>
                <w:highlight w:val="none"/>
              </w:rPr>
              <w:t>56,0 [44,0; 64,0]</w:t>
            </w:r>
          </w:p>
        </w:tc>
        <w:tc>
          <w:tcPr>
            <w:tcW w:w="3099" w:type="dxa"/>
            <w:vAlign w:val="center"/>
          </w:tcPr>
          <w:p w14:paraId="411437AB">
            <w:pPr>
              <w:ind w:firstLine="0"/>
              <w:jc w:val="center"/>
              <w:rPr>
                <w:szCs w:val="28"/>
                <w:highlight w:val="none"/>
              </w:rPr>
            </w:pPr>
            <w:r>
              <w:rPr>
                <w:szCs w:val="28"/>
                <w:highlight w:val="none"/>
              </w:rPr>
              <w:t>55,0 [49,0; 67,0]</w:t>
            </w:r>
          </w:p>
        </w:tc>
        <w:tc>
          <w:tcPr>
            <w:tcW w:w="1006" w:type="dxa"/>
            <w:vAlign w:val="center"/>
          </w:tcPr>
          <w:p w14:paraId="0FF86DBE">
            <w:pPr>
              <w:ind w:firstLine="0"/>
              <w:jc w:val="center"/>
              <w:rPr>
                <w:b/>
                <w:bCs/>
                <w:szCs w:val="28"/>
                <w:highlight w:val="none"/>
              </w:rPr>
            </w:pPr>
            <w:r>
              <w:rPr>
                <w:szCs w:val="28"/>
                <w:highlight w:val="none"/>
              </w:rPr>
              <w:t>0,206</w:t>
            </w:r>
          </w:p>
        </w:tc>
      </w:tr>
      <w:tr w14:paraId="46E3B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5E5C1291">
            <w:pPr>
              <w:ind w:firstLine="0"/>
              <w:jc w:val="left"/>
              <w:rPr>
                <w:szCs w:val="28"/>
                <w:highlight w:val="none"/>
              </w:rPr>
            </w:pPr>
            <w:r>
              <w:rPr>
                <w:szCs w:val="28"/>
                <w:highlight w:val="none"/>
              </w:rPr>
              <w:t>Еозинофіли, %</w:t>
            </w:r>
          </w:p>
        </w:tc>
        <w:tc>
          <w:tcPr>
            <w:tcW w:w="2693" w:type="dxa"/>
            <w:vAlign w:val="center"/>
          </w:tcPr>
          <w:p w14:paraId="2AC1F81E">
            <w:pPr>
              <w:ind w:firstLine="0"/>
              <w:jc w:val="center"/>
              <w:rPr>
                <w:szCs w:val="28"/>
                <w:highlight w:val="none"/>
              </w:rPr>
            </w:pPr>
            <w:r>
              <w:rPr>
                <w:szCs w:val="28"/>
                <w:highlight w:val="none"/>
              </w:rPr>
              <w:t>1,0 [1,0; 3,0]</w:t>
            </w:r>
          </w:p>
        </w:tc>
        <w:tc>
          <w:tcPr>
            <w:tcW w:w="3099" w:type="dxa"/>
            <w:vAlign w:val="center"/>
          </w:tcPr>
          <w:p w14:paraId="732B7C03">
            <w:pPr>
              <w:ind w:firstLine="0"/>
              <w:jc w:val="center"/>
              <w:rPr>
                <w:szCs w:val="28"/>
                <w:highlight w:val="none"/>
              </w:rPr>
            </w:pPr>
            <w:r>
              <w:rPr>
                <w:szCs w:val="28"/>
                <w:highlight w:val="none"/>
              </w:rPr>
              <w:t>1,0 [1,0; 3,0]</w:t>
            </w:r>
          </w:p>
        </w:tc>
        <w:tc>
          <w:tcPr>
            <w:tcW w:w="1006" w:type="dxa"/>
            <w:vAlign w:val="center"/>
          </w:tcPr>
          <w:p w14:paraId="3F099B95">
            <w:pPr>
              <w:ind w:firstLine="0"/>
              <w:jc w:val="center"/>
              <w:rPr>
                <w:szCs w:val="28"/>
                <w:highlight w:val="none"/>
              </w:rPr>
            </w:pPr>
            <w:r>
              <w:rPr>
                <w:szCs w:val="28"/>
                <w:highlight w:val="none"/>
              </w:rPr>
              <w:t>0,806</w:t>
            </w:r>
          </w:p>
        </w:tc>
      </w:tr>
      <w:tr w14:paraId="680D8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4DD846EF">
            <w:pPr>
              <w:ind w:firstLine="0"/>
              <w:jc w:val="left"/>
              <w:rPr>
                <w:szCs w:val="28"/>
                <w:highlight w:val="none"/>
              </w:rPr>
            </w:pPr>
            <w:r>
              <w:rPr>
                <w:szCs w:val="28"/>
                <w:highlight w:val="none"/>
              </w:rPr>
              <w:t>Лімфоцити, %</w:t>
            </w:r>
          </w:p>
        </w:tc>
        <w:tc>
          <w:tcPr>
            <w:tcW w:w="2693" w:type="dxa"/>
            <w:vAlign w:val="center"/>
          </w:tcPr>
          <w:p w14:paraId="48F531D5">
            <w:pPr>
              <w:ind w:firstLine="0"/>
              <w:jc w:val="center"/>
              <w:rPr>
                <w:szCs w:val="28"/>
                <w:highlight w:val="none"/>
              </w:rPr>
            </w:pPr>
            <w:r>
              <w:rPr>
                <w:szCs w:val="28"/>
                <w:highlight w:val="none"/>
              </w:rPr>
              <w:t>36,0 [28,0; 42,0]</w:t>
            </w:r>
          </w:p>
        </w:tc>
        <w:tc>
          <w:tcPr>
            <w:tcW w:w="3099" w:type="dxa"/>
            <w:vAlign w:val="center"/>
          </w:tcPr>
          <w:p w14:paraId="221876FD">
            <w:pPr>
              <w:ind w:firstLine="0"/>
              <w:jc w:val="center"/>
              <w:rPr>
                <w:szCs w:val="28"/>
                <w:highlight w:val="none"/>
              </w:rPr>
            </w:pPr>
            <w:r>
              <w:rPr>
                <w:szCs w:val="28"/>
                <w:highlight w:val="none"/>
              </w:rPr>
              <w:t>36,0 [23,4; 38,0]</w:t>
            </w:r>
          </w:p>
        </w:tc>
        <w:tc>
          <w:tcPr>
            <w:tcW w:w="1006" w:type="dxa"/>
            <w:vAlign w:val="center"/>
          </w:tcPr>
          <w:p w14:paraId="651517EA">
            <w:pPr>
              <w:ind w:firstLine="0"/>
              <w:jc w:val="center"/>
              <w:rPr>
                <w:b/>
                <w:bCs/>
                <w:szCs w:val="28"/>
                <w:highlight w:val="none"/>
              </w:rPr>
            </w:pPr>
            <w:r>
              <w:rPr>
                <w:szCs w:val="28"/>
                <w:highlight w:val="none"/>
              </w:rPr>
              <w:t>0,229</w:t>
            </w:r>
          </w:p>
        </w:tc>
      </w:tr>
      <w:tr w14:paraId="7629C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2AB8683">
            <w:pPr>
              <w:ind w:firstLine="0"/>
              <w:jc w:val="left"/>
              <w:rPr>
                <w:szCs w:val="28"/>
                <w:highlight w:val="none"/>
              </w:rPr>
            </w:pPr>
            <w:r>
              <w:rPr>
                <w:szCs w:val="28"/>
                <w:highlight w:val="none"/>
              </w:rPr>
              <w:t>Моноцити, %</w:t>
            </w:r>
          </w:p>
        </w:tc>
        <w:tc>
          <w:tcPr>
            <w:tcW w:w="2693" w:type="dxa"/>
            <w:vAlign w:val="center"/>
          </w:tcPr>
          <w:p w14:paraId="6AD45D21">
            <w:pPr>
              <w:ind w:firstLine="0"/>
              <w:jc w:val="center"/>
              <w:rPr>
                <w:szCs w:val="28"/>
                <w:highlight w:val="none"/>
              </w:rPr>
            </w:pPr>
            <w:r>
              <w:rPr>
                <w:szCs w:val="28"/>
                <w:highlight w:val="none"/>
              </w:rPr>
              <w:t>6,00 [4,00; 7,00]</w:t>
            </w:r>
          </w:p>
        </w:tc>
        <w:tc>
          <w:tcPr>
            <w:tcW w:w="3099" w:type="dxa"/>
            <w:vAlign w:val="center"/>
          </w:tcPr>
          <w:p w14:paraId="17177E1A">
            <w:pPr>
              <w:ind w:firstLine="0"/>
              <w:jc w:val="center"/>
              <w:rPr>
                <w:szCs w:val="28"/>
                <w:highlight w:val="none"/>
              </w:rPr>
            </w:pPr>
            <w:r>
              <w:rPr>
                <w:szCs w:val="28"/>
                <w:highlight w:val="none"/>
              </w:rPr>
              <w:t>5,0 [3,0; 6,0]</w:t>
            </w:r>
          </w:p>
        </w:tc>
        <w:tc>
          <w:tcPr>
            <w:tcW w:w="1006" w:type="dxa"/>
            <w:vAlign w:val="center"/>
          </w:tcPr>
          <w:p w14:paraId="73976FEF">
            <w:pPr>
              <w:ind w:firstLine="0"/>
              <w:jc w:val="center"/>
              <w:rPr>
                <w:b/>
                <w:bCs/>
                <w:szCs w:val="28"/>
                <w:highlight w:val="none"/>
              </w:rPr>
            </w:pPr>
            <w:r>
              <w:rPr>
                <w:szCs w:val="28"/>
                <w:highlight w:val="none"/>
              </w:rPr>
              <w:t>0,178</w:t>
            </w:r>
          </w:p>
        </w:tc>
      </w:tr>
    </w:tbl>
    <w:p w14:paraId="58F02D20">
      <w:pPr>
        <w:rPr>
          <w:highlight w:val="none"/>
        </w:rPr>
      </w:pPr>
    </w:p>
    <w:p w14:paraId="5ADAA4CA">
      <w:pPr>
        <w:rPr>
          <w:highlight w:val="none"/>
        </w:rPr>
      </w:pPr>
      <w:r>
        <w:rPr>
          <w:highlight w:val="none"/>
        </w:rPr>
        <w:t xml:space="preserve">В 1 підгрупі пацієнтів аналіз змін показників клінічного аналізу крові на етапі після лікування порівняно з етапом включення в дослідження визначив, що медіани рівнів еритроцитів, гемоглобіну та гематокриту суттєво не змінилися та достовірно не різнилися. Медіани показників </w:t>
      </w:r>
      <w:r>
        <w:rPr>
          <w:highlight w:val="none"/>
          <w:lang w:val="en-US"/>
        </w:rPr>
        <w:t>MCV</w:t>
      </w:r>
      <w:r>
        <w:rPr>
          <w:highlight w:val="none"/>
          <w:lang w:val="ru-RU"/>
        </w:rPr>
        <w:t xml:space="preserve">, </w:t>
      </w:r>
      <w:r>
        <w:rPr>
          <w:highlight w:val="none"/>
          <w:lang w:val="en-US"/>
        </w:rPr>
        <w:t>MCH</w:t>
      </w:r>
      <w:r>
        <w:rPr>
          <w:highlight w:val="none"/>
          <w:lang w:val="ru-RU"/>
        </w:rPr>
        <w:t xml:space="preserve">, </w:t>
      </w:r>
      <w:r>
        <w:rPr>
          <w:highlight w:val="none"/>
          <w:lang w:val="en-US"/>
        </w:rPr>
        <w:t>MCHC</w:t>
      </w:r>
      <w:r>
        <w:rPr>
          <w:highlight w:val="none"/>
        </w:rPr>
        <w:t xml:space="preserve"> були незначно нижчими у пацієнтів після лікування та достовірно не відрізнялися. Рівень тромбоцитів та тромбокриту були однаковими до та після проведеного лікування. Також не було визначено достовірної різниці відносно медіани рівнів лейкоцитів та відносної кількості їх фракцій після проведеного лікування, табл. 4.7.</w:t>
      </w:r>
    </w:p>
    <w:p w14:paraId="11767413">
      <w:pPr>
        <w:rPr>
          <w:highlight w:val="none"/>
        </w:rPr>
      </w:pPr>
    </w:p>
    <w:p w14:paraId="37DBE150">
      <w:pPr>
        <w:jc w:val="right"/>
        <w:rPr>
          <w:i/>
          <w:iCs/>
          <w:szCs w:val="28"/>
          <w:highlight w:val="none"/>
        </w:rPr>
      </w:pPr>
    </w:p>
    <w:p w14:paraId="0C3FC7B1">
      <w:pPr>
        <w:jc w:val="right"/>
        <w:rPr>
          <w:i/>
          <w:iCs/>
          <w:szCs w:val="28"/>
          <w:highlight w:val="none"/>
        </w:rPr>
      </w:pPr>
    </w:p>
    <w:p w14:paraId="0A3F1687">
      <w:pPr>
        <w:jc w:val="right"/>
        <w:rPr>
          <w:i/>
          <w:iCs/>
          <w:szCs w:val="28"/>
          <w:highlight w:val="none"/>
        </w:rPr>
      </w:pPr>
      <w:r>
        <w:rPr>
          <w:i/>
          <w:iCs/>
          <w:szCs w:val="28"/>
          <w:highlight w:val="none"/>
        </w:rPr>
        <w:t>Таблиця 4.8</w:t>
      </w:r>
    </w:p>
    <w:p w14:paraId="108B93BA">
      <w:pPr>
        <w:rPr>
          <w:b/>
          <w:bCs/>
          <w:szCs w:val="28"/>
          <w:highlight w:val="none"/>
        </w:rPr>
      </w:pPr>
      <w:r>
        <w:rPr>
          <w:b/>
          <w:bCs/>
          <w:szCs w:val="28"/>
          <w:highlight w:val="none"/>
        </w:rPr>
        <w:t>Порівняння показників біохімічного аналізу крові до та після лікування в основній групі 1 підгрупі (n = 31), Me [Lq; Uq]</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74"/>
        <w:gridCol w:w="2782"/>
        <w:gridCol w:w="2783"/>
        <w:gridCol w:w="1006"/>
      </w:tblGrid>
      <w:tr w14:paraId="0A071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4" w:type="dxa"/>
            <w:vAlign w:val="center"/>
          </w:tcPr>
          <w:p w14:paraId="07B4873C">
            <w:pPr>
              <w:ind w:firstLine="0"/>
              <w:jc w:val="left"/>
              <w:rPr>
                <w:b/>
                <w:bCs/>
                <w:szCs w:val="28"/>
                <w:highlight w:val="none"/>
              </w:rPr>
            </w:pPr>
            <w:r>
              <w:rPr>
                <w:b/>
                <w:bCs/>
                <w:szCs w:val="28"/>
                <w:highlight w:val="none"/>
              </w:rPr>
              <w:t>Показник</w:t>
            </w:r>
          </w:p>
        </w:tc>
        <w:tc>
          <w:tcPr>
            <w:tcW w:w="2782" w:type="dxa"/>
            <w:vAlign w:val="center"/>
          </w:tcPr>
          <w:p w14:paraId="0F18CBFF">
            <w:pPr>
              <w:ind w:firstLine="0"/>
              <w:jc w:val="center"/>
              <w:rPr>
                <w:b/>
                <w:bCs/>
                <w:szCs w:val="28"/>
                <w:highlight w:val="none"/>
              </w:rPr>
            </w:pPr>
            <w:r>
              <w:rPr>
                <w:b/>
                <w:bCs/>
                <w:szCs w:val="28"/>
                <w:highlight w:val="none"/>
              </w:rPr>
              <w:t>До лікування</w:t>
            </w:r>
          </w:p>
        </w:tc>
        <w:tc>
          <w:tcPr>
            <w:tcW w:w="2783" w:type="dxa"/>
            <w:vAlign w:val="center"/>
          </w:tcPr>
          <w:p w14:paraId="31D34FCC">
            <w:pPr>
              <w:ind w:firstLine="0"/>
              <w:jc w:val="center"/>
              <w:rPr>
                <w:b/>
                <w:bCs/>
                <w:szCs w:val="28"/>
                <w:highlight w:val="none"/>
              </w:rPr>
            </w:pPr>
            <w:r>
              <w:rPr>
                <w:b/>
                <w:bCs/>
                <w:szCs w:val="28"/>
                <w:highlight w:val="none"/>
              </w:rPr>
              <w:t>Після лікування</w:t>
            </w:r>
          </w:p>
        </w:tc>
        <w:tc>
          <w:tcPr>
            <w:tcW w:w="1006" w:type="dxa"/>
            <w:vAlign w:val="center"/>
          </w:tcPr>
          <w:p w14:paraId="2E5A4A3B">
            <w:pPr>
              <w:ind w:firstLine="0"/>
              <w:jc w:val="center"/>
              <w:rPr>
                <w:b/>
                <w:bCs/>
                <w:szCs w:val="28"/>
                <w:highlight w:val="none"/>
              </w:rPr>
            </w:pPr>
            <w:r>
              <w:rPr>
                <w:b/>
                <w:bCs/>
                <w:szCs w:val="28"/>
                <w:highlight w:val="none"/>
              </w:rPr>
              <w:t>p</w:t>
            </w:r>
          </w:p>
        </w:tc>
      </w:tr>
      <w:tr w14:paraId="721B3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4" w:type="dxa"/>
            <w:vAlign w:val="center"/>
          </w:tcPr>
          <w:p w14:paraId="7410618A">
            <w:pPr>
              <w:ind w:firstLine="0"/>
              <w:jc w:val="left"/>
              <w:rPr>
                <w:szCs w:val="28"/>
                <w:highlight w:val="none"/>
              </w:rPr>
            </w:pPr>
            <w:r>
              <w:rPr>
                <w:szCs w:val="28"/>
                <w:highlight w:val="none"/>
              </w:rPr>
              <w:t>АЛТ, Од/л</w:t>
            </w:r>
          </w:p>
        </w:tc>
        <w:tc>
          <w:tcPr>
            <w:tcW w:w="2782" w:type="dxa"/>
            <w:vAlign w:val="center"/>
          </w:tcPr>
          <w:p w14:paraId="62C0CB36">
            <w:pPr>
              <w:ind w:firstLine="0"/>
              <w:jc w:val="center"/>
              <w:rPr>
                <w:szCs w:val="28"/>
                <w:highlight w:val="none"/>
              </w:rPr>
            </w:pPr>
            <w:r>
              <w:rPr>
                <w:szCs w:val="28"/>
                <w:highlight w:val="none"/>
              </w:rPr>
              <w:t>48,0 [38,0; 68,8]</w:t>
            </w:r>
          </w:p>
        </w:tc>
        <w:tc>
          <w:tcPr>
            <w:tcW w:w="2783" w:type="dxa"/>
            <w:vAlign w:val="center"/>
          </w:tcPr>
          <w:p w14:paraId="72056962">
            <w:pPr>
              <w:ind w:firstLine="0"/>
              <w:jc w:val="center"/>
              <w:rPr>
                <w:szCs w:val="28"/>
                <w:highlight w:val="none"/>
              </w:rPr>
            </w:pPr>
            <w:r>
              <w:rPr>
                <w:szCs w:val="28"/>
                <w:highlight w:val="none"/>
              </w:rPr>
              <w:t>31,0 [15,2; 39,0]</w:t>
            </w:r>
          </w:p>
        </w:tc>
        <w:tc>
          <w:tcPr>
            <w:tcW w:w="1006" w:type="dxa"/>
            <w:vAlign w:val="center"/>
          </w:tcPr>
          <w:p w14:paraId="4652B4CC">
            <w:pPr>
              <w:ind w:firstLine="0"/>
              <w:jc w:val="center"/>
              <w:rPr>
                <w:szCs w:val="28"/>
                <w:highlight w:val="none"/>
              </w:rPr>
            </w:pPr>
            <w:r>
              <w:rPr>
                <w:szCs w:val="28"/>
                <w:highlight w:val="none"/>
              </w:rPr>
              <w:t>&lt;0,001</w:t>
            </w:r>
          </w:p>
        </w:tc>
      </w:tr>
      <w:tr w14:paraId="0C83F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4" w:type="dxa"/>
            <w:vAlign w:val="center"/>
          </w:tcPr>
          <w:p w14:paraId="31A0C990">
            <w:pPr>
              <w:ind w:firstLine="0"/>
              <w:jc w:val="left"/>
              <w:rPr>
                <w:szCs w:val="28"/>
                <w:highlight w:val="none"/>
              </w:rPr>
            </w:pPr>
            <w:r>
              <w:rPr>
                <w:szCs w:val="28"/>
                <w:highlight w:val="none"/>
              </w:rPr>
              <w:t>АСТ, Од/л</w:t>
            </w:r>
          </w:p>
        </w:tc>
        <w:tc>
          <w:tcPr>
            <w:tcW w:w="2782" w:type="dxa"/>
            <w:vAlign w:val="center"/>
          </w:tcPr>
          <w:p w14:paraId="6B9654C8">
            <w:pPr>
              <w:ind w:firstLine="0"/>
              <w:jc w:val="center"/>
              <w:rPr>
                <w:szCs w:val="28"/>
                <w:highlight w:val="none"/>
              </w:rPr>
            </w:pPr>
            <w:r>
              <w:rPr>
                <w:szCs w:val="28"/>
                <w:highlight w:val="none"/>
              </w:rPr>
              <w:t>51,0 [43,0; 69,0]</w:t>
            </w:r>
          </w:p>
        </w:tc>
        <w:tc>
          <w:tcPr>
            <w:tcW w:w="2783" w:type="dxa"/>
            <w:vAlign w:val="center"/>
          </w:tcPr>
          <w:p w14:paraId="1F81AE49">
            <w:pPr>
              <w:ind w:firstLine="0"/>
              <w:jc w:val="center"/>
              <w:rPr>
                <w:szCs w:val="28"/>
                <w:highlight w:val="none"/>
              </w:rPr>
            </w:pPr>
            <w:r>
              <w:rPr>
                <w:szCs w:val="28"/>
                <w:highlight w:val="none"/>
              </w:rPr>
              <w:t>33,0 [16,9; 36,0]</w:t>
            </w:r>
          </w:p>
        </w:tc>
        <w:tc>
          <w:tcPr>
            <w:tcW w:w="1006" w:type="dxa"/>
            <w:vAlign w:val="center"/>
          </w:tcPr>
          <w:p w14:paraId="0B04F1C8">
            <w:pPr>
              <w:ind w:firstLine="0"/>
              <w:jc w:val="center"/>
              <w:rPr>
                <w:szCs w:val="28"/>
                <w:highlight w:val="none"/>
              </w:rPr>
            </w:pPr>
            <w:r>
              <w:rPr>
                <w:szCs w:val="28"/>
                <w:highlight w:val="none"/>
              </w:rPr>
              <w:t>&lt;0,001</w:t>
            </w:r>
          </w:p>
        </w:tc>
      </w:tr>
      <w:tr w14:paraId="781AC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4" w:type="dxa"/>
            <w:vAlign w:val="center"/>
          </w:tcPr>
          <w:p w14:paraId="7A4BF0A1">
            <w:pPr>
              <w:ind w:firstLine="0"/>
              <w:jc w:val="left"/>
              <w:rPr>
                <w:szCs w:val="28"/>
                <w:highlight w:val="none"/>
              </w:rPr>
            </w:pPr>
            <w:r>
              <w:rPr>
                <w:szCs w:val="28"/>
                <w:highlight w:val="none"/>
              </w:rPr>
              <w:t>ГГТ, Од/л</w:t>
            </w:r>
          </w:p>
        </w:tc>
        <w:tc>
          <w:tcPr>
            <w:tcW w:w="2782" w:type="dxa"/>
            <w:vAlign w:val="center"/>
          </w:tcPr>
          <w:p w14:paraId="12B16F23">
            <w:pPr>
              <w:ind w:firstLine="0"/>
              <w:jc w:val="center"/>
              <w:rPr>
                <w:szCs w:val="28"/>
                <w:highlight w:val="none"/>
              </w:rPr>
            </w:pPr>
            <w:r>
              <w:rPr>
                <w:szCs w:val="28"/>
                <w:highlight w:val="none"/>
              </w:rPr>
              <w:t>73,0 [51,0; 97,0]</w:t>
            </w:r>
          </w:p>
        </w:tc>
        <w:tc>
          <w:tcPr>
            <w:tcW w:w="2783" w:type="dxa"/>
            <w:vAlign w:val="center"/>
          </w:tcPr>
          <w:p w14:paraId="697E3F2C">
            <w:pPr>
              <w:ind w:firstLine="0"/>
              <w:jc w:val="center"/>
              <w:rPr>
                <w:szCs w:val="28"/>
                <w:highlight w:val="none"/>
              </w:rPr>
            </w:pPr>
            <w:r>
              <w:rPr>
                <w:szCs w:val="28"/>
                <w:highlight w:val="none"/>
              </w:rPr>
              <w:t>25,0 [18,3; 31,0]</w:t>
            </w:r>
          </w:p>
        </w:tc>
        <w:tc>
          <w:tcPr>
            <w:tcW w:w="1006" w:type="dxa"/>
            <w:vAlign w:val="center"/>
          </w:tcPr>
          <w:p w14:paraId="46F5BD80">
            <w:pPr>
              <w:ind w:firstLine="0"/>
              <w:jc w:val="center"/>
              <w:rPr>
                <w:szCs w:val="28"/>
                <w:highlight w:val="none"/>
              </w:rPr>
            </w:pPr>
            <w:r>
              <w:rPr>
                <w:szCs w:val="28"/>
                <w:highlight w:val="none"/>
              </w:rPr>
              <w:t>&lt;0,001</w:t>
            </w:r>
          </w:p>
        </w:tc>
      </w:tr>
      <w:tr w14:paraId="0E636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4" w:type="dxa"/>
            <w:vAlign w:val="center"/>
          </w:tcPr>
          <w:p w14:paraId="68D54733">
            <w:pPr>
              <w:ind w:firstLine="0"/>
              <w:jc w:val="left"/>
              <w:rPr>
                <w:szCs w:val="28"/>
                <w:highlight w:val="none"/>
              </w:rPr>
            </w:pPr>
            <w:r>
              <w:rPr>
                <w:szCs w:val="28"/>
                <w:highlight w:val="none"/>
              </w:rPr>
              <w:t>ЛФ, Од/л</w:t>
            </w:r>
          </w:p>
        </w:tc>
        <w:tc>
          <w:tcPr>
            <w:tcW w:w="2782" w:type="dxa"/>
            <w:vAlign w:val="center"/>
          </w:tcPr>
          <w:p w14:paraId="123694C4">
            <w:pPr>
              <w:ind w:firstLine="0"/>
              <w:jc w:val="center"/>
              <w:rPr>
                <w:szCs w:val="28"/>
                <w:highlight w:val="none"/>
              </w:rPr>
            </w:pPr>
            <w:r>
              <w:rPr>
                <w:szCs w:val="28"/>
                <w:highlight w:val="none"/>
              </w:rPr>
              <w:t>90,0 [74,5; 114,9]</w:t>
            </w:r>
          </w:p>
        </w:tc>
        <w:tc>
          <w:tcPr>
            <w:tcW w:w="2783" w:type="dxa"/>
            <w:vAlign w:val="center"/>
          </w:tcPr>
          <w:p w14:paraId="73E497DB">
            <w:pPr>
              <w:ind w:firstLine="0"/>
              <w:jc w:val="center"/>
              <w:rPr>
                <w:szCs w:val="28"/>
                <w:highlight w:val="none"/>
              </w:rPr>
            </w:pPr>
            <w:r>
              <w:rPr>
                <w:szCs w:val="28"/>
                <w:highlight w:val="none"/>
              </w:rPr>
              <w:t>93,2 [84,1; 114,4]</w:t>
            </w:r>
          </w:p>
        </w:tc>
        <w:tc>
          <w:tcPr>
            <w:tcW w:w="1006" w:type="dxa"/>
            <w:vAlign w:val="center"/>
          </w:tcPr>
          <w:p w14:paraId="7B0EEFDD">
            <w:pPr>
              <w:ind w:firstLine="0"/>
              <w:jc w:val="center"/>
              <w:rPr>
                <w:szCs w:val="28"/>
                <w:highlight w:val="none"/>
              </w:rPr>
            </w:pPr>
            <w:r>
              <w:rPr>
                <w:szCs w:val="28"/>
                <w:highlight w:val="none"/>
              </w:rPr>
              <w:t>0,929</w:t>
            </w:r>
          </w:p>
        </w:tc>
      </w:tr>
      <w:tr w14:paraId="32DBD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4" w:type="dxa"/>
            <w:vAlign w:val="center"/>
          </w:tcPr>
          <w:p w14:paraId="3272E9A0">
            <w:pPr>
              <w:ind w:firstLine="0"/>
              <w:jc w:val="left"/>
              <w:rPr>
                <w:szCs w:val="28"/>
                <w:highlight w:val="none"/>
              </w:rPr>
            </w:pPr>
            <w:r>
              <w:rPr>
                <w:szCs w:val="28"/>
                <w:highlight w:val="none"/>
              </w:rPr>
              <w:t>Білірубін загальний, ммоль/л</w:t>
            </w:r>
          </w:p>
        </w:tc>
        <w:tc>
          <w:tcPr>
            <w:tcW w:w="2782" w:type="dxa"/>
            <w:vAlign w:val="center"/>
          </w:tcPr>
          <w:p w14:paraId="1F02C80B">
            <w:pPr>
              <w:ind w:firstLine="0"/>
              <w:jc w:val="center"/>
              <w:rPr>
                <w:szCs w:val="28"/>
                <w:highlight w:val="none"/>
              </w:rPr>
            </w:pPr>
            <w:r>
              <w:rPr>
                <w:szCs w:val="28"/>
                <w:highlight w:val="none"/>
              </w:rPr>
              <w:t>11,0 [9,30; 16,0]</w:t>
            </w:r>
          </w:p>
        </w:tc>
        <w:tc>
          <w:tcPr>
            <w:tcW w:w="2783" w:type="dxa"/>
            <w:vAlign w:val="center"/>
          </w:tcPr>
          <w:p w14:paraId="0A3F914B">
            <w:pPr>
              <w:ind w:firstLine="0"/>
              <w:jc w:val="center"/>
              <w:rPr>
                <w:szCs w:val="28"/>
                <w:highlight w:val="none"/>
              </w:rPr>
            </w:pPr>
            <w:r>
              <w:rPr>
                <w:szCs w:val="28"/>
                <w:highlight w:val="none"/>
              </w:rPr>
              <w:t>13,8 [10,4; 16,0]</w:t>
            </w:r>
          </w:p>
        </w:tc>
        <w:tc>
          <w:tcPr>
            <w:tcW w:w="1006" w:type="dxa"/>
            <w:vAlign w:val="center"/>
          </w:tcPr>
          <w:p w14:paraId="6C6B0E61">
            <w:pPr>
              <w:ind w:firstLine="0"/>
              <w:jc w:val="center"/>
              <w:rPr>
                <w:szCs w:val="28"/>
                <w:highlight w:val="none"/>
              </w:rPr>
            </w:pPr>
            <w:r>
              <w:rPr>
                <w:szCs w:val="28"/>
                <w:highlight w:val="none"/>
              </w:rPr>
              <w:t>0,875</w:t>
            </w:r>
          </w:p>
        </w:tc>
      </w:tr>
      <w:tr w14:paraId="29826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4" w:type="dxa"/>
            <w:vAlign w:val="center"/>
          </w:tcPr>
          <w:p w14:paraId="441E79ED">
            <w:pPr>
              <w:ind w:firstLine="0"/>
              <w:jc w:val="left"/>
              <w:rPr>
                <w:szCs w:val="28"/>
                <w:highlight w:val="none"/>
              </w:rPr>
            </w:pPr>
            <w:r>
              <w:rPr>
                <w:szCs w:val="28"/>
                <w:highlight w:val="none"/>
              </w:rPr>
              <w:t>Білірубін прямий, ммоль/л</w:t>
            </w:r>
          </w:p>
        </w:tc>
        <w:tc>
          <w:tcPr>
            <w:tcW w:w="2782" w:type="dxa"/>
            <w:vAlign w:val="center"/>
          </w:tcPr>
          <w:p w14:paraId="14A74423">
            <w:pPr>
              <w:ind w:firstLine="0"/>
              <w:jc w:val="center"/>
              <w:rPr>
                <w:szCs w:val="28"/>
                <w:highlight w:val="none"/>
              </w:rPr>
            </w:pPr>
            <w:r>
              <w:rPr>
                <w:szCs w:val="28"/>
                <w:highlight w:val="none"/>
              </w:rPr>
              <w:t>3,44 [2,70; 5,00]</w:t>
            </w:r>
          </w:p>
        </w:tc>
        <w:tc>
          <w:tcPr>
            <w:tcW w:w="2783" w:type="dxa"/>
            <w:vAlign w:val="center"/>
          </w:tcPr>
          <w:p w14:paraId="1EDCA481">
            <w:pPr>
              <w:ind w:firstLine="0"/>
              <w:jc w:val="center"/>
              <w:rPr>
                <w:szCs w:val="28"/>
                <w:highlight w:val="none"/>
              </w:rPr>
            </w:pPr>
            <w:r>
              <w:rPr>
                <w:szCs w:val="28"/>
                <w:highlight w:val="none"/>
              </w:rPr>
              <w:t>3,31 [2,55; 4,27]</w:t>
            </w:r>
          </w:p>
        </w:tc>
        <w:tc>
          <w:tcPr>
            <w:tcW w:w="1006" w:type="dxa"/>
            <w:vAlign w:val="center"/>
          </w:tcPr>
          <w:p w14:paraId="30A7A67C">
            <w:pPr>
              <w:ind w:firstLine="0"/>
              <w:jc w:val="center"/>
              <w:rPr>
                <w:szCs w:val="28"/>
                <w:highlight w:val="none"/>
              </w:rPr>
            </w:pPr>
            <w:r>
              <w:rPr>
                <w:szCs w:val="28"/>
                <w:highlight w:val="none"/>
              </w:rPr>
              <w:t>0,487</w:t>
            </w:r>
          </w:p>
        </w:tc>
      </w:tr>
      <w:tr w14:paraId="3519D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4" w:type="dxa"/>
            <w:vAlign w:val="center"/>
          </w:tcPr>
          <w:p w14:paraId="4A0FEBC3">
            <w:pPr>
              <w:ind w:firstLine="0"/>
              <w:jc w:val="left"/>
              <w:rPr>
                <w:szCs w:val="28"/>
                <w:highlight w:val="none"/>
              </w:rPr>
            </w:pPr>
            <w:r>
              <w:rPr>
                <w:szCs w:val="28"/>
                <w:highlight w:val="none"/>
              </w:rPr>
              <w:t>Білірубін непрямий, ммоль/л</w:t>
            </w:r>
          </w:p>
        </w:tc>
        <w:tc>
          <w:tcPr>
            <w:tcW w:w="2782" w:type="dxa"/>
            <w:vAlign w:val="center"/>
          </w:tcPr>
          <w:p w14:paraId="46D715DC">
            <w:pPr>
              <w:ind w:firstLine="0"/>
              <w:jc w:val="center"/>
              <w:rPr>
                <w:szCs w:val="28"/>
                <w:highlight w:val="none"/>
              </w:rPr>
            </w:pPr>
            <w:r>
              <w:rPr>
                <w:szCs w:val="28"/>
                <w:highlight w:val="none"/>
              </w:rPr>
              <w:t>8,00 [6,40; 12,0]</w:t>
            </w:r>
          </w:p>
        </w:tc>
        <w:tc>
          <w:tcPr>
            <w:tcW w:w="2783" w:type="dxa"/>
            <w:vAlign w:val="center"/>
          </w:tcPr>
          <w:p w14:paraId="6FEB41AA">
            <w:pPr>
              <w:ind w:firstLine="0"/>
              <w:jc w:val="center"/>
              <w:rPr>
                <w:szCs w:val="28"/>
                <w:highlight w:val="none"/>
              </w:rPr>
            </w:pPr>
            <w:r>
              <w:rPr>
                <w:szCs w:val="28"/>
                <w:highlight w:val="none"/>
              </w:rPr>
              <w:t>9,89 [7,05; 12,95]</w:t>
            </w:r>
          </w:p>
        </w:tc>
        <w:tc>
          <w:tcPr>
            <w:tcW w:w="1006" w:type="dxa"/>
            <w:vAlign w:val="center"/>
          </w:tcPr>
          <w:p w14:paraId="18E81D5A">
            <w:pPr>
              <w:ind w:firstLine="0"/>
              <w:jc w:val="center"/>
              <w:rPr>
                <w:szCs w:val="28"/>
                <w:highlight w:val="none"/>
              </w:rPr>
            </w:pPr>
            <w:r>
              <w:rPr>
                <w:szCs w:val="28"/>
                <w:highlight w:val="none"/>
              </w:rPr>
              <w:t>0,806</w:t>
            </w:r>
          </w:p>
        </w:tc>
      </w:tr>
      <w:tr w14:paraId="4151D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4" w:type="dxa"/>
            <w:vAlign w:val="center"/>
          </w:tcPr>
          <w:p w14:paraId="3880CCF6">
            <w:pPr>
              <w:ind w:firstLine="0"/>
              <w:jc w:val="left"/>
              <w:rPr>
                <w:szCs w:val="28"/>
                <w:highlight w:val="none"/>
              </w:rPr>
            </w:pPr>
            <w:r>
              <w:rPr>
                <w:szCs w:val="28"/>
                <w:highlight w:val="none"/>
              </w:rPr>
              <w:t>Тимолова проба, Од SH</w:t>
            </w:r>
          </w:p>
        </w:tc>
        <w:tc>
          <w:tcPr>
            <w:tcW w:w="2782" w:type="dxa"/>
            <w:vAlign w:val="center"/>
          </w:tcPr>
          <w:p w14:paraId="2ECB8DA1">
            <w:pPr>
              <w:ind w:firstLine="0"/>
              <w:jc w:val="center"/>
              <w:rPr>
                <w:szCs w:val="28"/>
                <w:highlight w:val="none"/>
              </w:rPr>
            </w:pPr>
            <w:r>
              <w:rPr>
                <w:szCs w:val="28"/>
                <w:highlight w:val="none"/>
              </w:rPr>
              <w:t>3,70 [2,60; 5,00]</w:t>
            </w:r>
          </w:p>
        </w:tc>
        <w:tc>
          <w:tcPr>
            <w:tcW w:w="2783" w:type="dxa"/>
            <w:vAlign w:val="center"/>
          </w:tcPr>
          <w:p w14:paraId="1F736077">
            <w:pPr>
              <w:ind w:firstLine="0"/>
              <w:jc w:val="center"/>
              <w:rPr>
                <w:szCs w:val="28"/>
                <w:highlight w:val="none"/>
              </w:rPr>
            </w:pPr>
            <w:r>
              <w:rPr>
                <w:szCs w:val="28"/>
                <w:highlight w:val="none"/>
              </w:rPr>
              <w:t>1,70 [1,40; 2,20]</w:t>
            </w:r>
          </w:p>
        </w:tc>
        <w:tc>
          <w:tcPr>
            <w:tcW w:w="1006" w:type="dxa"/>
            <w:vAlign w:val="center"/>
          </w:tcPr>
          <w:p w14:paraId="34179D58">
            <w:pPr>
              <w:ind w:firstLine="0"/>
              <w:jc w:val="center"/>
              <w:rPr>
                <w:szCs w:val="28"/>
                <w:highlight w:val="none"/>
              </w:rPr>
            </w:pPr>
            <w:r>
              <w:rPr>
                <w:szCs w:val="28"/>
                <w:highlight w:val="none"/>
              </w:rPr>
              <w:t>&lt;0,001</w:t>
            </w:r>
          </w:p>
        </w:tc>
      </w:tr>
      <w:tr w14:paraId="4C0E4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4" w:type="dxa"/>
            <w:vAlign w:val="center"/>
          </w:tcPr>
          <w:p w14:paraId="4133B63E">
            <w:pPr>
              <w:ind w:firstLine="0"/>
              <w:jc w:val="left"/>
              <w:rPr>
                <w:szCs w:val="28"/>
                <w:highlight w:val="none"/>
              </w:rPr>
            </w:pPr>
            <w:r>
              <w:rPr>
                <w:szCs w:val="28"/>
                <w:highlight w:val="none"/>
              </w:rPr>
              <w:t>Білок загальний, г/л</w:t>
            </w:r>
          </w:p>
        </w:tc>
        <w:tc>
          <w:tcPr>
            <w:tcW w:w="2782" w:type="dxa"/>
            <w:vAlign w:val="center"/>
          </w:tcPr>
          <w:p w14:paraId="12ACF45D">
            <w:pPr>
              <w:ind w:firstLine="0"/>
              <w:jc w:val="center"/>
              <w:rPr>
                <w:szCs w:val="28"/>
                <w:highlight w:val="none"/>
              </w:rPr>
            </w:pPr>
            <w:r>
              <w:rPr>
                <w:szCs w:val="28"/>
                <w:highlight w:val="none"/>
              </w:rPr>
              <w:t>73,8 [69,8; 77,1]</w:t>
            </w:r>
          </w:p>
        </w:tc>
        <w:tc>
          <w:tcPr>
            <w:tcW w:w="2783" w:type="dxa"/>
            <w:vAlign w:val="center"/>
          </w:tcPr>
          <w:p w14:paraId="110D6A7C">
            <w:pPr>
              <w:ind w:firstLine="0"/>
              <w:jc w:val="center"/>
              <w:rPr>
                <w:szCs w:val="28"/>
                <w:highlight w:val="none"/>
              </w:rPr>
            </w:pPr>
            <w:r>
              <w:rPr>
                <w:szCs w:val="28"/>
                <w:highlight w:val="none"/>
              </w:rPr>
              <w:t>68,1 [65,2; 75,7]</w:t>
            </w:r>
          </w:p>
        </w:tc>
        <w:tc>
          <w:tcPr>
            <w:tcW w:w="1006" w:type="dxa"/>
            <w:vAlign w:val="center"/>
          </w:tcPr>
          <w:p w14:paraId="329C2E51">
            <w:pPr>
              <w:ind w:firstLine="0"/>
              <w:jc w:val="center"/>
              <w:rPr>
                <w:szCs w:val="28"/>
                <w:highlight w:val="none"/>
              </w:rPr>
            </w:pPr>
            <w:r>
              <w:rPr>
                <w:szCs w:val="28"/>
                <w:highlight w:val="none"/>
              </w:rPr>
              <w:t>&lt;0,001</w:t>
            </w:r>
          </w:p>
        </w:tc>
      </w:tr>
      <w:tr w14:paraId="0DF6A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4" w:type="dxa"/>
            <w:vAlign w:val="center"/>
          </w:tcPr>
          <w:p w14:paraId="33F2F493">
            <w:pPr>
              <w:ind w:firstLine="0"/>
              <w:jc w:val="left"/>
              <w:rPr>
                <w:szCs w:val="28"/>
                <w:highlight w:val="none"/>
              </w:rPr>
            </w:pPr>
            <w:r>
              <w:rPr>
                <w:szCs w:val="28"/>
                <w:highlight w:val="none"/>
              </w:rPr>
              <w:t>Альбумін, г/л</w:t>
            </w:r>
          </w:p>
        </w:tc>
        <w:tc>
          <w:tcPr>
            <w:tcW w:w="2782" w:type="dxa"/>
            <w:vAlign w:val="center"/>
          </w:tcPr>
          <w:p w14:paraId="2ADEFF47">
            <w:pPr>
              <w:ind w:firstLine="0"/>
              <w:jc w:val="center"/>
              <w:rPr>
                <w:szCs w:val="28"/>
                <w:highlight w:val="none"/>
              </w:rPr>
            </w:pPr>
            <w:r>
              <w:rPr>
                <w:szCs w:val="28"/>
                <w:highlight w:val="none"/>
              </w:rPr>
              <w:t>46,1 [39,4; 62,7]</w:t>
            </w:r>
          </w:p>
        </w:tc>
        <w:tc>
          <w:tcPr>
            <w:tcW w:w="2783" w:type="dxa"/>
            <w:vAlign w:val="center"/>
          </w:tcPr>
          <w:p w14:paraId="043D697B">
            <w:pPr>
              <w:ind w:firstLine="0"/>
              <w:jc w:val="center"/>
              <w:rPr>
                <w:szCs w:val="28"/>
                <w:highlight w:val="none"/>
              </w:rPr>
            </w:pPr>
            <w:r>
              <w:rPr>
                <w:szCs w:val="28"/>
                <w:highlight w:val="none"/>
              </w:rPr>
              <w:t>48,6 [41,6; 54,9]</w:t>
            </w:r>
          </w:p>
        </w:tc>
        <w:tc>
          <w:tcPr>
            <w:tcW w:w="1006" w:type="dxa"/>
            <w:vAlign w:val="center"/>
          </w:tcPr>
          <w:p w14:paraId="5DAEB3EC">
            <w:pPr>
              <w:ind w:firstLine="0"/>
              <w:jc w:val="center"/>
              <w:rPr>
                <w:szCs w:val="28"/>
                <w:highlight w:val="none"/>
              </w:rPr>
            </w:pPr>
            <w:r>
              <w:rPr>
                <w:szCs w:val="28"/>
                <w:highlight w:val="none"/>
              </w:rPr>
              <w:t>&lt;0,001</w:t>
            </w:r>
          </w:p>
        </w:tc>
      </w:tr>
      <w:tr w14:paraId="5F885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4" w:type="dxa"/>
            <w:vAlign w:val="center"/>
          </w:tcPr>
          <w:p w14:paraId="312EBF6D">
            <w:pPr>
              <w:ind w:firstLine="0"/>
              <w:jc w:val="left"/>
              <w:rPr>
                <w:szCs w:val="28"/>
                <w:highlight w:val="none"/>
              </w:rPr>
            </w:pPr>
            <w:r>
              <w:rPr>
                <w:szCs w:val="28"/>
                <w:highlight w:val="none"/>
              </w:rPr>
              <w:t>ХС, ммоль/л</w:t>
            </w:r>
          </w:p>
        </w:tc>
        <w:tc>
          <w:tcPr>
            <w:tcW w:w="2782" w:type="dxa"/>
            <w:vAlign w:val="center"/>
          </w:tcPr>
          <w:p w14:paraId="61290F46">
            <w:pPr>
              <w:ind w:firstLine="0"/>
              <w:jc w:val="center"/>
              <w:rPr>
                <w:szCs w:val="28"/>
                <w:highlight w:val="none"/>
              </w:rPr>
            </w:pPr>
            <w:r>
              <w:rPr>
                <w:szCs w:val="28"/>
                <w:highlight w:val="none"/>
              </w:rPr>
              <w:t>4,23 [3,23; 5,50]</w:t>
            </w:r>
          </w:p>
        </w:tc>
        <w:tc>
          <w:tcPr>
            <w:tcW w:w="2783" w:type="dxa"/>
            <w:vAlign w:val="center"/>
          </w:tcPr>
          <w:p w14:paraId="571B4873">
            <w:pPr>
              <w:ind w:firstLine="0"/>
              <w:jc w:val="center"/>
              <w:rPr>
                <w:szCs w:val="28"/>
                <w:highlight w:val="none"/>
              </w:rPr>
            </w:pPr>
            <w:r>
              <w:rPr>
                <w:szCs w:val="28"/>
                <w:highlight w:val="none"/>
              </w:rPr>
              <w:t>4,67 [3,31; 5,68]</w:t>
            </w:r>
          </w:p>
        </w:tc>
        <w:tc>
          <w:tcPr>
            <w:tcW w:w="1006" w:type="dxa"/>
            <w:vAlign w:val="center"/>
          </w:tcPr>
          <w:p w14:paraId="456EA8EB">
            <w:pPr>
              <w:ind w:firstLine="0"/>
              <w:jc w:val="center"/>
              <w:rPr>
                <w:szCs w:val="28"/>
                <w:highlight w:val="none"/>
              </w:rPr>
            </w:pPr>
            <w:r>
              <w:rPr>
                <w:szCs w:val="28"/>
                <w:highlight w:val="none"/>
              </w:rPr>
              <w:t>0,337</w:t>
            </w:r>
          </w:p>
        </w:tc>
      </w:tr>
      <w:tr w14:paraId="686D8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4" w:type="dxa"/>
            <w:vAlign w:val="center"/>
          </w:tcPr>
          <w:p w14:paraId="5D1AD6D8">
            <w:pPr>
              <w:ind w:firstLine="0"/>
              <w:jc w:val="left"/>
              <w:rPr>
                <w:szCs w:val="28"/>
                <w:highlight w:val="none"/>
              </w:rPr>
            </w:pPr>
            <w:r>
              <w:rPr>
                <w:szCs w:val="28"/>
                <w:highlight w:val="none"/>
              </w:rPr>
              <w:t>ЛПВЩ, ммоль/л</w:t>
            </w:r>
          </w:p>
        </w:tc>
        <w:tc>
          <w:tcPr>
            <w:tcW w:w="2782" w:type="dxa"/>
            <w:vAlign w:val="center"/>
          </w:tcPr>
          <w:p w14:paraId="4C355CE4">
            <w:pPr>
              <w:ind w:firstLine="0"/>
              <w:jc w:val="center"/>
              <w:rPr>
                <w:szCs w:val="28"/>
                <w:highlight w:val="none"/>
              </w:rPr>
            </w:pPr>
            <w:r>
              <w:rPr>
                <w:szCs w:val="28"/>
                <w:highlight w:val="none"/>
              </w:rPr>
              <w:t>1,36 [1,19; 1,68]</w:t>
            </w:r>
          </w:p>
        </w:tc>
        <w:tc>
          <w:tcPr>
            <w:tcW w:w="2783" w:type="dxa"/>
            <w:vAlign w:val="center"/>
          </w:tcPr>
          <w:p w14:paraId="7219BEDC">
            <w:pPr>
              <w:ind w:firstLine="0"/>
              <w:jc w:val="center"/>
              <w:rPr>
                <w:szCs w:val="28"/>
                <w:highlight w:val="none"/>
              </w:rPr>
            </w:pPr>
            <w:r>
              <w:rPr>
                <w:szCs w:val="28"/>
                <w:highlight w:val="none"/>
              </w:rPr>
              <w:t>1,43 [1,19; 1,73]</w:t>
            </w:r>
          </w:p>
        </w:tc>
        <w:tc>
          <w:tcPr>
            <w:tcW w:w="1006" w:type="dxa"/>
            <w:vAlign w:val="center"/>
          </w:tcPr>
          <w:p w14:paraId="3E869512">
            <w:pPr>
              <w:ind w:firstLine="0"/>
              <w:jc w:val="center"/>
              <w:rPr>
                <w:szCs w:val="28"/>
                <w:highlight w:val="none"/>
              </w:rPr>
            </w:pPr>
            <w:r>
              <w:rPr>
                <w:szCs w:val="28"/>
                <w:highlight w:val="none"/>
              </w:rPr>
              <w:t>0,673</w:t>
            </w:r>
          </w:p>
        </w:tc>
      </w:tr>
      <w:tr w14:paraId="495E4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4" w:type="dxa"/>
            <w:vAlign w:val="center"/>
          </w:tcPr>
          <w:p w14:paraId="533DF360">
            <w:pPr>
              <w:ind w:firstLine="0"/>
              <w:jc w:val="left"/>
              <w:rPr>
                <w:szCs w:val="28"/>
                <w:highlight w:val="none"/>
              </w:rPr>
            </w:pPr>
            <w:r>
              <w:rPr>
                <w:szCs w:val="28"/>
                <w:highlight w:val="none"/>
              </w:rPr>
              <w:t>ТГ, ммоль/л</w:t>
            </w:r>
          </w:p>
        </w:tc>
        <w:tc>
          <w:tcPr>
            <w:tcW w:w="2782" w:type="dxa"/>
            <w:vAlign w:val="center"/>
          </w:tcPr>
          <w:p w14:paraId="0CB13E8E">
            <w:pPr>
              <w:ind w:firstLine="0"/>
              <w:jc w:val="center"/>
              <w:rPr>
                <w:szCs w:val="28"/>
                <w:highlight w:val="none"/>
              </w:rPr>
            </w:pPr>
            <w:r>
              <w:rPr>
                <w:szCs w:val="28"/>
                <w:highlight w:val="none"/>
              </w:rPr>
              <w:t>1,30 [0,98; 1,95]</w:t>
            </w:r>
          </w:p>
        </w:tc>
        <w:tc>
          <w:tcPr>
            <w:tcW w:w="2783" w:type="dxa"/>
            <w:vAlign w:val="center"/>
          </w:tcPr>
          <w:p w14:paraId="78FF195A">
            <w:pPr>
              <w:ind w:firstLine="0"/>
              <w:jc w:val="center"/>
              <w:rPr>
                <w:szCs w:val="28"/>
                <w:highlight w:val="none"/>
              </w:rPr>
            </w:pPr>
            <w:r>
              <w:rPr>
                <w:szCs w:val="28"/>
                <w:highlight w:val="none"/>
              </w:rPr>
              <w:t>0,98 [0,70; 1,16]</w:t>
            </w:r>
          </w:p>
        </w:tc>
        <w:tc>
          <w:tcPr>
            <w:tcW w:w="1006" w:type="dxa"/>
            <w:vAlign w:val="center"/>
          </w:tcPr>
          <w:p w14:paraId="00DD9186">
            <w:pPr>
              <w:ind w:firstLine="0"/>
              <w:jc w:val="center"/>
              <w:rPr>
                <w:szCs w:val="28"/>
                <w:highlight w:val="none"/>
              </w:rPr>
            </w:pPr>
            <w:r>
              <w:rPr>
                <w:szCs w:val="28"/>
                <w:highlight w:val="none"/>
              </w:rPr>
              <w:t>0,009</w:t>
            </w:r>
          </w:p>
        </w:tc>
      </w:tr>
      <w:tr w14:paraId="058F2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4" w:type="dxa"/>
            <w:vAlign w:val="center"/>
          </w:tcPr>
          <w:p w14:paraId="78792D55">
            <w:pPr>
              <w:ind w:firstLine="0"/>
              <w:jc w:val="left"/>
              <w:rPr>
                <w:szCs w:val="28"/>
                <w:highlight w:val="none"/>
              </w:rPr>
            </w:pPr>
            <w:r>
              <w:rPr>
                <w:szCs w:val="28"/>
                <w:highlight w:val="none"/>
              </w:rPr>
              <w:t>ЛПНЩ, ммоль/л</w:t>
            </w:r>
          </w:p>
        </w:tc>
        <w:tc>
          <w:tcPr>
            <w:tcW w:w="2782" w:type="dxa"/>
            <w:vAlign w:val="center"/>
          </w:tcPr>
          <w:p w14:paraId="68B0ED36">
            <w:pPr>
              <w:ind w:firstLine="0"/>
              <w:jc w:val="center"/>
              <w:rPr>
                <w:szCs w:val="28"/>
                <w:highlight w:val="none"/>
              </w:rPr>
            </w:pPr>
            <w:r>
              <w:rPr>
                <w:szCs w:val="28"/>
                <w:highlight w:val="none"/>
              </w:rPr>
              <w:t>2,14 [1,49; 2,96]</w:t>
            </w:r>
          </w:p>
        </w:tc>
        <w:tc>
          <w:tcPr>
            <w:tcW w:w="2783" w:type="dxa"/>
            <w:vAlign w:val="center"/>
          </w:tcPr>
          <w:p w14:paraId="7E597148">
            <w:pPr>
              <w:ind w:firstLine="0"/>
              <w:jc w:val="center"/>
              <w:rPr>
                <w:szCs w:val="28"/>
                <w:highlight w:val="none"/>
              </w:rPr>
            </w:pPr>
            <w:r>
              <w:rPr>
                <w:szCs w:val="28"/>
                <w:highlight w:val="none"/>
              </w:rPr>
              <w:t>2,66 [2,10; 3,86]</w:t>
            </w:r>
          </w:p>
        </w:tc>
        <w:tc>
          <w:tcPr>
            <w:tcW w:w="1006" w:type="dxa"/>
            <w:vAlign w:val="center"/>
          </w:tcPr>
          <w:p w14:paraId="45CD63FA">
            <w:pPr>
              <w:ind w:firstLine="0"/>
              <w:jc w:val="center"/>
              <w:rPr>
                <w:szCs w:val="28"/>
                <w:highlight w:val="none"/>
              </w:rPr>
            </w:pPr>
            <w:r>
              <w:rPr>
                <w:szCs w:val="28"/>
                <w:highlight w:val="none"/>
              </w:rPr>
              <w:t>0,004</w:t>
            </w:r>
          </w:p>
        </w:tc>
      </w:tr>
      <w:tr w14:paraId="59C4C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4" w:type="dxa"/>
            <w:vAlign w:val="center"/>
          </w:tcPr>
          <w:p w14:paraId="0EFE70B0">
            <w:pPr>
              <w:ind w:firstLine="0"/>
              <w:jc w:val="left"/>
              <w:rPr>
                <w:szCs w:val="28"/>
                <w:highlight w:val="none"/>
              </w:rPr>
            </w:pPr>
            <w:r>
              <w:rPr>
                <w:szCs w:val="28"/>
                <w:highlight w:val="none"/>
              </w:rPr>
              <w:t>ЛПДНЩ, ммоль/л</w:t>
            </w:r>
          </w:p>
        </w:tc>
        <w:tc>
          <w:tcPr>
            <w:tcW w:w="2782" w:type="dxa"/>
            <w:vAlign w:val="center"/>
          </w:tcPr>
          <w:p w14:paraId="636634F4">
            <w:pPr>
              <w:ind w:firstLine="0"/>
              <w:jc w:val="center"/>
              <w:rPr>
                <w:szCs w:val="28"/>
                <w:highlight w:val="none"/>
              </w:rPr>
            </w:pPr>
            <w:r>
              <w:rPr>
                <w:szCs w:val="28"/>
                <w:highlight w:val="none"/>
              </w:rPr>
              <w:t>0,59 [0,42; 0,86]</w:t>
            </w:r>
          </w:p>
        </w:tc>
        <w:tc>
          <w:tcPr>
            <w:tcW w:w="2783" w:type="dxa"/>
            <w:vAlign w:val="center"/>
          </w:tcPr>
          <w:p w14:paraId="61282027">
            <w:pPr>
              <w:ind w:firstLine="0"/>
              <w:jc w:val="center"/>
              <w:rPr>
                <w:szCs w:val="28"/>
                <w:highlight w:val="none"/>
              </w:rPr>
            </w:pPr>
            <w:r>
              <w:rPr>
                <w:szCs w:val="28"/>
                <w:highlight w:val="none"/>
              </w:rPr>
              <w:t>0,46 [0,30; 0,62]</w:t>
            </w:r>
          </w:p>
        </w:tc>
        <w:tc>
          <w:tcPr>
            <w:tcW w:w="1006" w:type="dxa"/>
            <w:vAlign w:val="center"/>
          </w:tcPr>
          <w:p w14:paraId="2940B5C8">
            <w:pPr>
              <w:ind w:firstLine="0"/>
              <w:jc w:val="center"/>
              <w:rPr>
                <w:szCs w:val="28"/>
                <w:highlight w:val="none"/>
              </w:rPr>
            </w:pPr>
            <w:r>
              <w:rPr>
                <w:szCs w:val="28"/>
                <w:highlight w:val="none"/>
              </w:rPr>
              <w:t>0,026</w:t>
            </w:r>
          </w:p>
        </w:tc>
      </w:tr>
      <w:tr w14:paraId="09FA6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4" w:type="dxa"/>
            <w:vAlign w:val="center"/>
          </w:tcPr>
          <w:p w14:paraId="59442BDE">
            <w:pPr>
              <w:ind w:firstLine="0"/>
              <w:jc w:val="left"/>
              <w:rPr>
                <w:szCs w:val="28"/>
                <w:highlight w:val="none"/>
              </w:rPr>
            </w:pPr>
            <w:r>
              <w:rPr>
                <w:szCs w:val="28"/>
                <w:highlight w:val="none"/>
              </w:rPr>
              <w:t>КА</w:t>
            </w:r>
          </w:p>
        </w:tc>
        <w:tc>
          <w:tcPr>
            <w:tcW w:w="2782" w:type="dxa"/>
            <w:vAlign w:val="center"/>
          </w:tcPr>
          <w:p w14:paraId="560ED99E">
            <w:pPr>
              <w:ind w:firstLine="0"/>
              <w:jc w:val="center"/>
              <w:rPr>
                <w:szCs w:val="28"/>
                <w:highlight w:val="none"/>
              </w:rPr>
            </w:pPr>
            <w:r>
              <w:rPr>
                <w:szCs w:val="28"/>
                <w:highlight w:val="none"/>
              </w:rPr>
              <w:t>1,96 [1,59; 2,77]</w:t>
            </w:r>
          </w:p>
        </w:tc>
        <w:tc>
          <w:tcPr>
            <w:tcW w:w="2783" w:type="dxa"/>
            <w:vAlign w:val="center"/>
          </w:tcPr>
          <w:p w14:paraId="56ACEA70">
            <w:pPr>
              <w:ind w:firstLine="0"/>
              <w:jc w:val="center"/>
              <w:rPr>
                <w:szCs w:val="28"/>
                <w:highlight w:val="none"/>
              </w:rPr>
            </w:pPr>
            <w:r>
              <w:rPr>
                <w:szCs w:val="28"/>
                <w:highlight w:val="none"/>
              </w:rPr>
              <w:t>2,44 [1,78; 2,96]</w:t>
            </w:r>
          </w:p>
        </w:tc>
        <w:tc>
          <w:tcPr>
            <w:tcW w:w="1006" w:type="dxa"/>
            <w:vAlign w:val="center"/>
          </w:tcPr>
          <w:p w14:paraId="5518F19B">
            <w:pPr>
              <w:ind w:firstLine="0"/>
              <w:jc w:val="center"/>
              <w:rPr>
                <w:szCs w:val="28"/>
                <w:highlight w:val="none"/>
              </w:rPr>
            </w:pPr>
            <w:r>
              <w:rPr>
                <w:szCs w:val="28"/>
                <w:highlight w:val="none"/>
              </w:rPr>
              <w:t>0,106</w:t>
            </w:r>
          </w:p>
        </w:tc>
      </w:tr>
      <w:tr w14:paraId="47B85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4" w:type="dxa"/>
            <w:vAlign w:val="center"/>
          </w:tcPr>
          <w:p w14:paraId="4065AF93">
            <w:pPr>
              <w:ind w:firstLine="0"/>
              <w:jc w:val="left"/>
              <w:rPr>
                <w:szCs w:val="28"/>
                <w:highlight w:val="none"/>
              </w:rPr>
            </w:pPr>
            <w:r>
              <w:rPr>
                <w:szCs w:val="28"/>
                <w:highlight w:val="none"/>
              </w:rPr>
              <w:t>Креатинін, мкмоль/л</w:t>
            </w:r>
          </w:p>
        </w:tc>
        <w:tc>
          <w:tcPr>
            <w:tcW w:w="2782" w:type="dxa"/>
            <w:vAlign w:val="center"/>
          </w:tcPr>
          <w:p w14:paraId="58D55CE2">
            <w:pPr>
              <w:ind w:firstLine="0"/>
              <w:jc w:val="center"/>
              <w:rPr>
                <w:szCs w:val="28"/>
                <w:highlight w:val="none"/>
              </w:rPr>
            </w:pPr>
            <w:r>
              <w:rPr>
                <w:szCs w:val="28"/>
                <w:highlight w:val="none"/>
              </w:rPr>
              <w:t>79,0 [68,0; 84,0]</w:t>
            </w:r>
          </w:p>
        </w:tc>
        <w:tc>
          <w:tcPr>
            <w:tcW w:w="2783" w:type="dxa"/>
            <w:vAlign w:val="center"/>
          </w:tcPr>
          <w:p w14:paraId="765C7AE0">
            <w:pPr>
              <w:ind w:firstLine="0"/>
              <w:jc w:val="center"/>
              <w:rPr>
                <w:szCs w:val="28"/>
                <w:highlight w:val="none"/>
              </w:rPr>
            </w:pPr>
            <w:r>
              <w:rPr>
                <w:szCs w:val="28"/>
                <w:highlight w:val="none"/>
              </w:rPr>
              <w:t>78,0 [72,9; 93,9]</w:t>
            </w:r>
          </w:p>
        </w:tc>
        <w:tc>
          <w:tcPr>
            <w:tcW w:w="1006" w:type="dxa"/>
            <w:vAlign w:val="center"/>
          </w:tcPr>
          <w:p w14:paraId="43173621">
            <w:pPr>
              <w:ind w:firstLine="0"/>
              <w:jc w:val="center"/>
              <w:rPr>
                <w:szCs w:val="28"/>
                <w:highlight w:val="none"/>
              </w:rPr>
            </w:pPr>
            <w:r>
              <w:rPr>
                <w:szCs w:val="28"/>
                <w:highlight w:val="none"/>
              </w:rPr>
              <w:t>0,224</w:t>
            </w:r>
          </w:p>
        </w:tc>
      </w:tr>
      <w:tr w14:paraId="2BFDB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4" w:type="dxa"/>
            <w:vAlign w:val="center"/>
          </w:tcPr>
          <w:p w14:paraId="6F14165D">
            <w:pPr>
              <w:ind w:firstLine="0"/>
              <w:jc w:val="left"/>
              <w:rPr>
                <w:szCs w:val="28"/>
                <w:highlight w:val="none"/>
              </w:rPr>
            </w:pPr>
            <w:r>
              <w:rPr>
                <w:szCs w:val="28"/>
                <w:highlight w:val="none"/>
              </w:rPr>
              <w:t>Глюкоза, ммоль/л</w:t>
            </w:r>
          </w:p>
        </w:tc>
        <w:tc>
          <w:tcPr>
            <w:tcW w:w="2782" w:type="dxa"/>
            <w:vAlign w:val="center"/>
          </w:tcPr>
          <w:p w14:paraId="74AE1028">
            <w:pPr>
              <w:ind w:firstLine="0"/>
              <w:jc w:val="center"/>
              <w:rPr>
                <w:szCs w:val="28"/>
                <w:highlight w:val="none"/>
              </w:rPr>
            </w:pPr>
            <w:r>
              <w:rPr>
                <w:szCs w:val="28"/>
                <w:highlight w:val="none"/>
              </w:rPr>
              <w:t>4,97 [4,68; 5,40]</w:t>
            </w:r>
          </w:p>
        </w:tc>
        <w:tc>
          <w:tcPr>
            <w:tcW w:w="2783" w:type="dxa"/>
            <w:vAlign w:val="center"/>
          </w:tcPr>
          <w:p w14:paraId="725995EF">
            <w:pPr>
              <w:ind w:firstLine="0"/>
              <w:jc w:val="center"/>
              <w:rPr>
                <w:szCs w:val="28"/>
                <w:highlight w:val="none"/>
              </w:rPr>
            </w:pPr>
            <w:r>
              <w:rPr>
                <w:szCs w:val="28"/>
                <w:highlight w:val="none"/>
              </w:rPr>
              <w:t>5,0 [4,7; 5,3]</w:t>
            </w:r>
          </w:p>
        </w:tc>
        <w:tc>
          <w:tcPr>
            <w:tcW w:w="1006" w:type="dxa"/>
            <w:vAlign w:val="center"/>
          </w:tcPr>
          <w:p w14:paraId="32CC6986">
            <w:pPr>
              <w:ind w:firstLine="0"/>
              <w:jc w:val="center"/>
              <w:rPr>
                <w:szCs w:val="28"/>
                <w:highlight w:val="none"/>
              </w:rPr>
            </w:pPr>
            <w:r>
              <w:rPr>
                <w:szCs w:val="28"/>
                <w:highlight w:val="none"/>
              </w:rPr>
              <w:t>0,875</w:t>
            </w:r>
          </w:p>
        </w:tc>
      </w:tr>
    </w:tbl>
    <w:p w14:paraId="1AC82BC4">
      <w:pPr>
        <w:rPr>
          <w:szCs w:val="28"/>
          <w:highlight w:val="none"/>
        </w:rPr>
      </w:pPr>
    </w:p>
    <w:p w14:paraId="11A5C70C">
      <w:pPr>
        <w:rPr>
          <w:szCs w:val="28"/>
          <w:highlight w:val="none"/>
        </w:rPr>
      </w:pPr>
      <w:r>
        <w:rPr>
          <w:szCs w:val="28"/>
          <w:highlight w:val="none"/>
        </w:rPr>
        <w:t>У пацієнтів основної групи з фіброзом 1 підгрупі після лікування відмічено достовірно (р&lt;0,001) зниження рівнів АЛТ, АСТ та ГГТ в 1,5–3,0 рази. Рівні ЛФ достовірно не змінилися. Рівні загального білірубіну та його фракцій в даній підгрупі пацієнтів достовірно не відрізнялися від відповідних рівнів до лікування. В 2,0 рази знизилися рівні тимолової проби (р&lt;0,001). Рівні альбуміну достовірно (р&lt;0,001) знизилися після лікування, медіани загального білку незначно проте достовірно підвищилися (р&lt;0,001).</w:t>
      </w:r>
    </w:p>
    <w:p w14:paraId="58B5047B">
      <w:pPr>
        <w:rPr>
          <w:szCs w:val="28"/>
          <w:highlight w:val="none"/>
        </w:rPr>
      </w:pPr>
      <w:r>
        <w:rPr>
          <w:szCs w:val="28"/>
          <w:highlight w:val="none"/>
        </w:rPr>
        <w:t>Також відмічено зниження рівні тригліцеридів (р=0,009), підвищення рівнів ЛПНЩ (р=0,004) та зниження рівнів ЛПДНЩ (р=0,026). Інші дослідженні показники достовірно не відрізнялися після проведеного лікування (табл. 4.8).</w:t>
      </w:r>
    </w:p>
    <w:p w14:paraId="058BDBC5">
      <w:pPr>
        <w:rPr>
          <w:szCs w:val="28"/>
          <w:highlight w:val="none"/>
        </w:rPr>
      </w:pPr>
    </w:p>
    <w:p w14:paraId="1F7EE617">
      <w:pPr>
        <w:pStyle w:val="3"/>
        <w:rPr>
          <w:szCs w:val="28"/>
          <w:highlight w:val="none"/>
        </w:rPr>
      </w:pPr>
      <w:bookmarkStart w:id="58" w:name="_Toc147703412"/>
      <w:bookmarkStart w:id="59" w:name="_Toc153923964"/>
      <w:r>
        <w:rPr>
          <w:szCs w:val="28"/>
          <w:highlight w:val="none"/>
        </w:rPr>
        <w:t>4.5 Показники до та після лікування в основній групі у пацієнтів в 2 підгрупі фіброзу</w:t>
      </w:r>
      <w:bookmarkEnd w:id="58"/>
      <w:bookmarkEnd w:id="59"/>
    </w:p>
    <w:p w14:paraId="4EB8FBEC">
      <w:pPr>
        <w:rPr>
          <w:szCs w:val="28"/>
          <w:highlight w:val="none"/>
        </w:rPr>
      </w:pPr>
    </w:p>
    <w:p w14:paraId="2770391D">
      <w:pPr>
        <w:jc w:val="right"/>
        <w:rPr>
          <w:i/>
          <w:iCs/>
          <w:szCs w:val="28"/>
          <w:highlight w:val="none"/>
        </w:rPr>
      </w:pPr>
      <w:r>
        <w:rPr>
          <w:i/>
          <w:iCs/>
          <w:szCs w:val="28"/>
          <w:highlight w:val="none"/>
        </w:rPr>
        <w:t>Таблиця 4.9</w:t>
      </w:r>
    </w:p>
    <w:p w14:paraId="615897CB">
      <w:pPr>
        <w:rPr>
          <w:b/>
          <w:bCs/>
          <w:szCs w:val="28"/>
          <w:highlight w:val="none"/>
        </w:rPr>
      </w:pPr>
      <w:r>
        <w:rPr>
          <w:b/>
          <w:bCs/>
          <w:szCs w:val="28"/>
          <w:highlight w:val="none"/>
        </w:rPr>
        <w:t>Порівняння показників клінічного аналізу крові до та після лікування в основній групі 2 підгрупі (n = 31), Me [Lq; Uq]</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47"/>
        <w:gridCol w:w="2693"/>
        <w:gridCol w:w="3098"/>
        <w:gridCol w:w="1006"/>
      </w:tblGrid>
      <w:tr w14:paraId="14801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4520EE7F">
            <w:pPr>
              <w:ind w:firstLine="0"/>
              <w:jc w:val="left"/>
              <w:rPr>
                <w:b/>
                <w:bCs/>
                <w:szCs w:val="28"/>
                <w:highlight w:val="none"/>
              </w:rPr>
            </w:pPr>
            <w:bookmarkStart w:id="60" w:name="_Hlk154340249"/>
            <w:r>
              <w:rPr>
                <w:b/>
                <w:bCs/>
                <w:szCs w:val="28"/>
                <w:highlight w:val="none"/>
              </w:rPr>
              <w:t>Показник</w:t>
            </w:r>
          </w:p>
        </w:tc>
        <w:tc>
          <w:tcPr>
            <w:tcW w:w="2693" w:type="dxa"/>
            <w:vAlign w:val="center"/>
          </w:tcPr>
          <w:p w14:paraId="0C8322A6">
            <w:pPr>
              <w:ind w:firstLine="0"/>
              <w:jc w:val="center"/>
              <w:rPr>
                <w:b/>
                <w:bCs/>
                <w:szCs w:val="28"/>
                <w:highlight w:val="none"/>
              </w:rPr>
            </w:pPr>
            <w:r>
              <w:rPr>
                <w:b/>
                <w:bCs/>
                <w:szCs w:val="28"/>
                <w:highlight w:val="none"/>
              </w:rPr>
              <w:t>До лікування</w:t>
            </w:r>
          </w:p>
        </w:tc>
        <w:tc>
          <w:tcPr>
            <w:tcW w:w="3098" w:type="dxa"/>
            <w:vAlign w:val="center"/>
          </w:tcPr>
          <w:p w14:paraId="292EBBAC">
            <w:pPr>
              <w:ind w:firstLine="0"/>
              <w:jc w:val="center"/>
              <w:rPr>
                <w:b/>
                <w:bCs/>
                <w:szCs w:val="28"/>
                <w:highlight w:val="none"/>
              </w:rPr>
            </w:pPr>
            <w:r>
              <w:rPr>
                <w:b/>
                <w:bCs/>
                <w:szCs w:val="28"/>
                <w:highlight w:val="none"/>
              </w:rPr>
              <w:t>Після лікування</w:t>
            </w:r>
          </w:p>
        </w:tc>
        <w:tc>
          <w:tcPr>
            <w:tcW w:w="1006" w:type="dxa"/>
            <w:vAlign w:val="center"/>
          </w:tcPr>
          <w:p w14:paraId="778632F8">
            <w:pPr>
              <w:ind w:firstLine="0"/>
              <w:jc w:val="center"/>
              <w:rPr>
                <w:b/>
                <w:bCs/>
                <w:szCs w:val="28"/>
                <w:highlight w:val="none"/>
              </w:rPr>
            </w:pPr>
            <w:r>
              <w:rPr>
                <w:b/>
                <w:bCs/>
                <w:szCs w:val="28"/>
                <w:highlight w:val="none"/>
              </w:rPr>
              <w:t>p</w:t>
            </w:r>
          </w:p>
        </w:tc>
      </w:tr>
      <w:bookmarkEnd w:id="60"/>
      <w:tr w14:paraId="684BD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49C6F5A8">
            <w:pPr>
              <w:ind w:firstLine="0"/>
              <w:jc w:val="left"/>
              <w:rPr>
                <w:szCs w:val="28"/>
                <w:highlight w:val="none"/>
              </w:rPr>
            </w:pPr>
            <w:r>
              <w:rPr>
                <w:szCs w:val="28"/>
                <w:highlight w:val="none"/>
              </w:rPr>
              <w:t>Еритроцити, 10</w:t>
            </w:r>
            <w:r>
              <w:rPr>
                <w:szCs w:val="28"/>
                <w:highlight w:val="none"/>
                <w:vertAlign w:val="superscript"/>
              </w:rPr>
              <w:t>12</w:t>
            </w:r>
            <w:r>
              <w:rPr>
                <w:szCs w:val="28"/>
                <w:highlight w:val="none"/>
              </w:rPr>
              <w:t>/л</w:t>
            </w:r>
          </w:p>
        </w:tc>
        <w:tc>
          <w:tcPr>
            <w:tcW w:w="2693" w:type="dxa"/>
            <w:vAlign w:val="center"/>
          </w:tcPr>
          <w:p w14:paraId="1D1E068A">
            <w:pPr>
              <w:ind w:firstLine="0"/>
              <w:jc w:val="center"/>
              <w:rPr>
                <w:szCs w:val="28"/>
                <w:highlight w:val="none"/>
              </w:rPr>
            </w:pPr>
            <w:r>
              <w:rPr>
                <w:szCs w:val="28"/>
                <w:highlight w:val="none"/>
              </w:rPr>
              <w:t>4,60 [4,28; 4,98]</w:t>
            </w:r>
          </w:p>
        </w:tc>
        <w:tc>
          <w:tcPr>
            <w:tcW w:w="3098" w:type="dxa"/>
            <w:vAlign w:val="center"/>
          </w:tcPr>
          <w:p w14:paraId="5BEC5D23">
            <w:pPr>
              <w:ind w:firstLine="0"/>
              <w:jc w:val="center"/>
              <w:rPr>
                <w:szCs w:val="28"/>
                <w:highlight w:val="none"/>
              </w:rPr>
            </w:pPr>
            <w:r>
              <w:rPr>
                <w:szCs w:val="28"/>
                <w:highlight w:val="none"/>
              </w:rPr>
              <w:t>4,56 [4,23; 5,08]</w:t>
            </w:r>
          </w:p>
        </w:tc>
        <w:tc>
          <w:tcPr>
            <w:tcW w:w="1006" w:type="dxa"/>
            <w:vAlign w:val="center"/>
          </w:tcPr>
          <w:p w14:paraId="4013E2A1">
            <w:pPr>
              <w:ind w:firstLine="0"/>
              <w:jc w:val="center"/>
              <w:rPr>
                <w:szCs w:val="28"/>
                <w:highlight w:val="none"/>
              </w:rPr>
            </w:pPr>
            <w:r>
              <w:rPr>
                <w:szCs w:val="28"/>
                <w:highlight w:val="none"/>
              </w:rPr>
              <w:t>0,836</w:t>
            </w:r>
          </w:p>
        </w:tc>
      </w:tr>
      <w:tr w14:paraId="493AA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268AFA3E">
            <w:pPr>
              <w:ind w:firstLine="0"/>
              <w:jc w:val="left"/>
              <w:rPr>
                <w:szCs w:val="28"/>
                <w:highlight w:val="none"/>
              </w:rPr>
            </w:pPr>
            <w:r>
              <w:rPr>
                <w:szCs w:val="28"/>
                <w:highlight w:val="none"/>
              </w:rPr>
              <w:t>Гемоглобін, г/л</w:t>
            </w:r>
          </w:p>
        </w:tc>
        <w:tc>
          <w:tcPr>
            <w:tcW w:w="2693" w:type="dxa"/>
            <w:vAlign w:val="center"/>
          </w:tcPr>
          <w:p w14:paraId="31E2DD81">
            <w:pPr>
              <w:ind w:firstLine="0"/>
              <w:jc w:val="center"/>
              <w:rPr>
                <w:szCs w:val="28"/>
                <w:highlight w:val="none"/>
              </w:rPr>
            </w:pPr>
            <w:r>
              <w:rPr>
                <w:szCs w:val="28"/>
                <w:highlight w:val="none"/>
              </w:rPr>
              <w:t>141,5 [125,5; 156,8]</w:t>
            </w:r>
          </w:p>
        </w:tc>
        <w:tc>
          <w:tcPr>
            <w:tcW w:w="3098" w:type="dxa"/>
            <w:vAlign w:val="center"/>
          </w:tcPr>
          <w:p w14:paraId="478A0FFD">
            <w:pPr>
              <w:ind w:firstLine="0"/>
              <w:jc w:val="center"/>
              <w:rPr>
                <w:szCs w:val="28"/>
                <w:highlight w:val="none"/>
              </w:rPr>
            </w:pPr>
            <w:r>
              <w:rPr>
                <w:szCs w:val="28"/>
                <w:highlight w:val="none"/>
              </w:rPr>
              <w:t>145,0 [132,0; 148,5]</w:t>
            </w:r>
          </w:p>
        </w:tc>
        <w:tc>
          <w:tcPr>
            <w:tcW w:w="1006" w:type="dxa"/>
            <w:vAlign w:val="center"/>
          </w:tcPr>
          <w:p w14:paraId="5BB1679A">
            <w:pPr>
              <w:ind w:firstLine="0"/>
              <w:jc w:val="center"/>
              <w:rPr>
                <w:szCs w:val="28"/>
                <w:highlight w:val="none"/>
              </w:rPr>
            </w:pPr>
            <w:r>
              <w:rPr>
                <w:szCs w:val="28"/>
                <w:highlight w:val="none"/>
              </w:rPr>
              <w:t>0,955</w:t>
            </w:r>
          </w:p>
        </w:tc>
      </w:tr>
      <w:tr w14:paraId="5D66B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0C35E180">
            <w:pPr>
              <w:ind w:firstLine="0"/>
              <w:jc w:val="left"/>
              <w:rPr>
                <w:szCs w:val="28"/>
                <w:highlight w:val="none"/>
              </w:rPr>
            </w:pPr>
            <w:r>
              <w:rPr>
                <w:szCs w:val="28"/>
                <w:highlight w:val="none"/>
              </w:rPr>
              <w:t>Гематокрит, %</w:t>
            </w:r>
          </w:p>
        </w:tc>
        <w:tc>
          <w:tcPr>
            <w:tcW w:w="2693" w:type="dxa"/>
            <w:vAlign w:val="center"/>
          </w:tcPr>
          <w:p w14:paraId="682D1A4A">
            <w:pPr>
              <w:ind w:firstLine="0"/>
              <w:jc w:val="center"/>
              <w:rPr>
                <w:szCs w:val="28"/>
                <w:highlight w:val="none"/>
              </w:rPr>
            </w:pPr>
            <w:r>
              <w:rPr>
                <w:szCs w:val="28"/>
                <w:highlight w:val="none"/>
              </w:rPr>
              <w:t>0,45 [0,40; 0,45]</w:t>
            </w:r>
          </w:p>
        </w:tc>
        <w:tc>
          <w:tcPr>
            <w:tcW w:w="3098" w:type="dxa"/>
            <w:vAlign w:val="center"/>
          </w:tcPr>
          <w:p w14:paraId="3A645E4D">
            <w:pPr>
              <w:ind w:firstLine="0"/>
              <w:jc w:val="center"/>
              <w:rPr>
                <w:szCs w:val="28"/>
                <w:highlight w:val="none"/>
              </w:rPr>
            </w:pPr>
            <w:r>
              <w:rPr>
                <w:szCs w:val="28"/>
                <w:highlight w:val="none"/>
              </w:rPr>
              <w:t>0,43 [0,39; 0,45]</w:t>
            </w:r>
          </w:p>
        </w:tc>
        <w:tc>
          <w:tcPr>
            <w:tcW w:w="1006" w:type="dxa"/>
            <w:vAlign w:val="center"/>
          </w:tcPr>
          <w:p w14:paraId="5C2FF67E">
            <w:pPr>
              <w:ind w:firstLine="0"/>
              <w:jc w:val="center"/>
              <w:rPr>
                <w:szCs w:val="28"/>
                <w:highlight w:val="none"/>
              </w:rPr>
            </w:pPr>
            <w:r>
              <w:rPr>
                <w:szCs w:val="28"/>
                <w:highlight w:val="none"/>
              </w:rPr>
              <w:t>0,512</w:t>
            </w:r>
          </w:p>
        </w:tc>
      </w:tr>
      <w:tr w14:paraId="39CF1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1B85CE24">
            <w:pPr>
              <w:ind w:firstLine="0"/>
              <w:jc w:val="left"/>
              <w:rPr>
                <w:szCs w:val="28"/>
                <w:highlight w:val="none"/>
              </w:rPr>
            </w:pPr>
            <w:r>
              <w:rPr>
                <w:szCs w:val="28"/>
                <w:highlight w:val="none"/>
              </w:rPr>
              <w:t>MCV, fl</w:t>
            </w:r>
          </w:p>
        </w:tc>
        <w:tc>
          <w:tcPr>
            <w:tcW w:w="2693" w:type="dxa"/>
            <w:vAlign w:val="center"/>
          </w:tcPr>
          <w:p w14:paraId="3978D8A8">
            <w:pPr>
              <w:ind w:firstLine="0"/>
              <w:jc w:val="center"/>
              <w:rPr>
                <w:szCs w:val="28"/>
                <w:highlight w:val="none"/>
              </w:rPr>
            </w:pPr>
            <w:r>
              <w:rPr>
                <w:szCs w:val="28"/>
                <w:highlight w:val="none"/>
              </w:rPr>
              <w:t>91,0 [84,1; 94,3]</w:t>
            </w:r>
          </w:p>
        </w:tc>
        <w:tc>
          <w:tcPr>
            <w:tcW w:w="3098" w:type="dxa"/>
            <w:vAlign w:val="center"/>
          </w:tcPr>
          <w:p w14:paraId="2747BBB8">
            <w:pPr>
              <w:ind w:firstLine="0"/>
              <w:jc w:val="center"/>
              <w:rPr>
                <w:szCs w:val="28"/>
                <w:highlight w:val="none"/>
              </w:rPr>
            </w:pPr>
            <w:r>
              <w:rPr>
                <w:szCs w:val="28"/>
                <w:highlight w:val="none"/>
              </w:rPr>
              <w:t>91,1 [88,2; 92,9]</w:t>
            </w:r>
          </w:p>
        </w:tc>
        <w:tc>
          <w:tcPr>
            <w:tcW w:w="1006" w:type="dxa"/>
            <w:vAlign w:val="center"/>
          </w:tcPr>
          <w:p w14:paraId="7E4175E2">
            <w:pPr>
              <w:ind w:firstLine="0"/>
              <w:jc w:val="center"/>
              <w:rPr>
                <w:szCs w:val="28"/>
                <w:highlight w:val="none"/>
              </w:rPr>
            </w:pPr>
            <w:r>
              <w:rPr>
                <w:szCs w:val="28"/>
                <w:highlight w:val="none"/>
              </w:rPr>
              <w:t>0,587</w:t>
            </w:r>
          </w:p>
        </w:tc>
      </w:tr>
      <w:tr w14:paraId="60B83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0395B3C6">
            <w:pPr>
              <w:ind w:firstLine="0"/>
              <w:jc w:val="left"/>
              <w:rPr>
                <w:szCs w:val="28"/>
                <w:highlight w:val="none"/>
              </w:rPr>
            </w:pPr>
            <w:r>
              <w:rPr>
                <w:szCs w:val="28"/>
                <w:highlight w:val="none"/>
              </w:rPr>
              <w:t>MCH, пкг/л</w:t>
            </w:r>
          </w:p>
        </w:tc>
        <w:tc>
          <w:tcPr>
            <w:tcW w:w="2693" w:type="dxa"/>
            <w:vAlign w:val="center"/>
          </w:tcPr>
          <w:p w14:paraId="1449282E">
            <w:pPr>
              <w:ind w:firstLine="0"/>
              <w:jc w:val="center"/>
              <w:rPr>
                <w:szCs w:val="28"/>
                <w:highlight w:val="none"/>
              </w:rPr>
            </w:pPr>
            <w:r>
              <w:rPr>
                <w:szCs w:val="28"/>
                <w:highlight w:val="none"/>
              </w:rPr>
              <w:t>32,8 [29,7; 34,2]</w:t>
            </w:r>
          </w:p>
        </w:tc>
        <w:tc>
          <w:tcPr>
            <w:tcW w:w="3098" w:type="dxa"/>
            <w:vAlign w:val="center"/>
          </w:tcPr>
          <w:p w14:paraId="61457374">
            <w:pPr>
              <w:ind w:firstLine="0"/>
              <w:jc w:val="center"/>
              <w:rPr>
                <w:szCs w:val="28"/>
                <w:highlight w:val="none"/>
              </w:rPr>
            </w:pPr>
            <w:r>
              <w:rPr>
                <w:szCs w:val="28"/>
                <w:highlight w:val="none"/>
              </w:rPr>
              <w:t>27,8 [27,2; 29,5]</w:t>
            </w:r>
          </w:p>
        </w:tc>
        <w:tc>
          <w:tcPr>
            <w:tcW w:w="1006" w:type="dxa"/>
            <w:vAlign w:val="center"/>
          </w:tcPr>
          <w:p w14:paraId="40D872F0">
            <w:pPr>
              <w:ind w:firstLine="0"/>
              <w:jc w:val="center"/>
              <w:rPr>
                <w:szCs w:val="28"/>
                <w:highlight w:val="none"/>
              </w:rPr>
            </w:pPr>
            <w:r>
              <w:rPr>
                <w:szCs w:val="28"/>
                <w:highlight w:val="none"/>
              </w:rPr>
              <w:t>0,004</w:t>
            </w:r>
          </w:p>
        </w:tc>
      </w:tr>
      <w:tr w14:paraId="32A60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0ABDE949">
            <w:pPr>
              <w:ind w:firstLine="0"/>
              <w:jc w:val="left"/>
              <w:rPr>
                <w:szCs w:val="28"/>
                <w:highlight w:val="none"/>
              </w:rPr>
            </w:pPr>
            <w:r>
              <w:rPr>
                <w:szCs w:val="28"/>
                <w:highlight w:val="none"/>
              </w:rPr>
              <w:t>MCHC, г/л</w:t>
            </w:r>
          </w:p>
        </w:tc>
        <w:tc>
          <w:tcPr>
            <w:tcW w:w="2693" w:type="dxa"/>
            <w:vAlign w:val="center"/>
          </w:tcPr>
          <w:p w14:paraId="2CD7FD61">
            <w:pPr>
              <w:ind w:firstLine="0"/>
              <w:jc w:val="center"/>
              <w:rPr>
                <w:szCs w:val="28"/>
                <w:highlight w:val="none"/>
              </w:rPr>
            </w:pPr>
            <w:r>
              <w:rPr>
                <w:szCs w:val="28"/>
                <w:highlight w:val="none"/>
              </w:rPr>
              <w:t>338,0 [327,8; 346,3]</w:t>
            </w:r>
          </w:p>
        </w:tc>
        <w:tc>
          <w:tcPr>
            <w:tcW w:w="3098" w:type="dxa"/>
            <w:vAlign w:val="center"/>
          </w:tcPr>
          <w:p w14:paraId="5277D32D">
            <w:pPr>
              <w:ind w:firstLine="0"/>
              <w:jc w:val="center"/>
              <w:rPr>
                <w:szCs w:val="28"/>
                <w:highlight w:val="none"/>
              </w:rPr>
            </w:pPr>
            <w:r>
              <w:rPr>
                <w:szCs w:val="28"/>
                <w:highlight w:val="none"/>
              </w:rPr>
              <w:t>333,0 [328,3; 339,0]</w:t>
            </w:r>
          </w:p>
        </w:tc>
        <w:tc>
          <w:tcPr>
            <w:tcW w:w="1006" w:type="dxa"/>
            <w:vAlign w:val="center"/>
          </w:tcPr>
          <w:p w14:paraId="402C97AE">
            <w:pPr>
              <w:ind w:firstLine="0"/>
              <w:jc w:val="center"/>
              <w:rPr>
                <w:szCs w:val="28"/>
                <w:highlight w:val="none"/>
              </w:rPr>
            </w:pPr>
            <w:r>
              <w:rPr>
                <w:szCs w:val="28"/>
                <w:highlight w:val="none"/>
              </w:rPr>
              <w:t>0,234</w:t>
            </w:r>
          </w:p>
        </w:tc>
      </w:tr>
      <w:tr w14:paraId="4572D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54D7493">
            <w:pPr>
              <w:ind w:firstLine="0"/>
              <w:jc w:val="left"/>
              <w:rPr>
                <w:szCs w:val="28"/>
                <w:highlight w:val="none"/>
              </w:rPr>
            </w:pPr>
            <w:r>
              <w:rPr>
                <w:szCs w:val="28"/>
                <w:highlight w:val="none"/>
              </w:rPr>
              <w:t>Тромбоцити, 10</w:t>
            </w:r>
            <w:r>
              <w:rPr>
                <w:szCs w:val="28"/>
                <w:highlight w:val="none"/>
                <w:vertAlign w:val="superscript"/>
              </w:rPr>
              <w:t>9</w:t>
            </w:r>
            <w:r>
              <w:rPr>
                <w:szCs w:val="28"/>
                <w:highlight w:val="none"/>
              </w:rPr>
              <w:t>/л</w:t>
            </w:r>
          </w:p>
        </w:tc>
        <w:tc>
          <w:tcPr>
            <w:tcW w:w="2693" w:type="dxa"/>
            <w:vAlign w:val="center"/>
          </w:tcPr>
          <w:p w14:paraId="1BB8C581">
            <w:pPr>
              <w:ind w:firstLine="0"/>
              <w:jc w:val="center"/>
              <w:rPr>
                <w:szCs w:val="28"/>
                <w:highlight w:val="none"/>
              </w:rPr>
            </w:pPr>
            <w:r>
              <w:rPr>
                <w:szCs w:val="28"/>
                <w:highlight w:val="none"/>
              </w:rPr>
              <w:t>178,5 [154,8; 404,8]</w:t>
            </w:r>
          </w:p>
        </w:tc>
        <w:tc>
          <w:tcPr>
            <w:tcW w:w="3098" w:type="dxa"/>
            <w:vAlign w:val="center"/>
          </w:tcPr>
          <w:p w14:paraId="07DF2CF2">
            <w:pPr>
              <w:ind w:firstLine="0"/>
              <w:jc w:val="center"/>
              <w:rPr>
                <w:szCs w:val="28"/>
                <w:highlight w:val="none"/>
              </w:rPr>
            </w:pPr>
            <w:r>
              <w:rPr>
                <w:szCs w:val="28"/>
                <w:highlight w:val="none"/>
              </w:rPr>
              <w:t>267,0 [240,5; 294,0]</w:t>
            </w:r>
          </w:p>
        </w:tc>
        <w:tc>
          <w:tcPr>
            <w:tcW w:w="1006" w:type="dxa"/>
            <w:vAlign w:val="center"/>
          </w:tcPr>
          <w:p w14:paraId="487B761F">
            <w:pPr>
              <w:ind w:firstLine="0"/>
              <w:jc w:val="center"/>
              <w:rPr>
                <w:szCs w:val="28"/>
                <w:highlight w:val="none"/>
              </w:rPr>
            </w:pPr>
            <w:r>
              <w:rPr>
                <w:szCs w:val="28"/>
                <w:highlight w:val="none"/>
              </w:rPr>
              <w:t>0,001</w:t>
            </w:r>
          </w:p>
        </w:tc>
      </w:tr>
      <w:tr w14:paraId="23910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39E5B426">
            <w:pPr>
              <w:ind w:firstLine="0"/>
              <w:jc w:val="left"/>
              <w:rPr>
                <w:szCs w:val="28"/>
                <w:highlight w:val="none"/>
              </w:rPr>
            </w:pPr>
            <w:r>
              <w:rPr>
                <w:szCs w:val="28"/>
                <w:highlight w:val="none"/>
              </w:rPr>
              <w:t>Тромбокрит, %</w:t>
            </w:r>
          </w:p>
        </w:tc>
        <w:tc>
          <w:tcPr>
            <w:tcW w:w="2693" w:type="dxa"/>
            <w:vAlign w:val="center"/>
          </w:tcPr>
          <w:p w14:paraId="27CC2871">
            <w:pPr>
              <w:ind w:firstLine="0"/>
              <w:jc w:val="center"/>
              <w:rPr>
                <w:szCs w:val="28"/>
                <w:highlight w:val="none"/>
              </w:rPr>
            </w:pPr>
            <w:r>
              <w:rPr>
                <w:szCs w:val="28"/>
                <w:highlight w:val="none"/>
              </w:rPr>
              <w:t>0,19 [0,16; 0,24]</w:t>
            </w:r>
          </w:p>
        </w:tc>
        <w:tc>
          <w:tcPr>
            <w:tcW w:w="3098" w:type="dxa"/>
            <w:vAlign w:val="center"/>
          </w:tcPr>
          <w:p w14:paraId="0B176092">
            <w:pPr>
              <w:ind w:firstLine="0"/>
              <w:jc w:val="center"/>
              <w:rPr>
                <w:szCs w:val="28"/>
                <w:highlight w:val="none"/>
              </w:rPr>
            </w:pPr>
            <w:r>
              <w:rPr>
                <w:szCs w:val="28"/>
                <w:highlight w:val="none"/>
              </w:rPr>
              <w:t>0,21 [0,18; 0,29]</w:t>
            </w:r>
          </w:p>
        </w:tc>
        <w:tc>
          <w:tcPr>
            <w:tcW w:w="1006" w:type="dxa"/>
            <w:vAlign w:val="center"/>
          </w:tcPr>
          <w:p w14:paraId="1E98DFC6">
            <w:pPr>
              <w:ind w:firstLine="0"/>
              <w:jc w:val="center"/>
              <w:rPr>
                <w:szCs w:val="28"/>
                <w:highlight w:val="none"/>
              </w:rPr>
            </w:pPr>
            <w:r>
              <w:rPr>
                <w:szCs w:val="28"/>
                <w:highlight w:val="none"/>
              </w:rPr>
              <w:t>0,209</w:t>
            </w:r>
          </w:p>
        </w:tc>
      </w:tr>
      <w:tr w14:paraId="4B7D3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4CF71FA5">
            <w:pPr>
              <w:ind w:firstLine="0"/>
              <w:jc w:val="left"/>
              <w:rPr>
                <w:szCs w:val="28"/>
                <w:highlight w:val="none"/>
              </w:rPr>
            </w:pPr>
            <w:r>
              <w:rPr>
                <w:szCs w:val="28"/>
                <w:highlight w:val="none"/>
              </w:rPr>
              <w:t>КП</w:t>
            </w:r>
          </w:p>
        </w:tc>
        <w:tc>
          <w:tcPr>
            <w:tcW w:w="2693" w:type="dxa"/>
            <w:vAlign w:val="center"/>
          </w:tcPr>
          <w:p w14:paraId="7DC36F9A">
            <w:pPr>
              <w:ind w:firstLine="0"/>
              <w:jc w:val="center"/>
              <w:rPr>
                <w:szCs w:val="28"/>
                <w:highlight w:val="none"/>
              </w:rPr>
            </w:pPr>
            <w:r>
              <w:rPr>
                <w:szCs w:val="28"/>
                <w:highlight w:val="none"/>
              </w:rPr>
              <w:t>0,90 [0,85; 0,97]</w:t>
            </w:r>
          </w:p>
        </w:tc>
        <w:tc>
          <w:tcPr>
            <w:tcW w:w="3098" w:type="dxa"/>
            <w:vAlign w:val="center"/>
          </w:tcPr>
          <w:p w14:paraId="07A404FD">
            <w:pPr>
              <w:ind w:firstLine="0"/>
              <w:jc w:val="center"/>
              <w:rPr>
                <w:szCs w:val="28"/>
                <w:highlight w:val="none"/>
              </w:rPr>
            </w:pPr>
            <w:r>
              <w:rPr>
                <w:szCs w:val="28"/>
                <w:highlight w:val="none"/>
              </w:rPr>
              <w:t>0,90 [0,88; 0,93]</w:t>
            </w:r>
          </w:p>
        </w:tc>
        <w:tc>
          <w:tcPr>
            <w:tcW w:w="1006" w:type="dxa"/>
            <w:vAlign w:val="center"/>
          </w:tcPr>
          <w:p w14:paraId="4D39EFD4">
            <w:pPr>
              <w:ind w:firstLine="0"/>
              <w:jc w:val="center"/>
              <w:rPr>
                <w:szCs w:val="28"/>
                <w:highlight w:val="none"/>
              </w:rPr>
            </w:pPr>
            <w:r>
              <w:rPr>
                <w:szCs w:val="28"/>
                <w:highlight w:val="none"/>
              </w:rPr>
              <w:t>0,706</w:t>
            </w:r>
          </w:p>
        </w:tc>
      </w:tr>
      <w:tr w14:paraId="3835F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67BB5FD6">
            <w:pPr>
              <w:ind w:firstLine="0"/>
              <w:jc w:val="left"/>
              <w:rPr>
                <w:szCs w:val="28"/>
                <w:highlight w:val="none"/>
              </w:rPr>
            </w:pPr>
            <w:r>
              <w:rPr>
                <w:szCs w:val="28"/>
                <w:highlight w:val="none"/>
              </w:rPr>
              <w:t>ШОЕ, мм/год</w:t>
            </w:r>
          </w:p>
        </w:tc>
        <w:tc>
          <w:tcPr>
            <w:tcW w:w="2693" w:type="dxa"/>
            <w:vAlign w:val="center"/>
          </w:tcPr>
          <w:p w14:paraId="39FCD1C1">
            <w:pPr>
              <w:ind w:firstLine="0"/>
              <w:jc w:val="center"/>
              <w:rPr>
                <w:szCs w:val="28"/>
                <w:highlight w:val="none"/>
              </w:rPr>
            </w:pPr>
            <w:r>
              <w:rPr>
                <w:szCs w:val="28"/>
                <w:highlight w:val="none"/>
              </w:rPr>
              <w:t>10,5 [6,50; 18,3]</w:t>
            </w:r>
          </w:p>
        </w:tc>
        <w:tc>
          <w:tcPr>
            <w:tcW w:w="3098" w:type="dxa"/>
            <w:vAlign w:val="center"/>
          </w:tcPr>
          <w:p w14:paraId="3D0F796A">
            <w:pPr>
              <w:ind w:firstLine="0"/>
              <w:jc w:val="center"/>
              <w:rPr>
                <w:szCs w:val="28"/>
                <w:highlight w:val="none"/>
              </w:rPr>
            </w:pPr>
            <w:r>
              <w:rPr>
                <w:szCs w:val="28"/>
                <w:highlight w:val="none"/>
              </w:rPr>
              <w:t>2,0 [1,25; 5,0]</w:t>
            </w:r>
          </w:p>
        </w:tc>
        <w:tc>
          <w:tcPr>
            <w:tcW w:w="1006" w:type="dxa"/>
            <w:vAlign w:val="center"/>
          </w:tcPr>
          <w:p w14:paraId="2E14300A">
            <w:pPr>
              <w:ind w:firstLine="0"/>
              <w:jc w:val="center"/>
              <w:rPr>
                <w:szCs w:val="28"/>
                <w:highlight w:val="none"/>
              </w:rPr>
            </w:pPr>
            <w:r>
              <w:rPr>
                <w:szCs w:val="28"/>
                <w:highlight w:val="none"/>
              </w:rPr>
              <w:t>0,007</w:t>
            </w:r>
          </w:p>
        </w:tc>
      </w:tr>
      <w:tr w14:paraId="684F1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90AAD3D">
            <w:pPr>
              <w:ind w:firstLine="0"/>
              <w:jc w:val="left"/>
              <w:rPr>
                <w:szCs w:val="28"/>
                <w:highlight w:val="none"/>
              </w:rPr>
            </w:pPr>
            <w:r>
              <w:rPr>
                <w:szCs w:val="28"/>
                <w:highlight w:val="none"/>
              </w:rPr>
              <w:t>Лейкоцити, 10</w:t>
            </w:r>
            <w:r>
              <w:rPr>
                <w:szCs w:val="28"/>
                <w:highlight w:val="none"/>
                <w:vertAlign w:val="superscript"/>
              </w:rPr>
              <w:t>9</w:t>
            </w:r>
            <w:r>
              <w:rPr>
                <w:szCs w:val="28"/>
                <w:highlight w:val="none"/>
              </w:rPr>
              <w:t>/л</w:t>
            </w:r>
          </w:p>
        </w:tc>
        <w:tc>
          <w:tcPr>
            <w:tcW w:w="2693" w:type="dxa"/>
            <w:vAlign w:val="center"/>
          </w:tcPr>
          <w:p w14:paraId="00766E81">
            <w:pPr>
              <w:ind w:firstLine="0"/>
              <w:jc w:val="center"/>
              <w:rPr>
                <w:szCs w:val="28"/>
                <w:highlight w:val="none"/>
              </w:rPr>
            </w:pPr>
            <w:r>
              <w:rPr>
                <w:szCs w:val="28"/>
                <w:highlight w:val="none"/>
              </w:rPr>
              <w:t>6,90 [4,65; 8,25]</w:t>
            </w:r>
          </w:p>
        </w:tc>
        <w:tc>
          <w:tcPr>
            <w:tcW w:w="3098" w:type="dxa"/>
            <w:vAlign w:val="center"/>
          </w:tcPr>
          <w:p w14:paraId="33854A2F">
            <w:pPr>
              <w:ind w:firstLine="0"/>
              <w:jc w:val="center"/>
              <w:rPr>
                <w:szCs w:val="28"/>
                <w:highlight w:val="none"/>
              </w:rPr>
            </w:pPr>
            <w:r>
              <w:rPr>
                <w:szCs w:val="28"/>
                <w:highlight w:val="none"/>
              </w:rPr>
              <w:t>5,4 [5,1; 6,2]</w:t>
            </w:r>
          </w:p>
        </w:tc>
        <w:tc>
          <w:tcPr>
            <w:tcW w:w="1006" w:type="dxa"/>
            <w:vAlign w:val="center"/>
          </w:tcPr>
          <w:p w14:paraId="7BA60EE4">
            <w:pPr>
              <w:ind w:firstLine="0"/>
              <w:jc w:val="center"/>
              <w:rPr>
                <w:szCs w:val="28"/>
                <w:highlight w:val="none"/>
              </w:rPr>
            </w:pPr>
            <w:r>
              <w:rPr>
                <w:szCs w:val="28"/>
                <w:highlight w:val="none"/>
              </w:rPr>
              <w:t>0,255</w:t>
            </w:r>
          </w:p>
        </w:tc>
      </w:tr>
      <w:tr w14:paraId="31E64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7A3A0C0">
            <w:pPr>
              <w:ind w:firstLine="0"/>
              <w:jc w:val="left"/>
              <w:rPr>
                <w:szCs w:val="28"/>
                <w:highlight w:val="none"/>
              </w:rPr>
            </w:pPr>
            <w:r>
              <w:rPr>
                <w:szCs w:val="28"/>
                <w:highlight w:val="none"/>
              </w:rPr>
              <w:t>П/я нейтрофіли, %</w:t>
            </w:r>
          </w:p>
        </w:tc>
        <w:tc>
          <w:tcPr>
            <w:tcW w:w="2693" w:type="dxa"/>
            <w:vAlign w:val="center"/>
          </w:tcPr>
          <w:p w14:paraId="3A5E053F">
            <w:pPr>
              <w:ind w:firstLine="0"/>
              <w:jc w:val="center"/>
              <w:rPr>
                <w:szCs w:val="28"/>
                <w:highlight w:val="none"/>
              </w:rPr>
            </w:pPr>
            <w:r>
              <w:rPr>
                <w:szCs w:val="28"/>
                <w:highlight w:val="none"/>
              </w:rPr>
              <w:t>2,00 [2,00; 3,00]</w:t>
            </w:r>
          </w:p>
        </w:tc>
        <w:tc>
          <w:tcPr>
            <w:tcW w:w="3098" w:type="dxa"/>
            <w:vAlign w:val="center"/>
          </w:tcPr>
          <w:p w14:paraId="36722F13">
            <w:pPr>
              <w:ind w:firstLine="0"/>
              <w:jc w:val="center"/>
              <w:rPr>
                <w:szCs w:val="28"/>
                <w:highlight w:val="none"/>
              </w:rPr>
            </w:pPr>
            <w:r>
              <w:rPr>
                <w:szCs w:val="28"/>
                <w:highlight w:val="none"/>
              </w:rPr>
              <w:t>5,0 [3,0; 6,2]</w:t>
            </w:r>
          </w:p>
        </w:tc>
        <w:tc>
          <w:tcPr>
            <w:tcW w:w="1006" w:type="dxa"/>
            <w:vAlign w:val="center"/>
          </w:tcPr>
          <w:p w14:paraId="1662B137">
            <w:pPr>
              <w:ind w:firstLine="0"/>
              <w:jc w:val="center"/>
              <w:rPr>
                <w:szCs w:val="28"/>
                <w:highlight w:val="none"/>
              </w:rPr>
            </w:pPr>
            <w:r>
              <w:rPr>
                <w:szCs w:val="28"/>
                <w:highlight w:val="none"/>
              </w:rPr>
              <w:t>0,012</w:t>
            </w:r>
          </w:p>
        </w:tc>
      </w:tr>
      <w:tr w14:paraId="7FC74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518044B5">
            <w:pPr>
              <w:ind w:firstLine="0"/>
              <w:jc w:val="left"/>
              <w:rPr>
                <w:szCs w:val="28"/>
                <w:highlight w:val="none"/>
              </w:rPr>
            </w:pPr>
            <w:r>
              <w:rPr>
                <w:szCs w:val="28"/>
                <w:highlight w:val="none"/>
              </w:rPr>
              <w:t>С/я нейтрофіли, %</w:t>
            </w:r>
          </w:p>
        </w:tc>
        <w:tc>
          <w:tcPr>
            <w:tcW w:w="2693" w:type="dxa"/>
            <w:vAlign w:val="center"/>
          </w:tcPr>
          <w:p w14:paraId="4D7F2A71">
            <w:pPr>
              <w:ind w:firstLine="0"/>
              <w:jc w:val="center"/>
              <w:rPr>
                <w:szCs w:val="28"/>
                <w:highlight w:val="none"/>
              </w:rPr>
            </w:pPr>
            <w:r>
              <w:rPr>
                <w:szCs w:val="28"/>
                <w:highlight w:val="none"/>
              </w:rPr>
              <w:t>54,0 [45,3; 67,8]</w:t>
            </w:r>
          </w:p>
        </w:tc>
        <w:tc>
          <w:tcPr>
            <w:tcW w:w="3098" w:type="dxa"/>
            <w:vAlign w:val="center"/>
          </w:tcPr>
          <w:p w14:paraId="14816302">
            <w:pPr>
              <w:ind w:firstLine="0"/>
              <w:jc w:val="center"/>
              <w:rPr>
                <w:szCs w:val="28"/>
                <w:highlight w:val="none"/>
              </w:rPr>
            </w:pPr>
            <w:r>
              <w:rPr>
                <w:szCs w:val="28"/>
                <w:highlight w:val="none"/>
              </w:rPr>
              <w:t>76,0 [62,8; 82,5]</w:t>
            </w:r>
          </w:p>
        </w:tc>
        <w:tc>
          <w:tcPr>
            <w:tcW w:w="1006" w:type="dxa"/>
            <w:vAlign w:val="center"/>
          </w:tcPr>
          <w:p w14:paraId="4B43164C">
            <w:pPr>
              <w:ind w:firstLine="0"/>
              <w:jc w:val="center"/>
              <w:rPr>
                <w:szCs w:val="28"/>
                <w:highlight w:val="none"/>
              </w:rPr>
            </w:pPr>
            <w:r>
              <w:rPr>
                <w:szCs w:val="28"/>
                <w:highlight w:val="none"/>
              </w:rPr>
              <w:t>0,032</w:t>
            </w:r>
          </w:p>
        </w:tc>
      </w:tr>
    </w:tbl>
    <w:p w14:paraId="4192FEFE">
      <w:pPr>
        <w:rPr>
          <w:highlight w:val="none"/>
        </w:rPr>
      </w:pPr>
    </w:p>
    <w:p w14:paraId="04E72BA3">
      <w:pPr>
        <w:jc w:val="right"/>
        <w:rPr>
          <w:i/>
          <w:iCs/>
          <w:szCs w:val="28"/>
          <w:highlight w:val="none"/>
        </w:rPr>
      </w:pPr>
      <w:r>
        <w:rPr>
          <w:i/>
          <w:iCs/>
          <w:szCs w:val="28"/>
          <w:highlight w:val="none"/>
        </w:rPr>
        <w:t>Продовження таблиці 4.9</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47"/>
        <w:gridCol w:w="2693"/>
        <w:gridCol w:w="3098"/>
        <w:gridCol w:w="1006"/>
      </w:tblGrid>
      <w:tr w14:paraId="613FE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E5C30F5">
            <w:pPr>
              <w:ind w:firstLine="0"/>
              <w:jc w:val="left"/>
              <w:rPr>
                <w:b/>
                <w:bCs/>
                <w:szCs w:val="28"/>
                <w:highlight w:val="none"/>
              </w:rPr>
            </w:pPr>
            <w:r>
              <w:rPr>
                <w:b/>
                <w:bCs/>
                <w:szCs w:val="28"/>
                <w:highlight w:val="none"/>
              </w:rPr>
              <w:t>Показник</w:t>
            </w:r>
          </w:p>
        </w:tc>
        <w:tc>
          <w:tcPr>
            <w:tcW w:w="2693" w:type="dxa"/>
            <w:vAlign w:val="center"/>
          </w:tcPr>
          <w:p w14:paraId="0702E3C5">
            <w:pPr>
              <w:ind w:firstLine="0"/>
              <w:jc w:val="center"/>
              <w:rPr>
                <w:b/>
                <w:bCs/>
                <w:szCs w:val="28"/>
                <w:highlight w:val="none"/>
              </w:rPr>
            </w:pPr>
            <w:r>
              <w:rPr>
                <w:b/>
                <w:bCs/>
                <w:szCs w:val="28"/>
                <w:highlight w:val="none"/>
              </w:rPr>
              <w:t>До лікування</w:t>
            </w:r>
          </w:p>
        </w:tc>
        <w:tc>
          <w:tcPr>
            <w:tcW w:w="3098" w:type="dxa"/>
            <w:vAlign w:val="center"/>
          </w:tcPr>
          <w:p w14:paraId="4EC94112">
            <w:pPr>
              <w:ind w:firstLine="0"/>
              <w:jc w:val="center"/>
              <w:rPr>
                <w:b/>
                <w:bCs/>
                <w:szCs w:val="28"/>
                <w:highlight w:val="none"/>
              </w:rPr>
            </w:pPr>
            <w:r>
              <w:rPr>
                <w:b/>
                <w:bCs/>
                <w:szCs w:val="28"/>
                <w:highlight w:val="none"/>
              </w:rPr>
              <w:t>Після лікування</w:t>
            </w:r>
          </w:p>
        </w:tc>
        <w:tc>
          <w:tcPr>
            <w:tcW w:w="1006" w:type="dxa"/>
            <w:vAlign w:val="center"/>
          </w:tcPr>
          <w:p w14:paraId="791B40DC">
            <w:pPr>
              <w:ind w:firstLine="0"/>
              <w:jc w:val="center"/>
              <w:rPr>
                <w:b/>
                <w:bCs/>
                <w:szCs w:val="28"/>
                <w:highlight w:val="none"/>
              </w:rPr>
            </w:pPr>
            <w:r>
              <w:rPr>
                <w:b/>
                <w:bCs/>
                <w:szCs w:val="28"/>
                <w:highlight w:val="none"/>
              </w:rPr>
              <w:t>p</w:t>
            </w:r>
          </w:p>
        </w:tc>
      </w:tr>
      <w:tr w14:paraId="29C44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AB98260">
            <w:pPr>
              <w:ind w:firstLine="0"/>
              <w:jc w:val="left"/>
              <w:rPr>
                <w:szCs w:val="28"/>
                <w:highlight w:val="none"/>
              </w:rPr>
            </w:pPr>
            <w:r>
              <w:rPr>
                <w:szCs w:val="28"/>
                <w:highlight w:val="none"/>
              </w:rPr>
              <w:t>Еозинофіли, %</w:t>
            </w:r>
          </w:p>
        </w:tc>
        <w:tc>
          <w:tcPr>
            <w:tcW w:w="2693" w:type="dxa"/>
            <w:vAlign w:val="center"/>
          </w:tcPr>
          <w:p w14:paraId="2D10C344">
            <w:pPr>
              <w:ind w:firstLine="0"/>
              <w:jc w:val="center"/>
              <w:rPr>
                <w:szCs w:val="28"/>
                <w:highlight w:val="none"/>
              </w:rPr>
            </w:pPr>
            <w:r>
              <w:rPr>
                <w:szCs w:val="28"/>
                <w:highlight w:val="none"/>
              </w:rPr>
              <w:t>1,0 [1,0; 4,8]</w:t>
            </w:r>
          </w:p>
        </w:tc>
        <w:tc>
          <w:tcPr>
            <w:tcW w:w="3098" w:type="dxa"/>
            <w:vAlign w:val="center"/>
          </w:tcPr>
          <w:p w14:paraId="16ED5649">
            <w:pPr>
              <w:ind w:firstLine="0"/>
              <w:jc w:val="center"/>
              <w:rPr>
                <w:szCs w:val="28"/>
                <w:highlight w:val="none"/>
              </w:rPr>
            </w:pPr>
            <w:r>
              <w:rPr>
                <w:szCs w:val="28"/>
                <w:highlight w:val="none"/>
              </w:rPr>
              <w:t>1,0 [1,0; 2,0]</w:t>
            </w:r>
          </w:p>
        </w:tc>
        <w:tc>
          <w:tcPr>
            <w:tcW w:w="1006" w:type="dxa"/>
            <w:vAlign w:val="center"/>
          </w:tcPr>
          <w:p w14:paraId="6551E82C">
            <w:pPr>
              <w:ind w:firstLine="0"/>
              <w:jc w:val="center"/>
              <w:rPr>
                <w:szCs w:val="28"/>
                <w:highlight w:val="none"/>
              </w:rPr>
            </w:pPr>
            <w:r>
              <w:rPr>
                <w:szCs w:val="28"/>
                <w:highlight w:val="none"/>
              </w:rPr>
              <w:t>0,353</w:t>
            </w:r>
          </w:p>
        </w:tc>
      </w:tr>
      <w:tr w14:paraId="2F1D1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25C8B0AA">
            <w:pPr>
              <w:ind w:firstLine="0"/>
              <w:jc w:val="left"/>
              <w:rPr>
                <w:szCs w:val="28"/>
                <w:highlight w:val="none"/>
              </w:rPr>
            </w:pPr>
            <w:r>
              <w:rPr>
                <w:szCs w:val="28"/>
                <w:highlight w:val="none"/>
              </w:rPr>
              <w:t>Лімфоцити, %</w:t>
            </w:r>
          </w:p>
        </w:tc>
        <w:tc>
          <w:tcPr>
            <w:tcW w:w="2693" w:type="dxa"/>
            <w:vAlign w:val="center"/>
          </w:tcPr>
          <w:p w14:paraId="2886AA92">
            <w:pPr>
              <w:ind w:firstLine="0"/>
              <w:jc w:val="center"/>
              <w:rPr>
                <w:szCs w:val="28"/>
                <w:highlight w:val="none"/>
              </w:rPr>
            </w:pPr>
            <w:r>
              <w:rPr>
                <w:szCs w:val="28"/>
                <w:highlight w:val="none"/>
              </w:rPr>
              <w:t>36,0 [21,8; 38,0]</w:t>
            </w:r>
          </w:p>
        </w:tc>
        <w:tc>
          <w:tcPr>
            <w:tcW w:w="3098" w:type="dxa"/>
            <w:vAlign w:val="center"/>
          </w:tcPr>
          <w:p w14:paraId="7ADCBFFD">
            <w:pPr>
              <w:ind w:firstLine="0"/>
              <w:jc w:val="center"/>
              <w:rPr>
                <w:szCs w:val="28"/>
                <w:highlight w:val="none"/>
              </w:rPr>
            </w:pPr>
            <w:r>
              <w:rPr>
                <w:szCs w:val="28"/>
                <w:highlight w:val="none"/>
              </w:rPr>
              <w:t>9,0 [6,5; 25,8]</w:t>
            </w:r>
          </w:p>
        </w:tc>
        <w:tc>
          <w:tcPr>
            <w:tcW w:w="1006" w:type="dxa"/>
            <w:vAlign w:val="center"/>
          </w:tcPr>
          <w:p w14:paraId="3335BA4D">
            <w:pPr>
              <w:ind w:firstLine="0"/>
              <w:jc w:val="center"/>
              <w:rPr>
                <w:szCs w:val="28"/>
                <w:highlight w:val="none"/>
              </w:rPr>
            </w:pPr>
            <w:r>
              <w:rPr>
                <w:szCs w:val="28"/>
                <w:highlight w:val="none"/>
              </w:rPr>
              <w:t>0,032</w:t>
            </w:r>
          </w:p>
        </w:tc>
      </w:tr>
      <w:tr w14:paraId="5AC41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58DDC6DE">
            <w:pPr>
              <w:ind w:firstLine="0"/>
              <w:jc w:val="left"/>
              <w:rPr>
                <w:szCs w:val="28"/>
                <w:highlight w:val="none"/>
              </w:rPr>
            </w:pPr>
            <w:r>
              <w:rPr>
                <w:szCs w:val="28"/>
                <w:highlight w:val="none"/>
              </w:rPr>
              <w:t>Моноцити, %</w:t>
            </w:r>
          </w:p>
        </w:tc>
        <w:tc>
          <w:tcPr>
            <w:tcW w:w="2693" w:type="dxa"/>
            <w:vAlign w:val="center"/>
          </w:tcPr>
          <w:p w14:paraId="5589142D">
            <w:pPr>
              <w:ind w:firstLine="0"/>
              <w:jc w:val="center"/>
              <w:rPr>
                <w:szCs w:val="28"/>
                <w:highlight w:val="none"/>
              </w:rPr>
            </w:pPr>
            <w:r>
              <w:rPr>
                <w:szCs w:val="28"/>
                <w:highlight w:val="none"/>
              </w:rPr>
              <w:t>7,50 [4,25; 8,75]</w:t>
            </w:r>
          </w:p>
        </w:tc>
        <w:tc>
          <w:tcPr>
            <w:tcW w:w="3098" w:type="dxa"/>
            <w:vAlign w:val="center"/>
          </w:tcPr>
          <w:p w14:paraId="06249CEC">
            <w:pPr>
              <w:ind w:firstLine="0"/>
              <w:jc w:val="center"/>
              <w:rPr>
                <w:szCs w:val="28"/>
                <w:highlight w:val="none"/>
              </w:rPr>
            </w:pPr>
            <w:r>
              <w:rPr>
                <w:szCs w:val="28"/>
                <w:highlight w:val="none"/>
              </w:rPr>
              <w:t>6,0 [3,3; 7,8]</w:t>
            </w:r>
          </w:p>
        </w:tc>
        <w:tc>
          <w:tcPr>
            <w:tcW w:w="1006" w:type="dxa"/>
            <w:vAlign w:val="center"/>
          </w:tcPr>
          <w:p w14:paraId="4ABEDAE1">
            <w:pPr>
              <w:ind w:firstLine="0"/>
              <w:jc w:val="center"/>
              <w:rPr>
                <w:szCs w:val="28"/>
                <w:highlight w:val="none"/>
              </w:rPr>
            </w:pPr>
            <w:r>
              <w:rPr>
                <w:szCs w:val="28"/>
                <w:highlight w:val="none"/>
              </w:rPr>
              <w:t>0,306</w:t>
            </w:r>
          </w:p>
        </w:tc>
      </w:tr>
    </w:tbl>
    <w:p w14:paraId="79819D17">
      <w:pPr>
        <w:rPr>
          <w:highlight w:val="none"/>
        </w:rPr>
      </w:pPr>
    </w:p>
    <w:p w14:paraId="39A4CAAE">
      <w:pPr>
        <w:rPr>
          <w:highlight w:val="none"/>
        </w:rPr>
      </w:pPr>
      <w:r>
        <w:rPr>
          <w:highlight w:val="none"/>
        </w:rPr>
        <w:t>Аналіз показників клінічного аналізу крові пацієнтів основної групи 2 підгрупи визначив, що достовірно знизилися рівні MCH: з 32,8 [29,7; 34,2] пкг/л до 27,8 [27,2; 49,5] пкг/л (р=0,004). Майже на половину збільшилися медіанні рівні тромбоцитів: 178,5 [154,8; 404,8] на10</w:t>
      </w:r>
      <w:r>
        <w:rPr>
          <w:highlight w:val="none"/>
          <w:vertAlign w:val="superscript"/>
        </w:rPr>
        <w:t>9</w:t>
      </w:r>
      <w:r>
        <w:rPr>
          <w:highlight w:val="none"/>
        </w:rPr>
        <w:t>/л та 267,0 [240,5; 494,0] на 10</w:t>
      </w:r>
      <w:r>
        <w:rPr>
          <w:highlight w:val="none"/>
          <w:vertAlign w:val="superscript"/>
        </w:rPr>
        <w:t>9</w:t>
      </w:r>
      <w:r>
        <w:rPr>
          <w:highlight w:val="none"/>
        </w:rPr>
        <w:t>/л (р=0,001). Майже в 5 разів знизилися рівні ШОЕ: 10,5 [6,5; 18,3] мм/год та 2,0 [1,25; 5,0] мм/год (р=0,007). Підвищилася відносна кількість п/я нейтрофілів (р=0,012) та с/я нейтрофілів (р=0,032). В той же час знизилися рівні лімфоцитів (р=0,032) (табл. 4.7=9).</w:t>
      </w:r>
    </w:p>
    <w:p w14:paraId="573E590A">
      <w:pPr>
        <w:rPr>
          <w:highlight w:val="none"/>
        </w:rPr>
      </w:pPr>
    </w:p>
    <w:p w14:paraId="2087B931">
      <w:pPr>
        <w:jc w:val="right"/>
        <w:rPr>
          <w:i/>
          <w:iCs/>
          <w:szCs w:val="28"/>
          <w:highlight w:val="none"/>
        </w:rPr>
      </w:pPr>
      <w:r>
        <w:rPr>
          <w:i/>
          <w:iCs/>
          <w:szCs w:val="28"/>
          <w:highlight w:val="none"/>
        </w:rPr>
        <w:t>Таблиця 4.10</w:t>
      </w:r>
    </w:p>
    <w:p w14:paraId="42E0D301">
      <w:pPr>
        <w:rPr>
          <w:b/>
          <w:bCs/>
          <w:szCs w:val="28"/>
          <w:highlight w:val="none"/>
        </w:rPr>
      </w:pPr>
      <w:r>
        <w:rPr>
          <w:b/>
          <w:bCs/>
          <w:szCs w:val="28"/>
          <w:highlight w:val="none"/>
        </w:rPr>
        <w:t>Порівняння показників біохімічного аналізу крові до та після лікування в основній групі у пацієнтів 2 підгрупи, Me [Lq; Uq]</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73"/>
        <w:gridCol w:w="2782"/>
        <w:gridCol w:w="2783"/>
        <w:gridCol w:w="1006"/>
      </w:tblGrid>
      <w:tr w14:paraId="1E153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61EC3558">
            <w:pPr>
              <w:ind w:firstLine="0"/>
              <w:jc w:val="left"/>
              <w:rPr>
                <w:b/>
                <w:bCs/>
                <w:szCs w:val="28"/>
                <w:highlight w:val="none"/>
              </w:rPr>
            </w:pPr>
            <w:r>
              <w:rPr>
                <w:b/>
                <w:bCs/>
                <w:szCs w:val="28"/>
                <w:highlight w:val="none"/>
              </w:rPr>
              <w:t>Показник</w:t>
            </w:r>
          </w:p>
        </w:tc>
        <w:tc>
          <w:tcPr>
            <w:tcW w:w="2782" w:type="dxa"/>
            <w:vAlign w:val="center"/>
          </w:tcPr>
          <w:p w14:paraId="43FFF425">
            <w:pPr>
              <w:ind w:firstLine="0"/>
              <w:jc w:val="center"/>
              <w:rPr>
                <w:b/>
                <w:bCs/>
                <w:szCs w:val="28"/>
                <w:highlight w:val="none"/>
              </w:rPr>
            </w:pPr>
            <w:r>
              <w:rPr>
                <w:b/>
                <w:bCs/>
                <w:szCs w:val="28"/>
                <w:highlight w:val="none"/>
              </w:rPr>
              <w:t>До лікування</w:t>
            </w:r>
          </w:p>
        </w:tc>
        <w:tc>
          <w:tcPr>
            <w:tcW w:w="2783" w:type="dxa"/>
            <w:vAlign w:val="center"/>
          </w:tcPr>
          <w:p w14:paraId="19CBC0B5">
            <w:pPr>
              <w:ind w:firstLine="0"/>
              <w:jc w:val="center"/>
              <w:rPr>
                <w:b/>
                <w:bCs/>
                <w:szCs w:val="28"/>
                <w:highlight w:val="none"/>
              </w:rPr>
            </w:pPr>
            <w:r>
              <w:rPr>
                <w:b/>
                <w:bCs/>
                <w:szCs w:val="28"/>
                <w:highlight w:val="none"/>
              </w:rPr>
              <w:t>Після лікування</w:t>
            </w:r>
          </w:p>
        </w:tc>
        <w:tc>
          <w:tcPr>
            <w:tcW w:w="1006" w:type="dxa"/>
            <w:vAlign w:val="center"/>
          </w:tcPr>
          <w:p w14:paraId="123B77D2">
            <w:pPr>
              <w:ind w:firstLine="0"/>
              <w:jc w:val="center"/>
              <w:rPr>
                <w:b/>
                <w:bCs/>
                <w:szCs w:val="28"/>
                <w:highlight w:val="none"/>
              </w:rPr>
            </w:pPr>
            <w:r>
              <w:rPr>
                <w:b/>
                <w:bCs/>
                <w:szCs w:val="28"/>
                <w:highlight w:val="none"/>
              </w:rPr>
              <w:t>p</w:t>
            </w:r>
          </w:p>
        </w:tc>
      </w:tr>
      <w:tr w14:paraId="08BED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707AF239">
            <w:pPr>
              <w:ind w:firstLine="0"/>
              <w:jc w:val="left"/>
              <w:rPr>
                <w:szCs w:val="28"/>
                <w:highlight w:val="none"/>
              </w:rPr>
            </w:pPr>
            <w:r>
              <w:rPr>
                <w:szCs w:val="28"/>
                <w:highlight w:val="none"/>
              </w:rPr>
              <w:t>АЛТ, Од/л</w:t>
            </w:r>
          </w:p>
        </w:tc>
        <w:tc>
          <w:tcPr>
            <w:tcW w:w="2782" w:type="dxa"/>
            <w:vAlign w:val="center"/>
          </w:tcPr>
          <w:p w14:paraId="6E382AB5">
            <w:pPr>
              <w:ind w:firstLine="0"/>
              <w:jc w:val="center"/>
              <w:rPr>
                <w:szCs w:val="28"/>
                <w:highlight w:val="none"/>
              </w:rPr>
            </w:pPr>
            <w:r>
              <w:rPr>
                <w:szCs w:val="28"/>
                <w:highlight w:val="none"/>
              </w:rPr>
              <w:t>48,0 [38,0; 68,8]</w:t>
            </w:r>
          </w:p>
        </w:tc>
        <w:tc>
          <w:tcPr>
            <w:tcW w:w="2783" w:type="dxa"/>
            <w:vAlign w:val="center"/>
          </w:tcPr>
          <w:p w14:paraId="450C4CEA">
            <w:pPr>
              <w:ind w:firstLine="0"/>
              <w:jc w:val="center"/>
              <w:rPr>
                <w:szCs w:val="28"/>
                <w:highlight w:val="none"/>
              </w:rPr>
            </w:pPr>
            <w:r>
              <w:rPr>
                <w:szCs w:val="28"/>
                <w:highlight w:val="none"/>
              </w:rPr>
              <w:t>30,0 [22,0; 40,0]</w:t>
            </w:r>
          </w:p>
        </w:tc>
        <w:tc>
          <w:tcPr>
            <w:tcW w:w="1006" w:type="dxa"/>
            <w:vAlign w:val="center"/>
          </w:tcPr>
          <w:p w14:paraId="7C8610DB">
            <w:pPr>
              <w:ind w:firstLine="0"/>
              <w:jc w:val="center"/>
              <w:rPr>
                <w:szCs w:val="28"/>
                <w:highlight w:val="none"/>
              </w:rPr>
            </w:pPr>
            <w:r>
              <w:rPr>
                <w:szCs w:val="28"/>
                <w:highlight w:val="none"/>
              </w:rPr>
              <w:t>&lt;0,001</w:t>
            </w:r>
          </w:p>
        </w:tc>
      </w:tr>
      <w:tr w14:paraId="183EF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10F682C5">
            <w:pPr>
              <w:ind w:firstLine="0"/>
              <w:jc w:val="left"/>
              <w:rPr>
                <w:szCs w:val="28"/>
                <w:highlight w:val="none"/>
              </w:rPr>
            </w:pPr>
            <w:r>
              <w:rPr>
                <w:szCs w:val="28"/>
                <w:highlight w:val="none"/>
              </w:rPr>
              <w:t>АСТ, Од/л</w:t>
            </w:r>
          </w:p>
        </w:tc>
        <w:tc>
          <w:tcPr>
            <w:tcW w:w="2782" w:type="dxa"/>
            <w:vAlign w:val="center"/>
          </w:tcPr>
          <w:p w14:paraId="1C81818E">
            <w:pPr>
              <w:ind w:firstLine="0"/>
              <w:jc w:val="center"/>
              <w:rPr>
                <w:szCs w:val="28"/>
                <w:highlight w:val="none"/>
              </w:rPr>
            </w:pPr>
            <w:r>
              <w:rPr>
                <w:szCs w:val="28"/>
                <w:highlight w:val="none"/>
              </w:rPr>
              <w:t>51,0 [43,0; 69,0]</w:t>
            </w:r>
          </w:p>
        </w:tc>
        <w:tc>
          <w:tcPr>
            <w:tcW w:w="2783" w:type="dxa"/>
            <w:vAlign w:val="center"/>
          </w:tcPr>
          <w:p w14:paraId="050A304F">
            <w:pPr>
              <w:ind w:firstLine="0"/>
              <w:jc w:val="center"/>
              <w:rPr>
                <w:szCs w:val="28"/>
                <w:highlight w:val="none"/>
              </w:rPr>
            </w:pPr>
            <w:r>
              <w:rPr>
                <w:szCs w:val="28"/>
                <w:highlight w:val="none"/>
              </w:rPr>
              <w:t>32,5 [19,4; 36,0]</w:t>
            </w:r>
          </w:p>
        </w:tc>
        <w:tc>
          <w:tcPr>
            <w:tcW w:w="1006" w:type="dxa"/>
          </w:tcPr>
          <w:p w14:paraId="3921197D">
            <w:pPr>
              <w:ind w:firstLine="0"/>
              <w:jc w:val="center"/>
              <w:rPr>
                <w:szCs w:val="28"/>
                <w:highlight w:val="none"/>
              </w:rPr>
            </w:pPr>
            <w:r>
              <w:rPr>
                <w:szCs w:val="28"/>
                <w:highlight w:val="none"/>
              </w:rPr>
              <w:t>&lt;0,001</w:t>
            </w:r>
          </w:p>
        </w:tc>
      </w:tr>
      <w:tr w14:paraId="476BC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4AF1C14E">
            <w:pPr>
              <w:ind w:firstLine="0"/>
              <w:jc w:val="left"/>
              <w:rPr>
                <w:szCs w:val="28"/>
                <w:highlight w:val="none"/>
              </w:rPr>
            </w:pPr>
            <w:r>
              <w:rPr>
                <w:szCs w:val="28"/>
                <w:highlight w:val="none"/>
              </w:rPr>
              <w:t>ГГТ, Од/л</w:t>
            </w:r>
          </w:p>
        </w:tc>
        <w:tc>
          <w:tcPr>
            <w:tcW w:w="2782" w:type="dxa"/>
            <w:vAlign w:val="center"/>
          </w:tcPr>
          <w:p w14:paraId="21DFABBB">
            <w:pPr>
              <w:ind w:firstLine="0"/>
              <w:jc w:val="center"/>
              <w:rPr>
                <w:szCs w:val="28"/>
                <w:highlight w:val="none"/>
              </w:rPr>
            </w:pPr>
            <w:r>
              <w:rPr>
                <w:szCs w:val="28"/>
                <w:highlight w:val="none"/>
              </w:rPr>
              <w:t>73,0 [51,0; 97,0]</w:t>
            </w:r>
          </w:p>
        </w:tc>
        <w:tc>
          <w:tcPr>
            <w:tcW w:w="2783" w:type="dxa"/>
            <w:vAlign w:val="center"/>
          </w:tcPr>
          <w:p w14:paraId="3FEAE795">
            <w:pPr>
              <w:ind w:firstLine="0"/>
              <w:jc w:val="center"/>
              <w:rPr>
                <w:szCs w:val="28"/>
                <w:highlight w:val="none"/>
              </w:rPr>
            </w:pPr>
            <w:r>
              <w:rPr>
                <w:szCs w:val="28"/>
                <w:highlight w:val="none"/>
              </w:rPr>
              <w:t>33,5 [17,4; 44,1]</w:t>
            </w:r>
          </w:p>
        </w:tc>
        <w:tc>
          <w:tcPr>
            <w:tcW w:w="1006" w:type="dxa"/>
          </w:tcPr>
          <w:p w14:paraId="3DBDF36F">
            <w:pPr>
              <w:ind w:firstLine="0"/>
              <w:jc w:val="center"/>
              <w:rPr>
                <w:szCs w:val="28"/>
                <w:highlight w:val="none"/>
              </w:rPr>
            </w:pPr>
            <w:r>
              <w:rPr>
                <w:szCs w:val="28"/>
                <w:highlight w:val="none"/>
              </w:rPr>
              <w:t>&lt;0,001</w:t>
            </w:r>
          </w:p>
        </w:tc>
      </w:tr>
      <w:tr w14:paraId="293FF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448B50EB">
            <w:pPr>
              <w:ind w:firstLine="0"/>
              <w:jc w:val="left"/>
              <w:rPr>
                <w:szCs w:val="28"/>
                <w:highlight w:val="none"/>
              </w:rPr>
            </w:pPr>
            <w:r>
              <w:rPr>
                <w:szCs w:val="28"/>
                <w:highlight w:val="none"/>
              </w:rPr>
              <w:t>ЛФ, Од/л</w:t>
            </w:r>
          </w:p>
        </w:tc>
        <w:tc>
          <w:tcPr>
            <w:tcW w:w="2782" w:type="dxa"/>
            <w:vAlign w:val="center"/>
          </w:tcPr>
          <w:p w14:paraId="4B19B26F">
            <w:pPr>
              <w:ind w:firstLine="0"/>
              <w:jc w:val="center"/>
              <w:rPr>
                <w:szCs w:val="28"/>
                <w:highlight w:val="none"/>
              </w:rPr>
            </w:pPr>
            <w:r>
              <w:rPr>
                <w:szCs w:val="28"/>
                <w:highlight w:val="none"/>
              </w:rPr>
              <w:t>90,0 [74,5; 114,9]</w:t>
            </w:r>
          </w:p>
        </w:tc>
        <w:tc>
          <w:tcPr>
            <w:tcW w:w="2783" w:type="dxa"/>
            <w:vAlign w:val="center"/>
          </w:tcPr>
          <w:p w14:paraId="6285B34E">
            <w:pPr>
              <w:ind w:firstLine="0"/>
              <w:jc w:val="center"/>
              <w:rPr>
                <w:szCs w:val="28"/>
                <w:highlight w:val="none"/>
              </w:rPr>
            </w:pPr>
            <w:r>
              <w:rPr>
                <w:szCs w:val="28"/>
                <w:highlight w:val="none"/>
              </w:rPr>
              <w:t>96,2 [80,0; 104,6]</w:t>
            </w:r>
          </w:p>
        </w:tc>
        <w:tc>
          <w:tcPr>
            <w:tcW w:w="1006" w:type="dxa"/>
            <w:vAlign w:val="center"/>
          </w:tcPr>
          <w:p w14:paraId="7BCE005D">
            <w:pPr>
              <w:ind w:firstLine="0"/>
              <w:jc w:val="center"/>
              <w:rPr>
                <w:szCs w:val="28"/>
                <w:highlight w:val="none"/>
              </w:rPr>
            </w:pPr>
            <w:r>
              <w:rPr>
                <w:szCs w:val="28"/>
                <w:highlight w:val="none"/>
              </w:rPr>
              <w:t>0,208</w:t>
            </w:r>
          </w:p>
        </w:tc>
      </w:tr>
      <w:tr w14:paraId="5CD12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6848AE1B">
            <w:pPr>
              <w:ind w:firstLine="0"/>
              <w:jc w:val="left"/>
              <w:rPr>
                <w:szCs w:val="28"/>
                <w:highlight w:val="none"/>
              </w:rPr>
            </w:pPr>
            <w:r>
              <w:rPr>
                <w:szCs w:val="28"/>
                <w:highlight w:val="none"/>
              </w:rPr>
              <w:t>Білірубін загальний, ммоль/л</w:t>
            </w:r>
          </w:p>
        </w:tc>
        <w:tc>
          <w:tcPr>
            <w:tcW w:w="2782" w:type="dxa"/>
            <w:vAlign w:val="center"/>
          </w:tcPr>
          <w:p w14:paraId="26535E6F">
            <w:pPr>
              <w:ind w:firstLine="0"/>
              <w:jc w:val="center"/>
              <w:rPr>
                <w:szCs w:val="28"/>
                <w:highlight w:val="none"/>
              </w:rPr>
            </w:pPr>
            <w:r>
              <w:rPr>
                <w:szCs w:val="28"/>
                <w:highlight w:val="none"/>
              </w:rPr>
              <w:t>11,0 [9,30; 16,0]</w:t>
            </w:r>
          </w:p>
        </w:tc>
        <w:tc>
          <w:tcPr>
            <w:tcW w:w="2783" w:type="dxa"/>
            <w:vAlign w:val="center"/>
          </w:tcPr>
          <w:p w14:paraId="3299AF0C">
            <w:pPr>
              <w:ind w:firstLine="0"/>
              <w:jc w:val="center"/>
              <w:rPr>
                <w:szCs w:val="28"/>
                <w:highlight w:val="none"/>
              </w:rPr>
            </w:pPr>
            <w:r>
              <w:rPr>
                <w:szCs w:val="28"/>
                <w:highlight w:val="none"/>
              </w:rPr>
              <w:t>10,0 [9,3; 15,5]</w:t>
            </w:r>
          </w:p>
        </w:tc>
        <w:tc>
          <w:tcPr>
            <w:tcW w:w="1006" w:type="dxa"/>
            <w:vAlign w:val="center"/>
          </w:tcPr>
          <w:p w14:paraId="7D5C0899">
            <w:pPr>
              <w:ind w:firstLine="0"/>
              <w:jc w:val="center"/>
              <w:rPr>
                <w:szCs w:val="28"/>
                <w:highlight w:val="none"/>
              </w:rPr>
            </w:pPr>
            <w:r>
              <w:rPr>
                <w:szCs w:val="28"/>
                <w:highlight w:val="none"/>
              </w:rPr>
              <w:t>0,059</w:t>
            </w:r>
          </w:p>
        </w:tc>
      </w:tr>
      <w:tr w14:paraId="596CF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66CF3D09">
            <w:pPr>
              <w:ind w:firstLine="0"/>
              <w:jc w:val="left"/>
              <w:rPr>
                <w:szCs w:val="28"/>
                <w:highlight w:val="none"/>
              </w:rPr>
            </w:pPr>
            <w:r>
              <w:rPr>
                <w:szCs w:val="28"/>
                <w:highlight w:val="none"/>
              </w:rPr>
              <w:t>Білірубін прямий, ммоль/л</w:t>
            </w:r>
          </w:p>
        </w:tc>
        <w:tc>
          <w:tcPr>
            <w:tcW w:w="2782" w:type="dxa"/>
            <w:vAlign w:val="center"/>
          </w:tcPr>
          <w:p w14:paraId="2C50BAE9">
            <w:pPr>
              <w:ind w:firstLine="0"/>
              <w:jc w:val="center"/>
              <w:rPr>
                <w:szCs w:val="28"/>
                <w:highlight w:val="none"/>
              </w:rPr>
            </w:pPr>
            <w:r>
              <w:rPr>
                <w:szCs w:val="28"/>
                <w:highlight w:val="none"/>
              </w:rPr>
              <w:t>3,44 [2,70; 5,00]</w:t>
            </w:r>
          </w:p>
        </w:tc>
        <w:tc>
          <w:tcPr>
            <w:tcW w:w="2783" w:type="dxa"/>
            <w:vAlign w:val="center"/>
          </w:tcPr>
          <w:p w14:paraId="22FA318D">
            <w:pPr>
              <w:ind w:firstLine="0"/>
              <w:jc w:val="center"/>
              <w:rPr>
                <w:szCs w:val="28"/>
                <w:highlight w:val="none"/>
              </w:rPr>
            </w:pPr>
            <w:r>
              <w:rPr>
                <w:szCs w:val="28"/>
                <w:highlight w:val="none"/>
              </w:rPr>
              <w:t>3,22 [2,45; 4,83]</w:t>
            </w:r>
          </w:p>
        </w:tc>
        <w:tc>
          <w:tcPr>
            <w:tcW w:w="1006" w:type="dxa"/>
            <w:vAlign w:val="center"/>
          </w:tcPr>
          <w:p w14:paraId="5774BA7E">
            <w:pPr>
              <w:ind w:firstLine="0"/>
              <w:jc w:val="center"/>
              <w:rPr>
                <w:szCs w:val="28"/>
                <w:highlight w:val="none"/>
              </w:rPr>
            </w:pPr>
            <w:r>
              <w:rPr>
                <w:szCs w:val="28"/>
                <w:highlight w:val="none"/>
              </w:rPr>
              <w:t>0,011</w:t>
            </w:r>
          </w:p>
        </w:tc>
      </w:tr>
      <w:tr w14:paraId="3C631E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7E1CC87A">
            <w:pPr>
              <w:ind w:firstLine="0"/>
              <w:jc w:val="left"/>
              <w:rPr>
                <w:szCs w:val="28"/>
                <w:highlight w:val="none"/>
              </w:rPr>
            </w:pPr>
            <w:r>
              <w:rPr>
                <w:szCs w:val="28"/>
                <w:highlight w:val="none"/>
              </w:rPr>
              <w:t>Білірубін непрямий, ммоль/л</w:t>
            </w:r>
          </w:p>
        </w:tc>
        <w:tc>
          <w:tcPr>
            <w:tcW w:w="2782" w:type="dxa"/>
            <w:vAlign w:val="center"/>
          </w:tcPr>
          <w:p w14:paraId="2E69D8D1">
            <w:pPr>
              <w:ind w:firstLine="0"/>
              <w:jc w:val="center"/>
              <w:rPr>
                <w:szCs w:val="28"/>
                <w:highlight w:val="none"/>
              </w:rPr>
            </w:pPr>
            <w:r>
              <w:rPr>
                <w:szCs w:val="28"/>
                <w:highlight w:val="none"/>
              </w:rPr>
              <w:t>8,00 [6,40; 12,0]</w:t>
            </w:r>
          </w:p>
        </w:tc>
        <w:tc>
          <w:tcPr>
            <w:tcW w:w="2783" w:type="dxa"/>
            <w:vAlign w:val="center"/>
          </w:tcPr>
          <w:p w14:paraId="1E2D7FC1">
            <w:pPr>
              <w:ind w:firstLine="0"/>
              <w:jc w:val="center"/>
              <w:rPr>
                <w:szCs w:val="28"/>
                <w:highlight w:val="none"/>
              </w:rPr>
            </w:pPr>
            <w:r>
              <w:rPr>
                <w:szCs w:val="28"/>
                <w:highlight w:val="none"/>
              </w:rPr>
              <w:t>7,01 [6,32; 10,69]</w:t>
            </w:r>
          </w:p>
        </w:tc>
        <w:tc>
          <w:tcPr>
            <w:tcW w:w="1006" w:type="dxa"/>
            <w:vAlign w:val="center"/>
          </w:tcPr>
          <w:p w14:paraId="004F517F">
            <w:pPr>
              <w:ind w:firstLine="0"/>
              <w:jc w:val="center"/>
              <w:rPr>
                <w:szCs w:val="28"/>
                <w:highlight w:val="none"/>
              </w:rPr>
            </w:pPr>
            <w:r>
              <w:rPr>
                <w:szCs w:val="28"/>
                <w:highlight w:val="none"/>
              </w:rPr>
              <w:t>0,797</w:t>
            </w:r>
          </w:p>
        </w:tc>
      </w:tr>
    </w:tbl>
    <w:p w14:paraId="3B32EA7E">
      <w:pPr>
        <w:rPr>
          <w:highlight w:val="none"/>
        </w:rPr>
      </w:pPr>
    </w:p>
    <w:p w14:paraId="11C57E15">
      <w:pPr>
        <w:jc w:val="right"/>
        <w:rPr>
          <w:i/>
          <w:iCs/>
          <w:szCs w:val="28"/>
          <w:highlight w:val="none"/>
        </w:rPr>
      </w:pPr>
      <w:r>
        <w:rPr>
          <w:i/>
          <w:iCs/>
          <w:szCs w:val="28"/>
          <w:highlight w:val="none"/>
        </w:rPr>
        <w:t>Продовження таблиці 4.10</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73"/>
        <w:gridCol w:w="2782"/>
        <w:gridCol w:w="2783"/>
        <w:gridCol w:w="1006"/>
      </w:tblGrid>
      <w:tr w14:paraId="759C7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5E39014E">
            <w:pPr>
              <w:ind w:firstLine="0"/>
              <w:jc w:val="left"/>
              <w:rPr>
                <w:b/>
                <w:bCs/>
                <w:szCs w:val="28"/>
                <w:highlight w:val="none"/>
              </w:rPr>
            </w:pPr>
            <w:r>
              <w:rPr>
                <w:b/>
                <w:bCs/>
                <w:szCs w:val="28"/>
                <w:highlight w:val="none"/>
              </w:rPr>
              <w:t>Показник</w:t>
            </w:r>
          </w:p>
        </w:tc>
        <w:tc>
          <w:tcPr>
            <w:tcW w:w="2782" w:type="dxa"/>
            <w:vAlign w:val="center"/>
          </w:tcPr>
          <w:p w14:paraId="72622B67">
            <w:pPr>
              <w:ind w:firstLine="0"/>
              <w:jc w:val="center"/>
              <w:rPr>
                <w:b/>
                <w:bCs/>
                <w:szCs w:val="28"/>
                <w:highlight w:val="none"/>
              </w:rPr>
            </w:pPr>
            <w:r>
              <w:rPr>
                <w:b/>
                <w:bCs/>
                <w:szCs w:val="28"/>
                <w:highlight w:val="none"/>
              </w:rPr>
              <w:t>До лікування</w:t>
            </w:r>
          </w:p>
        </w:tc>
        <w:tc>
          <w:tcPr>
            <w:tcW w:w="2783" w:type="dxa"/>
            <w:vAlign w:val="center"/>
          </w:tcPr>
          <w:p w14:paraId="2176EF92">
            <w:pPr>
              <w:ind w:firstLine="0"/>
              <w:jc w:val="center"/>
              <w:rPr>
                <w:b/>
                <w:bCs/>
                <w:szCs w:val="28"/>
                <w:highlight w:val="none"/>
              </w:rPr>
            </w:pPr>
            <w:r>
              <w:rPr>
                <w:b/>
                <w:bCs/>
                <w:szCs w:val="28"/>
                <w:highlight w:val="none"/>
              </w:rPr>
              <w:t>Після лікування</w:t>
            </w:r>
          </w:p>
        </w:tc>
        <w:tc>
          <w:tcPr>
            <w:tcW w:w="1006" w:type="dxa"/>
            <w:vAlign w:val="center"/>
          </w:tcPr>
          <w:p w14:paraId="1AD63B35">
            <w:pPr>
              <w:ind w:firstLine="0"/>
              <w:jc w:val="center"/>
              <w:rPr>
                <w:b/>
                <w:bCs/>
                <w:szCs w:val="28"/>
                <w:highlight w:val="none"/>
              </w:rPr>
            </w:pPr>
            <w:r>
              <w:rPr>
                <w:b/>
                <w:bCs/>
                <w:szCs w:val="28"/>
                <w:highlight w:val="none"/>
              </w:rPr>
              <w:t>p</w:t>
            </w:r>
          </w:p>
        </w:tc>
      </w:tr>
      <w:tr w14:paraId="1FFC3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6AA94BC7">
            <w:pPr>
              <w:ind w:firstLine="0"/>
              <w:jc w:val="left"/>
              <w:rPr>
                <w:szCs w:val="28"/>
                <w:highlight w:val="none"/>
              </w:rPr>
            </w:pPr>
            <w:r>
              <w:rPr>
                <w:szCs w:val="28"/>
                <w:highlight w:val="none"/>
              </w:rPr>
              <w:t>Тимолова проба, Од SH</w:t>
            </w:r>
          </w:p>
        </w:tc>
        <w:tc>
          <w:tcPr>
            <w:tcW w:w="2782" w:type="dxa"/>
            <w:vAlign w:val="center"/>
          </w:tcPr>
          <w:p w14:paraId="7A177303">
            <w:pPr>
              <w:ind w:firstLine="0"/>
              <w:jc w:val="center"/>
              <w:rPr>
                <w:szCs w:val="28"/>
                <w:highlight w:val="none"/>
              </w:rPr>
            </w:pPr>
            <w:r>
              <w:rPr>
                <w:szCs w:val="28"/>
                <w:highlight w:val="none"/>
              </w:rPr>
              <w:t>3,70 [2,60; 5,00]</w:t>
            </w:r>
          </w:p>
        </w:tc>
        <w:tc>
          <w:tcPr>
            <w:tcW w:w="2783" w:type="dxa"/>
            <w:vAlign w:val="center"/>
          </w:tcPr>
          <w:p w14:paraId="5CEC07C8">
            <w:pPr>
              <w:ind w:firstLine="0"/>
              <w:jc w:val="center"/>
              <w:rPr>
                <w:szCs w:val="28"/>
                <w:highlight w:val="none"/>
              </w:rPr>
            </w:pPr>
            <w:r>
              <w:rPr>
                <w:szCs w:val="28"/>
                <w:highlight w:val="none"/>
              </w:rPr>
              <w:t>1,55 [1,33; 1,80]</w:t>
            </w:r>
          </w:p>
        </w:tc>
        <w:tc>
          <w:tcPr>
            <w:tcW w:w="1006" w:type="dxa"/>
            <w:vAlign w:val="center"/>
          </w:tcPr>
          <w:p w14:paraId="3069A95A">
            <w:pPr>
              <w:ind w:firstLine="0"/>
              <w:jc w:val="center"/>
              <w:rPr>
                <w:szCs w:val="28"/>
                <w:highlight w:val="none"/>
              </w:rPr>
            </w:pPr>
            <w:r>
              <w:rPr>
                <w:szCs w:val="28"/>
                <w:highlight w:val="none"/>
              </w:rPr>
              <w:t>&lt;0,001</w:t>
            </w:r>
          </w:p>
        </w:tc>
      </w:tr>
      <w:tr w14:paraId="4EB2C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5217A782">
            <w:pPr>
              <w:ind w:firstLine="0"/>
              <w:jc w:val="left"/>
              <w:rPr>
                <w:szCs w:val="28"/>
                <w:highlight w:val="none"/>
              </w:rPr>
            </w:pPr>
            <w:r>
              <w:rPr>
                <w:szCs w:val="28"/>
                <w:highlight w:val="none"/>
              </w:rPr>
              <w:t>Альбумін, г/л</w:t>
            </w:r>
          </w:p>
        </w:tc>
        <w:tc>
          <w:tcPr>
            <w:tcW w:w="2782" w:type="dxa"/>
            <w:vAlign w:val="center"/>
          </w:tcPr>
          <w:p w14:paraId="1CE018CA">
            <w:pPr>
              <w:ind w:firstLine="0"/>
              <w:jc w:val="center"/>
              <w:rPr>
                <w:szCs w:val="28"/>
                <w:highlight w:val="none"/>
              </w:rPr>
            </w:pPr>
            <w:r>
              <w:rPr>
                <w:szCs w:val="28"/>
                <w:highlight w:val="none"/>
              </w:rPr>
              <w:t>73,8 [69,8; 77,1]</w:t>
            </w:r>
          </w:p>
        </w:tc>
        <w:tc>
          <w:tcPr>
            <w:tcW w:w="2783" w:type="dxa"/>
            <w:vAlign w:val="center"/>
          </w:tcPr>
          <w:p w14:paraId="228C2101">
            <w:pPr>
              <w:ind w:firstLine="0"/>
              <w:jc w:val="center"/>
              <w:rPr>
                <w:szCs w:val="28"/>
                <w:highlight w:val="none"/>
              </w:rPr>
            </w:pPr>
            <w:r>
              <w:rPr>
                <w:szCs w:val="28"/>
                <w:highlight w:val="none"/>
              </w:rPr>
              <w:t>71,4 [45,8; 78,3]</w:t>
            </w:r>
          </w:p>
        </w:tc>
        <w:tc>
          <w:tcPr>
            <w:tcW w:w="1006" w:type="dxa"/>
            <w:vAlign w:val="center"/>
          </w:tcPr>
          <w:p w14:paraId="0067829A">
            <w:pPr>
              <w:ind w:firstLine="0"/>
              <w:jc w:val="center"/>
              <w:rPr>
                <w:szCs w:val="28"/>
                <w:highlight w:val="none"/>
              </w:rPr>
            </w:pPr>
            <w:r>
              <w:rPr>
                <w:szCs w:val="28"/>
                <w:highlight w:val="none"/>
              </w:rPr>
              <w:t>0,003</w:t>
            </w:r>
          </w:p>
        </w:tc>
      </w:tr>
      <w:tr w14:paraId="36F638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1CC30079">
            <w:pPr>
              <w:ind w:firstLine="0"/>
              <w:jc w:val="left"/>
              <w:rPr>
                <w:szCs w:val="28"/>
                <w:highlight w:val="none"/>
              </w:rPr>
            </w:pPr>
            <w:r>
              <w:rPr>
                <w:szCs w:val="28"/>
                <w:highlight w:val="none"/>
              </w:rPr>
              <w:t>Білок загальний, г/л</w:t>
            </w:r>
          </w:p>
        </w:tc>
        <w:tc>
          <w:tcPr>
            <w:tcW w:w="2782" w:type="dxa"/>
            <w:vAlign w:val="center"/>
          </w:tcPr>
          <w:p w14:paraId="3CA63310">
            <w:pPr>
              <w:ind w:firstLine="0"/>
              <w:jc w:val="center"/>
              <w:rPr>
                <w:szCs w:val="28"/>
                <w:highlight w:val="none"/>
              </w:rPr>
            </w:pPr>
            <w:r>
              <w:rPr>
                <w:szCs w:val="28"/>
                <w:highlight w:val="none"/>
              </w:rPr>
              <w:t>46,1 [39,4; 62,7]</w:t>
            </w:r>
          </w:p>
        </w:tc>
        <w:tc>
          <w:tcPr>
            <w:tcW w:w="2783" w:type="dxa"/>
            <w:vAlign w:val="center"/>
          </w:tcPr>
          <w:p w14:paraId="0BA0ABCB">
            <w:pPr>
              <w:ind w:firstLine="0"/>
              <w:jc w:val="center"/>
              <w:rPr>
                <w:szCs w:val="28"/>
                <w:highlight w:val="none"/>
              </w:rPr>
            </w:pPr>
            <w:r>
              <w:rPr>
                <w:szCs w:val="28"/>
                <w:highlight w:val="none"/>
              </w:rPr>
              <w:t>51,6 [45,4; 72,8]</w:t>
            </w:r>
          </w:p>
        </w:tc>
        <w:tc>
          <w:tcPr>
            <w:tcW w:w="1006" w:type="dxa"/>
            <w:vAlign w:val="center"/>
          </w:tcPr>
          <w:p w14:paraId="2743C6EB">
            <w:pPr>
              <w:ind w:firstLine="0"/>
              <w:jc w:val="center"/>
              <w:rPr>
                <w:szCs w:val="28"/>
                <w:highlight w:val="none"/>
              </w:rPr>
            </w:pPr>
            <w:r>
              <w:rPr>
                <w:szCs w:val="28"/>
                <w:highlight w:val="none"/>
              </w:rPr>
              <w:t>0,001</w:t>
            </w:r>
          </w:p>
        </w:tc>
      </w:tr>
      <w:tr w14:paraId="1062D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325613C0">
            <w:pPr>
              <w:ind w:firstLine="0"/>
              <w:jc w:val="left"/>
              <w:rPr>
                <w:szCs w:val="28"/>
                <w:highlight w:val="none"/>
              </w:rPr>
            </w:pPr>
            <w:r>
              <w:rPr>
                <w:szCs w:val="28"/>
                <w:highlight w:val="none"/>
              </w:rPr>
              <w:t>ХС, ммоль/л</w:t>
            </w:r>
          </w:p>
        </w:tc>
        <w:tc>
          <w:tcPr>
            <w:tcW w:w="2782" w:type="dxa"/>
            <w:vAlign w:val="center"/>
          </w:tcPr>
          <w:p w14:paraId="6BED0A94">
            <w:pPr>
              <w:ind w:firstLine="0"/>
              <w:jc w:val="center"/>
              <w:rPr>
                <w:szCs w:val="28"/>
                <w:highlight w:val="none"/>
              </w:rPr>
            </w:pPr>
            <w:r>
              <w:rPr>
                <w:szCs w:val="28"/>
                <w:highlight w:val="none"/>
              </w:rPr>
              <w:t>4,43 [3,30; 5,12]</w:t>
            </w:r>
          </w:p>
        </w:tc>
        <w:tc>
          <w:tcPr>
            <w:tcW w:w="2783" w:type="dxa"/>
            <w:vAlign w:val="center"/>
          </w:tcPr>
          <w:p w14:paraId="0DC317FB">
            <w:pPr>
              <w:ind w:firstLine="0"/>
              <w:jc w:val="center"/>
              <w:rPr>
                <w:szCs w:val="28"/>
                <w:highlight w:val="none"/>
              </w:rPr>
            </w:pPr>
            <w:r>
              <w:rPr>
                <w:szCs w:val="28"/>
                <w:highlight w:val="none"/>
              </w:rPr>
              <w:t>4,57 [3,43; 5,62]</w:t>
            </w:r>
          </w:p>
        </w:tc>
        <w:tc>
          <w:tcPr>
            <w:tcW w:w="1006" w:type="dxa"/>
            <w:vAlign w:val="center"/>
          </w:tcPr>
          <w:p w14:paraId="08CAFF5C">
            <w:pPr>
              <w:ind w:firstLine="0"/>
              <w:jc w:val="center"/>
              <w:rPr>
                <w:szCs w:val="28"/>
                <w:highlight w:val="none"/>
              </w:rPr>
            </w:pPr>
            <w:r>
              <w:rPr>
                <w:szCs w:val="28"/>
                <w:highlight w:val="none"/>
              </w:rPr>
              <w:t>0,496</w:t>
            </w:r>
          </w:p>
        </w:tc>
      </w:tr>
      <w:tr w14:paraId="1F211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268D2B70">
            <w:pPr>
              <w:ind w:firstLine="0"/>
              <w:jc w:val="left"/>
              <w:rPr>
                <w:szCs w:val="28"/>
                <w:highlight w:val="none"/>
              </w:rPr>
            </w:pPr>
            <w:r>
              <w:rPr>
                <w:szCs w:val="28"/>
                <w:highlight w:val="none"/>
              </w:rPr>
              <w:t>ЛПВЩ, ммоль/л</w:t>
            </w:r>
          </w:p>
        </w:tc>
        <w:tc>
          <w:tcPr>
            <w:tcW w:w="2782" w:type="dxa"/>
            <w:vAlign w:val="center"/>
          </w:tcPr>
          <w:p w14:paraId="3A89C65F">
            <w:pPr>
              <w:ind w:firstLine="0"/>
              <w:jc w:val="center"/>
              <w:rPr>
                <w:szCs w:val="28"/>
                <w:highlight w:val="none"/>
              </w:rPr>
            </w:pPr>
            <w:r>
              <w:rPr>
                <w:szCs w:val="28"/>
                <w:highlight w:val="none"/>
              </w:rPr>
              <w:t>1,46 [1,15; 1,64]</w:t>
            </w:r>
          </w:p>
        </w:tc>
        <w:tc>
          <w:tcPr>
            <w:tcW w:w="2783" w:type="dxa"/>
            <w:vAlign w:val="center"/>
          </w:tcPr>
          <w:p w14:paraId="35A88D7E">
            <w:pPr>
              <w:ind w:firstLine="0"/>
              <w:jc w:val="center"/>
              <w:rPr>
                <w:szCs w:val="28"/>
                <w:highlight w:val="none"/>
              </w:rPr>
            </w:pPr>
            <w:r>
              <w:rPr>
                <w:szCs w:val="28"/>
                <w:highlight w:val="none"/>
              </w:rPr>
              <w:t>1,50 [1,19; 1,84]</w:t>
            </w:r>
          </w:p>
        </w:tc>
        <w:tc>
          <w:tcPr>
            <w:tcW w:w="1006" w:type="dxa"/>
            <w:vAlign w:val="center"/>
          </w:tcPr>
          <w:p w14:paraId="49C67ADD">
            <w:pPr>
              <w:ind w:firstLine="0"/>
              <w:jc w:val="center"/>
              <w:rPr>
                <w:szCs w:val="28"/>
                <w:highlight w:val="none"/>
              </w:rPr>
            </w:pPr>
            <w:r>
              <w:rPr>
                <w:szCs w:val="28"/>
                <w:highlight w:val="none"/>
              </w:rPr>
              <w:t>0,691</w:t>
            </w:r>
          </w:p>
        </w:tc>
      </w:tr>
      <w:tr w14:paraId="2A2A1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71DB1598">
            <w:pPr>
              <w:ind w:firstLine="0"/>
              <w:jc w:val="left"/>
              <w:rPr>
                <w:szCs w:val="28"/>
                <w:highlight w:val="none"/>
              </w:rPr>
            </w:pPr>
            <w:r>
              <w:rPr>
                <w:szCs w:val="28"/>
                <w:highlight w:val="none"/>
              </w:rPr>
              <w:t>ТГ, ммоль/л</w:t>
            </w:r>
          </w:p>
        </w:tc>
        <w:tc>
          <w:tcPr>
            <w:tcW w:w="2782" w:type="dxa"/>
            <w:vAlign w:val="center"/>
          </w:tcPr>
          <w:p w14:paraId="2A90D171">
            <w:pPr>
              <w:ind w:firstLine="0"/>
              <w:jc w:val="center"/>
              <w:rPr>
                <w:szCs w:val="28"/>
                <w:highlight w:val="none"/>
              </w:rPr>
            </w:pPr>
            <w:r>
              <w:rPr>
                <w:szCs w:val="28"/>
                <w:highlight w:val="none"/>
              </w:rPr>
              <w:t>0,94 [0,63; 1,37]</w:t>
            </w:r>
          </w:p>
        </w:tc>
        <w:tc>
          <w:tcPr>
            <w:tcW w:w="2783" w:type="dxa"/>
            <w:vAlign w:val="center"/>
          </w:tcPr>
          <w:p w14:paraId="2B834684">
            <w:pPr>
              <w:ind w:firstLine="0"/>
              <w:jc w:val="center"/>
              <w:rPr>
                <w:szCs w:val="28"/>
                <w:highlight w:val="none"/>
              </w:rPr>
            </w:pPr>
            <w:r>
              <w:rPr>
                <w:szCs w:val="28"/>
                <w:highlight w:val="none"/>
              </w:rPr>
              <w:t>1,22 [0,94; 1,48]</w:t>
            </w:r>
          </w:p>
        </w:tc>
        <w:tc>
          <w:tcPr>
            <w:tcW w:w="1006" w:type="dxa"/>
            <w:vAlign w:val="center"/>
          </w:tcPr>
          <w:p w14:paraId="06AD69A0">
            <w:pPr>
              <w:ind w:firstLine="0"/>
              <w:jc w:val="center"/>
              <w:rPr>
                <w:szCs w:val="28"/>
                <w:highlight w:val="none"/>
              </w:rPr>
            </w:pPr>
            <w:r>
              <w:rPr>
                <w:szCs w:val="28"/>
                <w:highlight w:val="none"/>
              </w:rPr>
              <w:t>0,079</w:t>
            </w:r>
          </w:p>
        </w:tc>
      </w:tr>
      <w:tr w14:paraId="22758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357663D3">
            <w:pPr>
              <w:ind w:firstLine="0"/>
              <w:jc w:val="left"/>
              <w:rPr>
                <w:szCs w:val="28"/>
                <w:highlight w:val="none"/>
              </w:rPr>
            </w:pPr>
            <w:r>
              <w:rPr>
                <w:szCs w:val="28"/>
                <w:highlight w:val="none"/>
              </w:rPr>
              <w:t>ЛПНЩ, ммоль/л</w:t>
            </w:r>
          </w:p>
        </w:tc>
        <w:tc>
          <w:tcPr>
            <w:tcW w:w="2782" w:type="dxa"/>
            <w:vAlign w:val="center"/>
          </w:tcPr>
          <w:p w14:paraId="1FFE808C">
            <w:pPr>
              <w:ind w:firstLine="0"/>
              <w:jc w:val="center"/>
              <w:rPr>
                <w:szCs w:val="28"/>
                <w:highlight w:val="none"/>
              </w:rPr>
            </w:pPr>
            <w:r>
              <w:rPr>
                <w:szCs w:val="28"/>
                <w:highlight w:val="none"/>
              </w:rPr>
              <w:t>2,46 [2,02; 3,07]</w:t>
            </w:r>
          </w:p>
        </w:tc>
        <w:tc>
          <w:tcPr>
            <w:tcW w:w="2783" w:type="dxa"/>
            <w:vAlign w:val="center"/>
          </w:tcPr>
          <w:p w14:paraId="0B52AEDF">
            <w:pPr>
              <w:ind w:firstLine="0"/>
              <w:jc w:val="center"/>
              <w:rPr>
                <w:szCs w:val="28"/>
                <w:highlight w:val="none"/>
              </w:rPr>
            </w:pPr>
            <w:r>
              <w:rPr>
                <w:szCs w:val="28"/>
                <w:highlight w:val="none"/>
              </w:rPr>
              <w:t>2,62 [1,53; 3,29]</w:t>
            </w:r>
          </w:p>
        </w:tc>
        <w:tc>
          <w:tcPr>
            <w:tcW w:w="1006" w:type="dxa"/>
            <w:vAlign w:val="center"/>
          </w:tcPr>
          <w:p w14:paraId="73DB2017">
            <w:pPr>
              <w:ind w:firstLine="0"/>
              <w:jc w:val="center"/>
              <w:rPr>
                <w:szCs w:val="28"/>
                <w:highlight w:val="none"/>
              </w:rPr>
            </w:pPr>
            <w:r>
              <w:rPr>
                <w:szCs w:val="28"/>
                <w:highlight w:val="none"/>
              </w:rPr>
              <w:t>0,955</w:t>
            </w:r>
          </w:p>
        </w:tc>
      </w:tr>
      <w:tr w14:paraId="22D9B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66F1CE52">
            <w:pPr>
              <w:ind w:firstLine="0"/>
              <w:jc w:val="left"/>
              <w:rPr>
                <w:szCs w:val="28"/>
                <w:highlight w:val="none"/>
              </w:rPr>
            </w:pPr>
            <w:r>
              <w:rPr>
                <w:szCs w:val="28"/>
                <w:highlight w:val="none"/>
              </w:rPr>
              <w:t>ЛПДНЩ, ммоль/л</w:t>
            </w:r>
          </w:p>
        </w:tc>
        <w:tc>
          <w:tcPr>
            <w:tcW w:w="2782" w:type="dxa"/>
            <w:vAlign w:val="center"/>
          </w:tcPr>
          <w:p w14:paraId="7D815724">
            <w:pPr>
              <w:ind w:firstLine="0"/>
              <w:jc w:val="center"/>
              <w:rPr>
                <w:szCs w:val="28"/>
                <w:highlight w:val="none"/>
              </w:rPr>
            </w:pPr>
            <w:r>
              <w:rPr>
                <w:szCs w:val="28"/>
                <w:highlight w:val="none"/>
              </w:rPr>
              <w:t>0,43 [0,27; 0,59]</w:t>
            </w:r>
          </w:p>
        </w:tc>
        <w:tc>
          <w:tcPr>
            <w:tcW w:w="2783" w:type="dxa"/>
            <w:vAlign w:val="center"/>
          </w:tcPr>
          <w:p w14:paraId="17E6784E">
            <w:pPr>
              <w:ind w:firstLine="0"/>
              <w:jc w:val="center"/>
              <w:rPr>
                <w:szCs w:val="28"/>
                <w:highlight w:val="none"/>
              </w:rPr>
            </w:pPr>
            <w:r>
              <w:rPr>
                <w:szCs w:val="28"/>
                <w:highlight w:val="none"/>
              </w:rPr>
              <w:t>0,55 [0,43; 0,79]</w:t>
            </w:r>
          </w:p>
        </w:tc>
        <w:tc>
          <w:tcPr>
            <w:tcW w:w="1006" w:type="dxa"/>
            <w:vAlign w:val="center"/>
          </w:tcPr>
          <w:p w14:paraId="1F181BFD">
            <w:pPr>
              <w:ind w:firstLine="0"/>
              <w:jc w:val="center"/>
              <w:rPr>
                <w:szCs w:val="28"/>
                <w:highlight w:val="none"/>
              </w:rPr>
            </w:pPr>
            <w:r>
              <w:rPr>
                <w:szCs w:val="28"/>
                <w:highlight w:val="none"/>
              </w:rPr>
              <w:t>0,125</w:t>
            </w:r>
          </w:p>
        </w:tc>
      </w:tr>
      <w:tr w14:paraId="2A913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3DA76ED2">
            <w:pPr>
              <w:ind w:firstLine="0"/>
              <w:jc w:val="left"/>
              <w:rPr>
                <w:szCs w:val="28"/>
                <w:highlight w:val="none"/>
              </w:rPr>
            </w:pPr>
            <w:r>
              <w:rPr>
                <w:szCs w:val="28"/>
                <w:highlight w:val="none"/>
              </w:rPr>
              <w:t>КА</w:t>
            </w:r>
          </w:p>
        </w:tc>
        <w:tc>
          <w:tcPr>
            <w:tcW w:w="2782" w:type="dxa"/>
            <w:vAlign w:val="center"/>
          </w:tcPr>
          <w:p w14:paraId="715949CA">
            <w:pPr>
              <w:ind w:firstLine="0"/>
              <w:jc w:val="center"/>
              <w:rPr>
                <w:szCs w:val="28"/>
                <w:highlight w:val="none"/>
              </w:rPr>
            </w:pPr>
            <w:r>
              <w:rPr>
                <w:szCs w:val="28"/>
                <w:highlight w:val="none"/>
              </w:rPr>
              <w:t>2,02 [1,57; 2,86]</w:t>
            </w:r>
          </w:p>
        </w:tc>
        <w:tc>
          <w:tcPr>
            <w:tcW w:w="2783" w:type="dxa"/>
            <w:vAlign w:val="center"/>
          </w:tcPr>
          <w:p w14:paraId="29143E7A">
            <w:pPr>
              <w:ind w:firstLine="0"/>
              <w:jc w:val="center"/>
              <w:rPr>
                <w:szCs w:val="28"/>
                <w:highlight w:val="none"/>
              </w:rPr>
            </w:pPr>
            <w:r>
              <w:rPr>
                <w:szCs w:val="28"/>
                <w:highlight w:val="none"/>
              </w:rPr>
              <w:t>2,08 [1,71; 2,24]</w:t>
            </w:r>
          </w:p>
        </w:tc>
        <w:tc>
          <w:tcPr>
            <w:tcW w:w="1006" w:type="dxa"/>
            <w:vAlign w:val="center"/>
          </w:tcPr>
          <w:p w14:paraId="25F277E0">
            <w:pPr>
              <w:ind w:firstLine="0"/>
              <w:jc w:val="center"/>
              <w:rPr>
                <w:szCs w:val="28"/>
                <w:highlight w:val="none"/>
              </w:rPr>
            </w:pPr>
            <w:r>
              <w:rPr>
                <w:szCs w:val="28"/>
                <w:highlight w:val="none"/>
              </w:rPr>
              <w:t>0,910</w:t>
            </w:r>
          </w:p>
        </w:tc>
      </w:tr>
      <w:tr w14:paraId="52666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2CEDBFDC">
            <w:pPr>
              <w:ind w:firstLine="0"/>
              <w:jc w:val="left"/>
              <w:rPr>
                <w:szCs w:val="28"/>
                <w:highlight w:val="none"/>
              </w:rPr>
            </w:pPr>
            <w:r>
              <w:rPr>
                <w:szCs w:val="28"/>
                <w:highlight w:val="none"/>
              </w:rPr>
              <w:t>Креатинін, мкмоль/л</w:t>
            </w:r>
          </w:p>
        </w:tc>
        <w:tc>
          <w:tcPr>
            <w:tcW w:w="2782" w:type="dxa"/>
            <w:vAlign w:val="center"/>
          </w:tcPr>
          <w:p w14:paraId="04EFF1C1">
            <w:pPr>
              <w:ind w:firstLine="0"/>
              <w:jc w:val="center"/>
              <w:rPr>
                <w:szCs w:val="28"/>
                <w:highlight w:val="none"/>
              </w:rPr>
            </w:pPr>
            <w:r>
              <w:rPr>
                <w:szCs w:val="28"/>
                <w:highlight w:val="none"/>
              </w:rPr>
              <w:t>75,5 [68,8; 82,5]</w:t>
            </w:r>
          </w:p>
        </w:tc>
        <w:tc>
          <w:tcPr>
            <w:tcW w:w="2783" w:type="dxa"/>
            <w:vAlign w:val="center"/>
          </w:tcPr>
          <w:p w14:paraId="4B399AE3">
            <w:pPr>
              <w:ind w:firstLine="0"/>
              <w:jc w:val="center"/>
              <w:rPr>
                <w:szCs w:val="28"/>
                <w:highlight w:val="none"/>
              </w:rPr>
            </w:pPr>
            <w:r>
              <w:rPr>
                <w:szCs w:val="28"/>
                <w:highlight w:val="none"/>
              </w:rPr>
              <w:t>81,4 [71,3; 91,8]</w:t>
            </w:r>
          </w:p>
        </w:tc>
        <w:tc>
          <w:tcPr>
            <w:tcW w:w="1006" w:type="dxa"/>
            <w:vAlign w:val="center"/>
          </w:tcPr>
          <w:p w14:paraId="71849755">
            <w:pPr>
              <w:ind w:firstLine="0"/>
              <w:jc w:val="center"/>
              <w:rPr>
                <w:szCs w:val="28"/>
                <w:highlight w:val="none"/>
              </w:rPr>
            </w:pPr>
            <w:r>
              <w:rPr>
                <w:szCs w:val="28"/>
                <w:highlight w:val="none"/>
              </w:rPr>
              <w:t>0,244</w:t>
            </w:r>
          </w:p>
        </w:tc>
      </w:tr>
      <w:tr w14:paraId="113F3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73" w:type="dxa"/>
            <w:vAlign w:val="center"/>
          </w:tcPr>
          <w:p w14:paraId="44470EC3">
            <w:pPr>
              <w:ind w:firstLine="0"/>
              <w:jc w:val="left"/>
              <w:rPr>
                <w:szCs w:val="28"/>
                <w:highlight w:val="none"/>
              </w:rPr>
            </w:pPr>
            <w:r>
              <w:rPr>
                <w:szCs w:val="28"/>
                <w:highlight w:val="none"/>
              </w:rPr>
              <w:t>Глюкоза, ммоль/л</w:t>
            </w:r>
          </w:p>
        </w:tc>
        <w:tc>
          <w:tcPr>
            <w:tcW w:w="2782" w:type="dxa"/>
            <w:vAlign w:val="center"/>
          </w:tcPr>
          <w:p w14:paraId="48BCC04D">
            <w:pPr>
              <w:ind w:firstLine="0"/>
              <w:jc w:val="center"/>
              <w:rPr>
                <w:szCs w:val="28"/>
                <w:highlight w:val="none"/>
              </w:rPr>
            </w:pPr>
            <w:r>
              <w:rPr>
                <w:szCs w:val="28"/>
                <w:highlight w:val="none"/>
              </w:rPr>
              <w:t>5,03 [4,71; 5,58]</w:t>
            </w:r>
          </w:p>
        </w:tc>
        <w:tc>
          <w:tcPr>
            <w:tcW w:w="2783" w:type="dxa"/>
            <w:vAlign w:val="center"/>
          </w:tcPr>
          <w:p w14:paraId="4485EB1B">
            <w:pPr>
              <w:ind w:firstLine="0"/>
              <w:jc w:val="center"/>
              <w:rPr>
                <w:szCs w:val="28"/>
                <w:highlight w:val="none"/>
              </w:rPr>
            </w:pPr>
            <w:r>
              <w:rPr>
                <w:szCs w:val="28"/>
                <w:highlight w:val="none"/>
              </w:rPr>
              <w:t>5,1 [4,8; 5,5]</w:t>
            </w:r>
          </w:p>
        </w:tc>
        <w:tc>
          <w:tcPr>
            <w:tcW w:w="1006" w:type="dxa"/>
            <w:vAlign w:val="center"/>
          </w:tcPr>
          <w:p w14:paraId="7D489404">
            <w:pPr>
              <w:ind w:firstLine="0"/>
              <w:jc w:val="center"/>
              <w:rPr>
                <w:szCs w:val="28"/>
                <w:highlight w:val="none"/>
              </w:rPr>
            </w:pPr>
            <w:r>
              <w:rPr>
                <w:szCs w:val="28"/>
                <w:highlight w:val="none"/>
              </w:rPr>
              <w:t>0,877</w:t>
            </w:r>
          </w:p>
        </w:tc>
      </w:tr>
    </w:tbl>
    <w:p w14:paraId="60C6511B">
      <w:pPr>
        <w:rPr>
          <w:highlight w:val="none"/>
        </w:rPr>
      </w:pPr>
    </w:p>
    <w:p w14:paraId="043C16FD">
      <w:pPr>
        <w:rPr>
          <w:highlight w:val="none"/>
        </w:rPr>
      </w:pPr>
      <w:r>
        <w:rPr>
          <w:highlight w:val="none"/>
        </w:rPr>
        <w:t>Визначено, що рівні АЛТ, АСТ та ГГТ після проведеного лікування знизилися майже в 1,5–2,0 рази. Медіана рівнів ЛФ незначно підвищилася, проте недостовірно. Відносно загального білірубіну та його фракцій: достовірне зниження визначено відносно рівнів непрямого білірубіну (р=0,011). В два рази достовірно (р&lt;0,001) знизилися рівні тимолової проби. Незначне, проте достовірне зниження рівнів альбуміну у даної групи пацієнтів було зареєстровано після лікування (р=0,003). При цьому, рівні загального білку достовірно підвищилися майже на 10 % (р=0,001). Достовірних відмінностей в рівнях ліпідного спектру, креатиніну та глюкози визначено не було, показники суттєво не відрізнялися від відповідних до лікування (табл. 4.10).</w:t>
      </w:r>
    </w:p>
    <w:p w14:paraId="6B5BB7AE">
      <w:pPr>
        <w:rPr>
          <w:highlight w:val="none"/>
        </w:rPr>
      </w:pPr>
    </w:p>
    <w:p w14:paraId="69D98809">
      <w:pPr>
        <w:pStyle w:val="3"/>
        <w:rPr>
          <w:rFonts w:cs="Times New Roman"/>
          <w:szCs w:val="28"/>
          <w:highlight w:val="none"/>
        </w:rPr>
      </w:pPr>
      <w:bookmarkStart w:id="61" w:name="_Toc153923965"/>
    </w:p>
    <w:p w14:paraId="7F871034">
      <w:pPr>
        <w:pStyle w:val="3"/>
        <w:rPr>
          <w:rFonts w:cs="Times New Roman"/>
          <w:szCs w:val="28"/>
          <w:highlight w:val="none"/>
        </w:rPr>
      </w:pPr>
    </w:p>
    <w:p w14:paraId="047047A6">
      <w:pPr>
        <w:pStyle w:val="3"/>
        <w:rPr>
          <w:rFonts w:cs="Times New Roman"/>
          <w:szCs w:val="28"/>
          <w:highlight w:val="none"/>
        </w:rPr>
      </w:pPr>
      <w:r>
        <w:rPr>
          <w:rFonts w:cs="Times New Roman"/>
          <w:szCs w:val="28"/>
          <w:highlight w:val="none"/>
        </w:rPr>
        <w:t>Висновки за розділом 4</w:t>
      </w:r>
      <w:bookmarkEnd w:id="61"/>
    </w:p>
    <w:p w14:paraId="7A15BCB9">
      <w:pPr>
        <w:rPr>
          <w:rFonts w:cs="Times New Roman"/>
          <w:szCs w:val="28"/>
          <w:highlight w:val="none"/>
          <w:lang w:eastAsia="ru-RU"/>
        </w:rPr>
      </w:pPr>
    </w:p>
    <w:p w14:paraId="4E1B15A1">
      <w:pPr>
        <w:rPr>
          <w:rFonts w:cs="Times New Roman"/>
          <w:szCs w:val="28"/>
          <w:highlight w:val="none"/>
          <w:lang w:eastAsia="ru-RU"/>
        </w:rPr>
      </w:pPr>
      <w:r>
        <w:rPr>
          <w:rFonts w:cs="Times New Roman"/>
          <w:szCs w:val="28"/>
          <w:highlight w:val="none"/>
          <w:lang w:eastAsia="ru-RU"/>
        </w:rPr>
        <w:t>Таким чином, за визначенням динаміки лабораторних характеристик хворих із ХГС на фоні проведеного лікування було:</w:t>
      </w:r>
    </w:p>
    <w:p w14:paraId="10DDECEA">
      <w:pPr>
        <w:widowControl w:val="0"/>
        <w:rPr>
          <w:spacing w:val="-4"/>
          <w:highlight w:val="none"/>
        </w:rPr>
      </w:pPr>
      <w:r>
        <w:rPr>
          <w:spacing w:val="-4"/>
          <w:highlight w:val="none"/>
        </w:rPr>
        <w:t>1. Встановлено суттєву нормалізацію показників клінічного аналізу крові. Медіана тромбоцитів майже на 10 % була нижчою, ніж в групі контролю (р=0,004), вдвічі переважала відносна кількість п/я нейтрофілів в контролі (р=0,001) та вищою була медіана відносної кількості с/я нейтрофілів (р=0,001). Відносна кількість лімфоцитів знизилася після лікування у пацієнтів з ХГС, проте все ж в три рази була вищою за контроль (р=0,001).</w:t>
      </w:r>
    </w:p>
    <w:p w14:paraId="2443D30B">
      <w:pPr>
        <w:widowControl w:val="0"/>
        <w:rPr>
          <w:spacing w:val="-4"/>
          <w:highlight w:val="none"/>
        </w:rPr>
      </w:pPr>
      <w:r>
        <w:rPr>
          <w:spacing w:val="-4"/>
          <w:highlight w:val="none"/>
        </w:rPr>
        <w:t>2. Визначено нормалізацію параметрів активності печінки та інших показників біохімічного аналізу крові у пацієнтів з ХГС після лікування. Зокрема, рівні АЛТ, АСТ прийшли до нормальних значень, проте були достовірно (відповідно р=0,025, р=0,003) нижчі за групу контроля. Констатовано зниження в 3 рази показника тимолової проби, достовірне (р&lt;0,001) підвищення альбуміну та зниження концентрації загального білку. Порівняно з першим візитом достовірно (р=0,008) підвищилася кількість тромбоцитів до 244</w:t>
      </w:r>
      <w:r>
        <w:rPr>
          <w:rFonts w:cs="Times New Roman"/>
          <w:spacing w:val="-4"/>
          <w:highlight w:val="none"/>
        </w:rPr>
        <w:t>×</w:t>
      </w:r>
      <w:r>
        <w:rPr>
          <w:spacing w:val="-4"/>
          <w:highlight w:val="none"/>
        </w:rPr>
        <w:t>10</w:t>
      </w:r>
      <w:r>
        <w:rPr>
          <w:spacing w:val="-4"/>
          <w:highlight w:val="none"/>
          <w:vertAlign w:val="superscript"/>
        </w:rPr>
        <w:t>9</w:t>
      </w:r>
      <w:r>
        <w:rPr>
          <w:spacing w:val="-4"/>
          <w:highlight w:val="none"/>
        </w:rPr>
        <w:t xml:space="preserve">/л; достовірно вдвічі знизилася ШОЕ (р=0,005), кількість лімфоцитів стала нижчою після проведеного лікування, а рівні п/я та с/я нейтрофілів вищими (відповідно, р=0,008, р=0,021 та р=0,011). </w:t>
      </w:r>
    </w:p>
    <w:p w14:paraId="16077047">
      <w:pPr>
        <w:widowControl w:val="0"/>
        <w:rPr>
          <w:spacing w:val="-4"/>
          <w:highlight w:val="none"/>
        </w:rPr>
      </w:pPr>
      <w:r>
        <w:rPr>
          <w:spacing w:val="-4"/>
          <w:highlight w:val="none"/>
        </w:rPr>
        <w:t>3. Отримано дані, що медіана тромбоцитів та тромбокриту достовірно (відповідно р=0,005 та р=0,017) переважала у пацієнтів з важким фіброзом, при цьому, рівень ШОЕ та лейкоцитів був достовірно нижчим. Вдвічі була вищою медіана п/я нейтрофілів, ніж у пацієнтів 1 підгрупи (0–2 стадія ФП): відповідно 5,0 % та 2,0 % (р=0,004), в той час як кількість с/я нейтрофілів переважала з більш важким фіброзом (р=0,002). Відносна кількість лімфоцитів у пацієнтів з важким фіброзом була в 4 рази достовірно (р=0,001) нижчою, ніж з легким. Після проведеного лікування показники біохімічного аналізу крові в обох підгрупах нормалізувалися та незначно кількісно різнилися між собою.</w:t>
      </w:r>
    </w:p>
    <w:p w14:paraId="003F82BC">
      <w:pPr>
        <w:rPr>
          <w:rFonts w:cs="Times New Roman"/>
          <w:i/>
          <w:szCs w:val="28"/>
          <w:highlight w:val="none"/>
          <w:lang w:eastAsia="ru-RU"/>
        </w:rPr>
      </w:pPr>
    </w:p>
    <w:p w14:paraId="6566EBD7">
      <w:pPr>
        <w:rPr>
          <w:rFonts w:cs="Times New Roman"/>
          <w:i/>
          <w:szCs w:val="28"/>
          <w:highlight w:val="none"/>
          <w:lang w:eastAsia="ru-RU"/>
        </w:rPr>
      </w:pPr>
      <w:r>
        <w:rPr>
          <w:rFonts w:cs="Times New Roman"/>
          <w:i/>
          <w:szCs w:val="28"/>
          <w:highlight w:val="none"/>
          <w:lang w:eastAsia="ru-RU"/>
        </w:rPr>
        <w:t>Перелік публікацій за даними розділу:</w:t>
      </w:r>
    </w:p>
    <w:p w14:paraId="3450D801">
      <w:pPr>
        <w:pStyle w:val="23"/>
        <w:numPr>
          <w:ilvl w:val="0"/>
          <w:numId w:val="4"/>
        </w:numPr>
        <w:tabs>
          <w:tab w:val="left" w:pos="1134"/>
        </w:tabs>
        <w:spacing w:before="0" w:beforeAutospacing="0" w:after="0" w:afterAutospacing="0" w:line="360" w:lineRule="auto"/>
        <w:ind w:left="0" w:firstLine="709"/>
        <w:jc w:val="both"/>
        <w:rPr>
          <w:sz w:val="28"/>
          <w:szCs w:val="28"/>
          <w:highlight w:val="none"/>
        </w:rPr>
      </w:pPr>
      <w:r>
        <w:rPr>
          <w:b/>
          <w:bCs/>
          <w:sz w:val="28"/>
          <w:szCs w:val="28"/>
          <w:highlight w:val="none"/>
        </w:rPr>
        <w:t>Sheiko, A. G.,</w:t>
      </w:r>
      <w:r>
        <w:rPr>
          <w:sz w:val="28"/>
          <w:szCs w:val="28"/>
          <w:highlight w:val="none"/>
        </w:rPr>
        <w:t xml:space="preserve"> &amp; Yurko, K. V. (2023). The value of osteopontin in predicting fibrosis in patients with chronic viral hepatitis C. </w:t>
      </w:r>
      <w:r>
        <w:rPr>
          <w:i/>
          <w:iCs/>
          <w:sz w:val="28"/>
          <w:szCs w:val="28"/>
          <w:highlight w:val="none"/>
        </w:rPr>
        <w:t>Gastroenterology (Ukraine)</w:t>
      </w:r>
      <w:r>
        <w:rPr>
          <w:sz w:val="28"/>
          <w:szCs w:val="28"/>
          <w:highlight w:val="none"/>
        </w:rPr>
        <w:t xml:space="preserve">, </w:t>
      </w:r>
      <w:r>
        <w:rPr>
          <w:i/>
          <w:iCs/>
          <w:sz w:val="28"/>
          <w:szCs w:val="28"/>
          <w:highlight w:val="none"/>
        </w:rPr>
        <w:t>57</w:t>
      </w:r>
      <w:r>
        <w:rPr>
          <w:sz w:val="28"/>
          <w:szCs w:val="28"/>
          <w:highlight w:val="none"/>
        </w:rPr>
        <w:t>(3), 166–171. https://doi.org/10.22141/2308-2097.57.3.2023.556</w:t>
      </w:r>
    </w:p>
    <w:p w14:paraId="4CB4D49E">
      <w:pPr>
        <w:pStyle w:val="23"/>
        <w:numPr>
          <w:ilvl w:val="0"/>
          <w:numId w:val="4"/>
        </w:numPr>
        <w:tabs>
          <w:tab w:val="left" w:pos="1134"/>
        </w:tabs>
        <w:spacing w:before="0" w:beforeAutospacing="0" w:after="0" w:afterAutospacing="0" w:line="360" w:lineRule="auto"/>
        <w:ind w:left="0" w:firstLine="709"/>
        <w:jc w:val="both"/>
        <w:rPr>
          <w:sz w:val="28"/>
          <w:szCs w:val="28"/>
          <w:highlight w:val="none"/>
        </w:rPr>
      </w:pPr>
      <w:r>
        <w:rPr>
          <w:b/>
          <w:bCs/>
          <w:sz w:val="28"/>
          <w:szCs w:val="28"/>
          <w:highlight w:val="none"/>
        </w:rPr>
        <w:t>Шейко, А.</w:t>
      </w:r>
      <w:r>
        <w:rPr>
          <w:sz w:val="28"/>
          <w:szCs w:val="28"/>
          <w:highlight w:val="none"/>
        </w:rPr>
        <w:t xml:space="preserve"> (2023). Значення показників клінічного аналізу крові для визначення ступеня фіброзного процесу у хворих на хронічний гепатит С. </w:t>
      </w:r>
      <w:r>
        <w:rPr>
          <w:i/>
          <w:iCs/>
          <w:sz w:val="28"/>
          <w:szCs w:val="28"/>
          <w:highlight w:val="none"/>
        </w:rPr>
        <w:t>Інфекційні Хвороби</w:t>
      </w:r>
      <w:r>
        <w:rPr>
          <w:sz w:val="28"/>
          <w:szCs w:val="28"/>
          <w:highlight w:val="none"/>
        </w:rPr>
        <w:t xml:space="preserve">, </w:t>
      </w:r>
      <w:r>
        <w:rPr>
          <w:i/>
          <w:iCs/>
          <w:sz w:val="28"/>
          <w:szCs w:val="28"/>
          <w:highlight w:val="none"/>
        </w:rPr>
        <w:t>4</w:t>
      </w:r>
      <w:r>
        <w:rPr>
          <w:sz w:val="28"/>
          <w:szCs w:val="28"/>
          <w:highlight w:val="none"/>
        </w:rPr>
        <w:t>(114), 29–33. https://doi.org/DOI 10.11603/1681-2727.2023.4.14244</w:t>
      </w:r>
    </w:p>
    <w:p w14:paraId="083634FF">
      <w:pPr>
        <w:pStyle w:val="23"/>
        <w:numPr>
          <w:ilvl w:val="0"/>
          <w:numId w:val="4"/>
        </w:numPr>
        <w:tabs>
          <w:tab w:val="left" w:pos="1134"/>
        </w:tabs>
        <w:spacing w:before="0" w:beforeAutospacing="0" w:after="0" w:afterAutospacing="0" w:line="360" w:lineRule="auto"/>
        <w:ind w:left="0" w:firstLine="709"/>
        <w:jc w:val="both"/>
        <w:rPr>
          <w:sz w:val="28"/>
          <w:szCs w:val="28"/>
          <w:highlight w:val="none"/>
        </w:rPr>
      </w:pPr>
      <w:r>
        <w:rPr>
          <w:sz w:val="28"/>
          <w:szCs w:val="28"/>
          <w:highlight w:val="none"/>
        </w:rPr>
        <w:t xml:space="preserve">Юрко, К. В., &amp; </w:t>
      </w:r>
      <w:r>
        <w:rPr>
          <w:b/>
          <w:bCs/>
          <w:sz w:val="28"/>
          <w:szCs w:val="28"/>
          <w:highlight w:val="none"/>
        </w:rPr>
        <w:t>Шейко, А.</w:t>
      </w:r>
      <w:r>
        <w:rPr>
          <w:sz w:val="28"/>
          <w:szCs w:val="28"/>
          <w:highlight w:val="none"/>
        </w:rPr>
        <w:t xml:space="preserve"> (2023). Остеопонтин як неінвазивний предиктор процесів фіброзу в пацієнтів із хронічним вірусним гепатитом С. </w:t>
      </w:r>
      <w:r>
        <w:rPr>
          <w:i/>
          <w:iCs/>
          <w:sz w:val="28"/>
          <w:szCs w:val="28"/>
          <w:highlight w:val="none"/>
        </w:rPr>
        <w:t>«Інфекційні Захворювання — Виклики Сьогодення. Сучасні Аспекти Клініки, Діагностики, Лікування Та Профілактики</w:t>
      </w:r>
      <w:r>
        <w:rPr>
          <w:sz w:val="28"/>
          <w:szCs w:val="28"/>
          <w:highlight w:val="none"/>
        </w:rPr>
        <w:t>, 213. https://doi.org/https://doi.org/10.22141/2224-0586.19.3.2023.1581</w:t>
      </w:r>
    </w:p>
    <w:p w14:paraId="6FF8A0A5">
      <w:pPr>
        <w:pStyle w:val="23"/>
        <w:numPr>
          <w:ilvl w:val="0"/>
          <w:numId w:val="4"/>
        </w:numPr>
        <w:tabs>
          <w:tab w:val="left" w:pos="1134"/>
        </w:tabs>
        <w:spacing w:before="0" w:beforeAutospacing="0" w:after="0" w:afterAutospacing="0" w:line="360" w:lineRule="auto"/>
        <w:ind w:left="0" w:firstLine="709"/>
        <w:jc w:val="both"/>
        <w:rPr>
          <w:szCs w:val="28"/>
          <w:highlight w:val="none"/>
        </w:rPr>
      </w:pPr>
      <w:r>
        <w:rPr>
          <w:b/>
          <w:bCs/>
          <w:sz w:val="28"/>
          <w:szCs w:val="28"/>
          <w:highlight w:val="none"/>
        </w:rPr>
        <w:t>Шейко, А.</w:t>
      </w:r>
      <w:r>
        <w:rPr>
          <w:sz w:val="28"/>
          <w:szCs w:val="28"/>
          <w:highlight w:val="none"/>
        </w:rPr>
        <w:t xml:space="preserve"> (2023). Маркерні можливості остеопонтину в прогнозуванні значного фіброзного процесу у хворих на хронічний вірусний гепатит С. </w:t>
      </w:r>
      <w:r>
        <w:rPr>
          <w:i/>
          <w:iCs/>
          <w:sz w:val="28"/>
          <w:szCs w:val="28"/>
          <w:highlight w:val="none"/>
        </w:rPr>
        <w:t>Мечниковські Читання - 2023</w:t>
      </w:r>
      <w:r>
        <w:rPr>
          <w:sz w:val="28"/>
          <w:szCs w:val="28"/>
          <w:highlight w:val="none"/>
        </w:rPr>
        <w:t>, 89–90.</w:t>
      </w:r>
      <w:r>
        <w:rPr>
          <w:szCs w:val="28"/>
          <w:highlight w:val="none"/>
        </w:rPr>
        <w:br w:type="page"/>
      </w:r>
    </w:p>
    <w:p w14:paraId="0EF6DDFA">
      <w:pPr>
        <w:pStyle w:val="2"/>
        <w:rPr>
          <w:rFonts w:cs="Times New Roman"/>
          <w:spacing w:val="-6"/>
          <w:szCs w:val="28"/>
          <w:highlight w:val="none"/>
          <w:lang w:val="uk-UA"/>
        </w:rPr>
      </w:pPr>
      <w:bookmarkStart w:id="62" w:name="_Toc153923966"/>
      <w:r>
        <w:rPr>
          <w:rFonts w:cs="Times New Roman"/>
          <w:spacing w:val="-6"/>
          <w:szCs w:val="28"/>
          <w:highlight w:val="none"/>
          <w:lang w:val="uk-UA"/>
        </w:rPr>
        <w:t>РОЗДІЛ 5</w:t>
      </w:r>
      <w:r>
        <w:rPr>
          <w:rFonts w:cs="Times New Roman"/>
          <w:spacing w:val="-6"/>
          <w:szCs w:val="28"/>
          <w:highlight w:val="none"/>
          <w:lang w:val="uk-UA"/>
        </w:rPr>
        <w:br w:type="textWrapping"/>
      </w:r>
      <w:r>
        <w:rPr>
          <w:rFonts w:cs="Times New Roman"/>
          <w:spacing w:val="-6"/>
          <w:szCs w:val="28"/>
          <w:highlight w:val="none"/>
          <w:lang w:val="uk-UA"/>
        </w:rPr>
        <w:t>ПРОГНОЗУВАННЯ ПЕРЕБІГУ ПРОЦЕСІВ ФІБРОЗУ У ПАЦІЄНТІВ З ХРОНІЧНИМ ГЕПАТИТОМ С</w:t>
      </w:r>
      <w:bookmarkEnd w:id="62"/>
    </w:p>
    <w:p w14:paraId="3FB1F397">
      <w:pPr>
        <w:rPr>
          <w:szCs w:val="28"/>
          <w:highlight w:val="none"/>
        </w:rPr>
      </w:pPr>
    </w:p>
    <w:p w14:paraId="521CF482">
      <w:pPr>
        <w:rPr>
          <w:szCs w:val="28"/>
          <w:highlight w:val="none"/>
        </w:rPr>
      </w:pPr>
      <w:r>
        <w:rPr>
          <w:szCs w:val="28"/>
          <w:highlight w:val="none"/>
        </w:rPr>
        <w:t xml:space="preserve">В даному підрозділі проведено визначення вірогідних предикторів прогресування фіброзу у пацієнтів з хронічним гепатитом С. Так, першим кроком були отримані найбільш вірогідні предиктори з досліджених параметрів клінічного аналізу крові. Наступним етапом за допомогою регресійного аналізу було проаналізовано параметри біохімічного аналізу крові. </w:t>
      </w:r>
    </w:p>
    <w:p w14:paraId="5F03B9B4">
      <w:pPr>
        <w:rPr>
          <w:szCs w:val="28"/>
          <w:highlight w:val="none"/>
        </w:rPr>
      </w:pPr>
      <w:r>
        <w:rPr>
          <w:szCs w:val="28"/>
          <w:highlight w:val="none"/>
        </w:rPr>
        <w:t xml:space="preserve">Прогностичну цінність остеопонтину було визначено як у комплексі з суто біохімічними параметрами, так й за додаванням предикторів з числа параметрів клінічного аналізу крові. В роботі було розроблено дві математичні моделі прогнозування прогресування процесів фіброзу у пацієнтів із хронічним гепатитом С. Оцінені їх прогностичні характеристики та надані межові значення. Моделі визначаються високими класифікаційними параметрами, що дозволяють застосовувати як додатковий інструмент неінвазивної діагностики прогресування фіброзу у даних пацієнтів. </w:t>
      </w:r>
    </w:p>
    <w:p w14:paraId="46717FE3">
      <w:pPr>
        <w:rPr>
          <w:szCs w:val="28"/>
          <w:highlight w:val="none"/>
        </w:rPr>
      </w:pPr>
    </w:p>
    <w:p w14:paraId="741C83B1">
      <w:pPr>
        <w:jc w:val="right"/>
        <w:rPr>
          <w:i/>
          <w:iCs/>
          <w:szCs w:val="28"/>
          <w:highlight w:val="none"/>
        </w:rPr>
      </w:pPr>
      <w:r>
        <w:rPr>
          <w:i/>
          <w:iCs/>
          <w:szCs w:val="28"/>
          <w:highlight w:val="none"/>
        </w:rPr>
        <w:t>Таблиця 5.1</w:t>
      </w:r>
    </w:p>
    <w:p w14:paraId="5D26757D">
      <w:pPr>
        <w:rPr>
          <w:b/>
          <w:bCs/>
          <w:szCs w:val="28"/>
          <w:highlight w:val="none"/>
        </w:rPr>
      </w:pPr>
      <w:r>
        <w:rPr>
          <w:b/>
          <w:bCs/>
          <w:szCs w:val="28"/>
          <w:highlight w:val="none"/>
        </w:rPr>
        <w:t>Модель асоціації показників клінічного аналізу крові зі ступенем фіброзу у пацієнтів з ВГС</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68"/>
        <w:gridCol w:w="2662"/>
        <w:gridCol w:w="1076"/>
        <w:gridCol w:w="2752"/>
        <w:gridCol w:w="986"/>
      </w:tblGrid>
      <w:tr w14:paraId="2D9AE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8" w:type="dxa"/>
            <w:vMerge w:val="restart"/>
            <w:vAlign w:val="center"/>
          </w:tcPr>
          <w:p w14:paraId="4DD93726">
            <w:pPr>
              <w:ind w:firstLine="0"/>
              <w:jc w:val="left"/>
              <w:rPr>
                <w:b/>
                <w:bCs/>
                <w:szCs w:val="28"/>
                <w:highlight w:val="none"/>
              </w:rPr>
            </w:pPr>
            <w:bookmarkStart w:id="63" w:name="_Hlk154340374"/>
            <w:r>
              <w:rPr>
                <w:b/>
                <w:bCs/>
                <w:szCs w:val="28"/>
                <w:highlight w:val="none"/>
              </w:rPr>
              <w:t>Показник</w:t>
            </w:r>
          </w:p>
        </w:tc>
        <w:tc>
          <w:tcPr>
            <w:tcW w:w="3738" w:type="dxa"/>
            <w:gridSpan w:val="2"/>
            <w:vAlign w:val="center"/>
          </w:tcPr>
          <w:p w14:paraId="4570ADEC">
            <w:pPr>
              <w:ind w:firstLine="0"/>
              <w:jc w:val="center"/>
              <w:rPr>
                <w:b/>
                <w:bCs/>
                <w:szCs w:val="28"/>
                <w:highlight w:val="none"/>
              </w:rPr>
            </w:pPr>
            <w:bookmarkStart w:id="64" w:name="OLE_LINK6"/>
            <w:r>
              <w:rPr>
                <w:b/>
                <w:bCs/>
                <w:szCs w:val="28"/>
                <w:highlight w:val="none"/>
              </w:rPr>
              <w:t>Уніваріативний аналіз</w:t>
            </w:r>
            <w:bookmarkEnd w:id="64"/>
          </w:p>
        </w:tc>
        <w:tc>
          <w:tcPr>
            <w:tcW w:w="3738" w:type="dxa"/>
            <w:gridSpan w:val="2"/>
            <w:vAlign w:val="center"/>
          </w:tcPr>
          <w:p w14:paraId="299E1301">
            <w:pPr>
              <w:ind w:firstLine="0"/>
              <w:jc w:val="center"/>
              <w:rPr>
                <w:b/>
                <w:bCs/>
                <w:szCs w:val="28"/>
                <w:highlight w:val="none"/>
              </w:rPr>
            </w:pPr>
            <w:r>
              <w:rPr>
                <w:b/>
                <w:bCs/>
                <w:szCs w:val="28"/>
                <w:highlight w:val="none"/>
              </w:rPr>
              <w:t>Мультиваріативний аналіз</w:t>
            </w:r>
          </w:p>
        </w:tc>
      </w:tr>
      <w:tr w14:paraId="7F3F6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8" w:type="dxa"/>
            <w:vMerge w:val="continue"/>
            <w:vAlign w:val="center"/>
          </w:tcPr>
          <w:p w14:paraId="2CA3B888">
            <w:pPr>
              <w:ind w:firstLine="0"/>
              <w:jc w:val="left"/>
              <w:rPr>
                <w:b/>
                <w:bCs/>
                <w:szCs w:val="28"/>
                <w:highlight w:val="none"/>
              </w:rPr>
            </w:pPr>
          </w:p>
        </w:tc>
        <w:tc>
          <w:tcPr>
            <w:tcW w:w="2662" w:type="dxa"/>
            <w:vAlign w:val="center"/>
          </w:tcPr>
          <w:p w14:paraId="07A98292">
            <w:pPr>
              <w:ind w:firstLine="0"/>
              <w:jc w:val="center"/>
              <w:rPr>
                <w:b/>
                <w:bCs/>
                <w:szCs w:val="28"/>
                <w:highlight w:val="none"/>
              </w:rPr>
            </w:pPr>
            <w:r>
              <w:rPr>
                <w:b/>
                <w:bCs/>
                <w:szCs w:val="28"/>
                <w:highlight w:val="none"/>
              </w:rPr>
              <w:t>ВШ (95,0 % ДІ)</w:t>
            </w:r>
          </w:p>
        </w:tc>
        <w:tc>
          <w:tcPr>
            <w:tcW w:w="1076" w:type="dxa"/>
            <w:vAlign w:val="center"/>
          </w:tcPr>
          <w:p w14:paraId="3F00AFBB">
            <w:pPr>
              <w:ind w:firstLine="0"/>
              <w:jc w:val="center"/>
              <w:rPr>
                <w:b/>
                <w:bCs/>
                <w:szCs w:val="28"/>
                <w:highlight w:val="none"/>
              </w:rPr>
            </w:pPr>
            <w:r>
              <w:rPr>
                <w:b/>
                <w:bCs/>
                <w:szCs w:val="28"/>
                <w:highlight w:val="none"/>
              </w:rPr>
              <w:t>р</w:t>
            </w:r>
          </w:p>
        </w:tc>
        <w:tc>
          <w:tcPr>
            <w:tcW w:w="2752" w:type="dxa"/>
            <w:vAlign w:val="center"/>
          </w:tcPr>
          <w:p w14:paraId="3B2E9419">
            <w:pPr>
              <w:ind w:firstLine="0"/>
              <w:jc w:val="center"/>
              <w:rPr>
                <w:b/>
                <w:bCs/>
                <w:szCs w:val="28"/>
                <w:highlight w:val="none"/>
              </w:rPr>
            </w:pPr>
            <w:r>
              <w:rPr>
                <w:b/>
                <w:bCs/>
                <w:szCs w:val="28"/>
                <w:highlight w:val="none"/>
              </w:rPr>
              <w:t>ВШ (95,0 % ДІ)</w:t>
            </w:r>
          </w:p>
        </w:tc>
        <w:tc>
          <w:tcPr>
            <w:tcW w:w="986" w:type="dxa"/>
            <w:vAlign w:val="center"/>
          </w:tcPr>
          <w:p w14:paraId="5B76A540">
            <w:pPr>
              <w:ind w:firstLine="0"/>
              <w:jc w:val="center"/>
              <w:rPr>
                <w:b/>
                <w:bCs/>
                <w:szCs w:val="28"/>
                <w:highlight w:val="none"/>
              </w:rPr>
            </w:pPr>
            <w:r>
              <w:rPr>
                <w:b/>
                <w:bCs/>
                <w:szCs w:val="28"/>
                <w:highlight w:val="none"/>
              </w:rPr>
              <w:t>р</w:t>
            </w:r>
          </w:p>
        </w:tc>
      </w:tr>
      <w:bookmarkEnd w:id="63"/>
      <w:tr w14:paraId="2C862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8" w:type="dxa"/>
            <w:vAlign w:val="center"/>
          </w:tcPr>
          <w:p w14:paraId="26E09B29">
            <w:pPr>
              <w:ind w:firstLine="0"/>
              <w:jc w:val="left"/>
              <w:rPr>
                <w:szCs w:val="28"/>
                <w:highlight w:val="none"/>
              </w:rPr>
            </w:pPr>
            <w:r>
              <w:rPr>
                <w:szCs w:val="28"/>
                <w:highlight w:val="none"/>
              </w:rPr>
              <w:t>Еритроцити</w:t>
            </w:r>
          </w:p>
        </w:tc>
        <w:tc>
          <w:tcPr>
            <w:tcW w:w="2662" w:type="dxa"/>
            <w:vAlign w:val="center"/>
          </w:tcPr>
          <w:p w14:paraId="0C6181A5">
            <w:pPr>
              <w:ind w:firstLine="0"/>
              <w:jc w:val="center"/>
              <w:rPr>
                <w:szCs w:val="28"/>
                <w:highlight w:val="none"/>
              </w:rPr>
            </w:pPr>
            <w:r>
              <w:rPr>
                <w:szCs w:val="28"/>
                <w:highlight w:val="none"/>
              </w:rPr>
              <w:t>0,413 (0,109–1,560)</w:t>
            </w:r>
          </w:p>
        </w:tc>
        <w:tc>
          <w:tcPr>
            <w:tcW w:w="1076" w:type="dxa"/>
            <w:vAlign w:val="center"/>
          </w:tcPr>
          <w:p w14:paraId="6F3E1F51">
            <w:pPr>
              <w:ind w:firstLine="0"/>
              <w:jc w:val="center"/>
              <w:rPr>
                <w:szCs w:val="28"/>
                <w:highlight w:val="none"/>
              </w:rPr>
            </w:pPr>
            <w:r>
              <w:rPr>
                <w:szCs w:val="28"/>
                <w:highlight w:val="none"/>
              </w:rPr>
              <w:t>0,192</w:t>
            </w:r>
          </w:p>
        </w:tc>
        <w:tc>
          <w:tcPr>
            <w:tcW w:w="2752" w:type="dxa"/>
            <w:vAlign w:val="center"/>
          </w:tcPr>
          <w:p w14:paraId="5B877AB0">
            <w:pPr>
              <w:ind w:firstLine="0"/>
              <w:jc w:val="center"/>
              <w:rPr>
                <w:szCs w:val="28"/>
                <w:highlight w:val="none"/>
              </w:rPr>
            </w:pPr>
            <w:r>
              <w:rPr>
                <w:szCs w:val="28"/>
                <w:highlight w:val="none"/>
              </w:rPr>
              <w:t>1,328 (0,050–34,952)</w:t>
            </w:r>
          </w:p>
        </w:tc>
        <w:tc>
          <w:tcPr>
            <w:tcW w:w="986" w:type="dxa"/>
          </w:tcPr>
          <w:p w14:paraId="537AA581">
            <w:pPr>
              <w:ind w:firstLine="0"/>
              <w:jc w:val="center"/>
              <w:rPr>
                <w:szCs w:val="28"/>
                <w:highlight w:val="none"/>
              </w:rPr>
            </w:pPr>
            <w:r>
              <w:rPr>
                <w:szCs w:val="28"/>
                <w:highlight w:val="none"/>
              </w:rPr>
              <w:t>0,865</w:t>
            </w:r>
          </w:p>
        </w:tc>
      </w:tr>
      <w:tr w14:paraId="5709F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8" w:type="dxa"/>
            <w:vAlign w:val="center"/>
          </w:tcPr>
          <w:p w14:paraId="18019B7D">
            <w:pPr>
              <w:ind w:firstLine="0"/>
              <w:jc w:val="left"/>
              <w:rPr>
                <w:szCs w:val="28"/>
                <w:highlight w:val="none"/>
              </w:rPr>
            </w:pPr>
            <w:r>
              <w:rPr>
                <w:szCs w:val="28"/>
                <w:highlight w:val="none"/>
              </w:rPr>
              <w:t>Гемоглобін</w:t>
            </w:r>
          </w:p>
        </w:tc>
        <w:tc>
          <w:tcPr>
            <w:tcW w:w="2662" w:type="dxa"/>
            <w:vAlign w:val="center"/>
          </w:tcPr>
          <w:p w14:paraId="5FB30389">
            <w:pPr>
              <w:ind w:firstLine="0"/>
              <w:jc w:val="center"/>
              <w:rPr>
                <w:szCs w:val="28"/>
                <w:highlight w:val="none"/>
              </w:rPr>
            </w:pPr>
            <w:r>
              <w:rPr>
                <w:szCs w:val="28"/>
                <w:highlight w:val="none"/>
              </w:rPr>
              <w:t>0,986 (0,944–1,030)</w:t>
            </w:r>
          </w:p>
        </w:tc>
        <w:tc>
          <w:tcPr>
            <w:tcW w:w="1076" w:type="dxa"/>
            <w:vAlign w:val="center"/>
          </w:tcPr>
          <w:p w14:paraId="4BDE5963">
            <w:pPr>
              <w:ind w:firstLine="0"/>
              <w:jc w:val="center"/>
              <w:rPr>
                <w:szCs w:val="28"/>
                <w:highlight w:val="none"/>
              </w:rPr>
            </w:pPr>
            <w:r>
              <w:rPr>
                <w:szCs w:val="28"/>
                <w:highlight w:val="none"/>
              </w:rPr>
              <w:t>0,521</w:t>
            </w:r>
          </w:p>
        </w:tc>
        <w:tc>
          <w:tcPr>
            <w:tcW w:w="2752" w:type="dxa"/>
            <w:vAlign w:val="center"/>
          </w:tcPr>
          <w:p w14:paraId="3D377267">
            <w:pPr>
              <w:ind w:firstLine="0"/>
              <w:jc w:val="center"/>
              <w:rPr>
                <w:szCs w:val="28"/>
                <w:highlight w:val="none"/>
              </w:rPr>
            </w:pPr>
            <w:r>
              <w:rPr>
                <w:szCs w:val="28"/>
                <w:highlight w:val="none"/>
              </w:rPr>
              <w:t>0,985 (0,893–1,086)</w:t>
            </w:r>
          </w:p>
        </w:tc>
        <w:tc>
          <w:tcPr>
            <w:tcW w:w="986" w:type="dxa"/>
          </w:tcPr>
          <w:p w14:paraId="5285E711">
            <w:pPr>
              <w:ind w:firstLine="0"/>
              <w:jc w:val="center"/>
              <w:rPr>
                <w:szCs w:val="28"/>
                <w:highlight w:val="none"/>
              </w:rPr>
            </w:pPr>
            <w:r>
              <w:rPr>
                <w:szCs w:val="28"/>
                <w:highlight w:val="none"/>
              </w:rPr>
              <w:t>0,763</w:t>
            </w:r>
          </w:p>
        </w:tc>
      </w:tr>
      <w:tr w14:paraId="75164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8" w:type="dxa"/>
            <w:vAlign w:val="center"/>
          </w:tcPr>
          <w:p w14:paraId="4D4D54CA">
            <w:pPr>
              <w:ind w:firstLine="0"/>
              <w:jc w:val="left"/>
              <w:rPr>
                <w:szCs w:val="28"/>
                <w:highlight w:val="none"/>
              </w:rPr>
            </w:pPr>
            <w:r>
              <w:rPr>
                <w:szCs w:val="28"/>
                <w:highlight w:val="none"/>
              </w:rPr>
              <w:t>MCV</w:t>
            </w:r>
          </w:p>
        </w:tc>
        <w:tc>
          <w:tcPr>
            <w:tcW w:w="2662" w:type="dxa"/>
            <w:vAlign w:val="center"/>
          </w:tcPr>
          <w:p w14:paraId="5D923A76">
            <w:pPr>
              <w:ind w:firstLine="0"/>
              <w:jc w:val="center"/>
              <w:rPr>
                <w:szCs w:val="28"/>
                <w:highlight w:val="none"/>
              </w:rPr>
            </w:pPr>
            <w:r>
              <w:rPr>
                <w:szCs w:val="28"/>
                <w:highlight w:val="none"/>
              </w:rPr>
              <w:t>0,992 (0,862–1,142)</w:t>
            </w:r>
          </w:p>
        </w:tc>
        <w:tc>
          <w:tcPr>
            <w:tcW w:w="1076" w:type="dxa"/>
            <w:vAlign w:val="center"/>
          </w:tcPr>
          <w:p w14:paraId="0A630129">
            <w:pPr>
              <w:ind w:firstLine="0"/>
              <w:jc w:val="center"/>
              <w:rPr>
                <w:szCs w:val="28"/>
                <w:highlight w:val="none"/>
              </w:rPr>
            </w:pPr>
            <w:r>
              <w:rPr>
                <w:szCs w:val="28"/>
                <w:highlight w:val="none"/>
              </w:rPr>
              <w:t>0,915</w:t>
            </w:r>
          </w:p>
        </w:tc>
        <w:tc>
          <w:tcPr>
            <w:tcW w:w="2752" w:type="dxa"/>
            <w:vAlign w:val="center"/>
          </w:tcPr>
          <w:p w14:paraId="3709239A">
            <w:pPr>
              <w:ind w:firstLine="0"/>
              <w:jc w:val="center"/>
              <w:rPr>
                <w:szCs w:val="28"/>
                <w:highlight w:val="none"/>
              </w:rPr>
            </w:pPr>
            <w:r>
              <w:rPr>
                <w:szCs w:val="28"/>
                <w:highlight w:val="none"/>
              </w:rPr>
              <w:t>0,978 (0,711–1,347)</w:t>
            </w:r>
          </w:p>
        </w:tc>
        <w:tc>
          <w:tcPr>
            <w:tcW w:w="986" w:type="dxa"/>
          </w:tcPr>
          <w:p w14:paraId="328DCD6B">
            <w:pPr>
              <w:ind w:firstLine="0"/>
              <w:jc w:val="center"/>
              <w:rPr>
                <w:szCs w:val="28"/>
                <w:highlight w:val="none"/>
              </w:rPr>
            </w:pPr>
            <w:r>
              <w:rPr>
                <w:szCs w:val="28"/>
                <w:highlight w:val="none"/>
              </w:rPr>
              <w:t>0,894</w:t>
            </w:r>
          </w:p>
        </w:tc>
      </w:tr>
      <w:tr w14:paraId="1E7C3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8" w:type="dxa"/>
            <w:vAlign w:val="center"/>
          </w:tcPr>
          <w:p w14:paraId="1CB1182F">
            <w:pPr>
              <w:ind w:firstLine="0"/>
              <w:jc w:val="left"/>
              <w:rPr>
                <w:szCs w:val="28"/>
                <w:highlight w:val="none"/>
              </w:rPr>
            </w:pPr>
            <w:r>
              <w:rPr>
                <w:szCs w:val="28"/>
                <w:highlight w:val="none"/>
              </w:rPr>
              <w:t>MCH</w:t>
            </w:r>
          </w:p>
        </w:tc>
        <w:tc>
          <w:tcPr>
            <w:tcW w:w="2662" w:type="dxa"/>
            <w:vAlign w:val="center"/>
          </w:tcPr>
          <w:p w14:paraId="11EC077D">
            <w:pPr>
              <w:ind w:firstLine="0"/>
              <w:jc w:val="center"/>
              <w:rPr>
                <w:szCs w:val="28"/>
                <w:highlight w:val="none"/>
              </w:rPr>
            </w:pPr>
            <w:r>
              <w:rPr>
                <w:szCs w:val="28"/>
                <w:highlight w:val="none"/>
              </w:rPr>
              <w:t>1,598 (1,116–2,289)</w:t>
            </w:r>
          </w:p>
        </w:tc>
        <w:tc>
          <w:tcPr>
            <w:tcW w:w="1076" w:type="dxa"/>
            <w:vAlign w:val="center"/>
          </w:tcPr>
          <w:p w14:paraId="45B12F9D">
            <w:pPr>
              <w:ind w:firstLine="0"/>
              <w:jc w:val="center"/>
              <w:rPr>
                <w:szCs w:val="28"/>
                <w:highlight w:val="none"/>
              </w:rPr>
            </w:pPr>
            <w:r>
              <w:rPr>
                <w:szCs w:val="28"/>
                <w:highlight w:val="none"/>
              </w:rPr>
              <w:t>0,011</w:t>
            </w:r>
          </w:p>
        </w:tc>
        <w:tc>
          <w:tcPr>
            <w:tcW w:w="2752" w:type="dxa"/>
            <w:vAlign w:val="center"/>
          </w:tcPr>
          <w:p w14:paraId="476AA701">
            <w:pPr>
              <w:ind w:firstLine="0"/>
              <w:jc w:val="center"/>
              <w:rPr>
                <w:szCs w:val="28"/>
                <w:highlight w:val="none"/>
              </w:rPr>
            </w:pPr>
            <w:r>
              <w:rPr>
                <w:szCs w:val="28"/>
                <w:highlight w:val="none"/>
              </w:rPr>
              <w:t>4,305 (1,187–15,619)</w:t>
            </w:r>
          </w:p>
        </w:tc>
        <w:tc>
          <w:tcPr>
            <w:tcW w:w="986" w:type="dxa"/>
          </w:tcPr>
          <w:p w14:paraId="3B2F489F">
            <w:pPr>
              <w:ind w:firstLine="0"/>
              <w:jc w:val="center"/>
              <w:rPr>
                <w:szCs w:val="28"/>
                <w:highlight w:val="none"/>
              </w:rPr>
            </w:pPr>
            <w:r>
              <w:rPr>
                <w:szCs w:val="28"/>
                <w:highlight w:val="none"/>
              </w:rPr>
              <w:t>0,026</w:t>
            </w:r>
          </w:p>
        </w:tc>
      </w:tr>
      <w:tr w14:paraId="33F4E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8" w:type="dxa"/>
            <w:vAlign w:val="center"/>
          </w:tcPr>
          <w:p w14:paraId="586F371A">
            <w:pPr>
              <w:ind w:firstLine="0"/>
              <w:jc w:val="left"/>
              <w:rPr>
                <w:szCs w:val="28"/>
                <w:highlight w:val="none"/>
              </w:rPr>
            </w:pPr>
            <w:r>
              <w:rPr>
                <w:szCs w:val="28"/>
                <w:highlight w:val="none"/>
              </w:rPr>
              <w:t>MCHC</w:t>
            </w:r>
          </w:p>
        </w:tc>
        <w:tc>
          <w:tcPr>
            <w:tcW w:w="2662" w:type="dxa"/>
            <w:vAlign w:val="center"/>
          </w:tcPr>
          <w:p w14:paraId="0C94387E">
            <w:pPr>
              <w:ind w:firstLine="0"/>
              <w:jc w:val="center"/>
              <w:rPr>
                <w:szCs w:val="28"/>
                <w:highlight w:val="none"/>
              </w:rPr>
            </w:pPr>
            <w:r>
              <w:rPr>
                <w:szCs w:val="28"/>
                <w:highlight w:val="none"/>
              </w:rPr>
              <w:t>0,994 (0,950–1,041)</w:t>
            </w:r>
          </w:p>
        </w:tc>
        <w:tc>
          <w:tcPr>
            <w:tcW w:w="1076" w:type="dxa"/>
            <w:vAlign w:val="center"/>
          </w:tcPr>
          <w:p w14:paraId="0E4090EC">
            <w:pPr>
              <w:ind w:firstLine="0"/>
              <w:jc w:val="center"/>
              <w:rPr>
                <w:szCs w:val="28"/>
                <w:highlight w:val="none"/>
              </w:rPr>
            </w:pPr>
            <w:r>
              <w:rPr>
                <w:szCs w:val="28"/>
                <w:highlight w:val="none"/>
              </w:rPr>
              <w:t>0,807</w:t>
            </w:r>
          </w:p>
        </w:tc>
        <w:tc>
          <w:tcPr>
            <w:tcW w:w="2752" w:type="dxa"/>
            <w:vAlign w:val="center"/>
          </w:tcPr>
          <w:p w14:paraId="54DD84BB">
            <w:pPr>
              <w:ind w:firstLine="0"/>
              <w:jc w:val="center"/>
              <w:rPr>
                <w:szCs w:val="28"/>
                <w:highlight w:val="none"/>
              </w:rPr>
            </w:pPr>
            <w:r>
              <w:rPr>
                <w:szCs w:val="28"/>
                <w:highlight w:val="none"/>
              </w:rPr>
              <w:t>0,937 (0,855–1,026)</w:t>
            </w:r>
          </w:p>
        </w:tc>
        <w:tc>
          <w:tcPr>
            <w:tcW w:w="986" w:type="dxa"/>
          </w:tcPr>
          <w:p w14:paraId="7CD97CC4">
            <w:pPr>
              <w:ind w:firstLine="0"/>
              <w:jc w:val="center"/>
              <w:rPr>
                <w:szCs w:val="28"/>
                <w:highlight w:val="none"/>
              </w:rPr>
            </w:pPr>
            <w:r>
              <w:rPr>
                <w:szCs w:val="28"/>
                <w:highlight w:val="none"/>
              </w:rPr>
              <w:t>0,160</w:t>
            </w:r>
          </w:p>
        </w:tc>
      </w:tr>
    </w:tbl>
    <w:p w14:paraId="148A3C8C">
      <w:pPr>
        <w:rPr>
          <w:highlight w:val="none"/>
        </w:rPr>
      </w:pPr>
    </w:p>
    <w:p w14:paraId="3D44276B">
      <w:pPr>
        <w:jc w:val="right"/>
        <w:rPr>
          <w:i/>
          <w:iCs/>
          <w:szCs w:val="28"/>
          <w:highlight w:val="none"/>
        </w:rPr>
      </w:pPr>
      <w:r>
        <w:rPr>
          <w:i/>
          <w:iCs/>
          <w:szCs w:val="28"/>
          <w:highlight w:val="none"/>
        </w:rPr>
        <w:t>Продовження таблиці 5.1</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68"/>
        <w:gridCol w:w="2662"/>
        <w:gridCol w:w="1076"/>
        <w:gridCol w:w="2752"/>
        <w:gridCol w:w="986"/>
      </w:tblGrid>
      <w:tr w14:paraId="62791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8" w:type="dxa"/>
            <w:vMerge w:val="restart"/>
            <w:vAlign w:val="center"/>
          </w:tcPr>
          <w:p w14:paraId="1EA83935">
            <w:pPr>
              <w:ind w:firstLine="0"/>
              <w:jc w:val="left"/>
              <w:rPr>
                <w:b/>
                <w:bCs/>
                <w:szCs w:val="28"/>
                <w:highlight w:val="none"/>
              </w:rPr>
            </w:pPr>
            <w:r>
              <w:rPr>
                <w:b/>
                <w:bCs/>
                <w:szCs w:val="28"/>
                <w:highlight w:val="none"/>
              </w:rPr>
              <w:t>Показник</w:t>
            </w:r>
          </w:p>
        </w:tc>
        <w:tc>
          <w:tcPr>
            <w:tcW w:w="3738" w:type="dxa"/>
            <w:gridSpan w:val="2"/>
            <w:vAlign w:val="center"/>
          </w:tcPr>
          <w:p w14:paraId="14DEEE75">
            <w:pPr>
              <w:ind w:firstLine="0"/>
              <w:jc w:val="center"/>
              <w:rPr>
                <w:b/>
                <w:bCs/>
                <w:szCs w:val="28"/>
                <w:highlight w:val="none"/>
              </w:rPr>
            </w:pPr>
            <w:r>
              <w:rPr>
                <w:b/>
                <w:bCs/>
                <w:szCs w:val="28"/>
                <w:highlight w:val="none"/>
              </w:rPr>
              <w:t>Уніваріативний аналіз</w:t>
            </w:r>
          </w:p>
        </w:tc>
        <w:tc>
          <w:tcPr>
            <w:tcW w:w="3738" w:type="dxa"/>
            <w:gridSpan w:val="2"/>
            <w:vAlign w:val="center"/>
          </w:tcPr>
          <w:p w14:paraId="089135B8">
            <w:pPr>
              <w:ind w:firstLine="0"/>
              <w:jc w:val="center"/>
              <w:rPr>
                <w:b/>
                <w:bCs/>
                <w:szCs w:val="28"/>
                <w:highlight w:val="none"/>
              </w:rPr>
            </w:pPr>
            <w:r>
              <w:rPr>
                <w:b/>
                <w:bCs/>
                <w:szCs w:val="28"/>
                <w:highlight w:val="none"/>
              </w:rPr>
              <w:t>Мультиваріативний аналіз</w:t>
            </w:r>
          </w:p>
        </w:tc>
      </w:tr>
      <w:tr w14:paraId="0AF59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8" w:type="dxa"/>
            <w:vMerge w:val="continue"/>
            <w:vAlign w:val="center"/>
          </w:tcPr>
          <w:p w14:paraId="0467C046">
            <w:pPr>
              <w:ind w:firstLine="0"/>
              <w:jc w:val="left"/>
              <w:rPr>
                <w:b/>
                <w:bCs/>
                <w:szCs w:val="28"/>
                <w:highlight w:val="none"/>
              </w:rPr>
            </w:pPr>
          </w:p>
        </w:tc>
        <w:tc>
          <w:tcPr>
            <w:tcW w:w="2662" w:type="dxa"/>
            <w:vAlign w:val="center"/>
          </w:tcPr>
          <w:p w14:paraId="332C8C2A">
            <w:pPr>
              <w:ind w:firstLine="0"/>
              <w:jc w:val="center"/>
              <w:rPr>
                <w:b/>
                <w:bCs/>
                <w:szCs w:val="28"/>
                <w:highlight w:val="none"/>
              </w:rPr>
            </w:pPr>
            <w:r>
              <w:rPr>
                <w:b/>
                <w:bCs/>
                <w:szCs w:val="28"/>
                <w:highlight w:val="none"/>
              </w:rPr>
              <w:t>ВШ (95,0 % ДІ)</w:t>
            </w:r>
          </w:p>
        </w:tc>
        <w:tc>
          <w:tcPr>
            <w:tcW w:w="1076" w:type="dxa"/>
            <w:vAlign w:val="center"/>
          </w:tcPr>
          <w:p w14:paraId="1C3D5868">
            <w:pPr>
              <w:ind w:firstLine="0"/>
              <w:jc w:val="center"/>
              <w:rPr>
                <w:b/>
                <w:bCs/>
                <w:szCs w:val="28"/>
                <w:highlight w:val="none"/>
              </w:rPr>
            </w:pPr>
            <w:r>
              <w:rPr>
                <w:b/>
                <w:bCs/>
                <w:szCs w:val="28"/>
                <w:highlight w:val="none"/>
              </w:rPr>
              <w:t>р</w:t>
            </w:r>
          </w:p>
        </w:tc>
        <w:tc>
          <w:tcPr>
            <w:tcW w:w="2752" w:type="dxa"/>
            <w:vAlign w:val="center"/>
          </w:tcPr>
          <w:p w14:paraId="4A71BD64">
            <w:pPr>
              <w:ind w:firstLine="0"/>
              <w:jc w:val="center"/>
              <w:rPr>
                <w:b/>
                <w:bCs/>
                <w:szCs w:val="28"/>
                <w:highlight w:val="none"/>
              </w:rPr>
            </w:pPr>
            <w:r>
              <w:rPr>
                <w:b/>
                <w:bCs/>
                <w:szCs w:val="28"/>
                <w:highlight w:val="none"/>
              </w:rPr>
              <w:t>ВШ (95,0 % ДІ)</w:t>
            </w:r>
          </w:p>
        </w:tc>
        <w:tc>
          <w:tcPr>
            <w:tcW w:w="986" w:type="dxa"/>
            <w:vAlign w:val="center"/>
          </w:tcPr>
          <w:p w14:paraId="711518F6">
            <w:pPr>
              <w:ind w:firstLine="0"/>
              <w:jc w:val="center"/>
              <w:rPr>
                <w:b/>
                <w:bCs/>
                <w:szCs w:val="28"/>
                <w:highlight w:val="none"/>
              </w:rPr>
            </w:pPr>
            <w:r>
              <w:rPr>
                <w:b/>
                <w:bCs/>
                <w:szCs w:val="28"/>
                <w:highlight w:val="none"/>
              </w:rPr>
              <w:t>р</w:t>
            </w:r>
          </w:p>
        </w:tc>
      </w:tr>
      <w:tr w14:paraId="39667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8" w:type="dxa"/>
            <w:vAlign w:val="center"/>
          </w:tcPr>
          <w:p w14:paraId="7C5D1428">
            <w:pPr>
              <w:ind w:firstLine="0"/>
              <w:jc w:val="left"/>
              <w:rPr>
                <w:szCs w:val="28"/>
                <w:highlight w:val="none"/>
              </w:rPr>
            </w:pPr>
            <w:r>
              <w:rPr>
                <w:szCs w:val="28"/>
                <w:highlight w:val="none"/>
              </w:rPr>
              <w:t>Тромбоцити</w:t>
            </w:r>
          </w:p>
        </w:tc>
        <w:tc>
          <w:tcPr>
            <w:tcW w:w="2662" w:type="dxa"/>
            <w:vAlign w:val="center"/>
          </w:tcPr>
          <w:p w14:paraId="372F72D2">
            <w:pPr>
              <w:ind w:firstLine="0"/>
              <w:jc w:val="center"/>
              <w:rPr>
                <w:szCs w:val="28"/>
                <w:highlight w:val="none"/>
              </w:rPr>
            </w:pPr>
            <w:r>
              <w:rPr>
                <w:szCs w:val="28"/>
                <w:highlight w:val="none"/>
              </w:rPr>
              <w:t>0,982 (0,967–0,997)</w:t>
            </w:r>
          </w:p>
        </w:tc>
        <w:tc>
          <w:tcPr>
            <w:tcW w:w="1076" w:type="dxa"/>
            <w:vAlign w:val="center"/>
          </w:tcPr>
          <w:p w14:paraId="1DE0F774">
            <w:pPr>
              <w:ind w:firstLine="0"/>
              <w:jc w:val="center"/>
              <w:rPr>
                <w:szCs w:val="28"/>
                <w:highlight w:val="none"/>
              </w:rPr>
            </w:pPr>
            <w:r>
              <w:rPr>
                <w:szCs w:val="28"/>
                <w:highlight w:val="none"/>
              </w:rPr>
              <w:t>0,021</w:t>
            </w:r>
          </w:p>
        </w:tc>
        <w:tc>
          <w:tcPr>
            <w:tcW w:w="2752" w:type="dxa"/>
            <w:vAlign w:val="center"/>
          </w:tcPr>
          <w:p w14:paraId="2E500614">
            <w:pPr>
              <w:ind w:firstLine="0"/>
              <w:jc w:val="center"/>
              <w:rPr>
                <w:szCs w:val="28"/>
                <w:highlight w:val="none"/>
              </w:rPr>
            </w:pPr>
            <w:r>
              <w:rPr>
                <w:szCs w:val="28"/>
                <w:highlight w:val="none"/>
              </w:rPr>
              <w:t>0,955 (0,922–0,989)</w:t>
            </w:r>
          </w:p>
        </w:tc>
        <w:tc>
          <w:tcPr>
            <w:tcW w:w="986" w:type="dxa"/>
          </w:tcPr>
          <w:p w14:paraId="69931F01">
            <w:pPr>
              <w:ind w:firstLine="0"/>
              <w:jc w:val="center"/>
              <w:rPr>
                <w:szCs w:val="28"/>
                <w:highlight w:val="none"/>
              </w:rPr>
            </w:pPr>
            <w:r>
              <w:rPr>
                <w:szCs w:val="28"/>
                <w:highlight w:val="none"/>
              </w:rPr>
              <w:t>0,011</w:t>
            </w:r>
          </w:p>
        </w:tc>
      </w:tr>
      <w:tr w14:paraId="38228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8" w:type="dxa"/>
            <w:vAlign w:val="center"/>
          </w:tcPr>
          <w:p w14:paraId="56372776">
            <w:pPr>
              <w:ind w:firstLine="0"/>
              <w:jc w:val="left"/>
              <w:rPr>
                <w:szCs w:val="28"/>
                <w:highlight w:val="none"/>
              </w:rPr>
            </w:pPr>
            <w:r>
              <w:rPr>
                <w:szCs w:val="28"/>
                <w:highlight w:val="none"/>
              </w:rPr>
              <w:t>ШОЕ</w:t>
            </w:r>
          </w:p>
        </w:tc>
        <w:tc>
          <w:tcPr>
            <w:tcW w:w="2662" w:type="dxa"/>
            <w:vAlign w:val="center"/>
          </w:tcPr>
          <w:p w14:paraId="78CCF114">
            <w:pPr>
              <w:ind w:firstLine="0"/>
              <w:jc w:val="center"/>
              <w:rPr>
                <w:szCs w:val="28"/>
                <w:highlight w:val="none"/>
              </w:rPr>
            </w:pPr>
            <w:r>
              <w:rPr>
                <w:szCs w:val="28"/>
                <w:highlight w:val="none"/>
              </w:rPr>
              <w:t>1,070 (0,979–1,170)</w:t>
            </w:r>
          </w:p>
        </w:tc>
        <w:tc>
          <w:tcPr>
            <w:tcW w:w="1076" w:type="dxa"/>
            <w:vAlign w:val="center"/>
          </w:tcPr>
          <w:p w14:paraId="42F93362">
            <w:pPr>
              <w:ind w:firstLine="0"/>
              <w:jc w:val="center"/>
              <w:rPr>
                <w:szCs w:val="28"/>
                <w:highlight w:val="none"/>
              </w:rPr>
            </w:pPr>
            <w:r>
              <w:rPr>
                <w:szCs w:val="28"/>
                <w:highlight w:val="none"/>
              </w:rPr>
              <w:t>0,137</w:t>
            </w:r>
          </w:p>
        </w:tc>
        <w:tc>
          <w:tcPr>
            <w:tcW w:w="2752" w:type="dxa"/>
            <w:vAlign w:val="center"/>
          </w:tcPr>
          <w:p w14:paraId="76805D33">
            <w:pPr>
              <w:ind w:firstLine="0"/>
              <w:jc w:val="center"/>
              <w:rPr>
                <w:szCs w:val="28"/>
                <w:highlight w:val="none"/>
              </w:rPr>
            </w:pPr>
            <w:r>
              <w:rPr>
                <w:szCs w:val="28"/>
                <w:highlight w:val="none"/>
              </w:rPr>
              <w:t>1,110 (0,918–1,342)</w:t>
            </w:r>
          </w:p>
        </w:tc>
        <w:tc>
          <w:tcPr>
            <w:tcW w:w="986" w:type="dxa"/>
          </w:tcPr>
          <w:p w14:paraId="52B45F2A">
            <w:pPr>
              <w:ind w:firstLine="0"/>
              <w:jc w:val="center"/>
              <w:rPr>
                <w:szCs w:val="28"/>
                <w:highlight w:val="none"/>
              </w:rPr>
            </w:pPr>
            <w:r>
              <w:rPr>
                <w:szCs w:val="28"/>
                <w:highlight w:val="none"/>
              </w:rPr>
              <w:t>0,281</w:t>
            </w:r>
          </w:p>
        </w:tc>
      </w:tr>
      <w:tr w14:paraId="7D93F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8" w:type="dxa"/>
            <w:vAlign w:val="center"/>
          </w:tcPr>
          <w:p w14:paraId="3CE913BF">
            <w:pPr>
              <w:ind w:firstLine="0"/>
              <w:jc w:val="left"/>
              <w:rPr>
                <w:szCs w:val="28"/>
                <w:highlight w:val="none"/>
              </w:rPr>
            </w:pPr>
            <w:r>
              <w:rPr>
                <w:szCs w:val="28"/>
                <w:highlight w:val="none"/>
              </w:rPr>
              <w:t>Лейкоцити</w:t>
            </w:r>
          </w:p>
        </w:tc>
        <w:tc>
          <w:tcPr>
            <w:tcW w:w="2662" w:type="dxa"/>
            <w:vAlign w:val="center"/>
          </w:tcPr>
          <w:p w14:paraId="5C4CA69E">
            <w:pPr>
              <w:ind w:firstLine="0"/>
              <w:jc w:val="center"/>
              <w:rPr>
                <w:szCs w:val="28"/>
                <w:highlight w:val="none"/>
              </w:rPr>
            </w:pPr>
            <w:r>
              <w:rPr>
                <w:szCs w:val="28"/>
                <w:highlight w:val="none"/>
              </w:rPr>
              <w:t>0,994 (0,743–1,330)</w:t>
            </w:r>
          </w:p>
        </w:tc>
        <w:tc>
          <w:tcPr>
            <w:tcW w:w="1076" w:type="dxa"/>
            <w:vAlign w:val="center"/>
          </w:tcPr>
          <w:p w14:paraId="00B26165">
            <w:pPr>
              <w:ind w:firstLine="0"/>
              <w:jc w:val="center"/>
              <w:rPr>
                <w:szCs w:val="28"/>
                <w:highlight w:val="none"/>
              </w:rPr>
            </w:pPr>
            <w:r>
              <w:rPr>
                <w:szCs w:val="28"/>
                <w:highlight w:val="none"/>
              </w:rPr>
              <w:t>0,968</w:t>
            </w:r>
          </w:p>
        </w:tc>
        <w:tc>
          <w:tcPr>
            <w:tcW w:w="2752" w:type="dxa"/>
            <w:vAlign w:val="center"/>
          </w:tcPr>
          <w:p w14:paraId="3CF75537">
            <w:pPr>
              <w:ind w:firstLine="0"/>
              <w:jc w:val="center"/>
              <w:rPr>
                <w:szCs w:val="28"/>
                <w:highlight w:val="none"/>
              </w:rPr>
            </w:pPr>
            <w:r>
              <w:rPr>
                <w:szCs w:val="28"/>
                <w:highlight w:val="none"/>
              </w:rPr>
              <w:t>0,599 (0,262–1,367)</w:t>
            </w:r>
          </w:p>
        </w:tc>
        <w:tc>
          <w:tcPr>
            <w:tcW w:w="986" w:type="dxa"/>
          </w:tcPr>
          <w:p w14:paraId="0A98E98B">
            <w:pPr>
              <w:ind w:firstLine="0"/>
              <w:jc w:val="center"/>
              <w:rPr>
                <w:szCs w:val="28"/>
                <w:highlight w:val="none"/>
              </w:rPr>
            </w:pPr>
            <w:r>
              <w:rPr>
                <w:szCs w:val="28"/>
                <w:highlight w:val="none"/>
              </w:rPr>
              <w:t>0,223</w:t>
            </w:r>
          </w:p>
        </w:tc>
      </w:tr>
      <w:tr w14:paraId="2E801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8" w:type="dxa"/>
            <w:vAlign w:val="center"/>
          </w:tcPr>
          <w:p w14:paraId="2A05762E">
            <w:pPr>
              <w:ind w:firstLine="0"/>
              <w:jc w:val="left"/>
              <w:rPr>
                <w:szCs w:val="28"/>
                <w:highlight w:val="none"/>
              </w:rPr>
            </w:pPr>
            <w:r>
              <w:rPr>
                <w:szCs w:val="28"/>
                <w:highlight w:val="none"/>
              </w:rPr>
              <w:t>П/я</w:t>
            </w:r>
          </w:p>
        </w:tc>
        <w:tc>
          <w:tcPr>
            <w:tcW w:w="2662" w:type="dxa"/>
            <w:vAlign w:val="center"/>
          </w:tcPr>
          <w:p w14:paraId="48B8C559">
            <w:pPr>
              <w:ind w:firstLine="0"/>
              <w:jc w:val="center"/>
              <w:rPr>
                <w:szCs w:val="28"/>
                <w:highlight w:val="none"/>
              </w:rPr>
            </w:pPr>
            <w:r>
              <w:rPr>
                <w:szCs w:val="28"/>
                <w:highlight w:val="none"/>
              </w:rPr>
              <w:t>1,109 (0,794–1,548)</w:t>
            </w:r>
          </w:p>
        </w:tc>
        <w:tc>
          <w:tcPr>
            <w:tcW w:w="1076" w:type="dxa"/>
            <w:vAlign w:val="center"/>
          </w:tcPr>
          <w:p w14:paraId="0D484102">
            <w:pPr>
              <w:ind w:firstLine="0"/>
              <w:jc w:val="center"/>
              <w:rPr>
                <w:szCs w:val="28"/>
                <w:highlight w:val="none"/>
              </w:rPr>
            </w:pPr>
            <w:r>
              <w:rPr>
                <w:szCs w:val="28"/>
                <w:highlight w:val="none"/>
              </w:rPr>
              <w:t>0,544</w:t>
            </w:r>
          </w:p>
        </w:tc>
        <w:tc>
          <w:tcPr>
            <w:tcW w:w="2752" w:type="dxa"/>
            <w:vAlign w:val="center"/>
          </w:tcPr>
          <w:p w14:paraId="27C31211">
            <w:pPr>
              <w:ind w:firstLine="0"/>
              <w:jc w:val="center"/>
              <w:rPr>
                <w:szCs w:val="28"/>
                <w:highlight w:val="none"/>
              </w:rPr>
            </w:pPr>
            <w:r>
              <w:rPr>
                <w:szCs w:val="28"/>
                <w:highlight w:val="none"/>
              </w:rPr>
              <w:t>0,885 (0,319–2,452)</w:t>
            </w:r>
          </w:p>
        </w:tc>
        <w:tc>
          <w:tcPr>
            <w:tcW w:w="986" w:type="dxa"/>
          </w:tcPr>
          <w:p w14:paraId="228C26E9">
            <w:pPr>
              <w:ind w:firstLine="0"/>
              <w:jc w:val="center"/>
              <w:rPr>
                <w:szCs w:val="28"/>
                <w:highlight w:val="none"/>
              </w:rPr>
            </w:pPr>
            <w:r>
              <w:rPr>
                <w:szCs w:val="28"/>
                <w:highlight w:val="none"/>
              </w:rPr>
              <w:t>0,814</w:t>
            </w:r>
          </w:p>
        </w:tc>
      </w:tr>
      <w:tr w14:paraId="25AA8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8" w:type="dxa"/>
            <w:vAlign w:val="center"/>
          </w:tcPr>
          <w:p w14:paraId="612FFA19">
            <w:pPr>
              <w:ind w:firstLine="0"/>
              <w:jc w:val="left"/>
              <w:rPr>
                <w:szCs w:val="28"/>
                <w:highlight w:val="none"/>
              </w:rPr>
            </w:pPr>
            <w:r>
              <w:rPr>
                <w:szCs w:val="28"/>
                <w:highlight w:val="none"/>
              </w:rPr>
              <w:t>С/я</w:t>
            </w:r>
          </w:p>
        </w:tc>
        <w:tc>
          <w:tcPr>
            <w:tcW w:w="2662" w:type="dxa"/>
            <w:vAlign w:val="center"/>
          </w:tcPr>
          <w:p w14:paraId="0E7AE555">
            <w:pPr>
              <w:ind w:firstLine="0"/>
              <w:jc w:val="center"/>
              <w:rPr>
                <w:szCs w:val="28"/>
                <w:highlight w:val="none"/>
              </w:rPr>
            </w:pPr>
            <w:r>
              <w:rPr>
                <w:szCs w:val="28"/>
                <w:highlight w:val="none"/>
              </w:rPr>
              <w:t>1,030 (0,980–1,083)</w:t>
            </w:r>
          </w:p>
        </w:tc>
        <w:tc>
          <w:tcPr>
            <w:tcW w:w="1076" w:type="dxa"/>
            <w:vAlign w:val="center"/>
          </w:tcPr>
          <w:p w14:paraId="518FDA5E">
            <w:pPr>
              <w:ind w:firstLine="0"/>
              <w:jc w:val="center"/>
              <w:rPr>
                <w:szCs w:val="28"/>
                <w:highlight w:val="none"/>
              </w:rPr>
            </w:pPr>
            <w:r>
              <w:rPr>
                <w:szCs w:val="28"/>
                <w:highlight w:val="none"/>
              </w:rPr>
              <w:t>0,247</w:t>
            </w:r>
          </w:p>
        </w:tc>
        <w:tc>
          <w:tcPr>
            <w:tcW w:w="2752" w:type="dxa"/>
            <w:vAlign w:val="center"/>
          </w:tcPr>
          <w:p w14:paraId="6996AB98">
            <w:pPr>
              <w:ind w:firstLine="0"/>
              <w:jc w:val="center"/>
              <w:rPr>
                <w:szCs w:val="28"/>
                <w:highlight w:val="none"/>
              </w:rPr>
            </w:pPr>
            <w:r>
              <w:rPr>
                <w:szCs w:val="28"/>
                <w:highlight w:val="none"/>
              </w:rPr>
              <w:t>1,043 (0,736–1,479)</w:t>
            </w:r>
          </w:p>
        </w:tc>
        <w:tc>
          <w:tcPr>
            <w:tcW w:w="986" w:type="dxa"/>
          </w:tcPr>
          <w:p w14:paraId="6CB0EC9B">
            <w:pPr>
              <w:ind w:firstLine="0"/>
              <w:jc w:val="center"/>
              <w:rPr>
                <w:szCs w:val="28"/>
                <w:highlight w:val="none"/>
              </w:rPr>
            </w:pPr>
            <w:r>
              <w:rPr>
                <w:szCs w:val="28"/>
                <w:highlight w:val="none"/>
              </w:rPr>
              <w:t>0,812</w:t>
            </w:r>
          </w:p>
        </w:tc>
      </w:tr>
      <w:tr w14:paraId="3CD23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8" w:type="dxa"/>
            <w:vAlign w:val="center"/>
          </w:tcPr>
          <w:p w14:paraId="4AF06930">
            <w:pPr>
              <w:ind w:firstLine="0"/>
              <w:jc w:val="left"/>
              <w:rPr>
                <w:szCs w:val="28"/>
                <w:highlight w:val="none"/>
              </w:rPr>
            </w:pPr>
            <w:r>
              <w:rPr>
                <w:szCs w:val="28"/>
                <w:highlight w:val="none"/>
              </w:rPr>
              <w:t>Еозинофіли</w:t>
            </w:r>
          </w:p>
        </w:tc>
        <w:tc>
          <w:tcPr>
            <w:tcW w:w="2662" w:type="dxa"/>
            <w:vAlign w:val="center"/>
          </w:tcPr>
          <w:p w14:paraId="1ABC27F7">
            <w:pPr>
              <w:ind w:firstLine="0"/>
              <w:jc w:val="center"/>
              <w:rPr>
                <w:szCs w:val="28"/>
                <w:highlight w:val="none"/>
              </w:rPr>
            </w:pPr>
            <w:r>
              <w:rPr>
                <w:szCs w:val="28"/>
                <w:highlight w:val="none"/>
              </w:rPr>
              <w:t>0,871 (0,590–1,286)</w:t>
            </w:r>
          </w:p>
        </w:tc>
        <w:tc>
          <w:tcPr>
            <w:tcW w:w="1076" w:type="dxa"/>
            <w:vAlign w:val="center"/>
          </w:tcPr>
          <w:p w14:paraId="69BBA814">
            <w:pPr>
              <w:ind w:firstLine="0"/>
              <w:jc w:val="center"/>
              <w:rPr>
                <w:szCs w:val="28"/>
                <w:highlight w:val="none"/>
              </w:rPr>
            </w:pPr>
            <w:r>
              <w:rPr>
                <w:szCs w:val="28"/>
                <w:highlight w:val="none"/>
              </w:rPr>
              <w:t>0,487</w:t>
            </w:r>
          </w:p>
        </w:tc>
        <w:tc>
          <w:tcPr>
            <w:tcW w:w="2752" w:type="dxa"/>
            <w:vAlign w:val="center"/>
          </w:tcPr>
          <w:p w14:paraId="73D5A350">
            <w:pPr>
              <w:ind w:firstLine="0"/>
              <w:jc w:val="center"/>
              <w:rPr>
                <w:szCs w:val="28"/>
                <w:highlight w:val="none"/>
              </w:rPr>
            </w:pPr>
            <w:r>
              <w:rPr>
                <w:szCs w:val="28"/>
                <w:highlight w:val="none"/>
              </w:rPr>
              <w:t>1,232 (0,618–2,458)</w:t>
            </w:r>
          </w:p>
        </w:tc>
        <w:tc>
          <w:tcPr>
            <w:tcW w:w="986" w:type="dxa"/>
          </w:tcPr>
          <w:p w14:paraId="0E6043D5">
            <w:pPr>
              <w:ind w:firstLine="0"/>
              <w:jc w:val="center"/>
              <w:rPr>
                <w:szCs w:val="28"/>
                <w:highlight w:val="none"/>
              </w:rPr>
            </w:pPr>
            <w:r>
              <w:rPr>
                <w:szCs w:val="28"/>
                <w:highlight w:val="none"/>
              </w:rPr>
              <w:t>0,553</w:t>
            </w:r>
          </w:p>
        </w:tc>
      </w:tr>
      <w:tr w14:paraId="037027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8" w:type="dxa"/>
            <w:vAlign w:val="center"/>
          </w:tcPr>
          <w:p w14:paraId="71DA2714">
            <w:pPr>
              <w:ind w:firstLine="0"/>
              <w:jc w:val="left"/>
              <w:rPr>
                <w:szCs w:val="28"/>
                <w:highlight w:val="none"/>
              </w:rPr>
            </w:pPr>
            <w:r>
              <w:rPr>
                <w:szCs w:val="28"/>
                <w:highlight w:val="none"/>
              </w:rPr>
              <w:t>Базофіли</w:t>
            </w:r>
          </w:p>
        </w:tc>
        <w:tc>
          <w:tcPr>
            <w:tcW w:w="2662" w:type="dxa"/>
            <w:vAlign w:val="center"/>
          </w:tcPr>
          <w:p w14:paraId="41C1FA61">
            <w:pPr>
              <w:ind w:firstLine="0"/>
              <w:jc w:val="center"/>
              <w:rPr>
                <w:szCs w:val="28"/>
                <w:highlight w:val="none"/>
              </w:rPr>
            </w:pPr>
            <w:r>
              <w:rPr>
                <w:szCs w:val="28"/>
                <w:highlight w:val="none"/>
              </w:rPr>
              <w:t>0,916 (0,311–2,704)</w:t>
            </w:r>
          </w:p>
        </w:tc>
        <w:tc>
          <w:tcPr>
            <w:tcW w:w="1076" w:type="dxa"/>
            <w:vAlign w:val="center"/>
          </w:tcPr>
          <w:p w14:paraId="1F2F140D">
            <w:pPr>
              <w:ind w:firstLine="0"/>
              <w:jc w:val="center"/>
              <w:rPr>
                <w:szCs w:val="28"/>
                <w:highlight w:val="none"/>
              </w:rPr>
            </w:pPr>
            <w:r>
              <w:rPr>
                <w:szCs w:val="28"/>
                <w:highlight w:val="none"/>
              </w:rPr>
              <w:t>0,874</w:t>
            </w:r>
          </w:p>
        </w:tc>
        <w:tc>
          <w:tcPr>
            <w:tcW w:w="2752" w:type="dxa"/>
            <w:vAlign w:val="center"/>
          </w:tcPr>
          <w:p w14:paraId="4F12D9B5">
            <w:pPr>
              <w:ind w:firstLine="0"/>
              <w:jc w:val="center"/>
              <w:rPr>
                <w:szCs w:val="28"/>
                <w:highlight w:val="none"/>
              </w:rPr>
            </w:pPr>
            <w:r>
              <w:rPr>
                <w:szCs w:val="28"/>
                <w:highlight w:val="none"/>
              </w:rPr>
              <w:t>1,203 (0,091–15,856)</w:t>
            </w:r>
          </w:p>
        </w:tc>
        <w:tc>
          <w:tcPr>
            <w:tcW w:w="986" w:type="dxa"/>
          </w:tcPr>
          <w:p w14:paraId="097C73A1">
            <w:pPr>
              <w:ind w:firstLine="0"/>
              <w:jc w:val="center"/>
              <w:rPr>
                <w:szCs w:val="28"/>
                <w:highlight w:val="none"/>
              </w:rPr>
            </w:pPr>
            <w:r>
              <w:rPr>
                <w:szCs w:val="28"/>
                <w:highlight w:val="none"/>
              </w:rPr>
              <w:t>0,888</w:t>
            </w:r>
          </w:p>
        </w:tc>
      </w:tr>
      <w:tr w14:paraId="456A2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8" w:type="dxa"/>
            <w:vAlign w:val="center"/>
          </w:tcPr>
          <w:p w14:paraId="43E92BBC">
            <w:pPr>
              <w:ind w:firstLine="0"/>
              <w:jc w:val="left"/>
              <w:rPr>
                <w:szCs w:val="28"/>
                <w:highlight w:val="none"/>
              </w:rPr>
            </w:pPr>
            <w:r>
              <w:rPr>
                <w:szCs w:val="28"/>
                <w:highlight w:val="none"/>
              </w:rPr>
              <w:t>Лімфоцити</w:t>
            </w:r>
          </w:p>
        </w:tc>
        <w:tc>
          <w:tcPr>
            <w:tcW w:w="2662" w:type="dxa"/>
            <w:vAlign w:val="center"/>
          </w:tcPr>
          <w:p w14:paraId="27A8FD74">
            <w:pPr>
              <w:ind w:firstLine="0"/>
              <w:jc w:val="center"/>
              <w:rPr>
                <w:szCs w:val="28"/>
                <w:highlight w:val="none"/>
              </w:rPr>
            </w:pPr>
            <w:r>
              <w:rPr>
                <w:szCs w:val="28"/>
                <w:highlight w:val="none"/>
              </w:rPr>
              <w:t>0,960 (0,903–1,020)</w:t>
            </w:r>
          </w:p>
        </w:tc>
        <w:tc>
          <w:tcPr>
            <w:tcW w:w="1076" w:type="dxa"/>
            <w:vAlign w:val="center"/>
          </w:tcPr>
          <w:p w14:paraId="49130513">
            <w:pPr>
              <w:ind w:firstLine="0"/>
              <w:jc w:val="center"/>
              <w:rPr>
                <w:szCs w:val="28"/>
                <w:highlight w:val="none"/>
              </w:rPr>
            </w:pPr>
            <w:r>
              <w:rPr>
                <w:szCs w:val="28"/>
                <w:highlight w:val="none"/>
              </w:rPr>
              <w:t>0,183</w:t>
            </w:r>
          </w:p>
        </w:tc>
        <w:tc>
          <w:tcPr>
            <w:tcW w:w="2752" w:type="dxa"/>
            <w:vAlign w:val="center"/>
          </w:tcPr>
          <w:p w14:paraId="6B99C371">
            <w:pPr>
              <w:ind w:firstLine="0"/>
              <w:jc w:val="center"/>
              <w:rPr>
                <w:szCs w:val="28"/>
                <w:highlight w:val="none"/>
              </w:rPr>
            </w:pPr>
            <w:r>
              <w:rPr>
                <w:szCs w:val="28"/>
                <w:highlight w:val="none"/>
              </w:rPr>
              <w:t>0,899 (0,564–1,434)</w:t>
            </w:r>
          </w:p>
        </w:tc>
        <w:tc>
          <w:tcPr>
            <w:tcW w:w="986" w:type="dxa"/>
            <w:vAlign w:val="center"/>
          </w:tcPr>
          <w:p w14:paraId="3D786BA9">
            <w:pPr>
              <w:ind w:firstLine="0"/>
              <w:jc w:val="center"/>
              <w:rPr>
                <w:szCs w:val="28"/>
                <w:highlight w:val="none"/>
              </w:rPr>
            </w:pPr>
            <w:r>
              <w:rPr>
                <w:szCs w:val="28"/>
                <w:highlight w:val="none"/>
              </w:rPr>
              <w:t>0,180</w:t>
            </w:r>
          </w:p>
        </w:tc>
      </w:tr>
    </w:tbl>
    <w:p w14:paraId="77A4167E">
      <w:pPr>
        <w:rPr>
          <w:szCs w:val="28"/>
          <w:highlight w:val="none"/>
        </w:rPr>
      </w:pPr>
    </w:p>
    <w:p w14:paraId="75D4E203">
      <w:pPr>
        <w:rPr>
          <w:szCs w:val="28"/>
          <w:highlight w:val="none"/>
        </w:rPr>
      </w:pPr>
      <w:r>
        <w:rPr>
          <w:szCs w:val="28"/>
          <w:highlight w:val="none"/>
        </w:rPr>
        <w:t xml:space="preserve">Так, уніваріативний регресійний аналіз визначив, що вищий середній вміст гемоглобіну в крові (МСН) прямо асоційований з більшою вірогідністю наявності прогресуючого фіброзу у пацієнта з ВГС: ВШ = 1,598 [95,0 % ДІ 1,116–2,289], р = 0,011. В той же час рівень тромбоцитів достовірно асоційований зворотно зі стадією фіброзу: ВШ = 0,982 [95,0 % ДІ 0,967–0,997], р =0,021, що, можливо, пов’язується з негативним впливом на регуляцію тромбоцитів ураженою печінкою. Серед інших параметрів достовірних асоціацій не було визначено. </w:t>
      </w:r>
    </w:p>
    <w:p w14:paraId="368D3509">
      <w:pPr>
        <w:rPr>
          <w:szCs w:val="28"/>
          <w:highlight w:val="none"/>
        </w:rPr>
      </w:pPr>
      <w:r>
        <w:rPr>
          <w:szCs w:val="28"/>
          <w:highlight w:val="none"/>
        </w:rPr>
        <w:t>Поряд з цим у мультиваріативному аналізі МСН зберіг свій прямий вплив на вірогідність наявності прогресуючого фіброзу: ВШ = 4.305 [95,0 % 1,187–5,619] (р = 0,026) та рівень тромбоцитів також зворотно асоціювався зі ступенем фіброзу: ВШ = 0,955 [95,0 % 0,992–0,989], р =0,011.</w:t>
      </w:r>
    </w:p>
    <w:p w14:paraId="022217D0">
      <w:pPr>
        <w:rPr>
          <w:szCs w:val="28"/>
          <w:highlight w:val="none"/>
        </w:rPr>
      </w:pPr>
    </w:p>
    <w:p w14:paraId="19B4A809">
      <w:pPr>
        <w:ind w:firstLine="0"/>
        <w:rPr>
          <w:szCs w:val="28"/>
          <w:highlight w:val="none"/>
        </w:rPr>
      </w:pPr>
      <w:r>
        <w:rPr>
          <w:szCs w:val="28"/>
          <w:highlight w:val="none"/>
        </w:rPr>
        <w:object>
          <v:shape id="_x0000_i1025" o:spt="75" type="#_x0000_t75" style="height:217.2pt;width:467.4pt;" o:ole="t" filled="f" o:preferrelative="t" stroked="f" coordsize="21600,21600">
            <v:path/>
            <v:fill on="f" focussize="0,0"/>
            <v:stroke on="f" joinstyle="miter"/>
            <v:imagedata r:id="rId8" o:title=""/>
            <o:lock v:ext="edit" aspectratio="t"/>
            <w10:wrap type="none"/>
            <w10:anchorlock/>
          </v:shape>
          <o:OLEObject Type="Embed" ProgID="Prism8.Document" ShapeID="_x0000_i1025" DrawAspect="Content" ObjectID="_1468075725" r:id="rId7">
            <o:LockedField>false</o:LockedField>
          </o:OLEObject>
        </w:object>
      </w:r>
    </w:p>
    <w:p w14:paraId="50CBDB8B">
      <w:pPr>
        <w:rPr>
          <w:szCs w:val="28"/>
          <w:highlight w:val="none"/>
        </w:rPr>
      </w:pPr>
    </w:p>
    <w:p w14:paraId="6CCD0D46">
      <w:pPr>
        <w:rPr>
          <w:szCs w:val="28"/>
          <w:highlight w:val="none"/>
        </w:rPr>
      </w:pPr>
      <w:r>
        <w:rPr>
          <w:szCs w:val="28"/>
          <w:highlight w:val="none"/>
        </w:rPr>
        <w:t>Рисунок 1 Предиктори прогресування фіброзу в пацієнтів з ВГС отримані після аналізу параметрів клінічного аналізу крові (МСН — </w:t>
      </w:r>
      <w:bookmarkStart w:id="65" w:name="OLE_LINK3"/>
      <w:r>
        <w:rPr>
          <w:szCs w:val="28"/>
          <w:highlight w:val="none"/>
        </w:rPr>
        <w:t>2,315 (1,248–4,295), р = 0,008</w:t>
      </w:r>
      <w:bookmarkEnd w:id="65"/>
      <w:r>
        <w:rPr>
          <w:szCs w:val="28"/>
          <w:highlight w:val="none"/>
        </w:rPr>
        <w:t xml:space="preserve">; Тромбоцити — </w:t>
      </w:r>
      <w:bookmarkStart w:id="66" w:name="OLE_LINK2"/>
      <w:r>
        <w:rPr>
          <w:szCs w:val="28"/>
          <w:highlight w:val="none"/>
        </w:rPr>
        <w:t>0,967 (0,944–0,990), р = 0,006</w:t>
      </w:r>
      <w:bookmarkEnd w:id="66"/>
      <w:r>
        <w:rPr>
          <w:szCs w:val="28"/>
          <w:highlight w:val="none"/>
        </w:rPr>
        <w:t xml:space="preserve">; Лімфоцити — </w:t>
      </w:r>
      <w:bookmarkStart w:id="67" w:name="OLE_LINK17"/>
      <w:bookmarkStart w:id="68" w:name="OLE_LINK1"/>
      <w:r>
        <w:rPr>
          <w:szCs w:val="28"/>
          <w:highlight w:val="none"/>
        </w:rPr>
        <w:t>0,919 (0,832–1,014), р = 0,092</w:t>
      </w:r>
      <w:bookmarkEnd w:id="67"/>
      <w:r>
        <w:rPr>
          <w:szCs w:val="28"/>
          <w:highlight w:val="none"/>
        </w:rPr>
        <w:t>.</w:t>
      </w:r>
      <w:bookmarkEnd w:id="68"/>
      <w:r>
        <w:rPr>
          <w:szCs w:val="28"/>
          <w:highlight w:val="none"/>
        </w:rPr>
        <w:t>)</w:t>
      </w:r>
    </w:p>
    <w:p w14:paraId="279457F6">
      <w:pPr>
        <w:rPr>
          <w:szCs w:val="28"/>
          <w:highlight w:val="none"/>
        </w:rPr>
      </w:pPr>
    </w:p>
    <w:p w14:paraId="3F167A4E">
      <w:pPr>
        <w:jc w:val="right"/>
        <w:rPr>
          <w:i/>
          <w:iCs/>
          <w:szCs w:val="28"/>
          <w:highlight w:val="none"/>
        </w:rPr>
      </w:pPr>
      <w:r>
        <w:rPr>
          <w:i/>
          <w:iCs/>
          <w:szCs w:val="28"/>
          <w:highlight w:val="none"/>
        </w:rPr>
        <w:t>Таблиця 5.2</w:t>
      </w:r>
    </w:p>
    <w:p w14:paraId="44C279B7">
      <w:pPr>
        <w:rPr>
          <w:b/>
          <w:bCs/>
          <w:szCs w:val="28"/>
          <w:highlight w:val="none"/>
        </w:rPr>
      </w:pPr>
      <w:r>
        <w:rPr>
          <w:b/>
          <w:bCs/>
          <w:szCs w:val="28"/>
          <w:highlight w:val="none"/>
        </w:rPr>
        <w:t>Модель асоціації показників біохімічного аналізу крові та рівнів остеопонтину зі ступенем фіброзу у пацієнтів з ВГС</w:t>
      </w:r>
    </w:p>
    <w:tbl>
      <w:tblPr>
        <w:tblStyle w:val="8"/>
        <w:tblW w:w="93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05"/>
        <w:gridCol w:w="2640"/>
        <w:gridCol w:w="947"/>
        <w:gridCol w:w="2509"/>
        <w:gridCol w:w="863"/>
      </w:tblGrid>
      <w:tr w14:paraId="4FAF9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Merge w:val="restart"/>
            <w:vAlign w:val="center"/>
          </w:tcPr>
          <w:p w14:paraId="5BF1E6EA">
            <w:pPr>
              <w:ind w:left="-57" w:right="-57" w:firstLine="0"/>
              <w:jc w:val="left"/>
              <w:rPr>
                <w:szCs w:val="28"/>
                <w:highlight w:val="none"/>
              </w:rPr>
            </w:pPr>
            <w:bookmarkStart w:id="69" w:name="_Hlk154340595"/>
            <w:r>
              <w:rPr>
                <w:szCs w:val="28"/>
                <w:highlight w:val="none"/>
              </w:rPr>
              <w:t>Показник</w:t>
            </w:r>
          </w:p>
        </w:tc>
        <w:tc>
          <w:tcPr>
            <w:tcW w:w="3587" w:type="dxa"/>
            <w:gridSpan w:val="2"/>
            <w:vAlign w:val="center"/>
          </w:tcPr>
          <w:p w14:paraId="63982A34">
            <w:pPr>
              <w:ind w:left="-57" w:right="-57" w:firstLine="0"/>
              <w:jc w:val="center"/>
              <w:rPr>
                <w:szCs w:val="28"/>
                <w:highlight w:val="none"/>
              </w:rPr>
            </w:pPr>
            <w:r>
              <w:rPr>
                <w:szCs w:val="28"/>
                <w:highlight w:val="none"/>
              </w:rPr>
              <w:t>Уніваріативний аналіз</w:t>
            </w:r>
          </w:p>
        </w:tc>
        <w:tc>
          <w:tcPr>
            <w:tcW w:w="3372" w:type="dxa"/>
            <w:gridSpan w:val="2"/>
            <w:vAlign w:val="center"/>
          </w:tcPr>
          <w:p w14:paraId="70CB7522">
            <w:pPr>
              <w:ind w:left="-57" w:right="-57" w:firstLine="0"/>
              <w:jc w:val="center"/>
              <w:rPr>
                <w:szCs w:val="28"/>
                <w:highlight w:val="none"/>
              </w:rPr>
            </w:pPr>
            <w:r>
              <w:rPr>
                <w:szCs w:val="28"/>
                <w:highlight w:val="none"/>
              </w:rPr>
              <w:t>Мультиваріативний аналіз</w:t>
            </w:r>
          </w:p>
        </w:tc>
      </w:tr>
      <w:tr w14:paraId="3ABDB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Merge w:val="continue"/>
            <w:vAlign w:val="center"/>
          </w:tcPr>
          <w:p w14:paraId="4A8F8085">
            <w:pPr>
              <w:ind w:left="-57" w:right="-57" w:firstLine="0"/>
              <w:jc w:val="left"/>
              <w:rPr>
                <w:szCs w:val="28"/>
                <w:highlight w:val="none"/>
              </w:rPr>
            </w:pPr>
          </w:p>
        </w:tc>
        <w:tc>
          <w:tcPr>
            <w:tcW w:w="2640" w:type="dxa"/>
            <w:vAlign w:val="center"/>
          </w:tcPr>
          <w:p w14:paraId="6198EA5D">
            <w:pPr>
              <w:ind w:left="-57" w:right="-57" w:firstLine="0"/>
              <w:jc w:val="center"/>
              <w:rPr>
                <w:szCs w:val="28"/>
                <w:highlight w:val="none"/>
              </w:rPr>
            </w:pPr>
            <w:r>
              <w:rPr>
                <w:szCs w:val="28"/>
                <w:highlight w:val="none"/>
              </w:rPr>
              <w:t>ВШ (95,0 % ДІ)</w:t>
            </w:r>
          </w:p>
        </w:tc>
        <w:tc>
          <w:tcPr>
            <w:tcW w:w="947" w:type="dxa"/>
            <w:vAlign w:val="center"/>
          </w:tcPr>
          <w:p w14:paraId="6B463745">
            <w:pPr>
              <w:ind w:left="-57" w:right="-57" w:firstLine="0"/>
              <w:jc w:val="center"/>
              <w:rPr>
                <w:szCs w:val="28"/>
                <w:highlight w:val="none"/>
              </w:rPr>
            </w:pPr>
            <w:r>
              <w:rPr>
                <w:szCs w:val="28"/>
                <w:highlight w:val="none"/>
              </w:rPr>
              <w:t>р</w:t>
            </w:r>
          </w:p>
        </w:tc>
        <w:tc>
          <w:tcPr>
            <w:tcW w:w="2509" w:type="dxa"/>
            <w:vAlign w:val="center"/>
          </w:tcPr>
          <w:p w14:paraId="085B1FE9">
            <w:pPr>
              <w:ind w:left="-57" w:right="-57" w:firstLine="0"/>
              <w:jc w:val="center"/>
              <w:rPr>
                <w:szCs w:val="28"/>
                <w:highlight w:val="none"/>
              </w:rPr>
            </w:pPr>
            <w:r>
              <w:rPr>
                <w:szCs w:val="28"/>
                <w:highlight w:val="none"/>
              </w:rPr>
              <w:t>ВШ (95,0 % ДІ)</w:t>
            </w:r>
          </w:p>
        </w:tc>
        <w:tc>
          <w:tcPr>
            <w:tcW w:w="863" w:type="dxa"/>
            <w:vAlign w:val="center"/>
          </w:tcPr>
          <w:p w14:paraId="7E0A40CD">
            <w:pPr>
              <w:ind w:left="-57" w:right="-57" w:firstLine="0"/>
              <w:jc w:val="center"/>
              <w:rPr>
                <w:szCs w:val="28"/>
                <w:highlight w:val="none"/>
              </w:rPr>
            </w:pPr>
            <w:r>
              <w:rPr>
                <w:szCs w:val="28"/>
                <w:highlight w:val="none"/>
              </w:rPr>
              <w:t>р</w:t>
            </w:r>
          </w:p>
        </w:tc>
      </w:tr>
      <w:bookmarkEnd w:id="69"/>
      <w:tr w14:paraId="0AC29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30F68771">
            <w:pPr>
              <w:ind w:left="-57" w:right="-57" w:firstLine="0"/>
              <w:jc w:val="left"/>
              <w:rPr>
                <w:szCs w:val="28"/>
                <w:highlight w:val="none"/>
              </w:rPr>
            </w:pPr>
            <w:r>
              <w:rPr>
                <w:szCs w:val="28"/>
                <w:highlight w:val="none"/>
              </w:rPr>
              <w:t>АЛТ, Од/л</w:t>
            </w:r>
          </w:p>
        </w:tc>
        <w:tc>
          <w:tcPr>
            <w:tcW w:w="2640" w:type="dxa"/>
            <w:vAlign w:val="center"/>
          </w:tcPr>
          <w:p w14:paraId="060611FD">
            <w:pPr>
              <w:ind w:left="-57" w:right="-57" w:firstLine="0"/>
              <w:jc w:val="center"/>
              <w:rPr>
                <w:szCs w:val="28"/>
                <w:highlight w:val="none"/>
              </w:rPr>
            </w:pPr>
            <w:r>
              <w:rPr>
                <w:szCs w:val="28"/>
                <w:highlight w:val="none"/>
              </w:rPr>
              <w:t>1,037 (1,015–1,059)</w:t>
            </w:r>
          </w:p>
        </w:tc>
        <w:tc>
          <w:tcPr>
            <w:tcW w:w="947" w:type="dxa"/>
            <w:vAlign w:val="center"/>
          </w:tcPr>
          <w:p w14:paraId="046BF549">
            <w:pPr>
              <w:ind w:left="-57" w:right="-57" w:firstLine="0"/>
              <w:jc w:val="center"/>
              <w:rPr>
                <w:szCs w:val="28"/>
                <w:highlight w:val="none"/>
              </w:rPr>
            </w:pPr>
            <w:r>
              <w:rPr>
                <w:szCs w:val="28"/>
                <w:highlight w:val="none"/>
              </w:rPr>
              <w:t>0,001</w:t>
            </w:r>
          </w:p>
        </w:tc>
        <w:tc>
          <w:tcPr>
            <w:tcW w:w="2509" w:type="dxa"/>
            <w:vAlign w:val="center"/>
          </w:tcPr>
          <w:p w14:paraId="0A5EAF21">
            <w:pPr>
              <w:ind w:left="-57" w:right="-57" w:firstLine="0"/>
              <w:jc w:val="center"/>
              <w:rPr>
                <w:szCs w:val="28"/>
                <w:highlight w:val="none"/>
              </w:rPr>
            </w:pPr>
            <w:r>
              <w:rPr>
                <w:szCs w:val="28"/>
                <w:highlight w:val="none"/>
              </w:rPr>
              <w:t>—</w:t>
            </w:r>
          </w:p>
        </w:tc>
        <w:tc>
          <w:tcPr>
            <w:tcW w:w="863" w:type="dxa"/>
            <w:vAlign w:val="center"/>
          </w:tcPr>
          <w:p w14:paraId="0DB47C91">
            <w:pPr>
              <w:ind w:left="-57" w:right="-57" w:firstLine="0"/>
              <w:jc w:val="center"/>
              <w:rPr>
                <w:szCs w:val="28"/>
                <w:highlight w:val="none"/>
              </w:rPr>
            </w:pPr>
          </w:p>
        </w:tc>
      </w:tr>
      <w:tr w14:paraId="561A0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739171C3">
            <w:pPr>
              <w:ind w:left="-57" w:right="-57" w:firstLine="0"/>
              <w:jc w:val="left"/>
              <w:rPr>
                <w:szCs w:val="28"/>
                <w:highlight w:val="none"/>
              </w:rPr>
            </w:pPr>
            <w:r>
              <w:rPr>
                <w:szCs w:val="28"/>
                <w:highlight w:val="none"/>
              </w:rPr>
              <w:t>АСТ, Од/л</w:t>
            </w:r>
          </w:p>
        </w:tc>
        <w:tc>
          <w:tcPr>
            <w:tcW w:w="2640" w:type="dxa"/>
            <w:vAlign w:val="center"/>
          </w:tcPr>
          <w:p w14:paraId="1283BE7A">
            <w:pPr>
              <w:ind w:left="-57" w:right="-57" w:firstLine="0"/>
              <w:jc w:val="center"/>
              <w:rPr>
                <w:szCs w:val="28"/>
                <w:highlight w:val="none"/>
              </w:rPr>
            </w:pPr>
            <w:r>
              <w:rPr>
                <w:szCs w:val="28"/>
                <w:highlight w:val="none"/>
              </w:rPr>
              <w:t>1,051 (1,023–1,079)</w:t>
            </w:r>
          </w:p>
        </w:tc>
        <w:tc>
          <w:tcPr>
            <w:tcW w:w="947" w:type="dxa"/>
            <w:vAlign w:val="center"/>
          </w:tcPr>
          <w:p w14:paraId="219A5D99">
            <w:pPr>
              <w:ind w:left="-57" w:right="-57" w:firstLine="0"/>
              <w:jc w:val="center"/>
              <w:rPr>
                <w:szCs w:val="28"/>
                <w:highlight w:val="none"/>
              </w:rPr>
            </w:pPr>
            <w:r>
              <w:rPr>
                <w:szCs w:val="28"/>
                <w:highlight w:val="none"/>
              </w:rPr>
              <w:t>&lt;0,001</w:t>
            </w:r>
          </w:p>
        </w:tc>
        <w:tc>
          <w:tcPr>
            <w:tcW w:w="2509" w:type="dxa"/>
            <w:vAlign w:val="center"/>
          </w:tcPr>
          <w:p w14:paraId="4E7C118E">
            <w:pPr>
              <w:ind w:left="-57" w:right="-57" w:firstLine="0"/>
              <w:jc w:val="center"/>
              <w:rPr>
                <w:color w:val="000000" w:themeColor="text1"/>
                <w:szCs w:val="28"/>
                <w:highlight w:val="none"/>
              </w:rPr>
            </w:pPr>
            <w:r>
              <w:rPr>
                <w:color w:val="000000" w:themeColor="text1"/>
                <w:szCs w:val="28"/>
                <w:highlight w:val="none"/>
              </w:rPr>
              <w:t>1,028 (1,001–1,062)</w:t>
            </w:r>
          </w:p>
        </w:tc>
        <w:tc>
          <w:tcPr>
            <w:tcW w:w="863" w:type="dxa"/>
            <w:vAlign w:val="center"/>
          </w:tcPr>
          <w:p w14:paraId="7553D662">
            <w:pPr>
              <w:ind w:left="-57" w:right="-57" w:firstLine="0"/>
              <w:jc w:val="center"/>
              <w:rPr>
                <w:color w:val="000000" w:themeColor="text1"/>
                <w:szCs w:val="28"/>
                <w:highlight w:val="none"/>
              </w:rPr>
            </w:pPr>
            <w:r>
              <w:rPr>
                <w:color w:val="000000" w:themeColor="text1"/>
                <w:szCs w:val="28"/>
                <w:highlight w:val="none"/>
              </w:rPr>
              <w:t>0,043</w:t>
            </w:r>
          </w:p>
        </w:tc>
      </w:tr>
      <w:tr w14:paraId="5E156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520DCEB2">
            <w:pPr>
              <w:ind w:left="-57" w:right="-57" w:firstLine="0"/>
              <w:jc w:val="left"/>
              <w:rPr>
                <w:szCs w:val="28"/>
                <w:highlight w:val="none"/>
              </w:rPr>
            </w:pPr>
            <w:r>
              <w:rPr>
                <w:szCs w:val="28"/>
                <w:highlight w:val="none"/>
              </w:rPr>
              <w:t>ГГТ, Од/л</w:t>
            </w:r>
          </w:p>
        </w:tc>
        <w:tc>
          <w:tcPr>
            <w:tcW w:w="2640" w:type="dxa"/>
            <w:vAlign w:val="center"/>
          </w:tcPr>
          <w:p w14:paraId="66A11E7D">
            <w:pPr>
              <w:ind w:left="-57" w:right="-57" w:firstLine="0"/>
              <w:jc w:val="center"/>
              <w:rPr>
                <w:szCs w:val="28"/>
                <w:highlight w:val="none"/>
              </w:rPr>
            </w:pPr>
            <w:r>
              <w:rPr>
                <w:szCs w:val="28"/>
                <w:highlight w:val="none"/>
              </w:rPr>
              <w:t>1,017 (1,003–1,032)</w:t>
            </w:r>
          </w:p>
        </w:tc>
        <w:tc>
          <w:tcPr>
            <w:tcW w:w="947" w:type="dxa"/>
            <w:vAlign w:val="center"/>
          </w:tcPr>
          <w:p w14:paraId="765D657D">
            <w:pPr>
              <w:ind w:left="-57" w:right="-57" w:firstLine="0"/>
              <w:jc w:val="center"/>
              <w:rPr>
                <w:szCs w:val="28"/>
                <w:highlight w:val="none"/>
              </w:rPr>
            </w:pPr>
            <w:r>
              <w:rPr>
                <w:szCs w:val="28"/>
                <w:highlight w:val="none"/>
              </w:rPr>
              <w:t>0,019</w:t>
            </w:r>
          </w:p>
        </w:tc>
        <w:tc>
          <w:tcPr>
            <w:tcW w:w="2509" w:type="dxa"/>
          </w:tcPr>
          <w:p w14:paraId="74AE0F06">
            <w:pPr>
              <w:ind w:left="-57" w:right="-57" w:firstLine="0"/>
              <w:jc w:val="center"/>
              <w:rPr>
                <w:szCs w:val="28"/>
                <w:highlight w:val="none"/>
              </w:rPr>
            </w:pPr>
            <w:r>
              <w:rPr>
                <w:szCs w:val="28"/>
                <w:highlight w:val="none"/>
              </w:rPr>
              <w:t>—</w:t>
            </w:r>
          </w:p>
        </w:tc>
        <w:tc>
          <w:tcPr>
            <w:tcW w:w="863" w:type="dxa"/>
            <w:vAlign w:val="center"/>
          </w:tcPr>
          <w:p w14:paraId="31C7BEAC">
            <w:pPr>
              <w:ind w:left="-57" w:right="-57" w:firstLine="0"/>
              <w:jc w:val="center"/>
              <w:rPr>
                <w:szCs w:val="28"/>
                <w:highlight w:val="none"/>
              </w:rPr>
            </w:pPr>
          </w:p>
        </w:tc>
      </w:tr>
      <w:tr w14:paraId="4AAB5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564C9B67">
            <w:pPr>
              <w:ind w:left="-57" w:right="-57" w:firstLine="0"/>
              <w:jc w:val="left"/>
              <w:rPr>
                <w:szCs w:val="28"/>
                <w:highlight w:val="none"/>
              </w:rPr>
            </w:pPr>
            <w:r>
              <w:rPr>
                <w:szCs w:val="28"/>
                <w:highlight w:val="none"/>
              </w:rPr>
              <w:t>ЛФ, Од/л</w:t>
            </w:r>
          </w:p>
        </w:tc>
        <w:tc>
          <w:tcPr>
            <w:tcW w:w="2640" w:type="dxa"/>
            <w:vAlign w:val="center"/>
          </w:tcPr>
          <w:p w14:paraId="1C3A1E5C">
            <w:pPr>
              <w:ind w:left="-57" w:right="-57" w:firstLine="0"/>
              <w:jc w:val="center"/>
              <w:rPr>
                <w:szCs w:val="28"/>
                <w:highlight w:val="none"/>
              </w:rPr>
            </w:pPr>
            <w:r>
              <w:rPr>
                <w:szCs w:val="28"/>
                <w:highlight w:val="none"/>
              </w:rPr>
              <w:t>1,024 (0,999–1,050)</w:t>
            </w:r>
          </w:p>
        </w:tc>
        <w:tc>
          <w:tcPr>
            <w:tcW w:w="947" w:type="dxa"/>
            <w:vAlign w:val="center"/>
          </w:tcPr>
          <w:p w14:paraId="7DB43B19">
            <w:pPr>
              <w:ind w:left="-57" w:right="-57" w:firstLine="0"/>
              <w:jc w:val="center"/>
              <w:rPr>
                <w:szCs w:val="28"/>
                <w:highlight w:val="none"/>
              </w:rPr>
            </w:pPr>
            <w:r>
              <w:rPr>
                <w:szCs w:val="28"/>
                <w:highlight w:val="none"/>
              </w:rPr>
              <w:t>0,064</w:t>
            </w:r>
          </w:p>
        </w:tc>
        <w:tc>
          <w:tcPr>
            <w:tcW w:w="2509" w:type="dxa"/>
          </w:tcPr>
          <w:p w14:paraId="1EF55D27">
            <w:pPr>
              <w:ind w:left="-57" w:right="-57" w:firstLine="0"/>
              <w:jc w:val="center"/>
              <w:rPr>
                <w:szCs w:val="28"/>
                <w:highlight w:val="none"/>
              </w:rPr>
            </w:pPr>
            <w:r>
              <w:rPr>
                <w:szCs w:val="28"/>
                <w:highlight w:val="none"/>
              </w:rPr>
              <w:t>—</w:t>
            </w:r>
          </w:p>
        </w:tc>
        <w:tc>
          <w:tcPr>
            <w:tcW w:w="863" w:type="dxa"/>
            <w:vAlign w:val="center"/>
          </w:tcPr>
          <w:p w14:paraId="1CD9DD0D">
            <w:pPr>
              <w:ind w:left="-57" w:right="-57" w:firstLine="0"/>
              <w:jc w:val="center"/>
              <w:rPr>
                <w:szCs w:val="28"/>
                <w:highlight w:val="none"/>
              </w:rPr>
            </w:pPr>
          </w:p>
        </w:tc>
      </w:tr>
      <w:tr w14:paraId="34044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3BA76C8F">
            <w:pPr>
              <w:ind w:left="-57" w:right="-57" w:firstLine="0"/>
              <w:jc w:val="left"/>
              <w:rPr>
                <w:szCs w:val="28"/>
                <w:highlight w:val="none"/>
              </w:rPr>
            </w:pPr>
            <w:r>
              <w:rPr>
                <w:szCs w:val="28"/>
                <w:highlight w:val="none"/>
              </w:rPr>
              <w:t>Білірубін загальний, ммоль/л</w:t>
            </w:r>
          </w:p>
        </w:tc>
        <w:tc>
          <w:tcPr>
            <w:tcW w:w="2640" w:type="dxa"/>
            <w:vAlign w:val="center"/>
          </w:tcPr>
          <w:p w14:paraId="6C56130A">
            <w:pPr>
              <w:ind w:left="-57" w:right="-57" w:firstLine="0"/>
              <w:jc w:val="center"/>
              <w:rPr>
                <w:szCs w:val="28"/>
                <w:highlight w:val="none"/>
              </w:rPr>
            </w:pPr>
            <w:r>
              <w:rPr>
                <w:szCs w:val="28"/>
                <w:highlight w:val="none"/>
              </w:rPr>
              <w:t>0,998 (0,917–1,085)</w:t>
            </w:r>
          </w:p>
        </w:tc>
        <w:tc>
          <w:tcPr>
            <w:tcW w:w="947" w:type="dxa"/>
            <w:vAlign w:val="center"/>
          </w:tcPr>
          <w:p w14:paraId="209CAEEF">
            <w:pPr>
              <w:ind w:left="-57" w:right="-57" w:firstLine="0"/>
              <w:jc w:val="center"/>
              <w:rPr>
                <w:szCs w:val="28"/>
                <w:highlight w:val="none"/>
              </w:rPr>
            </w:pPr>
            <w:r>
              <w:rPr>
                <w:szCs w:val="28"/>
                <w:highlight w:val="none"/>
              </w:rPr>
              <w:t>0,960</w:t>
            </w:r>
          </w:p>
        </w:tc>
        <w:tc>
          <w:tcPr>
            <w:tcW w:w="2509" w:type="dxa"/>
          </w:tcPr>
          <w:p w14:paraId="5C6EC3A7">
            <w:pPr>
              <w:ind w:left="-57" w:right="-57" w:firstLine="0"/>
              <w:jc w:val="center"/>
              <w:rPr>
                <w:szCs w:val="28"/>
                <w:highlight w:val="none"/>
              </w:rPr>
            </w:pPr>
            <w:r>
              <w:rPr>
                <w:szCs w:val="28"/>
                <w:highlight w:val="none"/>
              </w:rPr>
              <w:t>—</w:t>
            </w:r>
          </w:p>
        </w:tc>
        <w:tc>
          <w:tcPr>
            <w:tcW w:w="863" w:type="dxa"/>
            <w:vAlign w:val="center"/>
          </w:tcPr>
          <w:p w14:paraId="5376976D">
            <w:pPr>
              <w:ind w:left="-57" w:right="-57" w:firstLine="0"/>
              <w:jc w:val="center"/>
              <w:rPr>
                <w:szCs w:val="28"/>
                <w:highlight w:val="none"/>
              </w:rPr>
            </w:pPr>
          </w:p>
        </w:tc>
      </w:tr>
      <w:tr w14:paraId="4BB65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0A50686A">
            <w:pPr>
              <w:ind w:left="-57" w:right="-57" w:firstLine="0"/>
              <w:jc w:val="left"/>
              <w:rPr>
                <w:szCs w:val="28"/>
                <w:highlight w:val="none"/>
              </w:rPr>
            </w:pPr>
            <w:r>
              <w:rPr>
                <w:szCs w:val="28"/>
                <w:highlight w:val="none"/>
              </w:rPr>
              <w:t>Білірубін прямий, ммоль/л</w:t>
            </w:r>
          </w:p>
        </w:tc>
        <w:tc>
          <w:tcPr>
            <w:tcW w:w="2640" w:type="dxa"/>
            <w:vAlign w:val="center"/>
          </w:tcPr>
          <w:p w14:paraId="2C830679">
            <w:pPr>
              <w:ind w:left="-57" w:right="-57" w:firstLine="0"/>
              <w:jc w:val="center"/>
              <w:rPr>
                <w:szCs w:val="28"/>
                <w:highlight w:val="none"/>
              </w:rPr>
            </w:pPr>
            <w:r>
              <w:rPr>
                <w:szCs w:val="28"/>
                <w:highlight w:val="none"/>
              </w:rPr>
              <w:t>1,156 (0,953–1,403)</w:t>
            </w:r>
          </w:p>
        </w:tc>
        <w:tc>
          <w:tcPr>
            <w:tcW w:w="947" w:type="dxa"/>
            <w:vAlign w:val="center"/>
          </w:tcPr>
          <w:p w14:paraId="57B60F73">
            <w:pPr>
              <w:ind w:left="-57" w:right="-57" w:firstLine="0"/>
              <w:jc w:val="center"/>
              <w:rPr>
                <w:szCs w:val="28"/>
                <w:highlight w:val="none"/>
              </w:rPr>
            </w:pPr>
            <w:r>
              <w:rPr>
                <w:szCs w:val="28"/>
                <w:highlight w:val="none"/>
              </w:rPr>
              <w:t>0,140</w:t>
            </w:r>
          </w:p>
        </w:tc>
        <w:tc>
          <w:tcPr>
            <w:tcW w:w="2509" w:type="dxa"/>
          </w:tcPr>
          <w:p w14:paraId="32FFADA3">
            <w:pPr>
              <w:ind w:left="-57" w:right="-57" w:firstLine="0"/>
              <w:jc w:val="center"/>
              <w:rPr>
                <w:szCs w:val="28"/>
                <w:highlight w:val="none"/>
              </w:rPr>
            </w:pPr>
            <w:r>
              <w:rPr>
                <w:szCs w:val="28"/>
                <w:highlight w:val="none"/>
              </w:rPr>
              <w:t>—</w:t>
            </w:r>
          </w:p>
        </w:tc>
        <w:tc>
          <w:tcPr>
            <w:tcW w:w="863" w:type="dxa"/>
            <w:vAlign w:val="center"/>
          </w:tcPr>
          <w:p w14:paraId="1B4FBA65">
            <w:pPr>
              <w:ind w:left="-57" w:right="-57" w:firstLine="0"/>
              <w:jc w:val="center"/>
              <w:rPr>
                <w:szCs w:val="28"/>
                <w:highlight w:val="none"/>
              </w:rPr>
            </w:pPr>
          </w:p>
        </w:tc>
      </w:tr>
    </w:tbl>
    <w:p w14:paraId="59F5B754">
      <w:pPr>
        <w:jc w:val="right"/>
        <w:rPr>
          <w:i/>
          <w:iCs/>
          <w:szCs w:val="28"/>
          <w:highlight w:val="none"/>
        </w:rPr>
      </w:pPr>
      <w:r>
        <w:rPr>
          <w:i/>
          <w:iCs/>
          <w:szCs w:val="28"/>
          <w:highlight w:val="none"/>
        </w:rPr>
        <w:t>Продовження таблиці 5.2</w:t>
      </w:r>
    </w:p>
    <w:tbl>
      <w:tblPr>
        <w:tblStyle w:val="8"/>
        <w:tblW w:w="93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05"/>
        <w:gridCol w:w="2640"/>
        <w:gridCol w:w="947"/>
        <w:gridCol w:w="2509"/>
        <w:gridCol w:w="863"/>
      </w:tblGrid>
      <w:tr w14:paraId="14324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Merge w:val="restart"/>
            <w:vAlign w:val="center"/>
          </w:tcPr>
          <w:p w14:paraId="32186BAA">
            <w:pPr>
              <w:ind w:left="-57" w:right="-57" w:firstLine="0"/>
              <w:jc w:val="left"/>
              <w:rPr>
                <w:szCs w:val="28"/>
                <w:highlight w:val="none"/>
              </w:rPr>
            </w:pPr>
            <w:r>
              <w:rPr>
                <w:szCs w:val="28"/>
                <w:highlight w:val="none"/>
              </w:rPr>
              <w:t>Показник</w:t>
            </w:r>
          </w:p>
        </w:tc>
        <w:tc>
          <w:tcPr>
            <w:tcW w:w="3587" w:type="dxa"/>
            <w:gridSpan w:val="2"/>
            <w:vAlign w:val="center"/>
          </w:tcPr>
          <w:p w14:paraId="02F38AAD">
            <w:pPr>
              <w:ind w:left="-57" w:right="-57" w:firstLine="0"/>
              <w:jc w:val="center"/>
              <w:rPr>
                <w:szCs w:val="28"/>
                <w:highlight w:val="none"/>
              </w:rPr>
            </w:pPr>
            <w:r>
              <w:rPr>
                <w:szCs w:val="28"/>
                <w:highlight w:val="none"/>
              </w:rPr>
              <w:t>Уніваріативний аналіз</w:t>
            </w:r>
          </w:p>
        </w:tc>
        <w:tc>
          <w:tcPr>
            <w:tcW w:w="3372" w:type="dxa"/>
            <w:gridSpan w:val="2"/>
            <w:vAlign w:val="center"/>
          </w:tcPr>
          <w:p w14:paraId="0D7D23FB">
            <w:pPr>
              <w:ind w:left="-57" w:right="-57" w:firstLine="0"/>
              <w:jc w:val="center"/>
              <w:rPr>
                <w:szCs w:val="28"/>
                <w:highlight w:val="none"/>
              </w:rPr>
            </w:pPr>
            <w:r>
              <w:rPr>
                <w:szCs w:val="28"/>
                <w:highlight w:val="none"/>
              </w:rPr>
              <w:t>Мультиваріативний аналіз</w:t>
            </w:r>
          </w:p>
        </w:tc>
      </w:tr>
      <w:tr w14:paraId="5F959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Merge w:val="continue"/>
            <w:vAlign w:val="center"/>
          </w:tcPr>
          <w:p w14:paraId="7EB8C699">
            <w:pPr>
              <w:ind w:left="-57" w:right="-57" w:firstLine="0"/>
              <w:jc w:val="left"/>
              <w:rPr>
                <w:szCs w:val="28"/>
                <w:highlight w:val="none"/>
              </w:rPr>
            </w:pPr>
          </w:p>
        </w:tc>
        <w:tc>
          <w:tcPr>
            <w:tcW w:w="2640" w:type="dxa"/>
            <w:vAlign w:val="center"/>
          </w:tcPr>
          <w:p w14:paraId="1B53E381">
            <w:pPr>
              <w:ind w:left="-57" w:right="-57" w:firstLine="0"/>
              <w:jc w:val="center"/>
              <w:rPr>
                <w:szCs w:val="28"/>
                <w:highlight w:val="none"/>
              </w:rPr>
            </w:pPr>
            <w:r>
              <w:rPr>
                <w:szCs w:val="28"/>
                <w:highlight w:val="none"/>
              </w:rPr>
              <w:t>ВШ (95,0 % ДІ)</w:t>
            </w:r>
          </w:p>
        </w:tc>
        <w:tc>
          <w:tcPr>
            <w:tcW w:w="947" w:type="dxa"/>
            <w:vAlign w:val="center"/>
          </w:tcPr>
          <w:p w14:paraId="55A26444">
            <w:pPr>
              <w:ind w:left="-57" w:right="-57" w:firstLine="0"/>
              <w:jc w:val="center"/>
              <w:rPr>
                <w:szCs w:val="28"/>
                <w:highlight w:val="none"/>
              </w:rPr>
            </w:pPr>
            <w:r>
              <w:rPr>
                <w:szCs w:val="28"/>
                <w:highlight w:val="none"/>
              </w:rPr>
              <w:t>р</w:t>
            </w:r>
          </w:p>
        </w:tc>
        <w:tc>
          <w:tcPr>
            <w:tcW w:w="2509" w:type="dxa"/>
            <w:vAlign w:val="center"/>
          </w:tcPr>
          <w:p w14:paraId="4EB74E2B">
            <w:pPr>
              <w:ind w:left="-57" w:right="-57" w:firstLine="0"/>
              <w:jc w:val="center"/>
              <w:rPr>
                <w:szCs w:val="28"/>
                <w:highlight w:val="none"/>
              </w:rPr>
            </w:pPr>
            <w:r>
              <w:rPr>
                <w:szCs w:val="28"/>
                <w:highlight w:val="none"/>
              </w:rPr>
              <w:t>ВШ (95,0 % ДІ)</w:t>
            </w:r>
          </w:p>
        </w:tc>
        <w:tc>
          <w:tcPr>
            <w:tcW w:w="863" w:type="dxa"/>
            <w:vAlign w:val="center"/>
          </w:tcPr>
          <w:p w14:paraId="1213A5EF">
            <w:pPr>
              <w:ind w:left="-57" w:right="-57" w:firstLine="0"/>
              <w:jc w:val="center"/>
              <w:rPr>
                <w:szCs w:val="28"/>
                <w:highlight w:val="none"/>
              </w:rPr>
            </w:pPr>
            <w:r>
              <w:rPr>
                <w:szCs w:val="28"/>
                <w:highlight w:val="none"/>
              </w:rPr>
              <w:t>р</w:t>
            </w:r>
          </w:p>
        </w:tc>
      </w:tr>
      <w:tr w14:paraId="1DBF2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083FB136">
            <w:pPr>
              <w:ind w:left="-57" w:right="-57" w:firstLine="0"/>
              <w:jc w:val="left"/>
              <w:rPr>
                <w:szCs w:val="28"/>
                <w:highlight w:val="none"/>
              </w:rPr>
            </w:pPr>
            <w:r>
              <w:rPr>
                <w:szCs w:val="28"/>
                <w:highlight w:val="none"/>
              </w:rPr>
              <w:t>Білірубін непрямий, ммоль/л</w:t>
            </w:r>
          </w:p>
        </w:tc>
        <w:tc>
          <w:tcPr>
            <w:tcW w:w="2640" w:type="dxa"/>
            <w:vAlign w:val="center"/>
          </w:tcPr>
          <w:p w14:paraId="0955BC4D">
            <w:pPr>
              <w:ind w:left="-57" w:right="-57" w:firstLine="0"/>
              <w:jc w:val="center"/>
              <w:rPr>
                <w:szCs w:val="28"/>
                <w:highlight w:val="none"/>
              </w:rPr>
            </w:pPr>
            <w:r>
              <w:rPr>
                <w:szCs w:val="28"/>
                <w:highlight w:val="none"/>
              </w:rPr>
              <w:t>0,944 (0,833–1,069)</w:t>
            </w:r>
          </w:p>
        </w:tc>
        <w:tc>
          <w:tcPr>
            <w:tcW w:w="947" w:type="dxa"/>
            <w:vAlign w:val="center"/>
          </w:tcPr>
          <w:p w14:paraId="1943B430">
            <w:pPr>
              <w:ind w:left="-57" w:right="-57" w:firstLine="0"/>
              <w:jc w:val="center"/>
              <w:rPr>
                <w:szCs w:val="28"/>
                <w:highlight w:val="none"/>
              </w:rPr>
            </w:pPr>
            <w:r>
              <w:rPr>
                <w:szCs w:val="28"/>
                <w:highlight w:val="none"/>
              </w:rPr>
              <w:t>0,362</w:t>
            </w:r>
          </w:p>
        </w:tc>
        <w:tc>
          <w:tcPr>
            <w:tcW w:w="2509" w:type="dxa"/>
          </w:tcPr>
          <w:p w14:paraId="2039993C">
            <w:pPr>
              <w:ind w:left="-57" w:right="-57" w:firstLine="0"/>
              <w:jc w:val="center"/>
              <w:rPr>
                <w:szCs w:val="28"/>
                <w:highlight w:val="none"/>
              </w:rPr>
            </w:pPr>
            <w:r>
              <w:rPr>
                <w:szCs w:val="28"/>
                <w:highlight w:val="none"/>
              </w:rPr>
              <w:t>—</w:t>
            </w:r>
          </w:p>
        </w:tc>
        <w:tc>
          <w:tcPr>
            <w:tcW w:w="863" w:type="dxa"/>
            <w:vAlign w:val="center"/>
          </w:tcPr>
          <w:p w14:paraId="79FDEEAD">
            <w:pPr>
              <w:ind w:left="-57" w:right="-57" w:firstLine="0"/>
              <w:jc w:val="center"/>
              <w:rPr>
                <w:szCs w:val="28"/>
                <w:highlight w:val="none"/>
              </w:rPr>
            </w:pPr>
          </w:p>
        </w:tc>
      </w:tr>
      <w:tr w14:paraId="76214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48C66421">
            <w:pPr>
              <w:ind w:left="-57" w:right="-57" w:firstLine="0"/>
              <w:jc w:val="left"/>
              <w:rPr>
                <w:szCs w:val="28"/>
                <w:highlight w:val="none"/>
              </w:rPr>
            </w:pPr>
            <w:r>
              <w:rPr>
                <w:szCs w:val="28"/>
                <w:highlight w:val="none"/>
              </w:rPr>
              <w:t>Тимолова проба, Од S-H</w:t>
            </w:r>
          </w:p>
        </w:tc>
        <w:tc>
          <w:tcPr>
            <w:tcW w:w="2640" w:type="dxa"/>
            <w:vAlign w:val="center"/>
          </w:tcPr>
          <w:p w14:paraId="1074E43F">
            <w:pPr>
              <w:ind w:left="-57" w:right="-57" w:firstLine="0"/>
              <w:jc w:val="center"/>
              <w:rPr>
                <w:szCs w:val="28"/>
                <w:highlight w:val="none"/>
              </w:rPr>
            </w:pPr>
            <w:r>
              <w:rPr>
                <w:szCs w:val="28"/>
                <w:highlight w:val="none"/>
              </w:rPr>
              <w:t>1,424 (1,009–2,010)</w:t>
            </w:r>
          </w:p>
        </w:tc>
        <w:tc>
          <w:tcPr>
            <w:tcW w:w="947" w:type="dxa"/>
            <w:vAlign w:val="center"/>
          </w:tcPr>
          <w:p w14:paraId="7C70CBC5">
            <w:pPr>
              <w:ind w:left="-57" w:right="-57" w:firstLine="0"/>
              <w:jc w:val="center"/>
              <w:rPr>
                <w:szCs w:val="28"/>
                <w:highlight w:val="none"/>
              </w:rPr>
            </w:pPr>
            <w:r>
              <w:rPr>
                <w:szCs w:val="28"/>
                <w:highlight w:val="none"/>
              </w:rPr>
              <w:t>0,044</w:t>
            </w:r>
          </w:p>
        </w:tc>
        <w:tc>
          <w:tcPr>
            <w:tcW w:w="2509" w:type="dxa"/>
          </w:tcPr>
          <w:p w14:paraId="68C2D4F3">
            <w:pPr>
              <w:ind w:left="-57" w:right="-57" w:firstLine="0"/>
              <w:jc w:val="center"/>
              <w:rPr>
                <w:szCs w:val="28"/>
                <w:highlight w:val="none"/>
              </w:rPr>
            </w:pPr>
            <w:r>
              <w:rPr>
                <w:szCs w:val="28"/>
                <w:highlight w:val="none"/>
              </w:rPr>
              <w:t>—</w:t>
            </w:r>
          </w:p>
        </w:tc>
        <w:tc>
          <w:tcPr>
            <w:tcW w:w="863" w:type="dxa"/>
            <w:vAlign w:val="center"/>
          </w:tcPr>
          <w:p w14:paraId="4389553D">
            <w:pPr>
              <w:ind w:left="-57" w:right="-57" w:firstLine="0"/>
              <w:jc w:val="center"/>
              <w:rPr>
                <w:szCs w:val="28"/>
                <w:highlight w:val="none"/>
              </w:rPr>
            </w:pPr>
          </w:p>
        </w:tc>
      </w:tr>
      <w:tr w14:paraId="652E4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411B14E2">
            <w:pPr>
              <w:ind w:left="-57" w:right="-57" w:firstLine="0"/>
              <w:jc w:val="left"/>
              <w:rPr>
                <w:szCs w:val="28"/>
                <w:highlight w:val="none"/>
              </w:rPr>
            </w:pPr>
            <w:r>
              <w:rPr>
                <w:szCs w:val="28"/>
                <w:highlight w:val="none"/>
              </w:rPr>
              <w:t>Альбумін, г/л</w:t>
            </w:r>
          </w:p>
        </w:tc>
        <w:tc>
          <w:tcPr>
            <w:tcW w:w="2640" w:type="dxa"/>
            <w:vAlign w:val="center"/>
          </w:tcPr>
          <w:p w14:paraId="1330CDCB">
            <w:pPr>
              <w:ind w:left="-57" w:right="-57" w:firstLine="0"/>
              <w:jc w:val="center"/>
              <w:rPr>
                <w:szCs w:val="28"/>
                <w:highlight w:val="none"/>
              </w:rPr>
            </w:pPr>
            <w:r>
              <w:rPr>
                <w:szCs w:val="28"/>
                <w:highlight w:val="none"/>
              </w:rPr>
              <w:t>0,941 (0,871–1,017)</w:t>
            </w:r>
          </w:p>
        </w:tc>
        <w:tc>
          <w:tcPr>
            <w:tcW w:w="947" w:type="dxa"/>
            <w:vAlign w:val="center"/>
          </w:tcPr>
          <w:p w14:paraId="006E06D4">
            <w:pPr>
              <w:ind w:left="-57" w:right="-57" w:firstLine="0"/>
              <w:jc w:val="center"/>
              <w:rPr>
                <w:szCs w:val="28"/>
                <w:highlight w:val="none"/>
              </w:rPr>
            </w:pPr>
            <w:r>
              <w:rPr>
                <w:szCs w:val="28"/>
                <w:highlight w:val="none"/>
              </w:rPr>
              <w:t>0,127</w:t>
            </w:r>
          </w:p>
        </w:tc>
        <w:tc>
          <w:tcPr>
            <w:tcW w:w="2509" w:type="dxa"/>
          </w:tcPr>
          <w:p w14:paraId="2EC9E0CF">
            <w:pPr>
              <w:ind w:left="-57" w:right="-57" w:firstLine="0"/>
              <w:jc w:val="center"/>
              <w:rPr>
                <w:szCs w:val="28"/>
                <w:highlight w:val="none"/>
              </w:rPr>
            </w:pPr>
            <w:r>
              <w:rPr>
                <w:szCs w:val="28"/>
                <w:highlight w:val="none"/>
              </w:rPr>
              <w:t>—</w:t>
            </w:r>
          </w:p>
        </w:tc>
        <w:tc>
          <w:tcPr>
            <w:tcW w:w="863" w:type="dxa"/>
            <w:vAlign w:val="center"/>
          </w:tcPr>
          <w:p w14:paraId="5B5C49C9">
            <w:pPr>
              <w:ind w:left="-57" w:right="-57" w:firstLine="0"/>
              <w:jc w:val="center"/>
              <w:rPr>
                <w:szCs w:val="28"/>
                <w:highlight w:val="none"/>
              </w:rPr>
            </w:pPr>
          </w:p>
        </w:tc>
      </w:tr>
      <w:tr w14:paraId="6FA52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34ADE40A">
            <w:pPr>
              <w:ind w:left="-57" w:right="-57" w:firstLine="0"/>
              <w:jc w:val="left"/>
              <w:rPr>
                <w:szCs w:val="28"/>
                <w:highlight w:val="none"/>
              </w:rPr>
            </w:pPr>
            <w:r>
              <w:rPr>
                <w:szCs w:val="28"/>
                <w:highlight w:val="none"/>
              </w:rPr>
              <w:t>Заг. білок, г/л</w:t>
            </w:r>
          </w:p>
        </w:tc>
        <w:tc>
          <w:tcPr>
            <w:tcW w:w="2640" w:type="dxa"/>
            <w:vAlign w:val="center"/>
          </w:tcPr>
          <w:p w14:paraId="453A83E2">
            <w:pPr>
              <w:ind w:left="-57" w:right="-57" w:firstLine="0"/>
              <w:jc w:val="center"/>
              <w:rPr>
                <w:szCs w:val="28"/>
                <w:highlight w:val="none"/>
              </w:rPr>
            </w:pPr>
            <w:r>
              <w:rPr>
                <w:szCs w:val="28"/>
                <w:highlight w:val="none"/>
              </w:rPr>
              <w:t>1,162 (1,016–1,329)</w:t>
            </w:r>
          </w:p>
        </w:tc>
        <w:tc>
          <w:tcPr>
            <w:tcW w:w="947" w:type="dxa"/>
            <w:vAlign w:val="center"/>
          </w:tcPr>
          <w:p w14:paraId="40D18FD6">
            <w:pPr>
              <w:ind w:left="-57" w:right="-57" w:firstLine="0"/>
              <w:jc w:val="center"/>
              <w:rPr>
                <w:szCs w:val="28"/>
                <w:highlight w:val="none"/>
              </w:rPr>
            </w:pPr>
            <w:r>
              <w:rPr>
                <w:szCs w:val="28"/>
                <w:highlight w:val="none"/>
              </w:rPr>
              <w:t>0,028</w:t>
            </w:r>
          </w:p>
        </w:tc>
        <w:tc>
          <w:tcPr>
            <w:tcW w:w="2509" w:type="dxa"/>
            <w:vAlign w:val="center"/>
          </w:tcPr>
          <w:p w14:paraId="398C536F">
            <w:pPr>
              <w:ind w:left="-57" w:right="-57" w:firstLine="0"/>
              <w:jc w:val="center"/>
              <w:rPr>
                <w:color w:val="000000" w:themeColor="text1"/>
                <w:szCs w:val="28"/>
                <w:highlight w:val="none"/>
              </w:rPr>
            </w:pPr>
            <w:r>
              <w:rPr>
                <w:color w:val="000000" w:themeColor="text1"/>
                <w:szCs w:val="28"/>
                <w:highlight w:val="none"/>
              </w:rPr>
              <w:t>1,195 (1,012–1,440)</w:t>
            </w:r>
          </w:p>
        </w:tc>
        <w:tc>
          <w:tcPr>
            <w:tcW w:w="863" w:type="dxa"/>
            <w:vAlign w:val="center"/>
          </w:tcPr>
          <w:p w14:paraId="7FC9A97D">
            <w:pPr>
              <w:ind w:left="-57" w:right="-57" w:firstLine="0"/>
              <w:jc w:val="center"/>
              <w:rPr>
                <w:color w:val="000000" w:themeColor="text1"/>
                <w:szCs w:val="28"/>
                <w:highlight w:val="none"/>
              </w:rPr>
            </w:pPr>
            <w:r>
              <w:rPr>
                <w:color w:val="000000" w:themeColor="text1"/>
                <w:szCs w:val="28"/>
                <w:highlight w:val="none"/>
              </w:rPr>
              <w:t>0,046</w:t>
            </w:r>
          </w:p>
        </w:tc>
      </w:tr>
      <w:tr w14:paraId="44889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29172BBD">
            <w:pPr>
              <w:ind w:left="-57" w:right="-57" w:firstLine="0"/>
              <w:jc w:val="left"/>
              <w:rPr>
                <w:szCs w:val="28"/>
                <w:highlight w:val="none"/>
              </w:rPr>
            </w:pPr>
            <w:r>
              <w:rPr>
                <w:szCs w:val="28"/>
                <w:highlight w:val="none"/>
              </w:rPr>
              <w:t>ХС загальний</w:t>
            </w:r>
          </w:p>
        </w:tc>
        <w:tc>
          <w:tcPr>
            <w:tcW w:w="2640" w:type="dxa"/>
            <w:vAlign w:val="center"/>
          </w:tcPr>
          <w:p w14:paraId="29571C94">
            <w:pPr>
              <w:ind w:left="-57" w:right="-57" w:firstLine="0"/>
              <w:jc w:val="center"/>
              <w:rPr>
                <w:szCs w:val="28"/>
                <w:highlight w:val="none"/>
              </w:rPr>
            </w:pPr>
            <w:r>
              <w:rPr>
                <w:szCs w:val="28"/>
                <w:highlight w:val="none"/>
              </w:rPr>
              <w:t>0,945 (0,559–1,598)</w:t>
            </w:r>
          </w:p>
        </w:tc>
        <w:tc>
          <w:tcPr>
            <w:tcW w:w="947" w:type="dxa"/>
            <w:vAlign w:val="center"/>
          </w:tcPr>
          <w:p w14:paraId="50103D28">
            <w:pPr>
              <w:ind w:left="-57" w:right="-57" w:firstLine="0"/>
              <w:jc w:val="center"/>
              <w:rPr>
                <w:szCs w:val="28"/>
                <w:highlight w:val="none"/>
              </w:rPr>
            </w:pPr>
            <w:r>
              <w:rPr>
                <w:szCs w:val="28"/>
                <w:highlight w:val="none"/>
              </w:rPr>
              <w:t>0,834</w:t>
            </w:r>
          </w:p>
        </w:tc>
        <w:tc>
          <w:tcPr>
            <w:tcW w:w="2509" w:type="dxa"/>
          </w:tcPr>
          <w:p w14:paraId="367D6377">
            <w:pPr>
              <w:ind w:left="-57" w:right="-57" w:firstLine="0"/>
              <w:jc w:val="center"/>
              <w:rPr>
                <w:szCs w:val="28"/>
                <w:highlight w:val="none"/>
              </w:rPr>
            </w:pPr>
            <w:r>
              <w:rPr>
                <w:szCs w:val="28"/>
                <w:highlight w:val="none"/>
              </w:rPr>
              <w:t>—</w:t>
            </w:r>
          </w:p>
        </w:tc>
        <w:tc>
          <w:tcPr>
            <w:tcW w:w="863" w:type="dxa"/>
            <w:vAlign w:val="center"/>
          </w:tcPr>
          <w:p w14:paraId="2B309D8E">
            <w:pPr>
              <w:ind w:left="-57" w:right="-57" w:firstLine="0"/>
              <w:jc w:val="center"/>
              <w:rPr>
                <w:szCs w:val="28"/>
                <w:highlight w:val="none"/>
              </w:rPr>
            </w:pPr>
          </w:p>
        </w:tc>
      </w:tr>
      <w:tr w14:paraId="6C60B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59B81FF0">
            <w:pPr>
              <w:ind w:left="-57" w:right="-57" w:firstLine="0"/>
              <w:jc w:val="left"/>
              <w:rPr>
                <w:szCs w:val="28"/>
                <w:highlight w:val="none"/>
              </w:rPr>
            </w:pPr>
            <w:r>
              <w:rPr>
                <w:szCs w:val="28"/>
                <w:highlight w:val="none"/>
              </w:rPr>
              <w:t>ЛПВЩ, ммоль/л</w:t>
            </w:r>
          </w:p>
        </w:tc>
        <w:tc>
          <w:tcPr>
            <w:tcW w:w="2640" w:type="dxa"/>
            <w:vAlign w:val="center"/>
          </w:tcPr>
          <w:p w14:paraId="60D52E85">
            <w:pPr>
              <w:ind w:left="-57" w:right="-57" w:firstLine="0"/>
              <w:jc w:val="center"/>
              <w:rPr>
                <w:szCs w:val="28"/>
                <w:highlight w:val="none"/>
              </w:rPr>
            </w:pPr>
            <w:r>
              <w:rPr>
                <w:szCs w:val="28"/>
                <w:highlight w:val="none"/>
              </w:rPr>
              <w:t>0,748 (0,113–4,957)</w:t>
            </w:r>
          </w:p>
        </w:tc>
        <w:tc>
          <w:tcPr>
            <w:tcW w:w="947" w:type="dxa"/>
            <w:vAlign w:val="center"/>
          </w:tcPr>
          <w:p w14:paraId="51827B29">
            <w:pPr>
              <w:ind w:left="-57" w:right="-57" w:firstLine="0"/>
              <w:jc w:val="center"/>
              <w:rPr>
                <w:szCs w:val="28"/>
                <w:highlight w:val="none"/>
              </w:rPr>
            </w:pPr>
            <w:r>
              <w:rPr>
                <w:szCs w:val="28"/>
                <w:highlight w:val="none"/>
              </w:rPr>
              <w:t>0,764</w:t>
            </w:r>
          </w:p>
        </w:tc>
        <w:tc>
          <w:tcPr>
            <w:tcW w:w="2509" w:type="dxa"/>
          </w:tcPr>
          <w:p w14:paraId="0C6ABD7A">
            <w:pPr>
              <w:ind w:left="-57" w:right="-57" w:firstLine="0"/>
              <w:jc w:val="center"/>
              <w:rPr>
                <w:szCs w:val="28"/>
                <w:highlight w:val="none"/>
              </w:rPr>
            </w:pPr>
            <w:r>
              <w:rPr>
                <w:szCs w:val="28"/>
                <w:highlight w:val="none"/>
              </w:rPr>
              <w:t>—</w:t>
            </w:r>
          </w:p>
        </w:tc>
        <w:tc>
          <w:tcPr>
            <w:tcW w:w="863" w:type="dxa"/>
            <w:vAlign w:val="center"/>
          </w:tcPr>
          <w:p w14:paraId="39F8DB65">
            <w:pPr>
              <w:ind w:left="-57" w:right="-57" w:firstLine="0"/>
              <w:jc w:val="center"/>
              <w:rPr>
                <w:szCs w:val="28"/>
                <w:highlight w:val="none"/>
              </w:rPr>
            </w:pPr>
          </w:p>
        </w:tc>
      </w:tr>
      <w:tr w14:paraId="6E565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4705556F">
            <w:pPr>
              <w:ind w:left="-57" w:right="-57" w:firstLine="0"/>
              <w:jc w:val="left"/>
              <w:rPr>
                <w:szCs w:val="28"/>
                <w:highlight w:val="none"/>
              </w:rPr>
            </w:pPr>
            <w:r>
              <w:rPr>
                <w:szCs w:val="28"/>
                <w:highlight w:val="none"/>
              </w:rPr>
              <w:t>ТГ, ммоль/л</w:t>
            </w:r>
          </w:p>
        </w:tc>
        <w:tc>
          <w:tcPr>
            <w:tcW w:w="2640" w:type="dxa"/>
            <w:vAlign w:val="center"/>
          </w:tcPr>
          <w:p w14:paraId="6BC1B688">
            <w:pPr>
              <w:ind w:left="-57" w:right="-57" w:firstLine="0"/>
              <w:jc w:val="center"/>
              <w:rPr>
                <w:szCs w:val="28"/>
                <w:highlight w:val="none"/>
              </w:rPr>
            </w:pPr>
            <w:r>
              <w:rPr>
                <w:szCs w:val="28"/>
                <w:highlight w:val="none"/>
              </w:rPr>
              <w:t>0,253 (0,072–0,884)</w:t>
            </w:r>
          </w:p>
        </w:tc>
        <w:tc>
          <w:tcPr>
            <w:tcW w:w="947" w:type="dxa"/>
            <w:vAlign w:val="center"/>
          </w:tcPr>
          <w:p w14:paraId="684D6028">
            <w:pPr>
              <w:ind w:left="-57" w:right="-57" w:firstLine="0"/>
              <w:jc w:val="center"/>
              <w:rPr>
                <w:szCs w:val="28"/>
                <w:highlight w:val="none"/>
              </w:rPr>
            </w:pPr>
            <w:r>
              <w:rPr>
                <w:szCs w:val="28"/>
                <w:highlight w:val="none"/>
              </w:rPr>
              <w:t>0,031</w:t>
            </w:r>
          </w:p>
        </w:tc>
        <w:tc>
          <w:tcPr>
            <w:tcW w:w="2509" w:type="dxa"/>
          </w:tcPr>
          <w:p w14:paraId="3FCC647B">
            <w:pPr>
              <w:ind w:left="-57" w:right="-57" w:firstLine="0"/>
              <w:jc w:val="center"/>
              <w:rPr>
                <w:szCs w:val="28"/>
                <w:highlight w:val="none"/>
              </w:rPr>
            </w:pPr>
            <w:r>
              <w:rPr>
                <w:szCs w:val="28"/>
                <w:highlight w:val="none"/>
              </w:rPr>
              <w:t>—</w:t>
            </w:r>
          </w:p>
        </w:tc>
        <w:tc>
          <w:tcPr>
            <w:tcW w:w="863" w:type="dxa"/>
            <w:vAlign w:val="center"/>
          </w:tcPr>
          <w:p w14:paraId="1DEDB2D7">
            <w:pPr>
              <w:ind w:left="-57" w:right="-57" w:firstLine="0"/>
              <w:jc w:val="center"/>
              <w:rPr>
                <w:szCs w:val="28"/>
                <w:highlight w:val="none"/>
              </w:rPr>
            </w:pPr>
          </w:p>
        </w:tc>
      </w:tr>
      <w:tr w14:paraId="34C2D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1E390BA5">
            <w:pPr>
              <w:ind w:left="-57" w:right="-57" w:firstLine="0"/>
              <w:jc w:val="left"/>
              <w:rPr>
                <w:szCs w:val="28"/>
                <w:highlight w:val="none"/>
              </w:rPr>
            </w:pPr>
            <w:r>
              <w:rPr>
                <w:szCs w:val="28"/>
                <w:highlight w:val="none"/>
              </w:rPr>
              <w:t>ЛПНЩ, ммоль/л</w:t>
            </w:r>
          </w:p>
        </w:tc>
        <w:tc>
          <w:tcPr>
            <w:tcW w:w="2640" w:type="dxa"/>
            <w:vAlign w:val="center"/>
          </w:tcPr>
          <w:p w14:paraId="791C2511">
            <w:pPr>
              <w:ind w:left="-57" w:right="-57" w:firstLine="0"/>
              <w:jc w:val="center"/>
              <w:rPr>
                <w:szCs w:val="28"/>
                <w:highlight w:val="none"/>
              </w:rPr>
            </w:pPr>
            <w:r>
              <w:rPr>
                <w:szCs w:val="28"/>
                <w:highlight w:val="none"/>
              </w:rPr>
              <w:t>1,362 (0,692–2,679)</w:t>
            </w:r>
          </w:p>
        </w:tc>
        <w:tc>
          <w:tcPr>
            <w:tcW w:w="947" w:type="dxa"/>
            <w:vAlign w:val="center"/>
          </w:tcPr>
          <w:p w14:paraId="4B44C39F">
            <w:pPr>
              <w:ind w:left="-57" w:right="-57" w:firstLine="0"/>
              <w:jc w:val="center"/>
              <w:rPr>
                <w:szCs w:val="28"/>
                <w:highlight w:val="none"/>
              </w:rPr>
            </w:pPr>
            <w:r>
              <w:rPr>
                <w:szCs w:val="28"/>
                <w:highlight w:val="none"/>
              </w:rPr>
              <w:t>0,371</w:t>
            </w:r>
          </w:p>
        </w:tc>
        <w:tc>
          <w:tcPr>
            <w:tcW w:w="2509" w:type="dxa"/>
          </w:tcPr>
          <w:p w14:paraId="6A7B8AA9">
            <w:pPr>
              <w:ind w:left="-57" w:right="-57" w:firstLine="0"/>
              <w:jc w:val="center"/>
              <w:rPr>
                <w:szCs w:val="28"/>
                <w:highlight w:val="none"/>
              </w:rPr>
            </w:pPr>
            <w:r>
              <w:rPr>
                <w:szCs w:val="28"/>
                <w:highlight w:val="none"/>
              </w:rPr>
              <w:t>—</w:t>
            </w:r>
          </w:p>
        </w:tc>
        <w:tc>
          <w:tcPr>
            <w:tcW w:w="863" w:type="dxa"/>
            <w:vAlign w:val="center"/>
          </w:tcPr>
          <w:p w14:paraId="6F459342">
            <w:pPr>
              <w:ind w:left="-57" w:right="-57" w:firstLine="0"/>
              <w:jc w:val="center"/>
              <w:rPr>
                <w:szCs w:val="28"/>
                <w:highlight w:val="none"/>
              </w:rPr>
            </w:pPr>
          </w:p>
        </w:tc>
      </w:tr>
      <w:tr w14:paraId="277EF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20FD73AD">
            <w:pPr>
              <w:ind w:left="-57" w:right="-57" w:firstLine="0"/>
              <w:jc w:val="left"/>
              <w:rPr>
                <w:szCs w:val="28"/>
                <w:highlight w:val="none"/>
              </w:rPr>
            </w:pPr>
            <w:r>
              <w:rPr>
                <w:szCs w:val="28"/>
                <w:highlight w:val="none"/>
              </w:rPr>
              <w:t>ЛПДНЩ, ммоль/л</w:t>
            </w:r>
          </w:p>
        </w:tc>
        <w:tc>
          <w:tcPr>
            <w:tcW w:w="2640" w:type="dxa"/>
            <w:vAlign w:val="center"/>
          </w:tcPr>
          <w:p w14:paraId="29BE414A">
            <w:pPr>
              <w:ind w:left="-57" w:right="-57" w:firstLine="0"/>
              <w:jc w:val="center"/>
              <w:rPr>
                <w:szCs w:val="28"/>
                <w:highlight w:val="none"/>
              </w:rPr>
            </w:pPr>
            <w:r>
              <w:rPr>
                <w:szCs w:val="28"/>
                <w:highlight w:val="none"/>
              </w:rPr>
              <w:t>0,053 (0,003–0,851)</w:t>
            </w:r>
          </w:p>
        </w:tc>
        <w:tc>
          <w:tcPr>
            <w:tcW w:w="947" w:type="dxa"/>
            <w:vAlign w:val="center"/>
          </w:tcPr>
          <w:p w14:paraId="3D0F0006">
            <w:pPr>
              <w:ind w:left="-57" w:right="-57" w:firstLine="0"/>
              <w:jc w:val="center"/>
              <w:rPr>
                <w:szCs w:val="28"/>
                <w:highlight w:val="none"/>
              </w:rPr>
            </w:pPr>
            <w:r>
              <w:rPr>
                <w:szCs w:val="28"/>
                <w:highlight w:val="none"/>
              </w:rPr>
              <w:t>0,038</w:t>
            </w:r>
          </w:p>
        </w:tc>
        <w:tc>
          <w:tcPr>
            <w:tcW w:w="2509" w:type="dxa"/>
          </w:tcPr>
          <w:p w14:paraId="40655E15">
            <w:pPr>
              <w:ind w:left="-57" w:right="-57" w:firstLine="0"/>
              <w:jc w:val="center"/>
              <w:rPr>
                <w:szCs w:val="28"/>
                <w:highlight w:val="none"/>
              </w:rPr>
            </w:pPr>
            <w:r>
              <w:rPr>
                <w:szCs w:val="28"/>
                <w:highlight w:val="none"/>
              </w:rPr>
              <w:t>—</w:t>
            </w:r>
          </w:p>
        </w:tc>
        <w:tc>
          <w:tcPr>
            <w:tcW w:w="863" w:type="dxa"/>
            <w:vAlign w:val="center"/>
          </w:tcPr>
          <w:p w14:paraId="49AFEC57">
            <w:pPr>
              <w:ind w:left="-57" w:right="-57" w:firstLine="0"/>
              <w:jc w:val="center"/>
              <w:rPr>
                <w:szCs w:val="28"/>
                <w:highlight w:val="none"/>
              </w:rPr>
            </w:pPr>
          </w:p>
        </w:tc>
      </w:tr>
      <w:tr w14:paraId="61A0A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4F802C82">
            <w:pPr>
              <w:ind w:left="-57" w:right="-57" w:firstLine="0"/>
              <w:jc w:val="left"/>
              <w:rPr>
                <w:szCs w:val="28"/>
                <w:highlight w:val="none"/>
              </w:rPr>
            </w:pPr>
            <w:r>
              <w:rPr>
                <w:szCs w:val="28"/>
                <w:highlight w:val="none"/>
              </w:rPr>
              <w:t>КА</w:t>
            </w:r>
          </w:p>
        </w:tc>
        <w:tc>
          <w:tcPr>
            <w:tcW w:w="2640" w:type="dxa"/>
            <w:vAlign w:val="center"/>
          </w:tcPr>
          <w:p w14:paraId="1812DA9D">
            <w:pPr>
              <w:ind w:left="-57" w:right="-57" w:firstLine="0"/>
              <w:jc w:val="center"/>
              <w:rPr>
                <w:szCs w:val="28"/>
                <w:highlight w:val="none"/>
              </w:rPr>
            </w:pPr>
            <w:r>
              <w:rPr>
                <w:szCs w:val="28"/>
                <w:highlight w:val="none"/>
              </w:rPr>
              <w:t>1,015 (0,457–2,255)</w:t>
            </w:r>
          </w:p>
        </w:tc>
        <w:tc>
          <w:tcPr>
            <w:tcW w:w="947" w:type="dxa"/>
            <w:vAlign w:val="center"/>
          </w:tcPr>
          <w:p w14:paraId="15923886">
            <w:pPr>
              <w:ind w:left="-57" w:right="-57" w:firstLine="0"/>
              <w:jc w:val="center"/>
              <w:rPr>
                <w:szCs w:val="28"/>
                <w:highlight w:val="none"/>
              </w:rPr>
            </w:pPr>
            <w:r>
              <w:rPr>
                <w:szCs w:val="28"/>
                <w:highlight w:val="none"/>
              </w:rPr>
              <w:t>0,971</w:t>
            </w:r>
          </w:p>
        </w:tc>
        <w:tc>
          <w:tcPr>
            <w:tcW w:w="2509" w:type="dxa"/>
          </w:tcPr>
          <w:p w14:paraId="3833BCE9">
            <w:pPr>
              <w:ind w:left="-57" w:right="-57" w:firstLine="0"/>
              <w:jc w:val="center"/>
              <w:rPr>
                <w:szCs w:val="28"/>
                <w:highlight w:val="none"/>
              </w:rPr>
            </w:pPr>
            <w:r>
              <w:rPr>
                <w:szCs w:val="28"/>
                <w:highlight w:val="none"/>
              </w:rPr>
              <w:t>—</w:t>
            </w:r>
          </w:p>
        </w:tc>
        <w:tc>
          <w:tcPr>
            <w:tcW w:w="863" w:type="dxa"/>
            <w:vAlign w:val="center"/>
          </w:tcPr>
          <w:p w14:paraId="29CFA7F1">
            <w:pPr>
              <w:ind w:left="-57" w:right="-57" w:firstLine="0"/>
              <w:jc w:val="center"/>
              <w:rPr>
                <w:szCs w:val="28"/>
                <w:highlight w:val="none"/>
              </w:rPr>
            </w:pPr>
          </w:p>
        </w:tc>
      </w:tr>
      <w:tr w14:paraId="6F5AE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4C20757F">
            <w:pPr>
              <w:ind w:left="-57" w:right="-57" w:firstLine="0"/>
              <w:jc w:val="left"/>
              <w:rPr>
                <w:szCs w:val="28"/>
                <w:highlight w:val="none"/>
              </w:rPr>
            </w:pPr>
            <w:r>
              <w:rPr>
                <w:szCs w:val="28"/>
                <w:highlight w:val="none"/>
              </w:rPr>
              <w:t>ОП, пг/мл</w:t>
            </w:r>
          </w:p>
        </w:tc>
        <w:tc>
          <w:tcPr>
            <w:tcW w:w="2640" w:type="dxa"/>
            <w:vAlign w:val="center"/>
          </w:tcPr>
          <w:p w14:paraId="56F82BD7">
            <w:pPr>
              <w:ind w:left="-57" w:right="-57" w:firstLine="0"/>
              <w:jc w:val="center"/>
              <w:rPr>
                <w:szCs w:val="28"/>
                <w:highlight w:val="none"/>
              </w:rPr>
            </w:pPr>
            <w:r>
              <w:rPr>
                <w:szCs w:val="28"/>
                <w:highlight w:val="none"/>
              </w:rPr>
              <w:t>3,002 (1,619–5,567)</w:t>
            </w:r>
          </w:p>
        </w:tc>
        <w:tc>
          <w:tcPr>
            <w:tcW w:w="947" w:type="dxa"/>
            <w:vAlign w:val="center"/>
          </w:tcPr>
          <w:p w14:paraId="24A84C32">
            <w:pPr>
              <w:ind w:left="-57" w:right="-57" w:firstLine="0"/>
              <w:jc w:val="center"/>
              <w:rPr>
                <w:szCs w:val="28"/>
                <w:highlight w:val="none"/>
              </w:rPr>
            </w:pPr>
            <w:r>
              <w:rPr>
                <w:szCs w:val="28"/>
                <w:highlight w:val="none"/>
              </w:rPr>
              <w:t>&lt;0,001</w:t>
            </w:r>
          </w:p>
        </w:tc>
        <w:tc>
          <w:tcPr>
            <w:tcW w:w="2509" w:type="dxa"/>
            <w:vAlign w:val="center"/>
          </w:tcPr>
          <w:p w14:paraId="139A64DA">
            <w:pPr>
              <w:ind w:left="-57" w:right="-57" w:firstLine="0"/>
              <w:jc w:val="center"/>
              <w:rPr>
                <w:szCs w:val="28"/>
                <w:highlight w:val="none"/>
              </w:rPr>
            </w:pPr>
            <w:r>
              <w:rPr>
                <w:szCs w:val="28"/>
                <w:highlight w:val="none"/>
              </w:rPr>
              <w:t>2,510 (1,125–5,599)</w:t>
            </w:r>
          </w:p>
        </w:tc>
        <w:tc>
          <w:tcPr>
            <w:tcW w:w="863" w:type="dxa"/>
            <w:vAlign w:val="center"/>
          </w:tcPr>
          <w:p w14:paraId="1C40CCB1">
            <w:pPr>
              <w:ind w:left="-57" w:right="-57" w:firstLine="0"/>
              <w:jc w:val="center"/>
              <w:rPr>
                <w:szCs w:val="28"/>
                <w:highlight w:val="none"/>
              </w:rPr>
            </w:pPr>
            <w:r>
              <w:rPr>
                <w:szCs w:val="28"/>
                <w:highlight w:val="none"/>
              </w:rPr>
              <w:t>0,025</w:t>
            </w:r>
          </w:p>
        </w:tc>
      </w:tr>
    </w:tbl>
    <w:p w14:paraId="3D41B217">
      <w:pPr>
        <w:rPr>
          <w:szCs w:val="28"/>
          <w:highlight w:val="none"/>
        </w:rPr>
      </w:pPr>
    </w:p>
    <w:p w14:paraId="77BD689F">
      <w:pPr>
        <w:rPr>
          <w:szCs w:val="28"/>
          <w:highlight w:val="none"/>
        </w:rPr>
      </w:pPr>
      <w:r>
        <w:rPr>
          <w:szCs w:val="28"/>
          <w:highlight w:val="none"/>
        </w:rPr>
        <w:t>В уніваріативному аналізі достовірну пряму асоціацію з прогресуючим фіброзом печінки було визначено у рівнів АЛТ та АСТ: відповідно ВШ = 1,037 [95,0 % ДІ 1,015–1,059] (р = 0,001) та ВШ = 1,051 [95,0 % ДІ 1,023–1,079] (р&lt;0,001). Вищі рівні ГГТ також достовірно асоціювалися з більшою вірогідністю прогресуючого фіброзу: ВШ = 1,017 [95,0 % ДІ 1,003–1,032], р = 0,019. Підвищення показника тимолової проби достовірно прямо в 1,5 рази збільшувало вірогідність прогресування процесів фіброзу: ВШ = 1,424 [95,0 % ДІ 1,009–2,010], р = 0,044. Вищий рівень загального білку асоціювався в 16 % збільшенням вірогідності прогресування фіброзу в уніваріативному аналізі: ВШ = 1,162 [95,0 % ДІ 1,016–1,329], р =0,028. Слід зазначити, що достовірна асоціація зі зниженням достовірності фіброзу спостерігалася відносно підвищення рівнів ТГ та ЛПДНЩ: відповідно ВШ = 0,253 [95,0 % ДІ 0,072–0,884] (р =0,031) та ВШ = 0,053 [95,0 % ДІ 0,003–0,851] (р =0,038). Підвищення рівнів остеопонтину достовірно прямо збільшувало вірогідність наявності прогресуючих стадій фіброзу: ВШ = 3,002 [95,0 % ДІ 1,619–5,567], р&lt;0,001.</w:t>
      </w:r>
    </w:p>
    <w:p w14:paraId="27D8AD7E">
      <w:pPr>
        <w:rPr>
          <w:szCs w:val="28"/>
          <w:highlight w:val="none"/>
        </w:rPr>
      </w:pPr>
      <w:r>
        <w:rPr>
          <w:szCs w:val="28"/>
          <w:highlight w:val="none"/>
        </w:rPr>
        <w:t>В мультиваріативному аналізі за методом зворотного виключення достовірними предикторами прогресуючого фіброзу було визначено рівні АСТ, загального білку та остеопонтину, які асоціювалися з відповідно 2,8 %, 19,5 % та 2,5-кратним підвищенням достовірності: відповідно ВШ = 1,028 [95,0 % ДІ 1,001–1,062] (р = 0,043), ВШ = 1,195 [95,0 % ДІ 1,012–1,440] (р = 0,046) та ВШ = 2,510 [95,0 % ДІ 1,125–5,599] (р = 0,025).</w:t>
      </w:r>
    </w:p>
    <w:p w14:paraId="60F327B7">
      <w:pPr>
        <w:rPr>
          <w:szCs w:val="28"/>
          <w:highlight w:val="none"/>
        </w:rPr>
      </w:pPr>
      <w:r>
        <w:rPr>
          <w:szCs w:val="28"/>
          <w:highlight w:val="none"/>
        </w:rPr>
        <w:t>З отриманих результатів було розроблене математичне рівняння (1) прогнозування наявності прогресуючого фіброзу у пацієнтів з ВГС:</w:t>
      </w:r>
    </w:p>
    <w:p w14:paraId="1828A1D3">
      <w:pPr>
        <w:ind w:firstLine="0"/>
        <w:jc w:val="center"/>
        <w:rPr>
          <w:szCs w:val="28"/>
          <w:highlight w:val="none"/>
        </w:rPr>
      </w:pPr>
    </w:p>
    <w:tbl>
      <w:tblPr>
        <w:tblStyle w:val="8"/>
        <w:tblW w:w="9354" w:type="dxa"/>
        <w:tblInd w:w="0" w:type="dxa"/>
        <w:tblLayout w:type="autofit"/>
        <w:tblCellMar>
          <w:top w:w="0" w:type="dxa"/>
          <w:left w:w="108" w:type="dxa"/>
          <w:bottom w:w="0" w:type="dxa"/>
          <w:right w:w="108" w:type="dxa"/>
        </w:tblCellMar>
      </w:tblPr>
      <w:tblGrid>
        <w:gridCol w:w="8787"/>
        <w:gridCol w:w="567"/>
      </w:tblGrid>
      <w:tr w14:paraId="1CBD6730">
        <w:tblPrEx>
          <w:tblCellMar>
            <w:top w:w="0" w:type="dxa"/>
            <w:left w:w="108" w:type="dxa"/>
            <w:bottom w:w="0" w:type="dxa"/>
            <w:right w:w="108" w:type="dxa"/>
          </w:tblCellMar>
        </w:tblPrEx>
        <w:tc>
          <w:tcPr>
            <w:tcW w:w="8787" w:type="dxa"/>
            <w:vAlign w:val="center"/>
          </w:tcPr>
          <w:p w14:paraId="5A2A9E46">
            <w:pPr>
              <w:ind w:firstLine="0"/>
              <w:jc w:val="center"/>
              <w:rPr>
                <w:szCs w:val="28"/>
                <w:highlight w:val="none"/>
              </w:rPr>
            </w:pPr>
            <w:r>
              <w:rPr>
                <w:szCs w:val="28"/>
                <w:highlight w:val="none"/>
              </w:rPr>
              <w:t>-24,152 + [0,028 </w:t>
            </w:r>
            <w:r>
              <w:rPr>
                <w:rFonts w:cs="Times New Roman"/>
                <w:szCs w:val="28"/>
                <w:highlight w:val="none"/>
              </w:rPr>
              <w:t>×</w:t>
            </w:r>
            <w:r>
              <w:rPr>
                <w:szCs w:val="28"/>
                <w:highlight w:val="none"/>
              </w:rPr>
              <w:t xml:space="preserve"> АСТ, Од/л] + </w:t>
            </w:r>
            <w:r>
              <w:rPr>
                <w:szCs w:val="28"/>
                <w:highlight w:val="none"/>
              </w:rPr>
              <w:br w:type="textWrapping"/>
            </w:r>
            <w:r>
              <w:rPr>
                <w:szCs w:val="28"/>
                <w:highlight w:val="none"/>
              </w:rPr>
              <w:t>+ [0,178 </w:t>
            </w:r>
            <w:r>
              <w:rPr>
                <w:rFonts w:cs="Times New Roman"/>
                <w:szCs w:val="28"/>
                <w:highlight w:val="none"/>
              </w:rPr>
              <w:t>×</w:t>
            </w:r>
            <w:r>
              <w:rPr>
                <w:szCs w:val="28"/>
                <w:highlight w:val="none"/>
              </w:rPr>
              <w:t> Заг. білок, г/л] + [0,920 </w:t>
            </w:r>
            <w:r>
              <w:rPr>
                <w:rFonts w:cs="Times New Roman"/>
                <w:szCs w:val="28"/>
                <w:highlight w:val="none"/>
              </w:rPr>
              <w:t>×</w:t>
            </w:r>
            <w:r>
              <w:rPr>
                <w:szCs w:val="28"/>
                <w:highlight w:val="none"/>
              </w:rPr>
              <w:t> Остеопонтин, пг/мл]</w:t>
            </w:r>
          </w:p>
        </w:tc>
        <w:tc>
          <w:tcPr>
            <w:tcW w:w="567" w:type="dxa"/>
            <w:vAlign w:val="center"/>
          </w:tcPr>
          <w:p w14:paraId="6F87125F">
            <w:pPr>
              <w:ind w:firstLine="0"/>
              <w:jc w:val="center"/>
              <w:rPr>
                <w:szCs w:val="28"/>
                <w:highlight w:val="none"/>
              </w:rPr>
            </w:pPr>
            <w:r>
              <w:rPr>
                <w:szCs w:val="28"/>
                <w:highlight w:val="none"/>
              </w:rPr>
              <w:t>(1)</w:t>
            </w:r>
          </w:p>
        </w:tc>
      </w:tr>
    </w:tbl>
    <w:p w14:paraId="48204F26">
      <w:pPr>
        <w:rPr>
          <w:szCs w:val="28"/>
          <w:highlight w:val="none"/>
        </w:rPr>
      </w:pPr>
    </w:p>
    <w:p w14:paraId="4EA5F61D">
      <w:pPr>
        <w:rPr>
          <w:szCs w:val="28"/>
          <w:highlight w:val="none"/>
        </w:rPr>
      </w:pPr>
      <w:r>
        <w:rPr>
          <w:szCs w:val="28"/>
          <w:highlight w:val="none"/>
        </w:rPr>
        <w:t xml:space="preserve">На рис. 1.1 надана ROC-крива розробленої моделі та в табл. 5.3 показники класифікаційних характеристик даної моделі. </w:t>
      </w:r>
    </w:p>
    <w:p w14:paraId="43C71622">
      <w:pPr>
        <w:rPr>
          <w:szCs w:val="28"/>
          <w:highlight w:val="none"/>
        </w:rPr>
      </w:pPr>
    </w:p>
    <w:p w14:paraId="67731951">
      <w:pPr>
        <w:jc w:val="right"/>
        <w:rPr>
          <w:i/>
          <w:iCs/>
          <w:szCs w:val="28"/>
          <w:highlight w:val="none"/>
        </w:rPr>
      </w:pPr>
      <w:r>
        <w:rPr>
          <w:i/>
          <w:iCs/>
          <w:szCs w:val="28"/>
          <w:highlight w:val="none"/>
        </w:rPr>
        <w:t>Таблиця 5.3</w:t>
      </w:r>
    </w:p>
    <w:p w14:paraId="6D382D21">
      <w:pPr>
        <w:rPr>
          <w:b/>
          <w:bCs/>
          <w:szCs w:val="28"/>
          <w:highlight w:val="none"/>
        </w:rPr>
      </w:pPr>
      <w:r>
        <w:rPr>
          <w:b/>
          <w:bCs/>
          <w:szCs w:val="28"/>
          <w:highlight w:val="none"/>
        </w:rPr>
        <w:t>Класифікаційні характеристики розробленої моделі (1) прогнозування наявності прогресуючого фіброзу у пацієнтів з ВГС</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14"/>
        <w:gridCol w:w="2410"/>
        <w:gridCol w:w="1716"/>
        <w:gridCol w:w="2105"/>
      </w:tblGrid>
      <w:tr w14:paraId="16E82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4" w:type="dxa"/>
            <w:vAlign w:val="center"/>
          </w:tcPr>
          <w:p w14:paraId="26B8155C">
            <w:pPr>
              <w:ind w:firstLine="0"/>
              <w:jc w:val="left"/>
              <w:rPr>
                <w:b/>
                <w:bCs/>
                <w:szCs w:val="28"/>
                <w:highlight w:val="none"/>
              </w:rPr>
            </w:pPr>
            <w:r>
              <w:rPr>
                <w:b/>
                <w:bCs/>
                <w:szCs w:val="28"/>
                <w:highlight w:val="none"/>
              </w:rPr>
              <w:t>Показник</w:t>
            </w:r>
          </w:p>
        </w:tc>
        <w:tc>
          <w:tcPr>
            <w:tcW w:w="2410" w:type="dxa"/>
            <w:vAlign w:val="center"/>
          </w:tcPr>
          <w:p w14:paraId="6721801D">
            <w:pPr>
              <w:ind w:firstLine="0"/>
              <w:jc w:val="center"/>
              <w:rPr>
                <w:b/>
                <w:bCs/>
                <w:szCs w:val="28"/>
                <w:highlight w:val="none"/>
              </w:rPr>
            </w:pPr>
            <w:r>
              <w:rPr>
                <w:b/>
                <w:bCs/>
                <w:szCs w:val="28"/>
                <w:highlight w:val="none"/>
              </w:rPr>
              <w:t>Значення моделі</w:t>
            </w:r>
          </w:p>
        </w:tc>
        <w:tc>
          <w:tcPr>
            <w:tcW w:w="1716" w:type="dxa"/>
            <w:vAlign w:val="center"/>
          </w:tcPr>
          <w:p w14:paraId="2DA1B348">
            <w:pPr>
              <w:ind w:firstLine="0"/>
              <w:jc w:val="center"/>
              <w:rPr>
                <w:b/>
                <w:bCs/>
                <w:szCs w:val="28"/>
                <w:highlight w:val="none"/>
              </w:rPr>
            </w:pPr>
            <w:r>
              <w:rPr>
                <w:b/>
                <w:bCs/>
                <w:szCs w:val="28"/>
                <w:highlight w:val="none"/>
              </w:rPr>
              <w:t>Чутливість</w:t>
            </w:r>
          </w:p>
        </w:tc>
        <w:tc>
          <w:tcPr>
            <w:tcW w:w="2105" w:type="dxa"/>
            <w:vAlign w:val="center"/>
          </w:tcPr>
          <w:p w14:paraId="26E4B101">
            <w:pPr>
              <w:ind w:firstLine="0"/>
              <w:jc w:val="center"/>
              <w:rPr>
                <w:b/>
                <w:bCs/>
                <w:szCs w:val="28"/>
                <w:highlight w:val="none"/>
              </w:rPr>
            </w:pPr>
            <w:r>
              <w:rPr>
                <w:b/>
                <w:bCs/>
                <w:szCs w:val="28"/>
                <w:highlight w:val="none"/>
              </w:rPr>
              <w:t>Специфічність</w:t>
            </w:r>
          </w:p>
        </w:tc>
      </w:tr>
      <w:tr w14:paraId="78F4B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4" w:type="dxa"/>
            <w:vAlign w:val="center"/>
          </w:tcPr>
          <w:p w14:paraId="395842B6">
            <w:pPr>
              <w:ind w:firstLine="0"/>
              <w:jc w:val="left"/>
              <w:rPr>
                <w:szCs w:val="28"/>
                <w:highlight w:val="none"/>
              </w:rPr>
            </w:pPr>
            <w:r>
              <w:rPr>
                <w:szCs w:val="28"/>
                <w:highlight w:val="none"/>
              </w:rPr>
              <w:t>Оптимальне значення</w:t>
            </w:r>
          </w:p>
        </w:tc>
        <w:tc>
          <w:tcPr>
            <w:tcW w:w="2410" w:type="dxa"/>
            <w:vAlign w:val="center"/>
          </w:tcPr>
          <w:p w14:paraId="1E62AF30">
            <w:pPr>
              <w:ind w:firstLine="0"/>
              <w:jc w:val="center"/>
              <w:rPr>
                <w:szCs w:val="28"/>
                <w:highlight w:val="none"/>
              </w:rPr>
            </w:pPr>
            <w:r>
              <w:rPr>
                <w:szCs w:val="28"/>
                <w:highlight w:val="none"/>
              </w:rPr>
              <w:t>-0,9750</w:t>
            </w:r>
          </w:p>
        </w:tc>
        <w:tc>
          <w:tcPr>
            <w:tcW w:w="1716" w:type="dxa"/>
            <w:vAlign w:val="center"/>
          </w:tcPr>
          <w:p w14:paraId="2907F3E7">
            <w:pPr>
              <w:ind w:firstLine="0"/>
              <w:jc w:val="center"/>
              <w:rPr>
                <w:szCs w:val="28"/>
                <w:highlight w:val="none"/>
              </w:rPr>
            </w:pPr>
            <w:r>
              <w:rPr>
                <w:szCs w:val="28"/>
                <w:highlight w:val="none"/>
              </w:rPr>
              <w:t>87,5</w:t>
            </w:r>
          </w:p>
        </w:tc>
        <w:tc>
          <w:tcPr>
            <w:tcW w:w="2105" w:type="dxa"/>
            <w:vAlign w:val="center"/>
          </w:tcPr>
          <w:p w14:paraId="4338049A">
            <w:pPr>
              <w:ind w:firstLine="0"/>
              <w:jc w:val="center"/>
              <w:rPr>
                <w:szCs w:val="28"/>
                <w:highlight w:val="none"/>
              </w:rPr>
            </w:pPr>
            <w:r>
              <w:rPr>
                <w:szCs w:val="28"/>
                <w:highlight w:val="none"/>
              </w:rPr>
              <w:t>83,9</w:t>
            </w:r>
          </w:p>
        </w:tc>
      </w:tr>
      <w:tr w14:paraId="728C4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4" w:type="dxa"/>
            <w:vAlign w:val="center"/>
          </w:tcPr>
          <w:p w14:paraId="515E6EDA">
            <w:pPr>
              <w:ind w:firstLine="0"/>
              <w:jc w:val="left"/>
              <w:rPr>
                <w:szCs w:val="28"/>
                <w:highlight w:val="none"/>
              </w:rPr>
            </w:pPr>
            <w:r>
              <w:rPr>
                <w:szCs w:val="28"/>
                <w:highlight w:val="none"/>
              </w:rPr>
              <w:t>Найвища чутливість</w:t>
            </w:r>
          </w:p>
        </w:tc>
        <w:tc>
          <w:tcPr>
            <w:tcW w:w="2410" w:type="dxa"/>
            <w:vAlign w:val="center"/>
          </w:tcPr>
          <w:p w14:paraId="41A96749">
            <w:pPr>
              <w:ind w:firstLine="0"/>
              <w:jc w:val="center"/>
              <w:rPr>
                <w:szCs w:val="28"/>
                <w:highlight w:val="none"/>
              </w:rPr>
            </w:pPr>
            <w:r>
              <w:rPr>
                <w:szCs w:val="28"/>
                <w:highlight w:val="none"/>
              </w:rPr>
              <w:t>-7,0142</w:t>
            </w:r>
          </w:p>
        </w:tc>
        <w:tc>
          <w:tcPr>
            <w:tcW w:w="1716" w:type="dxa"/>
            <w:vAlign w:val="center"/>
          </w:tcPr>
          <w:p w14:paraId="0E39CAA9">
            <w:pPr>
              <w:ind w:firstLine="0"/>
              <w:jc w:val="center"/>
              <w:rPr>
                <w:szCs w:val="28"/>
                <w:highlight w:val="none"/>
              </w:rPr>
            </w:pPr>
            <w:r>
              <w:rPr>
                <w:szCs w:val="28"/>
                <w:highlight w:val="none"/>
              </w:rPr>
              <w:t>100,0</w:t>
            </w:r>
          </w:p>
        </w:tc>
        <w:tc>
          <w:tcPr>
            <w:tcW w:w="2105" w:type="dxa"/>
            <w:vAlign w:val="center"/>
          </w:tcPr>
          <w:p w14:paraId="545BE26F">
            <w:pPr>
              <w:ind w:firstLine="0"/>
              <w:jc w:val="center"/>
              <w:rPr>
                <w:szCs w:val="28"/>
                <w:highlight w:val="none"/>
              </w:rPr>
            </w:pPr>
            <w:r>
              <w:rPr>
                <w:szCs w:val="28"/>
                <w:highlight w:val="none"/>
              </w:rPr>
              <w:t>6,5</w:t>
            </w:r>
          </w:p>
        </w:tc>
      </w:tr>
      <w:tr w14:paraId="2358A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4" w:type="dxa"/>
            <w:vAlign w:val="center"/>
          </w:tcPr>
          <w:p w14:paraId="3079AFB6">
            <w:pPr>
              <w:ind w:firstLine="0"/>
              <w:jc w:val="left"/>
              <w:rPr>
                <w:szCs w:val="28"/>
                <w:highlight w:val="none"/>
              </w:rPr>
            </w:pPr>
            <w:r>
              <w:rPr>
                <w:szCs w:val="28"/>
                <w:highlight w:val="none"/>
              </w:rPr>
              <w:t>Найвища специфічність</w:t>
            </w:r>
          </w:p>
        </w:tc>
        <w:tc>
          <w:tcPr>
            <w:tcW w:w="2410" w:type="dxa"/>
            <w:vAlign w:val="center"/>
          </w:tcPr>
          <w:p w14:paraId="4341B93D">
            <w:pPr>
              <w:ind w:firstLine="0"/>
              <w:jc w:val="center"/>
              <w:rPr>
                <w:szCs w:val="28"/>
                <w:highlight w:val="none"/>
              </w:rPr>
            </w:pPr>
            <w:r>
              <w:rPr>
                <w:szCs w:val="28"/>
                <w:highlight w:val="none"/>
              </w:rPr>
              <w:t>2,2111</w:t>
            </w:r>
          </w:p>
        </w:tc>
        <w:tc>
          <w:tcPr>
            <w:tcW w:w="1716" w:type="dxa"/>
            <w:vAlign w:val="center"/>
          </w:tcPr>
          <w:p w14:paraId="773B1B45">
            <w:pPr>
              <w:ind w:firstLine="0"/>
              <w:jc w:val="center"/>
              <w:rPr>
                <w:szCs w:val="28"/>
                <w:highlight w:val="none"/>
              </w:rPr>
            </w:pPr>
            <w:r>
              <w:rPr>
                <w:szCs w:val="28"/>
                <w:highlight w:val="none"/>
              </w:rPr>
              <w:t>56,2</w:t>
            </w:r>
          </w:p>
        </w:tc>
        <w:tc>
          <w:tcPr>
            <w:tcW w:w="2105" w:type="dxa"/>
            <w:vAlign w:val="center"/>
          </w:tcPr>
          <w:p w14:paraId="06589261">
            <w:pPr>
              <w:ind w:firstLine="0"/>
              <w:jc w:val="center"/>
              <w:rPr>
                <w:szCs w:val="28"/>
                <w:highlight w:val="none"/>
              </w:rPr>
            </w:pPr>
            <w:r>
              <w:rPr>
                <w:szCs w:val="28"/>
                <w:highlight w:val="none"/>
              </w:rPr>
              <w:t>99,7</w:t>
            </w:r>
          </w:p>
        </w:tc>
      </w:tr>
    </w:tbl>
    <w:p w14:paraId="37AD7B28">
      <w:pPr>
        <w:rPr>
          <w:rFonts w:cs="Times New Roman"/>
          <w:szCs w:val="28"/>
          <w:highlight w:val="none"/>
        </w:rPr>
      </w:pPr>
    </w:p>
    <w:p w14:paraId="409B3A64">
      <w:pPr>
        <w:rPr>
          <w:szCs w:val="28"/>
          <w:highlight w:val="none"/>
        </w:rPr>
      </w:pPr>
    </w:p>
    <w:p w14:paraId="55D01080">
      <w:pPr>
        <w:autoSpaceDE w:val="0"/>
        <w:autoSpaceDN w:val="0"/>
        <w:adjustRightInd w:val="0"/>
        <w:spacing w:line="240" w:lineRule="auto"/>
        <w:ind w:firstLine="0"/>
        <w:jc w:val="left"/>
        <w:rPr>
          <w:rFonts w:cs="Times New Roman"/>
          <w:szCs w:val="28"/>
          <w:highlight w:val="none"/>
        </w:rPr>
      </w:pPr>
      <w:r>
        <w:rPr>
          <w:rFonts w:cs="Times New Roman"/>
          <w:szCs w:val="28"/>
          <w:highlight w:val="none"/>
          <w:lang w:val="ru-RU" w:eastAsia="ru-RU"/>
        </w:rPr>
        <w:drawing>
          <wp:inline distT="0" distB="0" distL="0" distR="0">
            <wp:extent cx="5940425" cy="3496945"/>
            <wp:effectExtent l="0" t="0" r="3175" b="8255"/>
            <wp:docPr id="1" name="Рисунок 1" descr="Зображення, що містить схема, ряд, Графік, Паралель&#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Зображення, що містить схема, ряд, Графік, Паралель&#10;&#10;Автоматично згенерований опис"/>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5940425" cy="3496945"/>
                    </a:xfrm>
                    <a:prstGeom prst="rect">
                      <a:avLst/>
                    </a:prstGeom>
                    <a:noFill/>
                    <a:ln>
                      <a:noFill/>
                    </a:ln>
                  </pic:spPr>
                </pic:pic>
              </a:graphicData>
            </a:graphic>
          </wp:inline>
        </w:drawing>
      </w:r>
    </w:p>
    <w:p w14:paraId="35FC3DA7">
      <w:pPr>
        <w:rPr>
          <w:b/>
          <w:bCs/>
          <w:szCs w:val="28"/>
          <w:highlight w:val="none"/>
        </w:rPr>
      </w:pPr>
      <w:bookmarkStart w:id="70" w:name="OLE_LINK20"/>
      <w:r>
        <w:rPr>
          <w:b/>
          <w:bCs/>
          <w:szCs w:val="28"/>
          <w:highlight w:val="none"/>
        </w:rPr>
        <w:t>Рисунок 1.1 ROC-крива розробленої моделі (1) (площа під кривою: 0,950 [0,892–1,000], р &lt; 0,001).</w:t>
      </w:r>
    </w:p>
    <w:bookmarkEnd w:id="70"/>
    <w:p w14:paraId="63F87642">
      <w:pPr>
        <w:rPr>
          <w:szCs w:val="28"/>
          <w:highlight w:val="none"/>
        </w:rPr>
      </w:pPr>
    </w:p>
    <w:p w14:paraId="3152A63F">
      <w:pPr>
        <w:rPr>
          <w:szCs w:val="28"/>
          <w:highlight w:val="none"/>
        </w:rPr>
      </w:pPr>
      <w:r>
        <w:rPr>
          <w:szCs w:val="28"/>
          <w:highlight w:val="none"/>
        </w:rPr>
        <w:t xml:space="preserve">З метою аналізу та можливого покращення якості першої прогностичної моделі, до регресійного аналізу було додано найбільш вірогідні параметри клінічного аналізу крові, отримані попередньо (табл. 5.2). Після аналізу за методом зворотного виключення, до другої прогностичної моделі увійшов показник відносної кількості лімфоцитів обстежених пацієнтів з ВГС. Так, </w:t>
      </w:r>
      <w:bookmarkStart w:id="71" w:name="OLE_LINK31"/>
      <w:r>
        <w:rPr>
          <w:szCs w:val="28"/>
          <w:highlight w:val="none"/>
        </w:rPr>
        <w:t>рівні АСТ асоціювалися з 3,5 % збільшенням достовірності прогресуючого фіброзу: ВШ = 1,035 [95,0 % ДІ 1,002–1,073] (р = 0,045). Підвищення рівню загального білку підвищувало вірогідність прогресування фіброзу на 31,5 %: ВШ = 1,315 [95,0 % ДІ 1,033–1,674], р =0,026. Більше ніж в 5 разів вища вірогідність прогресуючого фіброзу спостерігалася за наявності підвищених рівнів остеопонтину: ВШ = 5,302 [95,0 % ДІ 1,251–22,473] (р = 0,024). Та слабка зворотна асоціація спостерігалася зі зниженням рівнів лімфоцитів: ВШ =0,817 [95,0 % ДІ 0,665–0,998], р = 0,0</w:t>
      </w:r>
      <w:bookmarkEnd w:id="71"/>
      <w:r>
        <w:rPr>
          <w:szCs w:val="28"/>
          <w:highlight w:val="none"/>
        </w:rPr>
        <w:t>48.</w:t>
      </w:r>
    </w:p>
    <w:p w14:paraId="422E9DEB">
      <w:pPr>
        <w:rPr>
          <w:szCs w:val="28"/>
          <w:highlight w:val="none"/>
        </w:rPr>
      </w:pPr>
    </w:p>
    <w:p w14:paraId="49FD135E">
      <w:pPr>
        <w:jc w:val="right"/>
        <w:rPr>
          <w:i/>
          <w:iCs/>
          <w:szCs w:val="28"/>
          <w:highlight w:val="none"/>
        </w:rPr>
      </w:pPr>
    </w:p>
    <w:p w14:paraId="03404D34">
      <w:pPr>
        <w:jc w:val="right"/>
        <w:rPr>
          <w:i/>
          <w:iCs/>
          <w:szCs w:val="28"/>
          <w:highlight w:val="none"/>
        </w:rPr>
      </w:pPr>
    </w:p>
    <w:p w14:paraId="46A4D2F2">
      <w:pPr>
        <w:jc w:val="right"/>
        <w:rPr>
          <w:i/>
          <w:iCs/>
          <w:szCs w:val="28"/>
          <w:highlight w:val="none"/>
        </w:rPr>
      </w:pPr>
      <w:r>
        <w:rPr>
          <w:i/>
          <w:iCs/>
          <w:szCs w:val="28"/>
          <w:highlight w:val="none"/>
        </w:rPr>
        <w:t>Таблиця 5.4</w:t>
      </w:r>
    </w:p>
    <w:p w14:paraId="12A9A208">
      <w:pPr>
        <w:rPr>
          <w:b/>
          <w:bCs/>
          <w:szCs w:val="28"/>
          <w:highlight w:val="none"/>
        </w:rPr>
      </w:pPr>
      <w:r>
        <w:rPr>
          <w:b/>
          <w:bCs/>
          <w:szCs w:val="28"/>
          <w:highlight w:val="none"/>
        </w:rPr>
        <w:t>Визначення предикторів наявності прогресуючого фіброзу у пацієнтів з ВГС з урахуванням показників клінічного аналізу крові (метод зворотного виключення змінних)</w:t>
      </w:r>
    </w:p>
    <w:tbl>
      <w:tblPr>
        <w:tblStyle w:val="8"/>
        <w:tblW w:w="935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89"/>
        <w:gridCol w:w="2835"/>
        <w:gridCol w:w="2835"/>
        <w:gridCol w:w="992"/>
      </w:tblGrid>
      <w:tr w14:paraId="43E64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9" w:type="dxa"/>
            <w:vAlign w:val="center"/>
          </w:tcPr>
          <w:p w14:paraId="10D31582">
            <w:pPr>
              <w:ind w:right="-57" w:firstLine="0"/>
              <w:jc w:val="left"/>
              <w:rPr>
                <w:b/>
                <w:bCs/>
                <w:szCs w:val="28"/>
                <w:highlight w:val="none"/>
              </w:rPr>
            </w:pPr>
            <w:r>
              <w:rPr>
                <w:b/>
                <w:bCs/>
                <w:szCs w:val="28"/>
                <w:highlight w:val="none"/>
              </w:rPr>
              <w:t>Показник</w:t>
            </w:r>
          </w:p>
        </w:tc>
        <w:tc>
          <w:tcPr>
            <w:tcW w:w="2835" w:type="dxa"/>
            <w:vAlign w:val="center"/>
          </w:tcPr>
          <w:p w14:paraId="1720406A">
            <w:pPr>
              <w:ind w:left="-57" w:right="-57" w:firstLine="0"/>
              <w:jc w:val="center"/>
              <w:rPr>
                <w:b/>
                <w:bCs/>
                <w:szCs w:val="28"/>
                <w:highlight w:val="none"/>
              </w:rPr>
            </w:pPr>
            <w:r>
              <w:rPr>
                <w:b/>
                <w:bCs/>
                <w:szCs w:val="28"/>
                <w:highlight w:val="none"/>
              </w:rPr>
              <w:t>Бета-коефіцієнт</w:t>
            </w:r>
          </w:p>
        </w:tc>
        <w:tc>
          <w:tcPr>
            <w:tcW w:w="2835" w:type="dxa"/>
            <w:vAlign w:val="center"/>
          </w:tcPr>
          <w:p w14:paraId="2798142A">
            <w:pPr>
              <w:ind w:left="-57" w:right="-57" w:firstLine="0"/>
              <w:jc w:val="center"/>
              <w:rPr>
                <w:b/>
                <w:bCs/>
                <w:szCs w:val="28"/>
                <w:highlight w:val="none"/>
              </w:rPr>
            </w:pPr>
            <w:r>
              <w:rPr>
                <w:b/>
                <w:bCs/>
                <w:szCs w:val="28"/>
                <w:highlight w:val="none"/>
              </w:rPr>
              <w:t>ВШ (95,0 % ДІ)</w:t>
            </w:r>
          </w:p>
        </w:tc>
        <w:tc>
          <w:tcPr>
            <w:tcW w:w="992" w:type="dxa"/>
            <w:vAlign w:val="center"/>
          </w:tcPr>
          <w:p w14:paraId="794CC066">
            <w:pPr>
              <w:ind w:left="-57" w:right="-57" w:firstLine="0"/>
              <w:jc w:val="center"/>
              <w:rPr>
                <w:b/>
                <w:bCs/>
                <w:szCs w:val="28"/>
                <w:highlight w:val="none"/>
              </w:rPr>
            </w:pPr>
            <w:r>
              <w:rPr>
                <w:b/>
                <w:bCs/>
                <w:szCs w:val="28"/>
                <w:highlight w:val="none"/>
              </w:rPr>
              <w:t>р</w:t>
            </w:r>
          </w:p>
        </w:tc>
      </w:tr>
      <w:tr w14:paraId="7E496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9" w:type="dxa"/>
            <w:vAlign w:val="center"/>
          </w:tcPr>
          <w:p w14:paraId="414CF866">
            <w:pPr>
              <w:ind w:left="-57" w:right="-57" w:firstLine="0"/>
              <w:jc w:val="left"/>
              <w:rPr>
                <w:szCs w:val="28"/>
                <w:highlight w:val="none"/>
              </w:rPr>
            </w:pPr>
            <w:r>
              <w:rPr>
                <w:szCs w:val="28"/>
                <w:highlight w:val="none"/>
              </w:rPr>
              <w:t>АСТ, Од/л</w:t>
            </w:r>
          </w:p>
        </w:tc>
        <w:tc>
          <w:tcPr>
            <w:tcW w:w="2835" w:type="dxa"/>
            <w:vAlign w:val="center"/>
          </w:tcPr>
          <w:p w14:paraId="510C440A">
            <w:pPr>
              <w:ind w:left="-57" w:right="-57" w:firstLine="0"/>
              <w:jc w:val="center"/>
              <w:rPr>
                <w:szCs w:val="28"/>
                <w:highlight w:val="none"/>
              </w:rPr>
            </w:pPr>
            <w:r>
              <w:rPr>
                <w:szCs w:val="28"/>
                <w:highlight w:val="none"/>
              </w:rPr>
              <w:t>0,034</w:t>
            </w:r>
          </w:p>
        </w:tc>
        <w:tc>
          <w:tcPr>
            <w:tcW w:w="2835" w:type="dxa"/>
            <w:vAlign w:val="center"/>
          </w:tcPr>
          <w:p w14:paraId="69E827E5">
            <w:pPr>
              <w:ind w:left="-57" w:right="-57" w:firstLine="0"/>
              <w:jc w:val="center"/>
              <w:rPr>
                <w:szCs w:val="28"/>
                <w:highlight w:val="none"/>
              </w:rPr>
            </w:pPr>
            <w:r>
              <w:rPr>
                <w:szCs w:val="28"/>
                <w:highlight w:val="none"/>
              </w:rPr>
              <w:t>1,035 (1,002–1,073)</w:t>
            </w:r>
          </w:p>
        </w:tc>
        <w:tc>
          <w:tcPr>
            <w:tcW w:w="992" w:type="dxa"/>
            <w:vAlign w:val="center"/>
          </w:tcPr>
          <w:p w14:paraId="2157BF21">
            <w:pPr>
              <w:ind w:left="-57" w:right="-57" w:firstLine="0"/>
              <w:jc w:val="center"/>
              <w:rPr>
                <w:szCs w:val="28"/>
                <w:highlight w:val="none"/>
              </w:rPr>
            </w:pPr>
            <w:r>
              <w:rPr>
                <w:szCs w:val="28"/>
                <w:highlight w:val="none"/>
              </w:rPr>
              <w:t>0,045</w:t>
            </w:r>
          </w:p>
        </w:tc>
      </w:tr>
      <w:tr w14:paraId="4BC93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9" w:type="dxa"/>
            <w:vAlign w:val="center"/>
          </w:tcPr>
          <w:p w14:paraId="43566E40">
            <w:pPr>
              <w:ind w:left="-57" w:right="-57" w:firstLine="0"/>
              <w:jc w:val="left"/>
              <w:rPr>
                <w:szCs w:val="28"/>
                <w:highlight w:val="none"/>
              </w:rPr>
            </w:pPr>
            <w:r>
              <w:rPr>
                <w:szCs w:val="28"/>
                <w:highlight w:val="none"/>
              </w:rPr>
              <w:t>Білок загальний г/л</w:t>
            </w:r>
          </w:p>
        </w:tc>
        <w:tc>
          <w:tcPr>
            <w:tcW w:w="2835" w:type="dxa"/>
            <w:vAlign w:val="center"/>
          </w:tcPr>
          <w:p w14:paraId="5BD3B7CD">
            <w:pPr>
              <w:ind w:left="-57" w:right="-57" w:firstLine="0"/>
              <w:jc w:val="center"/>
              <w:rPr>
                <w:szCs w:val="28"/>
                <w:highlight w:val="none"/>
              </w:rPr>
            </w:pPr>
            <w:r>
              <w:rPr>
                <w:szCs w:val="28"/>
                <w:highlight w:val="none"/>
              </w:rPr>
              <w:t>0,274</w:t>
            </w:r>
          </w:p>
        </w:tc>
        <w:tc>
          <w:tcPr>
            <w:tcW w:w="2835" w:type="dxa"/>
            <w:vAlign w:val="center"/>
          </w:tcPr>
          <w:p w14:paraId="13097299">
            <w:pPr>
              <w:ind w:left="-57" w:right="-57" w:firstLine="0"/>
              <w:jc w:val="center"/>
              <w:rPr>
                <w:szCs w:val="28"/>
                <w:highlight w:val="none"/>
              </w:rPr>
            </w:pPr>
            <w:r>
              <w:rPr>
                <w:szCs w:val="28"/>
                <w:highlight w:val="none"/>
              </w:rPr>
              <w:t>1,315 (1,033–1,674)</w:t>
            </w:r>
          </w:p>
        </w:tc>
        <w:tc>
          <w:tcPr>
            <w:tcW w:w="992" w:type="dxa"/>
            <w:vAlign w:val="center"/>
          </w:tcPr>
          <w:p w14:paraId="12630325">
            <w:pPr>
              <w:ind w:left="-57" w:right="-57" w:firstLine="0"/>
              <w:jc w:val="center"/>
              <w:rPr>
                <w:szCs w:val="28"/>
                <w:highlight w:val="none"/>
              </w:rPr>
            </w:pPr>
            <w:r>
              <w:rPr>
                <w:szCs w:val="28"/>
                <w:highlight w:val="none"/>
              </w:rPr>
              <w:t>0,026</w:t>
            </w:r>
          </w:p>
        </w:tc>
      </w:tr>
      <w:tr w14:paraId="68BF5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9" w:type="dxa"/>
            <w:vAlign w:val="center"/>
          </w:tcPr>
          <w:p w14:paraId="3BB124E8">
            <w:pPr>
              <w:ind w:left="-57" w:right="-57" w:firstLine="0"/>
              <w:jc w:val="left"/>
              <w:rPr>
                <w:szCs w:val="28"/>
                <w:highlight w:val="none"/>
              </w:rPr>
            </w:pPr>
            <w:r>
              <w:rPr>
                <w:szCs w:val="28"/>
                <w:highlight w:val="none"/>
              </w:rPr>
              <w:t>Остеопонтин, пг/мл</w:t>
            </w:r>
          </w:p>
        </w:tc>
        <w:tc>
          <w:tcPr>
            <w:tcW w:w="2835" w:type="dxa"/>
            <w:vAlign w:val="center"/>
          </w:tcPr>
          <w:p w14:paraId="3DB5A0F8">
            <w:pPr>
              <w:ind w:left="-57" w:right="-57" w:firstLine="0"/>
              <w:jc w:val="center"/>
              <w:rPr>
                <w:szCs w:val="28"/>
                <w:highlight w:val="none"/>
              </w:rPr>
            </w:pPr>
            <w:r>
              <w:rPr>
                <w:szCs w:val="28"/>
                <w:highlight w:val="none"/>
              </w:rPr>
              <w:t>1,668</w:t>
            </w:r>
          </w:p>
        </w:tc>
        <w:tc>
          <w:tcPr>
            <w:tcW w:w="2835" w:type="dxa"/>
            <w:vAlign w:val="center"/>
          </w:tcPr>
          <w:p w14:paraId="797EED1B">
            <w:pPr>
              <w:ind w:left="-57" w:right="-57" w:firstLine="0"/>
              <w:jc w:val="center"/>
              <w:rPr>
                <w:szCs w:val="28"/>
                <w:highlight w:val="none"/>
              </w:rPr>
            </w:pPr>
            <w:r>
              <w:rPr>
                <w:szCs w:val="28"/>
                <w:highlight w:val="none"/>
              </w:rPr>
              <w:t>5,302 (1,251–22,473)</w:t>
            </w:r>
          </w:p>
        </w:tc>
        <w:tc>
          <w:tcPr>
            <w:tcW w:w="992" w:type="dxa"/>
            <w:vAlign w:val="center"/>
          </w:tcPr>
          <w:p w14:paraId="3842185A">
            <w:pPr>
              <w:ind w:left="-57" w:right="-57" w:firstLine="0"/>
              <w:jc w:val="center"/>
              <w:rPr>
                <w:szCs w:val="28"/>
                <w:highlight w:val="none"/>
              </w:rPr>
            </w:pPr>
            <w:r>
              <w:rPr>
                <w:szCs w:val="28"/>
                <w:highlight w:val="none"/>
              </w:rPr>
              <w:t>0,024</w:t>
            </w:r>
          </w:p>
        </w:tc>
      </w:tr>
      <w:tr w14:paraId="08436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9" w:type="dxa"/>
            <w:vAlign w:val="center"/>
          </w:tcPr>
          <w:p w14:paraId="79AA1746">
            <w:pPr>
              <w:ind w:left="-57" w:right="-57" w:firstLine="0"/>
              <w:jc w:val="left"/>
              <w:rPr>
                <w:szCs w:val="28"/>
                <w:highlight w:val="none"/>
              </w:rPr>
            </w:pPr>
            <w:r>
              <w:rPr>
                <w:szCs w:val="28"/>
                <w:highlight w:val="none"/>
              </w:rPr>
              <w:t>Лімфоцити, %</w:t>
            </w:r>
          </w:p>
        </w:tc>
        <w:tc>
          <w:tcPr>
            <w:tcW w:w="2835" w:type="dxa"/>
            <w:vAlign w:val="center"/>
          </w:tcPr>
          <w:p w14:paraId="14DF6B27">
            <w:pPr>
              <w:ind w:left="-57" w:right="-57" w:firstLine="0"/>
              <w:jc w:val="center"/>
              <w:rPr>
                <w:szCs w:val="28"/>
                <w:highlight w:val="none"/>
              </w:rPr>
            </w:pPr>
            <w:r>
              <w:rPr>
                <w:szCs w:val="28"/>
                <w:highlight w:val="none"/>
              </w:rPr>
              <w:t>-0,202</w:t>
            </w:r>
          </w:p>
        </w:tc>
        <w:tc>
          <w:tcPr>
            <w:tcW w:w="2835" w:type="dxa"/>
            <w:vAlign w:val="center"/>
          </w:tcPr>
          <w:p w14:paraId="6E1AA4D8">
            <w:pPr>
              <w:ind w:left="-57" w:right="-57" w:firstLine="0"/>
              <w:jc w:val="center"/>
              <w:rPr>
                <w:szCs w:val="28"/>
                <w:highlight w:val="none"/>
              </w:rPr>
            </w:pPr>
            <w:r>
              <w:rPr>
                <w:szCs w:val="28"/>
                <w:highlight w:val="none"/>
              </w:rPr>
              <w:t>0,817 (0,665–0,998)</w:t>
            </w:r>
          </w:p>
        </w:tc>
        <w:tc>
          <w:tcPr>
            <w:tcW w:w="992" w:type="dxa"/>
            <w:vAlign w:val="center"/>
          </w:tcPr>
          <w:p w14:paraId="0BDE4D6D">
            <w:pPr>
              <w:ind w:left="-57" w:right="-57" w:firstLine="0"/>
              <w:jc w:val="center"/>
              <w:rPr>
                <w:szCs w:val="28"/>
                <w:highlight w:val="none"/>
              </w:rPr>
            </w:pPr>
            <w:r>
              <w:rPr>
                <w:szCs w:val="28"/>
                <w:highlight w:val="none"/>
              </w:rPr>
              <w:t>0,048</w:t>
            </w:r>
          </w:p>
        </w:tc>
      </w:tr>
    </w:tbl>
    <w:p w14:paraId="0798EAD2">
      <w:pPr>
        <w:rPr>
          <w:szCs w:val="28"/>
          <w:highlight w:val="none"/>
        </w:rPr>
      </w:pPr>
    </w:p>
    <w:p w14:paraId="4ADCE540">
      <w:pPr>
        <w:rPr>
          <w:szCs w:val="28"/>
          <w:highlight w:val="none"/>
        </w:rPr>
      </w:pPr>
      <w:r>
        <w:rPr>
          <w:szCs w:val="28"/>
          <w:highlight w:val="none"/>
        </w:rPr>
        <w:t>Таким чином було розроблено другу математичну модель (2) прогнозування прогресування процесів фіброзу у пацієнтів з ВГС. Її класифікаційна крива представлена на рис 1.2, та характеристики надані в табл. 5.5</w:t>
      </w:r>
    </w:p>
    <w:p w14:paraId="5BD819A7">
      <w:pPr>
        <w:rPr>
          <w:szCs w:val="28"/>
          <w:highlight w:val="none"/>
        </w:rPr>
      </w:pPr>
    </w:p>
    <w:tbl>
      <w:tblPr>
        <w:tblStyle w:val="8"/>
        <w:tblW w:w="0" w:type="auto"/>
        <w:tblInd w:w="0" w:type="dxa"/>
        <w:tblLayout w:type="autofit"/>
        <w:tblCellMar>
          <w:top w:w="0" w:type="dxa"/>
          <w:left w:w="108" w:type="dxa"/>
          <w:bottom w:w="0" w:type="dxa"/>
          <w:right w:w="108" w:type="dxa"/>
        </w:tblCellMar>
      </w:tblPr>
      <w:tblGrid>
        <w:gridCol w:w="8784"/>
        <w:gridCol w:w="561"/>
      </w:tblGrid>
      <w:tr w14:paraId="37A555AF">
        <w:tblPrEx>
          <w:tblCellMar>
            <w:top w:w="0" w:type="dxa"/>
            <w:left w:w="108" w:type="dxa"/>
            <w:bottom w:w="0" w:type="dxa"/>
            <w:right w:w="108" w:type="dxa"/>
          </w:tblCellMar>
        </w:tblPrEx>
        <w:tc>
          <w:tcPr>
            <w:tcW w:w="8784" w:type="dxa"/>
            <w:vAlign w:val="center"/>
          </w:tcPr>
          <w:p w14:paraId="7A004074">
            <w:pPr>
              <w:jc w:val="center"/>
              <w:rPr>
                <w:szCs w:val="28"/>
                <w:highlight w:val="none"/>
              </w:rPr>
            </w:pPr>
            <w:bookmarkStart w:id="72" w:name="_Hlk153921829"/>
            <w:r>
              <w:rPr>
                <w:szCs w:val="28"/>
                <w:highlight w:val="none"/>
              </w:rPr>
              <w:t>-31,781+[0,034 </w:t>
            </w:r>
            <w:r>
              <w:rPr>
                <w:rFonts w:cs="Times New Roman"/>
                <w:szCs w:val="28"/>
                <w:highlight w:val="none"/>
              </w:rPr>
              <w:t>×</w:t>
            </w:r>
            <w:r>
              <w:rPr>
                <w:szCs w:val="28"/>
                <w:highlight w:val="none"/>
              </w:rPr>
              <w:t> АСТ, Од/л] + [0,274 </w:t>
            </w:r>
            <w:r>
              <w:rPr>
                <w:rFonts w:cs="Times New Roman"/>
                <w:szCs w:val="28"/>
                <w:highlight w:val="none"/>
              </w:rPr>
              <w:t>×</w:t>
            </w:r>
            <w:r>
              <w:rPr>
                <w:szCs w:val="28"/>
                <w:highlight w:val="none"/>
              </w:rPr>
              <w:t> Білок загальний, г/л] –</w:t>
            </w:r>
            <w:r>
              <w:rPr>
                <w:szCs w:val="28"/>
                <w:highlight w:val="none"/>
              </w:rPr>
              <w:br w:type="textWrapping"/>
            </w:r>
            <w:r>
              <w:rPr>
                <w:szCs w:val="28"/>
                <w:highlight w:val="none"/>
              </w:rPr>
              <w:t>– [0,202 </w:t>
            </w:r>
            <w:r>
              <w:rPr>
                <w:rFonts w:cs="Times New Roman"/>
                <w:szCs w:val="28"/>
                <w:highlight w:val="none"/>
              </w:rPr>
              <w:t>×</w:t>
            </w:r>
            <w:r>
              <w:rPr>
                <w:szCs w:val="28"/>
                <w:highlight w:val="none"/>
              </w:rPr>
              <w:t> Лімфоцити, %] + [1,668 остеопонтин, пг/мл]</w:t>
            </w:r>
            <w:bookmarkEnd w:id="72"/>
          </w:p>
        </w:tc>
        <w:tc>
          <w:tcPr>
            <w:tcW w:w="561" w:type="dxa"/>
            <w:vAlign w:val="center"/>
          </w:tcPr>
          <w:p w14:paraId="44CF2A52">
            <w:pPr>
              <w:ind w:firstLine="0"/>
              <w:jc w:val="center"/>
              <w:rPr>
                <w:szCs w:val="28"/>
                <w:highlight w:val="none"/>
              </w:rPr>
            </w:pPr>
            <w:r>
              <w:rPr>
                <w:szCs w:val="28"/>
                <w:highlight w:val="none"/>
              </w:rPr>
              <w:t>(2)</w:t>
            </w:r>
          </w:p>
        </w:tc>
      </w:tr>
    </w:tbl>
    <w:p w14:paraId="4F448D40">
      <w:pPr>
        <w:autoSpaceDE w:val="0"/>
        <w:autoSpaceDN w:val="0"/>
        <w:adjustRightInd w:val="0"/>
        <w:spacing w:line="240" w:lineRule="auto"/>
        <w:ind w:firstLine="0"/>
        <w:jc w:val="left"/>
        <w:rPr>
          <w:rFonts w:cs="Times New Roman"/>
          <w:szCs w:val="28"/>
          <w:highlight w:val="none"/>
        </w:rPr>
      </w:pPr>
      <w:r>
        <w:rPr>
          <w:rFonts w:cs="Times New Roman"/>
          <w:szCs w:val="28"/>
          <w:highlight w:val="none"/>
          <w:lang w:val="ru-RU" w:eastAsia="ru-RU"/>
        </w:rPr>
        <w:drawing>
          <wp:inline distT="0" distB="0" distL="0" distR="0">
            <wp:extent cx="5940425" cy="3493135"/>
            <wp:effectExtent l="0" t="0" r="3175" b="0"/>
            <wp:docPr id="2" name="Рисунок 2" descr="Зображення, що містить таблиц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Зображення, що містить таблиця&#10;&#10;Автоматично згенерований опис"/>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5940425" cy="3493135"/>
                    </a:xfrm>
                    <a:prstGeom prst="rect">
                      <a:avLst/>
                    </a:prstGeom>
                    <a:noFill/>
                    <a:ln>
                      <a:noFill/>
                    </a:ln>
                  </pic:spPr>
                </pic:pic>
              </a:graphicData>
            </a:graphic>
          </wp:inline>
        </w:drawing>
      </w:r>
    </w:p>
    <w:p w14:paraId="11B99049">
      <w:pPr>
        <w:rPr>
          <w:b/>
          <w:bCs/>
          <w:szCs w:val="28"/>
          <w:highlight w:val="none"/>
        </w:rPr>
      </w:pPr>
      <w:r>
        <w:rPr>
          <w:b/>
          <w:bCs/>
          <w:szCs w:val="28"/>
          <w:highlight w:val="none"/>
        </w:rPr>
        <w:t>Рисунок 1.2 ROC-крива розробленої моделі (площа під кривою: 0,970 [0,927–1,000], р &lt; 0,001)</w:t>
      </w:r>
    </w:p>
    <w:p w14:paraId="3E8E9667">
      <w:pPr>
        <w:jc w:val="right"/>
        <w:rPr>
          <w:i/>
          <w:iCs/>
          <w:szCs w:val="28"/>
          <w:highlight w:val="none"/>
        </w:rPr>
      </w:pPr>
      <w:r>
        <w:rPr>
          <w:i/>
          <w:iCs/>
          <w:szCs w:val="28"/>
          <w:highlight w:val="none"/>
        </w:rPr>
        <w:t>Таблиця 5.5</w:t>
      </w:r>
    </w:p>
    <w:p w14:paraId="65C18CB2">
      <w:pPr>
        <w:rPr>
          <w:b/>
          <w:bCs/>
          <w:szCs w:val="28"/>
          <w:highlight w:val="none"/>
        </w:rPr>
      </w:pPr>
      <w:r>
        <w:rPr>
          <w:b/>
          <w:bCs/>
          <w:szCs w:val="28"/>
          <w:highlight w:val="none"/>
        </w:rPr>
        <w:t>Класифікаційні характеристики розробленої моделі (2) прогнозування наявності прогресуючого фіброзу у пацієнтів з ВГС</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14"/>
        <w:gridCol w:w="2410"/>
        <w:gridCol w:w="1716"/>
        <w:gridCol w:w="2105"/>
      </w:tblGrid>
      <w:tr w14:paraId="5AEBF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4" w:type="dxa"/>
            <w:vAlign w:val="center"/>
          </w:tcPr>
          <w:p w14:paraId="76CF9D28">
            <w:pPr>
              <w:ind w:firstLine="0"/>
              <w:jc w:val="left"/>
              <w:rPr>
                <w:b/>
                <w:bCs/>
                <w:szCs w:val="28"/>
                <w:highlight w:val="none"/>
              </w:rPr>
            </w:pPr>
            <w:r>
              <w:rPr>
                <w:b/>
                <w:bCs/>
                <w:szCs w:val="28"/>
                <w:highlight w:val="none"/>
              </w:rPr>
              <w:t>Показник</w:t>
            </w:r>
          </w:p>
        </w:tc>
        <w:tc>
          <w:tcPr>
            <w:tcW w:w="2410" w:type="dxa"/>
            <w:vAlign w:val="center"/>
          </w:tcPr>
          <w:p w14:paraId="27D7D1CE">
            <w:pPr>
              <w:ind w:firstLine="0"/>
              <w:jc w:val="center"/>
              <w:rPr>
                <w:b/>
                <w:bCs/>
                <w:szCs w:val="28"/>
                <w:highlight w:val="none"/>
              </w:rPr>
            </w:pPr>
            <w:r>
              <w:rPr>
                <w:b/>
                <w:bCs/>
                <w:szCs w:val="28"/>
                <w:highlight w:val="none"/>
              </w:rPr>
              <w:t>Значення моделі</w:t>
            </w:r>
          </w:p>
        </w:tc>
        <w:tc>
          <w:tcPr>
            <w:tcW w:w="1716" w:type="dxa"/>
            <w:vAlign w:val="center"/>
          </w:tcPr>
          <w:p w14:paraId="1395185A">
            <w:pPr>
              <w:ind w:firstLine="0"/>
              <w:jc w:val="center"/>
              <w:rPr>
                <w:b/>
                <w:bCs/>
                <w:szCs w:val="28"/>
                <w:highlight w:val="none"/>
              </w:rPr>
            </w:pPr>
            <w:r>
              <w:rPr>
                <w:b/>
                <w:bCs/>
                <w:szCs w:val="28"/>
                <w:highlight w:val="none"/>
              </w:rPr>
              <w:t>Чутливість</w:t>
            </w:r>
          </w:p>
        </w:tc>
        <w:tc>
          <w:tcPr>
            <w:tcW w:w="2105" w:type="dxa"/>
            <w:vAlign w:val="center"/>
          </w:tcPr>
          <w:p w14:paraId="537C0282">
            <w:pPr>
              <w:ind w:firstLine="0"/>
              <w:jc w:val="center"/>
              <w:rPr>
                <w:b/>
                <w:bCs/>
                <w:szCs w:val="28"/>
                <w:highlight w:val="none"/>
              </w:rPr>
            </w:pPr>
            <w:r>
              <w:rPr>
                <w:b/>
                <w:bCs/>
                <w:szCs w:val="28"/>
                <w:highlight w:val="none"/>
              </w:rPr>
              <w:t>Специфічність</w:t>
            </w:r>
          </w:p>
        </w:tc>
      </w:tr>
      <w:tr w14:paraId="152FB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4" w:type="dxa"/>
            <w:vAlign w:val="center"/>
          </w:tcPr>
          <w:p w14:paraId="15ACD735">
            <w:pPr>
              <w:ind w:firstLine="0"/>
              <w:jc w:val="left"/>
              <w:rPr>
                <w:szCs w:val="28"/>
                <w:highlight w:val="none"/>
              </w:rPr>
            </w:pPr>
            <w:r>
              <w:rPr>
                <w:szCs w:val="28"/>
                <w:highlight w:val="none"/>
              </w:rPr>
              <w:t>Оптимальне значення</w:t>
            </w:r>
          </w:p>
        </w:tc>
        <w:tc>
          <w:tcPr>
            <w:tcW w:w="2410" w:type="dxa"/>
            <w:vAlign w:val="center"/>
          </w:tcPr>
          <w:p w14:paraId="4CC0C86C">
            <w:pPr>
              <w:ind w:firstLine="0"/>
              <w:jc w:val="center"/>
              <w:rPr>
                <w:szCs w:val="28"/>
                <w:highlight w:val="none"/>
              </w:rPr>
            </w:pPr>
            <w:r>
              <w:rPr>
                <w:szCs w:val="28"/>
                <w:highlight w:val="none"/>
              </w:rPr>
              <w:t>-1,1568</w:t>
            </w:r>
          </w:p>
        </w:tc>
        <w:tc>
          <w:tcPr>
            <w:tcW w:w="1716" w:type="dxa"/>
            <w:vAlign w:val="center"/>
          </w:tcPr>
          <w:p w14:paraId="50F0BAA7">
            <w:pPr>
              <w:ind w:firstLine="0"/>
              <w:jc w:val="center"/>
              <w:rPr>
                <w:szCs w:val="28"/>
                <w:highlight w:val="none"/>
              </w:rPr>
            </w:pPr>
            <w:r>
              <w:rPr>
                <w:szCs w:val="28"/>
                <w:highlight w:val="none"/>
              </w:rPr>
              <w:t>93,8</w:t>
            </w:r>
          </w:p>
        </w:tc>
        <w:tc>
          <w:tcPr>
            <w:tcW w:w="2105" w:type="dxa"/>
            <w:vAlign w:val="center"/>
          </w:tcPr>
          <w:p w14:paraId="24E14CC8">
            <w:pPr>
              <w:ind w:firstLine="0"/>
              <w:jc w:val="center"/>
              <w:rPr>
                <w:szCs w:val="28"/>
                <w:highlight w:val="none"/>
              </w:rPr>
            </w:pPr>
            <w:r>
              <w:rPr>
                <w:szCs w:val="28"/>
                <w:highlight w:val="none"/>
              </w:rPr>
              <w:t>83,9</w:t>
            </w:r>
          </w:p>
        </w:tc>
      </w:tr>
      <w:tr w14:paraId="5FF77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4" w:type="dxa"/>
            <w:vAlign w:val="center"/>
          </w:tcPr>
          <w:p w14:paraId="41467A59">
            <w:pPr>
              <w:ind w:firstLine="0"/>
              <w:jc w:val="left"/>
              <w:rPr>
                <w:szCs w:val="28"/>
                <w:highlight w:val="none"/>
              </w:rPr>
            </w:pPr>
            <w:r>
              <w:rPr>
                <w:szCs w:val="28"/>
                <w:highlight w:val="none"/>
              </w:rPr>
              <w:t>Найвища чутливість</w:t>
            </w:r>
          </w:p>
        </w:tc>
        <w:tc>
          <w:tcPr>
            <w:tcW w:w="2410" w:type="dxa"/>
            <w:vAlign w:val="center"/>
          </w:tcPr>
          <w:p w14:paraId="44F4C64B">
            <w:pPr>
              <w:ind w:firstLine="0"/>
              <w:jc w:val="center"/>
              <w:rPr>
                <w:szCs w:val="28"/>
                <w:highlight w:val="none"/>
              </w:rPr>
            </w:pPr>
            <w:r>
              <w:rPr>
                <w:szCs w:val="28"/>
                <w:highlight w:val="none"/>
              </w:rPr>
              <w:t>-13,788</w:t>
            </w:r>
          </w:p>
        </w:tc>
        <w:tc>
          <w:tcPr>
            <w:tcW w:w="1716" w:type="dxa"/>
            <w:vAlign w:val="center"/>
          </w:tcPr>
          <w:p w14:paraId="520DCE93">
            <w:pPr>
              <w:ind w:firstLine="0"/>
              <w:jc w:val="center"/>
              <w:rPr>
                <w:szCs w:val="28"/>
                <w:highlight w:val="none"/>
              </w:rPr>
            </w:pPr>
            <w:r>
              <w:rPr>
                <w:szCs w:val="28"/>
                <w:highlight w:val="none"/>
              </w:rPr>
              <w:t>100,0</w:t>
            </w:r>
          </w:p>
        </w:tc>
        <w:tc>
          <w:tcPr>
            <w:tcW w:w="2105" w:type="dxa"/>
            <w:vAlign w:val="center"/>
          </w:tcPr>
          <w:p w14:paraId="47933BB4">
            <w:pPr>
              <w:ind w:firstLine="0"/>
              <w:jc w:val="center"/>
              <w:rPr>
                <w:szCs w:val="28"/>
                <w:highlight w:val="none"/>
              </w:rPr>
            </w:pPr>
            <w:r>
              <w:rPr>
                <w:szCs w:val="28"/>
                <w:highlight w:val="none"/>
              </w:rPr>
              <w:t>3,2</w:t>
            </w:r>
          </w:p>
        </w:tc>
      </w:tr>
      <w:tr w14:paraId="0C0DA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4" w:type="dxa"/>
            <w:vAlign w:val="center"/>
          </w:tcPr>
          <w:p w14:paraId="35B01968">
            <w:pPr>
              <w:ind w:firstLine="0"/>
              <w:jc w:val="left"/>
              <w:rPr>
                <w:szCs w:val="28"/>
                <w:highlight w:val="none"/>
              </w:rPr>
            </w:pPr>
            <w:r>
              <w:rPr>
                <w:szCs w:val="28"/>
                <w:highlight w:val="none"/>
              </w:rPr>
              <w:t>Найвища специфічність</w:t>
            </w:r>
          </w:p>
        </w:tc>
        <w:tc>
          <w:tcPr>
            <w:tcW w:w="2410" w:type="dxa"/>
            <w:vAlign w:val="center"/>
          </w:tcPr>
          <w:p w14:paraId="6BE37AE3">
            <w:pPr>
              <w:ind w:firstLine="0"/>
              <w:jc w:val="center"/>
              <w:rPr>
                <w:szCs w:val="28"/>
                <w:highlight w:val="none"/>
              </w:rPr>
            </w:pPr>
            <w:r>
              <w:rPr>
                <w:szCs w:val="28"/>
                <w:highlight w:val="none"/>
              </w:rPr>
              <w:t>9,0412</w:t>
            </w:r>
          </w:p>
        </w:tc>
        <w:tc>
          <w:tcPr>
            <w:tcW w:w="1716" w:type="dxa"/>
            <w:vAlign w:val="center"/>
          </w:tcPr>
          <w:p w14:paraId="375ACFF9">
            <w:pPr>
              <w:ind w:firstLine="0"/>
              <w:jc w:val="center"/>
              <w:rPr>
                <w:szCs w:val="28"/>
                <w:highlight w:val="none"/>
              </w:rPr>
            </w:pPr>
            <w:r>
              <w:rPr>
                <w:szCs w:val="28"/>
                <w:highlight w:val="none"/>
              </w:rPr>
              <w:t>6,3</w:t>
            </w:r>
          </w:p>
        </w:tc>
        <w:tc>
          <w:tcPr>
            <w:tcW w:w="2105" w:type="dxa"/>
            <w:vAlign w:val="center"/>
          </w:tcPr>
          <w:p w14:paraId="0F257373">
            <w:pPr>
              <w:ind w:firstLine="0"/>
              <w:jc w:val="center"/>
              <w:rPr>
                <w:szCs w:val="28"/>
                <w:highlight w:val="none"/>
              </w:rPr>
            </w:pPr>
            <w:r>
              <w:rPr>
                <w:szCs w:val="28"/>
                <w:highlight w:val="none"/>
              </w:rPr>
              <w:t>100,0</w:t>
            </w:r>
          </w:p>
        </w:tc>
      </w:tr>
    </w:tbl>
    <w:p w14:paraId="0E4E72E1">
      <w:pPr>
        <w:rPr>
          <w:szCs w:val="28"/>
          <w:highlight w:val="none"/>
        </w:rPr>
      </w:pPr>
    </w:p>
    <w:p w14:paraId="61CF0B71">
      <w:pPr>
        <w:pStyle w:val="3"/>
        <w:rPr>
          <w:rFonts w:cs="Times New Roman"/>
          <w:szCs w:val="28"/>
          <w:highlight w:val="none"/>
        </w:rPr>
      </w:pPr>
      <w:bookmarkStart w:id="73" w:name="_Toc153923967"/>
      <w:r>
        <w:rPr>
          <w:rFonts w:cs="Times New Roman"/>
          <w:szCs w:val="28"/>
          <w:highlight w:val="none"/>
        </w:rPr>
        <w:t>Висновки за розділом 5</w:t>
      </w:r>
      <w:bookmarkEnd w:id="73"/>
    </w:p>
    <w:p w14:paraId="4D98C1B7">
      <w:pPr>
        <w:rPr>
          <w:rFonts w:cs="Times New Roman"/>
          <w:szCs w:val="28"/>
          <w:highlight w:val="none"/>
          <w:lang w:eastAsia="ru-RU"/>
        </w:rPr>
      </w:pPr>
    </w:p>
    <w:p w14:paraId="1067476F">
      <w:pPr>
        <w:widowControl w:val="0"/>
        <w:rPr>
          <w:spacing w:val="-4"/>
          <w:highlight w:val="none"/>
          <w:lang w:eastAsia="ru-RU"/>
        </w:rPr>
      </w:pPr>
      <w:r>
        <w:rPr>
          <w:spacing w:val="-4"/>
          <w:highlight w:val="none"/>
          <w:lang w:eastAsia="ru-RU"/>
        </w:rPr>
        <w:t xml:space="preserve">При дослідженні факторів, асоційованих з розвитком важкого фіброзу у пацієнтів з хронічним гепатитом С отримано наступні результати: </w:t>
      </w:r>
    </w:p>
    <w:p w14:paraId="7CB205BD">
      <w:pPr>
        <w:widowControl w:val="0"/>
        <w:rPr>
          <w:spacing w:val="-4"/>
          <w:highlight w:val="none"/>
          <w:lang w:eastAsia="ru-RU"/>
        </w:rPr>
      </w:pPr>
      <w:r>
        <w:rPr>
          <w:spacing w:val="-4"/>
          <w:highlight w:val="none"/>
          <w:lang w:eastAsia="ru-RU"/>
        </w:rPr>
        <w:t xml:space="preserve">1. Вищі рівні середньої концентрації гемоглобіну достовірно (р=0,026) збільшували вірогідність важкого фіброзу в 4 рази, більш високі рівні тромбоцитів достовірно (р=0,011) асоціювалися з більш легким перебігом фіброзу печінки. Збільшення рівнів АСТ показало достовірну (р=0,043) асоціацію з підвищенням вірогідності розвитку важкого фіброзу на 30 % за кожні 10 Од/л підвищення. На 20 % збільшується ризик погіршення фібротичних процесів зі збільшенням рівнів загального білку (р=0,046). Варто зазначити, що підвищення рівню остеопонтину на 10 пг/мл достовірно (р=0,025) асоційовано зі збільшенням вірогідності важкого фіброзу при ХГС в 25 разів. </w:t>
      </w:r>
    </w:p>
    <w:p w14:paraId="1C5B290E">
      <w:pPr>
        <w:rPr>
          <w:rFonts w:cs="Times New Roman"/>
          <w:szCs w:val="28"/>
          <w:highlight w:val="none"/>
          <w:lang w:eastAsia="ru-RU"/>
        </w:rPr>
      </w:pPr>
      <w:r>
        <w:rPr>
          <w:rFonts w:cs="Times New Roman"/>
          <w:szCs w:val="28"/>
          <w:highlight w:val="none"/>
          <w:lang w:eastAsia="ru-RU"/>
        </w:rPr>
        <w:t xml:space="preserve">2. Розроблено </w:t>
      </w:r>
      <w:r>
        <w:rPr>
          <w:szCs w:val="28"/>
          <w:highlight w:val="none"/>
        </w:rPr>
        <w:t>математичне рівняння прогнозування наявності прогресуючого фіброзу у пацієнтів із ХГС: -24,152 + [0,028 </w:t>
      </w:r>
      <w:r>
        <w:rPr>
          <w:rFonts w:cs="Times New Roman"/>
          <w:szCs w:val="28"/>
          <w:highlight w:val="none"/>
        </w:rPr>
        <w:t>×</w:t>
      </w:r>
      <w:r>
        <w:rPr>
          <w:szCs w:val="28"/>
          <w:highlight w:val="none"/>
        </w:rPr>
        <w:t> АСТ, Од/л] + + [0,178 </w:t>
      </w:r>
      <w:r>
        <w:rPr>
          <w:rFonts w:cs="Times New Roman"/>
          <w:szCs w:val="28"/>
          <w:highlight w:val="none"/>
        </w:rPr>
        <w:t>×</w:t>
      </w:r>
      <w:r>
        <w:rPr>
          <w:szCs w:val="28"/>
          <w:highlight w:val="none"/>
        </w:rPr>
        <w:t> загальний білок, г/л] + [0,920 </w:t>
      </w:r>
      <w:r>
        <w:rPr>
          <w:rFonts w:cs="Times New Roman"/>
          <w:szCs w:val="28"/>
          <w:highlight w:val="none"/>
        </w:rPr>
        <w:t>×</w:t>
      </w:r>
      <w:r>
        <w:rPr>
          <w:szCs w:val="28"/>
          <w:highlight w:val="none"/>
        </w:rPr>
        <w:t xml:space="preserve"> ОП, пг/мл]. </w:t>
      </w:r>
      <w:r>
        <w:rPr>
          <w:spacing w:val="-4"/>
          <w:highlight w:val="none"/>
          <w:lang w:eastAsia="ru-RU"/>
        </w:rPr>
        <w:t xml:space="preserve">При сукупній оцінці рівнів АСТ, загального білку та остеопонтину розроблене прогностичне рівняння має високі предикторні якості: 87,5 % чутливості та 83,9 % специфічності. </w:t>
      </w:r>
    </w:p>
    <w:p w14:paraId="3A6566D3">
      <w:pPr>
        <w:widowControl w:val="0"/>
        <w:rPr>
          <w:spacing w:val="-4"/>
          <w:highlight w:val="none"/>
          <w:lang w:eastAsia="ru-RU"/>
        </w:rPr>
      </w:pPr>
      <w:r>
        <w:rPr>
          <w:rFonts w:cs="Times New Roman"/>
          <w:szCs w:val="28"/>
          <w:highlight w:val="none"/>
          <w:lang w:eastAsia="ru-RU"/>
        </w:rPr>
        <w:t>3. З метою підвищення точності прогнозування важкого фіброзу до попередньої моделі додано оцінку рівнів лімфоцитів, які визначили достовірну (р=0,048) асоціацію з 20 % зниженням вірогідності важкого фіброзу при підвищенні їх рівня. Сформований прогностичний алгоритм має вигляд: -31,781+[0,034 × АСТ, Од/л] + [0,274 × Білок загальний, г/л] – [0,202 × Лімфоцити, %] + [1,668 остеопонтин, пг/мл], та характеризується</w:t>
      </w:r>
      <w:r>
        <w:rPr>
          <w:spacing w:val="-4"/>
          <w:highlight w:val="none"/>
          <w:lang w:eastAsia="ru-RU"/>
        </w:rPr>
        <w:t xml:space="preserve"> 93,8 % чутливістю та 83,9 % специфічністю.</w:t>
      </w:r>
    </w:p>
    <w:p w14:paraId="5D7D0622">
      <w:pPr>
        <w:rPr>
          <w:rFonts w:cs="Times New Roman"/>
          <w:szCs w:val="28"/>
          <w:highlight w:val="none"/>
          <w:lang w:eastAsia="ru-RU"/>
        </w:rPr>
      </w:pPr>
    </w:p>
    <w:p w14:paraId="70AF2460">
      <w:pPr>
        <w:rPr>
          <w:rFonts w:cs="Times New Roman"/>
          <w:i/>
          <w:szCs w:val="28"/>
          <w:highlight w:val="none"/>
          <w:lang w:eastAsia="ru-RU"/>
        </w:rPr>
      </w:pPr>
      <w:r>
        <w:rPr>
          <w:rFonts w:cs="Times New Roman"/>
          <w:i/>
          <w:szCs w:val="28"/>
          <w:highlight w:val="none"/>
          <w:lang w:eastAsia="ru-RU"/>
        </w:rPr>
        <w:t>Перелік публікацій за даними розділу:</w:t>
      </w:r>
    </w:p>
    <w:p w14:paraId="5EBFBF93">
      <w:pPr>
        <w:pStyle w:val="23"/>
        <w:numPr>
          <w:ilvl w:val="0"/>
          <w:numId w:val="5"/>
        </w:numPr>
        <w:tabs>
          <w:tab w:val="left" w:pos="1134"/>
        </w:tabs>
        <w:spacing w:before="0" w:beforeAutospacing="0" w:after="0" w:afterAutospacing="0" w:line="360" w:lineRule="auto"/>
        <w:ind w:left="0" w:firstLine="709"/>
        <w:jc w:val="both"/>
        <w:rPr>
          <w:sz w:val="28"/>
          <w:szCs w:val="28"/>
          <w:highlight w:val="none"/>
        </w:rPr>
      </w:pPr>
      <w:r>
        <w:rPr>
          <w:b/>
          <w:bCs/>
          <w:sz w:val="28"/>
          <w:szCs w:val="28"/>
          <w:highlight w:val="none"/>
        </w:rPr>
        <w:t>Sheiko, A. G.,</w:t>
      </w:r>
      <w:r>
        <w:rPr>
          <w:sz w:val="28"/>
          <w:szCs w:val="28"/>
          <w:highlight w:val="none"/>
        </w:rPr>
        <w:t xml:space="preserve"> &amp; Yurko, K. V. (2023). The value of osteopontin in predicting fibrosis in patients with chronic viral hepatitis C. </w:t>
      </w:r>
      <w:r>
        <w:rPr>
          <w:i/>
          <w:iCs/>
          <w:sz w:val="28"/>
          <w:szCs w:val="28"/>
          <w:highlight w:val="none"/>
        </w:rPr>
        <w:t>Gastroenterology (Ukraine)</w:t>
      </w:r>
      <w:r>
        <w:rPr>
          <w:sz w:val="28"/>
          <w:szCs w:val="28"/>
          <w:highlight w:val="none"/>
        </w:rPr>
        <w:t xml:space="preserve">, </w:t>
      </w:r>
      <w:r>
        <w:rPr>
          <w:i/>
          <w:iCs/>
          <w:sz w:val="28"/>
          <w:szCs w:val="28"/>
          <w:highlight w:val="none"/>
        </w:rPr>
        <w:t>57</w:t>
      </w:r>
      <w:r>
        <w:rPr>
          <w:sz w:val="28"/>
          <w:szCs w:val="28"/>
          <w:highlight w:val="none"/>
        </w:rPr>
        <w:t xml:space="preserve">(3), 166–171. </w:t>
      </w:r>
      <w:r>
        <w:rPr>
          <w:highlight w:val="none"/>
        </w:rPr>
        <w:fldChar w:fldCharType="begin"/>
      </w:r>
      <w:r>
        <w:rPr>
          <w:highlight w:val="none"/>
        </w:rPr>
        <w:instrText xml:space="preserve"> HYPERLINK "https://doi.org/10.22141/2308-2097.57.3.2023.556" </w:instrText>
      </w:r>
      <w:r>
        <w:rPr>
          <w:highlight w:val="none"/>
        </w:rPr>
        <w:fldChar w:fldCharType="separate"/>
      </w:r>
      <w:r>
        <w:rPr>
          <w:rStyle w:val="11"/>
          <w:sz w:val="28"/>
          <w:szCs w:val="28"/>
          <w:highlight w:val="none"/>
        </w:rPr>
        <w:t>https://doi.org/10.22141/2308-2097.57.3.2023.556</w:t>
      </w:r>
      <w:r>
        <w:rPr>
          <w:rStyle w:val="11"/>
          <w:sz w:val="28"/>
          <w:szCs w:val="28"/>
          <w:highlight w:val="none"/>
        </w:rPr>
        <w:fldChar w:fldCharType="end"/>
      </w:r>
    </w:p>
    <w:p w14:paraId="333F34C6">
      <w:pPr>
        <w:pStyle w:val="23"/>
        <w:widowControl w:val="0"/>
        <w:numPr>
          <w:ilvl w:val="0"/>
          <w:numId w:val="5"/>
        </w:numPr>
        <w:tabs>
          <w:tab w:val="left" w:pos="1134"/>
        </w:tabs>
        <w:spacing w:before="0" w:beforeAutospacing="0" w:after="0" w:afterAutospacing="0" w:line="360" w:lineRule="auto"/>
        <w:ind w:left="0" w:firstLine="709"/>
        <w:jc w:val="both"/>
        <w:rPr>
          <w:szCs w:val="28"/>
          <w:highlight w:val="none"/>
        </w:rPr>
      </w:pPr>
      <w:r>
        <w:rPr>
          <w:sz w:val="28"/>
          <w:szCs w:val="28"/>
          <w:highlight w:val="none"/>
        </w:rPr>
        <w:t xml:space="preserve">Юрко, К. В., &amp; </w:t>
      </w:r>
      <w:r>
        <w:rPr>
          <w:b/>
          <w:bCs/>
          <w:sz w:val="28"/>
          <w:szCs w:val="28"/>
          <w:highlight w:val="none"/>
        </w:rPr>
        <w:t xml:space="preserve">Шейко, А. </w:t>
      </w:r>
      <w:r>
        <w:rPr>
          <w:sz w:val="28"/>
          <w:szCs w:val="28"/>
          <w:highlight w:val="none"/>
        </w:rPr>
        <w:t xml:space="preserve">(2023). Остеопонтин як неінвазивний предиктор процесів фіброзу в пацієнтів із хронічним вірусним гепатитом С. </w:t>
      </w:r>
      <w:r>
        <w:rPr>
          <w:i/>
          <w:iCs/>
          <w:sz w:val="28"/>
          <w:szCs w:val="28"/>
          <w:highlight w:val="none"/>
        </w:rPr>
        <w:t>«Інфекційні Захворювання — Виклики Сьогодення. Сучасні Аспекти Клініки, Діагностики, Лікування Та Профілактики</w:t>
      </w:r>
      <w:r>
        <w:rPr>
          <w:sz w:val="28"/>
          <w:szCs w:val="28"/>
          <w:highlight w:val="none"/>
        </w:rPr>
        <w:t>, 213. https://doi.org/https://doi.org/10.22141/2224-0586.19.3.2023.1581</w:t>
      </w:r>
    </w:p>
    <w:p w14:paraId="413E86B0">
      <w:pPr>
        <w:ind w:firstLine="708"/>
        <w:rPr>
          <w:rFonts w:cs="Times New Roman"/>
          <w:szCs w:val="28"/>
          <w:highlight w:val="none"/>
        </w:rPr>
      </w:pPr>
      <w:r>
        <w:rPr>
          <w:rFonts w:cs="Times New Roman"/>
          <w:szCs w:val="28"/>
          <w:highlight w:val="none"/>
        </w:rPr>
        <w:t>3.</w:t>
      </w:r>
      <w:r>
        <w:rPr>
          <w:rFonts w:cs="Times New Roman"/>
          <w:szCs w:val="28"/>
          <w:highlight w:val="none"/>
        </w:rPr>
        <w:tab/>
      </w:r>
      <w:r>
        <w:rPr>
          <w:rFonts w:cs="Times New Roman"/>
          <w:b/>
          <w:bCs/>
          <w:szCs w:val="28"/>
          <w:highlight w:val="none"/>
        </w:rPr>
        <w:t>Sheiko, A. H</w:t>
      </w:r>
      <w:r>
        <w:rPr>
          <w:rFonts w:cs="Times New Roman"/>
          <w:szCs w:val="28"/>
          <w:highlight w:val="none"/>
        </w:rPr>
        <w:t>., Yurko, K. V., Solomennyk, H. O., &amp; Kucheriavchenko, V. V. (2023). The prognostic value of blood markers in prediction of the probability of the development of fibrotic process in patients with chronic hepatitis C virus. Клінічна Та Профілактична Медицина, 29(7), 6-12. https://doi.org/10.31612/2616-4868.7.2023.01</w:t>
      </w:r>
      <w:r>
        <w:rPr>
          <w:rFonts w:cs="Times New Roman"/>
          <w:szCs w:val="28"/>
          <w:highlight w:val="none"/>
        </w:rPr>
        <w:br w:type="page"/>
      </w:r>
    </w:p>
    <w:p w14:paraId="11DBC4BE">
      <w:pPr>
        <w:pStyle w:val="2"/>
        <w:rPr>
          <w:rFonts w:cs="Times New Roman"/>
          <w:szCs w:val="28"/>
          <w:highlight w:val="none"/>
          <w:lang w:val="uk-UA"/>
        </w:rPr>
      </w:pPr>
      <w:bookmarkStart w:id="74" w:name="_Toc153923968"/>
      <w:r>
        <w:rPr>
          <w:rFonts w:cs="Times New Roman"/>
          <w:szCs w:val="28"/>
          <w:highlight w:val="none"/>
          <w:lang w:val="uk-UA"/>
        </w:rPr>
        <w:t>ВИСНОВКИ</w:t>
      </w:r>
      <w:bookmarkEnd w:id="74"/>
    </w:p>
    <w:p w14:paraId="13D592E4">
      <w:pPr>
        <w:pStyle w:val="2"/>
        <w:keepNext w:val="0"/>
        <w:keepLines w:val="0"/>
        <w:widowControl w:val="0"/>
        <w:ind w:firstLine="709"/>
        <w:jc w:val="both"/>
        <w:rPr>
          <w:rFonts w:cs="Times New Roman"/>
          <w:b w:val="0"/>
          <w:szCs w:val="28"/>
          <w:highlight w:val="none"/>
          <w:lang w:val="uk-UA"/>
        </w:rPr>
      </w:pPr>
    </w:p>
    <w:p w14:paraId="4E9FCCD0">
      <w:pPr>
        <w:widowControl w:val="0"/>
        <w:rPr>
          <w:rFonts w:hint="default" w:ascii="Times New Roman" w:hAnsi="Times New Roman" w:eastAsia="Arial" w:cs="Times New Roman"/>
          <w:i w:val="0"/>
          <w:iCs w:val="0"/>
          <w:caps w:val="0"/>
          <w:color w:val="2D2C37"/>
          <w:spacing w:val="0"/>
          <w:sz w:val="28"/>
          <w:szCs w:val="28"/>
          <w:shd w:val="clear" w:fill="FFFFFF"/>
        </w:rPr>
      </w:pPr>
      <w:r>
        <w:rPr>
          <w:rFonts w:hint="default" w:ascii="Times New Roman" w:hAnsi="Times New Roman" w:eastAsia="Arial" w:cs="Times New Roman"/>
          <w:i w:val="0"/>
          <w:iCs w:val="0"/>
          <w:caps w:val="0"/>
          <w:color w:val="2D2C37"/>
          <w:spacing w:val="0"/>
          <w:sz w:val="28"/>
          <w:szCs w:val="28"/>
          <w:shd w:val="clear" w:fill="FFFFFF"/>
        </w:rPr>
        <w:t>Таким чином, при визначенні діагностичних можливостей клініко-лабораторних і клініко-інструментальних показників із визначенням цінності остеопонтину та вітаміну D в прогнозуванні перебігу хронічного гепатиту С було:</w:t>
      </w:r>
    </w:p>
    <w:p w14:paraId="48BE83BF">
      <w:pPr>
        <w:widowControl w:val="0"/>
        <w:numPr>
          <w:ilvl w:val="0"/>
          <w:numId w:val="6"/>
        </w:numPr>
        <w:ind w:left="131" w:leftChars="0" w:firstLineChars="0"/>
        <w:rPr>
          <w:highlight w:val="none"/>
        </w:rPr>
      </w:pPr>
      <w:r>
        <w:rPr>
          <w:rFonts w:hint="default" w:ascii="Times New Roman" w:hAnsi="Times New Roman" w:eastAsia="Arial" w:cs="Times New Roman"/>
          <w:i w:val="0"/>
          <w:iCs w:val="0"/>
          <w:caps w:val="0"/>
          <w:color w:val="2D2C37"/>
          <w:spacing w:val="0"/>
          <w:sz w:val="28"/>
          <w:szCs w:val="28"/>
          <w:shd w:val="clear" w:fill="FFFFFF"/>
        </w:rPr>
        <w:t>Визначено у клінічній картині хронічного гепатиту С переважання таких клінічних симптомів, як загальна слабкість (76,6 %), зниження працездатності (74,5 %), емоційна лабільність (76,6 %), зниження апетиту (63,83 %) та важкість у правому підребер’ї (68,1 %). Жовтяниця склер, шкіри та холурія визначалися в 21,3 % випадків. В 31,9 % випадків реєстрували підвищення температури тіла. Збільшення розмірів печінки та її болючість визначені відповідно в 93,6 % та 80,9 % випадків. Медіана рівнів остеопонтину більше ніж в 1,5 рази переважала у пацієнтів з ХГС, ніж в контрольній групі (р&lt;0,001); в обох досліджених групах медіанні рівні вітаміну D характеризувалися його недостатністю, при цьому, достовірно (р&lt;0,001) були нижчими саме у пацієнтів з ХГС.</w:t>
      </w:r>
    </w:p>
    <w:p w14:paraId="471C2AED">
      <w:pPr>
        <w:widowControl w:val="0"/>
        <w:numPr>
          <w:ilvl w:val="0"/>
          <w:numId w:val="6"/>
        </w:numPr>
        <w:ind w:left="131" w:leftChars="0" w:firstLineChars="0"/>
        <w:rPr>
          <w:highlight w:val="none"/>
        </w:rPr>
      </w:pPr>
      <w:r>
        <w:rPr>
          <w:rFonts w:hint="default" w:ascii="Times New Roman" w:hAnsi="Times New Roman" w:eastAsia="Arial" w:cs="Times New Roman"/>
          <w:i w:val="0"/>
          <w:iCs w:val="0"/>
          <w:caps w:val="0"/>
          <w:color w:val="2D2C37"/>
          <w:spacing w:val="0"/>
          <w:sz w:val="28"/>
          <w:szCs w:val="28"/>
          <w:shd w:val="clear" w:fill="FFFFFF"/>
        </w:rPr>
        <w:t>Відмічено, що в основній групі рівні остеопонтину та вітаміну D в сироватці крові хворих на ХГС достовірно (р&lt;0,001) збільшувалися із прогресуванням стадії фіброзного процесу. Медіана АЛТ та АСТ достовірно (р&lt;0,001) збільшувалася у пацієнтів з 3-4 стадією фіброзу. При значному фіброзі також достовірно (р=0,002) була вища медіана ГГТ. Середня концентрація гемоглобіну була достовірно вища (р=0,025) у пацієнтів зі значним (3–4 стадії) фіброзом, проте рівні тромбоцитів були майже на чверть достовірно нижчими (р=0,012).</w:t>
      </w:r>
    </w:p>
    <w:p w14:paraId="74411A4A">
      <w:pPr>
        <w:widowControl w:val="0"/>
        <w:numPr>
          <w:ilvl w:val="0"/>
          <w:numId w:val="6"/>
        </w:numPr>
        <w:ind w:left="131" w:leftChars="0" w:firstLineChars="0"/>
        <w:rPr>
          <w:highlight w:val="none"/>
        </w:rPr>
      </w:pPr>
      <w:r>
        <w:rPr>
          <w:rFonts w:hint="default" w:ascii="Times New Roman" w:hAnsi="Times New Roman" w:eastAsia="Arial" w:cs="Times New Roman"/>
          <w:i w:val="0"/>
          <w:iCs w:val="0"/>
          <w:caps w:val="0"/>
          <w:color w:val="2D2C37"/>
          <w:spacing w:val="0"/>
          <w:sz w:val="28"/>
          <w:szCs w:val="28"/>
          <w:shd w:val="clear" w:fill="FFFFFF"/>
        </w:rPr>
        <w:t>Встановлено, що після проведеного лікування хворих на ХГС, більшість досліджених параметрів нормалізувалися, проте все ж достовірно рівні АЛТ, АСТ (відповідно р=0,025, р=0,003) були нижчі за аналогічні показники групи контроля. Отримано дані щодо достовірної (р&lt;0,001) нормалізації рівнів активності печінкових ферментів після проведення лікування, зниження в 3 рази показника тимолової проби, достовірне (р&lt;0,001) підвищення альбуміну та зниження концентрації загального білку. Медіана тромбоцитів майже на 10 % була нижчою, ніж в групі контролю (р=0,004), вдвічі переважала відносна кількість п/я нейтрофілів в контролі (р=0,001) та вищою була медіана відносної кількості с/я нейтрофілів (р=0,001). Відносна кількість лімфоцитів знизилася після лікування у пацієнтів з ХГС, проте все ж в три рази була вищою за контроль (р=0,001). Достовірно (р=0,008) підвищилася кількість тромбоцитів до 244×109/л та вдвічі знизилася ШОЕ (р=0,005), а рівні п/я та с/я нейтрофілів вищими (відповідно, р=0,008, р=0,021 та р=0,011).</w:t>
      </w:r>
    </w:p>
    <w:p w14:paraId="2EB8E08C">
      <w:pPr>
        <w:widowControl w:val="0"/>
        <w:numPr>
          <w:ilvl w:val="0"/>
          <w:numId w:val="6"/>
        </w:numPr>
        <w:ind w:left="131" w:leftChars="0" w:firstLineChars="0"/>
        <w:rPr>
          <w:highlight w:val="none"/>
        </w:rPr>
      </w:pPr>
      <w:r>
        <w:rPr>
          <w:rFonts w:hint="default" w:ascii="Times New Roman" w:hAnsi="Times New Roman" w:eastAsia="Arial" w:cs="Times New Roman"/>
          <w:i w:val="0"/>
          <w:iCs w:val="0"/>
          <w:caps w:val="0"/>
          <w:color w:val="2D2C37"/>
          <w:spacing w:val="0"/>
          <w:sz w:val="28"/>
          <w:szCs w:val="28"/>
          <w:shd w:val="clear" w:fill="FFFFFF"/>
        </w:rPr>
        <w:t>З’ясовано, що підвищення рівня остеопонтину на 10 пг/мл достовірно (р=0,025) асоційовано зі збільшенням вірогідності важкого фіброзу при ХГС в 25 разів. Збільшення рівнів АСТ показало достовірну (р=0,043) асоціацію з підвищенням вірогідності розвитку важкого фіброзу на 30 % за кожні 10 Од/л підвищення. На 20 % збільшується ризик прогресування фібротичних процесів зі збільшенням рівнів загального білку (р=0,046). Відносна кількість лімфоцитів асоціювалася зворотно з розвитком важкого фіброзу (р=0,048). Вищі рівні середньої концентрації гемоглобіну у хворих на ХГС достовірно (р=0,026) збільшували вірогідність важкого фіброзу в 4 рази, у той час як більш високі рівні тромбоцитів достовірно (р=0,011) асоціювалися з більш легким перебігом фіброзу печінки.</w:t>
      </w:r>
    </w:p>
    <w:p w14:paraId="3539129D">
      <w:pPr>
        <w:widowControl w:val="0"/>
        <w:numPr>
          <w:ilvl w:val="0"/>
          <w:numId w:val="6"/>
        </w:numPr>
        <w:ind w:left="131" w:leftChars="0" w:firstLineChars="0"/>
        <w:rPr>
          <w:highlight w:val="none"/>
        </w:rPr>
      </w:pPr>
      <w:r>
        <w:rPr>
          <w:rFonts w:hint="default" w:ascii="Times New Roman" w:hAnsi="Times New Roman" w:eastAsia="Arial" w:cs="Times New Roman"/>
          <w:i w:val="0"/>
          <w:iCs w:val="0"/>
          <w:caps w:val="0"/>
          <w:color w:val="2D2C37"/>
          <w:spacing w:val="0"/>
          <w:sz w:val="28"/>
          <w:szCs w:val="28"/>
          <w:shd w:val="clear" w:fill="FFFFFF"/>
        </w:rPr>
        <w:t>Розроблено математичне рівняння прогнозування наявності прогресуючого фіброзу у пацієнтів із ХГС, яке має прогностичне рівняння та високі предикторні якості: 87,5 % чутливості та 83,9 % специфічності. Додаткова оцінка відносної кількості лімфоцитів підвищує прогностичні характеристики математичного алгоритму до рівня 93,8 % чутливості та 83,9 % специфічності.</w:t>
      </w:r>
      <w:r>
        <w:rPr>
          <w:highlight w:val="none"/>
        </w:rPr>
        <w:br w:type="page"/>
      </w:r>
    </w:p>
    <w:p w14:paraId="71D21C5C">
      <w:pPr>
        <w:pStyle w:val="2"/>
        <w:rPr>
          <w:rFonts w:cs="Times New Roman"/>
          <w:szCs w:val="28"/>
          <w:highlight w:val="none"/>
          <w:lang w:val="uk-UA"/>
        </w:rPr>
      </w:pPr>
      <w:bookmarkStart w:id="75" w:name="_Toc153923969"/>
      <w:r>
        <w:rPr>
          <w:rFonts w:cs="Times New Roman"/>
          <w:szCs w:val="28"/>
          <w:highlight w:val="none"/>
          <w:lang w:val="uk-UA"/>
        </w:rPr>
        <w:t>ПРАКТИЧНІ РЕКОМЕНДАЦІЇ</w:t>
      </w:r>
      <w:bookmarkEnd w:id="75"/>
    </w:p>
    <w:p w14:paraId="74CB3CA8">
      <w:pPr>
        <w:pStyle w:val="2"/>
        <w:keepNext w:val="0"/>
        <w:keepLines w:val="0"/>
        <w:widowControl w:val="0"/>
        <w:ind w:firstLine="709"/>
        <w:jc w:val="both"/>
        <w:rPr>
          <w:rFonts w:cs="Times New Roman"/>
          <w:b w:val="0"/>
          <w:szCs w:val="28"/>
          <w:highlight w:val="none"/>
          <w:lang w:val="uk-UA"/>
        </w:rPr>
      </w:pPr>
    </w:p>
    <w:p w14:paraId="0D1FA6BC">
      <w:pPr>
        <w:widowControl w:val="0"/>
        <w:rPr>
          <w:szCs w:val="28"/>
          <w:highlight w:val="none"/>
        </w:rPr>
      </w:pPr>
      <w:r>
        <w:rPr>
          <w:rFonts w:cs="Times New Roman"/>
          <w:szCs w:val="28"/>
          <w:highlight w:val="none"/>
        </w:rPr>
        <w:t xml:space="preserve">1. </w:t>
      </w:r>
      <w:r>
        <w:rPr>
          <w:szCs w:val="28"/>
          <w:highlight w:val="none"/>
        </w:rPr>
        <w:t xml:space="preserve">Рекомендовано до застосування в клінічній практиці оцінювати рівень остеопонтину та вітаміну D з урахуванням їх діагностичної та прогностичної значимості відносно перебігу хронічного гепатиту С та розвитку важкого фіброзу печінки. </w:t>
      </w:r>
    </w:p>
    <w:p w14:paraId="08A8D254">
      <w:pPr>
        <w:rPr>
          <w:szCs w:val="28"/>
          <w:highlight w:val="none"/>
        </w:rPr>
      </w:pPr>
      <w:r>
        <w:rPr>
          <w:szCs w:val="28"/>
          <w:highlight w:val="none"/>
        </w:rPr>
        <w:t>2. Запропоновано, з метою раннього прогнозування розвитку значних морфологічних змін печінки (розвитку фіброзу 3–4 стадії), сукупно оцінювати рівні остеопонтину, загального білку та аспартатамінотрансферази за формулою «-24,152 + [0,028 × АСТ, Од/л] + + [0,178 × Заг. білок, г/л] + [0,920 × Остеопонтин, пг/мл], з вираховуванням прогностичного коефіцієнту, який при значенні моделі -0,9750 має чутливість 87,5 % та 83,9 %.</w:t>
      </w:r>
    </w:p>
    <w:p w14:paraId="41743F23">
      <w:pPr>
        <w:rPr>
          <w:szCs w:val="28"/>
          <w:highlight w:val="none"/>
        </w:rPr>
      </w:pPr>
      <w:r>
        <w:rPr>
          <w:szCs w:val="28"/>
          <w:highlight w:val="none"/>
        </w:rPr>
        <w:t xml:space="preserve">3. Рекомендовано, з метою уточнення прогнозу розвитку важкого фіброзу у пацієнтів з ХГС, додатково оцінювати параметр відносної кількості лімфоцитів та застосовувати розроблену математичну формулу:                      «- 31,781+[0,034 × АСТ, Од/л] + [0,274 × Білок загальний, г/л] – [0,202 × Лімфоцити, %] + [1,668 × остеопонтин, пг/мл]», </w:t>
      </w:r>
      <w:r>
        <w:rPr>
          <w:szCs w:val="28"/>
          <w:highlight w:val="none"/>
        </w:rPr>
        <w:t>предикційні</w:t>
      </w:r>
      <w:r>
        <w:rPr>
          <w:szCs w:val="28"/>
          <w:highlight w:val="none"/>
        </w:rPr>
        <w:t xml:space="preserve"> характеристики якої складають 93,8 % чутливості та 83,9 % специфічності при значенні моделі -1,1568.</w:t>
      </w:r>
    </w:p>
    <w:p w14:paraId="102FFB15">
      <w:pPr>
        <w:widowControl w:val="0"/>
        <w:rPr>
          <w:highlight w:val="none"/>
        </w:rPr>
      </w:pPr>
      <w:r>
        <w:rPr>
          <w:highlight w:val="none"/>
        </w:rPr>
        <w:br w:type="page"/>
      </w:r>
    </w:p>
    <w:p w14:paraId="1B48511D">
      <w:pPr>
        <w:pStyle w:val="2"/>
        <w:rPr>
          <w:highlight w:val="none"/>
          <w:lang w:val="uk-UA"/>
        </w:rPr>
      </w:pPr>
      <w:bookmarkStart w:id="76" w:name="_Toc153923970"/>
      <w:r>
        <w:rPr>
          <w:highlight w:val="none"/>
          <w:lang w:val="uk-UA"/>
        </w:rPr>
        <w:t>СПИСОК ВИКОРИСТАНИХ ДЖЕРЕЛ</w:t>
      </w:r>
      <w:bookmarkEnd w:id="76"/>
    </w:p>
    <w:p w14:paraId="3B1AEB6D">
      <w:pPr>
        <w:widowControl w:val="0"/>
        <w:rPr>
          <w:rFonts w:cs="Times New Roman"/>
          <w:szCs w:val="28"/>
          <w:highlight w:val="none"/>
          <w:lang w:val="en-US"/>
        </w:rPr>
      </w:pPr>
    </w:p>
    <w:p w14:paraId="0E6D365A">
      <w:pPr>
        <w:widowControl w:val="0"/>
        <w:rPr>
          <w:rFonts w:cs="Times New Roman"/>
          <w:szCs w:val="23"/>
          <w:highlight w:val="none"/>
          <w:shd w:val="clear" w:color="auto" w:fill="FFFFFF"/>
          <w:lang w:val="en-US"/>
        </w:rPr>
      </w:pPr>
      <w:r>
        <w:rPr>
          <w:rFonts w:cs="Times New Roman"/>
          <w:szCs w:val="23"/>
          <w:highlight w:val="none"/>
          <w:shd w:val="clear" w:color="auto" w:fill="FFFFFF"/>
          <w:lang w:val="en-US"/>
        </w:rPr>
        <w:t>1.1 Marianne Martinello, Susanna Naggie, Juergen Kurt Rockstroh, Gail V Matthews, Direct-Acting Antiviral Therapy for Treatment of Acute and Recent Hepatitis C Virus Infection: A Narrative Review, </w:t>
      </w:r>
      <w:r>
        <w:rPr>
          <w:rStyle w:val="10"/>
          <w:rFonts w:cs="Times New Roman"/>
          <w:szCs w:val="23"/>
          <w:highlight w:val="none"/>
          <w:shd w:val="clear" w:color="auto" w:fill="FFFFFF"/>
          <w:lang w:val="en-US"/>
        </w:rPr>
        <w:t>Clinical Infectious Diseases</w:t>
      </w:r>
      <w:r>
        <w:rPr>
          <w:rFonts w:cs="Times New Roman"/>
          <w:szCs w:val="23"/>
          <w:highlight w:val="none"/>
          <w:shd w:val="clear" w:color="auto" w:fill="FFFFFF"/>
          <w:lang w:val="en-US"/>
        </w:rPr>
        <w:t>, Volume 77, Issue Supplement_3, 15 August 2023, Pages S238–S244, https://doi.org/10.1093/cid/ciad344</w:t>
      </w:r>
    </w:p>
    <w:p w14:paraId="2A53329A">
      <w:pPr>
        <w:widowControl w:val="0"/>
        <w:rPr>
          <w:rFonts w:cs="Times New Roman"/>
          <w:szCs w:val="27"/>
          <w:highlight w:val="none"/>
          <w:shd w:val="clear" w:color="auto" w:fill="FFFFFF"/>
          <w:lang w:val="en-US"/>
        </w:rPr>
      </w:pPr>
      <w:r>
        <w:rPr>
          <w:rFonts w:cs="Times New Roman"/>
          <w:highlight w:val="none"/>
          <w:lang w:val="en-US"/>
        </w:rPr>
        <w:t xml:space="preserve">1.2 </w:t>
      </w:r>
      <w:r>
        <w:rPr>
          <w:rFonts w:cs="Times New Roman"/>
          <w:szCs w:val="27"/>
          <w:highlight w:val="none"/>
          <w:shd w:val="clear" w:color="auto" w:fill="FFFFFF"/>
          <w:lang w:val="en-US"/>
        </w:rPr>
        <w:t>World Health Organization. Combating Hepatitis B and C to Reach Elimination by 2030. </w:t>
      </w:r>
      <w:r>
        <w:rPr>
          <w:rFonts w:cs="Times New Roman"/>
          <w:i/>
          <w:iCs/>
          <w:szCs w:val="27"/>
          <w:highlight w:val="none"/>
          <w:shd w:val="clear" w:color="auto" w:fill="FFFFFF"/>
          <w:lang w:val="en-US"/>
        </w:rPr>
        <w:t>WHO</w:t>
      </w:r>
      <w:r>
        <w:rPr>
          <w:rFonts w:cs="Times New Roman"/>
          <w:szCs w:val="27"/>
          <w:highlight w:val="none"/>
          <w:shd w:val="clear" w:color="auto" w:fill="FFFFFF"/>
          <w:lang w:val="en-US"/>
        </w:rPr>
        <w:t> https://apps.who.int/iris/handle/10665/206453 (2016)</w:t>
      </w:r>
    </w:p>
    <w:p w14:paraId="4343588E">
      <w:pPr>
        <w:widowControl w:val="0"/>
        <w:rPr>
          <w:rFonts w:cs="Times New Roman"/>
          <w:highlight w:val="none"/>
          <w:lang w:val="en-US"/>
        </w:rPr>
      </w:pPr>
      <w:r>
        <w:rPr>
          <w:rFonts w:cs="Times New Roman"/>
          <w:highlight w:val="none"/>
          <w:lang w:val="en-US"/>
        </w:rPr>
        <w:t xml:space="preserve">1.3 </w:t>
      </w:r>
      <w:r>
        <w:rPr>
          <w:rFonts w:cs="Times New Roman"/>
          <w:highlight w:val="none"/>
          <w:shd w:val="clear" w:color="auto" w:fill="FFFFFF"/>
          <w:lang w:val="en-US"/>
        </w:rPr>
        <w:t>Manns, M.P., Maasoumy, B. Breakthroughs in hepatitis C research: from discovery to cure. </w:t>
      </w:r>
      <w:r>
        <w:rPr>
          <w:rFonts w:cs="Times New Roman"/>
          <w:i/>
          <w:iCs/>
          <w:highlight w:val="none"/>
          <w:shd w:val="clear" w:color="auto" w:fill="FFFFFF"/>
          <w:lang w:val="en-US"/>
        </w:rPr>
        <w:t>Nat Rev Gastroenterol Hepatol</w:t>
      </w:r>
      <w:r>
        <w:rPr>
          <w:rFonts w:cs="Times New Roman"/>
          <w:highlight w:val="none"/>
          <w:shd w:val="clear" w:color="auto" w:fill="FFFFFF"/>
          <w:lang w:val="en-US"/>
        </w:rPr>
        <w:t> </w:t>
      </w:r>
      <w:r>
        <w:rPr>
          <w:rFonts w:cs="Times New Roman"/>
          <w:b/>
          <w:bCs/>
          <w:highlight w:val="none"/>
          <w:shd w:val="clear" w:color="auto" w:fill="FFFFFF"/>
          <w:lang w:val="en-US"/>
        </w:rPr>
        <w:t>19</w:t>
      </w:r>
      <w:r>
        <w:rPr>
          <w:rFonts w:cs="Times New Roman"/>
          <w:highlight w:val="none"/>
          <w:shd w:val="clear" w:color="auto" w:fill="FFFFFF"/>
          <w:lang w:val="en-US"/>
        </w:rPr>
        <w:t>, 533–550 (2022). https://doi.org/10.1038/s41575-022-00608-8</w:t>
      </w:r>
    </w:p>
    <w:p w14:paraId="555AD183">
      <w:pPr>
        <w:widowControl w:val="0"/>
        <w:rPr>
          <w:rFonts w:cs="Times New Roman"/>
          <w:szCs w:val="23"/>
          <w:highlight w:val="none"/>
          <w:shd w:val="clear" w:color="auto" w:fill="FFFFFF"/>
          <w:lang w:val="en-US"/>
        </w:rPr>
      </w:pPr>
      <w:r>
        <w:rPr>
          <w:rFonts w:cs="Times New Roman"/>
          <w:highlight w:val="none"/>
          <w:lang w:val="en-US"/>
        </w:rPr>
        <w:t xml:space="preserve">1.4 </w:t>
      </w:r>
      <w:r>
        <w:rPr>
          <w:rFonts w:cs="Times New Roman"/>
          <w:szCs w:val="23"/>
          <w:highlight w:val="none"/>
          <w:shd w:val="clear" w:color="auto" w:fill="FFFFFF"/>
          <w:lang w:val="en-US"/>
        </w:rPr>
        <w:t>Cui F, Blach S, Manzengo Mingiedi C, et al. Global reporting of progress towards elimination of hepatitis B and hepatitis C. The lancet. Gastroenterology &amp; Hepatology. 2023 Apr;8(4):332-342. DOI: 10.1016/s2468-1253(22)00386-7. PMID: 36764320.</w:t>
      </w:r>
    </w:p>
    <w:p w14:paraId="38DE8D21">
      <w:pPr>
        <w:widowControl w:val="0"/>
        <w:rPr>
          <w:rFonts w:cs="Times New Roman"/>
          <w:szCs w:val="23"/>
          <w:highlight w:val="none"/>
          <w:shd w:val="clear" w:color="auto" w:fill="FFFFFF"/>
          <w:lang w:val="en-US"/>
        </w:rPr>
      </w:pPr>
      <w:r>
        <w:rPr>
          <w:rFonts w:cs="Times New Roman"/>
          <w:szCs w:val="23"/>
          <w:highlight w:val="none"/>
          <w:shd w:val="clear" w:color="auto" w:fill="FFFFFF"/>
          <w:lang w:val="en-US"/>
        </w:rPr>
        <w:t xml:space="preserve">1.5 </w:t>
      </w:r>
      <w:r>
        <w:rPr>
          <w:rFonts w:eastAsia="Times New Roman" w:cs="Times New Roman"/>
          <w:szCs w:val="23"/>
          <w:highlight w:val="none"/>
          <w:lang w:val="en-US" w:eastAsia="ru-RU"/>
        </w:rPr>
        <w:t>World Health Organization</w:t>
      </w:r>
      <w:r>
        <w:rPr>
          <w:rFonts w:eastAsia="Times New Roman" w:cs="Times New Roman"/>
          <w:szCs w:val="23"/>
          <w:highlight w:val="none"/>
          <w:shd w:val="clear" w:color="auto" w:fill="FFFFFF"/>
          <w:lang w:val="en-US" w:eastAsia="ru-RU"/>
        </w:rPr>
        <w:t>. </w:t>
      </w:r>
      <w:r>
        <w:rPr>
          <w:rFonts w:eastAsia="Times New Roman" w:cs="Times New Roman"/>
          <w:i/>
          <w:iCs/>
          <w:szCs w:val="23"/>
          <w:highlight w:val="none"/>
          <w:lang w:val="en-US" w:eastAsia="ru-RU"/>
        </w:rPr>
        <w:t>Global health sector strategies on, respectively, HIV, viral hepatitis and sexually transmitted infections for the period 2022–2030</w:t>
      </w:r>
      <w:r>
        <w:rPr>
          <w:rFonts w:eastAsia="Times New Roman" w:cs="Times New Roman"/>
          <w:szCs w:val="23"/>
          <w:highlight w:val="none"/>
          <w:shd w:val="clear" w:color="auto" w:fill="FFFFFF"/>
          <w:lang w:val="en-US" w:eastAsia="ru-RU"/>
        </w:rPr>
        <w:t>. </w:t>
      </w:r>
      <w:r>
        <w:rPr>
          <w:rFonts w:eastAsia="Times New Roman" w:cs="Times New Roman"/>
          <w:szCs w:val="23"/>
          <w:highlight w:val="none"/>
          <w:lang w:val="en-US" w:eastAsia="ru-RU"/>
        </w:rPr>
        <w:t>Geneva, Switzerland</w:t>
      </w:r>
      <w:r>
        <w:rPr>
          <w:rFonts w:eastAsia="Times New Roman" w:cs="Times New Roman"/>
          <w:szCs w:val="23"/>
          <w:highlight w:val="none"/>
          <w:shd w:val="clear" w:color="auto" w:fill="FFFFFF"/>
          <w:lang w:val="en-US" w:eastAsia="ru-RU"/>
        </w:rPr>
        <w:t>: </w:t>
      </w:r>
      <w:r>
        <w:rPr>
          <w:rFonts w:eastAsia="Times New Roman" w:cs="Times New Roman"/>
          <w:szCs w:val="23"/>
          <w:highlight w:val="none"/>
          <w:lang w:val="en-US" w:eastAsia="ru-RU"/>
        </w:rPr>
        <w:t>World Health Organization</w:t>
      </w:r>
      <w:r>
        <w:rPr>
          <w:rFonts w:eastAsia="Times New Roman" w:cs="Times New Roman"/>
          <w:szCs w:val="23"/>
          <w:highlight w:val="none"/>
          <w:shd w:val="clear" w:color="auto" w:fill="FFFFFF"/>
          <w:lang w:val="en-US" w:eastAsia="ru-RU"/>
        </w:rPr>
        <w:t>, </w:t>
      </w:r>
      <w:r>
        <w:rPr>
          <w:rFonts w:eastAsia="Times New Roman" w:cs="Times New Roman"/>
          <w:szCs w:val="23"/>
          <w:highlight w:val="none"/>
          <w:lang w:val="en-US" w:eastAsia="ru-RU"/>
        </w:rPr>
        <w:t>2022</w:t>
      </w:r>
    </w:p>
    <w:p w14:paraId="1B6F7D10">
      <w:pPr>
        <w:widowControl w:val="0"/>
        <w:rPr>
          <w:rFonts w:cs="Times New Roman"/>
          <w:szCs w:val="23"/>
          <w:highlight w:val="none"/>
          <w:shd w:val="clear" w:color="auto" w:fill="FFFFFF"/>
          <w:lang w:val="en-US"/>
        </w:rPr>
      </w:pPr>
      <w:r>
        <w:rPr>
          <w:rFonts w:cs="Times New Roman"/>
          <w:szCs w:val="23"/>
          <w:highlight w:val="none"/>
          <w:shd w:val="clear" w:color="auto" w:fill="FFFFFF"/>
          <w:lang w:val="en-US"/>
        </w:rPr>
        <w:t xml:space="preserve">1.6 </w:t>
      </w:r>
      <w:r>
        <w:rPr>
          <w:rFonts w:cs="Times New Roman"/>
          <w:highlight w:val="none"/>
          <w:lang w:val="en-US"/>
        </w:rPr>
        <w:t>Razavi H, Sanchez Gonzalez Y, Yuen C, Cornberg M. Global timing of hepatitis C virus elimination in high-income countries. Liver Int. 2020;40:522–529.</w:t>
      </w:r>
    </w:p>
    <w:p w14:paraId="5458080C">
      <w:pPr>
        <w:widowControl w:val="0"/>
        <w:rPr>
          <w:rFonts w:cs="Times New Roman"/>
          <w:highlight w:val="none"/>
          <w:lang w:val="en-US"/>
        </w:rPr>
      </w:pPr>
      <w:r>
        <w:rPr>
          <w:rFonts w:cs="Times New Roman"/>
          <w:highlight w:val="none"/>
          <w:lang w:val="en-US"/>
        </w:rPr>
        <w:t xml:space="preserve">1.7 </w:t>
      </w:r>
      <w:r>
        <w:rPr>
          <w:rFonts w:eastAsia="Times New Roman" w:cs="Times New Roman"/>
          <w:szCs w:val="23"/>
          <w:highlight w:val="none"/>
          <w:lang w:val="en-US" w:eastAsia="ru-RU"/>
        </w:rPr>
        <w:t>Larney</w:t>
      </w:r>
      <w:r>
        <w:rPr>
          <w:rFonts w:eastAsia="Times New Roman" w:cs="Times New Roman"/>
          <w:szCs w:val="23"/>
          <w:highlight w:val="none"/>
          <w:shd w:val="clear" w:color="auto" w:fill="FFFFFF"/>
          <w:lang w:val="en-US" w:eastAsia="ru-RU"/>
        </w:rPr>
        <w:t> </w:t>
      </w:r>
      <w:r>
        <w:rPr>
          <w:rFonts w:eastAsia="Times New Roman" w:cs="Times New Roman"/>
          <w:szCs w:val="23"/>
          <w:highlight w:val="none"/>
          <w:lang w:val="en-US" w:eastAsia="ru-RU"/>
        </w:rPr>
        <w:t>S</w:t>
      </w:r>
      <w:r>
        <w:rPr>
          <w:rFonts w:eastAsia="Times New Roman" w:cs="Times New Roman"/>
          <w:szCs w:val="23"/>
          <w:highlight w:val="none"/>
          <w:shd w:val="clear" w:color="auto" w:fill="FFFFFF"/>
          <w:lang w:val="en-US" w:eastAsia="ru-RU"/>
        </w:rPr>
        <w:t>, </w:t>
      </w:r>
      <w:r>
        <w:rPr>
          <w:rFonts w:eastAsia="Times New Roman" w:cs="Times New Roman"/>
          <w:szCs w:val="23"/>
          <w:highlight w:val="none"/>
          <w:shd w:val="clear" w:color="auto" w:fill="FFFFFF"/>
          <w:lang w:val="en-US" w:eastAsia="ru-RU"/>
        </w:rPr>
        <w:t>Peacock A</w:t>
      </w:r>
      <w:r>
        <w:rPr>
          <w:rFonts w:eastAsia="Times New Roman" w:cs="Times New Roman"/>
          <w:szCs w:val="23"/>
          <w:highlight w:val="none"/>
          <w:shd w:val="clear" w:color="auto" w:fill="FFFFFF"/>
          <w:lang w:val="en-US" w:eastAsia="ru-RU"/>
        </w:rPr>
        <w:t>, </w:t>
      </w:r>
      <w:r>
        <w:rPr>
          <w:rFonts w:eastAsia="Times New Roman" w:cs="Times New Roman"/>
          <w:szCs w:val="23"/>
          <w:highlight w:val="none"/>
          <w:shd w:val="clear" w:color="auto" w:fill="FFFFFF"/>
          <w:lang w:val="en-US" w:eastAsia="ru-RU"/>
        </w:rPr>
        <w:t>Leung J</w:t>
      </w:r>
      <w:r>
        <w:rPr>
          <w:rFonts w:eastAsia="Times New Roman" w:cs="Times New Roman"/>
          <w:szCs w:val="23"/>
          <w:highlight w:val="none"/>
          <w:shd w:val="clear" w:color="auto" w:fill="FFFFFF"/>
          <w:lang w:val="en-US" w:eastAsia="ru-RU"/>
        </w:rPr>
        <w:t xml:space="preserve">, et al. </w:t>
      </w:r>
      <w:r>
        <w:rPr>
          <w:rFonts w:eastAsia="Times New Roman" w:cs="Times New Roman"/>
          <w:szCs w:val="23"/>
          <w:highlight w:val="none"/>
          <w:lang w:val="en-US" w:eastAsia="ru-RU"/>
        </w:rPr>
        <w:t>Global, regional, and country-level coverage of interventions to prevent and manage HIV and hepatitis C among people who inject drugs: a systematic review</w:t>
      </w:r>
      <w:r>
        <w:rPr>
          <w:rFonts w:eastAsia="Times New Roman" w:cs="Times New Roman"/>
          <w:szCs w:val="23"/>
          <w:highlight w:val="none"/>
          <w:shd w:val="clear" w:color="auto" w:fill="FFFFFF"/>
          <w:lang w:val="en-US" w:eastAsia="ru-RU"/>
        </w:rPr>
        <w:t>. </w:t>
      </w:r>
      <w:r>
        <w:rPr>
          <w:rFonts w:eastAsia="Times New Roman" w:cs="Times New Roman"/>
          <w:i/>
          <w:iCs/>
          <w:szCs w:val="23"/>
          <w:highlight w:val="none"/>
          <w:lang w:val="en-US" w:eastAsia="ru-RU"/>
        </w:rPr>
        <w:t>Lancet Glob Health</w:t>
      </w:r>
      <w:r>
        <w:rPr>
          <w:rFonts w:eastAsia="Times New Roman" w:cs="Times New Roman"/>
          <w:szCs w:val="23"/>
          <w:highlight w:val="none"/>
          <w:shd w:val="clear" w:color="auto" w:fill="FFFFFF"/>
          <w:lang w:val="en-US" w:eastAsia="ru-RU"/>
        </w:rPr>
        <w:t> </w:t>
      </w:r>
      <w:r>
        <w:rPr>
          <w:rFonts w:eastAsia="Times New Roman" w:cs="Times New Roman"/>
          <w:szCs w:val="23"/>
          <w:highlight w:val="none"/>
          <w:lang w:val="en-US" w:eastAsia="ru-RU"/>
        </w:rPr>
        <w:t>2017</w:t>
      </w:r>
      <w:r>
        <w:rPr>
          <w:rFonts w:eastAsia="Times New Roman" w:cs="Times New Roman"/>
          <w:szCs w:val="23"/>
          <w:highlight w:val="none"/>
          <w:shd w:val="clear" w:color="auto" w:fill="FFFFFF"/>
          <w:lang w:val="en-US" w:eastAsia="ru-RU"/>
        </w:rPr>
        <w:t>; </w:t>
      </w:r>
      <w:r>
        <w:rPr>
          <w:rFonts w:eastAsia="Times New Roman" w:cs="Times New Roman"/>
          <w:szCs w:val="23"/>
          <w:highlight w:val="none"/>
          <w:lang w:val="en-US" w:eastAsia="ru-RU"/>
        </w:rPr>
        <w:t>5</w:t>
      </w:r>
      <w:r>
        <w:rPr>
          <w:rFonts w:eastAsia="Times New Roman" w:cs="Times New Roman"/>
          <w:szCs w:val="23"/>
          <w:highlight w:val="none"/>
          <w:shd w:val="clear" w:color="auto" w:fill="FFFFFF"/>
          <w:lang w:val="en-US" w:eastAsia="ru-RU"/>
        </w:rPr>
        <w:t>:</w:t>
      </w:r>
      <w:r>
        <w:rPr>
          <w:rFonts w:eastAsia="Times New Roman" w:cs="Times New Roman"/>
          <w:szCs w:val="23"/>
          <w:highlight w:val="none"/>
          <w:lang w:val="en-US" w:eastAsia="ru-RU"/>
        </w:rPr>
        <w:t>e1208</w:t>
      </w:r>
      <w:r>
        <w:rPr>
          <w:rFonts w:eastAsia="Times New Roman" w:cs="Times New Roman"/>
          <w:szCs w:val="23"/>
          <w:highlight w:val="none"/>
          <w:shd w:val="clear" w:color="auto" w:fill="FFFFFF"/>
          <w:lang w:val="en-US" w:eastAsia="ru-RU"/>
        </w:rPr>
        <w:t>–</w:t>
      </w:r>
      <w:r>
        <w:rPr>
          <w:rFonts w:eastAsia="Times New Roman" w:cs="Times New Roman"/>
          <w:szCs w:val="23"/>
          <w:highlight w:val="none"/>
          <w:lang w:val="en-US" w:eastAsia="ru-RU"/>
        </w:rPr>
        <w:t>e20</w:t>
      </w:r>
      <w:r>
        <w:rPr>
          <w:rFonts w:cs="Times New Roman"/>
          <w:szCs w:val="23"/>
          <w:highlight w:val="none"/>
          <w:shd w:val="clear" w:color="auto" w:fill="FFFFFF"/>
          <w:lang w:val="en-US"/>
        </w:rPr>
        <w:t>.</w:t>
      </w:r>
    </w:p>
    <w:p w14:paraId="11716D07">
      <w:pPr>
        <w:widowControl w:val="0"/>
        <w:rPr>
          <w:rFonts w:cs="Times New Roman"/>
          <w:highlight w:val="none"/>
          <w:lang w:val="en-US"/>
        </w:rPr>
      </w:pPr>
      <w:r>
        <w:rPr>
          <w:rFonts w:cs="Times New Roman"/>
          <w:highlight w:val="none"/>
          <w:lang w:val="en-US"/>
        </w:rPr>
        <w:t xml:space="preserve">1.8 </w:t>
      </w:r>
      <w:r>
        <w:rPr>
          <w:rFonts w:cs="Times New Roman"/>
          <w:szCs w:val="26"/>
          <w:highlight w:val="none"/>
          <w:shd w:val="clear" w:color="auto" w:fill="FFFFFF"/>
          <w:lang w:val="en-US"/>
        </w:rPr>
        <w:t>Tsounis EP, Tourkochristou E, Sapsani A, Aggeletopoulou I, Lourida T, Ζisimopoulos Κ, Tzikopoulos T, Diamantopoulou G, Tsintoni A, Thomopoulos K, Mouzaki A, Triantos C. The role of vitamin D receptor polymorphisms in the course of chronic hepatitis C infection. Ann Gastroenterol. 2022 Mar-Apr;35(2):203-212. doi: 10.20524/aog.2022.0697. Epub 2022 Feb 14. PMID: 35479594; PMCID: PMC8922255.</w:t>
      </w:r>
    </w:p>
    <w:p w14:paraId="32546143">
      <w:pPr>
        <w:widowControl w:val="0"/>
        <w:rPr>
          <w:rFonts w:cs="Times New Roman"/>
          <w:highlight w:val="none"/>
          <w:lang w:val="en-US"/>
        </w:rPr>
      </w:pPr>
      <w:r>
        <w:rPr>
          <w:rFonts w:cs="Times New Roman"/>
          <w:highlight w:val="none"/>
          <w:lang w:val="en-US"/>
        </w:rPr>
        <w:t>1.9 Gil Plaza-Diaz J, Mesa MD. Vitamin D:classic and novel actions. Ann Nutr Metab. 2018;72:87–95.</w:t>
      </w:r>
    </w:p>
    <w:p w14:paraId="71B61702">
      <w:pPr>
        <w:widowControl w:val="0"/>
        <w:rPr>
          <w:rFonts w:cs="Times New Roman"/>
          <w:highlight w:val="none"/>
          <w:lang w:val="en-US"/>
        </w:rPr>
      </w:pPr>
      <w:r>
        <w:rPr>
          <w:rFonts w:cs="Times New Roman"/>
          <w:highlight w:val="none"/>
          <w:lang w:val="en-US"/>
        </w:rPr>
        <w:t xml:space="preserve">1.10 </w:t>
      </w:r>
      <w:r>
        <w:rPr>
          <w:rFonts w:cs="Times New Roman"/>
          <w:szCs w:val="21"/>
          <w:highlight w:val="none"/>
          <w:lang w:val="en-US"/>
        </w:rPr>
        <w:t>Song, Z., Chen, W., Athavale, D., Ge, X., Desert, R., Das, S., et al. (2021). Osteopontin takes center stage in chronic liver disease. </w:t>
      </w:r>
      <w:r>
        <w:rPr>
          <w:rStyle w:val="10"/>
          <w:rFonts w:cs="Times New Roman"/>
          <w:szCs w:val="21"/>
          <w:highlight w:val="none"/>
          <w:lang w:val="en-US"/>
        </w:rPr>
        <w:t>Hepatology</w:t>
      </w:r>
      <w:r>
        <w:rPr>
          <w:rFonts w:cs="Times New Roman"/>
          <w:szCs w:val="21"/>
          <w:highlight w:val="none"/>
          <w:lang w:val="en-US"/>
        </w:rPr>
        <w:t> 73, 1594–1608. doi:10.1002/hep.31582</w:t>
      </w:r>
    </w:p>
    <w:p w14:paraId="31995F91">
      <w:pPr>
        <w:widowControl w:val="0"/>
        <w:rPr>
          <w:rFonts w:cs="Times New Roman"/>
          <w:highlight w:val="none"/>
          <w:lang w:val="en-US"/>
        </w:rPr>
      </w:pPr>
      <w:r>
        <w:rPr>
          <w:rFonts w:cs="Times New Roman"/>
          <w:highlight w:val="none"/>
          <w:lang w:val="en-US"/>
        </w:rPr>
        <w:t xml:space="preserve">1.11 </w:t>
      </w:r>
      <w:r>
        <w:rPr>
          <w:rFonts w:cs="Times New Roman"/>
          <w:szCs w:val="21"/>
          <w:highlight w:val="none"/>
          <w:lang w:val="en-US"/>
        </w:rPr>
        <w:t>Tang, M., Jiang, Y., Jia, H., Patpur, B. K., Yang, B., Li, J., et al. (2020). Osteopontin acts as a negative regulator of autophagy accelerating lipid accumulation during the development of nonalcoholic fatty liver disease. </w:t>
      </w:r>
      <w:r>
        <w:rPr>
          <w:rStyle w:val="10"/>
          <w:rFonts w:cs="Times New Roman"/>
          <w:szCs w:val="21"/>
          <w:highlight w:val="none"/>
          <w:lang w:val="en-US"/>
        </w:rPr>
        <w:t>Artif. Cells Nanomed. Biotechnol.</w:t>
      </w:r>
      <w:r>
        <w:rPr>
          <w:rFonts w:cs="Times New Roman"/>
          <w:szCs w:val="21"/>
          <w:highlight w:val="none"/>
          <w:lang w:val="en-US"/>
        </w:rPr>
        <w:t> 48, 159–168. doi:10.1080/21691401.2019.1699822</w:t>
      </w:r>
    </w:p>
    <w:p w14:paraId="7EB8B028">
      <w:pPr>
        <w:widowControl w:val="0"/>
        <w:rPr>
          <w:rFonts w:cs="Times New Roman"/>
          <w:highlight w:val="none"/>
          <w:lang w:val="en-US"/>
        </w:rPr>
      </w:pPr>
      <w:r>
        <w:rPr>
          <w:rFonts w:cs="Times New Roman"/>
          <w:highlight w:val="none"/>
          <w:lang w:val="en-US"/>
        </w:rPr>
        <w:t xml:space="preserve">1.12 </w:t>
      </w:r>
      <w:r>
        <w:rPr>
          <w:rFonts w:cs="Times New Roman"/>
          <w:szCs w:val="26"/>
          <w:highlight w:val="none"/>
          <w:shd w:val="clear" w:color="auto" w:fill="FFFFFF"/>
          <w:lang w:val="en-US"/>
        </w:rPr>
        <w:t>Tang M, Guo C, Sun M, Zhou H, Peng X, Dai J, Ding Q, Wang Y, Yang C. Effective delivery of osteopontin small interference RNA using exosomes suppresses liver fibrosis </w:t>
      </w:r>
      <w:r>
        <w:rPr>
          <w:rFonts w:cs="Times New Roman"/>
          <w:i/>
          <w:iCs/>
          <w:szCs w:val="26"/>
          <w:highlight w:val="none"/>
          <w:shd w:val="clear" w:color="auto" w:fill="FFFFFF"/>
          <w:lang w:val="en-US"/>
        </w:rPr>
        <w:t>via</w:t>
      </w:r>
      <w:r>
        <w:rPr>
          <w:rFonts w:cs="Times New Roman"/>
          <w:szCs w:val="26"/>
          <w:highlight w:val="none"/>
          <w:shd w:val="clear" w:color="auto" w:fill="FFFFFF"/>
          <w:lang w:val="en-US"/>
        </w:rPr>
        <w:t> TGF-β1 signaling. Front Pharmacol. 2022 Sep 2;13:882243. doi: 10.3389/fphar.2022.882243. PMID: 36120332; PMCID: PMC9478741</w:t>
      </w:r>
    </w:p>
    <w:p w14:paraId="2AB6AD09">
      <w:pPr>
        <w:widowControl w:val="0"/>
        <w:rPr>
          <w:rFonts w:cs="Times New Roman"/>
          <w:highlight w:val="none"/>
          <w:lang w:val="en-US"/>
        </w:rPr>
      </w:pPr>
      <w:r>
        <w:rPr>
          <w:rFonts w:cs="Times New Roman"/>
          <w:highlight w:val="none"/>
          <w:lang w:val="en-US"/>
        </w:rPr>
        <w:t xml:space="preserve">1.13 </w:t>
      </w:r>
      <w:r>
        <w:rPr>
          <w:rFonts w:cs="Times New Roman"/>
          <w:szCs w:val="21"/>
          <w:highlight w:val="none"/>
          <w:lang w:val="en-US"/>
        </w:rPr>
        <w:t>Sobhy, A., Fakhry, M. M., Azeem, A. H., Ashmawy, A. M., and Omar Khalifa, H. (2019). Significance of biglycan and osteopontin as non-invasive markers of liver fibrosis in patients with chronic hepatitis B virus and chronic hepatitis C virus. </w:t>
      </w:r>
      <w:r>
        <w:rPr>
          <w:rStyle w:val="10"/>
          <w:rFonts w:cs="Times New Roman"/>
          <w:szCs w:val="21"/>
          <w:highlight w:val="none"/>
          <w:lang w:val="en-US"/>
        </w:rPr>
        <w:t>J. Investig. Med.</w:t>
      </w:r>
      <w:r>
        <w:rPr>
          <w:rFonts w:cs="Times New Roman"/>
          <w:szCs w:val="21"/>
          <w:highlight w:val="none"/>
          <w:lang w:val="en-US"/>
        </w:rPr>
        <w:t> 67, 681–685. doi:10.1136/jim-2018-000840</w:t>
      </w:r>
    </w:p>
    <w:p w14:paraId="2141BF86">
      <w:pPr>
        <w:widowControl w:val="0"/>
        <w:rPr>
          <w:rFonts w:cs="Times New Roman"/>
          <w:highlight w:val="none"/>
          <w:lang w:val="en-US"/>
        </w:rPr>
      </w:pPr>
      <w:r>
        <w:rPr>
          <w:rFonts w:cs="Times New Roman"/>
          <w:highlight w:val="none"/>
          <w:lang w:val="en-US"/>
        </w:rPr>
        <w:t xml:space="preserve">1.14 </w:t>
      </w:r>
      <w:r>
        <w:rPr>
          <w:rFonts w:cs="Times New Roman"/>
          <w:szCs w:val="21"/>
          <w:highlight w:val="none"/>
          <w:lang w:val="en-US"/>
        </w:rPr>
        <w:t>Glass, O., Henao, R., Patel, K., Guy, C. D., Gruss, H. J., Syn, W. K., et al. (2018). Serum interleukin-8, osteopontin, and monocyte chemoattractant protein 1 are associated with hepatic fibrosis in patients with nonalcoholic fatty liver disease. </w:t>
      </w:r>
      <w:r>
        <w:rPr>
          <w:rStyle w:val="10"/>
          <w:rFonts w:cs="Times New Roman"/>
          <w:szCs w:val="21"/>
          <w:highlight w:val="none"/>
          <w:lang w:val="en-US"/>
        </w:rPr>
        <w:t>Hepatol. Commun.</w:t>
      </w:r>
      <w:r>
        <w:rPr>
          <w:rFonts w:cs="Times New Roman"/>
          <w:szCs w:val="21"/>
          <w:highlight w:val="none"/>
          <w:lang w:val="en-US"/>
        </w:rPr>
        <w:t> 2, 1344–1355. doi:10.1002/hep4.1237</w:t>
      </w:r>
    </w:p>
    <w:p w14:paraId="5D6BD759">
      <w:pPr>
        <w:widowControl w:val="0"/>
        <w:rPr>
          <w:rFonts w:cs="Times New Roman"/>
          <w:highlight w:val="none"/>
          <w:lang w:val="en-US"/>
        </w:rPr>
      </w:pPr>
      <w:r>
        <w:rPr>
          <w:rFonts w:cs="Times New Roman"/>
          <w:szCs w:val="30"/>
          <w:highlight w:val="none"/>
          <w:shd w:val="clear" w:color="auto" w:fill="FFFFFF"/>
          <w:lang w:val="en-US"/>
        </w:rPr>
        <w:t>1.15 Scalioni LP, Santos BRD, Spritzer PM, et al. Impact of vitamin D receptor and binding protein gene polymorphisms in clinical and laboratory data of HCV patients:Cross sectional study. Medicine (Baltimore) 2018;97:e9881.</w:t>
      </w:r>
    </w:p>
    <w:p w14:paraId="6426C8F2">
      <w:pPr>
        <w:widowControl w:val="0"/>
        <w:rPr>
          <w:rFonts w:cs="Times New Roman"/>
          <w:highlight w:val="none"/>
          <w:lang w:val="en-US"/>
        </w:rPr>
      </w:pPr>
      <w:r>
        <w:rPr>
          <w:rFonts w:cs="Times New Roman"/>
          <w:highlight w:val="none"/>
          <w:lang w:val="en-US"/>
        </w:rPr>
        <w:t xml:space="preserve">1.16 </w:t>
      </w:r>
      <w:r>
        <w:rPr>
          <w:rFonts w:cs="Times New Roman"/>
          <w:szCs w:val="26"/>
          <w:highlight w:val="none"/>
          <w:shd w:val="clear" w:color="auto" w:fill="FFFFFF"/>
          <w:lang w:val="en-US"/>
        </w:rPr>
        <w:t>He Q, Huang Y, Zhang L, et al. Association between vitamin D receptor polymorphisms and hepatitis B virus infection susceptibility:A meta-analysis study. </w:t>
      </w:r>
      <w:r>
        <w:rPr>
          <w:rStyle w:val="49"/>
          <w:rFonts w:cs="Times New Roman"/>
          <w:i/>
          <w:iCs/>
          <w:highlight w:val="none"/>
          <w:shd w:val="clear" w:color="auto" w:fill="FFFFFF"/>
          <w:lang w:val="en-US"/>
        </w:rPr>
        <w:t>Gene. </w:t>
      </w:r>
      <w:r>
        <w:rPr>
          <w:rFonts w:cs="Times New Roman"/>
          <w:szCs w:val="26"/>
          <w:highlight w:val="none"/>
          <w:shd w:val="clear" w:color="auto" w:fill="FFFFFF"/>
          <w:lang w:val="en-US"/>
        </w:rPr>
        <w:t>2018;</w:t>
      </w:r>
      <w:r>
        <w:rPr>
          <w:rStyle w:val="50"/>
          <w:rFonts w:cs="Times New Roman"/>
          <w:szCs w:val="26"/>
          <w:highlight w:val="none"/>
          <w:shd w:val="clear" w:color="auto" w:fill="FFFFFF"/>
          <w:lang w:val="en-US"/>
        </w:rPr>
        <w:t>645</w:t>
      </w:r>
      <w:r>
        <w:rPr>
          <w:rFonts w:cs="Times New Roman"/>
          <w:szCs w:val="26"/>
          <w:highlight w:val="none"/>
          <w:shd w:val="clear" w:color="auto" w:fill="FFFFFF"/>
          <w:lang w:val="en-US"/>
        </w:rPr>
        <w:t>:105–112.</w:t>
      </w:r>
    </w:p>
    <w:p w14:paraId="4E2CABD3">
      <w:pPr>
        <w:widowControl w:val="0"/>
        <w:rPr>
          <w:rFonts w:cs="Times New Roman"/>
          <w:highlight w:val="none"/>
          <w:lang w:val="en-US"/>
        </w:rPr>
      </w:pPr>
      <w:r>
        <w:rPr>
          <w:rFonts w:cs="Times New Roman"/>
          <w:highlight w:val="none"/>
          <w:lang w:val="en-US"/>
        </w:rPr>
        <w:t xml:space="preserve">1.17 </w:t>
      </w:r>
      <w:r>
        <w:rPr>
          <w:rFonts w:cs="Times New Roman"/>
          <w:szCs w:val="26"/>
          <w:highlight w:val="none"/>
          <w:shd w:val="clear" w:color="auto" w:fill="FFFFFF"/>
          <w:lang w:val="en-US"/>
        </w:rPr>
        <w:t>Gibson PS, Quaglia A, Dhawan A, et al. Vitamin D status and associated genetic polymorphisms in a cohort of UK children with non-alcoholic fatty liver disease. </w:t>
      </w:r>
      <w:r>
        <w:rPr>
          <w:rStyle w:val="49"/>
          <w:rFonts w:cs="Times New Roman"/>
          <w:i/>
          <w:iCs/>
          <w:highlight w:val="none"/>
          <w:shd w:val="clear" w:color="auto" w:fill="FFFFFF"/>
          <w:lang w:val="en-US"/>
        </w:rPr>
        <w:t>Pediatr Obes. </w:t>
      </w:r>
      <w:r>
        <w:rPr>
          <w:rFonts w:cs="Times New Roman"/>
          <w:szCs w:val="26"/>
          <w:highlight w:val="none"/>
          <w:shd w:val="clear" w:color="auto" w:fill="FFFFFF"/>
          <w:lang w:val="en-US"/>
        </w:rPr>
        <w:t>2018;</w:t>
      </w:r>
      <w:r>
        <w:rPr>
          <w:rStyle w:val="50"/>
          <w:rFonts w:cs="Times New Roman"/>
          <w:szCs w:val="26"/>
          <w:highlight w:val="none"/>
          <w:shd w:val="clear" w:color="auto" w:fill="FFFFFF"/>
          <w:lang w:val="en-US"/>
        </w:rPr>
        <w:t>13</w:t>
      </w:r>
      <w:r>
        <w:rPr>
          <w:rFonts w:cs="Times New Roman"/>
          <w:szCs w:val="26"/>
          <w:highlight w:val="none"/>
          <w:shd w:val="clear" w:color="auto" w:fill="FFFFFF"/>
          <w:lang w:val="en-US"/>
        </w:rPr>
        <w:t>:433–441.</w:t>
      </w:r>
    </w:p>
    <w:p w14:paraId="58F2D9D9">
      <w:pPr>
        <w:widowControl w:val="0"/>
        <w:rPr>
          <w:rFonts w:cs="Times New Roman"/>
          <w:highlight w:val="none"/>
          <w:lang w:val="en-US"/>
        </w:rPr>
      </w:pPr>
      <w:r>
        <w:rPr>
          <w:rFonts w:cs="Times New Roman"/>
          <w:highlight w:val="none"/>
          <w:lang w:val="en-US"/>
        </w:rPr>
        <w:t xml:space="preserve">1.18 </w:t>
      </w:r>
      <w:r>
        <w:rPr>
          <w:rFonts w:cs="Times New Roman"/>
          <w:szCs w:val="26"/>
          <w:highlight w:val="none"/>
          <w:shd w:val="clear" w:color="auto" w:fill="FFFFFF"/>
          <w:lang w:val="en-US"/>
        </w:rPr>
        <w:t>Barooah P, Saikia S, Bharadwaj R, et al. Role of VDR, GC, and CYP2R1 polymorphisms in the development of hepatocellular carcinoma in hepatitis C virus-infected patients. </w:t>
      </w:r>
      <w:r>
        <w:rPr>
          <w:rStyle w:val="49"/>
          <w:rFonts w:cs="Times New Roman"/>
          <w:i/>
          <w:iCs/>
          <w:highlight w:val="none"/>
          <w:shd w:val="clear" w:color="auto" w:fill="FFFFFF"/>
          <w:lang w:val="en-US"/>
        </w:rPr>
        <w:t>Genet Test Mol Biomarkers. </w:t>
      </w:r>
      <w:r>
        <w:rPr>
          <w:rFonts w:cs="Times New Roman"/>
          <w:szCs w:val="26"/>
          <w:highlight w:val="none"/>
          <w:shd w:val="clear" w:color="auto" w:fill="FFFFFF"/>
          <w:lang w:val="en-US"/>
        </w:rPr>
        <w:t>2019;</w:t>
      </w:r>
      <w:r>
        <w:rPr>
          <w:rStyle w:val="50"/>
          <w:rFonts w:cs="Times New Roman"/>
          <w:szCs w:val="26"/>
          <w:highlight w:val="none"/>
          <w:shd w:val="clear" w:color="auto" w:fill="FFFFFF"/>
          <w:lang w:val="en-US"/>
        </w:rPr>
        <w:t>23</w:t>
      </w:r>
      <w:r>
        <w:rPr>
          <w:rFonts w:cs="Times New Roman"/>
          <w:szCs w:val="26"/>
          <w:highlight w:val="none"/>
          <w:shd w:val="clear" w:color="auto" w:fill="FFFFFF"/>
          <w:lang w:val="en-US"/>
        </w:rPr>
        <w:t>:325–331.</w:t>
      </w:r>
    </w:p>
    <w:p w14:paraId="33FBFB4D">
      <w:pPr>
        <w:widowControl w:val="0"/>
        <w:rPr>
          <w:rFonts w:cs="Times New Roman"/>
          <w:highlight w:val="none"/>
          <w:lang w:val="en-US"/>
        </w:rPr>
      </w:pPr>
      <w:r>
        <w:rPr>
          <w:rFonts w:cs="Times New Roman"/>
          <w:highlight w:val="none"/>
          <w:lang w:val="en-US"/>
        </w:rPr>
        <w:t xml:space="preserve">1.19 </w:t>
      </w:r>
      <w:r>
        <w:rPr>
          <w:rFonts w:cs="Times New Roman"/>
          <w:szCs w:val="26"/>
          <w:highlight w:val="none"/>
          <w:shd w:val="clear" w:color="auto" w:fill="FFFFFF"/>
          <w:lang w:val="en-US"/>
        </w:rPr>
        <w:t>Thanapirom K, Suksawatamnuay S, Sukeepaisarnjaroen W, et al. Genetic associations of vitamin D receptor polymorphisms with advanced liver fibrosis and response to pegylated interferon-based therapy in chronic hepatitis C. </w:t>
      </w:r>
      <w:r>
        <w:rPr>
          <w:rStyle w:val="49"/>
          <w:rFonts w:cs="Times New Roman"/>
          <w:i/>
          <w:iCs/>
          <w:highlight w:val="none"/>
          <w:shd w:val="clear" w:color="auto" w:fill="FFFFFF"/>
          <w:lang w:val="en-US"/>
        </w:rPr>
        <w:t>PeerJ. </w:t>
      </w:r>
      <w:r>
        <w:rPr>
          <w:rFonts w:cs="Times New Roman"/>
          <w:szCs w:val="26"/>
          <w:highlight w:val="none"/>
          <w:shd w:val="clear" w:color="auto" w:fill="FFFFFF"/>
          <w:lang w:val="en-US"/>
        </w:rPr>
        <w:t>2019;</w:t>
      </w:r>
      <w:r>
        <w:rPr>
          <w:rStyle w:val="50"/>
          <w:rFonts w:cs="Times New Roman"/>
          <w:szCs w:val="26"/>
          <w:highlight w:val="none"/>
          <w:shd w:val="clear" w:color="auto" w:fill="FFFFFF"/>
          <w:lang w:val="en-US"/>
        </w:rPr>
        <w:t>7</w:t>
      </w:r>
      <w:r>
        <w:rPr>
          <w:rFonts w:cs="Times New Roman"/>
          <w:szCs w:val="26"/>
          <w:highlight w:val="none"/>
          <w:shd w:val="clear" w:color="auto" w:fill="FFFFFF"/>
          <w:lang w:val="en-US"/>
        </w:rPr>
        <w:t>:e7666.</w:t>
      </w:r>
    </w:p>
    <w:p w14:paraId="081FCBDC">
      <w:pPr>
        <w:widowControl w:val="0"/>
        <w:rPr>
          <w:rFonts w:cs="Times New Roman"/>
          <w:highlight w:val="none"/>
          <w:lang w:val="en-US"/>
        </w:rPr>
      </w:pPr>
      <w:r>
        <w:rPr>
          <w:rFonts w:cs="Times New Roman"/>
          <w:highlight w:val="none"/>
          <w:lang w:val="en-US"/>
        </w:rPr>
        <w:t xml:space="preserve">1.20 </w:t>
      </w:r>
      <w:r>
        <w:rPr>
          <w:rFonts w:cs="Times New Roman"/>
          <w:szCs w:val="26"/>
          <w:highlight w:val="none"/>
          <w:shd w:val="clear" w:color="auto" w:fill="FFFFFF"/>
          <w:lang w:val="en-US"/>
        </w:rPr>
        <w:t>Scalioni LP, Santos BRD, Spritzer PM, et al. Impact of vitamin D receptor and binding protein gene polymorphisms in clinical and laboratory data of HCV patients:Cross sectional study. </w:t>
      </w:r>
      <w:r>
        <w:rPr>
          <w:rStyle w:val="49"/>
          <w:rFonts w:cs="Times New Roman"/>
          <w:i/>
          <w:iCs/>
          <w:highlight w:val="none"/>
          <w:shd w:val="clear" w:color="auto" w:fill="FFFFFF"/>
          <w:lang w:val="en-US"/>
        </w:rPr>
        <w:t>Medicine (Baltimore) </w:t>
      </w:r>
      <w:r>
        <w:rPr>
          <w:rFonts w:cs="Times New Roman"/>
          <w:szCs w:val="26"/>
          <w:highlight w:val="none"/>
          <w:shd w:val="clear" w:color="auto" w:fill="FFFFFF"/>
          <w:lang w:val="en-US"/>
        </w:rPr>
        <w:t>2018;</w:t>
      </w:r>
      <w:r>
        <w:rPr>
          <w:rStyle w:val="50"/>
          <w:rFonts w:cs="Times New Roman"/>
          <w:szCs w:val="26"/>
          <w:highlight w:val="none"/>
          <w:shd w:val="clear" w:color="auto" w:fill="FFFFFF"/>
          <w:lang w:val="en-US"/>
        </w:rPr>
        <w:t>97</w:t>
      </w:r>
      <w:r>
        <w:rPr>
          <w:rFonts w:cs="Times New Roman"/>
          <w:szCs w:val="26"/>
          <w:highlight w:val="none"/>
          <w:shd w:val="clear" w:color="auto" w:fill="FFFFFF"/>
          <w:lang w:val="en-US"/>
        </w:rPr>
        <w:t>:e9881.</w:t>
      </w:r>
    </w:p>
    <w:p w14:paraId="28507E10">
      <w:pPr>
        <w:widowControl w:val="0"/>
        <w:rPr>
          <w:rFonts w:cs="Times New Roman"/>
          <w:szCs w:val="28"/>
          <w:highlight w:val="none"/>
          <w:lang w:val="en-US"/>
        </w:rPr>
      </w:pPr>
    </w:p>
    <w:p w14:paraId="17D93C2B">
      <w:pPr>
        <w:widowControl w:val="0"/>
        <w:rPr>
          <w:rFonts w:cs="Times New Roman"/>
          <w:szCs w:val="28"/>
          <w:highlight w:val="none"/>
          <w:lang w:val="en-US"/>
        </w:rPr>
      </w:pPr>
      <w:r>
        <w:rPr>
          <w:rFonts w:cs="Times New Roman"/>
          <w:szCs w:val="28"/>
          <w:highlight w:val="none"/>
          <w:lang w:val="en-US"/>
        </w:rPr>
        <w:t xml:space="preserve">1. Epidemiology and natural history of hepatitis C virus infection among children and young people / L. Modin et al. </w:t>
      </w:r>
      <w:r>
        <w:rPr>
          <w:rFonts w:cs="Times New Roman"/>
          <w:i/>
          <w:szCs w:val="28"/>
          <w:highlight w:val="none"/>
          <w:lang w:val="en-US"/>
        </w:rPr>
        <w:t>J. of Hepatology</w:t>
      </w:r>
      <w:r>
        <w:rPr>
          <w:rFonts w:cs="Times New Roman"/>
          <w:szCs w:val="28"/>
          <w:highlight w:val="none"/>
          <w:lang w:val="en-US"/>
        </w:rPr>
        <w:t xml:space="preserve">. 2019. Vol. 70. Iss. 3. P. 371–378. doi: </w:t>
      </w:r>
      <w:r>
        <w:rPr>
          <w:highlight w:val="none"/>
        </w:rPr>
        <w:fldChar w:fldCharType="begin"/>
      </w:r>
      <w:r>
        <w:rPr>
          <w:highlight w:val="none"/>
        </w:rPr>
        <w:instrText xml:space="preserve"> HYPERLINK "https://doi.org/10.1016/j.jhep.2018.11.013" </w:instrText>
      </w:r>
      <w:r>
        <w:rPr>
          <w:highlight w:val="none"/>
        </w:rPr>
        <w:fldChar w:fldCharType="separate"/>
      </w:r>
      <w:r>
        <w:rPr>
          <w:rStyle w:val="11"/>
          <w:rFonts w:cs="Times New Roman"/>
          <w:color w:val="auto"/>
          <w:szCs w:val="28"/>
          <w:highlight w:val="none"/>
          <w:u w:val="none"/>
          <w:lang w:val="en-US"/>
        </w:rPr>
        <w:t>https://doi.org/10.1016/j.jhep.2018.11.013</w:t>
      </w:r>
      <w:r>
        <w:rPr>
          <w:rStyle w:val="11"/>
          <w:rFonts w:cs="Times New Roman"/>
          <w:color w:val="auto"/>
          <w:szCs w:val="28"/>
          <w:highlight w:val="none"/>
          <w:u w:val="none"/>
          <w:lang w:val="en-US"/>
        </w:rPr>
        <w:fldChar w:fldCharType="end"/>
      </w:r>
    </w:p>
    <w:p w14:paraId="161E99B0">
      <w:pPr>
        <w:widowControl w:val="0"/>
        <w:rPr>
          <w:rFonts w:cs="Times New Roman"/>
          <w:szCs w:val="28"/>
          <w:highlight w:val="none"/>
          <w:lang w:val="en-US"/>
        </w:rPr>
      </w:pPr>
      <w:r>
        <w:rPr>
          <w:rFonts w:cs="Times New Roman"/>
          <w:szCs w:val="28"/>
          <w:highlight w:val="none"/>
          <w:lang w:val="en-US"/>
        </w:rPr>
        <w:t xml:space="preserve">2. </w:t>
      </w:r>
      <w:r>
        <w:rPr>
          <w:rFonts w:cs="Times New Roman"/>
          <w:bCs/>
          <w:szCs w:val="28"/>
          <w:highlight w:val="none"/>
          <w:lang w:val="en-US"/>
        </w:rPr>
        <w:t xml:space="preserve">The management of chronic hepatitis C: 2018 guideline update from the Canadian Association for the Study of the Liver / </w:t>
      </w:r>
      <w:r>
        <w:rPr>
          <w:rStyle w:val="73"/>
          <w:rFonts w:cs="Times New Roman"/>
          <w:szCs w:val="28"/>
          <w:highlight w:val="none"/>
          <w:lang w:val="en-US"/>
        </w:rPr>
        <w:t xml:space="preserve">H. Shah et al. </w:t>
      </w:r>
      <w:r>
        <w:rPr>
          <w:rStyle w:val="74"/>
          <w:rFonts w:cs="Times New Roman"/>
          <w:i/>
          <w:szCs w:val="28"/>
          <w:highlight w:val="none"/>
          <w:lang w:val="en-US"/>
        </w:rPr>
        <w:t>CMAJ</w:t>
      </w:r>
      <w:r>
        <w:rPr>
          <w:rStyle w:val="74"/>
          <w:rFonts w:cs="Times New Roman"/>
          <w:szCs w:val="28"/>
          <w:highlight w:val="none"/>
          <w:lang w:val="en-US"/>
        </w:rPr>
        <w:t>.</w:t>
      </w:r>
      <w:r>
        <w:rPr>
          <w:rStyle w:val="75"/>
          <w:rFonts w:cs="Times New Roman"/>
          <w:szCs w:val="28"/>
          <w:highlight w:val="none"/>
          <w:lang w:val="en-US"/>
        </w:rPr>
        <w:t xml:space="preserve"> 2018. Vol. </w:t>
      </w:r>
      <w:r>
        <w:rPr>
          <w:rStyle w:val="76"/>
          <w:rFonts w:cs="Times New Roman"/>
          <w:szCs w:val="28"/>
          <w:highlight w:val="none"/>
          <w:lang w:val="en-US"/>
        </w:rPr>
        <w:t>190 </w:t>
      </w:r>
      <w:r>
        <w:rPr>
          <w:rStyle w:val="77"/>
          <w:rFonts w:cs="Times New Roman"/>
          <w:szCs w:val="28"/>
          <w:highlight w:val="none"/>
          <w:lang w:val="en-US"/>
        </w:rPr>
        <w:t xml:space="preserve">(22). P. </w:t>
      </w:r>
      <w:r>
        <w:rPr>
          <w:rStyle w:val="78"/>
          <w:rFonts w:cs="Times New Roman"/>
          <w:szCs w:val="28"/>
          <w:highlight w:val="none"/>
          <w:lang w:val="en-US"/>
        </w:rPr>
        <w:t>E677</w:t>
      </w:r>
      <w:r>
        <w:rPr>
          <w:rFonts w:cs="Times New Roman"/>
          <w:szCs w:val="28"/>
          <w:highlight w:val="none"/>
          <w:lang w:val="en-US"/>
        </w:rPr>
        <w:t>–</w:t>
      </w:r>
      <w:r>
        <w:rPr>
          <w:rStyle w:val="78"/>
          <w:rFonts w:cs="Times New Roman"/>
          <w:szCs w:val="28"/>
          <w:highlight w:val="none"/>
          <w:lang w:val="en-US"/>
        </w:rPr>
        <w:t xml:space="preserve">E687. </w:t>
      </w:r>
      <w:r>
        <w:rPr>
          <w:rStyle w:val="79"/>
          <w:rFonts w:cs="Times New Roman"/>
          <w:szCs w:val="28"/>
          <w:highlight w:val="none"/>
          <w:lang w:val="en-US"/>
        </w:rPr>
        <w:t>doi: https://doi.org/10.1503/cmaj.170453</w:t>
      </w:r>
    </w:p>
    <w:p w14:paraId="3C0ED63B">
      <w:pPr>
        <w:widowControl w:val="0"/>
        <w:rPr>
          <w:rFonts w:cs="Times New Roman"/>
          <w:szCs w:val="28"/>
          <w:highlight w:val="none"/>
          <w:lang w:val="en-US"/>
        </w:rPr>
      </w:pPr>
      <w:r>
        <w:rPr>
          <w:rFonts w:cs="Times New Roman"/>
          <w:szCs w:val="28"/>
          <w:highlight w:val="none"/>
          <w:lang w:val="en-US"/>
        </w:rPr>
        <w:t xml:space="preserve">3. The hepatitis C virus care continuum: linkage to hepatitis C virus care and treatment among patients at an urban health Network, Philadelphia, PA / </w:t>
      </w:r>
      <w:r>
        <w:rPr>
          <w:highlight w:val="none"/>
        </w:rPr>
        <w:fldChar w:fldCharType="begin"/>
      </w:r>
      <w:r>
        <w:rPr>
          <w:highlight w:val="none"/>
        </w:rPr>
        <w:instrText xml:space="preserve"> HYPERLINK "https://aasldpubs.onlinelibrary.wiley.com/action/doSearch?ContribAuthorRaw=Coyle%2C+Catelyn" </w:instrText>
      </w:r>
      <w:r>
        <w:rPr>
          <w:highlight w:val="none"/>
        </w:rPr>
        <w:fldChar w:fldCharType="separate"/>
      </w:r>
      <w:r>
        <w:rPr>
          <w:rStyle w:val="11"/>
          <w:rFonts w:cs="Times New Roman"/>
          <w:color w:val="auto"/>
          <w:szCs w:val="28"/>
          <w:highlight w:val="none"/>
          <w:u w:val="none"/>
          <w:lang w:val="en-US"/>
        </w:rPr>
        <w:t>C. Coyle</w:t>
      </w:r>
      <w:r>
        <w:rPr>
          <w:rStyle w:val="11"/>
          <w:rFonts w:cs="Times New Roman"/>
          <w:color w:val="auto"/>
          <w:szCs w:val="28"/>
          <w:highlight w:val="none"/>
          <w:u w:val="none"/>
          <w:lang w:val="en-US"/>
        </w:rPr>
        <w:fldChar w:fldCharType="end"/>
      </w:r>
      <w:r>
        <w:rPr>
          <w:rStyle w:val="11"/>
          <w:rFonts w:cs="Times New Roman"/>
          <w:color w:val="auto"/>
          <w:szCs w:val="28"/>
          <w:highlight w:val="none"/>
          <w:u w:val="none"/>
          <w:lang w:val="en-US"/>
        </w:rPr>
        <w:t xml:space="preserve"> et al. </w:t>
      </w:r>
      <w:r>
        <w:rPr>
          <w:rFonts w:cs="Times New Roman"/>
          <w:i/>
          <w:szCs w:val="28"/>
          <w:highlight w:val="none"/>
          <w:shd w:val="clear" w:color="auto" w:fill="FFFFFF"/>
          <w:lang w:val="en-US"/>
        </w:rPr>
        <w:t>Hepatology</w:t>
      </w:r>
      <w:r>
        <w:rPr>
          <w:rFonts w:cs="Times New Roman"/>
          <w:szCs w:val="28"/>
          <w:highlight w:val="none"/>
          <w:shd w:val="clear" w:color="auto" w:fill="FFFFFF"/>
          <w:lang w:val="en-US"/>
        </w:rPr>
        <w:t>.</w:t>
      </w:r>
      <w:r>
        <w:rPr>
          <w:rStyle w:val="64"/>
          <w:rFonts w:cs="Times New Roman"/>
          <w:szCs w:val="28"/>
          <w:highlight w:val="none"/>
          <w:lang w:val="en-US"/>
        </w:rPr>
        <w:t xml:space="preserve"> 2019. </w:t>
      </w:r>
      <w:r>
        <w:rPr>
          <w:highlight w:val="none"/>
        </w:rPr>
        <w:fldChar w:fldCharType="begin"/>
      </w:r>
      <w:r>
        <w:rPr>
          <w:highlight w:val="none"/>
        </w:rPr>
        <w:instrText xml:space="preserve"> HYPERLINK "https://aasldpubs.onlinelibrary.wiley.com/toc/15273350/2019/70/2" \o "View Volume 70, Issue 2" </w:instrText>
      </w:r>
      <w:r>
        <w:rPr>
          <w:highlight w:val="none"/>
        </w:rPr>
        <w:fldChar w:fldCharType="separate"/>
      </w:r>
      <w:r>
        <w:rPr>
          <w:rStyle w:val="11"/>
          <w:rFonts w:cs="Times New Roman"/>
          <w:bCs/>
          <w:color w:val="auto"/>
          <w:szCs w:val="28"/>
          <w:highlight w:val="none"/>
          <w:u w:val="none"/>
          <w:lang w:val="en-US"/>
        </w:rPr>
        <w:t xml:space="preserve">Vol. </w:t>
      </w:r>
      <w:r>
        <w:rPr>
          <w:rStyle w:val="55"/>
          <w:rFonts w:cs="Times New Roman"/>
          <w:bCs/>
          <w:szCs w:val="28"/>
          <w:highlight w:val="none"/>
          <w:lang w:val="en-US"/>
        </w:rPr>
        <w:t>70</w:t>
      </w:r>
      <w:r>
        <w:rPr>
          <w:rStyle w:val="11"/>
          <w:rFonts w:cs="Times New Roman"/>
          <w:bCs/>
          <w:color w:val="auto"/>
          <w:szCs w:val="28"/>
          <w:highlight w:val="none"/>
          <w:u w:val="none"/>
          <w:lang w:val="en-US"/>
        </w:rPr>
        <w:t xml:space="preserve">, Iss. </w:t>
      </w:r>
      <w:r>
        <w:rPr>
          <w:rStyle w:val="55"/>
          <w:rFonts w:cs="Times New Roman"/>
          <w:bCs/>
          <w:szCs w:val="28"/>
          <w:highlight w:val="none"/>
          <w:lang w:val="en-US"/>
        </w:rPr>
        <w:t>2</w:t>
      </w:r>
      <w:r>
        <w:rPr>
          <w:rStyle w:val="55"/>
          <w:rFonts w:cs="Times New Roman"/>
          <w:bCs/>
          <w:szCs w:val="28"/>
          <w:highlight w:val="none"/>
          <w:lang w:val="en-US"/>
        </w:rPr>
        <w:fldChar w:fldCharType="end"/>
      </w:r>
      <w:r>
        <w:rPr>
          <w:rFonts w:cs="Times New Roman"/>
          <w:bCs/>
          <w:szCs w:val="28"/>
          <w:highlight w:val="none"/>
          <w:lang w:val="en-US"/>
        </w:rPr>
        <w:t xml:space="preserve">. </w:t>
      </w:r>
      <w:r>
        <w:rPr>
          <w:rFonts w:cs="Times New Roman"/>
          <w:szCs w:val="28"/>
          <w:highlight w:val="none"/>
          <w:lang w:val="en-US"/>
        </w:rPr>
        <w:t xml:space="preserve">P. 476–486. doi: </w:t>
      </w:r>
      <w:r>
        <w:rPr>
          <w:highlight w:val="none"/>
        </w:rPr>
        <w:fldChar w:fldCharType="begin"/>
      </w:r>
      <w:r>
        <w:rPr>
          <w:highlight w:val="none"/>
        </w:rPr>
        <w:instrText xml:space="preserve"> HYPERLINK "https://doi.org/10.1002/hep.30501" </w:instrText>
      </w:r>
      <w:r>
        <w:rPr>
          <w:highlight w:val="none"/>
        </w:rPr>
        <w:fldChar w:fldCharType="separate"/>
      </w:r>
      <w:r>
        <w:rPr>
          <w:rStyle w:val="11"/>
          <w:rFonts w:cs="Times New Roman"/>
          <w:bCs/>
          <w:color w:val="auto"/>
          <w:szCs w:val="28"/>
          <w:highlight w:val="none"/>
          <w:u w:val="none"/>
          <w:lang w:val="en-US"/>
        </w:rPr>
        <w:t>https://doi.org/10.1002/hep.30501</w:t>
      </w:r>
      <w:r>
        <w:rPr>
          <w:rStyle w:val="11"/>
          <w:rFonts w:cs="Times New Roman"/>
          <w:bCs/>
          <w:color w:val="auto"/>
          <w:szCs w:val="28"/>
          <w:highlight w:val="none"/>
          <w:u w:val="none"/>
          <w:lang w:val="en-US"/>
        </w:rPr>
        <w:fldChar w:fldCharType="end"/>
      </w:r>
    </w:p>
    <w:p w14:paraId="197E687F">
      <w:pPr>
        <w:widowControl w:val="0"/>
        <w:rPr>
          <w:rFonts w:cs="Times New Roman"/>
          <w:szCs w:val="28"/>
          <w:highlight w:val="none"/>
          <w:lang w:val="en-US"/>
        </w:rPr>
      </w:pPr>
      <w:r>
        <w:rPr>
          <w:rFonts w:cs="Times New Roman"/>
          <w:szCs w:val="28"/>
          <w:highlight w:val="none"/>
          <w:lang w:val="en-US"/>
        </w:rPr>
        <w:t xml:space="preserve">4. </w:t>
      </w:r>
      <w:r>
        <w:rPr>
          <w:rFonts w:cs="Times New Roman"/>
          <w:bCs/>
          <w:szCs w:val="28"/>
          <w:highlight w:val="none"/>
          <w:lang w:val="en-US"/>
        </w:rPr>
        <w:t xml:space="preserve">EASL recommendations on treatment of hepatitis C / </w:t>
      </w:r>
      <w:r>
        <w:rPr>
          <w:highlight w:val="none"/>
        </w:rPr>
        <w:fldChar w:fldCharType="begin"/>
      </w:r>
      <w:r>
        <w:rPr>
          <w:highlight w:val="none"/>
        </w:rPr>
        <w:instrText xml:space="preserve"> HYPERLINK "https://www.journal-of-hepatology.eu/article/S0168-8278(18)31968-8/fulltext" \o "Jean-Michel Pawlotsky" </w:instrText>
      </w:r>
      <w:r>
        <w:rPr>
          <w:highlight w:val="none"/>
        </w:rPr>
        <w:fldChar w:fldCharType="separate"/>
      </w:r>
      <w:r>
        <w:rPr>
          <w:rStyle w:val="11"/>
          <w:rFonts w:cs="Times New Roman"/>
          <w:color w:val="auto"/>
          <w:szCs w:val="28"/>
          <w:highlight w:val="none"/>
          <w:u w:val="none"/>
          <w:lang w:val="en-US"/>
        </w:rPr>
        <w:t>J. M. Pawlotsky</w:t>
      </w:r>
      <w:r>
        <w:rPr>
          <w:rStyle w:val="11"/>
          <w:rFonts w:cs="Times New Roman"/>
          <w:color w:val="auto"/>
          <w:szCs w:val="28"/>
          <w:highlight w:val="none"/>
          <w:u w:val="none"/>
          <w:lang w:val="en-US"/>
        </w:rPr>
        <w:fldChar w:fldCharType="end"/>
      </w:r>
      <w:r>
        <w:rPr>
          <w:rStyle w:val="11"/>
          <w:rFonts w:cs="Times New Roman"/>
          <w:color w:val="auto"/>
          <w:szCs w:val="28"/>
          <w:highlight w:val="none"/>
          <w:u w:val="none"/>
          <w:lang w:val="en-US"/>
        </w:rPr>
        <w:t xml:space="preserve"> et al.</w:t>
      </w:r>
      <w:r>
        <w:rPr>
          <w:rFonts w:cs="Times New Roman"/>
          <w:szCs w:val="28"/>
          <w:highlight w:val="none"/>
          <w:lang w:val="en-US"/>
        </w:rPr>
        <w:t xml:space="preserve"> </w:t>
      </w:r>
      <w:r>
        <w:rPr>
          <w:rFonts w:cs="Times New Roman"/>
          <w:i/>
          <w:szCs w:val="28"/>
          <w:highlight w:val="none"/>
          <w:lang w:val="en-US"/>
        </w:rPr>
        <w:t>J. of Hepatology</w:t>
      </w:r>
      <w:r>
        <w:rPr>
          <w:rFonts w:cs="Times New Roman"/>
          <w:szCs w:val="28"/>
          <w:highlight w:val="none"/>
          <w:lang w:val="en-US"/>
        </w:rPr>
        <w:t xml:space="preserve">. 2018. Vol. 69, Iss. 2. P. 461–511. </w:t>
      </w:r>
      <w:r>
        <w:rPr>
          <w:rStyle w:val="52"/>
          <w:rFonts w:cs="Times New Roman"/>
          <w:szCs w:val="28"/>
          <w:highlight w:val="none"/>
          <w:lang w:val="en-US"/>
        </w:rPr>
        <w:t xml:space="preserve">doi: </w:t>
      </w:r>
      <w:r>
        <w:rPr>
          <w:highlight w:val="none"/>
        </w:rPr>
        <w:fldChar w:fldCharType="begin"/>
      </w:r>
      <w:r>
        <w:rPr>
          <w:highlight w:val="none"/>
        </w:rPr>
        <w:instrText xml:space="preserve"> HYPERLINK "https://doi.org/10.1016/j.jhep.2018.03.026" </w:instrText>
      </w:r>
      <w:r>
        <w:rPr>
          <w:highlight w:val="none"/>
        </w:rPr>
        <w:fldChar w:fldCharType="separate"/>
      </w:r>
      <w:r>
        <w:rPr>
          <w:rStyle w:val="11"/>
          <w:rFonts w:cs="Times New Roman"/>
          <w:color w:val="auto"/>
          <w:szCs w:val="28"/>
          <w:highlight w:val="none"/>
          <w:u w:val="none"/>
          <w:lang w:val="en-US"/>
        </w:rPr>
        <w:t>https://doi.org/10.1016/j.jhep.2018.03.026</w:t>
      </w:r>
      <w:r>
        <w:rPr>
          <w:rStyle w:val="11"/>
          <w:rFonts w:cs="Times New Roman"/>
          <w:color w:val="auto"/>
          <w:szCs w:val="28"/>
          <w:highlight w:val="none"/>
          <w:u w:val="none"/>
          <w:lang w:val="en-US"/>
        </w:rPr>
        <w:fldChar w:fldCharType="end"/>
      </w:r>
    </w:p>
    <w:p w14:paraId="266439EA">
      <w:pPr>
        <w:widowControl w:val="0"/>
        <w:rPr>
          <w:rFonts w:cs="Times New Roman"/>
          <w:szCs w:val="28"/>
          <w:highlight w:val="none"/>
          <w:lang w:val="en-US"/>
        </w:rPr>
      </w:pPr>
      <w:r>
        <w:rPr>
          <w:rFonts w:cs="Times New Roman"/>
          <w:szCs w:val="28"/>
          <w:highlight w:val="none"/>
          <w:lang w:val="en-US"/>
        </w:rPr>
        <w:t xml:space="preserve">5. </w:t>
      </w:r>
      <w:r>
        <w:rPr>
          <w:rStyle w:val="66"/>
          <w:rFonts w:cs="Times New Roman"/>
          <w:szCs w:val="28"/>
          <w:highlight w:val="none"/>
          <w:lang w:val="en-US"/>
        </w:rPr>
        <w:t xml:space="preserve">The </w:t>
      </w:r>
      <w:r>
        <w:rPr>
          <w:rFonts w:eastAsia="Times New Roman" w:cs="Times New Roman"/>
          <w:szCs w:val="28"/>
          <w:highlight w:val="none"/>
          <w:lang w:val="en-US" w:eastAsia="ru-RU"/>
        </w:rPr>
        <w:t>polaris observatory HCV collaborators.</w:t>
      </w:r>
      <w:r>
        <w:rPr>
          <w:rFonts w:eastAsia="Times New Roman" w:cs="Times New Roman"/>
          <w:bCs/>
          <w:szCs w:val="28"/>
          <w:highlight w:val="none"/>
          <w:lang w:val="en-US" w:eastAsia="ru-RU"/>
        </w:rPr>
        <w:t xml:space="preserve"> Global prevalence and genotype distribution of hepatitis C virus infection in 2015: a modelling study. </w:t>
      </w:r>
      <w:r>
        <w:rPr>
          <w:rFonts w:eastAsia="Times New Roman" w:cs="Times New Roman"/>
          <w:i/>
          <w:iCs/>
          <w:szCs w:val="28"/>
          <w:highlight w:val="none"/>
          <w:shd w:val="clear" w:color="auto" w:fill="FFFFFF"/>
          <w:lang w:val="en-US" w:eastAsia="ru-RU"/>
        </w:rPr>
        <w:t>Lancet Gastroenterol Hepatol.</w:t>
      </w:r>
      <w:r>
        <w:rPr>
          <w:rFonts w:eastAsia="Times New Roman" w:cs="Times New Roman"/>
          <w:szCs w:val="28"/>
          <w:highlight w:val="none"/>
          <w:shd w:val="clear" w:color="auto" w:fill="FFFFFF"/>
          <w:lang w:val="en-US" w:eastAsia="ru-RU"/>
        </w:rPr>
        <w:t xml:space="preserve"> 2017. Vol. </w:t>
      </w:r>
      <w:r>
        <w:rPr>
          <w:rFonts w:eastAsia="Times New Roman" w:cs="Times New Roman"/>
          <w:bCs/>
          <w:szCs w:val="28"/>
          <w:highlight w:val="none"/>
          <w:shd w:val="clear" w:color="auto" w:fill="FFFFFF"/>
          <w:lang w:val="en-US" w:eastAsia="ru-RU"/>
        </w:rPr>
        <w:t>2</w:t>
      </w:r>
      <w:r>
        <w:rPr>
          <w:rFonts w:eastAsia="Times New Roman" w:cs="Times New Roman"/>
          <w:szCs w:val="28"/>
          <w:highlight w:val="none"/>
          <w:shd w:val="clear" w:color="auto" w:fill="FFFFFF"/>
          <w:lang w:val="en-US" w:eastAsia="ru-RU"/>
        </w:rPr>
        <w:t>. P. 161</w:t>
      </w:r>
      <w:r>
        <w:rPr>
          <w:rFonts w:cs="Times New Roman"/>
          <w:szCs w:val="28"/>
          <w:highlight w:val="none"/>
          <w:lang w:val="en-US"/>
        </w:rPr>
        <w:t>–</w:t>
      </w:r>
      <w:r>
        <w:rPr>
          <w:rFonts w:eastAsia="Times New Roman" w:cs="Times New Roman"/>
          <w:szCs w:val="28"/>
          <w:highlight w:val="none"/>
          <w:shd w:val="clear" w:color="auto" w:fill="FFFFFF"/>
          <w:lang w:val="en-US" w:eastAsia="ru-RU"/>
        </w:rPr>
        <w:t xml:space="preserve">176. </w:t>
      </w:r>
      <w:r>
        <w:rPr>
          <w:rStyle w:val="53"/>
          <w:rFonts w:cs="Times New Roman"/>
          <w:szCs w:val="28"/>
          <w:highlight w:val="none"/>
          <w:lang w:val="en-US"/>
        </w:rPr>
        <w:t>doi: </w:t>
      </w:r>
      <w:r>
        <w:rPr>
          <w:highlight w:val="none"/>
        </w:rPr>
        <w:fldChar w:fldCharType="begin"/>
      </w:r>
      <w:r>
        <w:rPr>
          <w:highlight w:val="none"/>
        </w:rPr>
        <w:instrText xml:space="preserve"> HYPERLINK "https://doi.org/10.1016/s2468-1253(16)30181-9" \t "_blank" </w:instrText>
      </w:r>
      <w:r>
        <w:rPr>
          <w:highlight w:val="none"/>
        </w:rPr>
        <w:fldChar w:fldCharType="separate"/>
      </w:r>
      <w:r>
        <w:rPr>
          <w:rStyle w:val="11"/>
          <w:rFonts w:cs="Times New Roman"/>
          <w:color w:val="auto"/>
          <w:szCs w:val="28"/>
          <w:highlight w:val="none"/>
          <w:u w:val="none"/>
          <w:lang w:val="en-US"/>
        </w:rPr>
        <w:t>10.1016/S2468-1253(16)30181-9</w:t>
      </w:r>
      <w:r>
        <w:rPr>
          <w:rStyle w:val="11"/>
          <w:rFonts w:cs="Times New Roman"/>
          <w:color w:val="auto"/>
          <w:szCs w:val="28"/>
          <w:highlight w:val="none"/>
          <w:u w:val="none"/>
          <w:lang w:val="en-US"/>
        </w:rPr>
        <w:fldChar w:fldCharType="end"/>
      </w:r>
    </w:p>
    <w:p w14:paraId="569DF4D8">
      <w:pPr>
        <w:widowControl w:val="0"/>
        <w:rPr>
          <w:rFonts w:cs="Times New Roman"/>
          <w:szCs w:val="28"/>
          <w:highlight w:val="none"/>
          <w:lang w:val="en-US"/>
        </w:rPr>
      </w:pPr>
      <w:r>
        <w:rPr>
          <w:rFonts w:cs="Times New Roman"/>
          <w:szCs w:val="28"/>
          <w:highlight w:val="none"/>
          <w:lang w:val="en-US"/>
        </w:rPr>
        <w:t xml:space="preserve">6. </w:t>
      </w:r>
      <w:r>
        <w:rPr>
          <w:highlight w:val="none"/>
        </w:rPr>
        <w:fldChar w:fldCharType="begin"/>
      </w:r>
      <w:r>
        <w:rPr>
          <w:highlight w:val="none"/>
        </w:rPr>
        <w:instrText xml:space="preserve"> HYPERLINK "https://aasldpubs.onlinelibrary.wiley.com/action/doSearch?ContribAuthorRaw=Do%2C+Albert" </w:instrText>
      </w:r>
      <w:r>
        <w:rPr>
          <w:highlight w:val="none"/>
        </w:rPr>
        <w:fldChar w:fldCharType="separate"/>
      </w:r>
      <w:r>
        <w:rPr>
          <w:rStyle w:val="11"/>
          <w:rFonts w:cs="Times New Roman"/>
          <w:color w:val="auto"/>
          <w:szCs w:val="28"/>
          <w:highlight w:val="none"/>
          <w:u w:val="none"/>
          <w:lang w:val="en-US"/>
        </w:rPr>
        <w:t>Do</w:t>
      </w:r>
      <w:r>
        <w:rPr>
          <w:rStyle w:val="11"/>
          <w:rFonts w:cs="Times New Roman"/>
          <w:color w:val="auto"/>
          <w:szCs w:val="28"/>
          <w:highlight w:val="none"/>
          <w:u w:val="none"/>
          <w:lang w:val="en-US"/>
        </w:rPr>
        <w:fldChar w:fldCharType="end"/>
      </w:r>
      <w:r>
        <w:rPr>
          <w:rFonts w:cs="Times New Roman"/>
          <w:szCs w:val="28"/>
          <w:highlight w:val="none"/>
          <w:lang w:val="en-US"/>
        </w:rPr>
        <w:t xml:space="preserve"> </w:t>
      </w:r>
      <w:r>
        <w:rPr>
          <w:rStyle w:val="11"/>
          <w:rFonts w:cs="Times New Roman"/>
          <w:color w:val="auto"/>
          <w:szCs w:val="28"/>
          <w:highlight w:val="none"/>
          <w:u w:val="none"/>
          <w:lang w:val="en-US"/>
        </w:rPr>
        <w:t>A.</w:t>
      </w:r>
      <w:r>
        <w:rPr>
          <w:rStyle w:val="54"/>
          <w:rFonts w:cs="Times New Roman"/>
          <w:szCs w:val="28"/>
          <w:highlight w:val="none"/>
          <w:lang w:val="en-US"/>
        </w:rPr>
        <w:t xml:space="preserve">, </w:t>
      </w:r>
      <w:r>
        <w:rPr>
          <w:highlight w:val="none"/>
        </w:rPr>
        <w:fldChar w:fldCharType="begin"/>
      </w:r>
      <w:r>
        <w:rPr>
          <w:highlight w:val="none"/>
        </w:rPr>
        <w:instrText xml:space="preserve"> HYPERLINK "https://aasldpubs.onlinelibrary.wiley.com/action/doSearch?ContribAuthorRaw=Reau%2C+Nancy+S" </w:instrText>
      </w:r>
      <w:r>
        <w:rPr>
          <w:highlight w:val="none"/>
        </w:rPr>
        <w:fldChar w:fldCharType="separate"/>
      </w:r>
      <w:r>
        <w:rPr>
          <w:rStyle w:val="11"/>
          <w:rFonts w:cs="Times New Roman"/>
          <w:color w:val="auto"/>
          <w:szCs w:val="28"/>
          <w:highlight w:val="none"/>
          <w:u w:val="none"/>
          <w:lang w:val="en-US"/>
        </w:rPr>
        <w:t>Reau</w:t>
      </w:r>
      <w:r>
        <w:rPr>
          <w:rStyle w:val="11"/>
          <w:rFonts w:cs="Times New Roman"/>
          <w:color w:val="auto"/>
          <w:szCs w:val="28"/>
          <w:highlight w:val="none"/>
          <w:u w:val="none"/>
          <w:lang w:val="en-US"/>
        </w:rPr>
        <w:fldChar w:fldCharType="end"/>
      </w:r>
      <w:r>
        <w:rPr>
          <w:rFonts w:cs="Times New Roman"/>
          <w:szCs w:val="28"/>
          <w:highlight w:val="none"/>
          <w:lang w:val="en-US"/>
        </w:rPr>
        <w:t xml:space="preserve"> </w:t>
      </w:r>
      <w:r>
        <w:rPr>
          <w:rStyle w:val="11"/>
          <w:rFonts w:cs="Times New Roman"/>
          <w:color w:val="auto"/>
          <w:szCs w:val="28"/>
          <w:highlight w:val="none"/>
          <w:u w:val="none"/>
          <w:lang w:val="en-US"/>
        </w:rPr>
        <w:t>N. S</w:t>
      </w:r>
      <w:r>
        <w:rPr>
          <w:rStyle w:val="64"/>
          <w:rFonts w:cs="Times New Roman"/>
          <w:szCs w:val="28"/>
          <w:highlight w:val="none"/>
          <w:lang w:val="en-US"/>
        </w:rPr>
        <w:t xml:space="preserve">. </w:t>
      </w:r>
      <w:r>
        <w:rPr>
          <w:rFonts w:cs="Times New Roman"/>
          <w:szCs w:val="28"/>
          <w:highlight w:val="none"/>
          <w:lang w:val="en-US"/>
        </w:rPr>
        <w:t xml:space="preserve">Chronic Viral Hepatitis: Current Management and Future Directions. </w:t>
      </w:r>
      <w:r>
        <w:rPr>
          <w:rStyle w:val="10"/>
          <w:rFonts w:cs="Times New Roman"/>
          <w:szCs w:val="28"/>
          <w:highlight w:val="none"/>
          <w:shd w:val="clear" w:color="auto" w:fill="FFFFFF"/>
          <w:lang w:val="en-US"/>
        </w:rPr>
        <w:t xml:space="preserve">Hepatology Communications. </w:t>
      </w:r>
      <w:r>
        <w:rPr>
          <w:rStyle w:val="68"/>
          <w:rFonts w:cs="Times New Roman"/>
          <w:szCs w:val="28"/>
          <w:highlight w:val="none"/>
          <w:lang w:val="en-US"/>
        </w:rPr>
        <w:t xml:space="preserve">2020. </w:t>
      </w:r>
      <w:r>
        <w:rPr>
          <w:highlight w:val="none"/>
        </w:rPr>
        <w:fldChar w:fldCharType="begin"/>
      </w:r>
      <w:r>
        <w:rPr>
          <w:highlight w:val="none"/>
        </w:rPr>
        <w:instrText xml:space="preserve"> HYPERLINK "https://aasldpubs.onlinelibrary.wiley.com/toc/2471254x/2020/4/3" \o "View Volume 4, Issue 3" </w:instrText>
      </w:r>
      <w:r>
        <w:rPr>
          <w:highlight w:val="none"/>
        </w:rPr>
        <w:fldChar w:fldCharType="separate"/>
      </w:r>
      <w:r>
        <w:rPr>
          <w:rStyle w:val="11"/>
          <w:rFonts w:cs="Times New Roman"/>
          <w:bCs/>
          <w:color w:val="auto"/>
          <w:szCs w:val="28"/>
          <w:highlight w:val="none"/>
          <w:u w:val="none"/>
          <w:lang w:val="en-US"/>
        </w:rPr>
        <w:t xml:space="preserve">Vol. </w:t>
      </w:r>
      <w:r>
        <w:rPr>
          <w:rStyle w:val="55"/>
          <w:rFonts w:cs="Times New Roman"/>
          <w:bCs/>
          <w:szCs w:val="28"/>
          <w:highlight w:val="none"/>
          <w:lang w:val="en-US"/>
        </w:rPr>
        <w:t>4</w:t>
      </w:r>
      <w:r>
        <w:rPr>
          <w:rStyle w:val="11"/>
          <w:rFonts w:cs="Times New Roman"/>
          <w:bCs/>
          <w:color w:val="auto"/>
          <w:szCs w:val="28"/>
          <w:highlight w:val="none"/>
          <w:u w:val="none"/>
          <w:lang w:val="en-US"/>
        </w:rPr>
        <w:t xml:space="preserve">, Iss. </w:t>
      </w:r>
      <w:r>
        <w:rPr>
          <w:rStyle w:val="55"/>
          <w:rFonts w:cs="Times New Roman"/>
          <w:bCs/>
          <w:szCs w:val="28"/>
          <w:highlight w:val="none"/>
          <w:lang w:val="en-US"/>
        </w:rPr>
        <w:t>3</w:t>
      </w:r>
      <w:r>
        <w:rPr>
          <w:rStyle w:val="55"/>
          <w:rFonts w:cs="Times New Roman"/>
          <w:bCs/>
          <w:szCs w:val="28"/>
          <w:highlight w:val="none"/>
          <w:lang w:val="en-US"/>
        </w:rPr>
        <w:fldChar w:fldCharType="end"/>
      </w:r>
      <w:r>
        <w:rPr>
          <w:rFonts w:cs="Times New Roman"/>
          <w:bCs/>
          <w:szCs w:val="28"/>
          <w:highlight w:val="none"/>
          <w:lang w:val="en-US"/>
        </w:rPr>
        <w:t xml:space="preserve">. </w:t>
      </w:r>
      <w:r>
        <w:rPr>
          <w:rFonts w:cs="Times New Roman"/>
          <w:szCs w:val="28"/>
          <w:highlight w:val="none"/>
          <w:lang w:val="en-US"/>
        </w:rPr>
        <w:t>P. 329–341.</w:t>
      </w:r>
      <w:r>
        <w:rPr>
          <w:rStyle w:val="68"/>
          <w:rFonts w:cs="Times New Roman"/>
          <w:szCs w:val="28"/>
          <w:highlight w:val="none"/>
          <w:lang w:val="en-US"/>
        </w:rPr>
        <w:t xml:space="preserve"> doi: </w:t>
      </w:r>
      <w:r>
        <w:rPr>
          <w:highlight w:val="none"/>
        </w:rPr>
        <w:fldChar w:fldCharType="begin"/>
      </w:r>
      <w:r>
        <w:rPr>
          <w:highlight w:val="none"/>
        </w:rPr>
        <w:instrText xml:space="preserve"> HYPERLINK "https://doi.org/10.1002/hep4.1480" </w:instrText>
      </w:r>
      <w:r>
        <w:rPr>
          <w:highlight w:val="none"/>
        </w:rPr>
        <w:fldChar w:fldCharType="separate"/>
      </w:r>
      <w:r>
        <w:rPr>
          <w:rStyle w:val="11"/>
          <w:rFonts w:cs="Times New Roman"/>
          <w:bCs/>
          <w:color w:val="auto"/>
          <w:szCs w:val="28"/>
          <w:highlight w:val="none"/>
          <w:u w:val="none"/>
          <w:lang w:val="en-US"/>
        </w:rPr>
        <w:t>https://doi.org/10.1002/hep4.1480</w:t>
      </w:r>
      <w:r>
        <w:rPr>
          <w:rStyle w:val="11"/>
          <w:rFonts w:cs="Times New Roman"/>
          <w:bCs/>
          <w:color w:val="auto"/>
          <w:szCs w:val="28"/>
          <w:highlight w:val="none"/>
          <w:u w:val="none"/>
          <w:lang w:val="en-US"/>
        </w:rPr>
        <w:fldChar w:fldCharType="end"/>
      </w:r>
    </w:p>
    <w:p w14:paraId="33012B34">
      <w:pPr>
        <w:widowControl w:val="0"/>
        <w:rPr>
          <w:rFonts w:cs="Times New Roman"/>
          <w:szCs w:val="28"/>
          <w:highlight w:val="none"/>
          <w:lang w:val="en-US"/>
        </w:rPr>
      </w:pPr>
      <w:r>
        <w:rPr>
          <w:rFonts w:cs="Times New Roman"/>
          <w:szCs w:val="28"/>
          <w:highlight w:val="none"/>
          <w:lang w:val="en-US"/>
        </w:rPr>
        <w:t xml:space="preserve">7. </w:t>
      </w:r>
      <w:r>
        <w:rPr>
          <w:rFonts w:cs="Times New Roman"/>
          <w:szCs w:val="28"/>
          <w:highlight w:val="none"/>
          <w:shd w:val="clear" w:color="auto" w:fill="FFFFFF"/>
          <w:lang w:val="en-US"/>
        </w:rPr>
        <w:t xml:space="preserve">Fibrosis progression in patients with chronic hepatitis C virus infection / M. Zeremski et al. </w:t>
      </w:r>
      <w:r>
        <w:rPr>
          <w:rFonts w:cs="Times New Roman"/>
          <w:i/>
          <w:szCs w:val="28"/>
          <w:highlight w:val="none"/>
          <w:shd w:val="clear" w:color="auto" w:fill="FFFFFF"/>
          <w:lang w:val="en-US"/>
        </w:rPr>
        <w:t>J. Infect Dis</w:t>
      </w:r>
      <w:r>
        <w:rPr>
          <w:rFonts w:cs="Times New Roman"/>
          <w:szCs w:val="28"/>
          <w:highlight w:val="none"/>
          <w:shd w:val="clear" w:color="auto" w:fill="FFFFFF"/>
          <w:lang w:val="en-US"/>
        </w:rPr>
        <w:t>. 2016. Vol. 15, № 214 (8). P. 1164</w:t>
      </w:r>
      <w:r>
        <w:rPr>
          <w:rFonts w:cs="Times New Roman"/>
          <w:szCs w:val="28"/>
          <w:highlight w:val="none"/>
          <w:lang w:val="en-US"/>
        </w:rPr>
        <w:t>–11</w:t>
      </w:r>
      <w:r>
        <w:rPr>
          <w:rFonts w:cs="Times New Roman"/>
          <w:szCs w:val="28"/>
          <w:highlight w:val="none"/>
          <w:shd w:val="clear" w:color="auto" w:fill="FFFFFF"/>
          <w:lang w:val="en-US"/>
        </w:rPr>
        <w:t>70. doi: 10.1093/infdis/jiw332</w:t>
      </w:r>
    </w:p>
    <w:p w14:paraId="7FD3EBD1">
      <w:pPr>
        <w:widowControl w:val="0"/>
        <w:rPr>
          <w:rFonts w:cs="Times New Roman"/>
          <w:szCs w:val="28"/>
          <w:highlight w:val="none"/>
          <w:lang w:val="en-US"/>
        </w:rPr>
      </w:pPr>
      <w:r>
        <w:rPr>
          <w:rFonts w:cs="Times New Roman"/>
          <w:szCs w:val="28"/>
          <w:highlight w:val="none"/>
          <w:lang w:val="en-US"/>
        </w:rPr>
        <w:t xml:space="preserve">8. European Union HCV Collaborators. </w:t>
      </w:r>
      <w:r>
        <w:rPr>
          <w:rFonts w:cs="Times New Roman"/>
          <w:bCs/>
          <w:szCs w:val="28"/>
          <w:highlight w:val="none"/>
          <w:lang w:val="en-US"/>
        </w:rPr>
        <w:t xml:space="preserve">Hepatitis C virus prevalence and level of intervention required to achieve the WHO targets for elimination in the European Union by 2030: a modelling study. </w:t>
      </w:r>
      <w:r>
        <w:rPr>
          <w:rFonts w:cs="Times New Roman"/>
          <w:i/>
          <w:iCs/>
          <w:szCs w:val="28"/>
          <w:highlight w:val="none"/>
          <w:shd w:val="clear" w:color="auto" w:fill="FFFFFF"/>
          <w:lang w:val="en-US"/>
        </w:rPr>
        <w:t>Lancet Gastroenterol Hepatol.</w:t>
      </w:r>
      <w:r>
        <w:rPr>
          <w:rFonts w:cs="Times New Roman"/>
          <w:szCs w:val="28"/>
          <w:highlight w:val="none"/>
          <w:shd w:val="clear" w:color="auto" w:fill="FFFFFF"/>
          <w:lang w:val="en-US"/>
        </w:rPr>
        <w:t xml:space="preserve"> 2017. Vol. </w:t>
      </w:r>
      <w:r>
        <w:rPr>
          <w:rFonts w:cs="Times New Roman"/>
          <w:bCs/>
          <w:szCs w:val="28"/>
          <w:highlight w:val="none"/>
          <w:shd w:val="clear" w:color="auto" w:fill="FFFFFF"/>
          <w:lang w:val="en-US"/>
        </w:rPr>
        <w:t>2</w:t>
      </w:r>
      <w:r>
        <w:rPr>
          <w:rFonts w:cs="Times New Roman"/>
          <w:szCs w:val="28"/>
          <w:highlight w:val="none"/>
          <w:shd w:val="clear" w:color="auto" w:fill="FFFFFF"/>
          <w:lang w:val="en-US"/>
        </w:rPr>
        <w:t>. P. 325</w:t>
      </w:r>
      <w:r>
        <w:rPr>
          <w:rFonts w:cs="Times New Roman"/>
          <w:szCs w:val="28"/>
          <w:highlight w:val="none"/>
          <w:lang w:val="en-US"/>
        </w:rPr>
        <w:t>–</w:t>
      </w:r>
      <w:r>
        <w:rPr>
          <w:rFonts w:cs="Times New Roman"/>
          <w:szCs w:val="28"/>
          <w:highlight w:val="none"/>
          <w:shd w:val="clear" w:color="auto" w:fill="FFFFFF"/>
          <w:lang w:val="en-US"/>
        </w:rPr>
        <w:t>336.</w:t>
      </w:r>
      <w:r>
        <w:rPr>
          <w:rStyle w:val="53"/>
          <w:rFonts w:cs="Times New Roman"/>
          <w:szCs w:val="28"/>
          <w:highlight w:val="none"/>
          <w:lang w:val="en-US"/>
        </w:rPr>
        <w:t xml:space="preserve"> doi: </w:t>
      </w:r>
      <w:r>
        <w:rPr>
          <w:highlight w:val="none"/>
        </w:rPr>
        <w:fldChar w:fldCharType="begin"/>
      </w:r>
      <w:r>
        <w:rPr>
          <w:highlight w:val="none"/>
        </w:rPr>
        <w:instrText xml:space="preserve"> HYPERLINK "https://doi.org/10.1016/s2468-1253(17)30045-6" \t "_blank" </w:instrText>
      </w:r>
      <w:r>
        <w:rPr>
          <w:highlight w:val="none"/>
        </w:rPr>
        <w:fldChar w:fldCharType="separate"/>
      </w:r>
      <w:r>
        <w:rPr>
          <w:rStyle w:val="11"/>
          <w:rFonts w:cs="Times New Roman"/>
          <w:color w:val="auto"/>
          <w:szCs w:val="28"/>
          <w:highlight w:val="none"/>
          <w:u w:val="none"/>
          <w:lang w:val="en-US"/>
        </w:rPr>
        <w:t>10.1016/S2468-1253(17)30045-6</w:t>
      </w:r>
      <w:r>
        <w:rPr>
          <w:rStyle w:val="11"/>
          <w:rFonts w:cs="Times New Roman"/>
          <w:color w:val="auto"/>
          <w:szCs w:val="28"/>
          <w:highlight w:val="none"/>
          <w:u w:val="none"/>
          <w:lang w:val="en-US"/>
        </w:rPr>
        <w:fldChar w:fldCharType="end"/>
      </w:r>
    </w:p>
    <w:p w14:paraId="576FE5E6">
      <w:pPr>
        <w:widowControl w:val="0"/>
        <w:rPr>
          <w:rFonts w:cs="Times New Roman"/>
          <w:szCs w:val="28"/>
          <w:highlight w:val="none"/>
          <w:lang w:val="en-US"/>
        </w:rPr>
      </w:pPr>
      <w:r>
        <w:rPr>
          <w:rFonts w:cs="Times New Roman"/>
          <w:szCs w:val="28"/>
          <w:highlight w:val="none"/>
          <w:lang w:val="en-US"/>
        </w:rPr>
        <w:t xml:space="preserve">9. EASL recommendations on treatment of hepatitis C: Final update of the series / J. M. Pawlotsky et al. </w:t>
      </w:r>
      <w:r>
        <w:rPr>
          <w:rFonts w:cs="Times New Roman"/>
          <w:i/>
          <w:szCs w:val="28"/>
          <w:highlight w:val="none"/>
          <w:lang w:val="en-US"/>
        </w:rPr>
        <w:t>J. of Hepatology</w:t>
      </w:r>
      <w:r>
        <w:rPr>
          <w:rFonts w:cs="Times New Roman"/>
          <w:szCs w:val="28"/>
          <w:highlight w:val="none"/>
          <w:lang w:val="en-US"/>
        </w:rPr>
        <w:t>. 2020. Vol. 73, Iss. 5. P. 1170–1218. doi: https://doi.org/10.1016/j.jhep.2020.08.018</w:t>
      </w:r>
    </w:p>
    <w:p w14:paraId="01E1F735">
      <w:pPr>
        <w:widowControl w:val="0"/>
        <w:rPr>
          <w:rFonts w:cs="Times New Roman"/>
          <w:szCs w:val="28"/>
          <w:highlight w:val="none"/>
          <w:lang w:val="en-US"/>
        </w:rPr>
      </w:pPr>
      <w:r>
        <w:rPr>
          <w:rFonts w:cs="Times New Roman"/>
          <w:szCs w:val="28"/>
          <w:highlight w:val="none"/>
          <w:lang w:val="en-US"/>
        </w:rPr>
        <w:t xml:space="preserve">10. </w:t>
      </w:r>
      <w:r>
        <w:rPr>
          <w:rFonts w:cs="Times New Roman"/>
          <w:szCs w:val="28"/>
          <w:highlight w:val="none"/>
          <w:shd w:val="clear" w:color="auto" w:fill="FCFCFC"/>
          <w:lang w:val="en-US"/>
        </w:rPr>
        <w:t xml:space="preserve">Viral hepatitis C therapy: pharmacokinetic and pharmacodynamic considerations: A 2019 Update / E. J. Smolders et al. </w:t>
      </w:r>
      <w:r>
        <w:rPr>
          <w:rFonts w:cs="Times New Roman"/>
          <w:i/>
          <w:iCs/>
          <w:szCs w:val="28"/>
          <w:highlight w:val="none"/>
          <w:shd w:val="clear" w:color="auto" w:fill="FCFCFC"/>
          <w:lang w:val="en-US"/>
        </w:rPr>
        <w:t>Clin. Pharmacokinet</w:t>
      </w:r>
      <w:r>
        <w:rPr>
          <w:rFonts w:cs="Times New Roman"/>
          <w:szCs w:val="28"/>
          <w:highlight w:val="none"/>
          <w:shd w:val="clear" w:color="auto" w:fill="FCFCFC"/>
          <w:lang w:val="en-US"/>
        </w:rPr>
        <w:t xml:space="preserve">. 2019. Vol. </w:t>
      </w:r>
      <w:r>
        <w:rPr>
          <w:rFonts w:cs="Times New Roman"/>
          <w:bCs/>
          <w:szCs w:val="28"/>
          <w:highlight w:val="none"/>
          <w:shd w:val="clear" w:color="auto" w:fill="FCFCFC"/>
          <w:lang w:val="en-US"/>
        </w:rPr>
        <w:t>58</w:t>
      </w:r>
      <w:r>
        <w:rPr>
          <w:rFonts w:cs="Times New Roman"/>
          <w:szCs w:val="28"/>
          <w:highlight w:val="none"/>
          <w:shd w:val="clear" w:color="auto" w:fill="FCFCFC"/>
          <w:lang w:val="en-US"/>
        </w:rPr>
        <w:t>. P. 1237–1263. doi: https://doi.org/10.1007/s40262-019-00774-0</w:t>
      </w:r>
    </w:p>
    <w:p w14:paraId="6849C241">
      <w:pPr>
        <w:widowControl w:val="0"/>
        <w:rPr>
          <w:rFonts w:cs="Times New Roman"/>
          <w:szCs w:val="28"/>
          <w:highlight w:val="none"/>
          <w:lang w:val="en-US"/>
        </w:rPr>
      </w:pPr>
      <w:r>
        <w:rPr>
          <w:rFonts w:cs="Times New Roman"/>
          <w:szCs w:val="28"/>
          <w:highlight w:val="none"/>
          <w:lang w:val="en-US"/>
        </w:rPr>
        <w:t xml:space="preserve">11. </w:t>
      </w:r>
      <w:r>
        <w:rPr>
          <w:rFonts w:cs="Times New Roman"/>
          <w:bCs/>
          <w:szCs w:val="28"/>
          <w:highlight w:val="none"/>
          <w:lang w:val="en-US"/>
        </w:rPr>
        <w:t xml:space="preserve">Report from the International Viral Hepatitis Elimination Meeting (IVHEM), 17–18 November 2017, Amsterdam, the Netherlands: gaps and challenges in the WHO 2030 hepatitis C elimination framework / </w:t>
      </w:r>
      <w:r>
        <w:rPr>
          <w:rFonts w:cs="Times New Roman"/>
          <w:szCs w:val="28"/>
          <w:highlight w:val="none"/>
          <w:lang w:val="en-US"/>
        </w:rPr>
        <w:t>S. Popping</w:t>
      </w:r>
      <w:r>
        <w:rPr>
          <w:rFonts w:cs="Times New Roman"/>
          <w:iCs/>
          <w:szCs w:val="28"/>
          <w:highlight w:val="none"/>
          <w:lang w:val="en-US"/>
        </w:rPr>
        <w:t xml:space="preserve"> et al. </w:t>
      </w:r>
      <w:r>
        <w:rPr>
          <w:rFonts w:cs="Times New Roman"/>
          <w:i/>
          <w:szCs w:val="28"/>
          <w:highlight w:val="none"/>
          <w:lang w:val="en-US"/>
        </w:rPr>
        <w:t>J. Virus Erad</w:t>
      </w:r>
      <w:r>
        <w:rPr>
          <w:rFonts w:cs="Times New Roman"/>
          <w:szCs w:val="28"/>
          <w:highlight w:val="none"/>
          <w:lang w:val="en-US"/>
        </w:rPr>
        <w:t xml:space="preserve">. 2018. Vol. 4. P. 193–195. doi: </w:t>
      </w:r>
      <w:r>
        <w:rPr>
          <w:highlight w:val="none"/>
        </w:rPr>
        <w:fldChar w:fldCharType="begin"/>
      </w:r>
      <w:r>
        <w:rPr>
          <w:highlight w:val="none"/>
        </w:rPr>
        <w:instrText xml:space="preserve"> HYPERLINK "https://doi.org/10.1016/S2055-6640(20)30264-8"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https://doi.org/10.1016/S2055-6640(20)30264-8</w:t>
      </w:r>
      <w:r>
        <w:rPr>
          <w:rStyle w:val="11"/>
          <w:rFonts w:cs="Times New Roman"/>
          <w:color w:val="auto"/>
          <w:szCs w:val="28"/>
          <w:highlight w:val="none"/>
          <w:u w:val="none"/>
          <w:lang w:val="en-US"/>
        </w:rPr>
        <w:fldChar w:fldCharType="end"/>
      </w:r>
    </w:p>
    <w:p w14:paraId="44EC38E0">
      <w:pPr>
        <w:widowControl w:val="0"/>
        <w:rPr>
          <w:rFonts w:cs="Times New Roman"/>
          <w:szCs w:val="28"/>
          <w:highlight w:val="none"/>
          <w:lang w:val="en-US"/>
        </w:rPr>
      </w:pPr>
      <w:r>
        <w:rPr>
          <w:rFonts w:cs="Times New Roman"/>
          <w:szCs w:val="28"/>
          <w:highlight w:val="none"/>
          <w:lang w:val="en-US"/>
        </w:rPr>
        <w:t xml:space="preserve">12. Pawlowska M., Sobolewska-Pilarczyk M., Domagalski K. </w:t>
      </w:r>
      <w:r>
        <w:rPr>
          <w:rFonts w:cs="Times New Roman"/>
          <w:bCs/>
          <w:szCs w:val="28"/>
          <w:highlight w:val="none"/>
          <w:lang w:val="en-US"/>
        </w:rPr>
        <w:t xml:space="preserve">Hepatitis C virus infection in children in the era of direct-acting antiviral. </w:t>
      </w:r>
      <w:r>
        <w:rPr>
          <w:rFonts w:cs="Times New Roman"/>
          <w:i/>
          <w:szCs w:val="28"/>
          <w:highlight w:val="none"/>
          <w:lang w:val="en-US"/>
        </w:rPr>
        <w:t>World J. Gastroenterol</w:t>
      </w:r>
      <w:r>
        <w:rPr>
          <w:rFonts w:cs="Times New Roman"/>
          <w:szCs w:val="28"/>
          <w:highlight w:val="none"/>
          <w:lang w:val="en-US"/>
        </w:rPr>
        <w:t>. 2018. Vol. 24. P. 2555–2566. doi: 10.3748/wjg.v24.i24.2555</w:t>
      </w:r>
    </w:p>
    <w:p w14:paraId="4A3BB3C0">
      <w:pPr>
        <w:widowControl w:val="0"/>
        <w:rPr>
          <w:rFonts w:cs="Times New Roman"/>
          <w:szCs w:val="28"/>
          <w:highlight w:val="none"/>
          <w:lang w:val="en-US"/>
        </w:rPr>
      </w:pPr>
      <w:r>
        <w:rPr>
          <w:rFonts w:cs="Times New Roman"/>
          <w:szCs w:val="28"/>
          <w:highlight w:val="none"/>
          <w:lang w:val="en-US"/>
        </w:rPr>
        <w:t xml:space="preserve">13. The comprehensive outcomes of hepatitis C virus infection: A multi-faceted chronic disease / Z. Younossi et al. </w:t>
      </w:r>
      <w:r>
        <w:rPr>
          <w:rFonts w:cs="Times New Roman"/>
          <w:i/>
          <w:szCs w:val="28"/>
          <w:highlight w:val="none"/>
          <w:lang w:val="en-US"/>
        </w:rPr>
        <w:t>J. Viral Hepat</w:t>
      </w:r>
      <w:r>
        <w:rPr>
          <w:rFonts w:cs="Times New Roman"/>
          <w:szCs w:val="28"/>
          <w:highlight w:val="none"/>
          <w:lang w:val="en-US"/>
        </w:rPr>
        <w:t>. 2018. Vol. 25, Suppl. 3. P. 6–14. doi: 10.1111/jvh.13005</w:t>
      </w:r>
    </w:p>
    <w:p w14:paraId="2C968060">
      <w:pPr>
        <w:widowControl w:val="0"/>
        <w:rPr>
          <w:rFonts w:cs="Times New Roman"/>
          <w:szCs w:val="28"/>
          <w:highlight w:val="none"/>
          <w:lang w:val="en-US"/>
        </w:rPr>
      </w:pPr>
      <w:r>
        <w:rPr>
          <w:rFonts w:cs="Times New Roman"/>
          <w:szCs w:val="28"/>
          <w:highlight w:val="none"/>
          <w:lang w:val="en-US"/>
        </w:rPr>
        <w:t xml:space="preserve">14. Vitamin D derivatives inhibit hepatitis C virus production through the suppression of apolipoprotein / A. Murayama et al. </w:t>
      </w:r>
      <w:r>
        <w:rPr>
          <w:rFonts w:cs="Times New Roman"/>
          <w:i/>
          <w:szCs w:val="28"/>
          <w:highlight w:val="none"/>
          <w:lang w:val="en-US"/>
        </w:rPr>
        <w:t>Antiviral Research</w:t>
      </w:r>
      <w:r>
        <w:rPr>
          <w:rFonts w:cs="Times New Roman"/>
          <w:szCs w:val="28"/>
          <w:highlight w:val="none"/>
          <w:lang w:val="en-US"/>
        </w:rPr>
        <w:t>. 2018. Vol. 160. P. 55–63. doi: https://doi.org/10.1016/j.antiviral.2018.10.014</w:t>
      </w:r>
    </w:p>
    <w:p w14:paraId="01AFD549">
      <w:pPr>
        <w:widowControl w:val="0"/>
        <w:rPr>
          <w:rFonts w:cs="Times New Roman"/>
          <w:szCs w:val="28"/>
          <w:highlight w:val="none"/>
          <w:lang w:val="en-US"/>
        </w:rPr>
      </w:pPr>
      <w:r>
        <w:rPr>
          <w:rFonts w:cs="Times New Roman"/>
          <w:szCs w:val="28"/>
          <w:highlight w:val="none"/>
          <w:lang w:val="en-US"/>
        </w:rPr>
        <w:t xml:space="preserve">15. </w:t>
      </w:r>
      <w:r>
        <w:rPr>
          <w:rFonts w:cs="Times New Roman"/>
          <w:szCs w:val="28"/>
          <w:highlight w:val="none"/>
          <w:lang w:val="en-US" w:eastAsia="ru-RU"/>
        </w:rPr>
        <w:t xml:space="preserve">Vitamin D level and sustained virologic response to interferon-based antiviral therapy in chronic hepatitis C: A systematic review and meta-analysis / M. T. Kitson et al. </w:t>
      </w:r>
      <w:r>
        <w:rPr>
          <w:rFonts w:cs="Times New Roman"/>
          <w:i/>
          <w:szCs w:val="28"/>
          <w:highlight w:val="none"/>
          <w:lang w:val="en-US" w:eastAsia="ru-RU"/>
        </w:rPr>
        <w:t>J. of Hepatology</w:t>
      </w:r>
      <w:r>
        <w:rPr>
          <w:rFonts w:cs="Times New Roman"/>
          <w:szCs w:val="28"/>
          <w:highlight w:val="none"/>
          <w:lang w:val="en-US" w:eastAsia="ru-RU"/>
        </w:rPr>
        <w:t>. 2014. Vol. 61 (6). P. 1247–1252. doi: https://doi.org/10.1016/j.jhep.2014.08.004</w:t>
      </w:r>
    </w:p>
    <w:p w14:paraId="50FDC96D">
      <w:pPr>
        <w:widowControl w:val="0"/>
        <w:rPr>
          <w:rFonts w:cs="Times New Roman"/>
          <w:szCs w:val="28"/>
          <w:highlight w:val="none"/>
          <w:lang w:val="en-US" w:eastAsia="ru-RU"/>
        </w:rPr>
      </w:pPr>
      <w:r>
        <w:rPr>
          <w:rFonts w:cs="Times New Roman"/>
          <w:szCs w:val="28"/>
          <w:highlight w:val="none"/>
          <w:lang w:val="en-US"/>
        </w:rPr>
        <w:t xml:space="preserve">16. </w:t>
      </w:r>
      <w:r>
        <w:rPr>
          <w:rFonts w:cs="Times New Roman"/>
          <w:szCs w:val="28"/>
          <w:highlight w:val="none"/>
          <w:lang w:val="en-US" w:eastAsia="ru-RU"/>
        </w:rPr>
        <w:t xml:space="preserve">Hypovitaminosis D and its relation to demographic and laboratory data among hepatitis C patients / L. Melo-Villar et al. </w:t>
      </w:r>
      <w:r>
        <w:rPr>
          <w:rFonts w:cs="Times New Roman"/>
          <w:i/>
          <w:szCs w:val="28"/>
          <w:highlight w:val="none"/>
          <w:lang w:val="en-US" w:eastAsia="ru-RU"/>
        </w:rPr>
        <w:t>Annals of Hepatology</w:t>
      </w:r>
      <w:r>
        <w:rPr>
          <w:rFonts w:cs="Times New Roman"/>
          <w:szCs w:val="28"/>
          <w:highlight w:val="none"/>
          <w:lang w:val="en-US" w:eastAsia="ru-RU"/>
        </w:rPr>
        <w:t>. 2015. Vol. 14 (4). P. 457–463. doi: https://doi.org/10.1016/s1665-2681(19)31166-4</w:t>
      </w:r>
    </w:p>
    <w:p w14:paraId="60B5D8C0">
      <w:pPr>
        <w:widowControl w:val="0"/>
        <w:rPr>
          <w:rFonts w:cs="Times New Roman"/>
          <w:szCs w:val="28"/>
          <w:highlight w:val="none"/>
          <w:lang w:val="en-US" w:eastAsia="ru-RU"/>
        </w:rPr>
      </w:pPr>
      <w:r>
        <w:rPr>
          <w:rFonts w:cs="Times New Roman"/>
          <w:szCs w:val="28"/>
          <w:highlight w:val="none"/>
          <w:lang w:val="en-US" w:eastAsia="ru-RU"/>
        </w:rPr>
        <w:t xml:space="preserve">17. 25-hydroxyvitamin D 3 suppresses hepatitis C virus production / T. Matsumura et al. </w:t>
      </w:r>
      <w:r>
        <w:rPr>
          <w:rFonts w:cs="Times New Roman"/>
          <w:i/>
          <w:szCs w:val="28"/>
          <w:highlight w:val="none"/>
          <w:lang w:val="en-US" w:eastAsia="ru-RU"/>
        </w:rPr>
        <w:t>Hepatology</w:t>
      </w:r>
      <w:r>
        <w:rPr>
          <w:rFonts w:cs="Times New Roman"/>
          <w:szCs w:val="28"/>
          <w:highlight w:val="none"/>
          <w:lang w:val="en-US" w:eastAsia="ru-RU"/>
        </w:rPr>
        <w:t>. 2012. Vol. 56 (4). P. 1231–1239. doi: https://doi.org/10.1002/hep.25763</w:t>
      </w:r>
    </w:p>
    <w:p w14:paraId="74B9D11E">
      <w:pPr>
        <w:widowControl w:val="0"/>
        <w:rPr>
          <w:rFonts w:cs="Times New Roman"/>
          <w:szCs w:val="28"/>
          <w:highlight w:val="none"/>
          <w:lang w:val="en-US" w:eastAsia="ru-RU"/>
        </w:rPr>
      </w:pPr>
      <w:r>
        <w:rPr>
          <w:rFonts w:cs="Times New Roman"/>
          <w:szCs w:val="28"/>
          <w:highlight w:val="none"/>
          <w:lang w:val="en-US" w:eastAsia="ru-RU"/>
        </w:rPr>
        <w:t xml:space="preserve">18. Serum Osteopontin predicts degree of hepatic fibrosis and serves as a biomarker in patients with hepatitis C virus infection / Y. Matsue et al. </w:t>
      </w:r>
      <w:r>
        <w:rPr>
          <w:rFonts w:cs="Times New Roman"/>
          <w:i/>
          <w:szCs w:val="28"/>
          <w:highlight w:val="none"/>
          <w:lang w:val="en-US" w:eastAsia="ru-RU"/>
        </w:rPr>
        <w:t>PLoS ONE</w:t>
      </w:r>
      <w:r>
        <w:rPr>
          <w:rFonts w:cs="Times New Roman"/>
          <w:szCs w:val="28"/>
          <w:highlight w:val="none"/>
          <w:lang w:val="en-US" w:eastAsia="ru-RU"/>
        </w:rPr>
        <w:t>. 2015. Vol. 10 (3). doi: https://doi.org/10.1371/journal.pone.0118744</w:t>
      </w:r>
    </w:p>
    <w:p w14:paraId="22D78AE1">
      <w:pPr>
        <w:widowControl w:val="0"/>
        <w:rPr>
          <w:rFonts w:cs="Times New Roman"/>
          <w:szCs w:val="28"/>
          <w:highlight w:val="none"/>
          <w:lang w:val="en-US" w:eastAsia="ru-RU"/>
        </w:rPr>
      </w:pPr>
      <w:r>
        <w:rPr>
          <w:rFonts w:cs="Times New Roman"/>
          <w:szCs w:val="28"/>
          <w:highlight w:val="none"/>
          <w:lang w:val="en-US" w:eastAsia="ru-RU"/>
        </w:rPr>
        <w:t xml:space="preserve">19. IL28B and IL10R-1087 polymorphisms are protective for chronic genotype 1 HCV infection and predictors of response to interferon-based therapy in an East-Central European cohort / A. Pár et al. </w:t>
      </w:r>
      <w:r>
        <w:rPr>
          <w:rFonts w:cs="Times New Roman"/>
          <w:i/>
          <w:szCs w:val="28"/>
          <w:highlight w:val="none"/>
          <w:lang w:val="en-US" w:eastAsia="ru-RU"/>
        </w:rPr>
        <w:t>BMC Research Notes</w:t>
      </w:r>
      <w:r>
        <w:rPr>
          <w:rFonts w:cs="Times New Roman"/>
          <w:szCs w:val="28"/>
          <w:highlight w:val="none"/>
          <w:lang w:val="en-US" w:eastAsia="ru-RU"/>
        </w:rPr>
        <w:t>. 2014. Vol. 7 (1). doi: https://doi.org/10.1186/1756-0500-7-12</w:t>
      </w:r>
    </w:p>
    <w:p w14:paraId="5482B46A">
      <w:pPr>
        <w:widowControl w:val="0"/>
        <w:rPr>
          <w:rFonts w:cs="Times New Roman"/>
          <w:szCs w:val="28"/>
          <w:highlight w:val="none"/>
          <w:lang w:val="en-US"/>
        </w:rPr>
      </w:pPr>
      <w:r>
        <w:rPr>
          <w:rFonts w:cs="Times New Roman"/>
          <w:szCs w:val="28"/>
          <w:highlight w:val="none"/>
          <w:lang w:val="en-US" w:eastAsia="ru-RU"/>
        </w:rPr>
        <w:t xml:space="preserve">20. Vitamin D deficiency and hepatitis viruses-associated liver diseases: A literature review / N. X. Hoan et al. </w:t>
      </w:r>
      <w:r>
        <w:rPr>
          <w:rFonts w:cs="Times New Roman"/>
          <w:i/>
          <w:szCs w:val="28"/>
          <w:highlight w:val="none"/>
          <w:lang w:val="en-US" w:eastAsia="ru-RU"/>
        </w:rPr>
        <w:t>World J. of Gastroenterology</w:t>
      </w:r>
      <w:r>
        <w:rPr>
          <w:rFonts w:cs="Times New Roman"/>
          <w:szCs w:val="28"/>
          <w:highlight w:val="none"/>
          <w:lang w:val="en-US" w:eastAsia="ru-RU"/>
        </w:rPr>
        <w:t>. 2018. Vol. 24 (4). P. 445–460. doi: https://doi.org/10.3748/wjg.v24.i4.445</w:t>
      </w:r>
      <w:r>
        <w:rPr>
          <w:rFonts w:cs="Times New Roman"/>
          <w:szCs w:val="28"/>
          <w:highlight w:val="none"/>
          <w:lang w:val="en-US"/>
        </w:rPr>
        <w:t>24</w:t>
      </w:r>
    </w:p>
    <w:p w14:paraId="0B95FB96">
      <w:pPr>
        <w:widowControl w:val="0"/>
        <w:rPr>
          <w:rFonts w:cs="Times New Roman"/>
          <w:szCs w:val="28"/>
          <w:highlight w:val="none"/>
          <w:lang w:val="en-US"/>
        </w:rPr>
      </w:pPr>
      <w:r>
        <w:rPr>
          <w:rFonts w:cs="Times New Roman"/>
          <w:szCs w:val="28"/>
          <w:highlight w:val="none"/>
          <w:lang w:val="en-US"/>
        </w:rPr>
        <w:t xml:space="preserve">21. Bruha R., Vitek L., Smid V. Osteopontin – A potential biomarker of advanced liver disease. </w:t>
      </w:r>
      <w:r>
        <w:rPr>
          <w:rFonts w:cs="Times New Roman"/>
          <w:i/>
          <w:szCs w:val="28"/>
          <w:highlight w:val="none"/>
          <w:lang w:val="en-US"/>
        </w:rPr>
        <w:t>Annals of Hepatology</w:t>
      </w:r>
      <w:r>
        <w:rPr>
          <w:rFonts w:cs="Times New Roman"/>
          <w:szCs w:val="28"/>
          <w:highlight w:val="none"/>
          <w:lang w:val="en-US"/>
        </w:rPr>
        <w:t>. 2020. Vol. 19 (4). P. 344–352. doi: https://doi.org/10.1016/J.AOHEP.2020.01.001</w:t>
      </w:r>
    </w:p>
    <w:p w14:paraId="59E770F0">
      <w:pPr>
        <w:widowControl w:val="0"/>
        <w:rPr>
          <w:rFonts w:cs="Times New Roman"/>
          <w:szCs w:val="28"/>
          <w:highlight w:val="none"/>
          <w:lang w:val="en-US"/>
        </w:rPr>
      </w:pPr>
      <w:r>
        <w:rPr>
          <w:rFonts w:cs="Times New Roman"/>
          <w:szCs w:val="28"/>
          <w:highlight w:val="none"/>
          <w:lang w:val="en-US"/>
        </w:rPr>
        <w:t xml:space="preserve">22. </w:t>
      </w:r>
      <w:r>
        <w:rPr>
          <w:rStyle w:val="66"/>
          <w:rFonts w:cs="Times New Roman"/>
          <w:szCs w:val="28"/>
          <w:highlight w:val="none"/>
          <w:lang w:val="en-US"/>
        </w:rPr>
        <w:t>World Health Organization</w:t>
      </w:r>
      <w:r>
        <w:rPr>
          <w:rFonts w:cs="Times New Roman"/>
          <w:szCs w:val="28"/>
          <w:highlight w:val="none"/>
          <w:lang w:val="en-US"/>
        </w:rPr>
        <w:t xml:space="preserve">. </w:t>
      </w:r>
      <w:r>
        <w:rPr>
          <w:rStyle w:val="67"/>
          <w:rFonts w:cs="Times New Roman"/>
          <w:szCs w:val="28"/>
          <w:highlight w:val="none"/>
          <w:lang w:val="en-US"/>
        </w:rPr>
        <w:t xml:space="preserve">Hepatitis C fact sheet. </w:t>
      </w:r>
      <w:r>
        <w:rPr>
          <w:rFonts w:cs="Times New Roman"/>
          <w:szCs w:val="28"/>
          <w:highlight w:val="none"/>
          <w:lang w:val="en-US"/>
        </w:rPr>
        <w:t xml:space="preserve">2022. </w:t>
      </w:r>
      <w:r>
        <w:rPr>
          <w:rStyle w:val="67"/>
          <w:rFonts w:cs="Times New Roman"/>
          <w:szCs w:val="28"/>
          <w:highlight w:val="none"/>
          <w:lang w:val="en-US"/>
        </w:rPr>
        <w:t xml:space="preserve">URL: </w:t>
      </w:r>
      <w:r>
        <w:rPr>
          <w:highlight w:val="none"/>
        </w:rPr>
        <w:fldChar w:fldCharType="begin"/>
      </w:r>
      <w:r>
        <w:rPr>
          <w:highlight w:val="none"/>
        </w:rPr>
        <w:instrText xml:space="preserve"> HYPERLINK "http://www.who.int/news-room/fact-sheets/detail/hepatitis-c" </w:instrText>
      </w:r>
      <w:r>
        <w:rPr>
          <w:highlight w:val="none"/>
        </w:rPr>
        <w:fldChar w:fldCharType="separate"/>
      </w:r>
      <w:r>
        <w:rPr>
          <w:rStyle w:val="11"/>
          <w:rFonts w:cs="Times New Roman"/>
          <w:color w:val="auto"/>
          <w:szCs w:val="28"/>
          <w:highlight w:val="none"/>
          <w:u w:val="none"/>
          <w:lang w:val="en-US"/>
        </w:rPr>
        <w:t>http://www.who.int/news-room/fact-sheets/detail/hepatitis-c</w:t>
      </w:r>
      <w:r>
        <w:rPr>
          <w:rStyle w:val="11"/>
          <w:rFonts w:cs="Times New Roman"/>
          <w:color w:val="auto"/>
          <w:szCs w:val="28"/>
          <w:highlight w:val="none"/>
          <w:u w:val="none"/>
          <w:lang w:val="en-US"/>
        </w:rPr>
        <w:fldChar w:fldCharType="end"/>
      </w:r>
    </w:p>
    <w:p w14:paraId="44A4B19B">
      <w:pPr>
        <w:widowControl w:val="0"/>
        <w:rPr>
          <w:rFonts w:cs="Times New Roman"/>
          <w:szCs w:val="28"/>
          <w:highlight w:val="none"/>
          <w:lang w:val="en-US"/>
        </w:rPr>
      </w:pPr>
      <w:r>
        <w:rPr>
          <w:rFonts w:cs="Times New Roman"/>
          <w:szCs w:val="28"/>
          <w:highlight w:val="none"/>
          <w:lang w:val="en-US"/>
        </w:rPr>
        <w:t xml:space="preserve">23. </w:t>
      </w:r>
      <w:r>
        <w:rPr>
          <w:rStyle w:val="57"/>
          <w:rFonts w:cs="Times New Roman"/>
          <w:szCs w:val="28"/>
          <w:highlight w:val="none"/>
          <w:shd w:val="clear" w:color="auto" w:fill="FFFFFF"/>
          <w:lang w:val="en-US"/>
        </w:rPr>
        <w:t>Current prevalence of chronic hepatitis B and C virus infection in the general population, blood donors and pregnant women in the EU/EEA: a systematic review</w:t>
      </w:r>
      <w:r>
        <w:rPr>
          <w:rFonts w:cs="Times New Roman"/>
          <w:szCs w:val="28"/>
          <w:highlight w:val="none"/>
          <w:shd w:val="clear" w:color="auto" w:fill="FFFFFF"/>
          <w:lang w:val="en-US"/>
        </w:rPr>
        <w:t xml:space="preserve"> / </w:t>
      </w:r>
      <w:r>
        <w:rPr>
          <w:rStyle w:val="56"/>
          <w:rFonts w:cs="Times New Roman"/>
          <w:szCs w:val="28"/>
          <w:highlight w:val="none"/>
          <w:shd w:val="clear" w:color="auto" w:fill="FFFFFF"/>
          <w:lang w:val="en-US"/>
        </w:rPr>
        <w:t xml:space="preserve">S. H. I. Hofstraat et al. </w:t>
      </w:r>
      <w:r>
        <w:rPr>
          <w:rFonts w:cs="Times New Roman"/>
          <w:i/>
          <w:iCs/>
          <w:szCs w:val="28"/>
          <w:highlight w:val="none"/>
          <w:shd w:val="clear" w:color="auto" w:fill="FFFFFF"/>
          <w:lang w:val="en-US"/>
        </w:rPr>
        <w:t>Epidemiol Infect</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2017</w:t>
      </w:r>
      <w:r>
        <w:rPr>
          <w:rFonts w:cs="Times New Roman"/>
          <w:szCs w:val="28"/>
          <w:highlight w:val="none"/>
          <w:shd w:val="clear" w:color="auto" w:fill="FFFFFF"/>
          <w:lang w:val="en-US"/>
        </w:rPr>
        <w:t xml:space="preserve">. Vol. </w:t>
      </w:r>
      <w:r>
        <w:rPr>
          <w:rStyle w:val="59"/>
          <w:rFonts w:cs="Times New Roman"/>
          <w:bCs/>
          <w:szCs w:val="28"/>
          <w:highlight w:val="none"/>
          <w:shd w:val="clear" w:color="auto" w:fill="FFFFFF"/>
          <w:lang w:val="en-US"/>
        </w:rPr>
        <w:t>145</w:t>
      </w:r>
      <w:r>
        <w:rPr>
          <w:rFonts w:cs="Times New Roman"/>
          <w:szCs w:val="28"/>
          <w:highlight w:val="none"/>
          <w:shd w:val="clear" w:color="auto" w:fill="FFFFFF"/>
          <w:lang w:val="en-US"/>
        </w:rPr>
        <w:t xml:space="preserve">. P. </w:t>
      </w:r>
      <w:r>
        <w:rPr>
          <w:rStyle w:val="60"/>
          <w:rFonts w:cs="Times New Roman"/>
          <w:szCs w:val="28"/>
          <w:highlight w:val="none"/>
          <w:shd w:val="clear" w:color="auto" w:fill="FFFFFF"/>
          <w:lang w:val="en-US"/>
        </w:rPr>
        <w:t>2873</w:t>
      </w:r>
      <w:r>
        <w:rPr>
          <w:rFonts w:cs="Times New Roman"/>
          <w:szCs w:val="28"/>
          <w:highlight w:val="none"/>
          <w:lang w:val="en-US"/>
        </w:rPr>
        <w:t>–</w:t>
      </w:r>
      <w:r>
        <w:rPr>
          <w:rStyle w:val="61"/>
          <w:rFonts w:cs="Times New Roman"/>
          <w:szCs w:val="28"/>
          <w:highlight w:val="none"/>
          <w:shd w:val="clear" w:color="auto" w:fill="FFFFFF"/>
          <w:lang w:val="en-US"/>
        </w:rPr>
        <w:t>2885</w:t>
      </w:r>
      <w:r>
        <w:rPr>
          <w:rFonts w:cs="Times New Roman"/>
          <w:szCs w:val="28"/>
          <w:highlight w:val="none"/>
          <w:shd w:val="clear" w:color="auto" w:fill="FFFFFF"/>
          <w:lang w:val="en-US"/>
        </w:rPr>
        <w:t xml:space="preserve">. </w:t>
      </w:r>
      <w:r>
        <w:rPr>
          <w:rFonts w:cs="Times New Roman"/>
          <w:szCs w:val="28"/>
          <w:highlight w:val="none"/>
          <w:shd w:val="clear" w:color="auto" w:fill="CAE7FF"/>
          <w:lang w:val="en-US"/>
        </w:rPr>
        <w:t>doi: 10.1017/S0950268817001947</w:t>
      </w:r>
    </w:p>
    <w:p w14:paraId="72CC5914">
      <w:pPr>
        <w:widowControl w:val="0"/>
        <w:rPr>
          <w:rFonts w:cs="Times New Roman"/>
          <w:szCs w:val="28"/>
          <w:highlight w:val="none"/>
          <w:lang w:val="en-US"/>
        </w:rPr>
      </w:pPr>
      <w:r>
        <w:rPr>
          <w:rFonts w:cs="Times New Roman"/>
          <w:szCs w:val="28"/>
          <w:highlight w:val="none"/>
          <w:lang w:val="en-US"/>
        </w:rPr>
        <w:t xml:space="preserve">24. </w:t>
      </w:r>
      <w:r>
        <w:rPr>
          <w:rStyle w:val="66"/>
          <w:rFonts w:cs="Times New Roman"/>
          <w:szCs w:val="28"/>
          <w:highlight w:val="none"/>
          <w:shd w:val="clear" w:color="auto" w:fill="FFFFFF"/>
          <w:lang w:val="en-US"/>
        </w:rPr>
        <w:t>World Health Organization</w:t>
      </w:r>
      <w:r>
        <w:rPr>
          <w:rFonts w:cs="Times New Roman"/>
          <w:szCs w:val="28"/>
          <w:highlight w:val="none"/>
          <w:shd w:val="clear" w:color="auto" w:fill="FFFFFF"/>
          <w:lang w:val="en-US"/>
        </w:rPr>
        <w:t>. </w:t>
      </w:r>
      <w:r>
        <w:rPr>
          <w:rStyle w:val="67"/>
          <w:rFonts w:cs="Times New Roman"/>
          <w:szCs w:val="28"/>
          <w:highlight w:val="none"/>
          <w:shd w:val="clear" w:color="auto" w:fill="FFFFFF"/>
          <w:lang w:val="en-US"/>
        </w:rPr>
        <w:t>Web Annex B. WHO estimates of the prevalence and incidence of hepatitis C virus infection by WHO region</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2015</w:t>
      </w:r>
      <w:r>
        <w:rPr>
          <w:rFonts w:cs="Times New Roman"/>
          <w:szCs w:val="28"/>
          <w:highlight w:val="none"/>
          <w:shd w:val="clear" w:color="auto" w:fill="FFFFFF"/>
          <w:lang w:val="en-US"/>
        </w:rPr>
        <w:t xml:space="preserve">. Global hepatitis report 2017. </w:t>
      </w:r>
      <w:r>
        <w:rPr>
          <w:rFonts w:cs="Times New Roman"/>
          <w:szCs w:val="28"/>
          <w:highlight w:val="none"/>
          <w:lang w:val="en-US"/>
        </w:rPr>
        <w:t>2022. URL: </w:t>
      </w:r>
      <w:r>
        <w:rPr>
          <w:highlight w:val="none"/>
        </w:rPr>
        <w:fldChar w:fldCharType="begin"/>
      </w:r>
      <w:r>
        <w:rPr>
          <w:highlight w:val="none"/>
        </w:rPr>
        <w:instrText xml:space="preserve"> HYPERLINK "http://www.who.int/news-room/fact-sheets/detail/hepatitis-c" </w:instrText>
      </w:r>
      <w:r>
        <w:rPr>
          <w:highlight w:val="none"/>
        </w:rPr>
        <w:fldChar w:fldCharType="separate"/>
      </w:r>
      <w:r>
        <w:rPr>
          <w:rStyle w:val="11"/>
          <w:rFonts w:cs="Times New Roman"/>
          <w:color w:val="auto"/>
          <w:szCs w:val="28"/>
          <w:highlight w:val="none"/>
          <w:u w:val="none"/>
          <w:lang w:val="en-US"/>
        </w:rPr>
        <w:t>http://www.who.int/news-room/fact-sheets/detail/hepatitis-c</w:t>
      </w:r>
      <w:r>
        <w:rPr>
          <w:rStyle w:val="11"/>
          <w:rFonts w:cs="Times New Roman"/>
          <w:color w:val="auto"/>
          <w:szCs w:val="28"/>
          <w:highlight w:val="none"/>
          <w:u w:val="none"/>
          <w:lang w:val="en-US"/>
        </w:rPr>
        <w:fldChar w:fldCharType="end"/>
      </w:r>
    </w:p>
    <w:p w14:paraId="25D1A415">
      <w:pPr>
        <w:widowControl w:val="0"/>
        <w:rPr>
          <w:rFonts w:cs="Times New Roman"/>
          <w:szCs w:val="28"/>
          <w:highlight w:val="none"/>
          <w:lang w:val="en-US"/>
        </w:rPr>
      </w:pPr>
      <w:r>
        <w:rPr>
          <w:rFonts w:cs="Times New Roman"/>
          <w:szCs w:val="28"/>
          <w:highlight w:val="none"/>
          <w:lang w:val="en-US"/>
        </w:rPr>
        <w:t xml:space="preserve">25. Historical epidemiology of hepatitis C virus (HCV) in select countries / V. Saraswat et al. </w:t>
      </w:r>
      <w:r>
        <w:rPr>
          <w:rFonts w:cs="Times New Roman"/>
          <w:i/>
          <w:szCs w:val="28"/>
          <w:highlight w:val="none"/>
          <w:lang w:val="en-US"/>
        </w:rPr>
        <w:t>J. Viral Hepat</w:t>
      </w:r>
      <w:r>
        <w:rPr>
          <w:rFonts w:cs="Times New Roman"/>
          <w:szCs w:val="28"/>
          <w:highlight w:val="none"/>
          <w:lang w:val="en-US"/>
        </w:rPr>
        <w:t xml:space="preserve">. 2015. Vol. 1. P. 6–25. doi: </w:t>
      </w:r>
      <w:r>
        <w:rPr>
          <w:highlight w:val="none"/>
        </w:rPr>
        <w:fldChar w:fldCharType="begin"/>
      </w:r>
      <w:r>
        <w:rPr>
          <w:highlight w:val="none"/>
        </w:rPr>
        <w:instrText xml:space="preserve"> HYPERLINK "https://doi.org/10.1111/jvh.12350" </w:instrText>
      </w:r>
      <w:r>
        <w:rPr>
          <w:highlight w:val="none"/>
        </w:rPr>
        <w:fldChar w:fldCharType="separate"/>
      </w:r>
      <w:r>
        <w:rPr>
          <w:rStyle w:val="11"/>
          <w:rFonts w:cs="Times New Roman"/>
          <w:color w:val="auto"/>
          <w:szCs w:val="28"/>
          <w:highlight w:val="none"/>
          <w:u w:val="none"/>
          <w:lang w:val="en-US"/>
        </w:rPr>
        <w:t>https://doi.org/10.1111/jvh.12350</w:t>
      </w:r>
      <w:r>
        <w:rPr>
          <w:rStyle w:val="11"/>
          <w:rFonts w:cs="Times New Roman"/>
          <w:color w:val="auto"/>
          <w:szCs w:val="28"/>
          <w:highlight w:val="none"/>
          <w:u w:val="none"/>
          <w:lang w:val="en-US"/>
        </w:rPr>
        <w:fldChar w:fldCharType="end"/>
      </w:r>
    </w:p>
    <w:p w14:paraId="1D962AC6">
      <w:pPr>
        <w:widowControl w:val="0"/>
        <w:rPr>
          <w:rFonts w:cs="Times New Roman"/>
          <w:szCs w:val="28"/>
          <w:highlight w:val="none"/>
          <w:lang w:val="en-US"/>
        </w:rPr>
      </w:pPr>
      <w:r>
        <w:rPr>
          <w:rFonts w:cs="Times New Roman"/>
          <w:szCs w:val="28"/>
          <w:highlight w:val="none"/>
          <w:lang w:val="en-US"/>
        </w:rPr>
        <w:t xml:space="preserve">26. Historical epidemiology of hepatitis C virus in select countries-volume 4 / A. Maaroufi et al. </w:t>
      </w:r>
      <w:r>
        <w:rPr>
          <w:rFonts w:cs="Times New Roman"/>
          <w:i/>
          <w:szCs w:val="28"/>
          <w:highlight w:val="none"/>
          <w:lang w:val="en-US"/>
        </w:rPr>
        <w:t>J. Viral Hepat.</w:t>
      </w:r>
      <w:r>
        <w:rPr>
          <w:rFonts w:cs="Times New Roman"/>
          <w:szCs w:val="28"/>
          <w:highlight w:val="none"/>
          <w:lang w:val="en-US"/>
        </w:rPr>
        <w:t xml:space="preserve"> 2017. Vol. 24. P. 8–24. doi: </w:t>
      </w:r>
      <w:r>
        <w:rPr>
          <w:highlight w:val="none"/>
        </w:rPr>
        <w:fldChar w:fldCharType="begin"/>
      </w:r>
      <w:r>
        <w:rPr>
          <w:highlight w:val="none"/>
        </w:rPr>
        <w:instrText xml:space="preserve"> HYPERLINK "https://doi.org/10.1111/jvh.12762" </w:instrText>
      </w:r>
      <w:r>
        <w:rPr>
          <w:highlight w:val="none"/>
        </w:rPr>
        <w:fldChar w:fldCharType="separate"/>
      </w:r>
      <w:r>
        <w:rPr>
          <w:rStyle w:val="11"/>
          <w:rFonts w:cs="Times New Roman"/>
          <w:color w:val="auto"/>
          <w:szCs w:val="28"/>
          <w:highlight w:val="none"/>
          <w:u w:val="none"/>
          <w:lang w:val="en-US"/>
        </w:rPr>
        <w:t>https://doi.org/10.1111/jvh.12762</w:t>
      </w:r>
      <w:r>
        <w:rPr>
          <w:rStyle w:val="11"/>
          <w:rFonts w:cs="Times New Roman"/>
          <w:color w:val="auto"/>
          <w:szCs w:val="28"/>
          <w:highlight w:val="none"/>
          <w:u w:val="none"/>
          <w:lang w:val="en-US"/>
        </w:rPr>
        <w:fldChar w:fldCharType="end"/>
      </w:r>
    </w:p>
    <w:p w14:paraId="344DDD08">
      <w:pPr>
        <w:widowControl w:val="0"/>
        <w:rPr>
          <w:rFonts w:cs="Times New Roman"/>
          <w:szCs w:val="28"/>
          <w:highlight w:val="none"/>
          <w:lang w:val="en-US"/>
        </w:rPr>
      </w:pPr>
      <w:r>
        <w:rPr>
          <w:rFonts w:cs="Times New Roman"/>
          <w:szCs w:val="28"/>
          <w:highlight w:val="none"/>
          <w:lang w:val="en-US"/>
        </w:rPr>
        <w:t xml:space="preserve">27. Renau L. P., Berenguer M. Introduction to hepatitis C virus infection: Overview and history of hepatitis C virus therapies. </w:t>
      </w:r>
      <w:r>
        <w:rPr>
          <w:rFonts w:cs="Times New Roman"/>
          <w:i/>
          <w:szCs w:val="28"/>
          <w:highlight w:val="none"/>
          <w:lang w:val="en-US"/>
        </w:rPr>
        <w:t>Hemodialysis International</w:t>
      </w:r>
      <w:r>
        <w:rPr>
          <w:rFonts w:cs="Times New Roman"/>
          <w:szCs w:val="28"/>
          <w:highlight w:val="none"/>
          <w:lang w:val="en-US"/>
        </w:rPr>
        <w:t>. 2018. Vol. 22. P. S8–S21. doi:10.1111/hdi.12647</w:t>
      </w:r>
    </w:p>
    <w:p w14:paraId="34B0AE97">
      <w:pPr>
        <w:widowControl w:val="0"/>
        <w:rPr>
          <w:rFonts w:cs="Times New Roman"/>
          <w:szCs w:val="28"/>
          <w:highlight w:val="none"/>
          <w:lang w:val="en-US"/>
        </w:rPr>
      </w:pPr>
      <w:r>
        <w:rPr>
          <w:rFonts w:cs="Times New Roman"/>
          <w:szCs w:val="28"/>
          <w:highlight w:val="none"/>
          <w:lang w:val="en-US"/>
        </w:rPr>
        <w:t xml:space="preserve">28. </w:t>
      </w:r>
      <w:r>
        <w:rPr>
          <w:rFonts w:cs="Times New Roman"/>
          <w:szCs w:val="28"/>
          <w:highlight w:val="none"/>
          <w:shd w:val="clear" w:color="auto" w:fill="FFFFFF"/>
          <w:lang w:val="en-US"/>
        </w:rPr>
        <w:t xml:space="preserve">Prevalence of Hepatitis C Virus Infection in US States and the District of Columbia, 2013 to 2016 / E. S. Rosenberg et al. </w:t>
      </w:r>
      <w:r>
        <w:rPr>
          <w:rStyle w:val="10"/>
          <w:rFonts w:cs="Times New Roman"/>
          <w:szCs w:val="28"/>
          <w:highlight w:val="none"/>
          <w:shd w:val="clear" w:color="auto" w:fill="FFFFFF"/>
          <w:lang w:val="en-US"/>
        </w:rPr>
        <w:t>JAMA Netw Open.</w:t>
      </w:r>
      <w:r>
        <w:rPr>
          <w:rFonts w:cs="Times New Roman"/>
          <w:szCs w:val="28"/>
          <w:highlight w:val="none"/>
          <w:shd w:val="clear" w:color="auto" w:fill="FFFFFF"/>
          <w:lang w:val="en-US"/>
        </w:rPr>
        <w:t> 2018. Vol. 1 (8). e186371. doi: 10.1001/jamanetworkopen.2018.6371</w:t>
      </w:r>
      <w:r>
        <w:rPr>
          <w:rFonts w:cs="Times New Roman"/>
          <w:szCs w:val="28"/>
          <w:highlight w:val="none"/>
          <w:lang w:val="en-US"/>
        </w:rPr>
        <w:t xml:space="preserve"> </w:t>
      </w:r>
    </w:p>
    <w:p w14:paraId="7147EDF2">
      <w:pPr>
        <w:widowControl w:val="0"/>
        <w:rPr>
          <w:rFonts w:cs="Times New Roman"/>
          <w:szCs w:val="28"/>
          <w:highlight w:val="none"/>
          <w:lang w:val="en-US"/>
        </w:rPr>
      </w:pPr>
      <w:r>
        <w:rPr>
          <w:rFonts w:cs="Times New Roman"/>
          <w:szCs w:val="28"/>
          <w:highlight w:val="none"/>
          <w:lang w:val="en-US"/>
        </w:rPr>
        <w:t xml:space="preserve">29. </w:t>
      </w:r>
      <w:r>
        <w:rPr>
          <w:rFonts w:cs="Times New Roman"/>
          <w:szCs w:val="28"/>
          <w:highlight w:val="none"/>
          <w:shd w:val="clear" w:color="auto" w:fill="FFFFFF"/>
          <w:lang w:val="en-US"/>
        </w:rPr>
        <w:t xml:space="preserve">CDC. Viral hepatitis surveillance—United States, 2017. Atlanta, GA: US Department of Health and Human Services, CDC. 2019. URL: </w:t>
      </w:r>
      <w:r>
        <w:rPr>
          <w:highlight w:val="none"/>
        </w:rPr>
        <w:fldChar w:fldCharType="begin"/>
      </w:r>
      <w:r>
        <w:rPr>
          <w:highlight w:val="none"/>
        </w:rPr>
        <w:instrText xml:space="preserve"> HYPERLINK "https://www.cdc.gov/hepatitis/statistics/2017surveillance/index.htm" \t "_blank" </w:instrText>
      </w:r>
      <w:r>
        <w:rPr>
          <w:highlight w:val="none"/>
        </w:rPr>
        <w:fldChar w:fldCharType="separate"/>
      </w:r>
      <w:r>
        <w:rPr>
          <w:rStyle w:val="11"/>
          <w:rFonts w:cs="Times New Roman"/>
          <w:color w:val="auto"/>
          <w:szCs w:val="28"/>
          <w:highlight w:val="none"/>
          <w:u w:val="none"/>
          <w:shd w:val="clear" w:color="auto" w:fill="FFFFFF"/>
          <w:lang w:val="en-US"/>
        </w:rPr>
        <w:t>https://www.cdc.gov/hepatitis/statistics/2017surveillance/index.htm</w:t>
      </w:r>
      <w:r>
        <w:rPr>
          <w:rStyle w:val="11"/>
          <w:rFonts w:cs="Times New Roman"/>
          <w:color w:val="auto"/>
          <w:szCs w:val="28"/>
          <w:highlight w:val="none"/>
          <w:u w:val="none"/>
          <w:shd w:val="clear" w:color="auto" w:fill="FFFFFF"/>
          <w:lang w:val="en-US"/>
        </w:rPr>
        <w:fldChar w:fldCharType="end"/>
      </w:r>
    </w:p>
    <w:p w14:paraId="7691E7B3">
      <w:pPr>
        <w:widowControl w:val="0"/>
        <w:rPr>
          <w:rFonts w:cs="Times New Roman"/>
          <w:szCs w:val="28"/>
          <w:highlight w:val="none"/>
          <w:lang w:val="en-US"/>
        </w:rPr>
      </w:pPr>
      <w:r>
        <w:rPr>
          <w:rFonts w:cs="Times New Roman"/>
          <w:szCs w:val="28"/>
          <w:highlight w:val="none"/>
          <w:lang w:val="en-US"/>
        </w:rPr>
        <w:t xml:space="preserve">30. </w:t>
      </w:r>
      <w:r>
        <w:rPr>
          <w:rStyle w:val="48"/>
          <w:rFonts w:cs="Times New Roman"/>
          <w:szCs w:val="28"/>
          <w:highlight w:val="none"/>
          <w:shd w:val="clear" w:color="auto" w:fill="FFFFFF"/>
          <w:lang w:val="en-US"/>
        </w:rPr>
        <w:t>Estimating prevalence of hepatitis C virus infection in the United States, 2013–2016 /</w:t>
      </w:r>
      <w:r>
        <w:rPr>
          <w:rFonts w:cs="Times New Roman"/>
          <w:szCs w:val="28"/>
          <w:highlight w:val="none"/>
          <w:shd w:val="clear" w:color="auto" w:fill="FFFFFF"/>
          <w:lang w:val="en-US"/>
        </w:rPr>
        <w:t xml:space="preserve"> M. G. Hofmeister et al. </w:t>
      </w:r>
      <w:r>
        <w:rPr>
          <w:rStyle w:val="49"/>
          <w:rFonts w:cs="Times New Roman"/>
          <w:i/>
          <w:iCs/>
          <w:szCs w:val="28"/>
          <w:highlight w:val="none"/>
          <w:shd w:val="clear" w:color="auto" w:fill="FFFFFF"/>
          <w:lang w:val="en-US"/>
        </w:rPr>
        <w:t>Hepatology</w:t>
      </w:r>
      <w:r>
        <w:rPr>
          <w:rFonts w:cs="Times New Roman"/>
          <w:szCs w:val="28"/>
          <w:highlight w:val="none"/>
          <w:shd w:val="clear" w:color="auto" w:fill="FFFFFF"/>
          <w:lang w:val="en-US"/>
        </w:rPr>
        <w:t xml:space="preserve">. 2019. Vol. </w:t>
      </w:r>
      <w:r>
        <w:rPr>
          <w:rStyle w:val="50"/>
          <w:rFonts w:cs="Times New Roman"/>
          <w:szCs w:val="28"/>
          <w:highlight w:val="none"/>
          <w:shd w:val="clear" w:color="auto" w:fill="FFFFFF"/>
          <w:lang w:val="en-US"/>
        </w:rPr>
        <w:t>69</w:t>
      </w:r>
      <w:r>
        <w:rPr>
          <w:rFonts w:cs="Times New Roman"/>
          <w:szCs w:val="28"/>
          <w:highlight w:val="none"/>
          <w:shd w:val="clear" w:color="auto" w:fill="FFFFFF"/>
          <w:lang w:val="en-US"/>
        </w:rPr>
        <w:t>. P. 1020–1031. doi: 10.1002/hep.30297</w:t>
      </w:r>
    </w:p>
    <w:p w14:paraId="3A3A9091">
      <w:pPr>
        <w:widowControl w:val="0"/>
        <w:rPr>
          <w:rFonts w:cs="Times New Roman"/>
          <w:szCs w:val="28"/>
          <w:highlight w:val="none"/>
          <w:lang w:val="en-US"/>
        </w:rPr>
      </w:pPr>
      <w:r>
        <w:rPr>
          <w:rFonts w:cs="Times New Roman"/>
          <w:szCs w:val="28"/>
          <w:highlight w:val="none"/>
          <w:lang w:val="en-US"/>
        </w:rPr>
        <w:t>31.</w:t>
      </w:r>
      <w:r>
        <w:rPr>
          <w:rStyle w:val="66"/>
          <w:rFonts w:cs="Times New Roman"/>
          <w:szCs w:val="28"/>
          <w:highlight w:val="none"/>
          <w:shd w:val="clear" w:color="auto" w:fill="FFFFFF"/>
          <w:lang w:val="en-US"/>
        </w:rPr>
        <w:t xml:space="preserve"> Centers for Disease Control and Prevention</w:t>
      </w:r>
      <w:r>
        <w:rPr>
          <w:rFonts w:cs="Times New Roman"/>
          <w:szCs w:val="28"/>
          <w:highlight w:val="none"/>
          <w:shd w:val="clear" w:color="auto" w:fill="FFFFFF"/>
          <w:lang w:val="en-US"/>
        </w:rPr>
        <w:t>. </w:t>
      </w:r>
      <w:r>
        <w:rPr>
          <w:rStyle w:val="67"/>
          <w:rFonts w:cs="Times New Roman"/>
          <w:szCs w:val="28"/>
          <w:highlight w:val="none"/>
          <w:shd w:val="clear" w:color="auto" w:fill="FFFFFF"/>
          <w:lang w:val="en-US"/>
        </w:rPr>
        <w:t>Surveillance for viral hepatitis—United States, 2017</w:t>
      </w:r>
      <w:r>
        <w:rPr>
          <w:rFonts w:cs="Times New Roman"/>
          <w:szCs w:val="28"/>
          <w:highlight w:val="none"/>
          <w:shd w:val="clear" w:color="auto" w:fill="FFFFFF"/>
          <w:lang w:val="en-US"/>
        </w:rPr>
        <w:t xml:space="preserve">. Division of Viral Hepatitis. </w:t>
      </w:r>
      <w:r>
        <w:rPr>
          <w:rStyle w:val="58"/>
          <w:rFonts w:cs="Times New Roman"/>
          <w:szCs w:val="28"/>
          <w:highlight w:val="none"/>
          <w:shd w:val="clear" w:color="auto" w:fill="FFFFFF"/>
          <w:lang w:val="en-US"/>
        </w:rPr>
        <w:t>2018</w:t>
      </w:r>
      <w:r>
        <w:rPr>
          <w:rFonts w:cs="Times New Roman"/>
          <w:szCs w:val="28"/>
          <w:highlight w:val="none"/>
          <w:shd w:val="clear" w:color="auto" w:fill="FFFFFF"/>
          <w:lang w:val="en-US"/>
        </w:rPr>
        <w:t xml:space="preserve">. URL: </w:t>
      </w:r>
      <w:r>
        <w:rPr>
          <w:highlight w:val="none"/>
        </w:rPr>
        <w:fldChar w:fldCharType="begin"/>
      </w:r>
      <w:r>
        <w:rPr>
          <w:highlight w:val="none"/>
        </w:rPr>
        <w:instrText xml:space="preserve"> HYPERLINK "http://www.cdc.gov/hepatitis/Statistics/2011Surveillance/Commentary.htm" </w:instrText>
      </w:r>
      <w:r>
        <w:rPr>
          <w:highlight w:val="none"/>
        </w:rPr>
        <w:fldChar w:fldCharType="separate"/>
      </w:r>
      <w:r>
        <w:rPr>
          <w:rStyle w:val="11"/>
          <w:rFonts w:cs="Times New Roman"/>
          <w:color w:val="auto"/>
          <w:szCs w:val="28"/>
          <w:highlight w:val="none"/>
          <w:u w:val="none"/>
          <w:shd w:val="clear" w:color="auto" w:fill="FFFFFF"/>
          <w:lang w:val="en-US"/>
        </w:rPr>
        <w:t>http://www.cdc.gov/hepatitis/Statistics/2011Surveillance/Commentary.htm</w:t>
      </w:r>
      <w:r>
        <w:rPr>
          <w:rStyle w:val="11"/>
          <w:rFonts w:cs="Times New Roman"/>
          <w:color w:val="auto"/>
          <w:szCs w:val="28"/>
          <w:highlight w:val="none"/>
          <w:u w:val="none"/>
          <w:shd w:val="clear" w:color="auto" w:fill="FFFFFF"/>
          <w:lang w:val="en-US"/>
        </w:rPr>
        <w:fldChar w:fldCharType="end"/>
      </w:r>
    </w:p>
    <w:p w14:paraId="2792227C">
      <w:pPr>
        <w:widowControl w:val="0"/>
        <w:rPr>
          <w:rFonts w:cs="Times New Roman"/>
          <w:szCs w:val="28"/>
          <w:highlight w:val="none"/>
          <w:lang w:val="en-US"/>
        </w:rPr>
      </w:pPr>
      <w:r>
        <w:rPr>
          <w:rFonts w:cs="Times New Roman"/>
          <w:szCs w:val="28"/>
          <w:highlight w:val="none"/>
          <w:shd w:val="clear" w:color="auto" w:fill="FFFFFF"/>
          <w:lang w:val="en-US"/>
        </w:rPr>
        <w:t xml:space="preserve">32. Vital Signs: Newly Reported Acute and Chronic Hepatitis C Cases – United States, 2009-2018 / A. B Ryerson et al. </w:t>
      </w:r>
      <w:r>
        <w:rPr>
          <w:rFonts w:cs="Times New Roman"/>
          <w:i/>
          <w:szCs w:val="28"/>
          <w:highlight w:val="none"/>
          <w:shd w:val="clear" w:color="auto" w:fill="FFFFFF"/>
          <w:lang w:val="en-US"/>
        </w:rPr>
        <w:t>MMWR Morb Mortal Wkly Rep.</w:t>
      </w:r>
      <w:r>
        <w:rPr>
          <w:rFonts w:cs="Times New Roman"/>
          <w:szCs w:val="28"/>
          <w:highlight w:val="none"/>
          <w:shd w:val="clear" w:color="auto" w:fill="FFFFFF"/>
          <w:lang w:val="en-US"/>
        </w:rPr>
        <w:t xml:space="preserve"> 2020. Vol. 10, № 69 (14). Р. 399</w:t>
      </w:r>
      <w:r>
        <w:rPr>
          <w:rFonts w:cs="Times New Roman"/>
          <w:szCs w:val="28"/>
          <w:highlight w:val="none"/>
          <w:lang w:val="en-US"/>
        </w:rPr>
        <w:t>–</w:t>
      </w:r>
      <w:r>
        <w:rPr>
          <w:rFonts w:cs="Times New Roman"/>
          <w:szCs w:val="28"/>
          <w:highlight w:val="none"/>
          <w:shd w:val="clear" w:color="auto" w:fill="FFFFFF"/>
          <w:lang w:val="en-US"/>
        </w:rPr>
        <w:t>404. doi: 10.15585/mmwr.mm6914a2</w:t>
      </w:r>
    </w:p>
    <w:p w14:paraId="5A0D247C">
      <w:pPr>
        <w:widowControl w:val="0"/>
        <w:rPr>
          <w:rFonts w:cs="Times New Roman"/>
          <w:szCs w:val="28"/>
          <w:highlight w:val="none"/>
          <w:lang w:val="en-US"/>
        </w:rPr>
      </w:pPr>
      <w:r>
        <w:rPr>
          <w:rFonts w:cs="Times New Roman"/>
          <w:szCs w:val="28"/>
          <w:highlight w:val="none"/>
          <w:lang w:val="en-US"/>
        </w:rPr>
        <w:t xml:space="preserve">33. </w:t>
      </w:r>
      <w:r>
        <w:rPr>
          <w:rFonts w:cs="Times New Roman"/>
          <w:szCs w:val="28"/>
          <w:highlight w:val="none"/>
          <w:shd w:val="clear" w:color="auto" w:fill="FFFFFF"/>
          <w:lang w:val="en-US"/>
        </w:rPr>
        <w:t xml:space="preserve">CDC. Viral hepatitis surveillance—United States, 2017. Atlanta, GA: US Department of Health and Human Services, CDC; 2019. URL: </w:t>
      </w:r>
      <w:r>
        <w:rPr>
          <w:highlight w:val="none"/>
        </w:rPr>
        <w:fldChar w:fldCharType="begin"/>
      </w:r>
      <w:r>
        <w:rPr>
          <w:highlight w:val="none"/>
        </w:rPr>
        <w:instrText xml:space="preserve"> HYPERLINK "https://www.cdc.gov/hepatitis/statistics/2017surveillance/index.htm" \t "_blank" </w:instrText>
      </w:r>
      <w:r>
        <w:rPr>
          <w:highlight w:val="none"/>
        </w:rPr>
        <w:fldChar w:fldCharType="separate"/>
      </w:r>
      <w:r>
        <w:rPr>
          <w:rStyle w:val="11"/>
          <w:rFonts w:cs="Times New Roman"/>
          <w:color w:val="auto"/>
          <w:szCs w:val="28"/>
          <w:highlight w:val="none"/>
          <w:u w:val="none"/>
          <w:shd w:val="clear" w:color="auto" w:fill="FFFFFF"/>
          <w:lang w:val="en-US"/>
        </w:rPr>
        <w:t>https://www.cdc.gov/hepatitis/statistics/2017surveillance/index.htm</w:t>
      </w:r>
      <w:r>
        <w:rPr>
          <w:rStyle w:val="11"/>
          <w:rFonts w:cs="Times New Roman"/>
          <w:color w:val="auto"/>
          <w:szCs w:val="28"/>
          <w:highlight w:val="none"/>
          <w:u w:val="none"/>
          <w:shd w:val="clear" w:color="auto" w:fill="FFFFFF"/>
          <w:lang w:val="en-US"/>
        </w:rPr>
        <w:fldChar w:fldCharType="end"/>
      </w:r>
    </w:p>
    <w:p w14:paraId="36A79E2F">
      <w:pPr>
        <w:widowControl w:val="0"/>
        <w:rPr>
          <w:rFonts w:cs="Times New Roman"/>
          <w:szCs w:val="28"/>
          <w:highlight w:val="none"/>
          <w:lang w:val="en-US"/>
        </w:rPr>
      </w:pPr>
      <w:r>
        <w:rPr>
          <w:rFonts w:cs="Times New Roman"/>
          <w:szCs w:val="28"/>
          <w:highlight w:val="none"/>
          <w:lang w:val="en-US"/>
        </w:rPr>
        <w:t xml:space="preserve">34. </w:t>
      </w:r>
      <w:r>
        <w:rPr>
          <w:rFonts w:cs="Times New Roman"/>
          <w:bCs/>
          <w:szCs w:val="28"/>
          <w:highlight w:val="none"/>
          <w:lang w:val="en-US"/>
        </w:rPr>
        <w:t xml:space="preserve">Extrahepatic manifestations of chronic hepatitis C virus infection / </w:t>
      </w:r>
      <w:r>
        <w:rPr>
          <w:rFonts w:cs="Times New Roman"/>
          <w:szCs w:val="28"/>
          <w:highlight w:val="none"/>
          <w:lang w:val="en-US"/>
        </w:rPr>
        <w:t>P. Cacoub</w:t>
      </w:r>
      <w:r>
        <w:rPr>
          <w:rFonts w:cs="Times New Roman"/>
          <w:iCs/>
          <w:szCs w:val="28"/>
          <w:highlight w:val="none"/>
          <w:lang w:val="en-US"/>
        </w:rPr>
        <w:t xml:space="preserve"> et al. </w:t>
      </w:r>
      <w:r>
        <w:rPr>
          <w:rFonts w:cs="Times New Roman"/>
          <w:i/>
          <w:szCs w:val="28"/>
          <w:highlight w:val="none"/>
          <w:lang w:val="en-US"/>
        </w:rPr>
        <w:t>Ther Adv Infect Dis</w:t>
      </w:r>
      <w:r>
        <w:rPr>
          <w:rFonts w:cs="Times New Roman"/>
          <w:szCs w:val="28"/>
          <w:highlight w:val="none"/>
          <w:lang w:val="en-US"/>
        </w:rPr>
        <w:t xml:space="preserve">. 2016. Vol. 3. P. 3–14. doi: </w:t>
      </w:r>
      <w:r>
        <w:rPr>
          <w:highlight w:val="none"/>
        </w:rPr>
        <w:fldChar w:fldCharType="begin"/>
      </w:r>
      <w:r>
        <w:rPr>
          <w:highlight w:val="none"/>
        </w:rPr>
        <w:instrText xml:space="preserve"> HYPERLINK "https://doi.org/10.1177/2049936115585942" </w:instrText>
      </w:r>
      <w:r>
        <w:rPr>
          <w:highlight w:val="none"/>
        </w:rPr>
        <w:fldChar w:fldCharType="separate"/>
      </w:r>
      <w:r>
        <w:rPr>
          <w:rStyle w:val="11"/>
          <w:rFonts w:cs="Times New Roman"/>
          <w:color w:val="auto"/>
          <w:szCs w:val="28"/>
          <w:highlight w:val="none"/>
          <w:u w:val="none"/>
          <w:shd w:val="clear" w:color="auto" w:fill="FFFFFF"/>
          <w:lang w:val="en-US"/>
        </w:rPr>
        <w:t>https://doi.org/10.1177/2049936115585942</w:t>
      </w:r>
      <w:r>
        <w:rPr>
          <w:rStyle w:val="11"/>
          <w:rFonts w:cs="Times New Roman"/>
          <w:color w:val="auto"/>
          <w:szCs w:val="28"/>
          <w:highlight w:val="none"/>
          <w:u w:val="none"/>
          <w:shd w:val="clear" w:color="auto" w:fill="FFFFFF"/>
          <w:lang w:val="en-US"/>
        </w:rPr>
        <w:fldChar w:fldCharType="end"/>
      </w:r>
    </w:p>
    <w:p w14:paraId="5D803188">
      <w:pPr>
        <w:widowControl w:val="0"/>
        <w:rPr>
          <w:rFonts w:cs="Times New Roman"/>
          <w:szCs w:val="28"/>
          <w:highlight w:val="none"/>
          <w:lang w:val="en-US"/>
        </w:rPr>
      </w:pPr>
      <w:r>
        <w:rPr>
          <w:rFonts w:cs="Times New Roman"/>
          <w:szCs w:val="28"/>
          <w:highlight w:val="none"/>
          <w:lang w:val="en-US"/>
        </w:rPr>
        <w:t xml:space="preserve">35. </w:t>
      </w:r>
      <w:r>
        <w:rPr>
          <w:rStyle w:val="56"/>
          <w:rFonts w:cs="Times New Roman"/>
          <w:szCs w:val="28"/>
          <w:highlight w:val="none"/>
          <w:lang w:val="en-US"/>
        </w:rPr>
        <w:t>Younossi Z. M.</w:t>
      </w:r>
      <w:r>
        <w:rPr>
          <w:rFonts w:cs="Times New Roman"/>
          <w:szCs w:val="28"/>
          <w:highlight w:val="none"/>
          <w:lang w:val="en-US"/>
        </w:rPr>
        <w:t>, </w:t>
      </w:r>
      <w:r>
        <w:rPr>
          <w:rStyle w:val="56"/>
          <w:rFonts w:cs="Times New Roman"/>
          <w:szCs w:val="28"/>
          <w:highlight w:val="none"/>
          <w:lang w:val="en-US"/>
        </w:rPr>
        <w:t>Birerdinc A.</w:t>
      </w:r>
      <w:r>
        <w:rPr>
          <w:rFonts w:cs="Times New Roman"/>
          <w:szCs w:val="28"/>
          <w:highlight w:val="none"/>
          <w:lang w:val="en-US"/>
        </w:rPr>
        <w:t>, </w:t>
      </w:r>
      <w:r>
        <w:rPr>
          <w:rStyle w:val="56"/>
          <w:rFonts w:cs="Times New Roman"/>
          <w:szCs w:val="28"/>
          <w:highlight w:val="none"/>
          <w:lang w:val="en-US"/>
        </w:rPr>
        <w:t>Henry L</w:t>
      </w:r>
      <w:r>
        <w:rPr>
          <w:rFonts w:cs="Times New Roman"/>
          <w:szCs w:val="28"/>
          <w:highlight w:val="none"/>
          <w:lang w:val="en-US"/>
        </w:rPr>
        <w:t>. </w:t>
      </w:r>
      <w:r>
        <w:rPr>
          <w:rStyle w:val="57"/>
          <w:rFonts w:cs="Times New Roman"/>
          <w:szCs w:val="28"/>
          <w:highlight w:val="none"/>
          <w:lang w:val="en-US"/>
        </w:rPr>
        <w:t>Hepatitis C infection: a multi-faceted systemic disease with clinical, patient reported and economic consequences</w:t>
      </w:r>
      <w:r>
        <w:rPr>
          <w:rFonts w:cs="Times New Roman"/>
          <w:szCs w:val="28"/>
          <w:highlight w:val="none"/>
          <w:lang w:val="en-US"/>
        </w:rPr>
        <w:t>. </w:t>
      </w:r>
      <w:r>
        <w:rPr>
          <w:rFonts w:cs="Times New Roman"/>
          <w:i/>
          <w:iCs/>
          <w:szCs w:val="28"/>
          <w:highlight w:val="none"/>
          <w:lang w:val="en-US"/>
        </w:rPr>
        <w:t>J Hepatol</w:t>
      </w:r>
      <w:r>
        <w:rPr>
          <w:rFonts w:cs="Times New Roman"/>
          <w:szCs w:val="28"/>
          <w:highlight w:val="none"/>
          <w:lang w:val="en-US"/>
        </w:rPr>
        <w:t>. </w:t>
      </w:r>
      <w:r>
        <w:rPr>
          <w:rStyle w:val="58"/>
          <w:rFonts w:cs="Times New Roman"/>
          <w:szCs w:val="28"/>
          <w:highlight w:val="none"/>
          <w:lang w:val="en-US"/>
        </w:rPr>
        <w:t>2016</w:t>
      </w:r>
      <w:r>
        <w:rPr>
          <w:rFonts w:cs="Times New Roman"/>
          <w:szCs w:val="28"/>
          <w:highlight w:val="none"/>
          <w:lang w:val="en-US"/>
        </w:rPr>
        <w:t xml:space="preserve">. Vol. </w:t>
      </w:r>
      <w:r>
        <w:rPr>
          <w:rStyle w:val="59"/>
          <w:rFonts w:cs="Times New Roman"/>
          <w:bCs/>
          <w:szCs w:val="28"/>
          <w:highlight w:val="none"/>
          <w:lang w:val="en-US"/>
        </w:rPr>
        <w:t>65</w:t>
      </w:r>
      <w:r>
        <w:rPr>
          <w:rFonts w:cs="Times New Roman"/>
          <w:szCs w:val="28"/>
          <w:highlight w:val="none"/>
          <w:lang w:val="en-US"/>
        </w:rPr>
        <w:t xml:space="preserve">, </w:t>
      </w:r>
      <w:r>
        <w:rPr>
          <w:rStyle w:val="62"/>
          <w:rFonts w:cs="Times New Roman"/>
          <w:szCs w:val="28"/>
          <w:highlight w:val="none"/>
          <w:lang w:val="en-US"/>
        </w:rPr>
        <w:t>1 Suppl</w:t>
      </w:r>
      <w:r>
        <w:rPr>
          <w:rFonts w:cs="Times New Roman"/>
          <w:szCs w:val="28"/>
          <w:highlight w:val="none"/>
          <w:lang w:val="en-US"/>
        </w:rPr>
        <w:t>. P. </w:t>
      </w:r>
      <w:r>
        <w:rPr>
          <w:rStyle w:val="60"/>
          <w:rFonts w:cs="Times New Roman"/>
          <w:szCs w:val="28"/>
          <w:highlight w:val="none"/>
          <w:lang w:val="en-US"/>
        </w:rPr>
        <w:t>S109</w:t>
      </w:r>
      <w:r>
        <w:rPr>
          <w:rFonts w:cs="Times New Roman"/>
          <w:szCs w:val="28"/>
          <w:highlight w:val="none"/>
          <w:lang w:val="en-US"/>
        </w:rPr>
        <w:t>–</w:t>
      </w:r>
      <w:r>
        <w:rPr>
          <w:rStyle w:val="61"/>
          <w:rFonts w:cs="Times New Roman"/>
          <w:szCs w:val="28"/>
          <w:highlight w:val="none"/>
          <w:lang w:val="en-US"/>
        </w:rPr>
        <w:t>S119</w:t>
      </w:r>
      <w:r>
        <w:rPr>
          <w:rFonts w:cs="Times New Roman"/>
          <w:szCs w:val="28"/>
          <w:highlight w:val="none"/>
          <w:lang w:val="en-US"/>
        </w:rPr>
        <w:t>.</w:t>
      </w:r>
      <w:r>
        <w:rPr>
          <w:rStyle w:val="53"/>
          <w:rFonts w:cs="Times New Roman"/>
          <w:szCs w:val="28"/>
          <w:highlight w:val="none"/>
          <w:lang w:val="en-US"/>
        </w:rPr>
        <w:t xml:space="preserve"> doi: </w:t>
      </w:r>
      <w:r>
        <w:rPr>
          <w:highlight w:val="none"/>
        </w:rPr>
        <w:fldChar w:fldCharType="begin"/>
      </w:r>
      <w:r>
        <w:rPr>
          <w:highlight w:val="none"/>
        </w:rPr>
        <w:instrText xml:space="preserve"> HYPERLINK "https://doi.org/10.1016/j.jhep.2016.07.005" \t "_blank" </w:instrText>
      </w:r>
      <w:r>
        <w:rPr>
          <w:highlight w:val="none"/>
        </w:rPr>
        <w:fldChar w:fldCharType="separate"/>
      </w:r>
      <w:r>
        <w:rPr>
          <w:rStyle w:val="11"/>
          <w:rFonts w:cs="Times New Roman"/>
          <w:color w:val="auto"/>
          <w:szCs w:val="28"/>
          <w:highlight w:val="none"/>
          <w:u w:val="none"/>
          <w:lang w:val="en-US"/>
        </w:rPr>
        <w:t>10.1016/j.jhep.2016.07.005</w:t>
      </w:r>
      <w:r>
        <w:rPr>
          <w:rStyle w:val="11"/>
          <w:rFonts w:cs="Times New Roman"/>
          <w:color w:val="auto"/>
          <w:szCs w:val="28"/>
          <w:highlight w:val="none"/>
          <w:u w:val="none"/>
          <w:lang w:val="en-US"/>
        </w:rPr>
        <w:fldChar w:fldCharType="end"/>
      </w:r>
    </w:p>
    <w:p w14:paraId="78E09159">
      <w:pPr>
        <w:widowControl w:val="0"/>
        <w:rPr>
          <w:rFonts w:cs="Times New Roman"/>
          <w:szCs w:val="28"/>
          <w:highlight w:val="none"/>
          <w:lang w:val="en-US"/>
        </w:rPr>
      </w:pPr>
      <w:r>
        <w:rPr>
          <w:rFonts w:cs="Times New Roman"/>
          <w:szCs w:val="28"/>
          <w:highlight w:val="none"/>
          <w:lang w:val="en-US"/>
        </w:rPr>
        <w:t xml:space="preserve">36. </w:t>
      </w:r>
      <w:r>
        <w:rPr>
          <w:rStyle w:val="56"/>
          <w:rFonts w:cs="Times New Roman"/>
          <w:szCs w:val="28"/>
          <w:highlight w:val="none"/>
          <w:lang w:val="en-US"/>
        </w:rPr>
        <w:t>Younossi Z. M.</w:t>
      </w:r>
      <w:r>
        <w:rPr>
          <w:rFonts w:cs="Times New Roman"/>
          <w:szCs w:val="28"/>
          <w:highlight w:val="none"/>
          <w:lang w:val="en-US"/>
        </w:rPr>
        <w:t>, </w:t>
      </w:r>
      <w:r>
        <w:rPr>
          <w:rStyle w:val="56"/>
          <w:rFonts w:cs="Times New Roman"/>
          <w:szCs w:val="28"/>
          <w:highlight w:val="none"/>
          <w:lang w:val="en-US"/>
        </w:rPr>
        <w:t>Hepatitis C</w:t>
      </w:r>
      <w:r>
        <w:rPr>
          <w:rFonts w:cs="Times New Roman"/>
          <w:szCs w:val="28"/>
          <w:highlight w:val="none"/>
          <w:lang w:val="en-US"/>
        </w:rPr>
        <w:t>. </w:t>
      </w:r>
      <w:r>
        <w:rPr>
          <w:rStyle w:val="57"/>
          <w:rFonts w:cs="Times New Roman"/>
          <w:szCs w:val="28"/>
          <w:highlight w:val="none"/>
          <w:lang w:val="en-US"/>
        </w:rPr>
        <w:t>Infection: a systemic disease</w:t>
      </w:r>
      <w:r>
        <w:rPr>
          <w:rFonts w:cs="Times New Roman"/>
          <w:szCs w:val="28"/>
          <w:highlight w:val="none"/>
          <w:lang w:val="en-US"/>
        </w:rPr>
        <w:t>. </w:t>
      </w:r>
      <w:r>
        <w:rPr>
          <w:rFonts w:cs="Times New Roman"/>
          <w:i/>
          <w:iCs/>
          <w:szCs w:val="28"/>
          <w:highlight w:val="none"/>
          <w:lang w:val="en-US"/>
        </w:rPr>
        <w:t>Clin Liver Dis</w:t>
      </w:r>
      <w:r>
        <w:rPr>
          <w:rFonts w:cs="Times New Roman"/>
          <w:szCs w:val="28"/>
          <w:highlight w:val="none"/>
          <w:lang w:val="en-US"/>
        </w:rPr>
        <w:t>. </w:t>
      </w:r>
      <w:r>
        <w:rPr>
          <w:rStyle w:val="58"/>
          <w:rFonts w:cs="Times New Roman"/>
          <w:szCs w:val="28"/>
          <w:highlight w:val="none"/>
          <w:lang w:val="en-US"/>
        </w:rPr>
        <w:t>2017</w:t>
      </w:r>
      <w:r>
        <w:rPr>
          <w:rFonts w:cs="Times New Roman"/>
          <w:szCs w:val="28"/>
          <w:highlight w:val="none"/>
          <w:lang w:val="en-US"/>
        </w:rPr>
        <w:t xml:space="preserve">. Vol. </w:t>
      </w:r>
      <w:r>
        <w:rPr>
          <w:rStyle w:val="59"/>
          <w:rFonts w:cs="Times New Roman"/>
          <w:bCs/>
          <w:szCs w:val="28"/>
          <w:highlight w:val="none"/>
          <w:lang w:val="en-US"/>
        </w:rPr>
        <w:t xml:space="preserve">21 </w:t>
      </w:r>
      <w:r>
        <w:rPr>
          <w:rFonts w:cs="Times New Roman"/>
          <w:szCs w:val="28"/>
          <w:highlight w:val="none"/>
          <w:lang w:val="en-US"/>
        </w:rPr>
        <w:t>(</w:t>
      </w:r>
      <w:r>
        <w:rPr>
          <w:rStyle w:val="62"/>
          <w:rFonts w:cs="Times New Roman"/>
          <w:szCs w:val="28"/>
          <w:highlight w:val="none"/>
          <w:lang w:val="en-US"/>
        </w:rPr>
        <w:t>3</w:t>
      </w:r>
      <w:r>
        <w:rPr>
          <w:rFonts w:cs="Times New Roman"/>
          <w:szCs w:val="28"/>
          <w:highlight w:val="none"/>
          <w:lang w:val="en-US"/>
        </w:rPr>
        <w:t xml:space="preserve">). P. </w:t>
      </w:r>
      <w:r>
        <w:rPr>
          <w:rStyle w:val="60"/>
          <w:rFonts w:cs="Times New Roman"/>
          <w:szCs w:val="28"/>
          <w:highlight w:val="none"/>
          <w:lang w:val="en-US"/>
        </w:rPr>
        <w:t>449</w:t>
      </w:r>
      <w:r>
        <w:rPr>
          <w:rFonts w:cs="Times New Roman"/>
          <w:szCs w:val="28"/>
          <w:highlight w:val="none"/>
          <w:lang w:val="en-US"/>
        </w:rPr>
        <w:t>–</w:t>
      </w:r>
      <w:r>
        <w:rPr>
          <w:rStyle w:val="61"/>
          <w:rFonts w:cs="Times New Roman"/>
          <w:szCs w:val="28"/>
          <w:highlight w:val="none"/>
          <w:lang w:val="en-US"/>
        </w:rPr>
        <w:t>453</w:t>
      </w:r>
      <w:r>
        <w:rPr>
          <w:rFonts w:cs="Times New Roman"/>
          <w:szCs w:val="28"/>
          <w:highlight w:val="none"/>
          <w:lang w:val="en-US"/>
        </w:rPr>
        <w:t>.</w:t>
      </w:r>
      <w:r>
        <w:rPr>
          <w:rStyle w:val="53"/>
          <w:rFonts w:cs="Times New Roman"/>
          <w:szCs w:val="28"/>
          <w:highlight w:val="none"/>
          <w:lang w:val="en-US"/>
        </w:rPr>
        <w:t xml:space="preserve"> doi: </w:t>
      </w:r>
      <w:r>
        <w:rPr>
          <w:highlight w:val="none"/>
        </w:rPr>
        <w:fldChar w:fldCharType="begin"/>
      </w:r>
      <w:r>
        <w:rPr>
          <w:highlight w:val="none"/>
        </w:rPr>
        <w:instrText xml:space="preserve"> HYPERLINK "https://doi.org/10.1016/j.cld.2017.03.001" \t "_blank" </w:instrText>
      </w:r>
      <w:r>
        <w:rPr>
          <w:highlight w:val="none"/>
        </w:rPr>
        <w:fldChar w:fldCharType="separate"/>
      </w:r>
      <w:r>
        <w:rPr>
          <w:rStyle w:val="11"/>
          <w:rFonts w:cs="Times New Roman"/>
          <w:color w:val="auto"/>
          <w:szCs w:val="28"/>
          <w:highlight w:val="none"/>
          <w:u w:val="none"/>
          <w:lang w:val="en-US"/>
        </w:rPr>
        <w:t>10.1016/j.cld.2017.03.001</w:t>
      </w:r>
      <w:r>
        <w:rPr>
          <w:rStyle w:val="11"/>
          <w:rFonts w:cs="Times New Roman"/>
          <w:color w:val="auto"/>
          <w:szCs w:val="28"/>
          <w:highlight w:val="none"/>
          <w:u w:val="none"/>
          <w:lang w:val="en-US"/>
        </w:rPr>
        <w:fldChar w:fldCharType="end"/>
      </w:r>
    </w:p>
    <w:p w14:paraId="3A4CFE4D">
      <w:pPr>
        <w:widowControl w:val="0"/>
        <w:rPr>
          <w:rFonts w:cs="Times New Roman"/>
          <w:szCs w:val="28"/>
          <w:highlight w:val="none"/>
          <w:lang w:val="en-US"/>
        </w:rPr>
      </w:pPr>
      <w:r>
        <w:rPr>
          <w:rFonts w:cs="Times New Roman"/>
          <w:szCs w:val="28"/>
          <w:highlight w:val="none"/>
          <w:lang w:val="en-US"/>
        </w:rPr>
        <w:t xml:space="preserve">37. </w:t>
      </w:r>
      <w:r>
        <w:rPr>
          <w:rFonts w:cs="Times New Roman"/>
          <w:szCs w:val="28"/>
          <w:highlight w:val="none"/>
          <w:shd w:val="clear" w:color="auto" w:fill="FFFFFF"/>
          <w:lang w:val="en-US"/>
        </w:rPr>
        <w:t xml:space="preserve">CHeCS investigators. Race, age, and geography impact hepatitis C genotype distribution in the United States / S. C. Gordon et al. </w:t>
      </w:r>
      <w:r>
        <w:rPr>
          <w:rFonts w:cs="Times New Roman"/>
          <w:i/>
          <w:szCs w:val="28"/>
          <w:highlight w:val="none"/>
          <w:shd w:val="clear" w:color="auto" w:fill="FFFFFF"/>
          <w:lang w:val="en-US"/>
        </w:rPr>
        <w:t>J. Clin Gastroenterol</w:t>
      </w:r>
      <w:r>
        <w:rPr>
          <w:rFonts w:cs="Times New Roman"/>
          <w:szCs w:val="28"/>
          <w:highlight w:val="none"/>
          <w:shd w:val="clear" w:color="auto" w:fill="FFFFFF"/>
          <w:lang w:val="en-US"/>
        </w:rPr>
        <w:t>. 2019. Vol. 53 (1). P. 40</w:t>
      </w:r>
      <w:r>
        <w:rPr>
          <w:rFonts w:cs="Times New Roman"/>
          <w:szCs w:val="28"/>
          <w:highlight w:val="none"/>
          <w:lang w:val="en-US"/>
        </w:rPr>
        <w:t>–</w:t>
      </w:r>
      <w:r>
        <w:rPr>
          <w:rFonts w:cs="Times New Roman"/>
          <w:szCs w:val="28"/>
          <w:highlight w:val="none"/>
          <w:shd w:val="clear" w:color="auto" w:fill="FFFFFF"/>
          <w:lang w:val="en-US"/>
        </w:rPr>
        <w:t>50. doi: 10.1097/MCG.0000000000000872</w:t>
      </w:r>
    </w:p>
    <w:p w14:paraId="2F3FC10B">
      <w:pPr>
        <w:widowControl w:val="0"/>
        <w:rPr>
          <w:rFonts w:cs="Times New Roman"/>
          <w:szCs w:val="28"/>
          <w:highlight w:val="none"/>
          <w:lang w:val="en-US"/>
        </w:rPr>
      </w:pPr>
      <w:r>
        <w:rPr>
          <w:rFonts w:cs="Times New Roman"/>
          <w:szCs w:val="28"/>
          <w:highlight w:val="none"/>
          <w:lang w:val="en-US"/>
        </w:rPr>
        <w:t xml:space="preserve">38. </w:t>
      </w:r>
      <w:r>
        <w:rPr>
          <w:rFonts w:cs="Times New Roman"/>
          <w:szCs w:val="28"/>
          <w:highlight w:val="none"/>
          <w:shd w:val="clear" w:color="auto" w:fill="FFFFFF"/>
          <w:lang w:val="en-US"/>
        </w:rPr>
        <w:t xml:space="preserve">HCV EuResist Study group. New findings in HCV genotype distribution in selected West European, Russian and Israeli regions / V. Kartashev et al. </w:t>
      </w:r>
      <w:r>
        <w:rPr>
          <w:rFonts w:cs="Times New Roman"/>
          <w:i/>
          <w:szCs w:val="28"/>
          <w:highlight w:val="none"/>
          <w:shd w:val="clear" w:color="auto" w:fill="FFFFFF"/>
          <w:lang w:val="en-US"/>
        </w:rPr>
        <w:t>J. Clin Virol</w:t>
      </w:r>
      <w:r>
        <w:rPr>
          <w:rFonts w:cs="Times New Roman"/>
          <w:szCs w:val="28"/>
          <w:highlight w:val="none"/>
          <w:shd w:val="clear" w:color="auto" w:fill="FFFFFF"/>
          <w:lang w:val="en-US"/>
        </w:rPr>
        <w:t>. 2016. Vol. 81. P. 82</w:t>
      </w:r>
      <w:r>
        <w:rPr>
          <w:rFonts w:cs="Times New Roman"/>
          <w:szCs w:val="28"/>
          <w:highlight w:val="none"/>
          <w:lang w:val="en-US"/>
        </w:rPr>
        <w:t>–8</w:t>
      </w:r>
      <w:r>
        <w:rPr>
          <w:rFonts w:cs="Times New Roman"/>
          <w:szCs w:val="28"/>
          <w:highlight w:val="none"/>
          <w:shd w:val="clear" w:color="auto" w:fill="FFFFFF"/>
          <w:lang w:val="en-US"/>
        </w:rPr>
        <w:t>9. doi: 10.1016/j.jcv.2016.05.010</w:t>
      </w:r>
    </w:p>
    <w:p w14:paraId="1CD117D7">
      <w:pPr>
        <w:widowControl w:val="0"/>
        <w:rPr>
          <w:rFonts w:cs="Times New Roman"/>
          <w:szCs w:val="28"/>
          <w:highlight w:val="none"/>
          <w:lang w:val="en-US"/>
        </w:rPr>
      </w:pPr>
      <w:r>
        <w:rPr>
          <w:rFonts w:cs="Times New Roman"/>
          <w:szCs w:val="28"/>
          <w:highlight w:val="none"/>
          <w:lang w:val="en-US"/>
        </w:rPr>
        <w:t xml:space="preserve">39. Elevated serum osteopontin levels in chronic hepatitis c virus infection: Association with autoimmune rheumatologic manifestations / I. H. Bassyouni, R. H. Bassyouni, N. H. Ibrahim, A. F. Soliman. </w:t>
      </w:r>
      <w:r>
        <w:rPr>
          <w:rFonts w:cs="Times New Roman"/>
          <w:i/>
          <w:szCs w:val="28"/>
          <w:highlight w:val="none"/>
          <w:lang w:val="en-US"/>
        </w:rPr>
        <w:t>J. of Clinical Immunology</w:t>
      </w:r>
      <w:r>
        <w:rPr>
          <w:rFonts w:cs="Times New Roman"/>
          <w:szCs w:val="28"/>
          <w:highlight w:val="none"/>
          <w:lang w:val="en-US"/>
        </w:rPr>
        <w:t>. 2012. Vol. 32 (6). P. 1262–1269. doi: https://doi.org/10.1007/s10875-012-9727-7</w:t>
      </w:r>
    </w:p>
    <w:p w14:paraId="433693B9">
      <w:pPr>
        <w:widowControl w:val="0"/>
        <w:rPr>
          <w:rFonts w:cs="Times New Roman"/>
          <w:szCs w:val="28"/>
          <w:highlight w:val="none"/>
          <w:lang w:val="en-US"/>
        </w:rPr>
      </w:pPr>
      <w:r>
        <w:rPr>
          <w:rFonts w:cs="Times New Roman"/>
          <w:szCs w:val="28"/>
          <w:highlight w:val="none"/>
          <w:lang w:val="en-US"/>
        </w:rPr>
        <w:t xml:space="preserve">40. Tsukiyama-Kohara K., Kohara M. Hepatitis C virus: Viral quasispecies and genotypes. </w:t>
      </w:r>
      <w:r>
        <w:rPr>
          <w:rFonts w:cs="Times New Roman"/>
          <w:i/>
          <w:szCs w:val="28"/>
          <w:highlight w:val="none"/>
          <w:lang w:val="en-US"/>
        </w:rPr>
        <w:t>Int J. Mol Sci</w:t>
      </w:r>
      <w:r>
        <w:rPr>
          <w:rFonts w:cs="Times New Roman"/>
          <w:szCs w:val="28"/>
          <w:highlight w:val="none"/>
          <w:lang w:val="en-US"/>
        </w:rPr>
        <w:t xml:space="preserve">. 2018. Vol. 19 (1). </w:t>
      </w:r>
      <w:r>
        <w:rPr>
          <w:rStyle w:val="53"/>
          <w:rFonts w:cs="Times New Roman"/>
          <w:szCs w:val="28"/>
          <w:highlight w:val="none"/>
          <w:lang w:val="en-US"/>
        </w:rPr>
        <w:t>doi: </w:t>
      </w:r>
      <w:r>
        <w:rPr>
          <w:highlight w:val="none"/>
        </w:rPr>
        <w:fldChar w:fldCharType="begin"/>
      </w:r>
      <w:r>
        <w:rPr>
          <w:highlight w:val="none"/>
        </w:rPr>
        <w:instrText xml:space="preserve"> HYPERLINK "https://doi.org/10.3390/ijms19010023" \t "_blank" </w:instrText>
      </w:r>
      <w:r>
        <w:rPr>
          <w:highlight w:val="none"/>
        </w:rPr>
        <w:fldChar w:fldCharType="separate"/>
      </w:r>
      <w:r>
        <w:rPr>
          <w:rStyle w:val="11"/>
          <w:rFonts w:cs="Times New Roman"/>
          <w:color w:val="auto"/>
          <w:szCs w:val="28"/>
          <w:highlight w:val="none"/>
          <w:u w:val="none"/>
          <w:lang w:val="en-US"/>
        </w:rPr>
        <w:t>10.3390/ijms19010023</w:t>
      </w:r>
      <w:r>
        <w:rPr>
          <w:rStyle w:val="11"/>
          <w:rFonts w:cs="Times New Roman"/>
          <w:color w:val="auto"/>
          <w:szCs w:val="28"/>
          <w:highlight w:val="none"/>
          <w:u w:val="none"/>
          <w:lang w:val="en-US"/>
        </w:rPr>
        <w:fldChar w:fldCharType="end"/>
      </w:r>
    </w:p>
    <w:p w14:paraId="6D5AC300">
      <w:pPr>
        <w:widowControl w:val="0"/>
        <w:rPr>
          <w:rFonts w:cs="Times New Roman"/>
          <w:szCs w:val="28"/>
          <w:highlight w:val="none"/>
          <w:lang w:val="en-US"/>
        </w:rPr>
      </w:pPr>
      <w:r>
        <w:rPr>
          <w:rFonts w:cs="Times New Roman"/>
          <w:szCs w:val="28"/>
          <w:highlight w:val="none"/>
          <w:lang w:val="en-US"/>
        </w:rPr>
        <w:t xml:space="preserve">41. </w:t>
      </w:r>
      <w:r>
        <w:rPr>
          <w:rStyle w:val="48"/>
          <w:rFonts w:cs="Times New Roman"/>
          <w:szCs w:val="28"/>
          <w:highlight w:val="none"/>
          <w:shd w:val="clear" w:color="auto" w:fill="FFFFFF"/>
          <w:lang w:val="en-US"/>
        </w:rPr>
        <w:t>Prevalence of spontaneous clearance of hepatitis C virus infection doubled from 1998 to 2017 /</w:t>
      </w:r>
      <w:r>
        <w:rPr>
          <w:rStyle w:val="49"/>
          <w:rFonts w:cs="Times New Roman"/>
          <w:iCs/>
          <w:szCs w:val="28"/>
          <w:highlight w:val="none"/>
          <w:shd w:val="clear" w:color="auto" w:fill="FFFFFF"/>
          <w:lang w:val="en-US"/>
        </w:rPr>
        <w:t xml:space="preserve"> </w:t>
      </w:r>
      <w:r>
        <w:rPr>
          <w:rFonts w:cs="Times New Roman"/>
          <w:szCs w:val="28"/>
          <w:highlight w:val="none"/>
          <w:shd w:val="clear" w:color="auto" w:fill="FFFFFF"/>
          <w:lang w:val="en-US"/>
        </w:rPr>
        <w:t>S. Seo et al. </w:t>
      </w:r>
      <w:r>
        <w:rPr>
          <w:rStyle w:val="49"/>
          <w:rFonts w:cs="Times New Roman"/>
          <w:i/>
          <w:iCs/>
          <w:szCs w:val="28"/>
          <w:highlight w:val="none"/>
          <w:shd w:val="clear" w:color="auto" w:fill="FFFFFF"/>
          <w:lang w:val="en-US"/>
        </w:rPr>
        <w:t>Clin. Gastroenterol Hepatol</w:t>
      </w:r>
      <w:r>
        <w:rPr>
          <w:rFonts w:cs="Times New Roman"/>
          <w:szCs w:val="28"/>
          <w:highlight w:val="none"/>
          <w:shd w:val="clear" w:color="auto" w:fill="FFFFFF"/>
          <w:lang w:val="en-US"/>
        </w:rPr>
        <w:t xml:space="preserve">. 2020. Vol. </w:t>
      </w:r>
      <w:r>
        <w:rPr>
          <w:rStyle w:val="50"/>
          <w:rFonts w:cs="Times New Roman"/>
          <w:szCs w:val="28"/>
          <w:highlight w:val="none"/>
          <w:shd w:val="clear" w:color="auto" w:fill="FFFFFF"/>
          <w:lang w:val="en-US"/>
        </w:rPr>
        <w:t>18</w:t>
      </w:r>
      <w:r>
        <w:rPr>
          <w:rFonts w:cs="Times New Roman"/>
          <w:szCs w:val="28"/>
          <w:highlight w:val="none"/>
          <w:shd w:val="clear" w:color="auto" w:fill="FFFFFF"/>
          <w:lang w:val="en-US"/>
        </w:rPr>
        <w:t>. Vol. 511–513. doi: 10.1016/j.cgh.2019.04.035</w:t>
      </w:r>
    </w:p>
    <w:p w14:paraId="7E061A58">
      <w:pPr>
        <w:widowControl w:val="0"/>
        <w:rPr>
          <w:rFonts w:cs="Times New Roman"/>
          <w:szCs w:val="28"/>
          <w:highlight w:val="none"/>
          <w:lang w:val="en-US"/>
        </w:rPr>
      </w:pPr>
      <w:r>
        <w:rPr>
          <w:rFonts w:cs="Times New Roman"/>
          <w:szCs w:val="28"/>
          <w:highlight w:val="none"/>
          <w:lang w:val="en-US"/>
        </w:rPr>
        <w:t>42. World Health Organization. Hepatitis C. 2020. URL: </w:t>
      </w:r>
      <w:r>
        <w:rPr>
          <w:highlight w:val="none"/>
        </w:rPr>
        <w:fldChar w:fldCharType="begin"/>
      </w:r>
      <w:r>
        <w:rPr>
          <w:highlight w:val="none"/>
        </w:rPr>
        <w:instrText xml:space="preserve"> HYPERLINK "https://www.who.int/news-room/fact-sheets/detail/hepatitis-c" </w:instrText>
      </w:r>
      <w:r>
        <w:rPr>
          <w:highlight w:val="none"/>
        </w:rPr>
        <w:fldChar w:fldCharType="separate"/>
      </w:r>
      <w:r>
        <w:rPr>
          <w:rStyle w:val="11"/>
          <w:rFonts w:cs="Times New Roman"/>
          <w:color w:val="auto"/>
          <w:szCs w:val="28"/>
          <w:highlight w:val="none"/>
          <w:u w:val="none"/>
          <w:lang w:val="en-US"/>
        </w:rPr>
        <w:t>https://www.who.int/news-room/fact-sheets/detail/hepatitis-c</w:t>
      </w:r>
      <w:r>
        <w:rPr>
          <w:rStyle w:val="11"/>
          <w:rFonts w:cs="Times New Roman"/>
          <w:color w:val="auto"/>
          <w:szCs w:val="28"/>
          <w:highlight w:val="none"/>
          <w:u w:val="none"/>
          <w:lang w:val="en-US"/>
        </w:rPr>
        <w:fldChar w:fldCharType="end"/>
      </w:r>
    </w:p>
    <w:p w14:paraId="6B67567D">
      <w:pPr>
        <w:widowControl w:val="0"/>
        <w:rPr>
          <w:rFonts w:cs="Times New Roman"/>
          <w:szCs w:val="28"/>
          <w:highlight w:val="none"/>
          <w:lang w:val="en-US"/>
        </w:rPr>
      </w:pPr>
      <w:r>
        <w:rPr>
          <w:rFonts w:cs="Times New Roman"/>
          <w:szCs w:val="28"/>
          <w:highlight w:val="none"/>
          <w:lang w:val="en-US"/>
        </w:rPr>
        <w:t>43. Martinez M. A., Franco S. Therapy implications of hepatitis C virus genetic diversity. In Viruses. 2021. Vol. 13, Issue 1. doi: https://doi.org/10.3390/v13010041</w:t>
      </w:r>
    </w:p>
    <w:p w14:paraId="0425C688">
      <w:pPr>
        <w:widowControl w:val="0"/>
        <w:rPr>
          <w:rFonts w:cs="Times New Roman"/>
          <w:szCs w:val="28"/>
          <w:highlight w:val="none"/>
          <w:lang w:val="en-US"/>
        </w:rPr>
      </w:pPr>
      <w:r>
        <w:rPr>
          <w:rFonts w:cs="Times New Roman"/>
          <w:szCs w:val="28"/>
          <w:highlight w:val="none"/>
          <w:lang w:val="en-US"/>
        </w:rPr>
        <w:t xml:space="preserve">44. Yang D. H., Ho L. J., Lai J. H. Useful biomarkers for assessment of hepatitis C virus infection-associated autoimmune disorders. </w:t>
      </w:r>
      <w:r>
        <w:rPr>
          <w:rFonts w:cs="Times New Roman"/>
          <w:i/>
          <w:szCs w:val="28"/>
          <w:highlight w:val="none"/>
          <w:lang w:val="en-US"/>
        </w:rPr>
        <w:t>World J. of Gastroenterology</w:t>
      </w:r>
      <w:r>
        <w:rPr>
          <w:rFonts w:cs="Times New Roman"/>
          <w:szCs w:val="28"/>
          <w:highlight w:val="none"/>
          <w:lang w:val="en-US"/>
        </w:rPr>
        <w:t>. 2014. Vol. 20 (11). P. 2962–2970. doi: https://doi.org/10.3748/wjg.v20.i11.2962</w:t>
      </w:r>
    </w:p>
    <w:p w14:paraId="69F89F50">
      <w:pPr>
        <w:widowControl w:val="0"/>
        <w:rPr>
          <w:rFonts w:cs="Times New Roman"/>
          <w:szCs w:val="28"/>
          <w:highlight w:val="none"/>
          <w:lang w:val="en-US"/>
        </w:rPr>
      </w:pPr>
      <w:r>
        <w:rPr>
          <w:rFonts w:cs="Times New Roman"/>
          <w:szCs w:val="28"/>
          <w:highlight w:val="none"/>
          <w:lang w:val="en-US"/>
        </w:rPr>
        <w:t xml:space="preserve">45. Retrospective evaluation of serum markers APRI and AST/ALT for assessing liver fibrosis and cirrhosis in chronic hepatitis B and C patients with hepatocellular carcinoma / C. S. Lin et al. </w:t>
      </w:r>
      <w:r>
        <w:rPr>
          <w:rFonts w:cs="Times New Roman"/>
          <w:i/>
          <w:szCs w:val="28"/>
          <w:highlight w:val="none"/>
          <w:lang w:val="en-US"/>
        </w:rPr>
        <w:t>Internal Medicine</w:t>
      </w:r>
      <w:r>
        <w:rPr>
          <w:rFonts w:cs="Times New Roman"/>
          <w:szCs w:val="28"/>
          <w:highlight w:val="none"/>
          <w:lang w:val="en-US"/>
        </w:rPr>
        <w:t>. 2008. Vol. 47 (7). P. 569–575. doi: https://doi.org/10.2169/internalmedicine.47.0595</w:t>
      </w:r>
    </w:p>
    <w:p w14:paraId="64DCE59E">
      <w:pPr>
        <w:widowControl w:val="0"/>
        <w:rPr>
          <w:rFonts w:cs="Times New Roman"/>
          <w:szCs w:val="28"/>
          <w:highlight w:val="none"/>
          <w:lang w:val="en-US"/>
        </w:rPr>
      </w:pPr>
      <w:r>
        <w:rPr>
          <w:rFonts w:cs="Times New Roman"/>
          <w:szCs w:val="28"/>
          <w:highlight w:val="none"/>
          <w:lang w:val="en-US"/>
        </w:rPr>
        <w:t xml:space="preserve">46. Osteopontin is up-regulated in chronic hepatitis C and is associated with cellular permissiveness for hepatitis C virus replication / S. S. Choi et al. </w:t>
      </w:r>
      <w:r>
        <w:rPr>
          <w:rFonts w:cs="Times New Roman"/>
          <w:i/>
          <w:szCs w:val="28"/>
          <w:highlight w:val="none"/>
          <w:lang w:val="en-US"/>
        </w:rPr>
        <w:t>Clinical Science</w:t>
      </w:r>
      <w:r>
        <w:rPr>
          <w:rFonts w:cs="Times New Roman"/>
          <w:szCs w:val="28"/>
          <w:highlight w:val="none"/>
          <w:lang w:val="en-US"/>
        </w:rPr>
        <w:t>. 2014. Vol. 126 (12). P. 845–855. doi: https://doi.org/10.1042/CS20130473</w:t>
      </w:r>
    </w:p>
    <w:p w14:paraId="30705E2F">
      <w:pPr>
        <w:widowControl w:val="0"/>
        <w:rPr>
          <w:rFonts w:cs="Times New Roman"/>
          <w:szCs w:val="28"/>
          <w:highlight w:val="none"/>
          <w:lang w:val="en-US"/>
        </w:rPr>
      </w:pPr>
      <w:r>
        <w:rPr>
          <w:rFonts w:cs="Times New Roman"/>
          <w:szCs w:val="28"/>
          <w:highlight w:val="none"/>
          <w:lang w:val="en-US"/>
        </w:rPr>
        <w:t xml:space="preserve">47. Jin C. N., Chen J. D., Sheng, J. F. Vitamin D deficiency in Hepatitis C virus infection: What is old? what is new? </w:t>
      </w:r>
      <w:r>
        <w:rPr>
          <w:rFonts w:cs="Times New Roman"/>
          <w:i/>
          <w:szCs w:val="28"/>
          <w:highlight w:val="none"/>
          <w:lang w:val="en-US"/>
        </w:rPr>
        <w:t>European J. of Gastroenterology and Hepatology</w:t>
      </w:r>
      <w:r>
        <w:rPr>
          <w:rFonts w:cs="Times New Roman"/>
          <w:szCs w:val="28"/>
          <w:highlight w:val="none"/>
          <w:lang w:val="en-US"/>
        </w:rPr>
        <w:t>. 2018. Vol 30 (7). P. 741–746. https://doi.org/10.1097/MEG.000000000000113418</w:t>
      </w:r>
    </w:p>
    <w:p w14:paraId="167B98C5">
      <w:pPr>
        <w:widowControl w:val="0"/>
        <w:rPr>
          <w:rFonts w:cs="Times New Roman"/>
          <w:szCs w:val="28"/>
          <w:highlight w:val="none"/>
          <w:lang w:val="en-US"/>
        </w:rPr>
      </w:pPr>
      <w:r>
        <w:rPr>
          <w:rFonts w:cs="Times New Roman"/>
          <w:szCs w:val="28"/>
          <w:highlight w:val="none"/>
          <w:lang w:val="en-US"/>
        </w:rPr>
        <w:t xml:space="preserve">48. </w:t>
      </w:r>
      <w:r>
        <w:rPr>
          <w:highlight w:val="none"/>
        </w:rPr>
        <w:fldChar w:fldCharType="begin"/>
      </w:r>
      <w:r>
        <w:rPr>
          <w:highlight w:val="none"/>
        </w:rPr>
        <w:instrText xml:space="preserve"> HYPERLINK "https://onlinelibrary.wiley.com/action/doSearch?ContribAuthorRaw=Wang%2C+Chia-Chi" </w:instrText>
      </w:r>
      <w:r>
        <w:rPr>
          <w:highlight w:val="none"/>
        </w:rPr>
        <w:fldChar w:fldCharType="separate"/>
      </w:r>
      <w:r>
        <w:rPr>
          <w:rStyle w:val="11"/>
          <w:rFonts w:cs="Times New Roman"/>
          <w:color w:val="auto"/>
          <w:szCs w:val="28"/>
          <w:highlight w:val="none"/>
          <w:u w:val="none"/>
          <w:lang w:val="en-US"/>
        </w:rPr>
        <w:t>Chia-Chi Wang</w:t>
      </w:r>
      <w:r>
        <w:rPr>
          <w:rStyle w:val="11"/>
          <w:rFonts w:cs="Times New Roman"/>
          <w:color w:val="auto"/>
          <w:szCs w:val="28"/>
          <w:highlight w:val="none"/>
          <w:u w:val="none"/>
          <w:lang w:val="en-US"/>
        </w:rPr>
        <w:fldChar w:fldCharType="end"/>
      </w:r>
      <w:r>
        <w:rPr>
          <w:rStyle w:val="54"/>
          <w:rFonts w:cs="Times New Roman"/>
          <w:szCs w:val="28"/>
          <w:highlight w:val="none"/>
          <w:shd w:val="clear" w:color="auto" w:fill="FFFFFF"/>
          <w:lang w:val="en-US"/>
        </w:rPr>
        <w:t xml:space="preserve">, </w:t>
      </w:r>
      <w:r>
        <w:rPr>
          <w:highlight w:val="none"/>
        </w:rPr>
        <w:fldChar w:fldCharType="begin"/>
      </w:r>
      <w:r>
        <w:rPr>
          <w:highlight w:val="none"/>
        </w:rPr>
        <w:instrText xml:space="preserve"> HYPERLINK "https://onlinelibrary.wiley.com/action/doSearch?ContribAuthorRaw=Cheng%2C+Pin-Nan" </w:instrText>
      </w:r>
      <w:r>
        <w:rPr>
          <w:highlight w:val="none"/>
        </w:rPr>
        <w:fldChar w:fldCharType="separate"/>
      </w:r>
      <w:r>
        <w:rPr>
          <w:rStyle w:val="11"/>
          <w:rFonts w:cs="Times New Roman"/>
          <w:color w:val="auto"/>
          <w:szCs w:val="28"/>
          <w:highlight w:val="none"/>
          <w:u w:val="none"/>
          <w:lang w:val="en-US"/>
        </w:rPr>
        <w:t>Pin-Nan Cheng</w:t>
      </w:r>
      <w:r>
        <w:rPr>
          <w:rStyle w:val="11"/>
          <w:rFonts w:cs="Times New Roman"/>
          <w:color w:val="auto"/>
          <w:szCs w:val="28"/>
          <w:highlight w:val="none"/>
          <w:u w:val="none"/>
          <w:lang w:val="en-US"/>
        </w:rPr>
        <w:fldChar w:fldCharType="end"/>
      </w:r>
      <w:r>
        <w:rPr>
          <w:rStyle w:val="54"/>
          <w:rFonts w:cs="Times New Roman"/>
          <w:szCs w:val="28"/>
          <w:highlight w:val="none"/>
          <w:shd w:val="clear" w:color="auto" w:fill="FFFFFF"/>
          <w:lang w:val="en-US"/>
        </w:rPr>
        <w:t xml:space="preserve">, </w:t>
      </w:r>
      <w:r>
        <w:rPr>
          <w:highlight w:val="none"/>
        </w:rPr>
        <w:fldChar w:fldCharType="begin"/>
      </w:r>
      <w:r>
        <w:rPr>
          <w:highlight w:val="none"/>
        </w:rPr>
        <w:instrText xml:space="preserve"> HYPERLINK "https://onlinelibrary.wiley.com/action/doSearch?ContribAuthorRaw=Kao%2C+Jia-Horng" </w:instrText>
      </w:r>
      <w:r>
        <w:rPr>
          <w:highlight w:val="none"/>
        </w:rPr>
        <w:fldChar w:fldCharType="separate"/>
      </w:r>
      <w:r>
        <w:rPr>
          <w:rStyle w:val="11"/>
          <w:rFonts w:cs="Times New Roman"/>
          <w:color w:val="auto"/>
          <w:szCs w:val="28"/>
          <w:highlight w:val="none"/>
          <w:u w:val="none"/>
          <w:lang w:val="en-US"/>
        </w:rPr>
        <w:t>Jia-Horng Kao</w:t>
      </w:r>
      <w:r>
        <w:rPr>
          <w:rStyle w:val="11"/>
          <w:rFonts w:cs="Times New Roman"/>
          <w:color w:val="auto"/>
          <w:szCs w:val="28"/>
          <w:highlight w:val="none"/>
          <w:u w:val="none"/>
          <w:lang w:val="en-US"/>
        </w:rPr>
        <w:fldChar w:fldCharType="end"/>
      </w:r>
      <w:r>
        <w:rPr>
          <w:rStyle w:val="11"/>
          <w:rFonts w:cs="Times New Roman"/>
          <w:color w:val="auto"/>
          <w:szCs w:val="28"/>
          <w:highlight w:val="none"/>
          <w:u w:val="none"/>
          <w:lang w:val="en-US"/>
        </w:rPr>
        <w:t>.</w:t>
      </w:r>
      <w:r>
        <w:rPr>
          <w:rFonts w:cs="Times New Roman"/>
          <w:szCs w:val="28"/>
          <w:highlight w:val="none"/>
          <w:lang w:val="en-US"/>
        </w:rPr>
        <w:t xml:space="preserve"> Systematic review: chronic viral hepatitis and metabolic derangement. </w:t>
      </w:r>
      <w:r>
        <w:rPr>
          <w:rFonts w:cs="Times New Roman"/>
          <w:i/>
          <w:szCs w:val="28"/>
          <w:highlight w:val="none"/>
          <w:lang w:val="en-US"/>
        </w:rPr>
        <w:t>Alimentary Pharmacology and Therapeutics</w:t>
      </w:r>
      <w:r>
        <w:rPr>
          <w:rFonts w:cs="Times New Roman"/>
          <w:szCs w:val="28"/>
          <w:highlight w:val="none"/>
          <w:lang w:val="en-US"/>
        </w:rPr>
        <w:t xml:space="preserve">. 2020. </w:t>
      </w:r>
      <w:r>
        <w:rPr>
          <w:highlight w:val="none"/>
        </w:rPr>
        <w:fldChar w:fldCharType="begin"/>
      </w:r>
      <w:r>
        <w:rPr>
          <w:highlight w:val="none"/>
        </w:rPr>
        <w:instrText xml:space="preserve"> HYPERLINK "https://onlinelibrary.wiley.com/toc/13652036/2020/51/2" \o "View Volume 51, Issue 2" </w:instrText>
      </w:r>
      <w:r>
        <w:rPr>
          <w:highlight w:val="none"/>
        </w:rPr>
        <w:fldChar w:fldCharType="separate"/>
      </w:r>
      <w:r>
        <w:rPr>
          <w:rStyle w:val="11"/>
          <w:rFonts w:cs="Times New Roman"/>
          <w:bCs/>
          <w:color w:val="auto"/>
          <w:szCs w:val="28"/>
          <w:highlight w:val="none"/>
          <w:u w:val="none"/>
          <w:lang w:val="en-US"/>
        </w:rPr>
        <w:t xml:space="preserve">Vol. </w:t>
      </w:r>
      <w:r>
        <w:rPr>
          <w:rStyle w:val="55"/>
          <w:rFonts w:cs="Times New Roman"/>
          <w:bCs/>
          <w:szCs w:val="28"/>
          <w:highlight w:val="none"/>
          <w:lang w:val="en-US"/>
        </w:rPr>
        <w:t>51</w:t>
      </w:r>
      <w:r>
        <w:rPr>
          <w:rStyle w:val="11"/>
          <w:rFonts w:cs="Times New Roman"/>
          <w:bCs/>
          <w:color w:val="auto"/>
          <w:szCs w:val="28"/>
          <w:highlight w:val="none"/>
          <w:u w:val="none"/>
          <w:lang w:val="en-US"/>
        </w:rPr>
        <w:t xml:space="preserve">, Iss. </w:t>
      </w:r>
      <w:r>
        <w:rPr>
          <w:rStyle w:val="55"/>
          <w:rFonts w:cs="Times New Roman"/>
          <w:bCs/>
          <w:szCs w:val="28"/>
          <w:highlight w:val="none"/>
          <w:lang w:val="en-US"/>
        </w:rPr>
        <w:t>2</w:t>
      </w:r>
      <w:r>
        <w:rPr>
          <w:rStyle w:val="55"/>
          <w:rFonts w:cs="Times New Roman"/>
          <w:bCs/>
          <w:szCs w:val="28"/>
          <w:highlight w:val="none"/>
          <w:lang w:val="en-US"/>
        </w:rPr>
        <w:fldChar w:fldCharType="end"/>
      </w:r>
      <w:r>
        <w:rPr>
          <w:rFonts w:cs="Times New Roman"/>
          <w:bCs/>
          <w:szCs w:val="28"/>
          <w:highlight w:val="none"/>
          <w:lang w:val="en-US"/>
        </w:rPr>
        <w:t xml:space="preserve">. </w:t>
      </w:r>
      <w:r>
        <w:rPr>
          <w:rFonts w:cs="Times New Roman"/>
          <w:szCs w:val="28"/>
          <w:highlight w:val="none"/>
          <w:lang w:val="en-US"/>
        </w:rPr>
        <w:t xml:space="preserve">P. 216–230. </w:t>
      </w:r>
      <w:r>
        <w:rPr>
          <w:rStyle w:val="53"/>
          <w:rFonts w:cs="Times New Roman"/>
          <w:szCs w:val="28"/>
          <w:highlight w:val="none"/>
          <w:lang w:val="en-US"/>
        </w:rPr>
        <w:t>doi: </w:t>
      </w:r>
      <w:r>
        <w:rPr>
          <w:highlight w:val="none"/>
        </w:rPr>
        <w:fldChar w:fldCharType="begin"/>
      </w:r>
      <w:r>
        <w:rPr>
          <w:highlight w:val="none"/>
        </w:rPr>
        <w:instrText xml:space="preserve"> HYPERLINK "https://doi.org/10.1111/apt.15575" \t "_blank" </w:instrText>
      </w:r>
      <w:r>
        <w:rPr>
          <w:highlight w:val="none"/>
        </w:rPr>
        <w:fldChar w:fldCharType="separate"/>
      </w:r>
      <w:r>
        <w:rPr>
          <w:rStyle w:val="11"/>
          <w:rFonts w:cs="Times New Roman"/>
          <w:color w:val="auto"/>
          <w:szCs w:val="28"/>
          <w:highlight w:val="none"/>
          <w:u w:val="none"/>
          <w:lang w:val="en-US"/>
        </w:rPr>
        <w:t>10.1111/apt.15575</w:t>
      </w:r>
      <w:r>
        <w:rPr>
          <w:rStyle w:val="11"/>
          <w:rFonts w:cs="Times New Roman"/>
          <w:color w:val="auto"/>
          <w:szCs w:val="28"/>
          <w:highlight w:val="none"/>
          <w:u w:val="none"/>
          <w:lang w:val="en-US"/>
        </w:rPr>
        <w:fldChar w:fldCharType="end"/>
      </w:r>
    </w:p>
    <w:p w14:paraId="44989317">
      <w:pPr>
        <w:widowControl w:val="0"/>
        <w:rPr>
          <w:rFonts w:cs="Times New Roman"/>
          <w:szCs w:val="28"/>
          <w:highlight w:val="none"/>
          <w:lang w:val="en-US"/>
        </w:rPr>
      </w:pPr>
      <w:r>
        <w:rPr>
          <w:rFonts w:cs="Times New Roman"/>
          <w:szCs w:val="28"/>
          <w:highlight w:val="none"/>
          <w:lang w:val="en-US"/>
        </w:rPr>
        <w:t xml:space="preserve">49. OPTN/SRTR 2016 annual data report: liver / W. R. Kim et al. </w:t>
      </w:r>
      <w:r>
        <w:rPr>
          <w:rFonts w:cs="Times New Roman"/>
          <w:i/>
          <w:iCs/>
          <w:szCs w:val="28"/>
          <w:highlight w:val="none"/>
          <w:lang w:val="en-US"/>
        </w:rPr>
        <w:t>Am J. Transplant</w:t>
      </w:r>
      <w:r>
        <w:rPr>
          <w:rFonts w:cs="Times New Roman"/>
          <w:szCs w:val="28"/>
          <w:highlight w:val="none"/>
          <w:lang w:val="en-US"/>
        </w:rPr>
        <w:t xml:space="preserve">. 2018. Vol. 18, suppl. 1. P. 172–253. doi: </w:t>
      </w:r>
      <w:r>
        <w:rPr>
          <w:highlight w:val="none"/>
        </w:rPr>
        <w:fldChar w:fldCharType="begin"/>
      </w:r>
      <w:r>
        <w:rPr>
          <w:highlight w:val="none"/>
        </w:rPr>
        <w:instrText xml:space="preserve"> HYPERLINK "http://dx.doi.org/10.1111/ajt.14559" </w:instrText>
      </w:r>
      <w:r>
        <w:rPr>
          <w:highlight w:val="none"/>
        </w:rPr>
        <w:fldChar w:fldCharType="separate"/>
      </w:r>
      <w:r>
        <w:rPr>
          <w:rStyle w:val="11"/>
          <w:rFonts w:cs="Times New Roman"/>
          <w:color w:val="auto"/>
          <w:szCs w:val="28"/>
          <w:highlight w:val="none"/>
          <w:u w:val="none"/>
          <w:lang w:val="en-US"/>
        </w:rPr>
        <w:t>10.1111/ajt.14559</w:t>
      </w:r>
      <w:r>
        <w:rPr>
          <w:rStyle w:val="11"/>
          <w:rFonts w:cs="Times New Roman"/>
          <w:color w:val="auto"/>
          <w:szCs w:val="28"/>
          <w:highlight w:val="none"/>
          <w:u w:val="none"/>
          <w:lang w:val="en-US"/>
        </w:rPr>
        <w:fldChar w:fldCharType="end"/>
      </w:r>
    </w:p>
    <w:p w14:paraId="2A03254D">
      <w:pPr>
        <w:widowControl w:val="0"/>
        <w:rPr>
          <w:rFonts w:cs="Times New Roman"/>
          <w:szCs w:val="28"/>
          <w:highlight w:val="none"/>
          <w:lang w:val="en-US"/>
        </w:rPr>
      </w:pPr>
      <w:r>
        <w:rPr>
          <w:rFonts w:cs="Times New Roman"/>
          <w:szCs w:val="28"/>
          <w:highlight w:val="none"/>
          <w:lang w:val="en-US"/>
        </w:rPr>
        <w:t xml:space="preserve">50. Systematic review with meta-analysis: Direct comparisons of biomarkers for the diagnosis of fibrosis in chronic hepatitis C and B / M. Houot et al. </w:t>
      </w:r>
      <w:r>
        <w:rPr>
          <w:rFonts w:cs="Times New Roman"/>
          <w:i/>
          <w:szCs w:val="28"/>
          <w:highlight w:val="none"/>
          <w:lang w:val="en-US"/>
        </w:rPr>
        <w:t>Alimentary Pharmacology and Therapeutics</w:t>
      </w:r>
      <w:r>
        <w:rPr>
          <w:rFonts w:cs="Times New Roman"/>
          <w:szCs w:val="28"/>
          <w:highlight w:val="none"/>
          <w:lang w:val="en-US"/>
        </w:rPr>
        <w:t>. 2016. Vol. 43 (1). P. 16–29. doi: https://doi.org/10.1111/apt.13446</w:t>
      </w:r>
    </w:p>
    <w:p w14:paraId="5EA436AB">
      <w:pPr>
        <w:widowControl w:val="0"/>
        <w:rPr>
          <w:rFonts w:cs="Times New Roman"/>
          <w:szCs w:val="28"/>
          <w:highlight w:val="none"/>
          <w:lang w:val="en-US"/>
        </w:rPr>
      </w:pPr>
      <w:r>
        <w:rPr>
          <w:rFonts w:cs="Times New Roman"/>
          <w:szCs w:val="28"/>
          <w:highlight w:val="none"/>
          <w:lang w:val="en-US"/>
        </w:rPr>
        <w:t xml:space="preserve">51. </w:t>
      </w:r>
      <w:r>
        <w:rPr>
          <w:rFonts w:cs="Times New Roman"/>
          <w:szCs w:val="28"/>
          <w:highlight w:val="none"/>
          <w:shd w:val="clear" w:color="auto" w:fill="FFFFFF"/>
          <w:lang w:val="en-US"/>
        </w:rPr>
        <w:t xml:space="preserve">Thomas D. L., Seeff L. B. Natural history of hepatitis C. </w:t>
      </w:r>
      <w:r>
        <w:rPr>
          <w:rFonts w:cs="Times New Roman"/>
          <w:i/>
          <w:szCs w:val="28"/>
          <w:highlight w:val="none"/>
          <w:shd w:val="clear" w:color="auto" w:fill="FFFFFF"/>
          <w:lang w:val="en-US"/>
        </w:rPr>
        <w:t>Clin Liver Dis</w:t>
      </w:r>
      <w:r>
        <w:rPr>
          <w:rFonts w:cs="Times New Roman"/>
          <w:szCs w:val="28"/>
          <w:highlight w:val="none"/>
          <w:shd w:val="clear" w:color="auto" w:fill="FFFFFF"/>
          <w:lang w:val="en-US"/>
        </w:rPr>
        <w:t>. 2005. Vol. 9 (3). P. 383</w:t>
      </w:r>
      <w:r>
        <w:rPr>
          <w:rFonts w:cs="Times New Roman"/>
          <w:szCs w:val="28"/>
          <w:highlight w:val="none"/>
          <w:lang w:val="en-US"/>
        </w:rPr>
        <w:t>–3</w:t>
      </w:r>
      <w:r>
        <w:rPr>
          <w:rFonts w:cs="Times New Roman"/>
          <w:szCs w:val="28"/>
          <w:highlight w:val="none"/>
          <w:shd w:val="clear" w:color="auto" w:fill="FFFFFF"/>
          <w:lang w:val="en-US"/>
        </w:rPr>
        <w:t>98. doi: 10.1016/j.cld.2005.05.003</w:t>
      </w:r>
    </w:p>
    <w:p w14:paraId="34E75BF3">
      <w:pPr>
        <w:widowControl w:val="0"/>
        <w:rPr>
          <w:rFonts w:cs="Times New Roman"/>
          <w:szCs w:val="28"/>
          <w:highlight w:val="none"/>
          <w:lang w:val="en-US"/>
        </w:rPr>
      </w:pPr>
      <w:r>
        <w:rPr>
          <w:rFonts w:cs="Times New Roman"/>
          <w:szCs w:val="28"/>
          <w:highlight w:val="none"/>
          <w:lang w:val="en-US"/>
        </w:rPr>
        <w:t xml:space="preserve">52. </w:t>
      </w:r>
      <w:r>
        <w:rPr>
          <w:rFonts w:cs="Times New Roman"/>
          <w:szCs w:val="28"/>
          <w:highlight w:val="none"/>
          <w:shd w:val="clear" w:color="auto" w:fill="FCFCFC"/>
          <w:lang w:val="en-US"/>
        </w:rPr>
        <w:t>Stasi C., Silvestri C., Voller F. Update on Hepatitis C Epidemiology: Unaware and Untreated Infected Population Could Be the Key to Elimination. </w:t>
      </w:r>
      <w:r>
        <w:rPr>
          <w:rFonts w:cs="Times New Roman"/>
          <w:i/>
          <w:iCs/>
          <w:szCs w:val="28"/>
          <w:highlight w:val="none"/>
          <w:shd w:val="clear" w:color="auto" w:fill="FCFCFC"/>
          <w:lang w:val="en-US"/>
        </w:rPr>
        <w:t>SN Compr. Clin. Med</w:t>
      </w:r>
      <w:r>
        <w:rPr>
          <w:rFonts w:cs="Times New Roman"/>
          <w:iCs/>
          <w:szCs w:val="28"/>
          <w:highlight w:val="none"/>
          <w:shd w:val="clear" w:color="auto" w:fill="FCFCFC"/>
          <w:lang w:val="en-US"/>
        </w:rPr>
        <w:t>.</w:t>
      </w:r>
      <w:r>
        <w:rPr>
          <w:rFonts w:cs="Times New Roman"/>
          <w:szCs w:val="28"/>
          <w:highlight w:val="none"/>
          <w:shd w:val="clear" w:color="auto" w:fill="FCFCFC"/>
          <w:lang w:val="en-US"/>
        </w:rPr>
        <w:t xml:space="preserve"> 2020. Vol. </w:t>
      </w:r>
      <w:r>
        <w:rPr>
          <w:rFonts w:cs="Times New Roman"/>
          <w:bCs/>
          <w:szCs w:val="28"/>
          <w:highlight w:val="none"/>
          <w:shd w:val="clear" w:color="auto" w:fill="FCFCFC"/>
          <w:lang w:val="en-US"/>
        </w:rPr>
        <w:t>2</w:t>
      </w:r>
      <w:r>
        <w:rPr>
          <w:rFonts w:cs="Times New Roman"/>
          <w:szCs w:val="28"/>
          <w:highlight w:val="none"/>
          <w:shd w:val="clear" w:color="auto" w:fill="FCFCFC"/>
          <w:lang w:val="en-US"/>
        </w:rPr>
        <w:t>. P. 2808–2815. doi: https://doi.org/10.1007/s42399-020-00588-3</w:t>
      </w:r>
    </w:p>
    <w:p w14:paraId="305F268A">
      <w:pPr>
        <w:widowControl w:val="0"/>
        <w:rPr>
          <w:rFonts w:cs="Times New Roman"/>
          <w:szCs w:val="28"/>
          <w:highlight w:val="none"/>
          <w:lang w:val="en-US"/>
        </w:rPr>
      </w:pPr>
      <w:r>
        <w:rPr>
          <w:rFonts w:cs="Times New Roman"/>
          <w:szCs w:val="28"/>
          <w:highlight w:val="none"/>
          <w:lang w:val="en-US"/>
        </w:rPr>
        <w:t>53. Centers for Disease Control and Prevention. Hepatitis C questions and answers for health professionals. 2020. URL: </w:t>
      </w:r>
      <w:r>
        <w:rPr>
          <w:highlight w:val="none"/>
        </w:rPr>
        <w:fldChar w:fldCharType="begin"/>
      </w:r>
      <w:r>
        <w:rPr>
          <w:highlight w:val="none"/>
        </w:rPr>
        <w:instrText xml:space="preserve"> HYPERLINK "https://www.cdc.gov/hepatitis/hcv/hcvfaq.htm" </w:instrText>
      </w:r>
      <w:r>
        <w:rPr>
          <w:highlight w:val="none"/>
        </w:rPr>
        <w:fldChar w:fldCharType="separate"/>
      </w:r>
      <w:r>
        <w:rPr>
          <w:rStyle w:val="11"/>
          <w:rFonts w:cs="Times New Roman"/>
          <w:color w:val="auto"/>
          <w:szCs w:val="28"/>
          <w:highlight w:val="none"/>
          <w:u w:val="none"/>
          <w:lang w:val="en-US"/>
        </w:rPr>
        <w:t>https://www.cdc.gov/hepatitis/hcv/hcvfaq.htm</w:t>
      </w:r>
      <w:r>
        <w:rPr>
          <w:rStyle w:val="11"/>
          <w:rFonts w:cs="Times New Roman"/>
          <w:color w:val="auto"/>
          <w:szCs w:val="28"/>
          <w:highlight w:val="none"/>
          <w:u w:val="none"/>
          <w:lang w:val="en-US"/>
        </w:rPr>
        <w:fldChar w:fldCharType="end"/>
      </w:r>
    </w:p>
    <w:p w14:paraId="784E4947">
      <w:pPr>
        <w:widowControl w:val="0"/>
        <w:rPr>
          <w:rFonts w:cs="Times New Roman"/>
          <w:szCs w:val="28"/>
          <w:highlight w:val="none"/>
          <w:lang w:val="en-US"/>
        </w:rPr>
      </w:pPr>
      <w:r>
        <w:rPr>
          <w:rFonts w:cs="Times New Roman"/>
          <w:szCs w:val="28"/>
          <w:highlight w:val="none"/>
          <w:lang w:val="en-US"/>
        </w:rPr>
        <w:t xml:space="preserve">54. Neuropsychiatric symptoms in hepatitis C patients resemble those of patients with autoimmune liver disease but are different from those in hepatitis B patients / M. Dirks et al. </w:t>
      </w:r>
      <w:r>
        <w:rPr>
          <w:rFonts w:cs="Times New Roman"/>
          <w:i/>
          <w:szCs w:val="28"/>
          <w:highlight w:val="none"/>
          <w:lang w:val="en-US"/>
        </w:rPr>
        <w:t>J. Viral Hepat</w:t>
      </w:r>
      <w:r>
        <w:rPr>
          <w:rFonts w:cs="Times New Roman"/>
          <w:szCs w:val="28"/>
          <w:highlight w:val="none"/>
          <w:lang w:val="en-US"/>
        </w:rPr>
        <w:t>. 2019. Vol. 26. P. 422–31. doi: </w:t>
      </w:r>
      <w:r>
        <w:rPr>
          <w:highlight w:val="none"/>
        </w:rPr>
        <w:fldChar w:fldCharType="begin"/>
      </w:r>
      <w:r>
        <w:rPr>
          <w:highlight w:val="none"/>
        </w:rPr>
        <w:instrText xml:space="preserve"> HYPERLINK "https://doi.org/10.1111/jvh.12979" </w:instrText>
      </w:r>
      <w:r>
        <w:rPr>
          <w:highlight w:val="none"/>
        </w:rPr>
        <w:fldChar w:fldCharType="separate"/>
      </w:r>
      <w:r>
        <w:rPr>
          <w:rStyle w:val="11"/>
          <w:rFonts w:cs="Times New Roman"/>
          <w:color w:val="auto"/>
          <w:szCs w:val="28"/>
          <w:highlight w:val="none"/>
          <w:u w:val="none"/>
          <w:lang w:val="en-US"/>
        </w:rPr>
        <w:t>https://doi.org/10.1111/jvh.12979</w:t>
      </w:r>
      <w:r>
        <w:rPr>
          <w:rStyle w:val="11"/>
          <w:rFonts w:cs="Times New Roman"/>
          <w:color w:val="auto"/>
          <w:szCs w:val="28"/>
          <w:highlight w:val="none"/>
          <w:u w:val="none"/>
          <w:lang w:val="en-US"/>
        </w:rPr>
        <w:fldChar w:fldCharType="end"/>
      </w:r>
    </w:p>
    <w:p w14:paraId="0EFD0D6F">
      <w:pPr>
        <w:widowControl w:val="0"/>
        <w:rPr>
          <w:rFonts w:cs="Times New Roman"/>
          <w:szCs w:val="28"/>
          <w:highlight w:val="none"/>
          <w:lang w:val="en-US"/>
        </w:rPr>
      </w:pPr>
      <w:r>
        <w:rPr>
          <w:rFonts w:cs="Times New Roman"/>
          <w:szCs w:val="28"/>
          <w:highlight w:val="none"/>
          <w:lang w:val="en-US"/>
        </w:rPr>
        <w:t xml:space="preserve">55. </w:t>
      </w:r>
      <w:r>
        <w:rPr>
          <w:rStyle w:val="57"/>
          <w:rFonts w:cs="Times New Roman"/>
          <w:szCs w:val="28"/>
          <w:highlight w:val="none"/>
          <w:shd w:val="clear" w:color="auto" w:fill="FFFFFF"/>
          <w:lang w:val="en-US"/>
        </w:rPr>
        <w:t>Hepatitis C virus infection and chronic kidney disease: time for reappraisal</w:t>
      </w:r>
      <w:r>
        <w:rPr>
          <w:rFonts w:cs="Times New Roman"/>
          <w:szCs w:val="28"/>
          <w:highlight w:val="none"/>
          <w:shd w:val="clear" w:color="auto" w:fill="FFFFFF"/>
          <w:lang w:val="en-US"/>
        </w:rPr>
        <w:t xml:space="preserve"> /</w:t>
      </w:r>
      <w:r>
        <w:rPr>
          <w:rStyle w:val="56"/>
          <w:rFonts w:cs="Times New Roman"/>
          <w:szCs w:val="28"/>
          <w:highlight w:val="none"/>
          <w:shd w:val="clear" w:color="auto" w:fill="FFFFFF"/>
          <w:lang w:val="en-US"/>
        </w:rPr>
        <w:t xml:space="preserve"> P. Cacoub et al.</w:t>
      </w:r>
      <w:r>
        <w:rPr>
          <w:rFonts w:cs="Times New Roman"/>
          <w:iCs/>
          <w:szCs w:val="28"/>
          <w:highlight w:val="none"/>
          <w:shd w:val="clear" w:color="auto" w:fill="FFFFFF"/>
          <w:lang w:val="en-US"/>
        </w:rPr>
        <w:t xml:space="preserve"> </w:t>
      </w:r>
      <w:r>
        <w:rPr>
          <w:rFonts w:cs="Times New Roman"/>
          <w:i/>
          <w:iCs/>
          <w:szCs w:val="28"/>
          <w:highlight w:val="none"/>
          <w:shd w:val="clear" w:color="auto" w:fill="FFFFFF"/>
          <w:lang w:val="en-US"/>
        </w:rPr>
        <w:t>J. Hepatol</w:t>
      </w:r>
      <w:r>
        <w:rPr>
          <w:rFonts w:cs="Times New Roman"/>
          <w:i/>
          <w:szCs w:val="28"/>
          <w:highlight w:val="none"/>
          <w:shd w:val="clear" w:color="auto" w:fill="FFFFFF"/>
          <w:lang w:val="en-US"/>
        </w:rPr>
        <w:t>.</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2016</w:t>
      </w:r>
      <w:r>
        <w:rPr>
          <w:rFonts w:cs="Times New Roman"/>
          <w:szCs w:val="28"/>
          <w:highlight w:val="none"/>
          <w:shd w:val="clear" w:color="auto" w:fill="FFFFFF"/>
          <w:lang w:val="en-US"/>
        </w:rPr>
        <w:t>. Vol. </w:t>
      </w:r>
      <w:r>
        <w:rPr>
          <w:rStyle w:val="59"/>
          <w:rFonts w:cs="Times New Roman"/>
          <w:bCs/>
          <w:szCs w:val="28"/>
          <w:highlight w:val="none"/>
          <w:shd w:val="clear" w:color="auto" w:fill="FFFFFF"/>
          <w:lang w:val="en-US"/>
        </w:rPr>
        <w:t>65</w:t>
      </w:r>
      <w:r>
        <w:rPr>
          <w:rFonts w:cs="Times New Roman"/>
          <w:szCs w:val="28"/>
          <w:highlight w:val="none"/>
          <w:shd w:val="clear" w:color="auto" w:fill="FFFFFF"/>
          <w:lang w:val="en-US"/>
        </w:rPr>
        <w:t xml:space="preserve">, </w:t>
      </w:r>
      <w:r>
        <w:rPr>
          <w:rStyle w:val="62"/>
          <w:rFonts w:cs="Times New Roman"/>
          <w:szCs w:val="28"/>
          <w:highlight w:val="none"/>
          <w:shd w:val="clear" w:color="auto" w:fill="FFFFFF"/>
          <w:lang w:val="en-US"/>
        </w:rPr>
        <w:t>1 Suppl</w:t>
      </w:r>
      <w:r>
        <w:rPr>
          <w:rFonts w:cs="Times New Roman"/>
          <w:szCs w:val="28"/>
          <w:highlight w:val="none"/>
          <w:shd w:val="clear" w:color="auto" w:fill="FFFFFF"/>
          <w:lang w:val="en-US"/>
        </w:rPr>
        <w:t xml:space="preserve">. P. </w:t>
      </w:r>
      <w:r>
        <w:rPr>
          <w:rStyle w:val="60"/>
          <w:rFonts w:cs="Times New Roman"/>
          <w:szCs w:val="28"/>
          <w:highlight w:val="none"/>
          <w:shd w:val="clear" w:color="auto" w:fill="FFFFFF"/>
          <w:lang w:val="en-US"/>
        </w:rPr>
        <w:t>S82</w:t>
      </w:r>
      <w:r>
        <w:rPr>
          <w:rFonts w:cs="Times New Roman"/>
          <w:szCs w:val="28"/>
          <w:highlight w:val="none"/>
          <w:lang w:val="en-US"/>
        </w:rPr>
        <w:t>–</w:t>
      </w:r>
      <w:r>
        <w:rPr>
          <w:rStyle w:val="61"/>
          <w:rFonts w:cs="Times New Roman"/>
          <w:szCs w:val="28"/>
          <w:highlight w:val="none"/>
          <w:shd w:val="clear" w:color="auto" w:fill="FFFFFF"/>
          <w:lang w:val="en-US"/>
        </w:rPr>
        <w:t>S94</w:t>
      </w:r>
      <w:r>
        <w:rPr>
          <w:rFonts w:cs="Times New Roman"/>
          <w:szCs w:val="28"/>
          <w:highlight w:val="none"/>
          <w:shd w:val="clear" w:color="auto" w:fill="FFFFFF"/>
          <w:lang w:val="en-US"/>
        </w:rPr>
        <w:t>.</w:t>
      </w:r>
      <w:r>
        <w:rPr>
          <w:rStyle w:val="53"/>
          <w:rFonts w:cs="Times New Roman"/>
          <w:szCs w:val="28"/>
          <w:highlight w:val="none"/>
          <w:lang w:val="en-US"/>
        </w:rPr>
        <w:t xml:space="preserve"> doi: </w:t>
      </w:r>
      <w:r>
        <w:rPr>
          <w:highlight w:val="none"/>
        </w:rPr>
        <w:fldChar w:fldCharType="begin"/>
      </w:r>
      <w:r>
        <w:rPr>
          <w:highlight w:val="none"/>
        </w:rPr>
        <w:instrText xml:space="preserve"> HYPERLINK "https://doi.org/10.1016/j.jhep.2016.06.011" \t "_blank" </w:instrText>
      </w:r>
      <w:r>
        <w:rPr>
          <w:highlight w:val="none"/>
        </w:rPr>
        <w:fldChar w:fldCharType="separate"/>
      </w:r>
      <w:r>
        <w:rPr>
          <w:rStyle w:val="11"/>
          <w:rFonts w:cs="Times New Roman"/>
          <w:color w:val="auto"/>
          <w:szCs w:val="28"/>
          <w:highlight w:val="none"/>
          <w:u w:val="none"/>
          <w:lang w:val="en-US"/>
        </w:rPr>
        <w:t>10.1016/j.jhep.2016.06.011</w:t>
      </w:r>
      <w:r>
        <w:rPr>
          <w:rStyle w:val="11"/>
          <w:rFonts w:cs="Times New Roman"/>
          <w:color w:val="auto"/>
          <w:szCs w:val="28"/>
          <w:highlight w:val="none"/>
          <w:u w:val="none"/>
          <w:lang w:val="en-US"/>
        </w:rPr>
        <w:fldChar w:fldCharType="end"/>
      </w:r>
    </w:p>
    <w:p w14:paraId="5801E360">
      <w:pPr>
        <w:widowControl w:val="0"/>
        <w:rPr>
          <w:rFonts w:cs="Times New Roman"/>
          <w:szCs w:val="28"/>
          <w:highlight w:val="none"/>
          <w:lang w:val="en-US"/>
        </w:rPr>
      </w:pPr>
      <w:r>
        <w:rPr>
          <w:rFonts w:cs="Times New Roman"/>
          <w:szCs w:val="28"/>
          <w:highlight w:val="none"/>
          <w:lang w:val="en-US"/>
        </w:rPr>
        <w:t xml:space="preserve">56. </w:t>
      </w:r>
      <w:r>
        <w:rPr>
          <w:rStyle w:val="57"/>
          <w:rFonts w:cs="Times New Roman"/>
          <w:szCs w:val="28"/>
          <w:highlight w:val="none"/>
          <w:shd w:val="clear" w:color="auto" w:fill="FFFFFF"/>
          <w:lang w:val="en-US"/>
        </w:rPr>
        <w:t>EHM of hepatitis C: a meta-analysis of prevalence, quality of life, and economic burden</w:t>
      </w:r>
      <w:r>
        <w:rPr>
          <w:rFonts w:cs="Times New Roman"/>
          <w:szCs w:val="28"/>
          <w:highlight w:val="none"/>
          <w:shd w:val="clear" w:color="auto" w:fill="FFFFFF"/>
          <w:lang w:val="en-US"/>
        </w:rPr>
        <w:t xml:space="preserve"> / </w:t>
      </w:r>
      <w:r>
        <w:rPr>
          <w:rStyle w:val="56"/>
          <w:rFonts w:cs="Times New Roman"/>
          <w:szCs w:val="28"/>
          <w:highlight w:val="none"/>
          <w:shd w:val="clear" w:color="auto" w:fill="FFFFFF"/>
          <w:lang w:val="en-US"/>
        </w:rPr>
        <w:t xml:space="preserve">Z. Younossi et al. </w:t>
      </w:r>
      <w:r>
        <w:rPr>
          <w:rFonts w:cs="Times New Roman"/>
          <w:i/>
          <w:iCs/>
          <w:szCs w:val="28"/>
          <w:highlight w:val="none"/>
          <w:shd w:val="clear" w:color="auto" w:fill="FFFFFF"/>
          <w:lang w:val="en-US"/>
        </w:rPr>
        <w:t>Gastroenterology</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2016</w:t>
      </w:r>
      <w:r>
        <w:rPr>
          <w:rFonts w:cs="Times New Roman"/>
          <w:szCs w:val="28"/>
          <w:highlight w:val="none"/>
          <w:shd w:val="clear" w:color="auto" w:fill="FFFFFF"/>
          <w:lang w:val="en-US"/>
        </w:rPr>
        <w:t xml:space="preserve">. Vol. </w:t>
      </w:r>
      <w:r>
        <w:rPr>
          <w:rStyle w:val="59"/>
          <w:rFonts w:cs="Times New Roman"/>
          <w:bCs/>
          <w:szCs w:val="28"/>
          <w:highlight w:val="none"/>
          <w:shd w:val="clear" w:color="auto" w:fill="FFFFFF"/>
          <w:lang w:val="en-US"/>
        </w:rPr>
        <w:t xml:space="preserve">150 </w:t>
      </w:r>
      <w:r>
        <w:rPr>
          <w:rFonts w:cs="Times New Roman"/>
          <w:szCs w:val="28"/>
          <w:highlight w:val="none"/>
          <w:shd w:val="clear" w:color="auto" w:fill="FFFFFF"/>
          <w:lang w:val="en-US"/>
        </w:rPr>
        <w:t>(</w:t>
      </w:r>
      <w:r>
        <w:rPr>
          <w:rStyle w:val="62"/>
          <w:rFonts w:cs="Times New Roman"/>
          <w:szCs w:val="28"/>
          <w:highlight w:val="none"/>
          <w:shd w:val="clear" w:color="auto" w:fill="FFFFFF"/>
          <w:lang w:val="en-US"/>
        </w:rPr>
        <w:t>7</w:t>
      </w:r>
      <w:r>
        <w:rPr>
          <w:rFonts w:cs="Times New Roman"/>
          <w:szCs w:val="28"/>
          <w:highlight w:val="none"/>
          <w:shd w:val="clear" w:color="auto" w:fill="FFFFFF"/>
          <w:lang w:val="en-US"/>
        </w:rPr>
        <w:t xml:space="preserve">). P. </w:t>
      </w:r>
      <w:r>
        <w:rPr>
          <w:rStyle w:val="60"/>
          <w:rFonts w:cs="Times New Roman"/>
          <w:szCs w:val="28"/>
          <w:highlight w:val="none"/>
          <w:shd w:val="clear" w:color="auto" w:fill="FFFFFF"/>
          <w:lang w:val="en-US"/>
        </w:rPr>
        <w:t>1599</w:t>
      </w:r>
      <w:r>
        <w:rPr>
          <w:rFonts w:cs="Times New Roman"/>
          <w:szCs w:val="28"/>
          <w:highlight w:val="none"/>
          <w:lang w:val="en-US"/>
        </w:rPr>
        <w:t>–</w:t>
      </w:r>
      <w:r>
        <w:rPr>
          <w:rStyle w:val="61"/>
          <w:rFonts w:cs="Times New Roman"/>
          <w:szCs w:val="28"/>
          <w:highlight w:val="none"/>
          <w:shd w:val="clear" w:color="auto" w:fill="FFFFFF"/>
          <w:lang w:val="en-US"/>
        </w:rPr>
        <w:t>1608</w:t>
      </w:r>
      <w:r>
        <w:rPr>
          <w:rFonts w:cs="Times New Roman"/>
          <w:szCs w:val="28"/>
          <w:highlight w:val="none"/>
          <w:shd w:val="clear" w:color="auto" w:fill="FFFFFF"/>
          <w:lang w:val="en-US"/>
        </w:rPr>
        <w:t>.</w:t>
      </w:r>
      <w:r>
        <w:rPr>
          <w:rStyle w:val="53"/>
          <w:rFonts w:cs="Times New Roman"/>
          <w:szCs w:val="28"/>
          <w:highlight w:val="none"/>
          <w:lang w:val="en-US"/>
        </w:rPr>
        <w:t xml:space="preserve"> doi: </w:t>
      </w:r>
      <w:r>
        <w:rPr>
          <w:highlight w:val="none"/>
        </w:rPr>
        <w:fldChar w:fldCharType="begin"/>
      </w:r>
      <w:r>
        <w:rPr>
          <w:highlight w:val="none"/>
        </w:rPr>
        <w:instrText xml:space="preserve"> HYPERLINK "https://doi.org/10.1053/j.gastro.2016.02.039" \t "_blank" </w:instrText>
      </w:r>
      <w:r>
        <w:rPr>
          <w:highlight w:val="none"/>
        </w:rPr>
        <w:fldChar w:fldCharType="separate"/>
      </w:r>
      <w:r>
        <w:rPr>
          <w:rStyle w:val="11"/>
          <w:rFonts w:cs="Times New Roman"/>
          <w:color w:val="auto"/>
          <w:szCs w:val="28"/>
          <w:highlight w:val="none"/>
          <w:u w:val="none"/>
          <w:lang w:val="en-US"/>
        </w:rPr>
        <w:t>10.1053/j.gastro.2016.02.039</w:t>
      </w:r>
      <w:r>
        <w:rPr>
          <w:rStyle w:val="11"/>
          <w:rFonts w:cs="Times New Roman"/>
          <w:color w:val="auto"/>
          <w:szCs w:val="28"/>
          <w:highlight w:val="none"/>
          <w:u w:val="none"/>
          <w:lang w:val="en-US"/>
        </w:rPr>
        <w:fldChar w:fldCharType="end"/>
      </w:r>
    </w:p>
    <w:p w14:paraId="709384E4">
      <w:pPr>
        <w:widowControl w:val="0"/>
        <w:rPr>
          <w:rFonts w:cs="Times New Roman"/>
          <w:szCs w:val="28"/>
          <w:highlight w:val="none"/>
          <w:lang w:val="en-US"/>
        </w:rPr>
      </w:pPr>
      <w:r>
        <w:rPr>
          <w:rFonts w:cs="Times New Roman"/>
          <w:szCs w:val="28"/>
          <w:highlight w:val="none"/>
          <w:lang w:val="en-US"/>
        </w:rPr>
        <w:t xml:space="preserve">57. </w:t>
      </w:r>
      <w:r>
        <w:rPr>
          <w:rStyle w:val="57"/>
          <w:rFonts w:cs="Times New Roman"/>
          <w:szCs w:val="28"/>
          <w:highlight w:val="none"/>
          <w:shd w:val="clear" w:color="auto" w:fill="FFFFFF"/>
          <w:lang w:val="en-US"/>
        </w:rPr>
        <w:t>Hepatitis C virus infection is associated with increased cardiovascular mortality: a meta-analysis of observational studies mortality: a meta-analysis of observational studies</w:t>
      </w:r>
      <w:r>
        <w:rPr>
          <w:rFonts w:cs="Times New Roman"/>
          <w:szCs w:val="28"/>
          <w:highlight w:val="none"/>
          <w:shd w:val="clear" w:color="auto" w:fill="FFFFFF"/>
          <w:lang w:val="en-US"/>
        </w:rPr>
        <w:t xml:space="preserve"> / </w:t>
      </w:r>
      <w:r>
        <w:rPr>
          <w:rStyle w:val="56"/>
          <w:rFonts w:cs="Times New Roman"/>
          <w:szCs w:val="28"/>
          <w:highlight w:val="none"/>
          <w:shd w:val="clear" w:color="auto" w:fill="FFFFFF"/>
          <w:lang w:val="en-US"/>
        </w:rPr>
        <w:t xml:space="preserve">S. Petta et al. </w:t>
      </w:r>
      <w:r>
        <w:rPr>
          <w:rFonts w:cs="Times New Roman"/>
          <w:i/>
          <w:iCs/>
          <w:szCs w:val="28"/>
          <w:highlight w:val="none"/>
          <w:shd w:val="clear" w:color="auto" w:fill="FFFFFF"/>
          <w:lang w:val="en-US"/>
        </w:rPr>
        <w:t>Gastroenterology</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2016</w:t>
      </w:r>
      <w:r>
        <w:rPr>
          <w:rFonts w:cs="Times New Roman"/>
          <w:szCs w:val="28"/>
          <w:highlight w:val="none"/>
          <w:shd w:val="clear" w:color="auto" w:fill="FFFFFF"/>
          <w:lang w:val="en-US"/>
        </w:rPr>
        <w:t>. Vol.</w:t>
      </w:r>
      <w:r>
        <w:rPr>
          <w:rStyle w:val="59"/>
          <w:rFonts w:cs="Times New Roman"/>
          <w:bCs/>
          <w:szCs w:val="28"/>
          <w:highlight w:val="none"/>
          <w:shd w:val="clear" w:color="auto" w:fill="FFFFFF"/>
          <w:lang w:val="en-US"/>
        </w:rPr>
        <w:t xml:space="preserve"> 150</w:t>
      </w:r>
      <w:r>
        <w:rPr>
          <w:rFonts w:cs="Times New Roman"/>
          <w:szCs w:val="28"/>
          <w:highlight w:val="none"/>
          <w:shd w:val="clear" w:color="auto" w:fill="FFFFFF"/>
          <w:lang w:val="en-US"/>
        </w:rPr>
        <w:t xml:space="preserve">. P. </w:t>
      </w:r>
      <w:r>
        <w:rPr>
          <w:rStyle w:val="60"/>
          <w:rFonts w:cs="Times New Roman"/>
          <w:szCs w:val="28"/>
          <w:highlight w:val="none"/>
          <w:shd w:val="clear" w:color="auto" w:fill="FFFFFF"/>
          <w:lang w:val="en-US"/>
        </w:rPr>
        <w:t>145</w:t>
      </w:r>
      <w:r>
        <w:rPr>
          <w:rFonts w:cs="Times New Roman"/>
          <w:szCs w:val="28"/>
          <w:highlight w:val="none"/>
          <w:lang w:val="en-US"/>
        </w:rPr>
        <w:t>–</w:t>
      </w:r>
      <w:r>
        <w:rPr>
          <w:rStyle w:val="61"/>
          <w:rFonts w:cs="Times New Roman"/>
          <w:szCs w:val="28"/>
          <w:highlight w:val="none"/>
          <w:shd w:val="clear" w:color="auto" w:fill="FFFFFF"/>
          <w:lang w:val="en-US"/>
        </w:rPr>
        <w:t>155</w:t>
      </w:r>
      <w:r>
        <w:rPr>
          <w:rFonts w:cs="Times New Roman"/>
          <w:szCs w:val="28"/>
          <w:highlight w:val="none"/>
          <w:shd w:val="clear" w:color="auto" w:fill="FFFFFF"/>
          <w:lang w:val="en-US"/>
        </w:rPr>
        <w:t>.</w:t>
      </w:r>
      <w:r>
        <w:rPr>
          <w:rStyle w:val="53"/>
          <w:rFonts w:cs="Times New Roman"/>
          <w:szCs w:val="28"/>
          <w:highlight w:val="none"/>
          <w:lang w:val="en-US"/>
        </w:rPr>
        <w:t xml:space="preserve"> doi: </w:t>
      </w:r>
      <w:r>
        <w:rPr>
          <w:highlight w:val="none"/>
        </w:rPr>
        <w:fldChar w:fldCharType="begin"/>
      </w:r>
      <w:r>
        <w:rPr>
          <w:highlight w:val="none"/>
        </w:rPr>
        <w:instrText xml:space="preserve"> HYPERLINK "https://doi.org/10.1053/j.gastro.2015.09.007" \t "_blank" </w:instrText>
      </w:r>
      <w:r>
        <w:rPr>
          <w:highlight w:val="none"/>
        </w:rPr>
        <w:fldChar w:fldCharType="separate"/>
      </w:r>
      <w:r>
        <w:rPr>
          <w:rStyle w:val="11"/>
          <w:rFonts w:cs="Times New Roman"/>
          <w:color w:val="auto"/>
          <w:szCs w:val="28"/>
          <w:highlight w:val="none"/>
          <w:u w:val="none"/>
          <w:lang w:val="en-US"/>
        </w:rPr>
        <w:t>10.1053/j.gastro.2015.09.007</w:t>
      </w:r>
      <w:r>
        <w:rPr>
          <w:rStyle w:val="11"/>
          <w:rFonts w:cs="Times New Roman"/>
          <w:color w:val="auto"/>
          <w:szCs w:val="28"/>
          <w:highlight w:val="none"/>
          <w:u w:val="none"/>
          <w:lang w:val="en-US"/>
        </w:rPr>
        <w:fldChar w:fldCharType="end"/>
      </w:r>
    </w:p>
    <w:p w14:paraId="5FCDF337">
      <w:pPr>
        <w:widowControl w:val="0"/>
        <w:rPr>
          <w:rFonts w:cs="Times New Roman"/>
          <w:szCs w:val="28"/>
          <w:highlight w:val="none"/>
          <w:lang w:val="en-US"/>
        </w:rPr>
      </w:pPr>
      <w:r>
        <w:rPr>
          <w:rFonts w:cs="Times New Roman"/>
          <w:szCs w:val="28"/>
          <w:highlight w:val="none"/>
          <w:lang w:val="en-US"/>
        </w:rPr>
        <w:t xml:space="preserve">58. </w:t>
      </w:r>
      <w:r>
        <w:rPr>
          <w:rStyle w:val="57"/>
          <w:rFonts w:cs="Times New Roman"/>
          <w:szCs w:val="28"/>
          <w:highlight w:val="none"/>
          <w:shd w:val="clear" w:color="auto" w:fill="FFFFFF"/>
          <w:lang w:val="en-US"/>
        </w:rPr>
        <w:t>Effects of viral eradication with ledipasvir and sofosbuvir, with or without ribavirin, on measures of fatigue in patients with chronic hepatitis C virus infection</w:t>
      </w:r>
      <w:r>
        <w:rPr>
          <w:rFonts w:cs="Times New Roman"/>
          <w:szCs w:val="28"/>
          <w:highlight w:val="none"/>
          <w:shd w:val="clear" w:color="auto" w:fill="FFFFFF"/>
          <w:lang w:val="en-US"/>
        </w:rPr>
        <w:t xml:space="preserve"> / </w:t>
      </w:r>
      <w:r>
        <w:rPr>
          <w:rStyle w:val="56"/>
          <w:rFonts w:cs="Times New Roman"/>
          <w:szCs w:val="28"/>
          <w:highlight w:val="none"/>
          <w:shd w:val="clear" w:color="auto" w:fill="FFFFFF"/>
          <w:lang w:val="en-US"/>
        </w:rPr>
        <w:t>L. Gerber et al.</w:t>
      </w:r>
      <w:r>
        <w:rPr>
          <w:rFonts w:cs="Times New Roman"/>
          <w:iCs/>
          <w:szCs w:val="28"/>
          <w:highlight w:val="none"/>
          <w:shd w:val="clear" w:color="auto" w:fill="FFFFFF"/>
          <w:lang w:val="en-US"/>
        </w:rPr>
        <w:t xml:space="preserve"> </w:t>
      </w:r>
      <w:r>
        <w:rPr>
          <w:rFonts w:cs="Times New Roman"/>
          <w:i/>
          <w:iCs/>
          <w:szCs w:val="28"/>
          <w:highlight w:val="none"/>
          <w:shd w:val="clear" w:color="auto" w:fill="FFFFFF"/>
          <w:lang w:val="en-US"/>
        </w:rPr>
        <w:t>Clin. Gastroenterol Hepatol</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2016</w:t>
      </w:r>
      <w:r>
        <w:rPr>
          <w:rFonts w:cs="Times New Roman"/>
          <w:szCs w:val="28"/>
          <w:highlight w:val="none"/>
          <w:shd w:val="clear" w:color="auto" w:fill="FFFFFF"/>
          <w:lang w:val="en-US"/>
        </w:rPr>
        <w:t xml:space="preserve">. Vol. </w:t>
      </w:r>
      <w:r>
        <w:rPr>
          <w:rStyle w:val="59"/>
          <w:rFonts w:cs="Times New Roman"/>
          <w:bCs/>
          <w:szCs w:val="28"/>
          <w:highlight w:val="none"/>
          <w:shd w:val="clear" w:color="auto" w:fill="FFFFFF"/>
          <w:lang w:val="en-US"/>
        </w:rPr>
        <w:t xml:space="preserve">14 </w:t>
      </w:r>
      <w:r>
        <w:rPr>
          <w:rFonts w:cs="Times New Roman"/>
          <w:szCs w:val="28"/>
          <w:highlight w:val="none"/>
          <w:shd w:val="clear" w:color="auto" w:fill="FFFFFF"/>
          <w:lang w:val="en-US"/>
        </w:rPr>
        <w:t>(</w:t>
      </w:r>
      <w:r>
        <w:rPr>
          <w:rStyle w:val="62"/>
          <w:rFonts w:cs="Times New Roman"/>
          <w:szCs w:val="28"/>
          <w:highlight w:val="none"/>
          <w:shd w:val="clear" w:color="auto" w:fill="FFFFFF"/>
          <w:lang w:val="en-US"/>
        </w:rPr>
        <w:t>1</w:t>
      </w:r>
      <w:r>
        <w:rPr>
          <w:rFonts w:cs="Times New Roman"/>
          <w:szCs w:val="28"/>
          <w:highlight w:val="none"/>
          <w:shd w:val="clear" w:color="auto" w:fill="FFFFFF"/>
          <w:lang w:val="en-US"/>
        </w:rPr>
        <w:t xml:space="preserve">). P. </w:t>
      </w:r>
      <w:r>
        <w:rPr>
          <w:rStyle w:val="60"/>
          <w:rFonts w:cs="Times New Roman"/>
          <w:szCs w:val="28"/>
          <w:highlight w:val="none"/>
          <w:shd w:val="clear" w:color="auto" w:fill="FFFFFF"/>
          <w:lang w:val="en-US"/>
        </w:rPr>
        <w:t>156</w:t>
      </w:r>
      <w:r>
        <w:rPr>
          <w:rFonts w:cs="Times New Roman"/>
          <w:szCs w:val="28"/>
          <w:highlight w:val="none"/>
          <w:lang w:val="en-US"/>
        </w:rPr>
        <w:t>–</w:t>
      </w:r>
      <w:r>
        <w:rPr>
          <w:rStyle w:val="61"/>
          <w:rFonts w:cs="Times New Roman"/>
          <w:szCs w:val="28"/>
          <w:highlight w:val="none"/>
          <w:shd w:val="clear" w:color="auto" w:fill="FFFFFF"/>
          <w:lang w:val="en-US"/>
        </w:rPr>
        <w:t>164</w:t>
      </w:r>
      <w:r>
        <w:rPr>
          <w:rFonts w:cs="Times New Roman"/>
          <w:szCs w:val="28"/>
          <w:highlight w:val="none"/>
          <w:shd w:val="clear" w:color="auto" w:fill="FFFFFF"/>
          <w:lang w:val="en-US"/>
        </w:rPr>
        <w:t>.</w:t>
      </w:r>
      <w:r>
        <w:rPr>
          <w:rStyle w:val="53"/>
          <w:rFonts w:cs="Times New Roman"/>
          <w:szCs w:val="28"/>
          <w:highlight w:val="none"/>
          <w:lang w:val="en-US"/>
        </w:rPr>
        <w:t xml:space="preserve"> doi: </w:t>
      </w:r>
      <w:r>
        <w:rPr>
          <w:highlight w:val="none"/>
        </w:rPr>
        <w:fldChar w:fldCharType="begin"/>
      </w:r>
      <w:r>
        <w:rPr>
          <w:highlight w:val="none"/>
        </w:rPr>
        <w:instrText xml:space="preserve"> HYPERLINK "https://doi.org/10.1016/j.cgh.2015.07.035" \t "_blank" </w:instrText>
      </w:r>
      <w:r>
        <w:rPr>
          <w:highlight w:val="none"/>
        </w:rPr>
        <w:fldChar w:fldCharType="separate"/>
      </w:r>
      <w:r>
        <w:rPr>
          <w:rStyle w:val="11"/>
          <w:rFonts w:cs="Times New Roman"/>
          <w:color w:val="auto"/>
          <w:szCs w:val="28"/>
          <w:highlight w:val="none"/>
          <w:u w:val="none"/>
          <w:lang w:val="en-US"/>
        </w:rPr>
        <w:t>10.1016/j.cgh.2015.07.035</w:t>
      </w:r>
      <w:r>
        <w:rPr>
          <w:rStyle w:val="11"/>
          <w:rFonts w:cs="Times New Roman"/>
          <w:color w:val="auto"/>
          <w:szCs w:val="28"/>
          <w:highlight w:val="none"/>
          <w:u w:val="none"/>
          <w:lang w:val="en-US"/>
        </w:rPr>
        <w:fldChar w:fldCharType="end"/>
      </w:r>
    </w:p>
    <w:p w14:paraId="711ABE43">
      <w:pPr>
        <w:widowControl w:val="0"/>
        <w:rPr>
          <w:rFonts w:cs="Times New Roman"/>
          <w:szCs w:val="28"/>
          <w:highlight w:val="none"/>
          <w:lang w:val="en-US"/>
        </w:rPr>
      </w:pPr>
      <w:r>
        <w:rPr>
          <w:rFonts w:cs="Times New Roman"/>
          <w:szCs w:val="28"/>
          <w:highlight w:val="none"/>
          <w:lang w:val="en-US"/>
        </w:rPr>
        <w:t xml:space="preserve">59. </w:t>
      </w:r>
      <w:r>
        <w:rPr>
          <w:rFonts w:cs="Times New Roman"/>
          <w:szCs w:val="28"/>
          <w:highlight w:val="none"/>
          <w:shd w:val="clear" w:color="auto" w:fill="FFFFFF"/>
          <w:lang w:val="en-US"/>
        </w:rPr>
        <w:t>Fox A. Hepatitis C-Free Europe Is Possible by 2030. </w:t>
      </w:r>
      <w:r>
        <w:rPr>
          <w:rFonts w:cs="Times New Roman"/>
          <w:i/>
          <w:iCs/>
          <w:szCs w:val="28"/>
          <w:highlight w:val="none"/>
          <w:shd w:val="clear" w:color="auto" w:fill="FFFFFF"/>
          <w:lang w:val="en-US"/>
        </w:rPr>
        <w:t>Visceral medicine</w:t>
      </w:r>
      <w:r>
        <w:rPr>
          <w:rFonts w:cs="Times New Roman"/>
          <w:szCs w:val="28"/>
          <w:highlight w:val="none"/>
          <w:shd w:val="clear" w:color="auto" w:fill="FFFFFF"/>
          <w:lang w:val="en-US"/>
        </w:rPr>
        <w:t xml:space="preserve">. 2016. Vol. </w:t>
      </w:r>
      <w:r>
        <w:rPr>
          <w:rFonts w:cs="Times New Roman"/>
          <w:iCs/>
          <w:szCs w:val="28"/>
          <w:highlight w:val="none"/>
          <w:shd w:val="clear" w:color="auto" w:fill="FFFFFF"/>
          <w:lang w:val="en-US"/>
        </w:rPr>
        <w:t xml:space="preserve">32 </w:t>
      </w:r>
      <w:r>
        <w:rPr>
          <w:rFonts w:cs="Times New Roman"/>
          <w:szCs w:val="28"/>
          <w:highlight w:val="none"/>
          <w:shd w:val="clear" w:color="auto" w:fill="FFFFFF"/>
          <w:lang w:val="en-US"/>
        </w:rPr>
        <w:t>(2). P. 138</w:t>
      </w:r>
      <w:r>
        <w:rPr>
          <w:rFonts w:cs="Times New Roman"/>
          <w:szCs w:val="28"/>
          <w:highlight w:val="none"/>
          <w:lang w:val="en-US"/>
        </w:rPr>
        <w:t>–</w:t>
      </w:r>
      <w:r>
        <w:rPr>
          <w:rFonts w:cs="Times New Roman"/>
          <w:szCs w:val="28"/>
          <w:highlight w:val="none"/>
          <w:shd w:val="clear" w:color="auto" w:fill="FFFFFF"/>
          <w:lang w:val="en-US"/>
        </w:rPr>
        <w:t xml:space="preserve">139. doi: </w:t>
      </w:r>
      <w:r>
        <w:rPr>
          <w:highlight w:val="none"/>
        </w:rPr>
        <w:fldChar w:fldCharType="begin"/>
      </w:r>
      <w:r>
        <w:rPr>
          <w:highlight w:val="none"/>
        </w:rPr>
        <w:instrText xml:space="preserve"> HYPERLINK "https://doi.org/10.1159/000445705" </w:instrText>
      </w:r>
      <w:r>
        <w:rPr>
          <w:highlight w:val="none"/>
        </w:rPr>
        <w:fldChar w:fldCharType="separate"/>
      </w:r>
      <w:r>
        <w:rPr>
          <w:rStyle w:val="11"/>
          <w:rFonts w:cs="Times New Roman"/>
          <w:color w:val="auto"/>
          <w:szCs w:val="28"/>
          <w:highlight w:val="none"/>
          <w:u w:val="none"/>
          <w:shd w:val="clear" w:color="auto" w:fill="FFFFFF"/>
          <w:lang w:val="en-US"/>
        </w:rPr>
        <w:t>https://doi.org/10.1159/000445705</w:t>
      </w:r>
      <w:r>
        <w:rPr>
          <w:rStyle w:val="11"/>
          <w:rFonts w:cs="Times New Roman"/>
          <w:color w:val="auto"/>
          <w:szCs w:val="28"/>
          <w:highlight w:val="none"/>
          <w:u w:val="none"/>
          <w:shd w:val="clear" w:color="auto" w:fill="FFFFFF"/>
          <w:lang w:val="en-US"/>
        </w:rPr>
        <w:fldChar w:fldCharType="end"/>
      </w:r>
    </w:p>
    <w:p w14:paraId="3A6A511E">
      <w:pPr>
        <w:widowControl w:val="0"/>
        <w:rPr>
          <w:rFonts w:cs="Times New Roman"/>
          <w:szCs w:val="28"/>
          <w:highlight w:val="none"/>
          <w:lang w:val="en-US"/>
        </w:rPr>
      </w:pPr>
      <w:r>
        <w:rPr>
          <w:rFonts w:cs="Times New Roman"/>
          <w:szCs w:val="28"/>
          <w:highlight w:val="none"/>
          <w:lang w:val="en-US"/>
        </w:rPr>
        <w:t xml:space="preserve">60. Awareness of chronic viral hepatitis in the United States: An update from the National Health and Nutrition Examination Survey / </w:t>
      </w:r>
      <w:r>
        <w:rPr>
          <w:highlight w:val="none"/>
        </w:rPr>
        <w:fldChar w:fldCharType="begin"/>
      </w:r>
      <w:r>
        <w:rPr>
          <w:highlight w:val="none"/>
        </w:rPr>
        <w:instrText xml:space="preserve"> HYPERLINK "https://onlinelibrary.wiley.com/action/doSearch?ContribAuthorRaw=Kim%2C+Hyun-seok" </w:instrText>
      </w:r>
      <w:r>
        <w:rPr>
          <w:highlight w:val="none"/>
        </w:rPr>
        <w:fldChar w:fldCharType="separate"/>
      </w:r>
      <w:r>
        <w:rPr>
          <w:rStyle w:val="11"/>
          <w:rFonts w:cs="Times New Roman"/>
          <w:color w:val="auto"/>
          <w:szCs w:val="28"/>
          <w:highlight w:val="none"/>
          <w:u w:val="none"/>
          <w:lang w:val="en-US"/>
        </w:rPr>
        <w:t>H. S. Kim</w:t>
      </w:r>
      <w:r>
        <w:rPr>
          <w:rStyle w:val="11"/>
          <w:rFonts w:cs="Times New Roman"/>
          <w:color w:val="auto"/>
          <w:szCs w:val="28"/>
          <w:highlight w:val="none"/>
          <w:u w:val="none"/>
          <w:lang w:val="en-US"/>
        </w:rPr>
        <w:fldChar w:fldCharType="end"/>
      </w:r>
      <w:r>
        <w:rPr>
          <w:rStyle w:val="54"/>
          <w:rFonts w:cs="Times New Roman"/>
          <w:szCs w:val="28"/>
          <w:highlight w:val="none"/>
          <w:shd w:val="clear" w:color="auto" w:fill="FFFFFF"/>
          <w:lang w:val="en-US"/>
        </w:rPr>
        <w:t xml:space="preserve">, </w:t>
      </w:r>
      <w:r>
        <w:rPr>
          <w:highlight w:val="none"/>
        </w:rPr>
        <w:fldChar w:fldCharType="begin"/>
      </w:r>
      <w:r>
        <w:rPr>
          <w:highlight w:val="none"/>
        </w:rPr>
        <w:instrText xml:space="preserve"> HYPERLINK "https://onlinelibrary.wiley.com/action/doSearch?ContribAuthorRaw=Yang%2C+Ju+Dong" </w:instrText>
      </w:r>
      <w:r>
        <w:rPr>
          <w:highlight w:val="none"/>
        </w:rPr>
        <w:fldChar w:fldCharType="separate"/>
      </w:r>
      <w:r>
        <w:rPr>
          <w:rStyle w:val="11"/>
          <w:rFonts w:cs="Times New Roman"/>
          <w:color w:val="auto"/>
          <w:szCs w:val="28"/>
          <w:highlight w:val="none"/>
          <w:u w:val="none"/>
          <w:lang w:val="en-US"/>
        </w:rPr>
        <w:t>J. D. Yang</w:t>
      </w:r>
      <w:r>
        <w:rPr>
          <w:rStyle w:val="11"/>
          <w:rFonts w:cs="Times New Roman"/>
          <w:color w:val="auto"/>
          <w:szCs w:val="28"/>
          <w:highlight w:val="none"/>
          <w:u w:val="none"/>
          <w:lang w:val="en-US"/>
        </w:rPr>
        <w:fldChar w:fldCharType="end"/>
      </w:r>
      <w:r>
        <w:rPr>
          <w:rStyle w:val="54"/>
          <w:rFonts w:cs="Times New Roman"/>
          <w:szCs w:val="28"/>
          <w:highlight w:val="none"/>
          <w:shd w:val="clear" w:color="auto" w:fill="FFFFFF"/>
          <w:lang w:val="en-US"/>
        </w:rPr>
        <w:t xml:space="preserve">, </w:t>
      </w:r>
      <w:r>
        <w:rPr>
          <w:highlight w:val="none"/>
        </w:rPr>
        <w:fldChar w:fldCharType="begin"/>
      </w:r>
      <w:r>
        <w:rPr>
          <w:highlight w:val="none"/>
        </w:rPr>
        <w:instrText xml:space="preserve"> HYPERLINK "https://onlinelibrary.wiley.com/action/doSearch?ContribAuthorRaw=El-Serag%2C+Hashem+B" </w:instrText>
      </w:r>
      <w:r>
        <w:rPr>
          <w:highlight w:val="none"/>
        </w:rPr>
        <w:fldChar w:fldCharType="separate"/>
      </w:r>
      <w:r>
        <w:rPr>
          <w:rStyle w:val="11"/>
          <w:rFonts w:cs="Times New Roman"/>
          <w:color w:val="auto"/>
          <w:szCs w:val="28"/>
          <w:highlight w:val="none"/>
          <w:u w:val="none"/>
          <w:lang w:val="en-US"/>
        </w:rPr>
        <w:t>H. B. El-Serag</w:t>
      </w:r>
      <w:r>
        <w:rPr>
          <w:rStyle w:val="11"/>
          <w:rFonts w:cs="Times New Roman"/>
          <w:color w:val="auto"/>
          <w:szCs w:val="28"/>
          <w:highlight w:val="none"/>
          <w:u w:val="none"/>
          <w:lang w:val="en-US"/>
        </w:rPr>
        <w:fldChar w:fldCharType="end"/>
      </w:r>
      <w:r>
        <w:rPr>
          <w:rStyle w:val="54"/>
          <w:rFonts w:cs="Times New Roman"/>
          <w:szCs w:val="28"/>
          <w:highlight w:val="none"/>
          <w:shd w:val="clear" w:color="auto" w:fill="FFFFFF"/>
          <w:lang w:val="en-US"/>
        </w:rPr>
        <w:t xml:space="preserve">, </w:t>
      </w:r>
      <w:r>
        <w:rPr>
          <w:highlight w:val="none"/>
        </w:rPr>
        <w:fldChar w:fldCharType="begin"/>
      </w:r>
      <w:r>
        <w:rPr>
          <w:highlight w:val="none"/>
        </w:rPr>
        <w:instrText xml:space="preserve"> HYPERLINK "https://onlinelibrary.wiley.com/action/doSearch?ContribAuthorRaw=Kanwal%2C+Fasiha" </w:instrText>
      </w:r>
      <w:r>
        <w:rPr>
          <w:highlight w:val="none"/>
        </w:rPr>
        <w:fldChar w:fldCharType="separate"/>
      </w:r>
      <w:r>
        <w:rPr>
          <w:rStyle w:val="11"/>
          <w:rFonts w:cs="Times New Roman"/>
          <w:color w:val="auto"/>
          <w:szCs w:val="28"/>
          <w:highlight w:val="none"/>
          <w:u w:val="none"/>
          <w:lang w:val="en-US"/>
        </w:rPr>
        <w:t>F. Kanwal</w:t>
      </w:r>
      <w:r>
        <w:rPr>
          <w:rStyle w:val="11"/>
          <w:rFonts w:cs="Times New Roman"/>
          <w:color w:val="auto"/>
          <w:szCs w:val="28"/>
          <w:highlight w:val="none"/>
          <w:u w:val="none"/>
          <w:lang w:val="en-US"/>
        </w:rPr>
        <w:fldChar w:fldCharType="end"/>
      </w:r>
      <w:r>
        <w:rPr>
          <w:rStyle w:val="64"/>
          <w:rFonts w:cs="Times New Roman"/>
          <w:szCs w:val="28"/>
          <w:highlight w:val="none"/>
          <w:shd w:val="clear" w:color="auto" w:fill="FFFFFF"/>
          <w:lang w:val="en-US"/>
        </w:rPr>
        <w:t>.</w:t>
      </w:r>
      <w:r>
        <w:rPr>
          <w:rFonts w:cs="Times New Roman"/>
          <w:szCs w:val="28"/>
          <w:highlight w:val="none"/>
          <w:lang w:val="en-US"/>
        </w:rPr>
        <w:t xml:space="preserve"> </w:t>
      </w:r>
      <w:r>
        <w:rPr>
          <w:rFonts w:cs="Times New Roman"/>
          <w:i/>
          <w:iCs/>
          <w:szCs w:val="28"/>
          <w:highlight w:val="none"/>
          <w:shd w:val="clear" w:color="auto" w:fill="FFFFFF"/>
          <w:lang w:val="en-US"/>
        </w:rPr>
        <w:t>J. of Viral Hepatitis</w:t>
      </w:r>
      <w:r>
        <w:rPr>
          <w:rFonts w:cs="Times New Roman"/>
          <w:iCs/>
          <w:szCs w:val="28"/>
          <w:highlight w:val="none"/>
          <w:shd w:val="clear" w:color="auto" w:fill="FFFFFF"/>
          <w:lang w:val="en-US"/>
        </w:rPr>
        <w:t xml:space="preserve">. 2019. </w:t>
      </w:r>
      <w:r>
        <w:rPr>
          <w:highlight w:val="none"/>
        </w:rPr>
        <w:fldChar w:fldCharType="begin"/>
      </w:r>
      <w:r>
        <w:rPr>
          <w:highlight w:val="none"/>
        </w:rPr>
        <w:instrText xml:space="preserve"> HYPERLINK "https://onlinelibrary.wiley.com/toc/13652893/2019/26/5" \o "View Volume 26, Issue 5" </w:instrText>
      </w:r>
      <w:r>
        <w:rPr>
          <w:highlight w:val="none"/>
        </w:rPr>
        <w:fldChar w:fldCharType="separate"/>
      </w:r>
      <w:r>
        <w:rPr>
          <w:rStyle w:val="11"/>
          <w:rFonts w:cs="Times New Roman"/>
          <w:bCs/>
          <w:color w:val="auto"/>
          <w:szCs w:val="28"/>
          <w:highlight w:val="none"/>
          <w:u w:val="none"/>
          <w:lang w:val="en-US"/>
        </w:rPr>
        <w:t xml:space="preserve">Vol. </w:t>
      </w:r>
      <w:r>
        <w:rPr>
          <w:rStyle w:val="55"/>
          <w:rFonts w:cs="Times New Roman"/>
          <w:bCs/>
          <w:szCs w:val="28"/>
          <w:highlight w:val="none"/>
          <w:lang w:val="en-US"/>
        </w:rPr>
        <w:t>26</w:t>
      </w:r>
      <w:r>
        <w:rPr>
          <w:rStyle w:val="11"/>
          <w:rFonts w:cs="Times New Roman"/>
          <w:bCs/>
          <w:color w:val="auto"/>
          <w:szCs w:val="28"/>
          <w:highlight w:val="none"/>
          <w:u w:val="none"/>
          <w:lang w:val="en-US"/>
        </w:rPr>
        <w:t xml:space="preserve">, Iss. </w:t>
      </w:r>
      <w:r>
        <w:rPr>
          <w:rStyle w:val="55"/>
          <w:rFonts w:cs="Times New Roman"/>
          <w:bCs/>
          <w:szCs w:val="28"/>
          <w:highlight w:val="none"/>
          <w:lang w:val="en-US"/>
        </w:rPr>
        <w:t>5</w:t>
      </w:r>
      <w:r>
        <w:rPr>
          <w:rStyle w:val="55"/>
          <w:rFonts w:cs="Times New Roman"/>
          <w:bCs/>
          <w:szCs w:val="28"/>
          <w:highlight w:val="none"/>
          <w:lang w:val="en-US"/>
        </w:rPr>
        <w:fldChar w:fldCharType="end"/>
      </w:r>
      <w:r>
        <w:rPr>
          <w:rFonts w:cs="Times New Roman"/>
          <w:bCs/>
          <w:szCs w:val="28"/>
          <w:highlight w:val="none"/>
          <w:lang w:val="en-US"/>
        </w:rPr>
        <w:t xml:space="preserve">. </w:t>
      </w:r>
      <w:r>
        <w:rPr>
          <w:rFonts w:cs="Times New Roman"/>
          <w:szCs w:val="28"/>
          <w:highlight w:val="none"/>
          <w:lang w:val="en-US"/>
        </w:rPr>
        <w:t xml:space="preserve">P. 596–602. doi: </w:t>
      </w:r>
      <w:r>
        <w:rPr>
          <w:highlight w:val="none"/>
        </w:rPr>
        <w:fldChar w:fldCharType="begin"/>
      </w:r>
      <w:r>
        <w:rPr>
          <w:highlight w:val="none"/>
        </w:rPr>
        <w:instrText xml:space="preserve"> HYPERLINK "https://doi.org/10.1111/jvh.13060" </w:instrText>
      </w:r>
      <w:r>
        <w:rPr>
          <w:highlight w:val="none"/>
        </w:rPr>
        <w:fldChar w:fldCharType="separate"/>
      </w:r>
      <w:r>
        <w:rPr>
          <w:rStyle w:val="11"/>
          <w:rFonts w:cs="Times New Roman"/>
          <w:bCs/>
          <w:color w:val="auto"/>
          <w:szCs w:val="28"/>
          <w:highlight w:val="none"/>
          <w:u w:val="none"/>
          <w:shd w:val="clear" w:color="auto" w:fill="FFFFFF"/>
          <w:lang w:val="en-US"/>
        </w:rPr>
        <w:t>https://doi.org/10.1111/jvh.13060</w:t>
      </w:r>
      <w:r>
        <w:rPr>
          <w:rStyle w:val="11"/>
          <w:rFonts w:cs="Times New Roman"/>
          <w:bCs/>
          <w:color w:val="auto"/>
          <w:szCs w:val="28"/>
          <w:highlight w:val="none"/>
          <w:u w:val="none"/>
          <w:shd w:val="clear" w:color="auto" w:fill="FFFFFF"/>
          <w:lang w:val="en-US"/>
        </w:rPr>
        <w:fldChar w:fldCharType="end"/>
      </w:r>
    </w:p>
    <w:p w14:paraId="3DA7A61B">
      <w:pPr>
        <w:widowControl w:val="0"/>
        <w:rPr>
          <w:rFonts w:cs="Times New Roman"/>
          <w:szCs w:val="28"/>
          <w:highlight w:val="none"/>
          <w:lang w:val="en-US"/>
        </w:rPr>
      </w:pPr>
      <w:r>
        <w:rPr>
          <w:rFonts w:cs="Times New Roman"/>
          <w:szCs w:val="28"/>
          <w:highlight w:val="none"/>
          <w:lang w:val="en-US"/>
        </w:rPr>
        <w:t xml:space="preserve">61. </w:t>
      </w:r>
      <w:r>
        <w:rPr>
          <w:rStyle w:val="57"/>
          <w:rFonts w:cs="Times New Roman"/>
          <w:szCs w:val="28"/>
          <w:highlight w:val="none"/>
          <w:shd w:val="clear" w:color="auto" w:fill="FFFFFF"/>
          <w:lang w:val="en-US"/>
        </w:rPr>
        <w:t>ACHIEVE Coalition. Many European countries ‘flying blind’ in their efforts to eliminate viral hepatitis</w:t>
      </w:r>
      <w:r>
        <w:rPr>
          <w:rFonts w:cs="Times New Roman"/>
          <w:szCs w:val="28"/>
          <w:highlight w:val="none"/>
          <w:shd w:val="clear" w:color="auto" w:fill="FFFFFF"/>
          <w:lang w:val="en-US"/>
        </w:rPr>
        <w:t xml:space="preserve"> / </w:t>
      </w:r>
      <w:r>
        <w:rPr>
          <w:rStyle w:val="56"/>
          <w:rFonts w:cs="Times New Roman"/>
          <w:szCs w:val="28"/>
          <w:highlight w:val="none"/>
          <w:shd w:val="clear" w:color="auto" w:fill="FFFFFF"/>
          <w:lang w:val="en-US"/>
        </w:rPr>
        <w:t xml:space="preserve">J. V. Lazarus et al. </w:t>
      </w:r>
      <w:r>
        <w:rPr>
          <w:rFonts w:cs="Times New Roman"/>
          <w:i/>
          <w:iCs/>
          <w:szCs w:val="28"/>
          <w:highlight w:val="none"/>
          <w:shd w:val="clear" w:color="auto" w:fill="FFFFFF"/>
          <w:lang w:val="en-US"/>
        </w:rPr>
        <w:t>Nat Rev Gastroenterol Hepatol</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2017</w:t>
      </w:r>
      <w:r>
        <w:rPr>
          <w:rFonts w:cs="Times New Roman"/>
          <w:szCs w:val="28"/>
          <w:highlight w:val="none"/>
          <w:shd w:val="clear" w:color="auto" w:fill="FFFFFF"/>
          <w:lang w:val="en-US"/>
        </w:rPr>
        <w:t xml:space="preserve">. Vol. </w:t>
      </w:r>
      <w:r>
        <w:rPr>
          <w:rStyle w:val="59"/>
          <w:rFonts w:cs="Times New Roman"/>
          <w:bCs/>
          <w:szCs w:val="28"/>
          <w:highlight w:val="none"/>
          <w:shd w:val="clear" w:color="auto" w:fill="FFFFFF"/>
          <w:lang w:val="en-US"/>
        </w:rPr>
        <w:t>14</w:t>
      </w:r>
      <w:r>
        <w:rPr>
          <w:rFonts w:cs="Times New Roman"/>
          <w:szCs w:val="28"/>
          <w:highlight w:val="none"/>
          <w:shd w:val="clear" w:color="auto" w:fill="FFFFFF"/>
          <w:lang w:val="en-US"/>
        </w:rPr>
        <w:t xml:space="preserve">. P. </w:t>
      </w:r>
      <w:r>
        <w:rPr>
          <w:rStyle w:val="60"/>
          <w:rFonts w:cs="Times New Roman"/>
          <w:szCs w:val="28"/>
          <w:highlight w:val="none"/>
          <w:shd w:val="clear" w:color="auto" w:fill="FFFFFF"/>
          <w:lang w:val="en-US"/>
        </w:rPr>
        <w:t>445</w:t>
      </w:r>
      <w:r>
        <w:rPr>
          <w:rFonts w:cs="Times New Roman"/>
          <w:szCs w:val="28"/>
          <w:highlight w:val="none"/>
          <w:lang w:val="en-US"/>
        </w:rPr>
        <w:t>–</w:t>
      </w:r>
      <w:r>
        <w:rPr>
          <w:rStyle w:val="61"/>
          <w:rFonts w:cs="Times New Roman"/>
          <w:szCs w:val="28"/>
          <w:highlight w:val="none"/>
          <w:shd w:val="clear" w:color="auto" w:fill="FFFFFF"/>
          <w:lang w:val="en-US"/>
        </w:rPr>
        <w:t>446</w:t>
      </w:r>
      <w:r>
        <w:rPr>
          <w:rFonts w:cs="Times New Roman"/>
          <w:szCs w:val="28"/>
          <w:highlight w:val="none"/>
          <w:shd w:val="clear" w:color="auto" w:fill="FFFFFF"/>
          <w:lang w:val="en-US"/>
        </w:rPr>
        <w:t xml:space="preserve">. </w:t>
      </w:r>
      <w:r>
        <w:rPr>
          <w:rStyle w:val="53"/>
          <w:rFonts w:cs="Times New Roman"/>
          <w:szCs w:val="28"/>
          <w:highlight w:val="none"/>
          <w:lang w:val="en-US"/>
        </w:rPr>
        <w:t>doi: </w:t>
      </w:r>
      <w:r>
        <w:rPr>
          <w:highlight w:val="none"/>
        </w:rPr>
        <w:fldChar w:fldCharType="begin"/>
      </w:r>
      <w:r>
        <w:rPr>
          <w:highlight w:val="none"/>
        </w:rPr>
        <w:instrText xml:space="preserve"> HYPERLINK "https://doi.org/10.1038/nrgastro.2017.98" \t "_blank" </w:instrText>
      </w:r>
      <w:r>
        <w:rPr>
          <w:highlight w:val="none"/>
        </w:rPr>
        <w:fldChar w:fldCharType="separate"/>
      </w:r>
      <w:r>
        <w:rPr>
          <w:rStyle w:val="11"/>
          <w:rFonts w:cs="Times New Roman"/>
          <w:color w:val="auto"/>
          <w:szCs w:val="28"/>
          <w:highlight w:val="none"/>
          <w:u w:val="none"/>
          <w:lang w:val="en-US"/>
        </w:rPr>
        <w:t>10.1038/nrgastro.2017.98</w:t>
      </w:r>
      <w:r>
        <w:rPr>
          <w:rStyle w:val="11"/>
          <w:rFonts w:cs="Times New Roman"/>
          <w:color w:val="auto"/>
          <w:szCs w:val="28"/>
          <w:highlight w:val="none"/>
          <w:u w:val="none"/>
          <w:lang w:val="en-US"/>
        </w:rPr>
        <w:fldChar w:fldCharType="end"/>
      </w:r>
    </w:p>
    <w:p w14:paraId="3E9266E1">
      <w:pPr>
        <w:widowControl w:val="0"/>
        <w:rPr>
          <w:rFonts w:cs="Times New Roman"/>
          <w:szCs w:val="28"/>
          <w:highlight w:val="none"/>
          <w:lang w:val="en-US"/>
        </w:rPr>
      </w:pPr>
      <w:r>
        <w:rPr>
          <w:rFonts w:cs="Times New Roman"/>
          <w:szCs w:val="28"/>
          <w:highlight w:val="none"/>
          <w:lang w:val="en-US"/>
        </w:rPr>
        <w:t xml:space="preserve">62. </w:t>
      </w:r>
      <w:r>
        <w:rPr>
          <w:rFonts w:cs="Times New Roman"/>
          <w:szCs w:val="28"/>
          <w:highlight w:val="none"/>
          <w:shd w:val="clear" w:color="auto" w:fill="FFFFFF"/>
          <w:lang w:val="en-US"/>
        </w:rPr>
        <w:t xml:space="preserve">Jafri S. M., Gordon S. C. Epidemiology of Hepatitis C. </w:t>
      </w:r>
      <w:r>
        <w:rPr>
          <w:rFonts w:cs="Times New Roman"/>
          <w:i/>
          <w:szCs w:val="28"/>
          <w:highlight w:val="none"/>
          <w:shd w:val="clear" w:color="auto" w:fill="FFFFFF"/>
          <w:lang w:val="en-US"/>
        </w:rPr>
        <w:t>Clin Liver Dis (Hoboken).</w:t>
      </w:r>
      <w:r>
        <w:rPr>
          <w:rFonts w:cs="Times New Roman"/>
          <w:szCs w:val="28"/>
          <w:highlight w:val="none"/>
          <w:shd w:val="clear" w:color="auto" w:fill="FFFFFF"/>
          <w:lang w:val="en-US"/>
        </w:rPr>
        <w:t xml:space="preserve"> 2018. Vol. 14, № 12 (5). P. 140</w:t>
      </w:r>
      <w:r>
        <w:rPr>
          <w:rFonts w:cs="Times New Roman"/>
          <w:szCs w:val="28"/>
          <w:highlight w:val="none"/>
          <w:lang w:val="en-US"/>
        </w:rPr>
        <w:t>–</w:t>
      </w:r>
      <w:r>
        <w:rPr>
          <w:rFonts w:cs="Times New Roman"/>
          <w:szCs w:val="28"/>
          <w:highlight w:val="none"/>
          <w:shd w:val="clear" w:color="auto" w:fill="FFFFFF"/>
          <w:lang w:val="en-US"/>
        </w:rPr>
        <w:t>142. doi: 10.1002/cld.783</w:t>
      </w:r>
    </w:p>
    <w:p w14:paraId="19D938AD">
      <w:pPr>
        <w:widowControl w:val="0"/>
        <w:rPr>
          <w:rFonts w:cs="Times New Roman"/>
          <w:szCs w:val="28"/>
          <w:highlight w:val="none"/>
          <w:lang w:val="en-US"/>
        </w:rPr>
      </w:pPr>
      <w:r>
        <w:rPr>
          <w:rFonts w:cs="Times New Roman"/>
          <w:szCs w:val="28"/>
          <w:highlight w:val="none"/>
          <w:lang w:val="en-US"/>
        </w:rPr>
        <w:t>63. World Health Organization. WHO urges countries to invest in eliminating hepatitis. 2019. URL: </w:t>
      </w:r>
      <w:r>
        <w:rPr>
          <w:highlight w:val="none"/>
        </w:rPr>
        <w:fldChar w:fldCharType="begin"/>
      </w:r>
      <w:r>
        <w:rPr>
          <w:highlight w:val="none"/>
        </w:rPr>
        <w:instrText xml:space="preserve"> HYPERLINK "https://www.who.int/news-room/detail/26-07-2019-who-urges-countries-to-invest-in-eliminating-hepatitis" </w:instrText>
      </w:r>
      <w:r>
        <w:rPr>
          <w:highlight w:val="none"/>
        </w:rPr>
        <w:fldChar w:fldCharType="separate"/>
      </w:r>
      <w:r>
        <w:rPr>
          <w:rStyle w:val="11"/>
          <w:rFonts w:cs="Times New Roman"/>
          <w:color w:val="auto"/>
          <w:szCs w:val="28"/>
          <w:highlight w:val="none"/>
          <w:u w:val="none"/>
          <w:lang w:val="en-US"/>
        </w:rPr>
        <w:t>https://www.who.int/news-room/detail/26-07-2019-who-urges-countries-to-invest-in-eliminating-hepatitis</w:t>
      </w:r>
      <w:r>
        <w:rPr>
          <w:rStyle w:val="11"/>
          <w:rFonts w:cs="Times New Roman"/>
          <w:color w:val="auto"/>
          <w:szCs w:val="28"/>
          <w:highlight w:val="none"/>
          <w:u w:val="none"/>
          <w:lang w:val="en-US"/>
        </w:rPr>
        <w:fldChar w:fldCharType="end"/>
      </w:r>
    </w:p>
    <w:p w14:paraId="6907A3A2">
      <w:pPr>
        <w:widowControl w:val="0"/>
        <w:rPr>
          <w:rFonts w:cs="Times New Roman"/>
          <w:szCs w:val="28"/>
          <w:highlight w:val="none"/>
          <w:lang w:val="en-US"/>
        </w:rPr>
      </w:pPr>
      <w:r>
        <w:rPr>
          <w:rFonts w:cs="Times New Roman"/>
          <w:szCs w:val="28"/>
          <w:highlight w:val="none"/>
          <w:lang w:val="en-US"/>
        </w:rPr>
        <w:t>64. Real-world effectiveness and safety of glecaprevir/pibrentasvir in 723 patients with chronic hepatitis C / R. D'Ambrosio et al. J. of Hepatology. 2019. Vol. 70, Iss. 3. P. 379–387. doi: https://doi.org/10.1016/j.jhep.2018.11.011</w:t>
      </w:r>
    </w:p>
    <w:p w14:paraId="6CE64CAA">
      <w:pPr>
        <w:widowControl w:val="0"/>
        <w:rPr>
          <w:rFonts w:cs="Times New Roman"/>
          <w:szCs w:val="28"/>
          <w:highlight w:val="none"/>
          <w:lang w:val="en-US"/>
        </w:rPr>
      </w:pPr>
      <w:r>
        <w:rPr>
          <w:rFonts w:cs="Times New Roman"/>
          <w:szCs w:val="28"/>
          <w:highlight w:val="none"/>
          <w:lang w:val="en-US"/>
        </w:rPr>
        <w:t xml:space="preserve">65. </w:t>
      </w:r>
      <w:r>
        <w:rPr>
          <w:rFonts w:cs="Times New Roman"/>
          <w:szCs w:val="28"/>
          <w:highlight w:val="none"/>
          <w:shd w:val="clear" w:color="auto" w:fill="FFFFFF"/>
          <w:lang w:val="en-US"/>
        </w:rPr>
        <w:t xml:space="preserve">CDC. WONDER multiple cause of death data, 1999–2018. Atlanta, GA: US Department of Health and Human Services, CDC. 2020. URL: </w:t>
      </w:r>
      <w:r>
        <w:rPr>
          <w:highlight w:val="none"/>
        </w:rPr>
        <w:fldChar w:fldCharType="begin"/>
      </w:r>
      <w:r>
        <w:rPr>
          <w:highlight w:val="none"/>
        </w:rPr>
        <w:instrText xml:space="preserve"> HYPERLINK "https://wonder.cdc.gov/mcd-icd10.html" \t "_blank" </w:instrText>
      </w:r>
      <w:r>
        <w:rPr>
          <w:highlight w:val="none"/>
        </w:rPr>
        <w:fldChar w:fldCharType="separate"/>
      </w:r>
      <w:r>
        <w:rPr>
          <w:rStyle w:val="11"/>
          <w:rFonts w:cs="Times New Roman"/>
          <w:color w:val="auto"/>
          <w:szCs w:val="28"/>
          <w:highlight w:val="none"/>
          <w:u w:val="none"/>
          <w:shd w:val="clear" w:color="auto" w:fill="FFFFFF"/>
          <w:lang w:val="en-US"/>
        </w:rPr>
        <w:t>https://wonder.cdc.gov/mcd-icd10.html</w:t>
      </w:r>
      <w:r>
        <w:rPr>
          <w:rStyle w:val="11"/>
          <w:rFonts w:cs="Times New Roman"/>
          <w:color w:val="auto"/>
          <w:szCs w:val="28"/>
          <w:highlight w:val="none"/>
          <w:u w:val="none"/>
          <w:shd w:val="clear" w:color="auto" w:fill="FFFFFF"/>
          <w:lang w:val="en-US"/>
        </w:rPr>
        <w:fldChar w:fldCharType="end"/>
      </w:r>
    </w:p>
    <w:p w14:paraId="54F06193">
      <w:pPr>
        <w:widowControl w:val="0"/>
        <w:rPr>
          <w:rFonts w:cs="Times New Roman"/>
          <w:szCs w:val="28"/>
          <w:highlight w:val="none"/>
          <w:lang w:val="en-US"/>
        </w:rPr>
      </w:pPr>
      <w:r>
        <w:rPr>
          <w:rFonts w:cs="Times New Roman"/>
          <w:szCs w:val="28"/>
          <w:highlight w:val="none"/>
          <w:lang w:val="en-US"/>
        </w:rPr>
        <w:t xml:space="preserve">66. </w:t>
      </w:r>
      <w:r>
        <w:rPr>
          <w:rFonts w:cs="Times New Roman"/>
          <w:szCs w:val="28"/>
          <w:highlight w:val="none"/>
          <w:shd w:val="clear" w:color="auto" w:fill="FFFFFF"/>
          <w:lang w:val="en-US"/>
        </w:rPr>
        <w:t>Chhatwal J., Chen Q., Aggarwal R. </w:t>
      </w:r>
      <w:r>
        <w:rPr>
          <w:rStyle w:val="48"/>
          <w:rFonts w:cs="Times New Roman"/>
          <w:szCs w:val="28"/>
          <w:highlight w:val="none"/>
          <w:shd w:val="clear" w:color="auto" w:fill="FFFFFF"/>
          <w:lang w:val="en-US"/>
        </w:rPr>
        <w:t>Estimation of hepatitis C disease burden and budget impact of treatment using health economic modeling.</w:t>
      </w:r>
      <w:r>
        <w:rPr>
          <w:rFonts w:cs="Times New Roman"/>
          <w:szCs w:val="28"/>
          <w:highlight w:val="none"/>
          <w:shd w:val="clear" w:color="auto" w:fill="FFFFFF"/>
          <w:lang w:val="en-US"/>
        </w:rPr>
        <w:t> </w:t>
      </w:r>
      <w:r>
        <w:rPr>
          <w:rStyle w:val="49"/>
          <w:rFonts w:cs="Times New Roman"/>
          <w:i/>
          <w:iCs/>
          <w:szCs w:val="28"/>
          <w:highlight w:val="none"/>
          <w:shd w:val="clear" w:color="auto" w:fill="FFFFFF"/>
          <w:lang w:val="en-US"/>
        </w:rPr>
        <w:t>Infect Dis Clin North Am</w:t>
      </w:r>
      <w:r>
        <w:rPr>
          <w:rFonts w:cs="Times New Roman"/>
          <w:szCs w:val="28"/>
          <w:highlight w:val="none"/>
          <w:shd w:val="clear" w:color="auto" w:fill="FFFFFF"/>
          <w:lang w:val="en-US"/>
        </w:rPr>
        <w:t xml:space="preserve">. 2018. Vol. </w:t>
      </w:r>
      <w:r>
        <w:rPr>
          <w:rStyle w:val="50"/>
          <w:rFonts w:cs="Times New Roman"/>
          <w:szCs w:val="28"/>
          <w:highlight w:val="none"/>
          <w:shd w:val="clear" w:color="auto" w:fill="FFFFFF"/>
          <w:lang w:val="en-US"/>
        </w:rPr>
        <w:t>32</w:t>
      </w:r>
      <w:r>
        <w:rPr>
          <w:rFonts w:cs="Times New Roman"/>
          <w:szCs w:val="28"/>
          <w:highlight w:val="none"/>
          <w:shd w:val="clear" w:color="auto" w:fill="FFFFFF"/>
          <w:lang w:val="en-US"/>
        </w:rPr>
        <w:t>. P. 461–480. doi: 10.1016/j.idc.2018.02.008</w:t>
      </w:r>
    </w:p>
    <w:p w14:paraId="1295DFEF">
      <w:pPr>
        <w:widowControl w:val="0"/>
        <w:rPr>
          <w:rFonts w:cs="Times New Roman"/>
          <w:szCs w:val="28"/>
          <w:highlight w:val="none"/>
          <w:lang w:val="en-US"/>
        </w:rPr>
      </w:pPr>
      <w:r>
        <w:rPr>
          <w:rFonts w:cs="Times New Roman"/>
          <w:szCs w:val="28"/>
          <w:highlight w:val="none"/>
          <w:lang w:val="en-US"/>
        </w:rPr>
        <w:t xml:space="preserve">67. The osteopontin-CD44 axis in hepatic cancer stem cells regulates IFN signaling and HCV replication / T. Shirasaki et al. </w:t>
      </w:r>
      <w:r>
        <w:rPr>
          <w:rFonts w:cs="Times New Roman"/>
          <w:i/>
          <w:szCs w:val="28"/>
          <w:highlight w:val="none"/>
          <w:lang w:val="en-US"/>
        </w:rPr>
        <w:t>Scientific Reports</w:t>
      </w:r>
      <w:r>
        <w:rPr>
          <w:rFonts w:cs="Times New Roman"/>
          <w:szCs w:val="28"/>
          <w:highlight w:val="none"/>
          <w:lang w:val="en-US"/>
        </w:rPr>
        <w:t>. 2018. Vol. 8 (1). doi: https://doi.org/10.1038/s41598-018-31421-6</w:t>
      </w:r>
    </w:p>
    <w:p w14:paraId="44E2F60E">
      <w:pPr>
        <w:widowControl w:val="0"/>
        <w:rPr>
          <w:rFonts w:cs="Times New Roman"/>
          <w:szCs w:val="28"/>
          <w:highlight w:val="none"/>
          <w:lang w:val="en-US"/>
        </w:rPr>
      </w:pPr>
      <w:r>
        <w:rPr>
          <w:rFonts w:cs="Times New Roman"/>
          <w:szCs w:val="28"/>
          <w:highlight w:val="none"/>
          <w:lang w:val="en-US"/>
        </w:rPr>
        <w:t>68. WHO. Global hepatitis report, 2017. URL: https://www.who. int/hepatitis/publications/global-hepatitis-report2017/en/</w:t>
      </w:r>
    </w:p>
    <w:p w14:paraId="0C2E2C17">
      <w:pPr>
        <w:widowControl w:val="0"/>
        <w:rPr>
          <w:rFonts w:cs="Times New Roman"/>
          <w:szCs w:val="28"/>
          <w:highlight w:val="none"/>
          <w:lang w:val="en-US"/>
        </w:rPr>
      </w:pPr>
      <w:r>
        <w:rPr>
          <w:rFonts w:cs="Times New Roman"/>
          <w:szCs w:val="28"/>
          <w:highlight w:val="none"/>
          <w:lang w:val="en-US"/>
        </w:rPr>
        <w:t>69. Clinical outcomes in patients with chronic hepatitis C after direct-acting antiviral treatment: a prospective cohort study / F. Carrat et al. The Lancet. 2019. Vol. 393, Iss. 10179. P. 1453–1464. doi: https://doi.org/10.1016/S0140-6736(18)32111-1</w:t>
      </w:r>
    </w:p>
    <w:p w14:paraId="50F071CF">
      <w:pPr>
        <w:widowControl w:val="0"/>
        <w:rPr>
          <w:rFonts w:cs="Times New Roman"/>
          <w:szCs w:val="28"/>
          <w:highlight w:val="none"/>
          <w:lang w:val="en-US"/>
        </w:rPr>
      </w:pPr>
      <w:r>
        <w:rPr>
          <w:rFonts w:cs="Times New Roman"/>
          <w:szCs w:val="28"/>
          <w:highlight w:val="none"/>
          <w:lang w:val="en-US"/>
        </w:rPr>
        <w:t xml:space="preserve">70. </w:t>
      </w:r>
      <w:r>
        <w:rPr>
          <w:rFonts w:cs="Times New Roman"/>
          <w:szCs w:val="28"/>
          <w:highlight w:val="none"/>
          <w:shd w:val="clear" w:color="auto" w:fill="FFFFFF"/>
          <w:lang w:val="en-US"/>
        </w:rPr>
        <w:t xml:space="preserve">CDC Recommendations for Hepatitis C Screening Among Adults – United States, 2020 / S. Schillie et al. </w:t>
      </w:r>
      <w:r>
        <w:rPr>
          <w:rFonts w:cs="Times New Roman"/>
          <w:i/>
          <w:szCs w:val="28"/>
          <w:highlight w:val="none"/>
          <w:shd w:val="clear" w:color="auto" w:fill="FFFFFF"/>
          <w:lang w:val="en-US"/>
        </w:rPr>
        <w:t>MMWR Recomm Rep.</w:t>
      </w:r>
      <w:r>
        <w:rPr>
          <w:rFonts w:cs="Times New Roman"/>
          <w:szCs w:val="28"/>
          <w:highlight w:val="none"/>
          <w:shd w:val="clear" w:color="auto" w:fill="FFFFFF"/>
          <w:lang w:val="en-US"/>
        </w:rPr>
        <w:t xml:space="preserve"> 2020. Vol. 69 (2). P. 1</w:t>
      </w:r>
      <w:r>
        <w:rPr>
          <w:rFonts w:cs="Times New Roman"/>
          <w:szCs w:val="28"/>
          <w:highlight w:val="none"/>
          <w:lang w:val="en-US"/>
        </w:rPr>
        <w:t>–</w:t>
      </w:r>
      <w:r>
        <w:rPr>
          <w:rFonts w:cs="Times New Roman"/>
          <w:szCs w:val="28"/>
          <w:highlight w:val="none"/>
          <w:shd w:val="clear" w:color="auto" w:fill="FFFFFF"/>
          <w:lang w:val="en-US"/>
        </w:rPr>
        <w:t>17. doi: 10.15585/mmwr.rr6902a1</w:t>
      </w:r>
    </w:p>
    <w:p w14:paraId="38462F68">
      <w:pPr>
        <w:widowControl w:val="0"/>
        <w:rPr>
          <w:rFonts w:cs="Times New Roman"/>
          <w:szCs w:val="28"/>
          <w:highlight w:val="none"/>
          <w:lang w:val="en-US"/>
        </w:rPr>
      </w:pPr>
      <w:r>
        <w:rPr>
          <w:rFonts w:cs="Times New Roman"/>
          <w:szCs w:val="28"/>
          <w:highlight w:val="none"/>
          <w:lang w:val="en-US"/>
        </w:rPr>
        <w:t xml:space="preserve">71. High efficacy of generic and brand direct acting antivirals in treatment of chronic hepatitis C / M. Abozeid et al. </w:t>
      </w:r>
      <w:r>
        <w:rPr>
          <w:rFonts w:cs="Times New Roman"/>
          <w:i/>
          <w:szCs w:val="28"/>
          <w:highlight w:val="none"/>
          <w:lang w:val="en-US"/>
        </w:rPr>
        <w:t>International J. of Infectious Diseases</w:t>
      </w:r>
      <w:r>
        <w:rPr>
          <w:rFonts w:cs="Times New Roman"/>
          <w:szCs w:val="28"/>
          <w:highlight w:val="none"/>
          <w:lang w:val="en-US"/>
        </w:rPr>
        <w:t>. 2018. Vol. 75. P. 109–114. doi: https://doi.org/10.1016/j.ijid.2018.07.025</w:t>
      </w:r>
      <w:r>
        <w:rPr>
          <w:rFonts w:cs="Times New Roman"/>
          <w:szCs w:val="28"/>
          <w:highlight w:val="none"/>
          <w:shd w:val="clear" w:color="auto" w:fill="FCFCFC"/>
          <w:lang w:val="en-US"/>
        </w:rPr>
        <w:t xml:space="preserve"> </w:t>
      </w:r>
    </w:p>
    <w:p w14:paraId="3133D324">
      <w:pPr>
        <w:widowControl w:val="0"/>
        <w:rPr>
          <w:rFonts w:cs="Times New Roman"/>
          <w:szCs w:val="28"/>
          <w:highlight w:val="none"/>
          <w:lang w:val="en-US"/>
        </w:rPr>
      </w:pPr>
      <w:r>
        <w:rPr>
          <w:rFonts w:cs="Times New Roman"/>
          <w:szCs w:val="28"/>
          <w:highlight w:val="none"/>
          <w:lang w:val="en-US"/>
        </w:rPr>
        <w:t xml:space="preserve">72. </w:t>
      </w:r>
      <w:r>
        <w:rPr>
          <w:rFonts w:cs="Times New Roman"/>
          <w:szCs w:val="28"/>
          <w:highlight w:val="none"/>
          <w:shd w:val="clear" w:color="auto" w:fill="FFFFFF"/>
          <w:lang w:val="en-US"/>
        </w:rPr>
        <w:t>Khatun, M., Ray R. B. Mechanisms Underlying Hepatitis C Virus-Associated Hepatic Fibrosis. </w:t>
      </w:r>
      <w:r>
        <w:rPr>
          <w:rStyle w:val="10"/>
          <w:rFonts w:cs="Times New Roman"/>
          <w:szCs w:val="28"/>
          <w:highlight w:val="none"/>
          <w:shd w:val="clear" w:color="auto" w:fill="FFFFFF"/>
          <w:lang w:val="en-US"/>
        </w:rPr>
        <w:t>Cells</w:t>
      </w:r>
      <w:r>
        <w:rPr>
          <w:rFonts w:cs="Times New Roman"/>
          <w:szCs w:val="28"/>
          <w:highlight w:val="none"/>
          <w:shd w:val="clear" w:color="auto" w:fill="FFFFFF"/>
          <w:lang w:val="en-US"/>
        </w:rPr>
        <w:t>. </w:t>
      </w:r>
      <w:r>
        <w:rPr>
          <w:rFonts w:cs="Times New Roman"/>
          <w:bCs/>
          <w:szCs w:val="28"/>
          <w:highlight w:val="none"/>
          <w:shd w:val="clear" w:color="auto" w:fill="FFFFFF"/>
          <w:lang w:val="en-US"/>
        </w:rPr>
        <w:t>2019</w:t>
      </w:r>
      <w:r>
        <w:rPr>
          <w:rFonts w:cs="Times New Roman"/>
          <w:szCs w:val="28"/>
          <w:highlight w:val="none"/>
          <w:shd w:val="clear" w:color="auto" w:fill="FFFFFF"/>
          <w:lang w:val="en-US"/>
        </w:rPr>
        <w:t xml:space="preserve">. Vol. </w:t>
      </w:r>
      <w:r>
        <w:rPr>
          <w:rStyle w:val="10"/>
          <w:rFonts w:cs="Times New Roman"/>
          <w:szCs w:val="28"/>
          <w:highlight w:val="none"/>
          <w:shd w:val="clear" w:color="auto" w:fill="FFFFFF"/>
          <w:lang w:val="en-US"/>
        </w:rPr>
        <w:t>8</w:t>
      </w:r>
      <w:r>
        <w:rPr>
          <w:rFonts w:cs="Times New Roman"/>
          <w:szCs w:val="28"/>
          <w:highlight w:val="none"/>
          <w:shd w:val="clear" w:color="auto" w:fill="FFFFFF"/>
          <w:lang w:val="en-US"/>
        </w:rPr>
        <w:t xml:space="preserve">. P. 1249. doi: </w:t>
      </w:r>
      <w:r>
        <w:rPr>
          <w:highlight w:val="none"/>
        </w:rPr>
        <w:fldChar w:fldCharType="begin"/>
      </w:r>
      <w:r>
        <w:rPr>
          <w:highlight w:val="none"/>
        </w:rPr>
        <w:instrText xml:space="preserve"> HYPERLINK "https://doi.org/10.3390/cells8101249" </w:instrText>
      </w:r>
      <w:r>
        <w:rPr>
          <w:highlight w:val="none"/>
        </w:rPr>
        <w:fldChar w:fldCharType="separate"/>
      </w:r>
      <w:r>
        <w:rPr>
          <w:rStyle w:val="11"/>
          <w:rFonts w:cs="Times New Roman"/>
          <w:color w:val="auto"/>
          <w:szCs w:val="28"/>
          <w:highlight w:val="none"/>
          <w:u w:val="none"/>
          <w:shd w:val="clear" w:color="auto" w:fill="FFFFFF"/>
          <w:lang w:val="en-US"/>
        </w:rPr>
        <w:t>https://doi.org/10.3390/cells8101249</w:t>
      </w:r>
      <w:r>
        <w:rPr>
          <w:rStyle w:val="11"/>
          <w:rFonts w:cs="Times New Roman"/>
          <w:color w:val="auto"/>
          <w:szCs w:val="28"/>
          <w:highlight w:val="none"/>
          <w:u w:val="none"/>
          <w:shd w:val="clear" w:color="auto" w:fill="FFFFFF"/>
          <w:lang w:val="en-US"/>
        </w:rPr>
        <w:fldChar w:fldCharType="end"/>
      </w:r>
    </w:p>
    <w:p w14:paraId="6C4D8D5C">
      <w:pPr>
        <w:widowControl w:val="0"/>
        <w:rPr>
          <w:rFonts w:cs="Times New Roman"/>
          <w:szCs w:val="28"/>
          <w:highlight w:val="none"/>
          <w:lang w:val="en-US"/>
        </w:rPr>
      </w:pPr>
      <w:r>
        <w:rPr>
          <w:rFonts w:cs="Times New Roman"/>
          <w:szCs w:val="28"/>
          <w:highlight w:val="none"/>
          <w:lang w:val="en-US"/>
        </w:rPr>
        <w:t>73. Centers for Disease Control and Prevention. Surveillance for Viral Hepatitis – United States. 2016. URL: </w:t>
      </w:r>
      <w:r>
        <w:rPr>
          <w:highlight w:val="none"/>
        </w:rPr>
        <w:fldChar w:fldCharType="begin"/>
      </w:r>
      <w:r>
        <w:rPr>
          <w:highlight w:val="none"/>
        </w:rPr>
        <w:instrText xml:space="preserve"> HYPERLINK "https://www.cdc.gov/hepatitis/statistics/2016surveillance/commentary.htm" </w:instrText>
      </w:r>
      <w:r>
        <w:rPr>
          <w:highlight w:val="none"/>
        </w:rPr>
        <w:fldChar w:fldCharType="separate"/>
      </w:r>
      <w:r>
        <w:rPr>
          <w:rStyle w:val="11"/>
          <w:rFonts w:cs="Times New Roman"/>
          <w:color w:val="auto"/>
          <w:szCs w:val="28"/>
          <w:highlight w:val="none"/>
          <w:u w:val="none"/>
          <w:lang w:val="en-US"/>
        </w:rPr>
        <w:t>https://www.cdc.gov/hepatitis/statistics/2016surveillance/commentary.htm</w:t>
      </w:r>
      <w:r>
        <w:rPr>
          <w:rStyle w:val="11"/>
          <w:rFonts w:cs="Times New Roman"/>
          <w:color w:val="auto"/>
          <w:szCs w:val="28"/>
          <w:highlight w:val="none"/>
          <w:u w:val="none"/>
          <w:lang w:val="en-US"/>
        </w:rPr>
        <w:fldChar w:fldCharType="end"/>
      </w:r>
    </w:p>
    <w:p w14:paraId="78BA6D69">
      <w:pPr>
        <w:widowControl w:val="0"/>
        <w:rPr>
          <w:rFonts w:cs="Times New Roman"/>
          <w:szCs w:val="28"/>
          <w:highlight w:val="none"/>
          <w:lang w:val="en-US"/>
        </w:rPr>
      </w:pPr>
      <w:r>
        <w:rPr>
          <w:rFonts w:cs="Times New Roman"/>
          <w:szCs w:val="28"/>
          <w:highlight w:val="none"/>
          <w:lang w:val="en-US"/>
        </w:rPr>
        <w:t xml:space="preserve">74. </w:t>
      </w:r>
      <w:r>
        <w:rPr>
          <w:rStyle w:val="57"/>
          <w:rFonts w:cs="Times New Roman"/>
          <w:szCs w:val="28"/>
          <w:highlight w:val="none"/>
          <w:shd w:val="clear" w:color="auto" w:fill="FFFFFF"/>
          <w:lang w:val="en-US"/>
        </w:rPr>
        <w:t>Hepatitis C disease burden in the United States in the era of oral direct-acting antivirals</w:t>
      </w:r>
      <w:r>
        <w:rPr>
          <w:rFonts w:cs="Times New Roman"/>
          <w:szCs w:val="28"/>
          <w:highlight w:val="none"/>
          <w:shd w:val="clear" w:color="auto" w:fill="FFFFFF"/>
          <w:lang w:val="en-US"/>
        </w:rPr>
        <w:t xml:space="preserve"> / </w:t>
      </w:r>
      <w:r>
        <w:rPr>
          <w:rStyle w:val="56"/>
          <w:rFonts w:cs="Times New Roman"/>
          <w:szCs w:val="28"/>
          <w:highlight w:val="none"/>
          <w:shd w:val="clear" w:color="auto" w:fill="FFFFFF"/>
          <w:lang w:val="en-US"/>
        </w:rPr>
        <w:t xml:space="preserve">J. Chhatwal et al. </w:t>
      </w:r>
      <w:r>
        <w:rPr>
          <w:rFonts w:cs="Times New Roman"/>
          <w:i/>
          <w:iCs/>
          <w:szCs w:val="28"/>
          <w:highlight w:val="none"/>
          <w:shd w:val="clear" w:color="auto" w:fill="FFFFFF"/>
          <w:lang w:val="en-US"/>
        </w:rPr>
        <w:t>Hepatology</w:t>
      </w:r>
      <w:r>
        <w:rPr>
          <w:rFonts w:cs="Times New Roman"/>
          <w:szCs w:val="28"/>
          <w:highlight w:val="none"/>
          <w:shd w:val="clear" w:color="auto" w:fill="FFFFFF"/>
          <w:lang w:val="en-US"/>
        </w:rPr>
        <w:t xml:space="preserve">. </w:t>
      </w:r>
      <w:r>
        <w:rPr>
          <w:rStyle w:val="58"/>
          <w:rFonts w:cs="Times New Roman"/>
          <w:szCs w:val="28"/>
          <w:highlight w:val="none"/>
          <w:shd w:val="clear" w:color="auto" w:fill="FFFFFF"/>
          <w:lang w:val="en-US"/>
        </w:rPr>
        <w:t>2016</w:t>
      </w:r>
      <w:r>
        <w:rPr>
          <w:rFonts w:cs="Times New Roman"/>
          <w:szCs w:val="28"/>
          <w:highlight w:val="none"/>
          <w:shd w:val="clear" w:color="auto" w:fill="FFFFFF"/>
          <w:lang w:val="en-US"/>
        </w:rPr>
        <w:t>. Vol. </w:t>
      </w:r>
      <w:r>
        <w:rPr>
          <w:rStyle w:val="59"/>
          <w:rFonts w:cs="Times New Roman"/>
          <w:bCs/>
          <w:szCs w:val="28"/>
          <w:highlight w:val="none"/>
          <w:shd w:val="clear" w:color="auto" w:fill="FFFFFF"/>
          <w:lang w:val="en-US"/>
        </w:rPr>
        <w:t>64</w:t>
      </w:r>
      <w:r>
        <w:rPr>
          <w:rFonts w:cs="Times New Roman"/>
          <w:szCs w:val="28"/>
          <w:highlight w:val="none"/>
          <w:shd w:val="clear" w:color="auto" w:fill="FFFFFF"/>
          <w:lang w:val="en-US"/>
        </w:rPr>
        <w:t xml:space="preserve">. P. </w:t>
      </w:r>
      <w:r>
        <w:rPr>
          <w:rStyle w:val="60"/>
          <w:rFonts w:cs="Times New Roman"/>
          <w:szCs w:val="28"/>
          <w:highlight w:val="none"/>
          <w:shd w:val="clear" w:color="auto" w:fill="FFFFFF"/>
          <w:lang w:val="en-US"/>
        </w:rPr>
        <w:t>1442</w:t>
      </w:r>
      <w:r>
        <w:rPr>
          <w:rFonts w:cs="Times New Roman"/>
          <w:szCs w:val="28"/>
          <w:highlight w:val="none"/>
          <w:lang w:val="en-US"/>
        </w:rPr>
        <w:t>–</w:t>
      </w:r>
      <w:r>
        <w:rPr>
          <w:rStyle w:val="61"/>
          <w:rFonts w:cs="Times New Roman"/>
          <w:szCs w:val="28"/>
          <w:highlight w:val="none"/>
          <w:shd w:val="clear" w:color="auto" w:fill="FFFFFF"/>
          <w:lang w:val="en-US"/>
        </w:rPr>
        <w:t>1450</w:t>
      </w:r>
      <w:r>
        <w:rPr>
          <w:rFonts w:cs="Times New Roman"/>
          <w:szCs w:val="28"/>
          <w:highlight w:val="none"/>
          <w:shd w:val="clear" w:color="auto" w:fill="FFFFFF"/>
          <w:lang w:val="en-US"/>
        </w:rPr>
        <w:t>.</w:t>
      </w:r>
      <w:r>
        <w:rPr>
          <w:rStyle w:val="53"/>
          <w:rFonts w:cs="Times New Roman"/>
          <w:szCs w:val="28"/>
          <w:highlight w:val="none"/>
          <w:lang w:val="en-US"/>
        </w:rPr>
        <w:t xml:space="preserve"> doi: </w:t>
      </w:r>
      <w:r>
        <w:rPr>
          <w:highlight w:val="none"/>
        </w:rPr>
        <w:fldChar w:fldCharType="begin"/>
      </w:r>
      <w:r>
        <w:rPr>
          <w:highlight w:val="none"/>
        </w:rPr>
        <w:instrText xml:space="preserve"> HYPERLINK "https://doi.org/10.1002/hep.28571" \t "_blank" </w:instrText>
      </w:r>
      <w:r>
        <w:rPr>
          <w:highlight w:val="none"/>
        </w:rPr>
        <w:fldChar w:fldCharType="separate"/>
      </w:r>
      <w:r>
        <w:rPr>
          <w:rStyle w:val="11"/>
          <w:rFonts w:cs="Times New Roman"/>
          <w:color w:val="auto"/>
          <w:szCs w:val="28"/>
          <w:highlight w:val="none"/>
          <w:u w:val="none"/>
          <w:lang w:val="en-US"/>
        </w:rPr>
        <w:t>10.1002/hep.28571</w:t>
      </w:r>
      <w:r>
        <w:rPr>
          <w:rStyle w:val="11"/>
          <w:rFonts w:cs="Times New Roman"/>
          <w:color w:val="auto"/>
          <w:szCs w:val="28"/>
          <w:highlight w:val="none"/>
          <w:u w:val="none"/>
          <w:lang w:val="en-US"/>
        </w:rPr>
        <w:fldChar w:fldCharType="end"/>
      </w:r>
    </w:p>
    <w:p w14:paraId="0E6ECFE7">
      <w:pPr>
        <w:widowControl w:val="0"/>
        <w:rPr>
          <w:rFonts w:cs="Times New Roman"/>
          <w:i/>
          <w:szCs w:val="28"/>
          <w:highlight w:val="none"/>
          <w:lang w:val="en-US"/>
        </w:rPr>
      </w:pPr>
      <w:r>
        <w:rPr>
          <w:rFonts w:cs="Times New Roman"/>
          <w:szCs w:val="28"/>
          <w:highlight w:val="none"/>
          <w:lang w:val="en-US"/>
        </w:rPr>
        <w:t xml:space="preserve">75. </w:t>
      </w:r>
      <w:r>
        <w:rPr>
          <w:rStyle w:val="57"/>
          <w:rFonts w:cs="Times New Roman"/>
          <w:szCs w:val="28"/>
          <w:highlight w:val="none"/>
          <w:shd w:val="clear" w:color="auto" w:fill="FFFFFF"/>
          <w:lang w:val="en-US"/>
        </w:rPr>
        <w:t>Direct medical costs associated with the extrahepatic manifestations of hepatitis C infection in Europe</w:t>
      </w:r>
      <w:r>
        <w:rPr>
          <w:rFonts w:cs="Times New Roman"/>
          <w:szCs w:val="28"/>
          <w:highlight w:val="none"/>
          <w:shd w:val="clear" w:color="auto" w:fill="FFFFFF"/>
          <w:lang w:val="en-US"/>
        </w:rPr>
        <w:t xml:space="preserve"> /</w:t>
      </w:r>
      <w:r>
        <w:rPr>
          <w:rStyle w:val="56"/>
          <w:rFonts w:cs="Times New Roman"/>
          <w:szCs w:val="28"/>
          <w:highlight w:val="none"/>
          <w:shd w:val="clear" w:color="auto" w:fill="FFFFFF"/>
          <w:lang w:val="en-US"/>
        </w:rPr>
        <w:t xml:space="preserve"> P. Cacoub et al. </w:t>
      </w:r>
      <w:r>
        <w:rPr>
          <w:rFonts w:cs="Times New Roman"/>
          <w:i/>
          <w:iCs/>
          <w:szCs w:val="28"/>
          <w:highlight w:val="none"/>
          <w:shd w:val="clear" w:color="auto" w:fill="FFFFFF"/>
          <w:lang w:val="en-US"/>
        </w:rPr>
        <w:t>J. Viral Hepat</w:t>
      </w:r>
      <w:r>
        <w:rPr>
          <w:rFonts w:cs="Times New Roman"/>
          <w:i/>
          <w:szCs w:val="28"/>
          <w:highlight w:val="none"/>
          <w:shd w:val="clear" w:color="auto" w:fill="FFFFFF"/>
          <w:lang w:val="en-US"/>
        </w:rPr>
        <w:t>. </w:t>
      </w:r>
      <w:r>
        <w:rPr>
          <w:rStyle w:val="58"/>
          <w:rFonts w:cs="Times New Roman"/>
          <w:szCs w:val="28"/>
          <w:highlight w:val="none"/>
          <w:shd w:val="clear" w:color="auto" w:fill="FFFFFF"/>
          <w:lang w:val="en-US"/>
        </w:rPr>
        <w:t>2018.</w:t>
      </w:r>
      <w:r>
        <w:rPr>
          <w:rFonts w:cs="Times New Roman"/>
          <w:szCs w:val="28"/>
          <w:highlight w:val="none"/>
          <w:shd w:val="clear" w:color="auto" w:fill="FFFFFF"/>
          <w:lang w:val="en-US"/>
        </w:rPr>
        <w:t xml:space="preserve"> doi: </w:t>
      </w:r>
      <w:r>
        <w:rPr>
          <w:highlight w:val="none"/>
        </w:rPr>
        <w:fldChar w:fldCharType="begin"/>
      </w:r>
      <w:r>
        <w:rPr>
          <w:highlight w:val="none"/>
        </w:rPr>
        <w:instrText xml:space="preserve"> HYPERLINK "http://10.0.4.87/jvh.12881" </w:instrText>
      </w:r>
      <w:r>
        <w:rPr>
          <w:highlight w:val="none"/>
        </w:rPr>
        <w:fldChar w:fldCharType="separate"/>
      </w:r>
      <w:r>
        <w:rPr>
          <w:rStyle w:val="11"/>
          <w:rFonts w:cs="Times New Roman"/>
          <w:color w:val="auto"/>
          <w:szCs w:val="28"/>
          <w:highlight w:val="none"/>
          <w:u w:val="none"/>
          <w:shd w:val="clear" w:color="auto" w:fill="FFFFFF"/>
          <w:lang w:val="en-US"/>
        </w:rPr>
        <w:t>10.1111/jvh.12881</w:t>
      </w:r>
      <w:r>
        <w:rPr>
          <w:rStyle w:val="11"/>
          <w:rFonts w:cs="Times New Roman"/>
          <w:color w:val="auto"/>
          <w:szCs w:val="28"/>
          <w:highlight w:val="none"/>
          <w:u w:val="none"/>
          <w:shd w:val="clear" w:color="auto" w:fill="FFFFFF"/>
          <w:lang w:val="en-US"/>
        </w:rPr>
        <w:fldChar w:fldCharType="end"/>
      </w:r>
    </w:p>
    <w:p w14:paraId="10B277EA">
      <w:pPr>
        <w:widowControl w:val="0"/>
        <w:rPr>
          <w:rFonts w:cs="Times New Roman"/>
          <w:szCs w:val="28"/>
          <w:highlight w:val="none"/>
          <w:lang w:val="en-US"/>
        </w:rPr>
      </w:pPr>
      <w:r>
        <w:rPr>
          <w:rFonts w:cs="Times New Roman"/>
          <w:szCs w:val="28"/>
          <w:highlight w:val="none"/>
          <w:lang w:val="en-US"/>
        </w:rPr>
        <w:t xml:space="preserve">76. </w:t>
      </w:r>
      <w:r>
        <w:rPr>
          <w:rStyle w:val="57"/>
          <w:rFonts w:cs="Times New Roman"/>
          <w:szCs w:val="28"/>
          <w:highlight w:val="none"/>
          <w:shd w:val="clear" w:color="auto" w:fill="FFFFFF"/>
          <w:lang w:val="en-US"/>
        </w:rPr>
        <w:t>Direct medical costs associated with the extrahepatic manifestations of hepatitis C virus infection in France</w:t>
      </w:r>
      <w:r>
        <w:rPr>
          <w:rFonts w:cs="Times New Roman"/>
          <w:szCs w:val="28"/>
          <w:highlight w:val="none"/>
          <w:shd w:val="clear" w:color="auto" w:fill="FFFFFF"/>
          <w:lang w:val="en-US"/>
        </w:rPr>
        <w:t xml:space="preserve"> / </w:t>
      </w:r>
      <w:r>
        <w:rPr>
          <w:rStyle w:val="56"/>
          <w:rFonts w:cs="Times New Roman"/>
          <w:szCs w:val="28"/>
          <w:highlight w:val="none"/>
          <w:shd w:val="clear" w:color="auto" w:fill="FFFFFF"/>
          <w:lang w:val="en-US"/>
        </w:rPr>
        <w:t>P. Cacoub</w:t>
      </w:r>
      <w:r>
        <w:rPr>
          <w:rFonts w:cs="Times New Roman"/>
          <w:szCs w:val="28"/>
          <w:highlight w:val="none"/>
          <w:shd w:val="clear" w:color="auto" w:fill="FFFFFF"/>
          <w:lang w:val="en-US"/>
        </w:rPr>
        <w:t xml:space="preserve"> et al. </w:t>
      </w:r>
      <w:r>
        <w:rPr>
          <w:rFonts w:cs="Times New Roman"/>
          <w:i/>
          <w:iCs/>
          <w:szCs w:val="28"/>
          <w:highlight w:val="none"/>
          <w:shd w:val="clear" w:color="auto" w:fill="FFFFFF"/>
          <w:lang w:val="en-US"/>
        </w:rPr>
        <w:t>Aliment Pharmacol Ther</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2018.</w:t>
      </w:r>
      <w:r>
        <w:rPr>
          <w:rFonts w:cs="Times New Roman"/>
          <w:szCs w:val="28"/>
          <w:highlight w:val="none"/>
          <w:shd w:val="clear" w:color="auto" w:fill="FFFFFF"/>
          <w:lang w:val="en-US"/>
        </w:rPr>
        <w:t xml:space="preserve"> Vol. </w:t>
      </w:r>
      <w:r>
        <w:rPr>
          <w:rStyle w:val="59"/>
          <w:rFonts w:cs="Times New Roman"/>
          <w:bCs/>
          <w:szCs w:val="28"/>
          <w:highlight w:val="none"/>
          <w:shd w:val="clear" w:color="auto" w:fill="FFFFFF"/>
          <w:lang w:val="en-US"/>
        </w:rPr>
        <w:t xml:space="preserve">47 </w:t>
      </w:r>
      <w:r>
        <w:rPr>
          <w:rFonts w:cs="Times New Roman"/>
          <w:szCs w:val="28"/>
          <w:highlight w:val="none"/>
          <w:shd w:val="clear" w:color="auto" w:fill="FFFFFF"/>
          <w:lang w:val="en-US"/>
        </w:rPr>
        <w:t>(</w:t>
      </w:r>
      <w:r>
        <w:rPr>
          <w:rStyle w:val="62"/>
          <w:rFonts w:cs="Times New Roman"/>
          <w:szCs w:val="28"/>
          <w:highlight w:val="none"/>
          <w:shd w:val="clear" w:color="auto" w:fill="FFFFFF"/>
          <w:lang w:val="en-US"/>
        </w:rPr>
        <w:t>1</w:t>
      </w:r>
      <w:r>
        <w:rPr>
          <w:rFonts w:cs="Times New Roman"/>
          <w:szCs w:val="28"/>
          <w:highlight w:val="none"/>
          <w:shd w:val="clear" w:color="auto" w:fill="FFFFFF"/>
          <w:lang w:val="en-US"/>
        </w:rPr>
        <w:t xml:space="preserve">). P. </w:t>
      </w:r>
      <w:r>
        <w:rPr>
          <w:rStyle w:val="60"/>
          <w:rFonts w:cs="Times New Roman"/>
          <w:szCs w:val="28"/>
          <w:highlight w:val="none"/>
          <w:shd w:val="clear" w:color="auto" w:fill="FFFFFF"/>
          <w:lang w:val="en-US"/>
        </w:rPr>
        <w:t>123</w:t>
      </w:r>
      <w:r>
        <w:rPr>
          <w:rFonts w:cs="Times New Roman"/>
          <w:szCs w:val="28"/>
          <w:highlight w:val="none"/>
          <w:lang w:val="en-US"/>
        </w:rPr>
        <w:t>–</w:t>
      </w:r>
      <w:r>
        <w:rPr>
          <w:rStyle w:val="61"/>
          <w:rFonts w:cs="Times New Roman"/>
          <w:szCs w:val="28"/>
          <w:highlight w:val="none"/>
          <w:shd w:val="clear" w:color="auto" w:fill="FFFFFF"/>
          <w:lang w:val="en-US"/>
        </w:rPr>
        <w:t xml:space="preserve">128. </w:t>
      </w:r>
      <w:r>
        <w:rPr>
          <w:rStyle w:val="53"/>
          <w:rFonts w:cs="Times New Roman"/>
          <w:szCs w:val="28"/>
          <w:highlight w:val="none"/>
          <w:lang w:val="en-US"/>
        </w:rPr>
        <w:t>doi: </w:t>
      </w:r>
      <w:r>
        <w:rPr>
          <w:highlight w:val="none"/>
        </w:rPr>
        <w:fldChar w:fldCharType="begin"/>
      </w:r>
      <w:r>
        <w:rPr>
          <w:highlight w:val="none"/>
        </w:rPr>
        <w:instrText xml:space="preserve"> HYPERLINK "https://doi.org/10.1111/apt.14382" \t "_blank" </w:instrText>
      </w:r>
      <w:r>
        <w:rPr>
          <w:highlight w:val="none"/>
        </w:rPr>
        <w:fldChar w:fldCharType="separate"/>
      </w:r>
      <w:r>
        <w:rPr>
          <w:rStyle w:val="11"/>
          <w:rFonts w:cs="Times New Roman"/>
          <w:color w:val="auto"/>
          <w:szCs w:val="28"/>
          <w:highlight w:val="none"/>
          <w:u w:val="none"/>
          <w:lang w:val="en-US"/>
        </w:rPr>
        <w:t>10.1111/apt.14382</w:t>
      </w:r>
      <w:r>
        <w:rPr>
          <w:rStyle w:val="11"/>
          <w:rFonts w:cs="Times New Roman"/>
          <w:color w:val="auto"/>
          <w:szCs w:val="28"/>
          <w:highlight w:val="none"/>
          <w:u w:val="none"/>
          <w:lang w:val="en-US"/>
        </w:rPr>
        <w:fldChar w:fldCharType="end"/>
      </w:r>
    </w:p>
    <w:p w14:paraId="4AD95195">
      <w:pPr>
        <w:widowControl w:val="0"/>
        <w:rPr>
          <w:rFonts w:cs="Times New Roman"/>
          <w:szCs w:val="28"/>
          <w:highlight w:val="none"/>
          <w:lang w:val="en-US"/>
        </w:rPr>
      </w:pPr>
      <w:r>
        <w:rPr>
          <w:rFonts w:cs="Times New Roman"/>
          <w:szCs w:val="28"/>
          <w:highlight w:val="none"/>
          <w:lang w:val="en-US"/>
        </w:rPr>
        <w:t xml:space="preserve">77. </w:t>
      </w:r>
      <w:r>
        <w:rPr>
          <w:rStyle w:val="57"/>
          <w:rFonts w:cs="Times New Roman"/>
          <w:szCs w:val="28"/>
          <w:highlight w:val="none"/>
          <w:shd w:val="clear" w:color="auto" w:fill="FFFFFF"/>
          <w:lang w:val="en-US"/>
        </w:rPr>
        <w:t>The impact of hepatitis C virus outside the liver: Evidence from Asia</w:t>
      </w:r>
      <w:r>
        <w:rPr>
          <w:rFonts w:cs="Times New Roman"/>
          <w:szCs w:val="28"/>
          <w:highlight w:val="none"/>
          <w:shd w:val="clear" w:color="auto" w:fill="FFFFFF"/>
          <w:lang w:val="en-US"/>
        </w:rPr>
        <w:t xml:space="preserve"> / </w:t>
      </w:r>
      <w:r>
        <w:rPr>
          <w:rStyle w:val="56"/>
          <w:rFonts w:cs="Times New Roman"/>
          <w:szCs w:val="28"/>
          <w:highlight w:val="none"/>
          <w:shd w:val="clear" w:color="auto" w:fill="FFFFFF"/>
          <w:lang w:val="en-US"/>
        </w:rPr>
        <w:t xml:space="preserve">Z. M. Younossi et al. </w:t>
      </w:r>
      <w:r>
        <w:rPr>
          <w:rFonts w:cs="Times New Roman"/>
          <w:iCs/>
          <w:szCs w:val="28"/>
          <w:highlight w:val="none"/>
          <w:shd w:val="clear" w:color="auto" w:fill="FFFFFF"/>
          <w:lang w:val="en-US"/>
        </w:rPr>
        <w:t>Liver Int</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2017.</w:t>
      </w:r>
      <w:r>
        <w:rPr>
          <w:rFonts w:cs="Times New Roman"/>
          <w:szCs w:val="28"/>
          <w:highlight w:val="none"/>
          <w:shd w:val="clear" w:color="auto" w:fill="FFFFFF"/>
          <w:lang w:val="en-US"/>
        </w:rPr>
        <w:t xml:space="preserve"> Vol. </w:t>
      </w:r>
      <w:r>
        <w:rPr>
          <w:rStyle w:val="59"/>
          <w:rFonts w:cs="Times New Roman"/>
          <w:bCs/>
          <w:szCs w:val="28"/>
          <w:highlight w:val="none"/>
          <w:shd w:val="clear" w:color="auto" w:fill="FFFFFF"/>
          <w:lang w:val="en-US"/>
        </w:rPr>
        <w:t xml:space="preserve">37 </w:t>
      </w:r>
      <w:r>
        <w:rPr>
          <w:rFonts w:cs="Times New Roman"/>
          <w:szCs w:val="28"/>
          <w:highlight w:val="none"/>
          <w:shd w:val="clear" w:color="auto" w:fill="FFFFFF"/>
          <w:lang w:val="en-US"/>
        </w:rPr>
        <w:t>(</w:t>
      </w:r>
      <w:r>
        <w:rPr>
          <w:rStyle w:val="62"/>
          <w:rFonts w:cs="Times New Roman"/>
          <w:szCs w:val="28"/>
          <w:highlight w:val="none"/>
          <w:shd w:val="clear" w:color="auto" w:fill="FFFFFF"/>
          <w:lang w:val="en-US"/>
        </w:rPr>
        <w:t>2</w:t>
      </w:r>
      <w:r>
        <w:rPr>
          <w:rFonts w:cs="Times New Roman"/>
          <w:szCs w:val="28"/>
          <w:highlight w:val="none"/>
          <w:shd w:val="clear" w:color="auto" w:fill="FFFFFF"/>
          <w:lang w:val="en-US"/>
        </w:rPr>
        <w:t xml:space="preserve">). P. </w:t>
      </w:r>
      <w:r>
        <w:rPr>
          <w:rStyle w:val="60"/>
          <w:rFonts w:cs="Times New Roman"/>
          <w:szCs w:val="28"/>
          <w:highlight w:val="none"/>
          <w:shd w:val="clear" w:color="auto" w:fill="FFFFFF"/>
          <w:lang w:val="en-US"/>
        </w:rPr>
        <w:t>159</w:t>
      </w:r>
      <w:r>
        <w:rPr>
          <w:rFonts w:cs="Times New Roman"/>
          <w:szCs w:val="28"/>
          <w:highlight w:val="none"/>
          <w:lang w:val="en-US"/>
        </w:rPr>
        <w:t>–</w:t>
      </w:r>
      <w:r>
        <w:rPr>
          <w:rStyle w:val="61"/>
          <w:rFonts w:cs="Times New Roman"/>
          <w:szCs w:val="28"/>
          <w:highlight w:val="none"/>
          <w:shd w:val="clear" w:color="auto" w:fill="FFFFFF"/>
          <w:lang w:val="en-US"/>
        </w:rPr>
        <w:t>172</w:t>
      </w:r>
      <w:r>
        <w:rPr>
          <w:rFonts w:cs="Times New Roman"/>
          <w:szCs w:val="28"/>
          <w:highlight w:val="none"/>
          <w:shd w:val="clear" w:color="auto" w:fill="FFFFFF"/>
          <w:lang w:val="en-US"/>
        </w:rPr>
        <w:t xml:space="preserve">. </w:t>
      </w:r>
      <w:r>
        <w:rPr>
          <w:rStyle w:val="53"/>
          <w:rFonts w:cs="Times New Roman"/>
          <w:szCs w:val="28"/>
          <w:highlight w:val="none"/>
          <w:lang w:val="en-US"/>
        </w:rPr>
        <w:t xml:space="preserve">doi: </w:t>
      </w:r>
      <w:r>
        <w:rPr>
          <w:highlight w:val="none"/>
        </w:rPr>
        <w:fldChar w:fldCharType="begin"/>
      </w:r>
      <w:r>
        <w:rPr>
          <w:highlight w:val="none"/>
        </w:rPr>
        <w:instrText xml:space="preserve"> HYPERLINK "https://doi.org/10.1111/liv.13272" \t "_blank" </w:instrText>
      </w:r>
      <w:r>
        <w:rPr>
          <w:highlight w:val="none"/>
        </w:rPr>
        <w:fldChar w:fldCharType="separate"/>
      </w:r>
      <w:r>
        <w:rPr>
          <w:rStyle w:val="11"/>
          <w:rFonts w:cs="Times New Roman"/>
          <w:color w:val="auto"/>
          <w:szCs w:val="28"/>
          <w:highlight w:val="none"/>
          <w:u w:val="none"/>
          <w:lang w:val="en-US"/>
        </w:rPr>
        <w:t>10.1111/liv.13272</w:t>
      </w:r>
      <w:r>
        <w:rPr>
          <w:rStyle w:val="11"/>
          <w:rFonts w:cs="Times New Roman"/>
          <w:color w:val="auto"/>
          <w:szCs w:val="28"/>
          <w:highlight w:val="none"/>
          <w:u w:val="none"/>
          <w:lang w:val="en-US"/>
        </w:rPr>
        <w:fldChar w:fldCharType="end"/>
      </w:r>
    </w:p>
    <w:p w14:paraId="3318F329">
      <w:pPr>
        <w:widowControl w:val="0"/>
        <w:rPr>
          <w:rFonts w:cs="Times New Roman"/>
          <w:szCs w:val="28"/>
          <w:highlight w:val="none"/>
          <w:lang w:val="en-US"/>
        </w:rPr>
      </w:pPr>
      <w:r>
        <w:rPr>
          <w:rFonts w:cs="Times New Roman"/>
          <w:szCs w:val="28"/>
          <w:highlight w:val="none"/>
          <w:lang w:val="en-US"/>
        </w:rPr>
        <w:t xml:space="preserve">78. </w:t>
      </w:r>
      <w:r>
        <w:rPr>
          <w:rFonts w:cs="Times New Roman"/>
          <w:szCs w:val="28"/>
          <w:highlight w:val="none"/>
          <w:shd w:val="clear" w:color="auto" w:fill="FFFFFF"/>
          <w:lang w:val="en-US"/>
        </w:rPr>
        <w:t>Ray R. B., Ray R. Hepatitis C virus manipulates humans as its favorite host for long term relationship. </w:t>
      </w:r>
      <w:r>
        <w:rPr>
          <w:rStyle w:val="51"/>
          <w:rFonts w:cs="Times New Roman"/>
          <w:i/>
          <w:iCs/>
          <w:szCs w:val="28"/>
          <w:highlight w:val="none"/>
          <w:shd w:val="clear" w:color="auto" w:fill="FFFFFF"/>
          <w:lang w:val="en-US"/>
        </w:rPr>
        <w:t>Hepatology</w:t>
      </w:r>
      <w:r>
        <w:rPr>
          <w:rFonts w:cs="Times New Roman"/>
          <w:szCs w:val="28"/>
          <w:highlight w:val="none"/>
          <w:shd w:val="clear" w:color="auto" w:fill="FFFFFF"/>
          <w:lang w:val="en-US"/>
        </w:rPr>
        <w:t>. </w:t>
      </w:r>
      <w:r>
        <w:rPr>
          <w:rFonts w:cs="Times New Roman"/>
          <w:bCs/>
          <w:szCs w:val="28"/>
          <w:highlight w:val="none"/>
          <w:shd w:val="clear" w:color="auto" w:fill="FFFFFF"/>
          <w:lang w:val="en-US"/>
        </w:rPr>
        <w:t>2018</w:t>
      </w:r>
      <w:r>
        <w:rPr>
          <w:rFonts w:cs="Times New Roman"/>
          <w:szCs w:val="28"/>
          <w:highlight w:val="none"/>
          <w:shd w:val="clear" w:color="auto" w:fill="FFFFFF"/>
          <w:lang w:val="en-US"/>
        </w:rPr>
        <w:t>. Vol. </w:t>
      </w:r>
      <w:r>
        <w:rPr>
          <w:rStyle w:val="51"/>
          <w:rFonts w:cs="Times New Roman"/>
          <w:iCs/>
          <w:szCs w:val="28"/>
          <w:highlight w:val="none"/>
          <w:shd w:val="clear" w:color="auto" w:fill="FFFFFF"/>
          <w:lang w:val="en-US"/>
        </w:rPr>
        <w:t>69</w:t>
      </w:r>
      <w:r>
        <w:rPr>
          <w:rFonts w:cs="Times New Roman"/>
          <w:szCs w:val="28"/>
          <w:highlight w:val="none"/>
          <w:shd w:val="clear" w:color="auto" w:fill="FFFFFF"/>
          <w:lang w:val="en-US"/>
        </w:rPr>
        <w:t xml:space="preserve">. P. 889–900. doi: </w:t>
      </w:r>
      <w:r>
        <w:rPr>
          <w:highlight w:val="none"/>
        </w:rPr>
        <w:fldChar w:fldCharType="begin"/>
      </w:r>
      <w:r>
        <w:rPr>
          <w:highlight w:val="none"/>
        </w:rPr>
        <w:instrText xml:space="preserve"> HYPERLINK "https://doi.org/10.1002/hep.30214" </w:instrText>
      </w:r>
      <w:r>
        <w:rPr>
          <w:highlight w:val="none"/>
        </w:rPr>
        <w:fldChar w:fldCharType="separate"/>
      </w:r>
      <w:r>
        <w:rPr>
          <w:rStyle w:val="11"/>
          <w:rFonts w:cs="Times New Roman"/>
          <w:bCs/>
          <w:color w:val="auto"/>
          <w:szCs w:val="28"/>
          <w:highlight w:val="none"/>
          <w:u w:val="none"/>
          <w:lang w:val="en-US"/>
        </w:rPr>
        <w:t>https://doi.org/10.1002/hep.30214</w:t>
      </w:r>
      <w:r>
        <w:rPr>
          <w:rStyle w:val="11"/>
          <w:rFonts w:cs="Times New Roman"/>
          <w:bCs/>
          <w:color w:val="auto"/>
          <w:szCs w:val="28"/>
          <w:highlight w:val="none"/>
          <w:u w:val="none"/>
          <w:lang w:val="en-US"/>
        </w:rPr>
        <w:fldChar w:fldCharType="end"/>
      </w:r>
    </w:p>
    <w:p w14:paraId="43C50A36">
      <w:pPr>
        <w:widowControl w:val="0"/>
        <w:rPr>
          <w:rFonts w:cs="Times New Roman"/>
          <w:szCs w:val="28"/>
          <w:highlight w:val="none"/>
          <w:lang w:val="en-US"/>
        </w:rPr>
      </w:pPr>
      <w:r>
        <w:rPr>
          <w:rFonts w:cs="Times New Roman"/>
          <w:szCs w:val="28"/>
          <w:highlight w:val="none"/>
          <w:lang w:val="en-US"/>
        </w:rPr>
        <w:t xml:space="preserve">79. </w:t>
      </w:r>
      <w:r>
        <w:rPr>
          <w:rFonts w:cs="Times New Roman"/>
          <w:szCs w:val="28"/>
          <w:highlight w:val="none"/>
          <w:shd w:val="clear" w:color="auto" w:fill="FFFFFF"/>
          <w:lang w:val="en-US"/>
        </w:rPr>
        <w:t xml:space="preserve">Hepatitis C: From inflammatory pathogenesis to anti-inflammatory/hepatoprotective therapy / H. Li, M. H. Huang, J. D. Jiang, Z. G. Peng. </w:t>
      </w:r>
      <w:r>
        <w:rPr>
          <w:rFonts w:cs="Times New Roman"/>
          <w:i/>
          <w:szCs w:val="28"/>
          <w:highlight w:val="none"/>
          <w:shd w:val="clear" w:color="auto" w:fill="FFFFFF"/>
          <w:lang w:val="en-US"/>
        </w:rPr>
        <w:t>World J. Gastroenterol</w:t>
      </w:r>
      <w:r>
        <w:rPr>
          <w:rFonts w:cs="Times New Roman"/>
          <w:szCs w:val="28"/>
          <w:highlight w:val="none"/>
          <w:shd w:val="clear" w:color="auto" w:fill="FFFFFF"/>
          <w:lang w:val="en-US"/>
        </w:rPr>
        <w:t>. 2018. Vol. 24 (47). P. 5297</w:t>
      </w:r>
      <w:r>
        <w:rPr>
          <w:rFonts w:cs="Times New Roman"/>
          <w:szCs w:val="28"/>
          <w:highlight w:val="none"/>
          <w:lang w:val="en-US"/>
        </w:rPr>
        <w:t>–</w:t>
      </w:r>
      <w:r>
        <w:rPr>
          <w:rFonts w:cs="Times New Roman"/>
          <w:szCs w:val="28"/>
          <w:highlight w:val="none"/>
          <w:shd w:val="clear" w:color="auto" w:fill="FFFFFF"/>
          <w:lang w:val="en-US"/>
        </w:rPr>
        <w:t>5311. doi: 10.3748/wjg.v24.i47.5297</w:t>
      </w:r>
    </w:p>
    <w:p w14:paraId="2625B5A7">
      <w:pPr>
        <w:widowControl w:val="0"/>
        <w:rPr>
          <w:rFonts w:cs="Times New Roman"/>
          <w:szCs w:val="28"/>
          <w:highlight w:val="none"/>
          <w:lang w:val="en-US"/>
        </w:rPr>
      </w:pPr>
      <w:r>
        <w:rPr>
          <w:rFonts w:cs="Times New Roman"/>
          <w:szCs w:val="28"/>
          <w:highlight w:val="none"/>
          <w:lang w:val="en-US"/>
        </w:rPr>
        <w:t xml:space="preserve">80. </w:t>
      </w:r>
      <w:r>
        <w:rPr>
          <w:rFonts w:cs="Times New Roman"/>
          <w:szCs w:val="28"/>
          <w:highlight w:val="none"/>
          <w:shd w:val="clear" w:color="auto" w:fill="FFFFFF"/>
          <w:lang w:val="en-US"/>
        </w:rPr>
        <w:t>Ekpanyapong S., Reddy K. R. Hepatitis C virus therapy in advanced liver disease: Outcomes and challenges. </w:t>
      </w:r>
      <w:r>
        <w:rPr>
          <w:rStyle w:val="51"/>
          <w:rFonts w:cs="Times New Roman"/>
          <w:i/>
          <w:iCs/>
          <w:szCs w:val="28"/>
          <w:highlight w:val="none"/>
          <w:shd w:val="clear" w:color="auto" w:fill="FFFFFF"/>
          <w:lang w:val="en-US"/>
        </w:rPr>
        <w:t>United Eur. Gastroenterol. J.</w:t>
      </w:r>
      <w:r>
        <w:rPr>
          <w:rFonts w:cs="Times New Roman"/>
          <w:szCs w:val="28"/>
          <w:highlight w:val="none"/>
          <w:shd w:val="clear" w:color="auto" w:fill="FFFFFF"/>
          <w:lang w:val="en-US"/>
        </w:rPr>
        <w:t> </w:t>
      </w:r>
      <w:r>
        <w:rPr>
          <w:rFonts w:cs="Times New Roman"/>
          <w:bCs/>
          <w:szCs w:val="28"/>
          <w:highlight w:val="none"/>
          <w:shd w:val="clear" w:color="auto" w:fill="FFFFFF"/>
          <w:lang w:val="en-US"/>
        </w:rPr>
        <w:t>2019</w:t>
      </w:r>
      <w:r>
        <w:rPr>
          <w:rFonts w:cs="Times New Roman"/>
          <w:szCs w:val="28"/>
          <w:highlight w:val="none"/>
          <w:shd w:val="clear" w:color="auto" w:fill="FFFFFF"/>
          <w:lang w:val="en-US"/>
        </w:rPr>
        <w:t xml:space="preserve">. Vol. </w:t>
      </w:r>
      <w:r>
        <w:rPr>
          <w:rStyle w:val="51"/>
          <w:rFonts w:cs="Times New Roman"/>
          <w:iCs/>
          <w:szCs w:val="28"/>
          <w:highlight w:val="none"/>
          <w:shd w:val="clear" w:color="auto" w:fill="FFFFFF"/>
          <w:lang w:val="en-US"/>
        </w:rPr>
        <w:t>7</w:t>
      </w:r>
      <w:r>
        <w:rPr>
          <w:rFonts w:cs="Times New Roman"/>
          <w:szCs w:val="28"/>
          <w:highlight w:val="none"/>
          <w:shd w:val="clear" w:color="auto" w:fill="FFFFFF"/>
          <w:lang w:val="en-US"/>
        </w:rPr>
        <w:t xml:space="preserve">. P. 642–650. doi: </w:t>
      </w:r>
      <w:r>
        <w:rPr>
          <w:highlight w:val="none"/>
        </w:rPr>
        <w:fldChar w:fldCharType="begin"/>
      </w:r>
      <w:r>
        <w:rPr>
          <w:highlight w:val="none"/>
        </w:rPr>
        <w:instrText xml:space="preserve"> HYPERLINK "https://doi.org/10.1177/2050640619840149" </w:instrText>
      </w:r>
      <w:r>
        <w:rPr>
          <w:highlight w:val="none"/>
        </w:rPr>
        <w:fldChar w:fldCharType="separate"/>
      </w:r>
      <w:r>
        <w:rPr>
          <w:rStyle w:val="11"/>
          <w:rFonts w:cs="Times New Roman"/>
          <w:bCs/>
          <w:color w:val="auto"/>
          <w:szCs w:val="28"/>
          <w:highlight w:val="none"/>
          <w:u w:val="none"/>
          <w:shd w:val="clear" w:color="auto" w:fill="FFFFFF"/>
          <w:lang w:val="en-US"/>
        </w:rPr>
        <w:t>https://doi.org/10.1177/2050640619840149</w:t>
      </w:r>
      <w:r>
        <w:rPr>
          <w:rStyle w:val="11"/>
          <w:rFonts w:cs="Times New Roman"/>
          <w:bCs/>
          <w:color w:val="auto"/>
          <w:szCs w:val="28"/>
          <w:highlight w:val="none"/>
          <w:u w:val="none"/>
          <w:shd w:val="clear" w:color="auto" w:fill="FFFFFF"/>
          <w:lang w:val="en-US"/>
        </w:rPr>
        <w:fldChar w:fldCharType="end"/>
      </w:r>
    </w:p>
    <w:p w14:paraId="62563114">
      <w:pPr>
        <w:widowControl w:val="0"/>
        <w:rPr>
          <w:rFonts w:cs="Times New Roman"/>
          <w:szCs w:val="28"/>
          <w:highlight w:val="none"/>
          <w:lang w:val="en-US"/>
        </w:rPr>
      </w:pPr>
      <w:r>
        <w:rPr>
          <w:rFonts w:cs="Times New Roman"/>
          <w:szCs w:val="28"/>
          <w:highlight w:val="none"/>
          <w:lang w:val="en-US"/>
        </w:rPr>
        <w:t xml:space="preserve">81. </w:t>
      </w:r>
      <w:r>
        <w:rPr>
          <w:rFonts w:cs="Times New Roman"/>
          <w:szCs w:val="28"/>
          <w:highlight w:val="none"/>
          <w:shd w:val="clear" w:color="auto" w:fill="FFFFFF"/>
          <w:lang w:val="en-US"/>
        </w:rPr>
        <w:t>Tsuchida T., Friedman S. L. Mechanisms of hepatic stellate cell activation. </w:t>
      </w:r>
      <w:r>
        <w:rPr>
          <w:rStyle w:val="51"/>
          <w:rFonts w:cs="Times New Roman"/>
          <w:i/>
          <w:iCs/>
          <w:szCs w:val="28"/>
          <w:highlight w:val="none"/>
          <w:shd w:val="clear" w:color="auto" w:fill="FFFFFF"/>
          <w:lang w:val="en-US"/>
        </w:rPr>
        <w:t>Nat. Rev. Gastroenterol. Hepatol</w:t>
      </w:r>
      <w:r>
        <w:rPr>
          <w:rStyle w:val="51"/>
          <w:rFonts w:cs="Times New Roman"/>
          <w:iCs/>
          <w:szCs w:val="28"/>
          <w:highlight w:val="none"/>
          <w:shd w:val="clear" w:color="auto" w:fill="FFFFFF"/>
          <w:lang w:val="en-US"/>
        </w:rPr>
        <w:t>.</w:t>
      </w:r>
      <w:r>
        <w:rPr>
          <w:rFonts w:cs="Times New Roman"/>
          <w:szCs w:val="28"/>
          <w:highlight w:val="none"/>
          <w:shd w:val="clear" w:color="auto" w:fill="FFFFFF"/>
          <w:lang w:val="en-US"/>
        </w:rPr>
        <w:t> </w:t>
      </w:r>
      <w:r>
        <w:rPr>
          <w:rFonts w:cs="Times New Roman"/>
          <w:bCs/>
          <w:szCs w:val="28"/>
          <w:highlight w:val="none"/>
          <w:shd w:val="clear" w:color="auto" w:fill="FFFFFF"/>
          <w:lang w:val="en-US"/>
        </w:rPr>
        <w:t>2017</w:t>
      </w:r>
      <w:r>
        <w:rPr>
          <w:rFonts w:cs="Times New Roman"/>
          <w:szCs w:val="28"/>
          <w:highlight w:val="none"/>
          <w:shd w:val="clear" w:color="auto" w:fill="FFFFFF"/>
          <w:lang w:val="en-US"/>
        </w:rPr>
        <w:t xml:space="preserve">. Vol. </w:t>
      </w:r>
      <w:r>
        <w:rPr>
          <w:rStyle w:val="51"/>
          <w:rFonts w:cs="Times New Roman"/>
          <w:iCs/>
          <w:szCs w:val="28"/>
          <w:highlight w:val="none"/>
          <w:shd w:val="clear" w:color="auto" w:fill="FFFFFF"/>
          <w:lang w:val="en-US"/>
        </w:rPr>
        <w:t>14</w:t>
      </w:r>
      <w:r>
        <w:rPr>
          <w:rFonts w:cs="Times New Roman"/>
          <w:szCs w:val="28"/>
          <w:highlight w:val="none"/>
          <w:shd w:val="clear" w:color="auto" w:fill="FFFFFF"/>
          <w:lang w:val="en-US"/>
        </w:rPr>
        <w:t>. P. 397–411. doi: https://doi.org/10.1038/nrgastro.2017.38</w:t>
      </w:r>
    </w:p>
    <w:p w14:paraId="34867189">
      <w:pPr>
        <w:widowControl w:val="0"/>
        <w:rPr>
          <w:rFonts w:cs="Times New Roman"/>
          <w:szCs w:val="28"/>
          <w:highlight w:val="none"/>
          <w:lang w:val="en-US"/>
        </w:rPr>
      </w:pPr>
      <w:r>
        <w:rPr>
          <w:rFonts w:cs="Times New Roman"/>
          <w:szCs w:val="28"/>
          <w:highlight w:val="none"/>
          <w:lang w:val="en-US"/>
        </w:rPr>
        <w:t>82. Ripa M., Chiappetta S., Tambussi G. Immunosenescence and hurdles in the clinical management of older HIV-patients. </w:t>
      </w:r>
      <w:r>
        <w:rPr>
          <w:rStyle w:val="51"/>
          <w:rFonts w:cs="Times New Roman"/>
          <w:i/>
          <w:iCs/>
          <w:szCs w:val="28"/>
          <w:highlight w:val="none"/>
          <w:lang w:val="en-US"/>
        </w:rPr>
        <w:t>Virulence</w:t>
      </w:r>
      <w:r>
        <w:rPr>
          <w:rFonts w:cs="Times New Roman"/>
          <w:szCs w:val="28"/>
          <w:highlight w:val="none"/>
          <w:lang w:val="en-US"/>
        </w:rPr>
        <w:t xml:space="preserve">. </w:t>
      </w:r>
      <w:r>
        <w:rPr>
          <w:rFonts w:cs="Times New Roman"/>
          <w:bCs/>
          <w:szCs w:val="28"/>
          <w:highlight w:val="none"/>
          <w:lang w:val="en-US"/>
        </w:rPr>
        <w:t>2017</w:t>
      </w:r>
      <w:r>
        <w:rPr>
          <w:rFonts w:cs="Times New Roman"/>
          <w:szCs w:val="28"/>
          <w:highlight w:val="none"/>
          <w:lang w:val="en-US"/>
        </w:rPr>
        <w:t xml:space="preserve">. Vol. </w:t>
      </w:r>
      <w:r>
        <w:rPr>
          <w:rStyle w:val="51"/>
          <w:rFonts w:cs="Times New Roman"/>
          <w:iCs/>
          <w:szCs w:val="28"/>
          <w:highlight w:val="none"/>
          <w:lang w:val="en-US"/>
        </w:rPr>
        <w:t>8</w:t>
      </w:r>
      <w:r>
        <w:rPr>
          <w:rFonts w:cs="Times New Roman"/>
          <w:szCs w:val="28"/>
          <w:highlight w:val="none"/>
          <w:lang w:val="en-US"/>
        </w:rPr>
        <w:t xml:space="preserve">. P. 508–528. </w:t>
      </w:r>
      <w:r>
        <w:rPr>
          <w:rStyle w:val="53"/>
          <w:rFonts w:cs="Times New Roman"/>
          <w:szCs w:val="28"/>
          <w:highlight w:val="none"/>
          <w:lang w:val="en-US"/>
        </w:rPr>
        <w:t>doi: </w:t>
      </w:r>
      <w:r>
        <w:rPr>
          <w:highlight w:val="none"/>
        </w:rPr>
        <w:fldChar w:fldCharType="begin"/>
      </w:r>
      <w:r>
        <w:rPr>
          <w:highlight w:val="none"/>
        </w:rPr>
        <w:instrText xml:space="preserve"> HYPERLINK "https://doi.org/10.1080/21505594.2017.1292197" \t "_blank" </w:instrText>
      </w:r>
      <w:r>
        <w:rPr>
          <w:highlight w:val="none"/>
        </w:rPr>
        <w:fldChar w:fldCharType="separate"/>
      </w:r>
      <w:r>
        <w:rPr>
          <w:rStyle w:val="11"/>
          <w:rFonts w:cs="Times New Roman"/>
          <w:color w:val="auto"/>
          <w:szCs w:val="28"/>
          <w:highlight w:val="none"/>
          <w:u w:val="none"/>
          <w:lang w:val="en-US"/>
        </w:rPr>
        <w:t>10.1080/21505594.2017.1292197</w:t>
      </w:r>
      <w:r>
        <w:rPr>
          <w:rStyle w:val="11"/>
          <w:rFonts w:cs="Times New Roman"/>
          <w:color w:val="auto"/>
          <w:szCs w:val="28"/>
          <w:highlight w:val="none"/>
          <w:u w:val="none"/>
          <w:lang w:val="en-US"/>
        </w:rPr>
        <w:fldChar w:fldCharType="end"/>
      </w:r>
    </w:p>
    <w:p w14:paraId="1F667793">
      <w:pPr>
        <w:widowControl w:val="0"/>
        <w:rPr>
          <w:rFonts w:cs="Times New Roman"/>
          <w:szCs w:val="28"/>
          <w:highlight w:val="none"/>
          <w:lang w:val="en-US"/>
        </w:rPr>
      </w:pPr>
      <w:r>
        <w:rPr>
          <w:rFonts w:cs="Times New Roman"/>
          <w:szCs w:val="28"/>
          <w:highlight w:val="none"/>
          <w:lang w:val="en-US"/>
        </w:rPr>
        <w:t>83. Peripheral loss of CD8</w:t>
      </w:r>
      <w:r>
        <w:rPr>
          <w:rFonts w:cs="Times New Roman"/>
          <w:szCs w:val="28"/>
          <w:highlight w:val="none"/>
          <w:vertAlign w:val="superscript"/>
          <w:lang w:val="en-US"/>
        </w:rPr>
        <w:t>+</w:t>
      </w:r>
      <w:r>
        <w:rPr>
          <w:rFonts w:cs="Times New Roman"/>
          <w:szCs w:val="28"/>
          <w:highlight w:val="none"/>
          <w:lang w:val="en-US"/>
        </w:rPr>
        <w:t> CD161</w:t>
      </w:r>
      <w:r>
        <w:rPr>
          <w:rFonts w:cs="Times New Roman"/>
          <w:szCs w:val="28"/>
          <w:highlight w:val="none"/>
          <w:vertAlign w:val="superscript"/>
          <w:lang w:val="en-US"/>
        </w:rPr>
        <w:t>++</w:t>
      </w:r>
      <w:r>
        <w:rPr>
          <w:rFonts w:cs="Times New Roman"/>
          <w:szCs w:val="28"/>
          <w:highlight w:val="none"/>
          <w:lang w:val="en-US"/>
        </w:rPr>
        <w:t> TCRVα7·2</w:t>
      </w:r>
      <w:r>
        <w:rPr>
          <w:rFonts w:cs="Times New Roman"/>
          <w:szCs w:val="28"/>
          <w:highlight w:val="none"/>
          <w:vertAlign w:val="superscript"/>
          <w:lang w:val="en-US"/>
        </w:rPr>
        <w:t>+</w:t>
      </w:r>
      <w:r>
        <w:rPr>
          <w:rFonts w:cs="Times New Roman"/>
          <w:szCs w:val="28"/>
          <w:highlight w:val="none"/>
          <w:lang w:val="en-US"/>
        </w:rPr>
        <w:t xml:space="preserve"> mucosal-associated invariant T cells in chronic hepatitis C virus-infected patients / M. Barathan et al. </w:t>
      </w:r>
      <w:r>
        <w:rPr>
          <w:rStyle w:val="51"/>
          <w:rFonts w:cs="Times New Roman"/>
          <w:i/>
          <w:iCs/>
          <w:szCs w:val="28"/>
          <w:highlight w:val="none"/>
          <w:lang w:val="en-US"/>
        </w:rPr>
        <w:t>Eur. J. Clin. Investig.</w:t>
      </w:r>
      <w:r>
        <w:rPr>
          <w:rFonts w:cs="Times New Roman"/>
          <w:szCs w:val="28"/>
          <w:highlight w:val="none"/>
          <w:lang w:val="en-US"/>
        </w:rPr>
        <w:t> </w:t>
      </w:r>
      <w:r>
        <w:rPr>
          <w:rFonts w:cs="Times New Roman"/>
          <w:bCs/>
          <w:szCs w:val="28"/>
          <w:highlight w:val="none"/>
          <w:lang w:val="en-US"/>
        </w:rPr>
        <w:t>2016</w:t>
      </w:r>
      <w:r>
        <w:rPr>
          <w:rFonts w:cs="Times New Roman"/>
          <w:szCs w:val="28"/>
          <w:highlight w:val="none"/>
          <w:lang w:val="en-US"/>
        </w:rPr>
        <w:t xml:space="preserve">. Vol. </w:t>
      </w:r>
      <w:r>
        <w:rPr>
          <w:rStyle w:val="51"/>
          <w:rFonts w:cs="Times New Roman"/>
          <w:iCs/>
          <w:szCs w:val="28"/>
          <w:highlight w:val="none"/>
          <w:lang w:val="en-US"/>
        </w:rPr>
        <w:t>46</w:t>
      </w:r>
      <w:r>
        <w:rPr>
          <w:rFonts w:cs="Times New Roman"/>
          <w:szCs w:val="28"/>
          <w:highlight w:val="none"/>
          <w:lang w:val="en-US"/>
        </w:rPr>
        <w:t xml:space="preserve">. P. 170–180. </w:t>
      </w:r>
      <w:r>
        <w:rPr>
          <w:rStyle w:val="53"/>
          <w:rFonts w:cs="Times New Roman"/>
          <w:szCs w:val="28"/>
          <w:highlight w:val="none"/>
          <w:lang w:val="en-US"/>
        </w:rPr>
        <w:t>doi: </w:t>
      </w:r>
      <w:r>
        <w:rPr>
          <w:highlight w:val="none"/>
        </w:rPr>
        <w:fldChar w:fldCharType="begin"/>
      </w:r>
      <w:r>
        <w:rPr>
          <w:highlight w:val="none"/>
        </w:rPr>
        <w:instrText xml:space="preserve"> HYPERLINK "https://doi.org/10.1111/eci.12581" \t "_blank" </w:instrText>
      </w:r>
      <w:r>
        <w:rPr>
          <w:highlight w:val="none"/>
        </w:rPr>
        <w:fldChar w:fldCharType="separate"/>
      </w:r>
      <w:r>
        <w:rPr>
          <w:rStyle w:val="11"/>
          <w:rFonts w:cs="Times New Roman"/>
          <w:color w:val="auto"/>
          <w:szCs w:val="28"/>
          <w:highlight w:val="none"/>
          <w:u w:val="none"/>
          <w:lang w:val="en-US"/>
        </w:rPr>
        <w:t>10.1111/eci.12581</w:t>
      </w:r>
      <w:r>
        <w:rPr>
          <w:rStyle w:val="11"/>
          <w:rFonts w:cs="Times New Roman"/>
          <w:color w:val="auto"/>
          <w:szCs w:val="28"/>
          <w:highlight w:val="none"/>
          <w:u w:val="none"/>
          <w:lang w:val="en-US"/>
        </w:rPr>
        <w:fldChar w:fldCharType="end"/>
      </w:r>
    </w:p>
    <w:p w14:paraId="6A56C106">
      <w:pPr>
        <w:widowControl w:val="0"/>
        <w:rPr>
          <w:rFonts w:cs="Times New Roman"/>
          <w:szCs w:val="28"/>
          <w:highlight w:val="none"/>
          <w:lang w:val="en-US"/>
        </w:rPr>
      </w:pPr>
      <w:r>
        <w:rPr>
          <w:rFonts w:cs="Times New Roman"/>
          <w:szCs w:val="28"/>
          <w:highlight w:val="none"/>
          <w:lang w:val="en-US"/>
        </w:rPr>
        <w:t>84. PD-1 expression on peripheral CD8</w:t>
      </w:r>
      <w:r>
        <w:rPr>
          <w:rFonts w:cs="Times New Roman"/>
          <w:szCs w:val="28"/>
          <w:highlight w:val="none"/>
          <w:vertAlign w:val="superscript"/>
          <w:lang w:val="en-US"/>
        </w:rPr>
        <w:t>+</w:t>
      </w:r>
      <w:r>
        <w:rPr>
          <w:rFonts w:cs="Times New Roman"/>
          <w:szCs w:val="28"/>
          <w:highlight w:val="none"/>
          <w:lang w:val="en-US"/>
        </w:rPr>
        <w:t xml:space="preserve"> T cells closely correlated with hepatitis C virus viral load in chronic hepatitis C patients / A. A. Fathy et al. </w:t>
      </w:r>
      <w:r>
        <w:rPr>
          <w:rStyle w:val="51"/>
          <w:rFonts w:cs="Times New Roman"/>
          <w:i/>
          <w:iCs/>
          <w:szCs w:val="28"/>
          <w:highlight w:val="none"/>
          <w:lang w:val="en-US"/>
        </w:rPr>
        <w:t>Menoufia Med. J.</w:t>
      </w:r>
      <w:r>
        <w:rPr>
          <w:rFonts w:cs="Times New Roman"/>
          <w:szCs w:val="28"/>
          <w:highlight w:val="none"/>
          <w:lang w:val="en-US"/>
        </w:rPr>
        <w:t> </w:t>
      </w:r>
      <w:r>
        <w:rPr>
          <w:rFonts w:cs="Times New Roman"/>
          <w:bCs/>
          <w:szCs w:val="28"/>
          <w:highlight w:val="none"/>
          <w:lang w:val="en-US"/>
        </w:rPr>
        <w:t>2016</w:t>
      </w:r>
      <w:r>
        <w:rPr>
          <w:rFonts w:cs="Times New Roman"/>
          <w:szCs w:val="28"/>
          <w:highlight w:val="none"/>
          <w:lang w:val="en-US"/>
        </w:rPr>
        <w:t xml:space="preserve">. Vol. </w:t>
      </w:r>
      <w:r>
        <w:rPr>
          <w:rStyle w:val="51"/>
          <w:rFonts w:cs="Times New Roman"/>
          <w:iCs/>
          <w:szCs w:val="28"/>
          <w:highlight w:val="none"/>
          <w:lang w:val="en-US"/>
        </w:rPr>
        <w:t>29</w:t>
      </w:r>
      <w:r>
        <w:rPr>
          <w:rFonts w:cs="Times New Roman"/>
          <w:szCs w:val="28"/>
          <w:highlight w:val="none"/>
          <w:lang w:val="en-US"/>
        </w:rPr>
        <w:t xml:space="preserve">. P. 383–388. </w:t>
      </w:r>
      <w:r>
        <w:rPr>
          <w:rFonts w:cs="Times New Roman"/>
          <w:bCs/>
          <w:szCs w:val="28"/>
          <w:highlight w:val="none"/>
          <w:shd w:val="clear" w:color="auto" w:fill="FFFFFF"/>
          <w:lang w:val="en-US"/>
        </w:rPr>
        <w:t>doi:</w:t>
      </w:r>
      <w:r>
        <w:rPr>
          <w:rFonts w:cs="Times New Roman"/>
          <w:szCs w:val="28"/>
          <w:highlight w:val="none"/>
          <w:shd w:val="clear" w:color="auto" w:fill="FFFFFF"/>
          <w:lang w:val="en-US"/>
        </w:rPr>
        <w:t> 10.4103/1110-2098.192444</w:t>
      </w:r>
    </w:p>
    <w:p w14:paraId="5C02F5B0">
      <w:pPr>
        <w:widowControl w:val="0"/>
        <w:rPr>
          <w:rFonts w:cs="Times New Roman"/>
          <w:szCs w:val="28"/>
          <w:highlight w:val="none"/>
          <w:lang w:val="en-US"/>
        </w:rPr>
      </w:pPr>
      <w:r>
        <w:rPr>
          <w:rFonts w:cs="Times New Roman"/>
          <w:szCs w:val="28"/>
          <w:highlight w:val="none"/>
          <w:lang w:val="en-US"/>
        </w:rPr>
        <w:t>85. CD8</w:t>
      </w:r>
      <w:r>
        <w:rPr>
          <w:rFonts w:cs="Times New Roman"/>
          <w:szCs w:val="28"/>
          <w:highlight w:val="none"/>
          <w:vertAlign w:val="superscript"/>
          <w:lang w:val="en-US"/>
        </w:rPr>
        <w:t>+</w:t>
      </w:r>
      <w:r>
        <w:rPr>
          <w:rFonts w:cs="Times New Roman"/>
          <w:szCs w:val="28"/>
          <w:highlight w:val="none"/>
          <w:lang w:val="en-US"/>
        </w:rPr>
        <w:t xml:space="preserve"> T cells of chronic HCV-infected patients express multiple negative immune checkpoints following stimulation with HCV peptides / M. Barathan et al. </w:t>
      </w:r>
      <w:r>
        <w:rPr>
          <w:rStyle w:val="51"/>
          <w:rFonts w:cs="Times New Roman"/>
          <w:i/>
          <w:iCs/>
          <w:szCs w:val="28"/>
          <w:highlight w:val="none"/>
          <w:lang w:val="en-US"/>
        </w:rPr>
        <w:t>Cell. Immunol.</w:t>
      </w:r>
      <w:r>
        <w:rPr>
          <w:rFonts w:cs="Times New Roman"/>
          <w:szCs w:val="28"/>
          <w:highlight w:val="none"/>
          <w:lang w:val="en-US"/>
        </w:rPr>
        <w:t> </w:t>
      </w:r>
      <w:r>
        <w:rPr>
          <w:rFonts w:cs="Times New Roman"/>
          <w:bCs/>
          <w:szCs w:val="28"/>
          <w:highlight w:val="none"/>
          <w:lang w:val="en-US"/>
        </w:rPr>
        <w:t>2017</w:t>
      </w:r>
      <w:r>
        <w:rPr>
          <w:rFonts w:cs="Times New Roman"/>
          <w:szCs w:val="28"/>
          <w:highlight w:val="none"/>
          <w:lang w:val="en-US"/>
        </w:rPr>
        <w:t>. Vol.</w:t>
      </w:r>
      <w:r>
        <w:rPr>
          <w:rStyle w:val="51"/>
          <w:rFonts w:cs="Times New Roman"/>
          <w:iCs/>
          <w:szCs w:val="28"/>
          <w:highlight w:val="none"/>
          <w:lang w:val="en-US"/>
        </w:rPr>
        <w:t xml:space="preserve"> 313</w:t>
      </w:r>
      <w:r>
        <w:rPr>
          <w:rFonts w:cs="Times New Roman"/>
          <w:szCs w:val="28"/>
          <w:highlight w:val="none"/>
          <w:lang w:val="en-US"/>
        </w:rPr>
        <w:t xml:space="preserve">. P. 1–9. </w:t>
      </w:r>
      <w:r>
        <w:rPr>
          <w:rStyle w:val="53"/>
          <w:rFonts w:cs="Times New Roman"/>
          <w:szCs w:val="28"/>
          <w:highlight w:val="none"/>
          <w:lang w:val="en-US"/>
        </w:rPr>
        <w:t>doi: </w:t>
      </w:r>
      <w:r>
        <w:rPr>
          <w:highlight w:val="none"/>
        </w:rPr>
        <w:fldChar w:fldCharType="begin"/>
      </w:r>
      <w:r>
        <w:rPr>
          <w:highlight w:val="none"/>
        </w:rPr>
        <w:instrText xml:space="preserve"> HYPERLINK "https://doi.org/10.1016/j.cellimm.2016.12.002" \t "_blank" </w:instrText>
      </w:r>
      <w:r>
        <w:rPr>
          <w:highlight w:val="none"/>
        </w:rPr>
        <w:fldChar w:fldCharType="separate"/>
      </w:r>
      <w:r>
        <w:rPr>
          <w:rStyle w:val="11"/>
          <w:rFonts w:cs="Times New Roman"/>
          <w:color w:val="auto"/>
          <w:szCs w:val="28"/>
          <w:highlight w:val="none"/>
          <w:u w:val="none"/>
          <w:lang w:val="en-US"/>
        </w:rPr>
        <w:t>10.1016/j.cellimm.2016.12.002</w:t>
      </w:r>
      <w:r>
        <w:rPr>
          <w:rStyle w:val="11"/>
          <w:rFonts w:cs="Times New Roman"/>
          <w:color w:val="auto"/>
          <w:szCs w:val="28"/>
          <w:highlight w:val="none"/>
          <w:u w:val="none"/>
          <w:lang w:val="en-US"/>
        </w:rPr>
        <w:fldChar w:fldCharType="end"/>
      </w:r>
    </w:p>
    <w:p w14:paraId="52D3C151">
      <w:pPr>
        <w:widowControl w:val="0"/>
        <w:rPr>
          <w:rFonts w:cs="Times New Roman"/>
          <w:szCs w:val="28"/>
          <w:highlight w:val="none"/>
          <w:lang w:val="en-US"/>
        </w:rPr>
      </w:pPr>
      <w:r>
        <w:rPr>
          <w:rFonts w:cs="Times New Roman"/>
          <w:szCs w:val="28"/>
          <w:highlight w:val="none"/>
          <w:lang w:val="en-US"/>
        </w:rPr>
        <w:t xml:space="preserve">86. IL-10: A multifunctional cytokine in viral infections / J. M. Rojas, M. Avia, V. Martín, N. Sevilla. </w:t>
      </w:r>
      <w:r>
        <w:rPr>
          <w:rStyle w:val="51"/>
          <w:rFonts w:cs="Times New Roman"/>
          <w:i/>
          <w:iCs/>
          <w:szCs w:val="28"/>
          <w:highlight w:val="none"/>
          <w:lang w:val="en-US"/>
        </w:rPr>
        <w:t>J. Immunol. Res.</w:t>
      </w:r>
      <w:r>
        <w:rPr>
          <w:rFonts w:cs="Times New Roman"/>
          <w:szCs w:val="28"/>
          <w:highlight w:val="none"/>
          <w:lang w:val="en-US"/>
        </w:rPr>
        <w:t> </w:t>
      </w:r>
      <w:r>
        <w:rPr>
          <w:rFonts w:cs="Times New Roman"/>
          <w:bCs/>
          <w:szCs w:val="28"/>
          <w:highlight w:val="none"/>
          <w:lang w:val="en-US"/>
        </w:rPr>
        <w:t>2017</w:t>
      </w:r>
      <w:r>
        <w:rPr>
          <w:rFonts w:cs="Times New Roman"/>
          <w:szCs w:val="28"/>
          <w:highlight w:val="none"/>
          <w:lang w:val="en-US"/>
        </w:rPr>
        <w:t xml:space="preserve">. Vol. </w:t>
      </w:r>
      <w:r>
        <w:rPr>
          <w:rStyle w:val="51"/>
          <w:rFonts w:cs="Times New Roman"/>
          <w:iCs/>
          <w:szCs w:val="28"/>
          <w:highlight w:val="none"/>
          <w:lang w:val="en-US"/>
        </w:rPr>
        <w:t>2017</w:t>
      </w:r>
      <w:r>
        <w:rPr>
          <w:rFonts w:cs="Times New Roman"/>
          <w:szCs w:val="28"/>
          <w:highlight w:val="none"/>
          <w:lang w:val="en-US"/>
        </w:rPr>
        <w:t xml:space="preserve">. P. 6104054. </w:t>
      </w:r>
      <w:r>
        <w:rPr>
          <w:rStyle w:val="53"/>
          <w:rFonts w:cs="Times New Roman"/>
          <w:szCs w:val="28"/>
          <w:highlight w:val="none"/>
          <w:lang w:val="en-US"/>
        </w:rPr>
        <w:t>doi: </w:t>
      </w:r>
      <w:r>
        <w:rPr>
          <w:highlight w:val="none"/>
        </w:rPr>
        <w:fldChar w:fldCharType="begin"/>
      </w:r>
      <w:r>
        <w:rPr>
          <w:highlight w:val="none"/>
        </w:rPr>
        <w:instrText xml:space="preserve"> HYPERLINK "https://doi.org/10.1155/2017/6104054" \t "_blank" </w:instrText>
      </w:r>
      <w:r>
        <w:rPr>
          <w:highlight w:val="none"/>
        </w:rPr>
        <w:fldChar w:fldCharType="separate"/>
      </w:r>
      <w:r>
        <w:rPr>
          <w:rStyle w:val="11"/>
          <w:rFonts w:cs="Times New Roman"/>
          <w:color w:val="auto"/>
          <w:szCs w:val="28"/>
          <w:highlight w:val="none"/>
          <w:u w:val="none"/>
          <w:lang w:val="en-US"/>
        </w:rPr>
        <w:t>10.1155/2017/6104054</w:t>
      </w:r>
      <w:r>
        <w:rPr>
          <w:rStyle w:val="11"/>
          <w:rFonts w:cs="Times New Roman"/>
          <w:color w:val="auto"/>
          <w:szCs w:val="28"/>
          <w:highlight w:val="none"/>
          <w:u w:val="none"/>
          <w:lang w:val="en-US"/>
        </w:rPr>
        <w:fldChar w:fldCharType="end"/>
      </w:r>
    </w:p>
    <w:p w14:paraId="1AB2FD76">
      <w:pPr>
        <w:widowControl w:val="0"/>
        <w:rPr>
          <w:rFonts w:cs="Times New Roman"/>
          <w:szCs w:val="28"/>
          <w:highlight w:val="none"/>
          <w:lang w:val="en-US"/>
        </w:rPr>
      </w:pPr>
      <w:r>
        <w:rPr>
          <w:rFonts w:cs="Times New Roman"/>
          <w:szCs w:val="28"/>
          <w:highlight w:val="none"/>
          <w:lang w:val="en-US"/>
        </w:rPr>
        <w:t xml:space="preserve">87. MAIT cells: New guardians of the liver / A. Kurioka, L. J. Walker, P. Klenerman, C. B. Willberg. </w:t>
      </w:r>
      <w:r>
        <w:rPr>
          <w:rStyle w:val="51"/>
          <w:rFonts w:cs="Times New Roman"/>
          <w:i/>
          <w:iCs/>
          <w:szCs w:val="28"/>
          <w:highlight w:val="none"/>
          <w:lang w:val="en-US"/>
        </w:rPr>
        <w:t>Clin. Transl. Immunol.</w:t>
      </w:r>
      <w:r>
        <w:rPr>
          <w:rFonts w:cs="Times New Roman"/>
          <w:szCs w:val="28"/>
          <w:highlight w:val="none"/>
          <w:lang w:val="en-US"/>
        </w:rPr>
        <w:t> </w:t>
      </w:r>
      <w:r>
        <w:rPr>
          <w:rFonts w:cs="Times New Roman"/>
          <w:bCs/>
          <w:szCs w:val="28"/>
          <w:highlight w:val="none"/>
          <w:lang w:val="en-US"/>
        </w:rPr>
        <w:t>2017</w:t>
      </w:r>
      <w:r>
        <w:rPr>
          <w:rFonts w:cs="Times New Roman"/>
          <w:szCs w:val="28"/>
          <w:highlight w:val="none"/>
          <w:lang w:val="en-US"/>
        </w:rPr>
        <w:t xml:space="preserve">. Vol. </w:t>
      </w:r>
      <w:r>
        <w:rPr>
          <w:rStyle w:val="51"/>
          <w:rFonts w:cs="Times New Roman"/>
          <w:iCs/>
          <w:szCs w:val="28"/>
          <w:highlight w:val="none"/>
          <w:lang w:val="en-US"/>
        </w:rPr>
        <w:t>6</w:t>
      </w:r>
      <w:r>
        <w:rPr>
          <w:rFonts w:cs="Times New Roman"/>
          <w:szCs w:val="28"/>
          <w:highlight w:val="none"/>
          <w:lang w:val="en-US"/>
        </w:rPr>
        <w:t>. P. e132.</w:t>
      </w:r>
      <w:r>
        <w:rPr>
          <w:rStyle w:val="53"/>
          <w:rFonts w:cs="Times New Roman"/>
          <w:szCs w:val="28"/>
          <w:highlight w:val="none"/>
          <w:lang w:val="en-US"/>
        </w:rPr>
        <w:t xml:space="preserve"> doi: </w:t>
      </w:r>
      <w:r>
        <w:rPr>
          <w:highlight w:val="none"/>
        </w:rPr>
        <w:fldChar w:fldCharType="begin"/>
      </w:r>
      <w:r>
        <w:rPr>
          <w:highlight w:val="none"/>
        </w:rPr>
        <w:instrText xml:space="preserve"> HYPERLINK "https://doi.org/10.1038/cti.2017.5" \t "_blank" </w:instrText>
      </w:r>
      <w:r>
        <w:rPr>
          <w:highlight w:val="none"/>
        </w:rPr>
        <w:fldChar w:fldCharType="separate"/>
      </w:r>
      <w:r>
        <w:rPr>
          <w:rStyle w:val="11"/>
          <w:rFonts w:cs="Times New Roman"/>
          <w:color w:val="auto"/>
          <w:szCs w:val="28"/>
          <w:highlight w:val="none"/>
          <w:u w:val="none"/>
          <w:lang w:val="en-US"/>
        </w:rPr>
        <w:t>10.1038/cti.2017.5</w:t>
      </w:r>
      <w:r>
        <w:rPr>
          <w:rStyle w:val="11"/>
          <w:rFonts w:cs="Times New Roman"/>
          <w:color w:val="auto"/>
          <w:szCs w:val="28"/>
          <w:highlight w:val="none"/>
          <w:u w:val="none"/>
          <w:lang w:val="en-US"/>
        </w:rPr>
        <w:fldChar w:fldCharType="end"/>
      </w:r>
    </w:p>
    <w:p w14:paraId="6392F6E9">
      <w:pPr>
        <w:widowControl w:val="0"/>
        <w:rPr>
          <w:rFonts w:cs="Times New Roman"/>
          <w:szCs w:val="28"/>
          <w:highlight w:val="none"/>
          <w:lang w:val="en-US"/>
        </w:rPr>
      </w:pPr>
      <w:r>
        <w:rPr>
          <w:rFonts w:cs="Times New Roman"/>
          <w:szCs w:val="28"/>
          <w:highlight w:val="none"/>
          <w:lang w:val="en-US"/>
        </w:rPr>
        <w:t>88. Xiao X., Cai J. Mucosal-associated invariant T cells: New insights into antigen recognition and activation. </w:t>
      </w:r>
      <w:r>
        <w:rPr>
          <w:rStyle w:val="51"/>
          <w:rFonts w:cs="Times New Roman"/>
          <w:i/>
          <w:iCs/>
          <w:szCs w:val="28"/>
          <w:highlight w:val="none"/>
          <w:lang w:val="en-US"/>
        </w:rPr>
        <w:t>Front. Immunol.</w:t>
      </w:r>
      <w:r>
        <w:rPr>
          <w:rFonts w:cs="Times New Roman"/>
          <w:szCs w:val="28"/>
          <w:highlight w:val="none"/>
          <w:lang w:val="en-US"/>
        </w:rPr>
        <w:t> </w:t>
      </w:r>
      <w:r>
        <w:rPr>
          <w:rFonts w:cs="Times New Roman"/>
          <w:bCs/>
          <w:szCs w:val="28"/>
          <w:highlight w:val="none"/>
          <w:lang w:val="en-US"/>
        </w:rPr>
        <w:t>2017</w:t>
      </w:r>
      <w:r>
        <w:rPr>
          <w:rFonts w:cs="Times New Roman"/>
          <w:szCs w:val="28"/>
          <w:highlight w:val="none"/>
          <w:lang w:val="en-US"/>
        </w:rPr>
        <w:t xml:space="preserve">. Vol. </w:t>
      </w:r>
      <w:r>
        <w:rPr>
          <w:rStyle w:val="51"/>
          <w:rFonts w:cs="Times New Roman"/>
          <w:iCs/>
          <w:szCs w:val="28"/>
          <w:highlight w:val="none"/>
          <w:lang w:val="en-US"/>
        </w:rPr>
        <w:t>8</w:t>
      </w:r>
      <w:r>
        <w:rPr>
          <w:rFonts w:cs="Times New Roman"/>
          <w:szCs w:val="28"/>
          <w:highlight w:val="none"/>
          <w:lang w:val="en-US"/>
        </w:rPr>
        <w:t xml:space="preserve">. P. 1540. </w:t>
      </w:r>
      <w:r>
        <w:rPr>
          <w:rStyle w:val="53"/>
          <w:rFonts w:cs="Times New Roman"/>
          <w:szCs w:val="28"/>
          <w:highlight w:val="none"/>
          <w:lang w:val="en-US"/>
        </w:rPr>
        <w:t>doi: </w:t>
      </w:r>
      <w:r>
        <w:rPr>
          <w:highlight w:val="none"/>
        </w:rPr>
        <w:fldChar w:fldCharType="begin"/>
      </w:r>
      <w:r>
        <w:rPr>
          <w:highlight w:val="none"/>
        </w:rPr>
        <w:instrText xml:space="preserve"> HYPERLINK "https://doi.org/10.3389/fimmu.2017.01540" \t "_blank" </w:instrText>
      </w:r>
      <w:r>
        <w:rPr>
          <w:highlight w:val="none"/>
        </w:rPr>
        <w:fldChar w:fldCharType="separate"/>
      </w:r>
      <w:r>
        <w:rPr>
          <w:rStyle w:val="11"/>
          <w:rFonts w:cs="Times New Roman"/>
          <w:color w:val="auto"/>
          <w:szCs w:val="28"/>
          <w:highlight w:val="none"/>
          <w:u w:val="none"/>
          <w:lang w:val="en-US"/>
        </w:rPr>
        <w:t>10.3389/fimmu.2017.01540</w:t>
      </w:r>
      <w:r>
        <w:rPr>
          <w:rStyle w:val="11"/>
          <w:rFonts w:cs="Times New Roman"/>
          <w:color w:val="auto"/>
          <w:szCs w:val="28"/>
          <w:highlight w:val="none"/>
          <w:u w:val="none"/>
          <w:lang w:val="en-US"/>
        </w:rPr>
        <w:fldChar w:fldCharType="end"/>
      </w:r>
    </w:p>
    <w:p w14:paraId="2B8FB150">
      <w:pPr>
        <w:widowControl w:val="0"/>
        <w:rPr>
          <w:rFonts w:cs="Times New Roman"/>
          <w:szCs w:val="28"/>
          <w:highlight w:val="none"/>
          <w:lang w:val="en-US"/>
        </w:rPr>
      </w:pPr>
      <w:r>
        <w:rPr>
          <w:rFonts w:cs="Times New Roman"/>
          <w:szCs w:val="28"/>
          <w:highlight w:val="none"/>
          <w:lang w:val="en-US"/>
        </w:rPr>
        <w:t xml:space="preserve">89. Functional role of mucosal-associated invariant T cells in HIV infection / A. Saeidi et al. </w:t>
      </w:r>
      <w:r>
        <w:rPr>
          <w:rStyle w:val="51"/>
          <w:rFonts w:cs="Times New Roman"/>
          <w:i/>
          <w:iCs/>
          <w:szCs w:val="28"/>
          <w:highlight w:val="none"/>
          <w:lang w:val="en-US"/>
        </w:rPr>
        <w:t>J. Leukoc. Biol.</w:t>
      </w:r>
      <w:r>
        <w:rPr>
          <w:rFonts w:cs="Times New Roman"/>
          <w:szCs w:val="28"/>
          <w:highlight w:val="none"/>
          <w:lang w:val="en-US"/>
        </w:rPr>
        <w:t> </w:t>
      </w:r>
      <w:r>
        <w:rPr>
          <w:rFonts w:cs="Times New Roman"/>
          <w:bCs/>
          <w:szCs w:val="28"/>
          <w:highlight w:val="none"/>
          <w:lang w:val="en-US"/>
        </w:rPr>
        <w:t>2016</w:t>
      </w:r>
      <w:r>
        <w:rPr>
          <w:rFonts w:cs="Times New Roman"/>
          <w:szCs w:val="28"/>
          <w:highlight w:val="none"/>
          <w:lang w:val="en-US"/>
        </w:rPr>
        <w:t xml:space="preserve">. Vol. </w:t>
      </w:r>
      <w:r>
        <w:rPr>
          <w:rStyle w:val="51"/>
          <w:rFonts w:cs="Times New Roman"/>
          <w:iCs/>
          <w:szCs w:val="28"/>
          <w:highlight w:val="none"/>
          <w:lang w:val="en-US"/>
        </w:rPr>
        <w:t>100</w:t>
      </w:r>
      <w:r>
        <w:rPr>
          <w:rFonts w:cs="Times New Roman"/>
          <w:szCs w:val="28"/>
          <w:highlight w:val="none"/>
          <w:lang w:val="en-US"/>
        </w:rPr>
        <w:t xml:space="preserve">. P. 305–314. </w:t>
      </w:r>
      <w:r>
        <w:rPr>
          <w:rStyle w:val="53"/>
          <w:rFonts w:cs="Times New Roman"/>
          <w:szCs w:val="28"/>
          <w:highlight w:val="none"/>
          <w:lang w:val="en-US"/>
        </w:rPr>
        <w:t>doi: </w:t>
      </w:r>
      <w:r>
        <w:rPr>
          <w:highlight w:val="none"/>
        </w:rPr>
        <w:fldChar w:fldCharType="begin"/>
      </w:r>
      <w:r>
        <w:rPr>
          <w:highlight w:val="none"/>
        </w:rPr>
        <w:instrText xml:space="preserve"> HYPERLINK "https://doi.org/10.1189/jlb.4ru0216-084r" \t "_blank" </w:instrText>
      </w:r>
      <w:r>
        <w:rPr>
          <w:highlight w:val="none"/>
        </w:rPr>
        <w:fldChar w:fldCharType="separate"/>
      </w:r>
      <w:r>
        <w:rPr>
          <w:rStyle w:val="11"/>
          <w:rFonts w:cs="Times New Roman"/>
          <w:color w:val="auto"/>
          <w:szCs w:val="28"/>
          <w:highlight w:val="none"/>
          <w:u w:val="none"/>
          <w:lang w:val="en-US"/>
        </w:rPr>
        <w:t>10.1189/jlb.4RU0216-084R</w:t>
      </w:r>
      <w:r>
        <w:rPr>
          <w:rStyle w:val="11"/>
          <w:rFonts w:cs="Times New Roman"/>
          <w:color w:val="auto"/>
          <w:szCs w:val="28"/>
          <w:highlight w:val="none"/>
          <w:u w:val="none"/>
          <w:lang w:val="en-US"/>
        </w:rPr>
        <w:fldChar w:fldCharType="end"/>
      </w:r>
    </w:p>
    <w:p w14:paraId="3C786938">
      <w:pPr>
        <w:widowControl w:val="0"/>
        <w:rPr>
          <w:rFonts w:cs="Times New Roman"/>
          <w:szCs w:val="28"/>
          <w:highlight w:val="none"/>
          <w:lang w:val="en-US"/>
        </w:rPr>
      </w:pPr>
      <w:r>
        <w:rPr>
          <w:rFonts w:cs="Times New Roman"/>
          <w:szCs w:val="28"/>
          <w:highlight w:val="none"/>
          <w:lang w:val="en-US"/>
        </w:rPr>
        <w:t xml:space="preserve">90. </w:t>
      </w:r>
      <w:r>
        <w:rPr>
          <w:highlight w:val="none"/>
        </w:rPr>
        <w:fldChar w:fldCharType="begin"/>
      </w:r>
      <w:r>
        <w:rPr>
          <w:highlight w:val="none"/>
        </w:rPr>
        <w:instrText xml:space="preserve"> HYPERLINK "https://aasldpubs.onlinelibrary.wiley.com/action/doSearch?ContribAuthorRaw=Ghany%2C+Marc+G" </w:instrText>
      </w:r>
      <w:r>
        <w:rPr>
          <w:highlight w:val="none"/>
        </w:rPr>
        <w:fldChar w:fldCharType="separate"/>
      </w:r>
      <w:r>
        <w:rPr>
          <w:rStyle w:val="11"/>
          <w:rFonts w:cs="Times New Roman"/>
          <w:color w:val="auto"/>
          <w:szCs w:val="28"/>
          <w:highlight w:val="none"/>
          <w:u w:val="none"/>
          <w:lang w:val="en-US"/>
        </w:rPr>
        <w:t>Ghany</w:t>
      </w:r>
      <w:r>
        <w:rPr>
          <w:rStyle w:val="11"/>
          <w:rFonts w:cs="Times New Roman"/>
          <w:color w:val="auto"/>
          <w:szCs w:val="28"/>
          <w:highlight w:val="none"/>
          <w:u w:val="none"/>
          <w:lang w:val="en-US"/>
        </w:rPr>
        <w:fldChar w:fldCharType="end"/>
      </w:r>
      <w:r>
        <w:rPr>
          <w:rFonts w:cs="Times New Roman"/>
          <w:szCs w:val="28"/>
          <w:highlight w:val="none"/>
          <w:lang w:val="en-US"/>
        </w:rPr>
        <w:t xml:space="preserve"> </w:t>
      </w:r>
      <w:r>
        <w:rPr>
          <w:rStyle w:val="11"/>
          <w:rFonts w:cs="Times New Roman"/>
          <w:color w:val="auto"/>
          <w:szCs w:val="28"/>
          <w:highlight w:val="none"/>
          <w:u w:val="none"/>
          <w:lang w:val="en-US"/>
        </w:rPr>
        <w:t>M. G.</w:t>
      </w:r>
      <w:r>
        <w:rPr>
          <w:rStyle w:val="54"/>
          <w:rFonts w:cs="Times New Roman"/>
          <w:szCs w:val="28"/>
          <w:highlight w:val="none"/>
          <w:lang w:val="en-US"/>
        </w:rPr>
        <w:t xml:space="preserve">, </w:t>
      </w:r>
      <w:r>
        <w:rPr>
          <w:highlight w:val="none"/>
        </w:rPr>
        <w:fldChar w:fldCharType="begin"/>
      </w:r>
      <w:r>
        <w:rPr>
          <w:highlight w:val="none"/>
        </w:rPr>
        <w:instrText xml:space="preserve"> HYPERLINK "https://aasldpubs.onlinelibrary.wiley.com/action/doSearch?ContribAuthorRaw=Morgan%2C+Timothy+R" </w:instrText>
      </w:r>
      <w:r>
        <w:rPr>
          <w:highlight w:val="none"/>
        </w:rPr>
        <w:fldChar w:fldCharType="separate"/>
      </w:r>
      <w:r>
        <w:rPr>
          <w:rStyle w:val="11"/>
          <w:rFonts w:cs="Times New Roman"/>
          <w:color w:val="auto"/>
          <w:szCs w:val="28"/>
          <w:highlight w:val="none"/>
          <w:u w:val="none"/>
          <w:lang w:val="en-US"/>
        </w:rPr>
        <w:t>Morgan</w:t>
      </w:r>
      <w:r>
        <w:rPr>
          <w:rStyle w:val="11"/>
          <w:rFonts w:cs="Times New Roman"/>
          <w:color w:val="auto"/>
          <w:szCs w:val="28"/>
          <w:highlight w:val="none"/>
          <w:u w:val="none"/>
          <w:lang w:val="en-US"/>
        </w:rPr>
        <w:fldChar w:fldCharType="end"/>
      </w:r>
      <w:r>
        <w:rPr>
          <w:rFonts w:cs="Times New Roman"/>
          <w:szCs w:val="28"/>
          <w:highlight w:val="none"/>
          <w:lang w:val="en-US"/>
        </w:rPr>
        <w:t xml:space="preserve"> </w:t>
      </w:r>
      <w:r>
        <w:rPr>
          <w:rStyle w:val="11"/>
          <w:rFonts w:cs="Times New Roman"/>
          <w:color w:val="auto"/>
          <w:szCs w:val="28"/>
          <w:highlight w:val="none"/>
          <w:u w:val="none"/>
          <w:lang w:val="en-US"/>
        </w:rPr>
        <w:t xml:space="preserve">T. R. </w:t>
      </w:r>
      <w:r>
        <w:rPr>
          <w:rFonts w:cs="Times New Roman"/>
          <w:szCs w:val="28"/>
          <w:highlight w:val="none"/>
          <w:lang w:val="en-US"/>
        </w:rPr>
        <w:t>Hepatitis C Guidance 2019 Update: American Association for the Study of Liver Diseases–Infectious Diseases Society of America Recommendations for Testing, Managing, and Treating Hepatitis C Virus Infection</w:t>
      </w:r>
      <w:r>
        <w:rPr>
          <w:rStyle w:val="64"/>
          <w:rFonts w:cs="Times New Roman"/>
          <w:szCs w:val="28"/>
          <w:highlight w:val="none"/>
          <w:lang w:val="en-US"/>
        </w:rPr>
        <w:t xml:space="preserve">. </w:t>
      </w:r>
      <w:r>
        <w:rPr>
          <w:rFonts w:cs="Times New Roman"/>
          <w:bCs/>
          <w:i/>
          <w:szCs w:val="28"/>
          <w:highlight w:val="none"/>
          <w:lang w:val="en-US"/>
        </w:rPr>
        <w:t>Hepatology</w:t>
      </w:r>
      <w:r>
        <w:rPr>
          <w:rFonts w:cs="Times New Roman"/>
          <w:bCs/>
          <w:szCs w:val="28"/>
          <w:highlight w:val="none"/>
          <w:lang w:val="en-US"/>
        </w:rPr>
        <w:t xml:space="preserve">. </w:t>
      </w:r>
      <w:r>
        <w:rPr>
          <w:rFonts w:cs="Times New Roman"/>
          <w:szCs w:val="28"/>
          <w:highlight w:val="none"/>
          <w:lang w:val="en-US"/>
        </w:rPr>
        <w:t xml:space="preserve">2020. </w:t>
      </w:r>
      <w:r>
        <w:rPr>
          <w:highlight w:val="none"/>
        </w:rPr>
        <w:fldChar w:fldCharType="begin"/>
      </w:r>
      <w:r>
        <w:rPr>
          <w:highlight w:val="none"/>
        </w:rPr>
        <w:instrText xml:space="preserve"> HYPERLINK "https://aasldpubs.onlinelibrary.wiley.com/toc/15273350/2020/71/2" \o "View Volume 71, Issue 2" </w:instrText>
      </w:r>
      <w:r>
        <w:rPr>
          <w:highlight w:val="none"/>
        </w:rPr>
        <w:fldChar w:fldCharType="separate"/>
      </w:r>
      <w:r>
        <w:rPr>
          <w:rStyle w:val="11"/>
          <w:rFonts w:cs="Times New Roman"/>
          <w:bCs/>
          <w:color w:val="auto"/>
          <w:szCs w:val="28"/>
          <w:highlight w:val="none"/>
          <w:u w:val="none"/>
          <w:lang w:val="en-US"/>
        </w:rPr>
        <w:t xml:space="preserve">Vol. </w:t>
      </w:r>
      <w:r>
        <w:rPr>
          <w:rStyle w:val="55"/>
          <w:rFonts w:cs="Times New Roman"/>
          <w:bCs/>
          <w:szCs w:val="28"/>
          <w:highlight w:val="none"/>
          <w:lang w:val="en-US"/>
        </w:rPr>
        <w:t>71</w:t>
      </w:r>
      <w:r>
        <w:rPr>
          <w:rStyle w:val="11"/>
          <w:rFonts w:cs="Times New Roman"/>
          <w:bCs/>
          <w:color w:val="auto"/>
          <w:szCs w:val="28"/>
          <w:highlight w:val="none"/>
          <w:u w:val="none"/>
          <w:lang w:val="en-US"/>
        </w:rPr>
        <w:t xml:space="preserve">, Iss. </w:t>
      </w:r>
      <w:r>
        <w:rPr>
          <w:rStyle w:val="55"/>
          <w:rFonts w:cs="Times New Roman"/>
          <w:bCs/>
          <w:szCs w:val="28"/>
          <w:highlight w:val="none"/>
          <w:lang w:val="en-US"/>
        </w:rPr>
        <w:t>2</w:t>
      </w:r>
      <w:r>
        <w:rPr>
          <w:rStyle w:val="55"/>
          <w:rFonts w:cs="Times New Roman"/>
          <w:bCs/>
          <w:szCs w:val="28"/>
          <w:highlight w:val="none"/>
          <w:lang w:val="en-US"/>
        </w:rPr>
        <w:fldChar w:fldCharType="end"/>
      </w:r>
      <w:r>
        <w:rPr>
          <w:rFonts w:cs="Times New Roman"/>
          <w:bCs/>
          <w:szCs w:val="28"/>
          <w:highlight w:val="none"/>
          <w:lang w:val="en-US"/>
        </w:rPr>
        <w:t xml:space="preserve">. </w:t>
      </w:r>
      <w:r>
        <w:rPr>
          <w:rFonts w:cs="Times New Roman"/>
          <w:szCs w:val="28"/>
          <w:highlight w:val="none"/>
          <w:lang w:val="en-US"/>
        </w:rPr>
        <w:t xml:space="preserve">P. 686–721. </w:t>
      </w:r>
      <w:r>
        <w:rPr>
          <w:rStyle w:val="68"/>
          <w:rFonts w:cs="Times New Roman"/>
          <w:szCs w:val="28"/>
          <w:highlight w:val="none"/>
          <w:lang w:val="en-US"/>
        </w:rPr>
        <w:t xml:space="preserve">doi: </w:t>
      </w:r>
      <w:r>
        <w:rPr>
          <w:highlight w:val="none"/>
        </w:rPr>
        <w:fldChar w:fldCharType="begin"/>
      </w:r>
      <w:r>
        <w:rPr>
          <w:highlight w:val="none"/>
        </w:rPr>
        <w:instrText xml:space="preserve"> HYPERLINK "https://doi.org/10.1002/hep.31060" </w:instrText>
      </w:r>
      <w:r>
        <w:rPr>
          <w:highlight w:val="none"/>
        </w:rPr>
        <w:fldChar w:fldCharType="separate"/>
      </w:r>
      <w:r>
        <w:rPr>
          <w:rStyle w:val="11"/>
          <w:rFonts w:cs="Times New Roman"/>
          <w:bCs/>
          <w:color w:val="auto"/>
          <w:szCs w:val="28"/>
          <w:highlight w:val="none"/>
          <w:u w:val="none"/>
          <w:lang w:val="en-US"/>
        </w:rPr>
        <w:t>https://doi.org/10.1002/hep.31060</w:t>
      </w:r>
      <w:r>
        <w:rPr>
          <w:rStyle w:val="11"/>
          <w:rFonts w:cs="Times New Roman"/>
          <w:bCs/>
          <w:color w:val="auto"/>
          <w:szCs w:val="28"/>
          <w:highlight w:val="none"/>
          <w:u w:val="none"/>
          <w:lang w:val="en-US"/>
        </w:rPr>
        <w:fldChar w:fldCharType="end"/>
      </w:r>
    </w:p>
    <w:p w14:paraId="0F10BCDA">
      <w:pPr>
        <w:widowControl w:val="0"/>
        <w:rPr>
          <w:rFonts w:cs="Times New Roman"/>
          <w:szCs w:val="28"/>
          <w:highlight w:val="none"/>
          <w:lang w:val="en-US"/>
        </w:rPr>
      </w:pPr>
      <w:r>
        <w:rPr>
          <w:rFonts w:cs="Times New Roman"/>
          <w:szCs w:val="28"/>
          <w:highlight w:val="none"/>
          <w:lang w:val="en-US"/>
        </w:rPr>
        <w:t xml:space="preserve">91. </w:t>
      </w:r>
      <w:r>
        <w:rPr>
          <w:rStyle w:val="66"/>
          <w:rFonts w:cs="Times New Roman"/>
          <w:szCs w:val="28"/>
          <w:highlight w:val="none"/>
          <w:lang w:val="en-US"/>
        </w:rPr>
        <w:t>World Health Organization</w:t>
      </w:r>
      <w:r>
        <w:rPr>
          <w:rFonts w:cs="Times New Roman"/>
          <w:szCs w:val="28"/>
          <w:highlight w:val="none"/>
          <w:lang w:val="en-US"/>
        </w:rPr>
        <w:t>. </w:t>
      </w:r>
      <w:r>
        <w:rPr>
          <w:rStyle w:val="69"/>
          <w:rFonts w:cs="Times New Roman"/>
          <w:iCs/>
          <w:szCs w:val="28"/>
          <w:highlight w:val="none"/>
          <w:lang w:val="en-US"/>
        </w:rPr>
        <w:t>Global Health Sector Strategy on Viral Hepatitis 2016</w:t>
      </w:r>
      <w:r>
        <w:rPr>
          <w:rFonts w:cs="Times New Roman"/>
          <w:szCs w:val="28"/>
          <w:highlight w:val="none"/>
          <w:lang w:val="en-US"/>
        </w:rPr>
        <w:t>–</w:t>
      </w:r>
      <w:r>
        <w:rPr>
          <w:rStyle w:val="69"/>
          <w:rFonts w:cs="Times New Roman"/>
          <w:iCs/>
          <w:szCs w:val="28"/>
          <w:highlight w:val="none"/>
          <w:lang w:val="en-US"/>
        </w:rPr>
        <w:t>2021: Towards Ending Viral Hepatitis</w:t>
      </w:r>
      <w:r>
        <w:rPr>
          <w:rFonts w:cs="Times New Roman"/>
          <w:szCs w:val="28"/>
          <w:highlight w:val="none"/>
          <w:lang w:val="en-US"/>
        </w:rPr>
        <w:t>. </w:t>
      </w:r>
      <w:r>
        <w:rPr>
          <w:rStyle w:val="70"/>
          <w:rFonts w:cs="Times New Roman"/>
          <w:szCs w:val="28"/>
          <w:highlight w:val="none"/>
          <w:lang w:val="en-US"/>
        </w:rPr>
        <w:t>Geneva</w:t>
      </w:r>
      <w:r>
        <w:rPr>
          <w:rFonts w:cs="Times New Roman"/>
          <w:szCs w:val="28"/>
          <w:highlight w:val="none"/>
          <w:lang w:val="en-US"/>
        </w:rPr>
        <w:t xml:space="preserve">: WHO Document and Production Services. </w:t>
      </w:r>
      <w:r>
        <w:rPr>
          <w:rStyle w:val="58"/>
          <w:rFonts w:cs="Times New Roman"/>
          <w:szCs w:val="28"/>
          <w:highlight w:val="none"/>
          <w:lang w:val="en-US"/>
        </w:rPr>
        <w:t>2016</w:t>
      </w:r>
      <w:r>
        <w:rPr>
          <w:rFonts w:cs="Times New Roman"/>
          <w:szCs w:val="28"/>
          <w:highlight w:val="none"/>
          <w:lang w:val="en-US"/>
        </w:rPr>
        <w:t xml:space="preserve">. P. </w:t>
      </w:r>
      <w:r>
        <w:rPr>
          <w:rStyle w:val="60"/>
          <w:rFonts w:cs="Times New Roman"/>
          <w:szCs w:val="28"/>
          <w:highlight w:val="none"/>
          <w:lang w:val="en-US"/>
        </w:rPr>
        <w:t>1</w:t>
      </w:r>
      <w:r>
        <w:rPr>
          <w:rFonts w:cs="Times New Roman"/>
          <w:szCs w:val="28"/>
          <w:highlight w:val="none"/>
          <w:lang w:val="en-US"/>
        </w:rPr>
        <w:t>–</w:t>
      </w:r>
      <w:r>
        <w:rPr>
          <w:rStyle w:val="61"/>
          <w:rFonts w:cs="Times New Roman"/>
          <w:szCs w:val="28"/>
          <w:highlight w:val="none"/>
          <w:lang w:val="en-US"/>
        </w:rPr>
        <w:t>56.</w:t>
      </w:r>
    </w:p>
    <w:p w14:paraId="6C9D8B17">
      <w:pPr>
        <w:widowControl w:val="0"/>
        <w:rPr>
          <w:rFonts w:cs="Times New Roman"/>
          <w:szCs w:val="28"/>
          <w:highlight w:val="none"/>
          <w:lang w:val="en-US"/>
        </w:rPr>
      </w:pPr>
      <w:r>
        <w:rPr>
          <w:rFonts w:cs="Times New Roman"/>
          <w:szCs w:val="28"/>
          <w:highlight w:val="none"/>
          <w:lang w:val="en-US"/>
        </w:rPr>
        <w:t xml:space="preserve">92. </w:t>
      </w:r>
      <w:r>
        <w:rPr>
          <w:rStyle w:val="66"/>
          <w:rFonts w:cs="Times New Roman"/>
          <w:szCs w:val="28"/>
          <w:highlight w:val="none"/>
          <w:lang w:val="en-US"/>
        </w:rPr>
        <w:t>National Academies of Sciences, Engineering, and Medicine</w:t>
      </w:r>
      <w:r>
        <w:rPr>
          <w:rFonts w:cs="Times New Roman"/>
          <w:szCs w:val="28"/>
          <w:highlight w:val="none"/>
          <w:lang w:val="en-US"/>
        </w:rPr>
        <w:t>. </w:t>
      </w:r>
      <w:r>
        <w:rPr>
          <w:rStyle w:val="69"/>
          <w:rFonts w:cs="Times New Roman"/>
          <w:iCs/>
          <w:szCs w:val="28"/>
          <w:highlight w:val="none"/>
          <w:lang w:val="en-US"/>
        </w:rPr>
        <w:t>A National Strategy for the Elimination of Hepatitis B and C: Phase Two Report</w:t>
      </w:r>
      <w:r>
        <w:rPr>
          <w:rFonts w:cs="Times New Roman"/>
          <w:szCs w:val="28"/>
          <w:highlight w:val="none"/>
          <w:lang w:val="en-US"/>
        </w:rPr>
        <w:t>. </w:t>
      </w:r>
      <w:r>
        <w:rPr>
          <w:rStyle w:val="70"/>
          <w:rFonts w:cs="Times New Roman"/>
          <w:szCs w:val="28"/>
          <w:highlight w:val="none"/>
          <w:lang w:val="en-US"/>
        </w:rPr>
        <w:t>Washington, DC</w:t>
      </w:r>
      <w:r>
        <w:rPr>
          <w:rFonts w:cs="Times New Roman"/>
          <w:szCs w:val="28"/>
          <w:highlight w:val="none"/>
          <w:lang w:val="en-US"/>
        </w:rPr>
        <w:t xml:space="preserve">: National Academies Press. </w:t>
      </w:r>
      <w:r>
        <w:rPr>
          <w:rStyle w:val="58"/>
          <w:rFonts w:cs="Times New Roman"/>
          <w:szCs w:val="28"/>
          <w:highlight w:val="none"/>
          <w:lang w:val="en-US"/>
        </w:rPr>
        <w:t>2017</w:t>
      </w:r>
      <w:r>
        <w:rPr>
          <w:rFonts w:cs="Times New Roman"/>
          <w:szCs w:val="28"/>
          <w:highlight w:val="none"/>
          <w:lang w:val="en-US"/>
        </w:rPr>
        <w:t xml:space="preserve">. P. </w:t>
      </w:r>
      <w:r>
        <w:rPr>
          <w:rStyle w:val="60"/>
          <w:rFonts w:cs="Times New Roman"/>
          <w:szCs w:val="28"/>
          <w:highlight w:val="none"/>
          <w:lang w:val="en-US"/>
        </w:rPr>
        <w:t>1</w:t>
      </w:r>
      <w:r>
        <w:rPr>
          <w:rFonts w:cs="Times New Roman"/>
          <w:szCs w:val="28"/>
          <w:highlight w:val="none"/>
          <w:lang w:val="en-US"/>
        </w:rPr>
        <w:t>–</w:t>
      </w:r>
      <w:r>
        <w:rPr>
          <w:rStyle w:val="61"/>
          <w:rFonts w:cs="Times New Roman"/>
          <w:szCs w:val="28"/>
          <w:highlight w:val="none"/>
          <w:lang w:val="en-US"/>
        </w:rPr>
        <w:t>202</w:t>
      </w:r>
      <w:r>
        <w:rPr>
          <w:rFonts w:cs="Times New Roman"/>
          <w:szCs w:val="28"/>
          <w:highlight w:val="none"/>
          <w:lang w:val="en-US"/>
        </w:rPr>
        <w:t xml:space="preserve">. doi: </w:t>
      </w:r>
      <w:r>
        <w:rPr>
          <w:highlight w:val="none"/>
        </w:rPr>
        <w:fldChar w:fldCharType="begin"/>
      </w:r>
      <w:r>
        <w:rPr>
          <w:highlight w:val="none"/>
        </w:rPr>
        <w:instrText xml:space="preserve"> HYPERLINK "https://doi" </w:instrText>
      </w:r>
      <w:r>
        <w:rPr>
          <w:highlight w:val="none"/>
        </w:rPr>
        <w:fldChar w:fldCharType="separate"/>
      </w:r>
      <w:r>
        <w:rPr>
          <w:rFonts w:cs="Times New Roman"/>
          <w:szCs w:val="28"/>
          <w:highlight w:val="none"/>
          <w:lang w:val="en-US"/>
        </w:rPr>
        <w:t>https://doi</w:t>
      </w:r>
      <w:r>
        <w:rPr>
          <w:rFonts w:cs="Times New Roman"/>
          <w:szCs w:val="28"/>
          <w:highlight w:val="none"/>
          <w:lang w:val="en-US"/>
        </w:rPr>
        <w:fldChar w:fldCharType="end"/>
      </w:r>
      <w:r>
        <w:rPr>
          <w:rFonts w:cs="Times New Roman"/>
          <w:szCs w:val="28"/>
          <w:highlight w:val="none"/>
          <w:lang w:val="en-US"/>
        </w:rPr>
        <w:t>.org/10.17226/24731</w:t>
      </w:r>
    </w:p>
    <w:p w14:paraId="4AF626CC">
      <w:pPr>
        <w:widowControl w:val="0"/>
        <w:rPr>
          <w:rFonts w:cs="Times New Roman"/>
          <w:szCs w:val="28"/>
          <w:highlight w:val="none"/>
          <w:lang w:val="en-US"/>
        </w:rPr>
      </w:pPr>
      <w:r>
        <w:rPr>
          <w:rFonts w:cs="Times New Roman"/>
          <w:szCs w:val="28"/>
          <w:highlight w:val="none"/>
          <w:lang w:val="en-US"/>
        </w:rPr>
        <w:t>93. Polaris Observatory. The authoritative resource for epidemiological data, modeling tools, training, and decision analytics to support global elimination of hepatitis B and C by 2030. URL: </w:t>
      </w:r>
      <w:r>
        <w:rPr>
          <w:highlight w:val="none"/>
        </w:rPr>
        <w:fldChar w:fldCharType="begin"/>
      </w:r>
      <w:r>
        <w:rPr>
          <w:highlight w:val="none"/>
        </w:rPr>
        <w:instrText xml:space="preserve"> HYPERLINK "http://www.hepbunited.org/assets/Webinar-Slides/8b54a78215/POLARIS-Brief-181217.pdf" </w:instrText>
      </w:r>
      <w:r>
        <w:rPr>
          <w:highlight w:val="none"/>
        </w:rPr>
        <w:fldChar w:fldCharType="separate"/>
      </w:r>
      <w:r>
        <w:rPr>
          <w:rStyle w:val="11"/>
          <w:rFonts w:cs="Times New Roman"/>
          <w:color w:val="auto"/>
          <w:szCs w:val="28"/>
          <w:highlight w:val="none"/>
          <w:u w:val="none"/>
          <w:lang w:val="en-US"/>
        </w:rPr>
        <w:t>http://www.hepbunited.org/assets/Webinar-Slides/8b54a78215/POLARIS-Brief-181217.pdf</w:t>
      </w:r>
      <w:r>
        <w:rPr>
          <w:rStyle w:val="11"/>
          <w:rFonts w:cs="Times New Roman"/>
          <w:color w:val="auto"/>
          <w:szCs w:val="28"/>
          <w:highlight w:val="none"/>
          <w:u w:val="none"/>
          <w:lang w:val="en-US"/>
        </w:rPr>
        <w:fldChar w:fldCharType="end"/>
      </w:r>
    </w:p>
    <w:p w14:paraId="3D6CB54F">
      <w:pPr>
        <w:widowControl w:val="0"/>
        <w:rPr>
          <w:rFonts w:cs="Times New Roman"/>
          <w:szCs w:val="28"/>
          <w:highlight w:val="none"/>
          <w:lang w:val="en-US"/>
        </w:rPr>
      </w:pPr>
      <w:r>
        <w:rPr>
          <w:rFonts w:cs="Times New Roman"/>
          <w:szCs w:val="28"/>
          <w:highlight w:val="none"/>
          <w:lang w:val="en-US"/>
        </w:rPr>
        <w:t>94. World Health Organization. Hepatitis C in the WHO European region. Fact sheet – July 2018. URL: </w:t>
      </w:r>
      <w:r>
        <w:rPr>
          <w:highlight w:val="none"/>
        </w:rPr>
        <w:fldChar w:fldCharType="begin"/>
      </w:r>
      <w:r>
        <w:rPr>
          <w:highlight w:val="none"/>
        </w:rPr>
        <w:instrText xml:space="preserve"> HYPERLINK "http://www.euro.who.int/__data/assets/pdf_file/0009/377253/fact-sheet-hepatitis-c-eng.pdf?ua=1" </w:instrText>
      </w:r>
      <w:r>
        <w:rPr>
          <w:highlight w:val="none"/>
        </w:rPr>
        <w:fldChar w:fldCharType="separate"/>
      </w:r>
      <w:r>
        <w:rPr>
          <w:rStyle w:val="11"/>
          <w:rFonts w:cs="Times New Roman"/>
          <w:color w:val="auto"/>
          <w:szCs w:val="28"/>
          <w:highlight w:val="none"/>
          <w:u w:val="none"/>
          <w:lang w:val="en-US"/>
        </w:rPr>
        <w:t>http://www.euro.who.int/__data/assets/pdf_file/0009/377253/fact-sheet-hepatitis-c-eng.pdf?ua=1</w:t>
      </w:r>
      <w:r>
        <w:rPr>
          <w:rStyle w:val="11"/>
          <w:rFonts w:cs="Times New Roman"/>
          <w:color w:val="auto"/>
          <w:szCs w:val="28"/>
          <w:highlight w:val="none"/>
          <w:u w:val="none"/>
          <w:lang w:val="en-US"/>
        </w:rPr>
        <w:fldChar w:fldCharType="end"/>
      </w:r>
    </w:p>
    <w:p w14:paraId="1E7DD29A">
      <w:pPr>
        <w:widowControl w:val="0"/>
        <w:rPr>
          <w:rFonts w:cs="Times New Roman"/>
          <w:szCs w:val="28"/>
          <w:highlight w:val="none"/>
          <w:lang w:val="en-US"/>
        </w:rPr>
      </w:pPr>
      <w:r>
        <w:rPr>
          <w:rFonts w:cs="Times New Roman"/>
          <w:szCs w:val="28"/>
          <w:highlight w:val="none"/>
          <w:lang w:val="en-US"/>
        </w:rPr>
        <w:t>95. World Health Organization. Global health sector strategy on viral hepatitis 2016–2021. 2016. URL: </w:t>
      </w:r>
      <w:r>
        <w:rPr>
          <w:highlight w:val="none"/>
        </w:rPr>
        <w:fldChar w:fldCharType="begin"/>
      </w:r>
      <w:r>
        <w:rPr>
          <w:highlight w:val="none"/>
        </w:rPr>
        <w:instrText xml:space="preserve"> HYPERLINK "http://apps.who.int/iris/bitstream/10665/246177/1/WHO-HIV-2016.06-eng.pdf" </w:instrText>
      </w:r>
      <w:r>
        <w:rPr>
          <w:highlight w:val="none"/>
        </w:rPr>
        <w:fldChar w:fldCharType="separate"/>
      </w:r>
      <w:r>
        <w:rPr>
          <w:rStyle w:val="11"/>
          <w:rFonts w:cs="Times New Roman"/>
          <w:color w:val="auto"/>
          <w:szCs w:val="28"/>
          <w:highlight w:val="none"/>
          <w:u w:val="none"/>
          <w:lang w:val="en-US"/>
        </w:rPr>
        <w:t>http://apps.who.int/iris/bitstream/10665/246177/1/WHO-HIV-2016.06-eng.pdf</w:t>
      </w:r>
      <w:r>
        <w:rPr>
          <w:rStyle w:val="11"/>
          <w:rFonts w:cs="Times New Roman"/>
          <w:color w:val="auto"/>
          <w:szCs w:val="28"/>
          <w:highlight w:val="none"/>
          <w:u w:val="none"/>
          <w:lang w:val="en-US"/>
        </w:rPr>
        <w:fldChar w:fldCharType="end"/>
      </w:r>
    </w:p>
    <w:p w14:paraId="50EC4577">
      <w:pPr>
        <w:widowControl w:val="0"/>
        <w:rPr>
          <w:rFonts w:cs="Times New Roman"/>
          <w:szCs w:val="28"/>
          <w:highlight w:val="none"/>
          <w:lang w:val="en-US"/>
        </w:rPr>
      </w:pPr>
      <w:r>
        <w:rPr>
          <w:rFonts w:cs="Times New Roman"/>
          <w:szCs w:val="28"/>
          <w:highlight w:val="none"/>
          <w:lang w:val="en-US"/>
        </w:rPr>
        <w:t>96. World Health Organization. Global hepatitis report. 2017. URL: </w:t>
      </w:r>
      <w:r>
        <w:rPr>
          <w:highlight w:val="none"/>
        </w:rPr>
        <w:fldChar w:fldCharType="begin"/>
      </w:r>
      <w:r>
        <w:rPr>
          <w:highlight w:val="none"/>
        </w:rPr>
        <w:instrText xml:space="preserve"> HYPERLINK "http://www.who.int/news-room/fact-sheets/detail/hepatitis-c" </w:instrText>
      </w:r>
      <w:r>
        <w:rPr>
          <w:highlight w:val="none"/>
        </w:rPr>
        <w:fldChar w:fldCharType="separate"/>
      </w:r>
      <w:r>
        <w:rPr>
          <w:rStyle w:val="11"/>
          <w:rFonts w:cs="Times New Roman"/>
          <w:color w:val="auto"/>
          <w:szCs w:val="28"/>
          <w:highlight w:val="none"/>
          <w:u w:val="none"/>
          <w:lang w:val="en-US"/>
        </w:rPr>
        <w:t>http://www.who.int/news-room/fact-sheets/detail/hepatitis-c</w:t>
      </w:r>
      <w:r>
        <w:rPr>
          <w:rStyle w:val="11"/>
          <w:rFonts w:cs="Times New Roman"/>
          <w:color w:val="auto"/>
          <w:szCs w:val="28"/>
          <w:highlight w:val="none"/>
          <w:u w:val="none"/>
          <w:lang w:val="en-US"/>
        </w:rPr>
        <w:fldChar w:fldCharType="end"/>
      </w:r>
    </w:p>
    <w:p w14:paraId="3B606A8B">
      <w:pPr>
        <w:widowControl w:val="0"/>
        <w:rPr>
          <w:rFonts w:cs="Times New Roman"/>
          <w:szCs w:val="28"/>
          <w:highlight w:val="none"/>
          <w:lang w:val="en-US"/>
        </w:rPr>
      </w:pPr>
      <w:r>
        <w:rPr>
          <w:rFonts w:cs="Times New Roman"/>
          <w:szCs w:val="28"/>
          <w:highlight w:val="none"/>
          <w:lang w:val="en-US"/>
        </w:rPr>
        <w:t xml:space="preserve">97. The future of viral hepatitis testing: innovations in testing technologies and approaches / R. W. Peeling, D. I. Boeras, F. Marinucci, P. Easterbrook. </w:t>
      </w:r>
      <w:r>
        <w:rPr>
          <w:rFonts w:cs="Times New Roman"/>
          <w:i/>
          <w:szCs w:val="28"/>
          <w:highlight w:val="none"/>
          <w:lang w:val="en-US"/>
        </w:rPr>
        <w:t>BMC Infect Dis</w:t>
      </w:r>
      <w:r>
        <w:rPr>
          <w:rFonts w:cs="Times New Roman"/>
          <w:szCs w:val="28"/>
          <w:highlight w:val="none"/>
          <w:lang w:val="en-US"/>
        </w:rPr>
        <w:t>. 2017. Vol. 17, Suppl 1. P. 699. doi: </w:t>
      </w:r>
      <w:r>
        <w:rPr>
          <w:highlight w:val="none"/>
        </w:rPr>
        <w:fldChar w:fldCharType="begin"/>
      </w:r>
      <w:r>
        <w:rPr>
          <w:highlight w:val="none"/>
        </w:rPr>
        <w:instrText xml:space="preserve"> HYPERLINK "https://doi.org/10.1186/s12879-017-2775-0" </w:instrText>
      </w:r>
      <w:r>
        <w:rPr>
          <w:highlight w:val="none"/>
        </w:rPr>
        <w:fldChar w:fldCharType="separate"/>
      </w:r>
      <w:r>
        <w:rPr>
          <w:rStyle w:val="11"/>
          <w:rFonts w:cs="Times New Roman"/>
          <w:color w:val="auto"/>
          <w:szCs w:val="28"/>
          <w:highlight w:val="none"/>
          <w:u w:val="none"/>
          <w:lang w:val="en-US"/>
        </w:rPr>
        <w:t>https://doi.org/10.1186/s12879-017-2775-0</w:t>
      </w:r>
      <w:r>
        <w:rPr>
          <w:rStyle w:val="11"/>
          <w:rFonts w:cs="Times New Roman"/>
          <w:color w:val="auto"/>
          <w:szCs w:val="28"/>
          <w:highlight w:val="none"/>
          <w:u w:val="none"/>
          <w:lang w:val="en-US"/>
        </w:rPr>
        <w:fldChar w:fldCharType="end"/>
      </w:r>
    </w:p>
    <w:p w14:paraId="52E43EF8">
      <w:pPr>
        <w:widowControl w:val="0"/>
        <w:rPr>
          <w:rFonts w:cs="Times New Roman"/>
          <w:szCs w:val="28"/>
          <w:highlight w:val="none"/>
          <w:lang w:val="en-US"/>
        </w:rPr>
      </w:pPr>
      <w:r>
        <w:rPr>
          <w:rFonts w:cs="Times New Roman"/>
          <w:szCs w:val="28"/>
          <w:highlight w:val="none"/>
          <w:lang w:val="en-US"/>
        </w:rPr>
        <w:t>98. American association for the study of liver diseases, infectious diseases society of America. HCV Guidance: recommendations for testing, managing, and treating hepatitis C. HCV Testing and Linkage to Care. 2017. URL: </w:t>
      </w:r>
      <w:r>
        <w:rPr>
          <w:highlight w:val="none"/>
        </w:rPr>
        <w:fldChar w:fldCharType="begin"/>
      </w:r>
      <w:r>
        <w:rPr>
          <w:highlight w:val="none"/>
        </w:rPr>
        <w:instrText xml:space="preserve"> HYPERLINK "http://www.hcvguidelines.org/full-report/hcv-testing-and-linkage-care" </w:instrText>
      </w:r>
      <w:r>
        <w:rPr>
          <w:highlight w:val="none"/>
        </w:rPr>
        <w:fldChar w:fldCharType="separate"/>
      </w:r>
      <w:r>
        <w:rPr>
          <w:rStyle w:val="11"/>
          <w:rFonts w:cs="Times New Roman"/>
          <w:color w:val="auto"/>
          <w:szCs w:val="28"/>
          <w:highlight w:val="none"/>
          <w:u w:val="none"/>
          <w:lang w:val="en-US"/>
        </w:rPr>
        <w:t>http://www.hcvguidelines.org/full-report/hcv-testing-and-linkage-care</w:t>
      </w:r>
      <w:r>
        <w:rPr>
          <w:rStyle w:val="11"/>
          <w:rFonts w:cs="Times New Roman"/>
          <w:color w:val="auto"/>
          <w:szCs w:val="28"/>
          <w:highlight w:val="none"/>
          <w:u w:val="none"/>
          <w:lang w:val="en-US"/>
        </w:rPr>
        <w:fldChar w:fldCharType="end"/>
      </w:r>
    </w:p>
    <w:p w14:paraId="0EB43181">
      <w:pPr>
        <w:widowControl w:val="0"/>
        <w:rPr>
          <w:rFonts w:cs="Times New Roman"/>
          <w:szCs w:val="28"/>
          <w:highlight w:val="none"/>
          <w:lang w:val="en-US"/>
        </w:rPr>
      </w:pPr>
      <w:r>
        <w:rPr>
          <w:rFonts w:cs="Times New Roman"/>
          <w:szCs w:val="28"/>
          <w:highlight w:val="none"/>
          <w:lang w:val="en-US"/>
        </w:rPr>
        <w:t>99. U.S. Preventive Services Task Force. Draft recommendation statement and draft evidence review: screening for hepatitis C virus infection. URL: </w:t>
      </w:r>
      <w:r>
        <w:rPr>
          <w:highlight w:val="none"/>
        </w:rPr>
        <w:fldChar w:fldCharType="begin"/>
      </w:r>
      <w:r>
        <w:rPr>
          <w:highlight w:val="none"/>
        </w:rPr>
        <w:instrText xml:space="preserve"> HYPERLINK "https://www.uspreventiveservicestaskforce.org/Page/Document/draft-evidence-review/hepatitis-c-screening1" </w:instrText>
      </w:r>
      <w:r>
        <w:rPr>
          <w:highlight w:val="none"/>
        </w:rPr>
        <w:fldChar w:fldCharType="separate"/>
      </w:r>
      <w:r>
        <w:rPr>
          <w:rStyle w:val="11"/>
          <w:rFonts w:cs="Times New Roman"/>
          <w:color w:val="auto"/>
          <w:szCs w:val="28"/>
          <w:highlight w:val="none"/>
          <w:u w:val="none"/>
          <w:lang w:val="en-US"/>
        </w:rPr>
        <w:t>https://www.uspreventiveservicestaskforce.org/Page/Document/draft-evidence-review/hepatitis-c-screening1</w:t>
      </w:r>
      <w:r>
        <w:rPr>
          <w:rStyle w:val="11"/>
          <w:rFonts w:cs="Times New Roman"/>
          <w:color w:val="auto"/>
          <w:szCs w:val="28"/>
          <w:highlight w:val="none"/>
          <w:u w:val="none"/>
          <w:lang w:val="en-US"/>
        </w:rPr>
        <w:fldChar w:fldCharType="end"/>
      </w:r>
    </w:p>
    <w:p w14:paraId="593E4BEB">
      <w:pPr>
        <w:widowControl w:val="0"/>
        <w:rPr>
          <w:rFonts w:cs="Times New Roman"/>
          <w:szCs w:val="28"/>
          <w:highlight w:val="none"/>
          <w:lang w:val="en-US"/>
        </w:rPr>
      </w:pPr>
      <w:r>
        <w:rPr>
          <w:rFonts w:cs="Times New Roman"/>
          <w:szCs w:val="28"/>
          <w:highlight w:val="none"/>
          <w:lang w:val="en-US"/>
        </w:rPr>
        <w:t xml:space="preserve">100. </w:t>
      </w:r>
      <w:r>
        <w:rPr>
          <w:rFonts w:cs="Times New Roman"/>
          <w:szCs w:val="28"/>
          <w:highlight w:val="none"/>
          <w:shd w:val="clear" w:color="auto" w:fill="FFFFFF"/>
          <w:lang w:val="en-US"/>
        </w:rPr>
        <w:t xml:space="preserve">Hepatitis C in Canada and the importance of risk-based screening / </w:t>
      </w:r>
      <w:r>
        <w:rPr>
          <w:rFonts w:cs="Times New Roman"/>
          <w:szCs w:val="28"/>
          <w:highlight w:val="none"/>
          <w:lang w:val="en-US"/>
        </w:rPr>
        <w:t>S. Ha et al</w:t>
      </w:r>
      <w:r>
        <w:rPr>
          <w:rFonts w:cs="Times New Roman"/>
          <w:szCs w:val="28"/>
          <w:highlight w:val="none"/>
          <w:shd w:val="clear" w:color="auto" w:fill="FFFFFF"/>
          <w:lang w:val="en-US"/>
        </w:rPr>
        <w:t>. </w:t>
      </w:r>
      <w:r>
        <w:rPr>
          <w:rFonts w:cs="Times New Roman"/>
          <w:i/>
          <w:szCs w:val="28"/>
          <w:highlight w:val="none"/>
          <w:shd w:val="clear" w:color="auto" w:fill="FFFFFF"/>
          <w:lang w:val="en-US"/>
        </w:rPr>
        <w:t>Can Commun Dis Rep</w:t>
      </w:r>
      <w:r>
        <w:rPr>
          <w:rFonts w:cs="Times New Roman"/>
          <w:szCs w:val="28"/>
          <w:highlight w:val="none"/>
          <w:shd w:val="clear" w:color="auto" w:fill="FFFFFF"/>
          <w:lang w:val="en-US"/>
        </w:rPr>
        <w:t xml:space="preserve">. 2016. Vol. </w:t>
      </w:r>
      <w:r>
        <w:rPr>
          <w:rFonts w:cs="Times New Roman"/>
          <w:bCs/>
          <w:szCs w:val="28"/>
          <w:highlight w:val="none"/>
          <w:shd w:val="clear" w:color="auto" w:fill="FFFFFF"/>
          <w:lang w:val="en-US"/>
        </w:rPr>
        <w:t>42</w:t>
      </w:r>
      <w:r>
        <w:rPr>
          <w:rFonts w:cs="Times New Roman"/>
          <w:szCs w:val="28"/>
          <w:highlight w:val="none"/>
          <w:shd w:val="clear" w:color="auto" w:fill="FFFFFF"/>
          <w:lang w:val="en-US"/>
        </w:rPr>
        <w:t xml:space="preserve">. P. 57–62. </w:t>
      </w:r>
      <w:r>
        <w:rPr>
          <w:rStyle w:val="83"/>
          <w:rFonts w:cs="Times New Roman"/>
          <w:szCs w:val="28"/>
          <w:highlight w:val="none"/>
          <w:shd w:val="clear" w:color="auto" w:fill="FFFFFF"/>
          <w:lang w:val="en-US"/>
        </w:rPr>
        <w:t>doi: </w:t>
      </w:r>
      <w:r>
        <w:rPr>
          <w:highlight w:val="none"/>
        </w:rPr>
        <w:fldChar w:fldCharType="begin"/>
      </w:r>
      <w:r>
        <w:rPr>
          <w:highlight w:val="none"/>
        </w:rPr>
        <w:instrText xml:space="preserve"> HYPERLINK "https://doi.org/10.14745%2Fccdr.v42i03a02" \t "_blank" </w:instrText>
      </w:r>
      <w:r>
        <w:rPr>
          <w:highlight w:val="none"/>
        </w:rPr>
        <w:fldChar w:fldCharType="separate"/>
      </w:r>
      <w:r>
        <w:rPr>
          <w:rStyle w:val="11"/>
          <w:rFonts w:cs="Times New Roman"/>
          <w:color w:val="auto"/>
          <w:szCs w:val="28"/>
          <w:highlight w:val="none"/>
          <w:u w:val="none"/>
          <w:lang w:val="en-US"/>
        </w:rPr>
        <w:t>10.14745/ccdr.v42i03a02</w:t>
      </w:r>
      <w:r>
        <w:rPr>
          <w:rStyle w:val="11"/>
          <w:rFonts w:cs="Times New Roman"/>
          <w:color w:val="auto"/>
          <w:szCs w:val="28"/>
          <w:highlight w:val="none"/>
          <w:u w:val="none"/>
          <w:lang w:val="en-US"/>
        </w:rPr>
        <w:fldChar w:fldCharType="end"/>
      </w:r>
    </w:p>
    <w:p w14:paraId="05B76103">
      <w:pPr>
        <w:widowControl w:val="0"/>
        <w:rPr>
          <w:rStyle w:val="12"/>
          <w:rFonts w:cs="Times New Roman"/>
          <w:b w:val="0"/>
          <w:szCs w:val="28"/>
          <w:highlight w:val="none"/>
          <w:lang w:val="en-US"/>
        </w:rPr>
      </w:pPr>
      <w:r>
        <w:rPr>
          <w:rFonts w:cs="Times New Roman"/>
          <w:szCs w:val="28"/>
          <w:highlight w:val="none"/>
          <w:lang w:val="en-US"/>
        </w:rPr>
        <w:t xml:space="preserve">101. </w:t>
      </w:r>
      <w:r>
        <w:rPr>
          <w:rStyle w:val="12"/>
          <w:rFonts w:cs="Times New Roman"/>
          <w:b w:val="0"/>
          <w:szCs w:val="28"/>
          <w:highlight w:val="none"/>
          <w:lang w:val="en-US"/>
        </w:rPr>
        <w:t xml:space="preserve">Prospective assessment of rapid diagnostic tests for the detection of antibodies to hepatitis C virus, a tool for improving access to care / </w:t>
      </w:r>
      <w:r>
        <w:rPr>
          <w:rFonts w:cs="Times New Roman"/>
          <w:szCs w:val="28"/>
          <w:highlight w:val="none"/>
          <w:lang w:val="en-US"/>
        </w:rPr>
        <w:t>S. Chevaliez</w:t>
      </w:r>
      <w:r>
        <w:rPr>
          <w:rStyle w:val="10"/>
          <w:rFonts w:cs="Times New Roman"/>
          <w:szCs w:val="28"/>
          <w:highlight w:val="none"/>
          <w:lang w:val="en-US"/>
        </w:rPr>
        <w:t xml:space="preserve"> et al. </w:t>
      </w:r>
      <w:r>
        <w:rPr>
          <w:rFonts w:cs="Times New Roman"/>
          <w:i/>
          <w:szCs w:val="28"/>
          <w:highlight w:val="none"/>
          <w:lang w:val="en-US"/>
        </w:rPr>
        <w:t>Clin Microbiol Infect</w:t>
      </w:r>
      <w:r>
        <w:rPr>
          <w:rFonts w:cs="Times New Roman"/>
          <w:szCs w:val="28"/>
          <w:highlight w:val="none"/>
          <w:lang w:val="en-US"/>
        </w:rPr>
        <w:t xml:space="preserve">. 2016. Vol. 22. P. e451–e456. doi: </w:t>
      </w:r>
      <w:r>
        <w:rPr>
          <w:highlight w:val="none"/>
        </w:rPr>
        <w:fldChar w:fldCharType="begin"/>
      </w:r>
      <w:r>
        <w:rPr>
          <w:highlight w:val="none"/>
        </w:rPr>
        <w:instrText xml:space="preserve"> HYPERLINK "https://doi.org/10.1016/j.cmi.2016.01.009" \t "_blank" \o "Persistent link using digital object identifier" </w:instrText>
      </w:r>
      <w:r>
        <w:rPr>
          <w:highlight w:val="none"/>
        </w:rPr>
        <w:fldChar w:fldCharType="separate"/>
      </w:r>
      <w:r>
        <w:rPr>
          <w:rStyle w:val="12"/>
          <w:rFonts w:cs="Times New Roman"/>
          <w:b w:val="0"/>
          <w:szCs w:val="28"/>
          <w:highlight w:val="none"/>
          <w:lang w:val="en-US"/>
        </w:rPr>
        <w:t>https://doi.org/10.1016/j.cmi.2016.01.009</w:t>
      </w:r>
      <w:r>
        <w:rPr>
          <w:rStyle w:val="12"/>
          <w:rFonts w:cs="Times New Roman"/>
          <w:b w:val="0"/>
          <w:szCs w:val="28"/>
          <w:highlight w:val="none"/>
          <w:lang w:val="en-US"/>
        </w:rPr>
        <w:fldChar w:fldCharType="end"/>
      </w:r>
    </w:p>
    <w:p w14:paraId="7C46C074">
      <w:pPr>
        <w:widowControl w:val="0"/>
        <w:rPr>
          <w:rFonts w:cs="Times New Roman"/>
          <w:szCs w:val="28"/>
          <w:highlight w:val="none"/>
          <w:lang w:val="en-US"/>
        </w:rPr>
      </w:pPr>
      <w:r>
        <w:rPr>
          <w:rFonts w:cs="Times New Roman"/>
          <w:szCs w:val="28"/>
          <w:highlight w:val="none"/>
          <w:lang w:val="en-US"/>
        </w:rPr>
        <w:t xml:space="preserve">102. </w:t>
      </w:r>
      <w:r>
        <w:rPr>
          <w:rStyle w:val="12"/>
          <w:rFonts w:cs="Times New Roman"/>
          <w:b w:val="0"/>
          <w:szCs w:val="28"/>
          <w:highlight w:val="none"/>
          <w:lang w:val="en-US"/>
        </w:rPr>
        <w:t xml:space="preserve">Diagnostic accuracy of tests to detect hepatitis C antibody: a meta-analysis and review of the literature / </w:t>
      </w:r>
      <w:r>
        <w:rPr>
          <w:rFonts w:cs="Times New Roman"/>
          <w:szCs w:val="28"/>
          <w:highlight w:val="none"/>
          <w:lang w:val="en-US"/>
        </w:rPr>
        <w:t>W. Tang</w:t>
      </w:r>
      <w:r>
        <w:rPr>
          <w:rStyle w:val="10"/>
          <w:rFonts w:cs="Times New Roman"/>
          <w:szCs w:val="28"/>
          <w:highlight w:val="none"/>
          <w:lang w:val="en-US"/>
        </w:rPr>
        <w:t xml:space="preserve"> et al. </w:t>
      </w:r>
      <w:r>
        <w:rPr>
          <w:rFonts w:cs="Times New Roman"/>
          <w:i/>
          <w:szCs w:val="28"/>
          <w:highlight w:val="none"/>
          <w:lang w:val="en-US"/>
        </w:rPr>
        <w:t>BMC Infect Dis</w:t>
      </w:r>
      <w:r>
        <w:rPr>
          <w:rFonts w:cs="Times New Roman"/>
          <w:szCs w:val="28"/>
          <w:highlight w:val="none"/>
          <w:lang w:val="en-US"/>
        </w:rPr>
        <w:t xml:space="preserve">. 2017. Vol. 17. P. 695. </w:t>
      </w:r>
      <w:r>
        <w:rPr>
          <w:rFonts w:cs="Times New Roman"/>
          <w:bCs/>
          <w:szCs w:val="28"/>
          <w:highlight w:val="none"/>
          <w:lang w:val="en-US"/>
        </w:rPr>
        <w:t>doi: </w:t>
      </w:r>
      <w:r>
        <w:rPr>
          <w:rFonts w:cs="Times New Roman"/>
          <w:szCs w:val="28"/>
          <w:highlight w:val="none"/>
          <w:lang w:val="en-US"/>
        </w:rPr>
        <w:t>10.1186/s12879-017-2773-2</w:t>
      </w:r>
    </w:p>
    <w:p w14:paraId="363739E7">
      <w:pPr>
        <w:widowControl w:val="0"/>
        <w:rPr>
          <w:rFonts w:cs="Times New Roman"/>
          <w:szCs w:val="28"/>
          <w:highlight w:val="none"/>
          <w:lang w:val="en-US"/>
        </w:rPr>
      </w:pPr>
      <w:r>
        <w:rPr>
          <w:rFonts w:cs="Times New Roman"/>
          <w:szCs w:val="28"/>
          <w:highlight w:val="none"/>
          <w:lang w:val="en-US"/>
        </w:rPr>
        <w:t xml:space="preserve">103. </w:t>
      </w:r>
      <w:r>
        <w:rPr>
          <w:rStyle w:val="12"/>
          <w:rFonts w:cs="Times New Roman"/>
          <w:b w:val="0"/>
          <w:szCs w:val="28"/>
          <w:highlight w:val="none"/>
          <w:lang w:val="en-US"/>
        </w:rPr>
        <w:t xml:space="preserve">Performance of the OraQuick Hepatitis C virus antibody test in oral fluid and fingerstick blood before and after treatment-induced viral clearance / </w:t>
      </w:r>
      <w:r>
        <w:rPr>
          <w:rFonts w:cs="Times New Roman"/>
          <w:szCs w:val="28"/>
          <w:highlight w:val="none"/>
          <w:lang w:val="en-US"/>
        </w:rPr>
        <w:t>C. Pallares</w:t>
      </w:r>
      <w:r>
        <w:rPr>
          <w:rStyle w:val="10"/>
          <w:rFonts w:cs="Times New Roman"/>
          <w:szCs w:val="28"/>
          <w:highlight w:val="none"/>
          <w:lang w:val="en-US"/>
        </w:rPr>
        <w:t xml:space="preserve"> et al. </w:t>
      </w:r>
      <w:r>
        <w:rPr>
          <w:rFonts w:cs="Times New Roman"/>
          <w:i/>
          <w:szCs w:val="28"/>
          <w:highlight w:val="none"/>
          <w:lang w:val="en-US"/>
        </w:rPr>
        <w:t>J. Clin Virol</w:t>
      </w:r>
      <w:r>
        <w:rPr>
          <w:rFonts w:cs="Times New Roman"/>
          <w:szCs w:val="28"/>
          <w:highlight w:val="none"/>
          <w:lang w:val="en-US"/>
        </w:rPr>
        <w:t xml:space="preserve">. 2018. Vol. 102. P. 77–83. doi: </w:t>
      </w:r>
      <w:r>
        <w:rPr>
          <w:highlight w:val="none"/>
        </w:rPr>
        <w:fldChar w:fldCharType="begin"/>
      </w:r>
      <w:r>
        <w:rPr>
          <w:highlight w:val="none"/>
        </w:rPr>
        <w:instrText xml:space="preserve"> HYPERLINK "https://doi.org/10.1016/j.jcv.2018.02.016"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https://doi.org/10.1016/j.jcv.2018.02.016</w:t>
      </w:r>
      <w:r>
        <w:rPr>
          <w:rStyle w:val="11"/>
          <w:rFonts w:cs="Times New Roman"/>
          <w:color w:val="auto"/>
          <w:szCs w:val="28"/>
          <w:highlight w:val="none"/>
          <w:u w:val="none"/>
          <w:lang w:val="en-US"/>
        </w:rPr>
        <w:fldChar w:fldCharType="end"/>
      </w:r>
    </w:p>
    <w:p w14:paraId="75460FBE">
      <w:pPr>
        <w:widowControl w:val="0"/>
        <w:rPr>
          <w:rFonts w:cs="Times New Roman"/>
          <w:szCs w:val="28"/>
          <w:highlight w:val="none"/>
          <w:lang w:val="en-US"/>
        </w:rPr>
      </w:pPr>
      <w:r>
        <w:rPr>
          <w:rFonts w:cs="Times New Roman"/>
          <w:szCs w:val="28"/>
          <w:highlight w:val="none"/>
          <w:lang w:val="en-US"/>
        </w:rPr>
        <w:t xml:space="preserve">104. Chevaliez S., Pawlotsky J. M. </w:t>
      </w:r>
      <w:r>
        <w:rPr>
          <w:rStyle w:val="12"/>
          <w:rFonts w:cs="Times New Roman"/>
          <w:b w:val="0"/>
          <w:szCs w:val="28"/>
          <w:highlight w:val="none"/>
          <w:lang w:val="en-US"/>
        </w:rPr>
        <w:t xml:space="preserve">New virological tools for screening, diagnosis and monitoring of hepatitis B and C in resource-limited settings. </w:t>
      </w:r>
      <w:r>
        <w:rPr>
          <w:rFonts w:cs="Times New Roman"/>
          <w:i/>
          <w:szCs w:val="28"/>
          <w:highlight w:val="none"/>
          <w:lang w:val="en-US"/>
        </w:rPr>
        <w:t>J. Hepatol</w:t>
      </w:r>
      <w:r>
        <w:rPr>
          <w:rFonts w:cs="Times New Roman"/>
          <w:szCs w:val="28"/>
          <w:highlight w:val="none"/>
          <w:lang w:val="en-US"/>
        </w:rPr>
        <w:t xml:space="preserve">. 2018. Vol. 69. P. 916–926. doi: </w:t>
      </w:r>
      <w:r>
        <w:rPr>
          <w:highlight w:val="none"/>
        </w:rPr>
        <w:fldChar w:fldCharType="begin"/>
      </w:r>
      <w:r>
        <w:rPr>
          <w:highlight w:val="none"/>
        </w:rPr>
        <w:instrText xml:space="preserve"> HYPERLINK "https://doi.org/10.1016/j.jhep.2018.05.017"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https://doi.org/10.1016/j.jhep.2018.05.017</w:t>
      </w:r>
      <w:r>
        <w:rPr>
          <w:rStyle w:val="11"/>
          <w:rFonts w:cs="Times New Roman"/>
          <w:color w:val="auto"/>
          <w:szCs w:val="28"/>
          <w:highlight w:val="none"/>
          <w:u w:val="none"/>
          <w:lang w:val="en-US"/>
        </w:rPr>
        <w:fldChar w:fldCharType="end"/>
      </w:r>
    </w:p>
    <w:p w14:paraId="1CD5F301">
      <w:pPr>
        <w:widowControl w:val="0"/>
        <w:rPr>
          <w:rFonts w:cs="Times New Roman"/>
          <w:szCs w:val="28"/>
          <w:highlight w:val="none"/>
          <w:lang w:val="en-US"/>
        </w:rPr>
      </w:pPr>
      <w:r>
        <w:rPr>
          <w:rFonts w:cs="Times New Roman"/>
          <w:szCs w:val="28"/>
          <w:highlight w:val="none"/>
          <w:lang w:val="en-US"/>
        </w:rPr>
        <w:t xml:space="preserve">105. </w:t>
      </w:r>
      <w:r>
        <w:rPr>
          <w:rStyle w:val="12"/>
          <w:rFonts w:cs="Times New Roman"/>
          <w:b w:val="0"/>
          <w:szCs w:val="28"/>
          <w:highlight w:val="none"/>
          <w:lang w:val="en-US"/>
        </w:rPr>
        <w:t xml:space="preserve">Hepatitis C core antigen testing for diagnosis of hepatitis C virus infection: a systematic review and meta-analysis / </w:t>
      </w:r>
      <w:r>
        <w:rPr>
          <w:rFonts w:cs="Times New Roman"/>
          <w:szCs w:val="28"/>
          <w:highlight w:val="none"/>
          <w:lang w:val="en-US"/>
        </w:rPr>
        <w:t xml:space="preserve">J. M. Freiman </w:t>
      </w:r>
      <w:r>
        <w:rPr>
          <w:rStyle w:val="10"/>
          <w:rFonts w:cs="Times New Roman"/>
          <w:szCs w:val="28"/>
          <w:highlight w:val="none"/>
          <w:lang w:val="en-US"/>
        </w:rPr>
        <w:t xml:space="preserve">et al. </w:t>
      </w:r>
      <w:r>
        <w:rPr>
          <w:rFonts w:cs="Times New Roman"/>
          <w:i/>
          <w:szCs w:val="28"/>
          <w:highlight w:val="none"/>
          <w:lang w:val="en-US"/>
        </w:rPr>
        <w:t>Ann Intern Med</w:t>
      </w:r>
      <w:r>
        <w:rPr>
          <w:rFonts w:cs="Times New Roman"/>
          <w:szCs w:val="28"/>
          <w:highlight w:val="none"/>
          <w:lang w:val="en-US"/>
        </w:rPr>
        <w:t xml:space="preserve">. 2016. Vol. 165. P. 345–355. doi: </w:t>
      </w:r>
      <w:r>
        <w:rPr>
          <w:highlight w:val="none"/>
        </w:rPr>
        <w:fldChar w:fldCharType="begin"/>
      </w:r>
      <w:r>
        <w:rPr>
          <w:highlight w:val="none"/>
        </w:rPr>
        <w:instrText xml:space="preserve"> HYPERLINK "https://doi.org/10.7326/M16-0065" </w:instrText>
      </w:r>
      <w:r>
        <w:rPr>
          <w:highlight w:val="none"/>
        </w:rPr>
        <w:fldChar w:fldCharType="separate"/>
      </w:r>
      <w:r>
        <w:rPr>
          <w:rStyle w:val="11"/>
          <w:rFonts w:cs="Times New Roman"/>
          <w:color w:val="auto"/>
          <w:spacing w:val="12"/>
          <w:szCs w:val="28"/>
          <w:highlight w:val="none"/>
          <w:u w:val="none"/>
          <w:shd w:val="clear" w:color="auto" w:fill="FAFAFA"/>
          <w:lang w:val="en-US"/>
        </w:rPr>
        <w:t>https://doi.org/10.7326/M16-0065</w:t>
      </w:r>
      <w:r>
        <w:rPr>
          <w:rStyle w:val="11"/>
          <w:rFonts w:cs="Times New Roman"/>
          <w:color w:val="auto"/>
          <w:spacing w:val="12"/>
          <w:szCs w:val="28"/>
          <w:highlight w:val="none"/>
          <w:u w:val="none"/>
          <w:shd w:val="clear" w:color="auto" w:fill="FAFAFA"/>
          <w:lang w:val="en-US"/>
        </w:rPr>
        <w:fldChar w:fldCharType="end"/>
      </w:r>
    </w:p>
    <w:p w14:paraId="3230CCC2">
      <w:pPr>
        <w:widowControl w:val="0"/>
        <w:rPr>
          <w:rFonts w:cs="Times New Roman"/>
          <w:szCs w:val="28"/>
          <w:highlight w:val="none"/>
          <w:lang w:val="en-US"/>
        </w:rPr>
      </w:pPr>
      <w:r>
        <w:rPr>
          <w:rFonts w:cs="Times New Roman"/>
          <w:szCs w:val="28"/>
          <w:highlight w:val="none"/>
          <w:lang w:val="en-US"/>
        </w:rPr>
        <w:t xml:space="preserve">106. </w:t>
      </w:r>
      <w:r>
        <w:rPr>
          <w:rFonts w:cs="Times New Roman"/>
          <w:szCs w:val="28"/>
          <w:highlight w:val="none"/>
          <w:shd w:val="clear" w:color="auto" w:fill="FFFFFF"/>
          <w:lang w:val="en-US"/>
        </w:rPr>
        <w:t xml:space="preserve">Clinical utility of HCV core antigen detection and quantification in the diagnosis and management of patients with chronic hepatitis C receiving an all-oral, interferon-free regimen / S. Chevaliez et al. </w:t>
      </w:r>
      <w:r>
        <w:rPr>
          <w:rFonts w:cs="Times New Roman"/>
          <w:i/>
          <w:szCs w:val="28"/>
          <w:highlight w:val="none"/>
          <w:shd w:val="clear" w:color="auto" w:fill="FFFFFF"/>
          <w:lang w:val="en-US"/>
        </w:rPr>
        <w:t>Antivir Ther</w:t>
      </w:r>
      <w:r>
        <w:rPr>
          <w:rFonts w:cs="Times New Roman"/>
          <w:szCs w:val="28"/>
          <w:highlight w:val="none"/>
          <w:shd w:val="clear" w:color="auto" w:fill="FFFFFF"/>
          <w:lang w:val="en-US"/>
        </w:rPr>
        <w:t>. 2018. Vol. 23 (3). P. 211</w:t>
      </w:r>
      <w:r>
        <w:rPr>
          <w:rFonts w:cs="Times New Roman"/>
          <w:szCs w:val="28"/>
          <w:highlight w:val="none"/>
          <w:lang w:val="en-US"/>
        </w:rPr>
        <w:t>–</w:t>
      </w:r>
      <w:r>
        <w:rPr>
          <w:rFonts w:cs="Times New Roman"/>
          <w:szCs w:val="28"/>
          <w:highlight w:val="none"/>
          <w:shd w:val="clear" w:color="auto" w:fill="FFFFFF"/>
          <w:lang w:val="en-US"/>
        </w:rPr>
        <w:t xml:space="preserve">217. doi: </w:t>
      </w:r>
      <w:r>
        <w:rPr>
          <w:highlight w:val="none"/>
        </w:rPr>
        <w:fldChar w:fldCharType="begin"/>
      </w:r>
      <w:r>
        <w:rPr>
          <w:highlight w:val="none"/>
        </w:rPr>
        <w:instrText xml:space="preserve"> HYPERLINK "https://doi.org/10.3851/IMP3042" </w:instrText>
      </w:r>
      <w:r>
        <w:rPr>
          <w:highlight w:val="none"/>
        </w:rPr>
        <w:fldChar w:fldCharType="separate"/>
      </w:r>
      <w:r>
        <w:rPr>
          <w:rStyle w:val="11"/>
          <w:rFonts w:cs="Times New Roman"/>
          <w:color w:val="auto"/>
          <w:szCs w:val="28"/>
          <w:highlight w:val="none"/>
          <w:u w:val="none"/>
          <w:shd w:val="clear" w:color="auto" w:fill="FFFFFF"/>
          <w:lang w:val="en-US"/>
        </w:rPr>
        <w:t>https://doi.org/10.3851/IMP3042</w:t>
      </w:r>
      <w:r>
        <w:rPr>
          <w:rStyle w:val="11"/>
          <w:rFonts w:cs="Times New Roman"/>
          <w:color w:val="auto"/>
          <w:szCs w:val="28"/>
          <w:highlight w:val="none"/>
          <w:u w:val="none"/>
          <w:shd w:val="clear" w:color="auto" w:fill="FFFFFF"/>
          <w:lang w:val="en-US"/>
        </w:rPr>
        <w:fldChar w:fldCharType="end"/>
      </w:r>
    </w:p>
    <w:p w14:paraId="6A5D89B8">
      <w:pPr>
        <w:widowControl w:val="0"/>
        <w:rPr>
          <w:rFonts w:cs="Times New Roman"/>
          <w:szCs w:val="28"/>
          <w:highlight w:val="none"/>
          <w:lang w:val="en-US"/>
        </w:rPr>
      </w:pPr>
      <w:r>
        <w:rPr>
          <w:rFonts w:cs="Times New Roman"/>
          <w:szCs w:val="28"/>
          <w:highlight w:val="none"/>
          <w:lang w:val="en-US"/>
        </w:rPr>
        <w:t>107.</w:t>
      </w:r>
      <w:r>
        <w:rPr>
          <w:rFonts w:cs="Times New Roman"/>
          <w:szCs w:val="28"/>
          <w:highlight w:val="none"/>
          <w:shd w:val="clear" w:color="auto" w:fill="FFFFFF"/>
          <w:lang w:val="en-US"/>
        </w:rPr>
        <w:t xml:space="preserve"> Quantification of Core Antigen Monitors Efficacy of Direct-acting Antiviral Agents in Patients With Chronic Hepatitis C Virus Infection / A. Aghemo et al. </w:t>
      </w:r>
      <w:r>
        <w:rPr>
          <w:rFonts w:cs="Times New Roman"/>
          <w:i/>
          <w:szCs w:val="28"/>
          <w:highlight w:val="none"/>
          <w:shd w:val="clear" w:color="auto" w:fill="FFFFFF"/>
          <w:lang w:val="en-US"/>
        </w:rPr>
        <w:t>Clin Gastroenterol Hepatol</w:t>
      </w:r>
      <w:r>
        <w:rPr>
          <w:rFonts w:cs="Times New Roman"/>
          <w:szCs w:val="28"/>
          <w:highlight w:val="none"/>
          <w:shd w:val="clear" w:color="auto" w:fill="FFFFFF"/>
          <w:lang w:val="en-US"/>
        </w:rPr>
        <w:t>. 2016. Vol. 14 (9). P. 1331</w:t>
      </w:r>
      <w:r>
        <w:rPr>
          <w:rFonts w:cs="Times New Roman"/>
          <w:szCs w:val="28"/>
          <w:highlight w:val="none"/>
          <w:lang w:val="en-US"/>
        </w:rPr>
        <w:t>–133</w:t>
      </w:r>
      <w:r>
        <w:rPr>
          <w:rFonts w:cs="Times New Roman"/>
          <w:szCs w:val="28"/>
          <w:highlight w:val="none"/>
          <w:shd w:val="clear" w:color="auto" w:fill="FFFFFF"/>
          <w:lang w:val="en-US"/>
        </w:rPr>
        <w:t>6. doi: 10.1016/j.cgh.2016.03.035</w:t>
      </w:r>
    </w:p>
    <w:p w14:paraId="3A3FC38C">
      <w:pPr>
        <w:widowControl w:val="0"/>
        <w:rPr>
          <w:rFonts w:cs="Times New Roman"/>
          <w:szCs w:val="28"/>
          <w:highlight w:val="none"/>
          <w:lang w:val="en-US"/>
        </w:rPr>
      </w:pPr>
      <w:r>
        <w:rPr>
          <w:rFonts w:cs="Times New Roman"/>
          <w:szCs w:val="28"/>
          <w:highlight w:val="none"/>
          <w:lang w:val="en-US"/>
        </w:rPr>
        <w:t>108.</w:t>
      </w:r>
      <w:r>
        <w:rPr>
          <w:rFonts w:cs="Times New Roman"/>
          <w:szCs w:val="28"/>
          <w:highlight w:val="none"/>
          <w:shd w:val="clear" w:color="auto" w:fill="FFFFFF"/>
          <w:lang w:val="en-US"/>
        </w:rPr>
        <w:t xml:space="preserve"> </w:t>
      </w:r>
      <w:r>
        <w:rPr>
          <w:rStyle w:val="12"/>
          <w:rFonts w:cs="Times New Roman"/>
          <w:b w:val="0"/>
          <w:szCs w:val="28"/>
          <w:highlight w:val="none"/>
          <w:lang w:val="en-US"/>
        </w:rPr>
        <w:t xml:space="preserve">Clinical utility of hepatitis C virus core antigen quantification in patients with chronic hepatitis C / </w:t>
      </w:r>
      <w:r>
        <w:rPr>
          <w:rFonts w:cs="Times New Roman"/>
          <w:szCs w:val="28"/>
          <w:highlight w:val="none"/>
          <w:lang w:val="en-US"/>
        </w:rPr>
        <w:t xml:space="preserve">S. Chevaliez et al. </w:t>
      </w:r>
      <w:r>
        <w:rPr>
          <w:rFonts w:cs="Times New Roman"/>
          <w:i/>
          <w:szCs w:val="28"/>
          <w:highlight w:val="none"/>
          <w:lang w:val="en-US"/>
        </w:rPr>
        <w:t>J. Clin Virol</w:t>
      </w:r>
      <w:r>
        <w:rPr>
          <w:rFonts w:cs="Times New Roman"/>
          <w:szCs w:val="28"/>
          <w:highlight w:val="none"/>
          <w:lang w:val="en-US"/>
        </w:rPr>
        <w:t xml:space="preserve">. 2014. Vol. 61. P. 145–148. doi: </w:t>
      </w:r>
      <w:r>
        <w:rPr>
          <w:highlight w:val="none"/>
        </w:rPr>
        <w:fldChar w:fldCharType="begin"/>
      </w:r>
      <w:r>
        <w:rPr>
          <w:highlight w:val="none"/>
        </w:rPr>
        <w:instrText xml:space="preserve"> HYPERLINK "https://doi.org/10.1016/j.jcv.2014.05.014"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https://doi.org/10.1016/j.jcv.2014.05.014</w:t>
      </w:r>
      <w:r>
        <w:rPr>
          <w:rStyle w:val="11"/>
          <w:rFonts w:cs="Times New Roman"/>
          <w:color w:val="auto"/>
          <w:szCs w:val="28"/>
          <w:highlight w:val="none"/>
          <w:u w:val="none"/>
          <w:lang w:val="en-US"/>
        </w:rPr>
        <w:fldChar w:fldCharType="end"/>
      </w:r>
    </w:p>
    <w:p w14:paraId="0414A413">
      <w:pPr>
        <w:widowControl w:val="0"/>
        <w:rPr>
          <w:rFonts w:cs="Times New Roman"/>
          <w:szCs w:val="28"/>
          <w:highlight w:val="none"/>
          <w:lang w:val="en-US"/>
        </w:rPr>
      </w:pPr>
      <w:r>
        <w:rPr>
          <w:rFonts w:cs="Times New Roman"/>
          <w:szCs w:val="28"/>
          <w:highlight w:val="none"/>
          <w:lang w:val="en-US"/>
        </w:rPr>
        <w:t xml:space="preserve">109. </w:t>
      </w:r>
      <w:r>
        <w:rPr>
          <w:rStyle w:val="12"/>
          <w:rFonts w:cs="Times New Roman"/>
          <w:b w:val="0"/>
          <w:szCs w:val="28"/>
          <w:highlight w:val="none"/>
          <w:lang w:val="en-US"/>
        </w:rPr>
        <w:t xml:space="preserve">Hepatitis C virus core antigen testing in liver and kidney transplant recipients / </w:t>
      </w:r>
      <w:r>
        <w:rPr>
          <w:rFonts w:cs="Times New Roman"/>
          <w:szCs w:val="28"/>
          <w:highlight w:val="none"/>
          <w:lang w:val="en-US"/>
        </w:rPr>
        <w:t>B. Heidrich</w:t>
      </w:r>
      <w:r>
        <w:rPr>
          <w:rStyle w:val="10"/>
          <w:rFonts w:cs="Times New Roman"/>
          <w:szCs w:val="28"/>
          <w:highlight w:val="none"/>
          <w:lang w:val="en-US"/>
        </w:rPr>
        <w:t xml:space="preserve"> et al. </w:t>
      </w:r>
      <w:r>
        <w:rPr>
          <w:rFonts w:cs="Times New Roman"/>
          <w:i/>
          <w:szCs w:val="28"/>
          <w:highlight w:val="none"/>
          <w:lang w:val="en-US"/>
        </w:rPr>
        <w:t>J. Viral Hepat.</w:t>
      </w:r>
      <w:r>
        <w:rPr>
          <w:rFonts w:cs="Times New Roman"/>
          <w:szCs w:val="28"/>
          <w:highlight w:val="none"/>
          <w:lang w:val="en-US"/>
        </w:rPr>
        <w:t xml:space="preserve"> 2014. Vol. 21. P. 769–779. doi: </w:t>
      </w:r>
      <w:r>
        <w:rPr>
          <w:highlight w:val="none"/>
        </w:rPr>
        <w:fldChar w:fldCharType="begin"/>
      </w:r>
      <w:r>
        <w:rPr>
          <w:highlight w:val="none"/>
        </w:rPr>
        <w:instrText xml:space="preserve"> HYPERLINK "https://doi.org/10.1111/jvh.12204" </w:instrText>
      </w:r>
      <w:r>
        <w:rPr>
          <w:highlight w:val="none"/>
        </w:rPr>
        <w:fldChar w:fldCharType="separate"/>
      </w:r>
      <w:r>
        <w:rPr>
          <w:rStyle w:val="11"/>
          <w:rFonts w:cs="Times New Roman"/>
          <w:bCs/>
          <w:color w:val="auto"/>
          <w:szCs w:val="28"/>
          <w:highlight w:val="none"/>
          <w:u w:val="none"/>
          <w:shd w:val="clear" w:color="auto" w:fill="FFFFFF"/>
          <w:lang w:val="en-US"/>
        </w:rPr>
        <w:t>https://doi.org/10.1111/jvh.12204</w:t>
      </w:r>
      <w:r>
        <w:rPr>
          <w:rStyle w:val="11"/>
          <w:rFonts w:cs="Times New Roman"/>
          <w:bCs/>
          <w:color w:val="auto"/>
          <w:szCs w:val="28"/>
          <w:highlight w:val="none"/>
          <w:u w:val="none"/>
          <w:shd w:val="clear" w:color="auto" w:fill="FFFFFF"/>
          <w:lang w:val="en-US"/>
        </w:rPr>
        <w:fldChar w:fldCharType="end"/>
      </w:r>
    </w:p>
    <w:p w14:paraId="7F8FB0E0">
      <w:pPr>
        <w:widowControl w:val="0"/>
        <w:rPr>
          <w:rFonts w:cs="Times New Roman"/>
          <w:szCs w:val="28"/>
          <w:highlight w:val="none"/>
          <w:lang w:val="en-US"/>
        </w:rPr>
      </w:pPr>
      <w:r>
        <w:rPr>
          <w:rFonts w:cs="Times New Roman"/>
          <w:szCs w:val="28"/>
          <w:highlight w:val="none"/>
          <w:lang w:val="en-US"/>
        </w:rPr>
        <w:t xml:space="preserve">110. </w:t>
      </w:r>
      <w:r>
        <w:rPr>
          <w:rStyle w:val="12"/>
          <w:rFonts w:cs="Times New Roman"/>
          <w:b w:val="0"/>
          <w:szCs w:val="28"/>
          <w:highlight w:val="none"/>
          <w:lang w:val="en-US"/>
        </w:rPr>
        <w:t xml:space="preserve">Hepatitis C virus core antigen as a possible alternative for evaluation of treatment effectiveness after treatment with direct acting antivirals / </w:t>
      </w:r>
      <w:r>
        <w:rPr>
          <w:rFonts w:cs="Times New Roman"/>
          <w:szCs w:val="28"/>
          <w:highlight w:val="none"/>
          <w:lang w:val="en-US"/>
        </w:rPr>
        <w:t>M. Lucejko</w:t>
      </w:r>
      <w:r>
        <w:rPr>
          <w:rStyle w:val="10"/>
          <w:rFonts w:cs="Times New Roman"/>
          <w:szCs w:val="28"/>
          <w:highlight w:val="none"/>
          <w:lang w:val="en-US"/>
        </w:rPr>
        <w:t xml:space="preserve"> et al. </w:t>
      </w:r>
      <w:r>
        <w:rPr>
          <w:rFonts w:cs="Times New Roman"/>
          <w:i/>
          <w:szCs w:val="28"/>
          <w:highlight w:val="none"/>
          <w:lang w:val="en-US"/>
        </w:rPr>
        <w:t>Br J. Biomed Sci</w:t>
      </w:r>
      <w:r>
        <w:rPr>
          <w:rFonts w:cs="Times New Roman"/>
          <w:szCs w:val="28"/>
          <w:highlight w:val="none"/>
          <w:lang w:val="en-US"/>
        </w:rPr>
        <w:t xml:space="preserve">. 2019. Vol. 76. P. 190–194. </w:t>
      </w:r>
      <w:r>
        <w:rPr>
          <w:rFonts w:cs="Times New Roman"/>
          <w:bCs/>
          <w:szCs w:val="28"/>
          <w:highlight w:val="none"/>
          <w:lang w:val="en-US"/>
        </w:rPr>
        <w:t>doi: </w:t>
      </w:r>
      <w:r>
        <w:rPr>
          <w:rFonts w:cs="Times New Roman"/>
          <w:szCs w:val="28"/>
          <w:highlight w:val="none"/>
          <w:lang w:val="en-US"/>
        </w:rPr>
        <w:t>10.1080/09674845.2019.1654790</w:t>
      </w:r>
    </w:p>
    <w:p w14:paraId="239ED096">
      <w:pPr>
        <w:widowControl w:val="0"/>
        <w:rPr>
          <w:rFonts w:cs="Times New Roman"/>
          <w:szCs w:val="28"/>
          <w:highlight w:val="none"/>
          <w:lang w:val="en-US"/>
        </w:rPr>
      </w:pPr>
      <w:r>
        <w:rPr>
          <w:rFonts w:cs="Times New Roman"/>
          <w:szCs w:val="28"/>
          <w:highlight w:val="none"/>
          <w:lang w:val="en-US"/>
        </w:rPr>
        <w:t xml:space="preserve">111. </w:t>
      </w:r>
      <w:r>
        <w:rPr>
          <w:rStyle w:val="12"/>
          <w:rFonts w:cs="Times New Roman"/>
          <w:b w:val="0"/>
          <w:szCs w:val="28"/>
          <w:highlight w:val="none"/>
          <w:lang w:val="en-US"/>
        </w:rPr>
        <w:t xml:space="preserve">Clinical care pathways for patients with hepatitis C: reducing critical barriers to effective treatment / </w:t>
      </w:r>
      <w:r>
        <w:rPr>
          <w:rFonts w:cs="Times New Roman"/>
          <w:szCs w:val="28"/>
          <w:highlight w:val="none"/>
          <w:lang w:val="en-US"/>
        </w:rPr>
        <w:t xml:space="preserve">N. Howes, S. Lattimore, W. L. Irving, B. J. Thomson. </w:t>
      </w:r>
      <w:r>
        <w:rPr>
          <w:rFonts w:cs="Times New Roman"/>
          <w:i/>
          <w:szCs w:val="28"/>
          <w:highlight w:val="none"/>
          <w:lang w:val="en-US"/>
        </w:rPr>
        <w:t>Open Forum Infect Dis</w:t>
      </w:r>
      <w:r>
        <w:rPr>
          <w:rFonts w:cs="Times New Roman"/>
          <w:szCs w:val="28"/>
          <w:highlight w:val="none"/>
          <w:lang w:val="en-US"/>
        </w:rPr>
        <w:t xml:space="preserve">. 2016. Vol. 3. P. ofv218. </w:t>
      </w:r>
      <w:r>
        <w:rPr>
          <w:rFonts w:cs="Times New Roman"/>
          <w:bCs/>
          <w:szCs w:val="28"/>
          <w:highlight w:val="none"/>
          <w:lang w:val="en-US"/>
        </w:rPr>
        <w:t>doi: </w:t>
      </w:r>
      <w:r>
        <w:rPr>
          <w:rFonts w:cs="Times New Roman"/>
          <w:szCs w:val="28"/>
          <w:highlight w:val="none"/>
          <w:lang w:val="en-US"/>
        </w:rPr>
        <w:t>10.1093/ofid/ofv218</w:t>
      </w:r>
    </w:p>
    <w:p w14:paraId="4A535975">
      <w:pPr>
        <w:widowControl w:val="0"/>
        <w:rPr>
          <w:rStyle w:val="11"/>
          <w:rFonts w:cs="Times New Roman"/>
          <w:color w:val="auto"/>
          <w:szCs w:val="28"/>
          <w:highlight w:val="none"/>
          <w:u w:val="none"/>
          <w:shd w:val="clear" w:color="auto" w:fill="FFFFFF"/>
          <w:lang w:val="en-US"/>
        </w:rPr>
      </w:pPr>
      <w:r>
        <w:rPr>
          <w:rFonts w:cs="Times New Roman"/>
          <w:szCs w:val="28"/>
          <w:highlight w:val="none"/>
          <w:lang w:val="en-US"/>
        </w:rPr>
        <w:t xml:space="preserve">112. </w:t>
      </w:r>
      <w:r>
        <w:rPr>
          <w:rStyle w:val="12"/>
          <w:rFonts w:cs="Times New Roman"/>
          <w:b w:val="0"/>
          <w:szCs w:val="28"/>
          <w:highlight w:val="none"/>
          <w:lang w:val="en-US"/>
        </w:rPr>
        <w:t xml:space="preserve">Efforts at the frontlines: implementing a hepatitis C testing and linkage-to-care program at the local public health level / </w:t>
      </w:r>
      <w:r>
        <w:rPr>
          <w:rFonts w:cs="Times New Roman"/>
          <w:szCs w:val="28"/>
          <w:highlight w:val="none"/>
          <w:lang w:val="en-US"/>
        </w:rPr>
        <w:t>A. C. Sena</w:t>
      </w:r>
      <w:r>
        <w:rPr>
          <w:rStyle w:val="10"/>
          <w:rFonts w:cs="Times New Roman"/>
          <w:szCs w:val="28"/>
          <w:highlight w:val="none"/>
          <w:lang w:val="en-US"/>
        </w:rPr>
        <w:t xml:space="preserve"> et al. </w:t>
      </w:r>
      <w:r>
        <w:rPr>
          <w:rFonts w:cs="Times New Roman"/>
          <w:i/>
          <w:szCs w:val="28"/>
          <w:highlight w:val="none"/>
          <w:lang w:val="en-US"/>
        </w:rPr>
        <w:t>Public Health Rep</w:t>
      </w:r>
      <w:r>
        <w:rPr>
          <w:rFonts w:cs="Times New Roman"/>
          <w:szCs w:val="28"/>
          <w:highlight w:val="none"/>
          <w:lang w:val="en-US"/>
        </w:rPr>
        <w:t xml:space="preserve">. 2016. Vol. 131, Suppl. 2. P. 57–64. doi: </w:t>
      </w:r>
      <w:r>
        <w:rPr>
          <w:highlight w:val="none"/>
        </w:rPr>
        <w:fldChar w:fldCharType="begin"/>
      </w:r>
      <w:r>
        <w:rPr>
          <w:highlight w:val="none"/>
        </w:rPr>
        <w:instrText xml:space="preserve"> HYPERLINK "https://doi.org/10.1177/00333549161310S210" </w:instrText>
      </w:r>
      <w:r>
        <w:rPr>
          <w:highlight w:val="none"/>
        </w:rPr>
        <w:fldChar w:fldCharType="separate"/>
      </w:r>
      <w:r>
        <w:rPr>
          <w:rStyle w:val="11"/>
          <w:rFonts w:cs="Times New Roman"/>
          <w:color w:val="auto"/>
          <w:szCs w:val="28"/>
          <w:highlight w:val="none"/>
          <w:u w:val="none"/>
          <w:shd w:val="clear" w:color="auto" w:fill="FFFFFF"/>
          <w:lang w:val="en-US"/>
        </w:rPr>
        <w:t>https://doi.org/10.1177/00333549161310S2</w:t>
      </w:r>
      <w:r>
        <w:rPr>
          <w:rStyle w:val="11"/>
          <w:rFonts w:cs="Times New Roman"/>
          <w:color w:val="auto"/>
          <w:szCs w:val="28"/>
          <w:highlight w:val="none"/>
          <w:u w:val="none"/>
          <w:shd w:val="clear" w:color="auto" w:fill="FFFFFF"/>
          <w:lang w:val="en-US"/>
        </w:rPr>
        <w:fldChar w:fldCharType="end"/>
      </w:r>
    </w:p>
    <w:p w14:paraId="493EDA95">
      <w:pPr>
        <w:widowControl w:val="0"/>
        <w:rPr>
          <w:rStyle w:val="11"/>
          <w:rFonts w:cs="Times New Roman"/>
          <w:color w:val="auto"/>
          <w:szCs w:val="28"/>
          <w:highlight w:val="none"/>
          <w:u w:val="none"/>
          <w:shd w:val="clear" w:color="auto" w:fill="FFFFFF"/>
          <w:lang w:val="en-US"/>
        </w:rPr>
      </w:pPr>
      <w:r>
        <w:rPr>
          <w:rFonts w:cs="Times New Roman"/>
          <w:szCs w:val="28"/>
          <w:highlight w:val="none"/>
          <w:lang w:val="en-US"/>
        </w:rPr>
        <w:t xml:space="preserve">113. Coyle C., Kwakwa H., Viner K. </w:t>
      </w:r>
      <w:r>
        <w:rPr>
          <w:rStyle w:val="12"/>
          <w:rFonts w:cs="Times New Roman"/>
          <w:b w:val="0"/>
          <w:szCs w:val="28"/>
          <w:highlight w:val="none"/>
          <w:lang w:val="en-US"/>
        </w:rPr>
        <w:t>Integrating routine HCV testing in primary care: lessons learned from five federally qualified health centers in Philadelphia, Pennsylvania, 2012</w:t>
      </w:r>
      <w:r>
        <w:rPr>
          <w:rFonts w:cs="Times New Roman"/>
          <w:szCs w:val="28"/>
          <w:highlight w:val="none"/>
          <w:lang w:val="en-US"/>
        </w:rPr>
        <w:t>–</w:t>
      </w:r>
      <w:r>
        <w:rPr>
          <w:rStyle w:val="12"/>
          <w:rFonts w:cs="Times New Roman"/>
          <w:b w:val="0"/>
          <w:szCs w:val="28"/>
          <w:highlight w:val="none"/>
          <w:lang w:val="en-US"/>
        </w:rPr>
        <w:t xml:space="preserve">2014. </w:t>
      </w:r>
      <w:r>
        <w:rPr>
          <w:rFonts w:cs="Times New Roman"/>
          <w:i/>
          <w:szCs w:val="28"/>
          <w:highlight w:val="none"/>
          <w:lang w:val="en-US"/>
        </w:rPr>
        <w:t>Public Health Rep</w:t>
      </w:r>
      <w:r>
        <w:rPr>
          <w:rFonts w:cs="Times New Roman"/>
          <w:szCs w:val="28"/>
          <w:highlight w:val="none"/>
          <w:lang w:val="en-US"/>
        </w:rPr>
        <w:t xml:space="preserve">. 2016. Vol. 131, Suppl. 2. P. 65–73. doi: </w:t>
      </w:r>
      <w:r>
        <w:rPr>
          <w:highlight w:val="none"/>
        </w:rPr>
        <w:fldChar w:fldCharType="begin"/>
      </w:r>
      <w:r>
        <w:rPr>
          <w:highlight w:val="none"/>
        </w:rPr>
        <w:instrText xml:space="preserve"> HYPERLINK "https://doi.org/10.1177/00333549161310S211" </w:instrText>
      </w:r>
      <w:r>
        <w:rPr>
          <w:highlight w:val="none"/>
        </w:rPr>
        <w:fldChar w:fldCharType="separate"/>
      </w:r>
      <w:r>
        <w:rPr>
          <w:rStyle w:val="11"/>
          <w:rFonts w:cs="Times New Roman"/>
          <w:color w:val="auto"/>
          <w:szCs w:val="28"/>
          <w:highlight w:val="none"/>
          <w:u w:val="none"/>
          <w:shd w:val="clear" w:color="auto" w:fill="FFFFFF"/>
          <w:lang w:val="en-US"/>
        </w:rPr>
        <w:t>https://doi.org/10.1177/00333549161310S211</w:t>
      </w:r>
      <w:r>
        <w:rPr>
          <w:rStyle w:val="11"/>
          <w:rFonts w:cs="Times New Roman"/>
          <w:color w:val="auto"/>
          <w:szCs w:val="28"/>
          <w:highlight w:val="none"/>
          <w:u w:val="none"/>
          <w:shd w:val="clear" w:color="auto" w:fill="FFFFFF"/>
          <w:lang w:val="en-US"/>
        </w:rPr>
        <w:fldChar w:fldCharType="end"/>
      </w:r>
    </w:p>
    <w:p w14:paraId="7F762F2B">
      <w:pPr>
        <w:widowControl w:val="0"/>
        <w:rPr>
          <w:rStyle w:val="11"/>
          <w:rFonts w:cs="Times New Roman"/>
          <w:color w:val="auto"/>
          <w:szCs w:val="28"/>
          <w:highlight w:val="none"/>
          <w:u w:val="none"/>
          <w:lang w:val="en-US"/>
        </w:rPr>
      </w:pPr>
      <w:r>
        <w:rPr>
          <w:rFonts w:cs="Times New Roman"/>
          <w:szCs w:val="28"/>
          <w:highlight w:val="none"/>
          <w:lang w:val="en-US"/>
        </w:rPr>
        <w:t xml:space="preserve">114. Kapadia S. N., Marks K. M. </w:t>
      </w:r>
      <w:r>
        <w:rPr>
          <w:rStyle w:val="12"/>
          <w:rFonts w:cs="Times New Roman"/>
          <w:b w:val="0"/>
          <w:szCs w:val="28"/>
          <w:highlight w:val="none"/>
          <w:lang w:val="en-US"/>
        </w:rPr>
        <w:t xml:space="preserve">Hepatitis C management simplification from test to cure: a framework for primary care providers. </w:t>
      </w:r>
      <w:r>
        <w:rPr>
          <w:rFonts w:cs="Times New Roman"/>
          <w:i/>
          <w:szCs w:val="28"/>
          <w:highlight w:val="none"/>
          <w:lang w:val="en-US"/>
        </w:rPr>
        <w:t>Clin Ther</w:t>
      </w:r>
      <w:r>
        <w:rPr>
          <w:rFonts w:cs="Times New Roman"/>
          <w:szCs w:val="28"/>
          <w:highlight w:val="none"/>
          <w:lang w:val="en-US"/>
        </w:rPr>
        <w:t xml:space="preserve">. 2018. Vol.40. P. 1234–1245. doi: </w:t>
      </w:r>
      <w:r>
        <w:rPr>
          <w:highlight w:val="none"/>
        </w:rPr>
        <w:fldChar w:fldCharType="begin"/>
      </w:r>
      <w:r>
        <w:rPr>
          <w:highlight w:val="none"/>
        </w:rPr>
        <w:instrText xml:space="preserve"> HYPERLINK "https://doi.org/10.1016/j.clinthera.2018.05.010"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https://doi.org/10.1016/j.clinthera.2018.05.010</w:t>
      </w:r>
      <w:r>
        <w:rPr>
          <w:rStyle w:val="11"/>
          <w:rFonts w:cs="Times New Roman"/>
          <w:color w:val="auto"/>
          <w:szCs w:val="28"/>
          <w:highlight w:val="none"/>
          <w:u w:val="none"/>
          <w:lang w:val="en-US"/>
        </w:rPr>
        <w:fldChar w:fldCharType="end"/>
      </w:r>
    </w:p>
    <w:p w14:paraId="5BA68EFE">
      <w:pPr>
        <w:widowControl w:val="0"/>
        <w:rPr>
          <w:rStyle w:val="11"/>
          <w:rFonts w:cs="Times New Roman"/>
          <w:bCs/>
          <w:color w:val="auto"/>
          <w:szCs w:val="28"/>
          <w:highlight w:val="none"/>
          <w:u w:val="none"/>
          <w:lang w:val="en-US"/>
        </w:rPr>
      </w:pPr>
      <w:r>
        <w:rPr>
          <w:rFonts w:cs="Times New Roman"/>
          <w:szCs w:val="28"/>
          <w:highlight w:val="none"/>
          <w:lang w:val="en-US"/>
        </w:rPr>
        <w:t xml:space="preserve">115. </w:t>
      </w:r>
      <w:r>
        <w:rPr>
          <w:rStyle w:val="12"/>
          <w:rFonts w:cs="Times New Roman"/>
          <w:b w:val="0"/>
          <w:szCs w:val="28"/>
          <w:highlight w:val="none"/>
          <w:lang w:val="en-US"/>
        </w:rPr>
        <w:t xml:space="preserve">Performance of rapid diagnostic tests for the detection of antibodies to hepatitis C virus in whole blood collected on dried blood spots / </w:t>
      </w:r>
      <w:r>
        <w:rPr>
          <w:rFonts w:cs="Times New Roman"/>
          <w:szCs w:val="28"/>
          <w:highlight w:val="none"/>
          <w:lang w:val="en-US"/>
        </w:rPr>
        <w:t xml:space="preserve">L. Poiteau et al. </w:t>
      </w:r>
      <w:r>
        <w:rPr>
          <w:rFonts w:cs="Times New Roman"/>
          <w:i/>
          <w:szCs w:val="28"/>
          <w:highlight w:val="none"/>
          <w:lang w:val="en-US"/>
        </w:rPr>
        <w:t>J. Viral Hepat</w:t>
      </w:r>
      <w:r>
        <w:rPr>
          <w:rFonts w:cs="Times New Roman"/>
          <w:szCs w:val="28"/>
          <w:highlight w:val="none"/>
          <w:lang w:val="en-US"/>
        </w:rPr>
        <w:t xml:space="preserve">. 2016. Vol. 23. P. 399–401. doi: </w:t>
      </w:r>
      <w:r>
        <w:rPr>
          <w:highlight w:val="none"/>
        </w:rPr>
        <w:fldChar w:fldCharType="begin"/>
      </w:r>
      <w:r>
        <w:rPr>
          <w:highlight w:val="none"/>
        </w:rPr>
        <w:instrText xml:space="preserve"> HYPERLINK "https://doi.org/10.1111/jvh.12501" </w:instrText>
      </w:r>
      <w:r>
        <w:rPr>
          <w:highlight w:val="none"/>
        </w:rPr>
        <w:fldChar w:fldCharType="separate"/>
      </w:r>
      <w:r>
        <w:rPr>
          <w:rStyle w:val="11"/>
          <w:rFonts w:cs="Times New Roman"/>
          <w:bCs/>
          <w:color w:val="auto"/>
          <w:szCs w:val="28"/>
          <w:highlight w:val="none"/>
          <w:u w:val="none"/>
          <w:lang w:val="en-US"/>
        </w:rPr>
        <w:t>https://doi.org/10.1111/jvh.12501</w:t>
      </w:r>
      <w:r>
        <w:rPr>
          <w:rStyle w:val="11"/>
          <w:rFonts w:cs="Times New Roman"/>
          <w:bCs/>
          <w:color w:val="auto"/>
          <w:szCs w:val="28"/>
          <w:highlight w:val="none"/>
          <w:u w:val="none"/>
          <w:lang w:val="en-US"/>
        </w:rPr>
        <w:fldChar w:fldCharType="end"/>
      </w:r>
    </w:p>
    <w:p w14:paraId="6ADF8417">
      <w:pPr>
        <w:widowControl w:val="0"/>
        <w:rPr>
          <w:rStyle w:val="11"/>
          <w:rFonts w:cs="Times New Roman"/>
          <w:color w:val="auto"/>
          <w:szCs w:val="28"/>
          <w:highlight w:val="none"/>
          <w:u w:val="none"/>
          <w:lang w:val="en-US"/>
        </w:rPr>
      </w:pPr>
      <w:r>
        <w:rPr>
          <w:rFonts w:cs="Times New Roman"/>
          <w:szCs w:val="28"/>
          <w:highlight w:val="none"/>
          <w:lang w:val="en-US"/>
        </w:rPr>
        <w:t xml:space="preserve">116. Shepherd S. J., Baxter R. E., Gunson R. N. </w:t>
      </w:r>
      <w:r>
        <w:rPr>
          <w:rStyle w:val="12"/>
          <w:rFonts w:cs="Times New Roman"/>
          <w:b w:val="0"/>
          <w:szCs w:val="28"/>
          <w:highlight w:val="none"/>
          <w:lang w:val="en-US"/>
        </w:rPr>
        <w:t xml:space="preserve">Evaluation of the Abbott m2000 system for dried blood spot detection of hepatitis C virus RNA. </w:t>
      </w:r>
      <w:r>
        <w:rPr>
          <w:rFonts w:cs="Times New Roman"/>
          <w:i/>
          <w:szCs w:val="28"/>
          <w:highlight w:val="none"/>
          <w:lang w:val="en-US"/>
        </w:rPr>
        <w:t>J. Clin Virol</w:t>
      </w:r>
      <w:r>
        <w:rPr>
          <w:rFonts w:cs="Times New Roman"/>
          <w:szCs w:val="28"/>
          <w:highlight w:val="none"/>
          <w:lang w:val="en-US"/>
        </w:rPr>
        <w:t xml:space="preserve">. 2019. Vol. 110. P. 7–10. doi: </w:t>
      </w:r>
      <w:r>
        <w:rPr>
          <w:highlight w:val="none"/>
        </w:rPr>
        <w:fldChar w:fldCharType="begin"/>
      </w:r>
      <w:r>
        <w:rPr>
          <w:highlight w:val="none"/>
        </w:rPr>
        <w:instrText xml:space="preserve"> HYPERLINK "https://doi.org/10.1016/j.jcv.2018.10.008"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https://doi.org/10.1016/j.jcv.2018.10.008</w:t>
      </w:r>
      <w:r>
        <w:rPr>
          <w:rStyle w:val="11"/>
          <w:rFonts w:cs="Times New Roman"/>
          <w:color w:val="auto"/>
          <w:szCs w:val="28"/>
          <w:highlight w:val="none"/>
          <w:u w:val="none"/>
          <w:lang w:val="en-US"/>
        </w:rPr>
        <w:fldChar w:fldCharType="end"/>
      </w:r>
    </w:p>
    <w:p w14:paraId="694FE496">
      <w:pPr>
        <w:widowControl w:val="0"/>
        <w:rPr>
          <w:rFonts w:cs="Times New Roman"/>
          <w:szCs w:val="28"/>
          <w:highlight w:val="none"/>
          <w:shd w:val="clear" w:color="auto" w:fill="FFFFFF"/>
          <w:lang w:val="en-US"/>
        </w:rPr>
      </w:pPr>
      <w:r>
        <w:rPr>
          <w:rFonts w:cs="Times New Roman"/>
          <w:szCs w:val="28"/>
          <w:highlight w:val="none"/>
          <w:lang w:val="en-US"/>
        </w:rPr>
        <w:t xml:space="preserve">117. </w:t>
      </w:r>
      <w:r>
        <w:rPr>
          <w:rStyle w:val="12"/>
          <w:rFonts w:cs="Times New Roman"/>
          <w:b w:val="0"/>
          <w:szCs w:val="28"/>
          <w:highlight w:val="none"/>
          <w:lang w:val="en-US"/>
        </w:rPr>
        <w:t xml:space="preserve">Evaluation of the diagnostic accuracy of laboratory-based screening for hepatitis C in dried blood spot samples: a systematic review and meta-analysis / </w:t>
      </w:r>
      <w:r>
        <w:rPr>
          <w:rFonts w:cs="Times New Roman"/>
          <w:szCs w:val="28"/>
          <w:highlight w:val="none"/>
          <w:lang w:val="en-US"/>
        </w:rPr>
        <w:t xml:space="preserve">S. Vazquez-Moron et al. </w:t>
      </w:r>
      <w:r>
        <w:rPr>
          <w:rFonts w:cs="Times New Roman"/>
          <w:i/>
          <w:szCs w:val="28"/>
          <w:highlight w:val="none"/>
          <w:lang w:val="en-US"/>
        </w:rPr>
        <w:t>Sci Rep</w:t>
      </w:r>
      <w:r>
        <w:rPr>
          <w:rFonts w:cs="Times New Roman"/>
          <w:szCs w:val="28"/>
          <w:highlight w:val="none"/>
          <w:lang w:val="en-US"/>
        </w:rPr>
        <w:t xml:space="preserve">. 2019. Vol. 9. P. 7316. doi: </w:t>
      </w:r>
      <w:r>
        <w:rPr>
          <w:rFonts w:cs="Times New Roman"/>
          <w:szCs w:val="28"/>
          <w:highlight w:val="none"/>
          <w:shd w:val="clear" w:color="auto" w:fill="FFFFFF"/>
          <w:lang w:val="en-US"/>
        </w:rPr>
        <w:t>https://doi.org/10.1038/s41598-019-41139-8</w:t>
      </w:r>
    </w:p>
    <w:p w14:paraId="08530EC1">
      <w:pPr>
        <w:widowControl w:val="0"/>
        <w:rPr>
          <w:rStyle w:val="11"/>
          <w:rFonts w:cs="Times New Roman"/>
          <w:color w:val="auto"/>
          <w:szCs w:val="28"/>
          <w:highlight w:val="none"/>
          <w:u w:val="none"/>
          <w:lang w:val="en-US"/>
        </w:rPr>
      </w:pPr>
      <w:r>
        <w:rPr>
          <w:rFonts w:cs="Times New Roman"/>
          <w:szCs w:val="28"/>
          <w:highlight w:val="none"/>
          <w:lang w:val="en-US"/>
        </w:rPr>
        <w:t xml:space="preserve">118. </w:t>
      </w:r>
      <w:r>
        <w:rPr>
          <w:rStyle w:val="12"/>
          <w:rFonts w:cs="Times New Roman"/>
          <w:b w:val="0"/>
          <w:szCs w:val="28"/>
          <w:highlight w:val="none"/>
          <w:lang w:val="en-US"/>
        </w:rPr>
        <w:t xml:space="preserve">The new Xpert HCV viral load real-time PCR assay accurately quantifies hepatitis C virus RNA in serum and whole-blood specimens / </w:t>
      </w:r>
      <w:r>
        <w:rPr>
          <w:rFonts w:cs="Times New Roman"/>
          <w:szCs w:val="28"/>
          <w:highlight w:val="none"/>
          <w:lang w:val="en-US"/>
        </w:rPr>
        <w:t>M. Wlassow</w:t>
      </w:r>
      <w:r>
        <w:rPr>
          <w:rStyle w:val="10"/>
          <w:rFonts w:cs="Times New Roman"/>
          <w:szCs w:val="28"/>
          <w:highlight w:val="none"/>
          <w:lang w:val="en-US"/>
        </w:rPr>
        <w:t xml:space="preserve"> et al. </w:t>
      </w:r>
      <w:r>
        <w:rPr>
          <w:rFonts w:cs="Times New Roman"/>
          <w:i/>
          <w:szCs w:val="28"/>
          <w:highlight w:val="none"/>
          <w:lang w:val="en-US"/>
        </w:rPr>
        <w:t>J. Clin. Virol</w:t>
      </w:r>
      <w:r>
        <w:rPr>
          <w:rFonts w:cs="Times New Roman"/>
          <w:szCs w:val="28"/>
          <w:highlight w:val="none"/>
          <w:lang w:val="en-US"/>
        </w:rPr>
        <w:t xml:space="preserve">. 2019. Vol. 117. P. 80–84. doi: </w:t>
      </w:r>
      <w:r>
        <w:rPr>
          <w:highlight w:val="none"/>
        </w:rPr>
        <w:fldChar w:fldCharType="begin"/>
      </w:r>
      <w:r>
        <w:rPr>
          <w:highlight w:val="none"/>
        </w:rPr>
        <w:instrText xml:space="preserve"> HYPERLINK "https://doi.org/10.1016/j.jcv.2019.06.007"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https://doi.org/10.1016/j.jcv.2019.06.007</w:t>
      </w:r>
      <w:r>
        <w:rPr>
          <w:rStyle w:val="11"/>
          <w:rFonts w:cs="Times New Roman"/>
          <w:color w:val="auto"/>
          <w:szCs w:val="28"/>
          <w:highlight w:val="none"/>
          <w:u w:val="none"/>
          <w:lang w:val="en-US"/>
        </w:rPr>
        <w:fldChar w:fldCharType="end"/>
      </w:r>
    </w:p>
    <w:p w14:paraId="37A506F3">
      <w:pPr>
        <w:widowControl w:val="0"/>
        <w:rPr>
          <w:rStyle w:val="11"/>
          <w:rFonts w:cs="Times New Roman"/>
          <w:color w:val="auto"/>
          <w:szCs w:val="28"/>
          <w:highlight w:val="none"/>
          <w:u w:val="none"/>
          <w:lang w:val="en-US"/>
        </w:rPr>
      </w:pPr>
      <w:r>
        <w:rPr>
          <w:rStyle w:val="11"/>
          <w:rFonts w:cs="Times New Roman"/>
          <w:color w:val="auto"/>
          <w:szCs w:val="28"/>
          <w:highlight w:val="none"/>
          <w:u w:val="none"/>
          <w:lang w:val="en-US"/>
        </w:rPr>
        <w:t xml:space="preserve">119. </w:t>
      </w:r>
      <w:r>
        <w:rPr>
          <w:rStyle w:val="12"/>
          <w:rFonts w:cs="Times New Roman"/>
          <w:b w:val="0"/>
          <w:szCs w:val="28"/>
          <w:highlight w:val="none"/>
          <w:lang w:val="en-US"/>
        </w:rPr>
        <w:t xml:space="preserve">Dried blood spots: a tool to ensure broad access to hepatitis C screening, diagnosis, and treatment monitoring / </w:t>
      </w:r>
      <w:r>
        <w:rPr>
          <w:rFonts w:cs="Times New Roman"/>
          <w:szCs w:val="28"/>
          <w:highlight w:val="none"/>
          <w:lang w:val="en-US"/>
        </w:rPr>
        <w:t>A. Soulier</w:t>
      </w:r>
      <w:r>
        <w:rPr>
          <w:rStyle w:val="10"/>
          <w:rFonts w:cs="Times New Roman"/>
          <w:szCs w:val="28"/>
          <w:highlight w:val="none"/>
          <w:lang w:val="en-US"/>
        </w:rPr>
        <w:t xml:space="preserve"> et al. </w:t>
      </w:r>
      <w:r>
        <w:rPr>
          <w:rFonts w:cs="Times New Roman"/>
          <w:i/>
          <w:szCs w:val="28"/>
          <w:highlight w:val="none"/>
          <w:lang w:val="en-US"/>
        </w:rPr>
        <w:t>J. Infect Dis</w:t>
      </w:r>
      <w:r>
        <w:rPr>
          <w:rFonts w:cs="Times New Roman"/>
          <w:szCs w:val="28"/>
          <w:highlight w:val="none"/>
          <w:lang w:val="en-US"/>
        </w:rPr>
        <w:t xml:space="preserve">. 2016. Vol. 213. P. 1087–1095. doi: </w:t>
      </w:r>
      <w:r>
        <w:rPr>
          <w:highlight w:val="none"/>
        </w:rPr>
        <w:fldChar w:fldCharType="begin"/>
      </w:r>
      <w:r>
        <w:rPr>
          <w:highlight w:val="none"/>
        </w:rPr>
        <w:instrText xml:space="preserve"> HYPERLINK "https://doi.org/10.1093/infdis/jiv423" </w:instrText>
      </w:r>
      <w:r>
        <w:rPr>
          <w:highlight w:val="none"/>
        </w:rPr>
        <w:fldChar w:fldCharType="separate"/>
      </w:r>
      <w:r>
        <w:rPr>
          <w:rStyle w:val="11"/>
          <w:rFonts w:cs="Times New Roman"/>
          <w:color w:val="auto"/>
          <w:szCs w:val="28"/>
          <w:highlight w:val="none"/>
          <w:u w:val="none"/>
          <w:shd w:val="clear" w:color="auto" w:fill="FFFFFF"/>
          <w:lang w:val="en-US"/>
        </w:rPr>
        <w:t>https://doi.org/10.1093/infdis/jiv423</w:t>
      </w:r>
      <w:r>
        <w:rPr>
          <w:rStyle w:val="11"/>
          <w:rFonts w:cs="Times New Roman"/>
          <w:color w:val="auto"/>
          <w:szCs w:val="28"/>
          <w:highlight w:val="none"/>
          <w:u w:val="none"/>
          <w:shd w:val="clear" w:color="auto" w:fill="FFFFFF"/>
          <w:lang w:val="en-US"/>
        </w:rPr>
        <w:fldChar w:fldCharType="end"/>
      </w:r>
    </w:p>
    <w:p w14:paraId="65CBDE65">
      <w:pPr>
        <w:widowControl w:val="0"/>
        <w:rPr>
          <w:rStyle w:val="11"/>
          <w:rFonts w:cs="Times New Roman"/>
          <w:color w:val="auto"/>
          <w:szCs w:val="28"/>
          <w:highlight w:val="none"/>
          <w:u w:val="none"/>
          <w:lang w:val="en-US"/>
        </w:rPr>
      </w:pPr>
      <w:r>
        <w:rPr>
          <w:rStyle w:val="11"/>
          <w:rFonts w:cs="Times New Roman"/>
          <w:color w:val="auto"/>
          <w:szCs w:val="28"/>
          <w:highlight w:val="none"/>
          <w:u w:val="none"/>
          <w:lang w:val="en-US"/>
        </w:rPr>
        <w:t xml:space="preserve">120. </w:t>
      </w:r>
      <w:r>
        <w:rPr>
          <w:rStyle w:val="12"/>
          <w:rFonts w:cs="Times New Roman"/>
          <w:b w:val="0"/>
          <w:szCs w:val="28"/>
          <w:highlight w:val="none"/>
          <w:lang w:val="en-US"/>
        </w:rPr>
        <w:t xml:space="preserve">Clinical utility of HCV core antigen detection and quantification using serum samples and dried blood spots in people who inject drugs in Dar-es-Salaam, Tanzania / </w:t>
      </w:r>
      <w:r>
        <w:rPr>
          <w:rFonts w:cs="Times New Roman"/>
          <w:szCs w:val="28"/>
          <w:highlight w:val="none"/>
          <w:lang w:val="en-US"/>
        </w:rPr>
        <w:t>Z. Mohamed</w:t>
      </w:r>
      <w:r>
        <w:rPr>
          <w:rStyle w:val="10"/>
          <w:rFonts w:cs="Times New Roman"/>
          <w:szCs w:val="28"/>
          <w:highlight w:val="none"/>
          <w:lang w:val="en-US"/>
        </w:rPr>
        <w:t xml:space="preserve"> et al. </w:t>
      </w:r>
      <w:r>
        <w:rPr>
          <w:rFonts w:cs="Times New Roman"/>
          <w:i/>
          <w:szCs w:val="28"/>
          <w:highlight w:val="none"/>
          <w:lang w:val="en-US"/>
        </w:rPr>
        <w:t>J. Int AIDS Soc</w:t>
      </w:r>
      <w:r>
        <w:rPr>
          <w:rFonts w:cs="Times New Roman"/>
          <w:szCs w:val="28"/>
          <w:highlight w:val="none"/>
          <w:lang w:val="en-US"/>
        </w:rPr>
        <w:t xml:space="preserve">. 2017. Vol. 20. P. 21856. doi: </w:t>
      </w:r>
      <w:r>
        <w:rPr>
          <w:highlight w:val="none"/>
        </w:rPr>
        <w:fldChar w:fldCharType="begin"/>
      </w:r>
      <w:r>
        <w:rPr>
          <w:highlight w:val="none"/>
        </w:rPr>
        <w:instrText xml:space="preserve"> HYPERLINK "https://doi.org/10.7448/IAS.20.1.21856" </w:instrText>
      </w:r>
      <w:r>
        <w:rPr>
          <w:highlight w:val="none"/>
        </w:rPr>
        <w:fldChar w:fldCharType="separate"/>
      </w:r>
      <w:r>
        <w:rPr>
          <w:rStyle w:val="11"/>
          <w:rFonts w:cs="Times New Roman"/>
          <w:bCs/>
          <w:color w:val="auto"/>
          <w:szCs w:val="28"/>
          <w:highlight w:val="none"/>
          <w:u w:val="none"/>
          <w:shd w:val="clear" w:color="auto" w:fill="FFFFFF"/>
          <w:lang w:val="en-US"/>
        </w:rPr>
        <w:t>https://doi.org/10.7448/IAS.20.1.21856</w:t>
      </w:r>
      <w:r>
        <w:rPr>
          <w:rStyle w:val="11"/>
          <w:rFonts w:cs="Times New Roman"/>
          <w:bCs/>
          <w:color w:val="auto"/>
          <w:szCs w:val="28"/>
          <w:highlight w:val="none"/>
          <w:u w:val="none"/>
          <w:shd w:val="clear" w:color="auto" w:fill="FFFFFF"/>
          <w:lang w:val="en-US"/>
        </w:rPr>
        <w:fldChar w:fldCharType="end"/>
      </w:r>
    </w:p>
    <w:p w14:paraId="1C4A471A">
      <w:pPr>
        <w:widowControl w:val="0"/>
        <w:rPr>
          <w:rStyle w:val="11"/>
          <w:rFonts w:cs="Times New Roman"/>
          <w:color w:val="auto"/>
          <w:szCs w:val="28"/>
          <w:highlight w:val="none"/>
          <w:u w:val="none"/>
          <w:lang w:val="en-US"/>
        </w:rPr>
      </w:pPr>
      <w:r>
        <w:rPr>
          <w:rStyle w:val="11"/>
          <w:rFonts w:cs="Times New Roman"/>
          <w:color w:val="auto"/>
          <w:szCs w:val="28"/>
          <w:highlight w:val="none"/>
          <w:u w:val="none"/>
          <w:lang w:val="en-US"/>
        </w:rPr>
        <w:t xml:space="preserve">121. </w:t>
      </w:r>
      <w:r>
        <w:rPr>
          <w:rStyle w:val="12"/>
          <w:rFonts w:cs="Times New Roman"/>
          <w:b w:val="0"/>
          <w:szCs w:val="28"/>
          <w:highlight w:val="none"/>
          <w:lang w:val="en-US"/>
        </w:rPr>
        <w:t xml:space="preserve">Evaluation of a hepatitis C virus core antigen assay in plasma and dried blood spot samples / </w:t>
      </w:r>
      <w:r>
        <w:rPr>
          <w:rFonts w:cs="Times New Roman"/>
          <w:szCs w:val="28"/>
          <w:highlight w:val="none"/>
          <w:lang w:val="en-US"/>
        </w:rPr>
        <w:t>F. M. J. Lamoury</w:t>
      </w:r>
      <w:r>
        <w:rPr>
          <w:rStyle w:val="10"/>
          <w:rFonts w:cs="Times New Roman"/>
          <w:szCs w:val="28"/>
          <w:highlight w:val="none"/>
          <w:lang w:val="en-US"/>
        </w:rPr>
        <w:t xml:space="preserve"> et al. </w:t>
      </w:r>
      <w:r>
        <w:rPr>
          <w:rFonts w:cs="Times New Roman"/>
          <w:i/>
          <w:szCs w:val="28"/>
          <w:highlight w:val="none"/>
          <w:lang w:val="en-US"/>
        </w:rPr>
        <w:t>J. Mol Diagn</w:t>
      </w:r>
      <w:r>
        <w:rPr>
          <w:rFonts w:cs="Times New Roman"/>
          <w:szCs w:val="28"/>
          <w:highlight w:val="none"/>
          <w:lang w:val="en-US"/>
        </w:rPr>
        <w:t xml:space="preserve">. 2018. Vol. 20. P. 621–627. doi: </w:t>
      </w:r>
      <w:r>
        <w:rPr>
          <w:highlight w:val="none"/>
        </w:rPr>
        <w:fldChar w:fldCharType="begin"/>
      </w:r>
      <w:r>
        <w:rPr>
          <w:highlight w:val="none"/>
        </w:rPr>
        <w:instrText xml:space="preserve"> HYPERLINK "https://doi.org/10.1016/j.jmoldx.2018.05.010"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https://doi.org/10.1016/j.jmoldx.2018.05.010</w:t>
      </w:r>
      <w:r>
        <w:rPr>
          <w:rStyle w:val="11"/>
          <w:rFonts w:cs="Times New Roman"/>
          <w:color w:val="auto"/>
          <w:szCs w:val="28"/>
          <w:highlight w:val="none"/>
          <w:u w:val="none"/>
          <w:lang w:val="en-US"/>
        </w:rPr>
        <w:fldChar w:fldCharType="end"/>
      </w:r>
    </w:p>
    <w:p w14:paraId="0AB8A900">
      <w:pPr>
        <w:widowControl w:val="0"/>
        <w:rPr>
          <w:rStyle w:val="11"/>
          <w:rFonts w:cs="Times New Roman"/>
          <w:color w:val="auto"/>
          <w:szCs w:val="28"/>
          <w:highlight w:val="none"/>
          <w:u w:val="none"/>
          <w:lang w:val="en-US"/>
        </w:rPr>
      </w:pPr>
      <w:r>
        <w:rPr>
          <w:rStyle w:val="11"/>
          <w:rFonts w:cs="Times New Roman"/>
          <w:color w:val="auto"/>
          <w:szCs w:val="28"/>
          <w:highlight w:val="none"/>
          <w:u w:val="none"/>
          <w:lang w:val="en-US"/>
        </w:rPr>
        <w:t xml:space="preserve">122. </w:t>
      </w:r>
      <w:r>
        <w:rPr>
          <w:rStyle w:val="12"/>
          <w:rFonts w:cs="Times New Roman"/>
          <w:b w:val="0"/>
          <w:szCs w:val="28"/>
          <w:highlight w:val="none"/>
          <w:lang w:val="en-US"/>
        </w:rPr>
        <w:t xml:space="preserve">Evaluation of a hepatitis C virus core antigen assay from venepuncture and dried blood spot collected samples: a cohort study / </w:t>
      </w:r>
      <w:r>
        <w:rPr>
          <w:rFonts w:cs="Times New Roman"/>
          <w:szCs w:val="28"/>
          <w:highlight w:val="none"/>
          <w:lang w:val="en-US"/>
        </w:rPr>
        <w:t>B. Catlett</w:t>
      </w:r>
      <w:r>
        <w:rPr>
          <w:rStyle w:val="10"/>
          <w:rFonts w:cs="Times New Roman"/>
          <w:szCs w:val="28"/>
          <w:highlight w:val="none"/>
          <w:lang w:val="en-US"/>
        </w:rPr>
        <w:t xml:space="preserve"> et al. </w:t>
      </w:r>
      <w:r>
        <w:rPr>
          <w:rFonts w:cs="Times New Roman"/>
          <w:i/>
          <w:szCs w:val="28"/>
          <w:highlight w:val="none"/>
          <w:lang w:val="en-US"/>
        </w:rPr>
        <w:t>J. Viral Hepat</w:t>
      </w:r>
      <w:r>
        <w:rPr>
          <w:rFonts w:cs="Times New Roman"/>
          <w:szCs w:val="28"/>
          <w:highlight w:val="none"/>
          <w:lang w:val="en-US"/>
        </w:rPr>
        <w:t xml:space="preserve">. 2019. Vol. 26. P. 1423–1430. doi: </w:t>
      </w:r>
      <w:r>
        <w:rPr>
          <w:highlight w:val="none"/>
        </w:rPr>
        <w:fldChar w:fldCharType="begin"/>
      </w:r>
      <w:r>
        <w:rPr>
          <w:highlight w:val="none"/>
        </w:rPr>
        <w:instrText xml:space="preserve"> HYPERLINK "https://doi.org/10.1111/jvh.13196" </w:instrText>
      </w:r>
      <w:r>
        <w:rPr>
          <w:highlight w:val="none"/>
        </w:rPr>
        <w:fldChar w:fldCharType="separate"/>
      </w:r>
      <w:r>
        <w:rPr>
          <w:rStyle w:val="11"/>
          <w:rFonts w:cs="Times New Roman"/>
          <w:bCs/>
          <w:color w:val="auto"/>
          <w:szCs w:val="28"/>
          <w:highlight w:val="none"/>
          <w:u w:val="none"/>
          <w:shd w:val="clear" w:color="auto" w:fill="FFFFFF"/>
          <w:lang w:val="en-US"/>
        </w:rPr>
        <w:t>https://doi.org/10.1111/jvh.13196</w:t>
      </w:r>
      <w:r>
        <w:rPr>
          <w:rStyle w:val="11"/>
          <w:rFonts w:cs="Times New Roman"/>
          <w:bCs/>
          <w:color w:val="auto"/>
          <w:szCs w:val="28"/>
          <w:highlight w:val="none"/>
          <w:u w:val="none"/>
          <w:shd w:val="clear" w:color="auto" w:fill="FFFFFF"/>
          <w:lang w:val="en-US"/>
        </w:rPr>
        <w:fldChar w:fldCharType="end"/>
      </w:r>
    </w:p>
    <w:p w14:paraId="4FB0BD4B">
      <w:pPr>
        <w:widowControl w:val="0"/>
        <w:rPr>
          <w:rStyle w:val="11"/>
          <w:rFonts w:cs="Times New Roman"/>
          <w:color w:val="auto"/>
          <w:szCs w:val="28"/>
          <w:highlight w:val="none"/>
          <w:u w:val="none"/>
          <w:lang w:val="en-US"/>
        </w:rPr>
      </w:pPr>
      <w:r>
        <w:rPr>
          <w:rStyle w:val="11"/>
          <w:rFonts w:cs="Times New Roman"/>
          <w:color w:val="auto"/>
          <w:szCs w:val="28"/>
          <w:highlight w:val="none"/>
          <w:u w:val="none"/>
          <w:lang w:val="en-US"/>
        </w:rPr>
        <w:t xml:space="preserve">123. </w:t>
      </w:r>
      <w:r>
        <w:rPr>
          <w:rStyle w:val="12"/>
          <w:rFonts w:cs="Times New Roman"/>
          <w:b w:val="0"/>
          <w:szCs w:val="28"/>
          <w:highlight w:val="none"/>
          <w:lang w:val="en-US"/>
        </w:rPr>
        <w:t xml:space="preserve">Hepatitis C core-antigen testing from dried blood spots / </w:t>
      </w:r>
      <w:r>
        <w:rPr>
          <w:rFonts w:cs="Times New Roman"/>
          <w:szCs w:val="28"/>
          <w:highlight w:val="none"/>
          <w:lang w:val="en-US"/>
        </w:rPr>
        <w:t>M. J. Biondi</w:t>
      </w:r>
      <w:r>
        <w:rPr>
          <w:rStyle w:val="10"/>
          <w:rFonts w:cs="Times New Roman"/>
          <w:szCs w:val="28"/>
          <w:highlight w:val="none"/>
          <w:lang w:val="en-US"/>
        </w:rPr>
        <w:t xml:space="preserve"> et al. </w:t>
      </w:r>
      <w:r>
        <w:rPr>
          <w:rFonts w:cs="Times New Roman"/>
          <w:i/>
          <w:szCs w:val="28"/>
          <w:highlight w:val="none"/>
          <w:lang w:val="en-US"/>
        </w:rPr>
        <w:t>Viruses</w:t>
      </w:r>
      <w:r>
        <w:rPr>
          <w:rFonts w:cs="Times New Roman"/>
          <w:szCs w:val="28"/>
          <w:highlight w:val="none"/>
          <w:lang w:val="en-US"/>
        </w:rPr>
        <w:t xml:space="preserve">. 2019. Vol. 11. P. 830. doi: </w:t>
      </w:r>
      <w:r>
        <w:rPr>
          <w:highlight w:val="none"/>
        </w:rPr>
        <w:fldChar w:fldCharType="begin"/>
      </w:r>
      <w:r>
        <w:rPr>
          <w:highlight w:val="none"/>
        </w:rPr>
        <w:instrText xml:space="preserve"> HYPERLINK "https://doi.org/10.3390/v11090830" </w:instrText>
      </w:r>
      <w:r>
        <w:rPr>
          <w:highlight w:val="none"/>
        </w:rPr>
        <w:fldChar w:fldCharType="separate"/>
      </w:r>
      <w:r>
        <w:rPr>
          <w:rStyle w:val="11"/>
          <w:rFonts w:cs="Times New Roman"/>
          <w:bCs/>
          <w:color w:val="auto"/>
          <w:szCs w:val="28"/>
          <w:highlight w:val="none"/>
          <w:u w:val="none"/>
          <w:shd w:val="clear" w:color="auto" w:fill="FFFFFF"/>
          <w:lang w:val="en-US"/>
        </w:rPr>
        <w:t>https://doi.org/10.3390/v11090830</w:t>
      </w:r>
      <w:r>
        <w:rPr>
          <w:rStyle w:val="11"/>
          <w:rFonts w:cs="Times New Roman"/>
          <w:bCs/>
          <w:color w:val="auto"/>
          <w:szCs w:val="28"/>
          <w:highlight w:val="none"/>
          <w:u w:val="none"/>
          <w:shd w:val="clear" w:color="auto" w:fill="FFFFFF"/>
          <w:lang w:val="en-US"/>
        </w:rPr>
        <w:fldChar w:fldCharType="end"/>
      </w:r>
    </w:p>
    <w:p w14:paraId="45C1D13F">
      <w:pPr>
        <w:widowControl w:val="0"/>
        <w:rPr>
          <w:rFonts w:cs="Times New Roman"/>
          <w:szCs w:val="28"/>
          <w:highlight w:val="none"/>
          <w:lang w:val="en-US"/>
        </w:rPr>
      </w:pPr>
      <w:r>
        <w:rPr>
          <w:rFonts w:cs="Times New Roman"/>
          <w:szCs w:val="28"/>
          <w:highlight w:val="none"/>
          <w:lang w:val="en-US"/>
        </w:rPr>
        <w:t xml:space="preserve">124. </w:t>
      </w:r>
      <w:r>
        <w:rPr>
          <w:rFonts w:cs="Times New Roman"/>
          <w:szCs w:val="28"/>
          <w:highlight w:val="none"/>
          <w:shd w:val="clear" w:color="auto" w:fill="FFFFFF"/>
          <w:lang w:val="en-US"/>
        </w:rPr>
        <w:t xml:space="preserve">The Role of Micronutrients in the Infection and Subsequent Response to Hepatitis C Virus / S. Gupta et al. </w:t>
      </w:r>
      <w:r>
        <w:rPr>
          <w:rStyle w:val="10"/>
          <w:rFonts w:cs="Times New Roman"/>
          <w:szCs w:val="28"/>
          <w:highlight w:val="none"/>
          <w:shd w:val="clear" w:color="auto" w:fill="FFFFFF"/>
          <w:lang w:val="en-US"/>
        </w:rPr>
        <w:t>Cells</w:t>
      </w:r>
      <w:r>
        <w:rPr>
          <w:rFonts w:cs="Times New Roman"/>
          <w:szCs w:val="28"/>
          <w:highlight w:val="none"/>
          <w:shd w:val="clear" w:color="auto" w:fill="FFFFFF"/>
          <w:lang w:val="en-US"/>
        </w:rPr>
        <w:t>. 2019. Vol. 8 (6). P. 603. doi: https://doi.org/10.3390/cells8060603</w:t>
      </w:r>
    </w:p>
    <w:p w14:paraId="41266660">
      <w:pPr>
        <w:widowControl w:val="0"/>
        <w:rPr>
          <w:rFonts w:cs="Times New Roman"/>
          <w:szCs w:val="28"/>
          <w:highlight w:val="none"/>
          <w:lang w:val="en-US"/>
        </w:rPr>
      </w:pPr>
      <w:r>
        <w:rPr>
          <w:rFonts w:cs="Times New Roman"/>
          <w:szCs w:val="28"/>
          <w:highlight w:val="none"/>
          <w:lang w:val="en-US"/>
        </w:rPr>
        <w:t xml:space="preserve">125. </w:t>
      </w:r>
      <w:r>
        <w:rPr>
          <w:rFonts w:cs="Times New Roman"/>
          <w:szCs w:val="28"/>
          <w:highlight w:val="none"/>
          <w:shd w:val="clear" w:color="auto" w:fill="FFFFFF"/>
          <w:lang w:val="en-US"/>
        </w:rPr>
        <w:t xml:space="preserve">Factors attenuating zinc deficiency improvement in direct-acting antiviral agent-treated chronic hepatitis C virus infection / Y.-L. Ko et al. </w:t>
      </w:r>
      <w:r>
        <w:rPr>
          <w:rStyle w:val="51"/>
          <w:rFonts w:cs="Times New Roman"/>
          <w:i/>
          <w:iCs/>
          <w:szCs w:val="28"/>
          <w:highlight w:val="none"/>
          <w:shd w:val="clear" w:color="auto" w:fill="FFFFFF"/>
          <w:lang w:val="en-US"/>
        </w:rPr>
        <w:t>Nutrients</w:t>
      </w:r>
      <w:r>
        <w:rPr>
          <w:rStyle w:val="51"/>
          <w:rFonts w:cs="Times New Roman"/>
          <w:iCs/>
          <w:szCs w:val="28"/>
          <w:highlight w:val="none"/>
          <w:shd w:val="clear" w:color="auto" w:fill="FFFFFF"/>
          <w:lang w:val="en-US"/>
        </w:rPr>
        <w:t>.</w:t>
      </w:r>
      <w:r>
        <w:rPr>
          <w:rFonts w:cs="Times New Roman"/>
          <w:szCs w:val="28"/>
          <w:highlight w:val="none"/>
          <w:shd w:val="clear" w:color="auto" w:fill="FFFFFF"/>
          <w:lang w:val="en-US"/>
        </w:rPr>
        <w:t> </w:t>
      </w:r>
      <w:r>
        <w:rPr>
          <w:rFonts w:cs="Times New Roman"/>
          <w:bCs/>
          <w:szCs w:val="28"/>
          <w:highlight w:val="none"/>
          <w:shd w:val="clear" w:color="auto" w:fill="FFFFFF"/>
          <w:lang w:val="en-US"/>
        </w:rPr>
        <w:t>2018</w:t>
      </w:r>
      <w:r>
        <w:rPr>
          <w:rFonts w:cs="Times New Roman"/>
          <w:szCs w:val="28"/>
          <w:highlight w:val="none"/>
          <w:shd w:val="clear" w:color="auto" w:fill="FFFFFF"/>
          <w:lang w:val="en-US"/>
        </w:rPr>
        <w:t>. Vol. </w:t>
      </w:r>
      <w:r>
        <w:rPr>
          <w:rStyle w:val="51"/>
          <w:rFonts w:cs="Times New Roman"/>
          <w:iCs/>
          <w:szCs w:val="28"/>
          <w:highlight w:val="none"/>
          <w:shd w:val="clear" w:color="auto" w:fill="FFFFFF"/>
          <w:lang w:val="en-US"/>
        </w:rPr>
        <w:t>10</w:t>
      </w:r>
      <w:r>
        <w:rPr>
          <w:rFonts w:cs="Times New Roman"/>
          <w:szCs w:val="28"/>
          <w:highlight w:val="none"/>
          <w:shd w:val="clear" w:color="auto" w:fill="FFFFFF"/>
          <w:lang w:val="en-US"/>
        </w:rPr>
        <w:t xml:space="preserve">. P. 1620. doi: </w:t>
      </w:r>
      <w:r>
        <w:rPr>
          <w:highlight w:val="none"/>
        </w:rPr>
        <w:fldChar w:fldCharType="begin"/>
      </w:r>
      <w:r>
        <w:rPr>
          <w:highlight w:val="none"/>
        </w:rPr>
        <w:instrText xml:space="preserve"> HYPERLINK "https://doi.org/10.3390/nu10111620" </w:instrText>
      </w:r>
      <w:r>
        <w:rPr>
          <w:highlight w:val="none"/>
        </w:rPr>
        <w:fldChar w:fldCharType="separate"/>
      </w:r>
      <w:r>
        <w:rPr>
          <w:rStyle w:val="53"/>
          <w:rFonts w:cs="Times New Roman"/>
          <w:bCs/>
          <w:szCs w:val="28"/>
          <w:highlight w:val="none"/>
          <w:shd w:val="clear" w:color="auto" w:fill="FFFFFF"/>
          <w:lang w:val="en-US"/>
        </w:rPr>
        <w:t>https://doi.org/10.3390/nu10111620</w:t>
      </w:r>
      <w:r>
        <w:rPr>
          <w:rStyle w:val="53"/>
          <w:rFonts w:cs="Times New Roman"/>
          <w:bCs/>
          <w:szCs w:val="28"/>
          <w:highlight w:val="none"/>
          <w:shd w:val="clear" w:color="auto" w:fill="FFFFFF"/>
          <w:lang w:val="en-US"/>
        </w:rPr>
        <w:fldChar w:fldCharType="end"/>
      </w:r>
    </w:p>
    <w:p w14:paraId="53E4A2BF">
      <w:pPr>
        <w:widowControl w:val="0"/>
        <w:rPr>
          <w:rFonts w:cs="Times New Roman"/>
          <w:szCs w:val="28"/>
          <w:highlight w:val="none"/>
          <w:lang w:val="en-US"/>
        </w:rPr>
      </w:pPr>
      <w:r>
        <w:rPr>
          <w:rFonts w:cs="Times New Roman"/>
          <w:szCs w:val="28"/>
          <w:highlight w:val="none"/>
          <w:lang w:val="en-US"/>
        </w:rPr>
        <w:t xml:space="preserve">126. </w:t>
      </w:r>
      <w:r>
        <w:rPr>
          <w:rFonts w:cs="Times New Roman"/>
          <w:szCs w:val="28"/>
          <w:highlight w:val="none"/>
          <w:shd w:val="clear" w:color="auto" w:fill="FFFFFF"/>
          <w:lang w:val="en-US"/>
        </w:rPr>
        <w:t xml:space="preserve">25-Vitamin D levels in chronic hepatitis C infection: Association with cirrhosis and sustained virologic response / D. Backstedt, M. Pedersen, M. Choi, A. Seetharam. </w:t>
      </w:r>
      <w:r>
        <w:rPr>
          <w:rStyle w:val="51"/>
          <w:rFonts w:cs="Times New Roman"/>
          <w:i/>
          <w:iCs/>
          <w:szCs w:val="28"/>
          <w:highlight w:val="none"/>
          <w:shd w:val="clear" w:color="auto" w:fill="FFFFFF"/>
          <w:lang w:val="en-US"/>
        </w:rPr>
        <w:t>Ann. Gastroenterol</w:t>
      </w:r>
      <w:r>
        <w:rPr>
          <w:rStyle w:val="51"/>
          <w:rFonts w:cs="Times New Roman"/>
          <w:iCs/>
          <w:szCs w:val="28"/>
          <w:highlight w:val="none"/>
          <w:shd w:val="clear" w:color="auto" w:fill="FFFFFF"/>
          <w:lang w:val="en-US"/>
        </w:rPr>
        <w:t>.</w:t>
      </w:r>
      <w:r>
        <w:rPr>
          <w:rFonts w:cs="Times New Roman"/>
          <w:szCs w:val="28"/>
          <w:highlight w:val="none"/>
          <w:shd w:val="clear" w:color="auto" w:fill="FFFFFF"/>
          <w:lang w:val="en-US"/>
        </w:rPr>
        <w:t> </w:t>
      </w:r>
      <w:r>
        <w:rPr>
          <w:rFonts w:cs="Times New Roman"/>
          <w:bCs/>
          <w:szCs w:val="28"/>
          <w:highlight w:val="none"/>
          <w:shd w:val="clear" w:color="auto" w:fill="FFFFFF"/>
          <w:lang w:val="en-US"/>
        </w:rPr>
        <w:t>2017</w:t>
      </w:r>
      <w:r>
        <w:rPr>
          <w:rFonts w:cs="Times New Roman"/>
          <w:szCs w:val="28"/>
          <w:highlight w:val="none"/>
          <w:shd w:val="clear" w:color="auto" w:fill="FFFFFF"/>
          <w:lang w:val="en-US"/>
        </w:rPr>
        <w:t>. Vol. </w:t>
      </w:r>
      <w:r>
        <w:rPr>
          <w:rStyle w:val="51"/>
          <w:rFonts w:cs="Times New Roman"/>
          <w:iCs/>
          <w:szCs w:val="28"/>
          <w:highlight w:val="none"/>
          <w:shd w:val="clear" w:color="auto" w:fill="FFFFFF"/>
          <w:lang w:val="en-US"/>
        </w:rPr>
        <w:t>30</w:t>
      </w:r>
      <w:r>
        <w:rPr>
          <w:rFonts w:cs="Times New Roman"/>
          <w:szCs w:val="28"/>
          <w:highlight w:val="none"/>
          <w:shd w:val="clear" w:color="auto" w:fill="FFFFFF"/>
          <w:lang w:val="en-US"/>
        </w:rPr>
        <w:t>. P. 344. </w:t>
      </w:r>
      <w:r>
        <w:rPr>
          <w:rStyle w:val="53"/>
          <w:rFonts w:cs="Times New Roman"/>
          <w:szCs w:val="28"/>
          <w:highlight w:val="none"/>
          <w:lang w:val="en-US"/>
        </w:rPr>
        <w:t>doi: </w:t>
      </w:r>
      <w:r>
        <w:rPr>
          <w:highlight w:val="none"/>
        </w:rPr>
        <w:fldChar w:fldCharType="begin"/>
      </w:r>
      <w:r>
        <w:rPr>
          <w:highlight w:val="none"/>
        </w:rPr>
        <w:instrText xml:space="preserve"> HYPERLINK "https://doi.org/10.20524/aog.2017.0120" \t "_blank" </w:instrText>
      </w:r>
      <w:r>
        <w:rPr>
          <w:highlight w:val="none"/>
        </w:rPr>
        <w:fldChar w:fldCharType="separate"/>
      </w:r>
      <w:r>
        <w:rPr>
          <w:rStyle w:val="11"/>
          <w:rFonts w:cs="Times New Roman"/>
          <w:color w:val="auto"/>
          <w:szCs w:val="28"/>
          <w:highlight w:val="none"/>
          <w:u w:val="none"/>
          <w:lang w:val="en-US"/>
        </w:rPr>
        <w:t>10.20524/aog.2017.0120</w:t>
      </w:r>
      <w:r>
        <w:rPr>
          <w:rStyle w:val="11"/>
          <w:rFonts w:cs="Times New Roman"/>
          <w:color w:val="auto"/>
          <w:szCs w:val="28"/>
          <w:highlight w:val="none"/>
          <w:u w:val="none"/>
          <w:lang w:val="en-US"/>
        </w:rPr>
        <w:fldChar w:fldCharType="end"/>
      </w:r>
    </w:p>
    <w:p w14:paraId="6502AFEF">
      <w:pPr>
        <w:widowControl w:val="0"/>
        <w:rPr>
          <w:rFonts w:cs="Times New Roman"/>
          <w:szCs w:val="28"/>
          <w:highlight w:val="none"/>
          <w:lang w:val="en-US"/>
        </w:rPr>
      </w:pPr>
      <w:r>
        <w:rPr>
          <w:rFonts w:cs="Times New Roman"/>
          <w:szCs w:val="28"/>
          <w:highlight w:val="none"/>
          <w:lang w:val="en-US"/>
        </w:rPr>
        <w:t>127. Coinhibitory receptor expression and immune checkpoint blockade: Maintaining a balance in CD8</w:t>
      </w:r>
      <w:r>
        <w:rPr>
          <w:rFonts w:cs="Times New Roman"/>
          <w:szCs w:val="28"/>
          <w:highlight w:val="none"/>
          <w:vertAlign w:val="superscript"/>
          <w:lang w:val="en-US"/>
        </w:rPr>
        <w:t>+</w:t>
      </w:r>
      <w:r>
        <w:rPr>
          <w:rFonts w:cs="Times New Roman"/>
          <w:szCs w:val="28"/>
          <w:highlight w:val="none"/>
          <w:lang w:val="en-US"/>
        </w:rPr>
        <w:t xml:space="preserve"> T cell responses to chronic viral infections and cancer / I. S. Okoye et al. </w:t>
      </w:r>
      <w:r>
        <w:rPr>
          <w:rStyle w:val="51"/>
          <w:rFonts w:cs="Times New Roman"/>
          <w:i/>
          <w:iCs/>
          <w:szCs w:val="28"/>
          <w:highlight w:val="none"/>
          <w:lang w:val="en-US"/>
        </w:rPr>
        <w:t>Front. Immunol.</w:t>
      </w:r>
      <w:r>
        <w:rPr>
          <w:rFonts w:cs="Times New Roman"/>
          <w:szCs w:val="28"/>
          <w:highlight w:val="none"/>
          <w:lang w:val="en-US"/>
        </w:rPr>
        <w:t> </w:t>
      </w:r>
      <w:r>
        <w:rPr>
          <w:rFonts w:cs="Times New Roman"/>
          <w:bCs/>
          <w:szCs w:val="28"/>
          <w:highlight w:val="none"/>
          <w:lang w:val="en-US"/>
        </w:rPr>
        <w:t>2017</w:t>
      </w:r>
      <w:r>
        <w:rPr>
          <w:rFonts w:cs="Times New Roman"/>
          <w:szCs w:val="28"/>
          <w:highlight w:val="none"/>
          <w:lang w:val="en-US"/>
        </w:rPr>
        <w:t xml:space="preserve">. Vol. </w:t>
      </w:r>
      <w:r>
        <w:rPr>
          <w:rStyle w:val="51"/>
          <w:rFonts w:cs="Times New Roman"/>
          <w:iCs/>
          <w:szCs w:val="28"/>
          <w:highlight w:val="none"/>
          <w:lang w:val="en-US"/>
        </w:rPr>
        <w:t>8</w:t>
      </w:r>
      <w:r>
        <w:rPr>
          <w:rFonts w:cs="Times New Roman"/>
          <w:szCs w:val="28"/>
          <w:highlight w:val="none"/>
          <w:lang w:val="en-US"/>
        </w:rPr>
        <w:t xml:space="preserve">. P. 1215. </w:t>
      </w:r>
      <w:r>
        <w:rPr>
          <w:rStyle w:val="53"/>
          <w:rFonts w:cs="Times New Roman"/>
          <w:szCs w:val="28"/>
          <w:highlight w:val="none"/>
          <w:lang w:val="en-US"/>
        </w:rPr>
        <w:t>doi: </w:t>
      </w:r>
      <w:r>
        <w:rPr>
          <w:highlight w:val="none"/>
        </w:rPr>
        <w:fldChar w:fldCharType="begin"/>
      </w:r>
      <w:r>
        <w:rPr>
          <w:highlight w:val="none"/>
        </w:rPr>
        <w:instrText xml:space="preserve"> HYPERLINK "https://doi.org/10.3389/fimmu.2017.01215" \t "_blank" </w:instrText>
      </w:r>
      <w:r>
        <w:rPr>
          <w:highlight w:val="none"/>
        </w:rPr>
        <w:fldChar w:fldCharType="separate"/>
      </w:r>
      <w:r>
        <w:rPr>
          <w:rStyle w:val="11"/>
          <w:rFonts w:cs="Times New Roman"/>
          <w:color w:val="auto"/>
          <w:szCs w:val="28"/>
          <w:highlight w:val="none"/>
          <w:u w:val="none"/>
          <w:lang w:val="en-US"/>
        </w:rPr>
        <w:t>10.3389/fimmu.2017.01215</w:t>
      </w:r>
      <w:r>
        <w:rPr>
          <w:rStyle w:val="11"/>
          <w:rFonts w:cs="Times New Roman"/>
          <w:color w:val="auto"/>
          <w:szCs w:val="28"/>
          <w:highlight w:val="none"/>
          <w:u w:val="none"/>
          <w:lang w:val="en-US"/>
        </w:rPr>
        <w:fldChar w:fldCharType="end"/>
      </w:r>
    </w:p>
    <w:p w14:paraId="7807BBDC">
      <w:pPr>
        <w:widowControl w:val="0"/>
        <w:rPr>
          <w:rFonts w:cs="Times New Roman"/>
          <w:szCs w:val="28"/>
          <w:highlight w:val="none"/>
          <w:lang w:val="en-US"/>
        </w:rPr>
      </w:pPr>
      <w:r>
        <w:rPr>
          <w:rFonts w:cs="Times New Roman"/>
          <w:szCs w:val="28"/>
          <w:highlight w:val="none"/>
          <w:lang w:val="en-US"/>
        </w:rPr>
        <w:t xml:space="preserve">128. HCV-mediated apoptosis of hepatocytes in culture and viral pathogenesis / E. Silberstein et al. </w:t>
      </w:r>
      <w:r>
        <w:rPr>
          <w:rStyle w:val="51"/>
          <w:rFonts w:cs="Times New Roman"/>
          <w:i/>
          <w:iCs/>
          <w:szCs w:val="28"/>
          <w:highlight w:val="none"/>
          <w:lang w:val="en-US"/>
        </w:rPr>
        <w:t>PLoS ONE</w:t>
      </w:r>
      <w:r>
        <w:rPr>
          <w:rFonts w:cs="Times New Roman"/>
          <w:szCs w:val="28"/>
          <w:highlight w:val="none"/>
          <w:lang w:val="en-US"/>
        </w:rPr>
        <w:t xml:space="preserve">. </w:t>
      </w:r>
      <w:r>
        <w:rPr>
          <w:rFonts w:cs="Times New Roman"/>
          <w:bCs/>
          <w:szCs w:val="28"/>
          <w:highlight w:val="none"/>
          <w:lang w:val="en-US"/>
        </w:rPr>
        <w:t>2016</w:t>
      </w:r>
      <w:r>
        <w:rPr>
          <w:rFonts w:cs="Times New Roman"/>
          <w:szCs w:val="28"/>
          <w:highlight w:val="none"/>
          <w:lang w:val="en-US"/>
        </w:rPr>
        <w:t>. Vol.</w:t>
      </w:r>
      <w:r>
        <w:rPr>
          <w:rStyle w:val="51"/>
          <w:rFonts w:cs="Times New Roman"/>
          <w:iCs/>
          <w:szCs w:val="28"/>
          <w:highlight w:val="none"/>
          <w:lang w:val="en-US"/>
        </w:rPr>
        <w:t xml:space="preserve"> 11</w:t>
      </w:r>
      <w:r>
        <w:rPr>
          <w:rFonts w:cs="Times New Roman"/>
          <w:szCs w:val="28"/>
          <w:highlight w:val="none"/>
          <w:lang w:val="en-US"/>
        </w:rPr>
        <w:t xml:space="preserve">. e0155708. </w:t>
      </w:r>
      <w:r>
        <w:rPr>
          <w:rStyle w:val="53"/>
          <w:rFonts w:cs="Times New Roman"/>
          <w:szCs w:val="28"/>
          <w:highlight w:val="none"/>
          <w:lang w:val="en-US"/>
        </w:rPr>
        <w:t>doi: </w:t>
      </w:r>
      <w:r>
        <w:rPr>
          <w:highlight w:val="none"/>
        </w:rPr>
        <w:fldChar w:fldCharType="begin"/>
      </w:r>
      <w:r>
        <w:rPr>
          <w:highlight w:val="none"/>
        </w:rPr>
        <w:instrText xml:space="preserve"> HYPERLINK "https://doi.org/10.1371/journal.pone.0155708" \t "_blank" </w:instrText>
      </w:r>
      <w:r>
        <w:rPr>
          <w:highlight w:val="none"/>
        </w:rPr>
        <w:fldChar w:fldCharType="separate"/>
      </w:r>
      <w:r>
        <w:rPr>
          <w:rStyle w:val="11"/>
          <w:rFonts w:cs="Times New Roman"/>
          <w:color w:val="auto"/>
          <w:szCs w:val="28"/>
          <w:highlight w:val="none"/>
          <w:u w:val="none"/>
          <w:lang w:val="en-US"/>
        </w:rPr>
        <w:t>10.1371/journal.pone.0155708</w:t>
      </w:r>
      <w:r>
        <w:rPr>
          <w:rStyle w:val="11"/>
          <w:rFonts w:cs="Times New Roman"/>
          <w:color w:val="auto"/>
          <w:szCs w:val="28"/>
          <w:highlight w:val="none"/>
          <w:u w:val="none"/>
          <w:lang w:val="en-US"/>
        </w:rPr>
        <w:fldChar w:fldCharType="end"/>
      </w:r>
    </w:p>
    <w:p w14:paraId="63377CA4">
      <w:pPr>
        <w:widowControl w:val="0"/>
        <w:rPr>
          <w:rFonts w:cs="Times New Roman"/>
          <w:szCs w:val="28"/>
          <w:highlight w:val="none"/>
          <w:lang w:val="en-US"/>
        </w:rPr>
      </w:pPr>
      <w:r>
        <w:rPr>
          <w:rFonts w:cs="Times New Roman"/>
          <w:szCs w:val="28"/>
          <w:highlight w:val="none"/>
          <w:lang w:val="en-US"/>
        </w:rPr>
        <w:t>129. Effros R. B. The silent war of CMV in aging and HIV infection. </w:t>
      </w:r>
      <w:r>
        <w:rPr>
          <w:rStyle w:val="51"/>
          <w:rFonts w:cs="Times New Roman"/>
          <w:i/>
          <w:iCs/>
          <w:szCs w:val="28"/>
          <w:highlight w:val="none"/>
          <w:lang w:val="en-US"/>
        </w:rPr>
        <w:t>Mech. Ageing Dev.</w:t>
      </w:r>
      <w:r>
        <w:rPr>
          <w:rFonts w:cs="Times New Roman"/>
          <w:szCs w:val="28"/>
          <w:highlight w:val="none"/>
          <w:lang w:val="en-US"/>
        </w:rPr>
        <w:t> </w:t>
      </w:r>
      <w:r>
        <w:rPr>
          <w:rFonts w:cs="Times New Roman"/>
          <w:bCs/>
          <w:szCs w:val="28"/>
          <w:highlight w:val="none"/>
          <w:lang w:val="en-US"/>
        </w:rPr>
        <w:t>2016</w:t>
      </w:r>
      <w:r>
        <w:rPr>
          <w:rFonts w:cs="Times New Roman"/>
          <w:szCs w:val="28"/>
          <w:highlight w:val="none"/>
          <w:lang w:val="en-US"/>
        </w:rPr>
        <w:t xml:space="preserve">. Vol. </w:t>
      </w:r>
      <w:r>
        <w:rPr>
          <w:rStyle w:val="51"/>
          <w:rFonts w:cs="Times New Roman"/>
          <w:iCs/>
          <w:szCs w:val="28"/>
          <w:highlight w:val="none"/>
          <w:lang w:val="en-US"/>
        </w:rPr>
        <w:t>158</w:t>
      </w:r>
      <w:r>
        <w:rPr>
          <w:rFonts w:cs="Times New Roman"/>
          <w:szCs w:val="28"/>
          <w:highlight w:val="none"/>
          <w:lang w:val="en-US"/>
        </w:rPr>
        <w:t xml:space="preserve">. P. 46–52. </w:t>
      </w:r>
      <w:r>
        <w:rPr>
          <w:rStyle w:val="53"/>
          <w:rFonts w:cs="Times New Roman"/>
          <w:szCs w:val="28"/>
          <w:highlight w:val="none"/>
          <w:lang w:val="en-US"/>
        </w:rPr>
        <w:t>doi: </w:t>
      </w:r>
      <w:r>
        <w:rPr>
          <w:highlight w:val="none"/>
        </w:rPr>
        <w:fldChar w:fldCharType="begin"/>
      </w:r>
      <w:r>
        <w:rPr>
          <w:highlight w:val="none"/>
        </w:rPr>
        <w:instrText xml:space="preserve"> HYPERLINK "https://doi.org/10.1016/j.mad.2015.09.003" \t "_blank" </w:instrText>
      </w:r>
      <w:r>
        <w:rPr>
          <w:highlight w:val="none"/>
        </w:rPr>
        <w:fldChar w:fldCharType="separate"/>
      </w:r>
      <w:r>
        <w:rPr>
          <w:rStyle w:val="11"/>
          <w:rFonts w:cs="Times New Roman"/>
          <w:color w:val="auto"/>
          <w:szCs w:val="28"/>
          <w:highlight w:val="none"/>
          <w:u w:val="none"/>
          <w:lang w:val="en-US"/>
        </w:rPr>
        <w:t>10.1016/j.mad.2015.09.003</w:t>
      </w:r>
      <w:r>
        <w:rPr>
          <w:rStyle w:val="11"/>
          <w:rFonts w:cs="Times New Roman"/>
          <w:color w:val="auto"/>
          <w:szCs w:val="28"/>
          <w:highlight w:val="none"/>
          <w:u w:val="none"/>
          <w:lang w:val="en-US"/>
        </w:rPr>
        <w:fldChar w:fldCharType="end"/>
      </w:r>
    </w:p>
    <w:p w14:paraId="53D8ABD0">
      <w:pPr>
        <w:widowControl w:val="0"/>
        <w:rPr>
          <w:rFonts w:cs="Times New Roman"/>
          <w:szCs w:val="28"/>
          <w:highlight w:val="none"/>
          <w:lang w:val="en-US"/>
        </w:rPr>
      </w:pPr>
      <w:r>
        <w:rPr>
          <w:rFonts w:cs="Times New Roman"/>
          <w:szCs w:val="28"/>
          <w:highlight w:val="none"/>
          <w:lang w:val="en-US"/>
        </w:rPr>
        <w:t xml:space="preserve">130. Pathogenesis and prevention of hepatitis C virus-induced hepatocellular carcinoma / Y. Hoshida et al. </w:t>
      </w:r>
      <w:r>
        <w:rPr>
          <w:rStyle w:val="51"/>
          <w:rFonts w:cs="Times New Roman"/>
          <w:i/>
          <w:iCs/>
          <w:szCs w:val="28"/>
          <w:highlight w:val="none"/>
          <w:lang w:val="en-US"/>
        </w:rPr>
        <w:t>J. Hepatol.</w:t>
      </w:r>
      <w:r>
        <w:rPr>
          <w:rFonts w:cs="Times New Roman"/>
          <w:szCs w:val="28"/>
          <w:highlight w:val="none"/>
          <w:lang w:val="en-US"/>
        </w:rPr>
        <w:t> </w:t>
      </w:r>
      <w:r>
        <w:rPr>
          <w:rFonts w:cs="Times New Roman"/>
          <w:bCs/>
          <w:szCs w:val="28"/>
          <w:highlight w:val="none"/>
          <w:lang w:val="en-US"/>
        </w:rPr>
        <w:t>2014</w:t>
      </w:r>
      <w:r>
        <w:rPr>
          <w:rFonts w:cs="Times New Roman"/>
          <w:szCs w:val="28"/>
          <w:highlight w:val="none"/>
          <w:lang w:val="en-US"/>
        </w:rPr>
        <w:t xml:space="preserve">. Vol. </w:t>
      </w:r>
      <w:r>
        <w:rPr>
          <w:rStyle w:val="51"/>
          <w:rFonts w:cs="Times New Roman"/>
          <w:iCs/>
          <w:szCs w:val="28"/>
          <w:highlight w:val="none"/>
          <w:lang w:val="en-US"/>
        </w:rPr>
        <w:t>61</w:t>
      </w:r>
      <w:r>
        <w:rPr>
          <w:rFonts w:cs="Times New Roman"/>
          <w:szCs w:val="28"/>
          <w:highlight w:val="none"/>
          <w:lang w:val="en-US"/>
        </w:rPr>
        <w:t xml:space="preserve">. P. S79–S90. </w:t>
      </w:r>
      <w:r>
        <w:rPr>
          <w:rStyle w:val="53"/>
          <w:rFonts w:cs="Times New Roman"/>
          <w:szCs w:val="28"/>
          <w:highlight w:val="none"/>
          <w:lang w:val="en-US"/>
        </w:rPr>
        <w:t>doi: </w:t>
      </w:r>
      <w:r>
        <w:rPr>
          <w:highlight w:val="none"/>
        </w:rPr>
        <w:fldChar w:fldCharType="begin"/>
      </w:r>
      <w:r>
        <w:rPr>
          <w:highlight w:val="none"/>
        </w:rPr>
        <w:instrText xml:space="preserve"> HYPERLINK "https://doi.org/10.1016/j.jhep.2014.07.010" \t "_blank" </w:instrText>
      </w:r>
      <w:r>
        <w:rPr>
          <w:highlight w:val="none"/>
        </w:rPr>
        <w:fldChar w:fldCharType="separate"/>
      </w:r>
      <w:r>
        <w:rPr>
          <w:rStyle w:val="11"/>
          <w:rFonts w:cs="Times New Roman"/>
          <w:color w:val="auto"/>
          <w:szCs w:val="28"/>
          <w:highlight w:val="none"/>
          <w:u w:val="none"/>
          <w:lang w:val="en-US"/>
        </w:rPr>
        <w:t>10.1016/j.jhep.2014.07.010</w:t>
      </w:r>
      <w:r>
        <w:rPr>
          <w:rStyle w:val="11"/>
          <w:rFonts w:cs="Times New Roman"/>
          <w:color w:val="auto"/>
          <w:szCs w:val="28"/>
          <w:highlight w:val="none"/>
          <w:u w:val="none"/>
          <w:lang w:val="en-US"/>
        </w:rPr>
        <w:fldChar w:fldCharType="end"/>
      </w:r>
    </w:p>
    <w:p w14:paraId="5ABBE90E">
      <w:pPr>
        <w:widowControl w:val="0"/>
        <w:rPr>
          <w:rFonts w:cs="Times New Roman"/>
          <w:szCs w:val="28"/>
          <w:highlight w:val="none"/>
          <w:lang w:val="en-US"/>
        </w:rPr>
      </w:pPr>
      <w:r>
        <w:rPr>
          <w:rFonts w:cs="Times New Roman"/>
          <w:szCs w:val="28"/>
          <w:highlight w:val="none"/>
          <w:lang w:val="en-US"/>
        </w:rPr>
        <w:t>131. Eguchi A., Wree A., Feldstein A. E. Biomarkers of liver cell death. </w:t>
      </w:r>
      <w:r>
        <w:rPr>
          <w:rStyle w:val="51"/>
          <w:rFonts w:cs="Times New Roman"/>
          <w:i/>
          <w:iCs/>
          <w:szCs w:val="28"/>
          <w:highlight w:val="none"/>
          <w:lang w:val="en-US"/>
        </w:rPr>
        <w:t>J. Hepatol.</w:t>
      </w:r>
      <w:r>
        <w:rPr>
          <w:rFonts w:cs="Times New Roman"/>
          <w:szCs w:val="28"/>
          <w:highlight w:val="none"/>
          <w:lang w:val="en-US"/>
        </w:rPr>
        <w:t> </w:t>
      </w:r>
      <w:r>
        <w:rPr>
          <w:rFonts w:cs="Times New Roman"/>
          <w:bCs/>
          <w:szCs w:val="28"/>
          <w:highlight w:val="none"/>
          <w:lang w:val="en-US"/>
        </w:rPr>
        <w:t>2014</w:t>
      </w:r>
      <w:r>
        <w:rPr>
          <w:rFonts w:cs="Times New Roman"/>
          <w:szCs w:val="28"/>
          <w:highlight w:val="none"/>
          <w:lang w:val="en-US"/>
        </w:rPr>
        <w:t>. Vol. </w:t>
      </w:r>
      <w:r>
        <w:rPr>
          <w:rStyle w:val="51"/>
          <w:rFonts w:cs="Times New Roman"/>
          <w:iCs/>
          <w:szCs w:val="28"/>
          <w:highlight w:val="none"/>
          <w:lang w:val="en-US"/>
        </w:rPr>
        <w:t>60</w:t>
      </w:r>
      <w:r>
        <w:rPr>
          <w:rFonts w:cs="Times New Roman"/>
          <w:szCs w:val="28"/>
          <w:highlight w:val="none"/>
          <w:lang w:val="en-US"/>
        </w:rPr>
        <w:t xml:space="preserve">. P. 1063–1074. </w:t>
      </w:r>
      <w:r>
        <w:rPr>
          <w:rStyle w:val="53"/>
          <w:rFonts w:cs="Times New Roman"/>
          <w:szCs w:val="28"/>
          <w:highlight w:val="none"/>
          <w:lang w:val="en-US"/>
        </w:rPr>
        <w:t>doi: </w:t>
      </w:r>
      <w:r>
        <w:rPr>
          <w:highlight w:val="none"/>
        </w:rPr>
        <w:fldChar w:fldCharType="begin"/>
      </w:r>
      <w:r>
        <w:rPr>
          <w:highlight w:val="none"/>
        </w:rPr>
        <w:instrText xml:space="preserve"> HYPERLINK "https://doi.org/10.1016/j.jhep.2013.12.026" \t "_blank" </w:instrText>
      </w:r>
      <w:r>
        <w:rPr>
          <w:highlight w:val="none"/>
        </w:rPr>
        <w:fldChar w:fldCharType="separate"/>
      </w:r>
      <w:r>
        <w:rPr>
          <w:rStyle w:val="11"/>
          <w:rFonts w:cs="Times New Roman"/>
          <w:color w:val="auto"/>
          <w:szCs w:val="28"/>
          <w:highlight w:val="none"/>
          <w:u w:val="none"/>
          <w:lang w:val="en-US"/>
        </w:rPr>
        <w:t>10.1016/j.jhep.2013.12.026</w:t>
      </w:r>
      <w:r>
        <w:rPr>
          <w:rStyle w:val="11"/>
          <w:rFonts w:cs="Times New Roman"/>
          <w:color w:val="auto"/>
          <w:szCs w:val="28"/>
          <w:highlight w:val="none"/>
          <w:u w:val="none"/>
          <w:lang w:val="en-US"/>
        </w:rPr>
        <w:fldChar w:fldCharType="end"/>
      </w:r>
    </w:p>
    <w:p w14:paraId="462C975E">
      <w:pPr>
        <w:widowControl w:val="0"/>
        <w:rPr>
          <w:rFonts w:cs="Times New Roman"/>
          <w:szCs w:val="28"/>
          <w:highlight w:val="none"/>
          <w:lang w:val="en-US"/>
        </w:rPr>
      </w:pPr>
      <w:r>
        <w:rPr>
          <w:rFonts w:cs="Times New Roman"/>
          <w:szCs w:val="28"/>
          <w:highlight w:val="none"/>
          <w:lang w:val="en-US"/>
        </w:rPr>
        <w:t xml:space="preserve">132. Chronic hepatitis C virus infection triggers spontaneous differential expression of biosignatures associated with T cell exhaustion and apoptosis signaling in peripheral blood mononucleocytes / M Barathan et al. </w:t>
      </w:r>
      <w:r>
        <w:rPr>
          <w:rStyle w:val="51"/>
          <w:rFonts w:cs="Times New Roman"/>
          <w:i/>
          <w:iCs/>
          <w:szCs w:val="28"/>
          <w:highlight w:val="none"/>
          <w:lang w:val="en-US"/>
        </w:rPr>
        <w:t>Apoptosis.</w:t>
      </w:r>
      <w:r>
        <w:rPr>
          <w:rFonts w:cs="Times New Roman"/>
          <w:szCs w:val="28"/>
          <w:highlight w:val="none"/>
          <w:lang w:val="en-US"/>
        </w:rPr>
        <w:t> </w:t>
      </w:r>
      <w:r>
        <w:rPr>
          <w:rFonts w:cs="Times New Roman"/>
          <w:bCs/>
          <w:szCs w:val="28"/>
          <w:highlight w:val="none"/>
          <w:lang w:val="en-US"/>
        </w:rPr>
        <w:t>2015</w:t>
      </w:r>
      <w:r>
        <w:rPr>
          <w:rFonts w:cs="Times New Roman"/>
          <w:szCs w:val="28"/>
          <w:highlight w:val="none"/>
          <w:lang w:val="en-US"/>
        </w:rPr>
        <w:t>. Vol. </w:t>
      </w:r>
      <w:r>
        <w:rPr>
          <w:rStyle w:val="51"/>
          <w:rFonts w:cs="Times New Roman"/>
          <w:iCs/>
          <w:szCs w:val="28"/>
          <w:highlight w:val="none"/>
          <w:lang w:val="en-US"/>
        </w:rPr>
        <w:t>20</w:t>
      </w:r>
      <w:r>
        <w:rPr>
          <w:rFonts w:cs="Times New Roman"/>
          <w:szCs w:val="28"/>
          <w:highlight w:val="none"/>
          <w:lang w:val="en-US"/>
        </w:rPr>
        <w:t xml:space="preserve">. P. 466–480. </w:t>
      </w:r>
      <w:r>
        <w:rPr>
          <w:rStyle w:val="53"/>
          <w:rFonts w:cs="Times New Roman"/>
          <w:szCs w:val="28"/>
          <w:highlight w:val="none"/>
          <w:lang w:val="en-US"/>
        </w:rPr>
        <w:t>doi: </w:t>
      </w:r>
      <w:r>
        <w:rPr>
          <w:highlight w:val="none"/>
        </w:rPr>
        <w:fldChar w:fldCharType="begin"/>
      </w:r>
      <w:r>
        <w:rPr>
          <w:highlight w:val="none"/>
        </w:rPr>
        <w:instrText xml:space="preserve"> HYPERLINK "https://doi.org/10.1007/s10495-014-1084-y" \t "_blank" </w:instrText>
      </w:r>
      <w:r>
        <w:rPr>
          <w:highlight w:val="none"/>
        </w:rPr>
        <w:fldChar w:fldCharType="separate"/>
      </w:r>
      <w:r>
        <w:rPr>
          <w:rStyle w:val="11"/>
          <w:rFonts w:cs="Times New Roman"/>
          <w:color w:val="auto"/>
          <w:szCs w:val="28"/>
          <w:highlight w:val="none"/>
          <w:u w:val="none"/>
          <w:lang w:val="en-US"/>
        </w:rPr>
        <w:t>10.1007/s10495-014-1084-y</w:t>
      </w:r>
      <w:r>
        <w:rPr>
          <w:rStyle w:val="11"/>
          <w:rFonts w:cs="Times New Roman"/>
          <w:color w:val="auto"/>
          <w:szCs w:val="28"/>
          <w:highlight w:val="none"/>
          <w:u w:val="none"/>
          <w:lang w:val="en-US"/>
        </w:rPr>
        <w:fldChar w:fldCharType="end"/>
      </w:r>
    </w:p>
    <w:p w14:paraId="1E69E602">
      <w:pPr>
        <w:widowControl w:val="0"/>
        <w:rPr>
          <w:rFonts w:cs="Times New Roman"/>
          <w:szCs w:val="28"/>
          <w:highlight w:val="none"/>
          <w:lang w:val="en-US"/>
        </w:rPr>
      </w:pPr>
      <w:r>
        <w:rPr>
          <w:rFonts w:cs="Times New Roman"/>
          <w:szCs w:val="28"/>
          <w:highlight w:val="none"/>
          <w:lang w:val="en-US"/>
        </w:rPr>
        <w:t xml:space="preserve">133. Osteopontin Regulates Hepatitis C Virus (HCV) Replication and Assembly by Interacting with HCV Proteins and Lipid Droplets and by Binding to Receptors αVβ3 and CD44 / J. Iqbal et al. </w:t>
      </w:r>
      <w:r>
        <w:rPr>
          <w:rFonts w:cs="Times New Roman"/>
          <w:i/>
          <w:szCs w:val="28"/>
          <w:highlight w:val="none"/>
          <w:lang w:val="en-US"/>
        </w:rPr>
        <w:t>J. of Virology</w:t>
      </w:r>
      <w:r>
        <w:rPr>
          <w:rFonts w:cs="Times New Roman"/>
          <w:szCs w:val="28"/>
          <w:highlight w:val="none"/>
          <w:lang w:val="en-US"/>
        </w:rPr>
        <w:t>. 2018. Vol. 92 (13). doi: https://doi.org/10.1128/jvi.02116-17</w:t>
      </w:r>
    </w:p>
    <w:p w14:paraId="5266F978">
      <w:pPr>
        <w:widowControl w:val="0"/>
        <w:rPr>
          <w:rFonts w:cs="Times New Roman"/>
          <w:szCs w:val="28"/>
          <w:highlight w:val="none"/>
          <w:lang w:val="en-US"/>
        </w:rPr>
      </w:pPr>
      <w:r>
        <w:rPr>
          <w:rFonts w:cs="Times New Roman"/>
          <w:szCs w:val="28"/>
          <w:highlight w:val="none"/>
          <w:lang w:val="en-US"/>
        </w:rPr>
        <w:t xml:space="preserve">134. Significance of biglycan and osteopontin as non-invasive markers of liver fibrosis in patients with chronic hepatitis B virus and chronic hepatitis C virus / A. Sobhy et al. </w:t>
      </w:r>
      <w:r>
        <w:rPr>
          <w:rFonts w:cs="Times New Roman"/>
          <w:i/>
          <w:szCs w:val="28"/>
          <w:highlight w:val="none"/>
          <w:lang w:val="en-US"/>
        </w:rPr>
        <w:t>J. of Investigative Medicine</w:t>
      </w:r>
      <w:r>
        <w:rPr>
          <w:rFonts w:cs="Times New Roman"/>
          <w:szCs w:val="28"/>
          <w:highlight w:val="none"/>
          <w:lang w:val="en-US"/>
        </w:rPr>
        <w:t>. 2019. Vol. 67 (3). P. 681–685. doi: https://doi.org/10.1136/jim-2018-000840</w:t>
      </w:r>
    </w:p>
    <w:p w14:paraId="4E064C41">
      <w:pPr>
        <w:widowControl w:val="0"/>
        <w:rPr>
          <w:rFonts w:cs="Times New Roman"/>
          <w:szCs w:val="28"/>
          <w:highlight w:val="none"/>
          <w:lang w:val="en-US"/>
        </w:rPr>
      </w:pPr>
      <w:r>
        <w:rPr>
          <w:rFonts w:cs="Times New Roman"/>
          <w:szCs w:val="28"/>
          <w:highlight w:val="none"/>
          <w:lang w:val="en-US"/>
        </w:rPr>
        <w:t xml:space="preserve">135. Osteopontin versus alpha-fetoprotein as a diagnostic marker for hepatocellular carcinoma: A meta-analysis / T. Sun et al. </w:t>
      </w:r>
      <w:r>
        <w:rPr>
          <w:rFonts w:cs="Times New Roman"/>
          <w:i/>
          <w:szCs w:val="28"/>
          <w:highlight w:val="none"/>
          <w:lang w:val="en-US"/>
        </w:rPr>
        <w:t>OncoTargets and Therapy</w:t>
      </w:r>
      <w:r>
        <w:rPr>
          <w:rFonts w:cs="Times New Roman"/>
          <w:szCs w:val="28"/>
          <w:highlight w:val="none"/>
          <w:lang w:val="en-US"/>
        </w:rPr>
        <w:t>. 2018. Vol. 11. P. 8925–8935. doi: https://doi.org/10.2147/OTT.S186230</w:t>
      </w:r>
    </w:p>
    <w:p w14:paraId="090B2CA1">
      <w:pPr>
        <w:widowControl w:val="0"/>
        <w:rPr>
          <w:rFonts w:cs="Times New Roman"/>
          <w:szCs w:val="28"/>
          <w:highlight w:val="none"/>
          <w:lang w:val="en-US"/>
        </w:rPr>
      </w:pPr>
      <w:r>
        <w:rPr>
          <w:rFonts w:cs="Times New Roman"/>
          <w:szCs w:val="28"/>
          <w:highlight w:val="none"/>
          <w:lang w:val="en-US"/>
        </w:rPr>
        <w:t xml:space="preserve">136. Infection with Hepatitis B Virus May Increase the Serum Concentrations of Osteopontin / H. B. Liu et al. </w:t>
      </w:r>
      <w:r>
        <w:rPr>
          <w:rFonts w:cs="Times New Roman"/>
          <w:i/>
          <w:szCs w:val="28"/>
          <w:highlight w:val="none"/>
          <w:lang w:val="en-US"/>
        </w:rPr>
        <w:t>Intervirology.</w:t>
      </w:r>
      <w:r>
        <w:rPr>
          <w:rFonts w:cs="Times New Roman"/>
          <w:szCs w:val="28"/>
          <w:highlight w:val="none"/>
          <w:lang w:val="en-US"/>
        </w:rPr>
        <w:t xml:space="preserve"> 2021. Vol. 64 (3). P. 126–134. doi: https://doi.org/10.1159/000513687</w:t>
      </w:r>
    </w:p>
    <w:p w14:paraId="029EBFC6">
      <w:pPr>
        <w:widowControl w:val="0"/>
        <w:rPr>
          <w:rFonts w:cs="Times New Roman"/>
          <w:szCs w:val="28"/>
          <w:highlight w:val="none"/>
          <w:lang w:val="en-US"/>
        </w:rPr>
      </w:pPr>
      <w:r>
        <w:rPr>
          <w:rFonts w:cs="Times New Roman"/>
          <w:szCs w:val="28"/>
          <w:highlight w:val="none"/>
          <w:lang w:val="en-US"/>
        </w:rPr>
        <w:t xml:space="preserve">137. Evaluation of Osteopontin and Pokémon genes expression in hepatitis C virus–associated hepatocellular carcinoma / N. El-Khazragy et al. </w:t>
      </w:r>
      <w:r>
        <w:rPr>
          <w:rFonts w:cs="Times New Roman"/>
          <w:i/>
          <w:szCs w:val="28"/>
          <w:highlight w:val="none"/>
          <w:lang w:val="en-US"/>
        </w:rPr>
        <w:t>J. of Cellular Biochemistry</w:t>
      </w:r>
      <w:r>
        <w:rPr>
          <w:rFonts w:cs="Times New Roman"/>
          <w:szCs w:val="28"/>
          <w:highlight w:val="none"/>
          <w:lang w:val="en-US"/>
        </w:rPr>
        <w:t>. 2019. Vol. 120 (5). P. 7439–7445. doi: https://doi.org/10.1002/jcb.28018</w:t>
      </w:r>
    </w:p>
    <w:p w14:paraId="3DCBDBE8">
      <w:pPr>
        <w:widowControl w:val="0"/>
        <w:rPr>
          <w:rFonts w:cs="Times New Roman"/>
          <w:szCs w:val="28"/>
          <w:highlight w:val="none"/>
          <w:lang w:val="en-US"/>
        </w:rPr>
      </w:pPr>
      <w:r>
        <w:rPr>
          <w:rFonts w:cs="Times New Roman"/>
          <w:szCs w:val="28"/>
          <w:highlight w:val="none"/>
          <w:lang w:val="en-US"/>
        </w:rPr>
        <w:t xml:space="preserve">138. Osteopontin Takes Center Stage in Chronic Liver Disease / Z. Song et al. </w:t>
      </w:r>
      <w:r>
        <w:rPr>
          <w:rFonts w:cs="Times New Roman"/>
          <w:i/>
          <w:szCs w:val="28"/>
          <w:highlight w:val="none"/>
          <w:lang w:val="en-US"/>
        </w:rPr>
        <w:t xml:space="preserve">Hepatology. </w:t>
      </w:r>
      <w:r>
        <w:rPr>
          <w:rFonts w:cs="Times New Roman"/>
          <w:szCs w:val="28"/>
          <w:highlight w:val="none"/>
          <w:lang w:val="en-US"/>
        </w:rPr>
        <w:t>2021. Vol. 73 (4). P. 1594–1608. doi: https://doi.org/10.1002/HEP.31582/SUPPINFO</w:t>
      </w:r>
    </w:p>
    <w:p w14:paraId="7F17A0F3">
      <w:pPr>
        <w:widowControl w:val="0"/>
        <w:rPr>
          <w:rFonts w:cs="Times New Roman"/>
          <w:szCs w:val="28"/>
          <w:highlight w:val="none"/>
          <w:lang w:val="en-US"/>
        </w:rPr>
      </w:pPr>
      <w:r>
        <w:rPr>
          <w:rFonts w:cs="Times New Roman"/>
          <w:szCs w:val="28"/>
          <w:highlight w:val="none"/>
          <w:lang w:val="en-US"/>
        </w:rPr>
        <w:t xml:space="preserve">139. The role of vitamin deficiency in liver disease: To supplement or not supplement? / A. Licata et al. </w:t>
      </w:r>
      <w:r>
        <w:rPr>
          <w:rFonts w:cs="Times New Roman"/>
          <w:i/>
          <w:szCs w:val="28"/>
          <w:highlight w:val="none"/>
          <w:lang w:val="en-US"/>
        </w:rPr>
        <w:t>Nutrients.</w:t>
      </w:r>
      <w:r>
        <w:rPr>
          <w:rFonts w:cs="Times New Roman"/>
          <w:szCs w:val="28"/>
          <w:highlight w:val="none"/>
          <w:lang w:val="en-US"/>
        </w:rPr>
        <w:t xml:space="preserve"> 2021. Vol. 13 (11). doi: https://doi.org/10.3390/nu13114014</w:t>
      </w:r>
    </w:p>
    <w:p w14:paraId="3A042DF8">
      <w:pPr>
        <w:widowControl w:val="0"/>
        <w:rPr>
          <w:rFonts w:cs="Times New Roman"/>
          <w:szCs w:val="28"/>
          <w:highlight w:val="none"/>
          <w:lang w:val="en-US"/>
        </w:rPr>
      </w:pPr>
      <w:r>
        <w:rPr>
          <w:rFonts w:cs="Times New Roman"/>
          <w:szCs w:val="28"/>
          <w:highlight w:val="none"/>
          <w:lang w:val="en-US"/>
        </w:rPr>
        <w:t xml:space="preserve">140. The relation of 25-hydroxy vitamin D concentrations to liver histopathology, seasonality and baseline characteristics in chronic hepatitis C virus genotype 2 or 3 infection / J. Waldenström et al. </w:t>
      </w:r>
      <w:r>
        <w:rPr>
          <w:rFonts w:cs="Times New Roman"/>
          <w:i/>
          <w:szCs w:val="28"/>
          <w:highlight w:val="none"/>
          <w:lang w:val="en-US"/>
        </w:rPr>
        <w:t>PLoS ONE</w:t>
      </w:r>
      <w:r>
        <w:rPr>
          <w:rFonts w:cs="Times New Roman"/>
          <w:szCs w:val="28"/>
          <w:highlight w:val="none"/>
          <w:lang w:val="en-US"/>
        </w:rPr>
        <w:t>. 2020. Vol. 15. doi: https://doi.org/10.1371/journal.pone.0237840</w:t>
      </w:r>
    </w:p>
    <w:p w14:paraId="47BBCE3F">
      <w:pPr>
        <w:widowControl w:val="0"/>
        <w:rPr>
          <w:rFonts w:cs="Times New Roman"/>
          <w:szCs w:val="28"/>
          <w:highlight w:val="none"/>
          <w:lang w:val="en-US"/>
        </w:rPr>
      </w:pPr>
      <w:r>
        <w:rPr>
          <w:rFonts w:cs="Times New Roman"/>
          <w:szCs w:val="28"/>
          <w:highlight w:val="none"/>
          <w:lang w:val="en-US"/>
        </w:rPr>
        <w:t xml:space="preserve">141. Vitamin D supplementation for prevention of mortality in adults / G. Bjelakovic et al. </w:t>
      </w:r>
      <w:r>
        <w:rPr>
          <w:rFonts w:cs="Times New Roman"/>
          <w:i/>
          <w:szCs w:val="28"/>
          <w:highlight w:val="none"/>
          <w:lang w:val="en-US"/>
        </w:rPr>
        <w:t>Cochrane Database of Systematic Reviews</w:t>
      </w:r>
      <w:r>
        <w:rPr>
          <w:rFonts w:cs="Times New Roman"/>
          <w:szCs w:val="28"/>
          <w:highlight w:val="none"/>
          <w:lang w:val="en-US"/>
        </w:rPr>
        <w:t>. 2014. Vol. 2014 (1). doi: https://doi.org/10.1002/14651858.CD007470.pub3</w:t>
      </w:r>
    </w:p>
    <w:p w14:paraId="4FBADB53">
      <w:pPr>
        <w:widowControl w:val="0"/>
        <w:rPr>
          <w:rFonts w:cs="Times New Roman"/>
          <w:szCs w:val="28"/>
          <w:highlight w:val="none"/>
          <w:lang w:val="en-US"/>
        </w:rPr>
      </w:pPr>
      <w:r>
        <w:rPr>
          <w:rFonts w:cs="Times New Roman"/>
          <w:szCs w:val="28"/>
          <w:highlight w:val="none"/>
          <w:lang w:val="en-US"/>
        </w:rPr>
        <w:t xml:space="preserve">142. Vitamin D supplementation for chronic liver diseases in adults / G. Bjelakovic, D. Nikolova, M. Bjelakovic, C. Gluud. </w:t>
      </w:r>
      <w:r>
        <w:rPr>
          <w:rFonts w:cs="Times New Roman"/>
          <w:i/>
          <w:szCs w:val="28"/>
          <w:highlight w:val="none"/>
          <w:lang w:val="en-US"/>
        </w:rPr>
        <w:t>Cochrane Database of Systematic Reviews</w:t>
      </w:r>
      <w:r>
        <w:rPr>
          <w:rFonts w:cs="Times New Roman"/>
          <w:szCs w:val="28"/>
          <w:highlight w:val="none"/>
          <w:lang w:val="en-US"/>
        </w:rPr>
        <w:t>. 2017. Vol. 2017 (11). doi: https://doi.org/10.1002/14651858.CD011564.pub2</w:t>
      </w:r>
    </w:p>
    <w:p w14:paraId="452E8BEF">
      <w:pPr>
        <w:widowControl w:val="0"/>
        <w:rPr>
          <w:rFonts w:cs="Times New Roman"/>
          <w:szCs w:val="28"/>
          <w:highlight w:val="none"/>
          <w:lang w:val="en-US"/>
        </w:rPr>
      </w:pPr>
      <w:r>
        <w:rPr>
          <w:rFonts w:cs="Times New Roman"/>
          <w:szCs w:val="28"/>
          <w:highlight w:val="none"/>
          <w:lang w:val="en-US"/>
        </w:rPr>
        <w:t xml:space="preserve">143. Stern C., Young C. F., Skorga P. Vitamin D supplementation for prevention of mortality in adults. </w:t>
      </w:r>
      <w:r>
        <w:rPr>
          <w:rFonts w:cs="Times New Roman"/>
          <w:i/>
          <w:szCs w:val="28"/>
          <w:highlight w:val="none"/>
          <w:lang w:val="en-US"/>
        </w:rPr>
        <w:t>International J. of Evidence-Based Healthcare</w:t>
      </w:r>
      <w:r>
        <w:rPr>
          <w:rFonts w:cs="Times New Roman"/>
          <w:szCs w:val="28"/>
          <w:highlight w:val="none"/>
          <w:lang w:val="en-US"/>
        </w:rPr>
        <w:t>. 2014. Vol. 12 (4). P. 269–271. doi: https://doi.org/10.1097/XEB.0000000000000016</w:t>
      </w:r>
    </w:p>
    <w:p w14:paraId="0520F28E">
      <w:pPr>
        <w:widowControl w:val="0"/>
        <w:rPr>
          <w:rFonts w:cs="Times New Roman"/>
          <w:szCs w:val="28"/>
          <w:highlight w:val="none"/>
          <w:lang w:val="en-US"/>
        </w:rPr>
      </w:pPr>
      <w:r>
        <w:rPr>
          <w:rFonts w:cs="Times New Roman"/>
          <w:szCs w:val="28"/>
          <w:highlight w:val="none"/>
          <w:lang w:val="en-US"/>
        </w:rPr>
        <w:t xml:space="preserve">144. Randomized study comparing vitamin D3 and 1α-Hydroxyvitamin D3 in combination with pegylated interferon/ribavirin therapy for chronic hepatitis C / Y. Omori-Mizuno et al. </w:t>
      </w:r>
      <w:r>
        <w:rPr>
          <w:rFonts w:cs="Times New Roman"/>
          <w:i/>
          <w:szCs w:val="28"/>
          <w:highlight w:val="none"/>
          <w:lang w:val="en-US"/>
        </w:rPr>
        <w:t>J. of Gastroenterology and Hepatology (Australia)</w:t>
      </w:r>
      <w:r>
        <w:rPr>
          <w:rFonts w:cs="Times New Roman"/>
          <w:szCs w:val="28"/>
          <w:highlight w:val="none"/>
          <w:lang w:val="en-US"/>
        </w:rPr>
        <w:t>. 2015. Vol. 30 (9). P. 1384–1390. doi: https://doi.org/10.1111/jgh.12949</w:t>
      </w:r>
    </w:p>
    <w:p w14:paraId="087183C6">
      <w:pPr>
        <w:widowControl w:val="0"/>
        <w:rPr>
          <w:rFonts w:cs="Times New Roman"/>
          <w:szCs w:val="28"/>
          <w:highlight w:val="none"/>
          <w:lang w:val="en-US"/>
        </w:rPr>
      </w:pPr>
      <w:r>
        <w:rPr>
          <w:rFonts w:cs="Times New Roman"/>
          <w:szCs w:val="28"/>
          <w:highlight w:val="none"/>
          <w:lang w:val="en-US"/>
        </w:rPr>
        <w:t xml:space="preserve">145. Effects of vitamin d supplements in patients with chronic hepatitis c: A randomized, multi-center, open label study / J. Y. Jeong et al. </w:t>
      </w:r>
      <w:r>
        <w:rPr>
          <w:rFonts w:cs="Times New Roman"/>
          <w:i/>
          <w:szCs w:val="28"/>
          <w:highlight w:val="none"/>
          <w:lang w:val="en-US"/>
        </w:rPr>
        <w:t>Korean J. of Internal Medicine</w:t>
      </w:r>
      <w:r>
        <w:rPr>
          <w:rFonts w:cs="Times New Roman"/>
          <w:szCs w:val="28"/>
          <w:highlight w:val="none"/>
          <w:lang w:val="en-US"/>
        </w:rPr>
        <w:t>. 2020. Vol. 35 (5). P. 1074–1083. doi: https://doi.org/10.3904/kjim.2018.273</w:t>
      </w:r>
    </w:p>
    <w:p w14:paraId="2112F40E">
      <w:pPr>
        <w:widowControl w:val="0"/>
        <w:rPr>
          <w:rFonts w:cs="Times New Roman"/>
          <w:szCs w:val="28"/>
          <w:highlight w:val="none"/>
          <w:lang w:val="en-US"/>
        </w:rPr>
      </w:pPr>
      <w:r>
        <w:rPr>
          <w:rFonts w:cs="Times New Roman"/>
          <w:szCs w:val="28"/>
          <w:highlight w:val="none"/>
          <w:lang w:val="en-US"/>
        </w:rPr>
        <w:t xml:space="preserve">146. Effect of vitamin D supplementation in patients with chronic hepatitis C after direct-Acting antiviral treatment a randomized, double-blind, placebo-controlled trial / S. Sriphoosanaphan et al. </w:t>
      </w:r>
      <w:r>
        <w:rPr>
          <w:rFonts w:cs="Times New Roman"/>
          <w:i/>
          <w:szCs w:val="28"/>
          <w:highlight w:val="none"/>
          <w:lang w:val="en-US"/>
        </w:rPr>
        <w:t>Peer J.</w:t>
      </w:r>
      <w:r>
        <w:rPr>
          <w:rFonts w:cs="Times New Roman"/>
          <w:szCs w:val="28"/>
          <w:highlight w:val="none"/>
          <w:lang w:val="en-US"/>
        </w:rPr>
        <w:t xml:space="preserve"> 2021. Vol. 9. P. e10709. https://doi.org/10.7717/peerj.10709</w:t>
      </w:r>
    </w:p>
    <w:p w14:paraId="0A6627F8">
      <w:pPr>
        <w:widowControl w:val="0"/>
        <w:rPr>
          <w:rFonts w:cs="Times New Roman"/>
          <w:szCs w:val="28"/>
          <w:highlight w:val="none"/>
          <w:lang w:val="en-US"/>
        </w:rPr>
      </w:pPr>
      <w:r>
        <w:rPr>
          <w:rFonts w:cs="Times New Roman"/>
          <w:szCs w:val="28"/>
          <w:highlight w:val="none"/>
          <w:lang w:val="en-US"/>
        </w:rPr>
        <w:t xml:space="preserve">147. </w:t>
      </w:r>
      <w:r>
        <w:rPr>
          <w:rFonts w:cs="Times New Roman"/>
          <w:szCs w:val="28"/>
          <w:highlight w:val="none"/>
          <w:shd w:val="clear" w:color="auto" w:fill="FFFFFF"/>
          <w:lang w:val="en-US"/>
        </w:rPr>
        <w:t xml:space="preserve">Profile of oxidative stress markers is dependent on vitamin D levels in patients with chronic hepatitis C / J. P. S. De Almeida et al. </w:t>
      </w:r>
      <w:r>
        <w:rPr>
          <w:rStyle w:val="51"/>
          <w:rFonts w:cs="Times New Roman"/>
          <w:i/>
          <w:iCs/>
          <w:szCs w:val="28"/>
          <w:highlight w:val="none"/>
          <w:shd w:val="clear" w:color="auto" w:fill="FFFFFF"/>
          <w:lang w:val="en-US"/>
        </w:rPr>
        <w:t>Nutrition</w:t>
      </w:r>
      <w:r>
        <w:rPr>
          <w:rStyle w:val="51"/>
          <w:rFonts w:cs="Times New Roman"/>
          <w:iCs/>
          <w:szCs w:val="28"/>
          <w:highlight w:val="none"/>
          <w:shd w:val="clear" w:color="auto" w:fill="FFFFFF"/>
          <w:lang w:val="en-US"/>
        </w:rPr>
        <w:t>.</w:t>
      </w:r>
      <w:r>
        <w:rPr>
          <w:rFonts w:cs="Times New Roman"/>
          <w:szCs w:val="28"/>
          <w:highlight w:val="none"/>
          <w:shd w:val="clear" w:color="auto" w:fill="FFFFFF"/>
          <w:lang w:val="en-US"/>
        </w:rPr>
        <w:t> </w:t>
      </w:r>
      <w:r>
        <w:rPr>
          <w:rFonts w:cs="Times New Roman"/>
          <w:bCs/>
          <w:szCs w:val="28"/>
          <w:highlight w:val="none"/>
          <w:shd w:val="clear" w:color="auto" w:fill="FFFFFF"/>
          <w:lang w:val="en-US"/>
        </w:rPr>
        <w:t>2016</w:t>
      </w:r>
      <w:r>
        <w:rPr>
          <w:rFonts w:cs="Times New Roman"/>
          <w:szCs w:val="28"/>
          <w:highlight w:val="none"/>
          <w:shd w:val="clear" w:color="auto" w:fill="FFFFFF"/>
          <w:lang w:val="en-US"/>
        </w:rPr>
        <w:t>. Vol. </w:t>
      </w:r>
      <w:r>
        <w:rPr>
          <w:rStyle w:val="51"/>
          <w:rFonts w:cs="Times New Roman"/>
          <w:iCs/>
          <w:szCs w:val="28"/>
          <w:highlight w:val="none"/>
          <w:shd w:val="clear" w:color="auto" w:fill="FFFFFF"/>
          <w:lang w:val="en-US"/>
        </w:rPr>
        <w:t>32</w:t>
      </w:r>
      <w:r>
        <w:rPr>
          <w:rFonts w:cs="Times New Roman"/>
          <w:szCs w:val="28"/>
          <w:highlight w:val="none"/>
          <w:shd w:val="clear" w:color="auto" w:fill="FFFFFF"/>
          <w:lang w:val="en-US"/>
        </w:rPr>
        <w:t>. P. 362–367. doi: https://doi.org/10.1016/j.nut.2015.09.016</w:t>
      </w:r>
    </w:p>
    <w:p w14:paraId="25AE4DA7">
      <w:pPr>
        <w:tabs>
          <w:tab w:val="left" w:pos="1134"/>
        </w:tabs>
        <w:rPr>
          <w:rFonts w:eastAsia="Times New Roman" w:cs="Times New Roman"/>
          <w:szCs w:val="28"/>
          <w:highlight w:val="none"/>
          <w:lang w:val="en-US" w:eastAsia="uk-UA"/>
        </w:rPr>
      </w:pPr>
      <w:r>
        <w:rPr>
          <w:rFonts w:cs="Times New Roman"/>
          <w:szCs w:val="28"/>
          <w:highlight w:val="none"/>
          <w:lang w:val="en-US"/>
        </w:rPr>
        <w:t xml:space="preserve">148. </w:t>
      </w:r>
      <w:r>
        <w:rPr>
          <w:rFonts w:eastAsia="Times New Roman" w:cs="Times New Roman"/>
          <w:szCs w:val="28"/>
          <w:highlight w:val="none"/>
          <w:lang w:val="en-US" w:eastAsia="uk-UA"/>
        </w:rPr>
        <w:t xml:space="preserve">Association between vitamin D and hepatitis C virus infection: a meta-analysis / L. M. Villar et al. </w:t>
      </w:r>
      <w:r>
        <w:rPr>
          <w:rFonts w:eastAsia="Times New Roman" w:cs="Times New Roman"/>
          <w:i/>
          <w:iCs/>
          <w:szCs w:val="28"/>
          <w:highlight w:val="none"/>
          <w:lang w:val="en-US" w:eastAsia="uk-UA"/>
        </w:rPr>
        <w:t>World J. Gastroenterol</w:t>
      </w:r>
      <w:r>
        <w:rPr>
          <w:rFonts w:eastAsia="Times New Roman" w:cs="Times New Roman"/>
          <w:szCs w:val="28"/>
          <w:highlight w:val="none"/>
          <w:lang w:val="en-US" w:eastAsia="uk-UA"/>
        </w:rPr>
        <w:t>. 2013. Vol. 19 (35). P. 5917-5924. doi: 10.3748/WJG.V19.I35.5917</w:t>
      </w:r>
    </w:p>
    <w:p w14:paraId="2C2D13F5">
      <w:pPr>
        <w:tabs>
          <w:tab w:val="left" w:pos="1134"/>
        </w:tabs>
        <w:rPr>
          <w:rFonts w:eastAsia="Times New Roman" w:cs="Times New Roman"/>
          <w:szCs w:val="28"/>
          <w:highlight w:val="none"/>
          <w:lang w:val="en-US" w:eastAsia="uk-UA"/>
        </w:rPr>
      </w:pPr>
      <w:r>
        <w:rPr>
          <w:rFonts w:cs="Times New Roman"/>
          <w:szCs w:val="28"/>
          <w:highlight w:val="none"/>
          <w:lang w:val="en-US"/>
        </w:rPr>
        <w:t xml:space="preserve">149. </w:t>
      </w:r>
      <w:r>
        <w:rPr>
          <w:rFonts w:eastAsia="Times New Roman" w:cs="Times New Roman"/>
          <w:szCs w:val="28"/>
          <w:highlight w:val="none"/>
          <w:lang w:val="en-US" w:eastAsia="uk-UA"/>
        </w:rPr>
        <w:t xml:space="preserve">Vitamin D supplementation for prevention of cancer in adults / G. Bjelakovic et al. </w:t>
      </w:r>
      <w:r>
        <w:rPr>
          <w:rFonts w:eastAsia="Times New Roman" w:cs="Times New Roman"/>
          <w:i/>
          <w:iCs/>
          <w:szCs w:val="28"/>
          <w:highlight w:val="none"/>
          <w:lang w:val="en-US" w:eastAsia="uk-UA"/>
        </w:rPr>
        <w:t>Cochrane Database Syst Rev</w:t>
      </w:r>
      <w:r>
        <w:rPr>
          <w:rFonts w:eastAsia="Times New Roman" w:cs="Times New Roman"/>
          <w:szCs w:val="28"/>
          <w:highlight w:val="none"/>
          <w:lang w:val="en-US" w:eastAsia="uk-UA"/>
        </w:rPr>
        <w:t>. 2014. Vol. 2014 (6). doi: 10.1002/14651858.CD007469.pub2</w:t>
      </w:r>
    </w:p>
    <w:p w14:paraId="51E7758F">
      <w:pPr>
        <w:tabs>
          <w:tab w:val="left" w:pos="1134"/>
        </w:tabs>
        <w:rPr>
          <w:rFonts w:eastAsia="Times New Roman" w:cs="Times New Roman"/>
          <w:szCs w:val="28"/>
          <w:highlight w:val="none"/>
          <w:lang w:val="en-US" w:eastAsia="uk-UA"/>
        </w:rPr>
      </w:pPr>
      <w:r>
        <w:rPr>
          <w:rFonts w:cs="Times New Roman"/>
          <w:szCs w:val="28"/>
          <w:highlight w:val="none"/>
          <w:lang w:val="en-US"/>
        </w:rPr>
        <w:t xml:space="preserve">150. </w:t>
      </w:r>
      <w:r>
        <w:rPr>
          <w:rFonts w:eastAsia="Times New Roman" w:cs="Times New Roman"/>
          <w:szCs w:val="28"/>
          <w:highlight w:val="none"/>
          <w:lang w:val="en-US" w:eastAsia="uk-UA"/>
        </w:rPr>
        <w:t xml:space="preserve">Serum 25-hydroxyvitamin D level in patients with chronic liver disease and its correlation with hepatic encephalopathy: A cross-sectional study / P. Kumar et al. </w:t>
      </w:r>
      <w:r>
        <w:rPr>
          <w:rFonts w:eastAsia="Times New Roman" w:cs="Times New Roman"/>
          <w:i/>
          <w:iCs/>
          <w:szCs w:val="28"/>
          <w:highlight w:val="none"/>
          <w:lang w:val="en-US" w:eastAsia="uk-UA"/>
        </w:rPr>
        <w:t>J. Fam Med Prim Care</w:t>
      </w:r>
      <w:r>
        <w:rPr>
          <w:rFonts w:eastAsia="Times New Roman" w:cs="Times New Roman"/>
          <w:szCs w:val="28"/>
          <w:highlight w:val="none"/>
          <w:lang w:val="en-US" w:eastAsia="uk-UA"/>
        </w:rPr>
        <w:t>. 2020. Vol. 9 (2). P. 798. doi: 10.4103/jfmpc.jfmpc_1084_19</w:t>
      </w:r>
    </w:p>
    <w:p w14:paraId="15D563D9">
      <w:pPr>
        <w:tabs>
          <w:tab w:val="left" w:pos="1134"/>
        </w:tabs>
        <w:rPr>
          <w:rFonts w:eastAsia="Times New Roman" w:cs="Times New Roman"/>
          <w:szCs w:val="28"/>
          <w:highlight w:val="none"/>
          <w:lang w:val="en-US" w:eastAsia="uk-UA"/>
        </w:rPr>
      </w:pPr>
      <w:r>
        <w:rPr>
          <w:rFonts w:cs="Times New Roman"/>
          <w:szCs w:val="28"/>
          <w:highlight w:val="none"/>
          <w:lang w:val="en-US"/>
        </w:rPr>
        <w:t xml:space="preserve">151. </w:t>
      </w:r>
      <w:r>
        <w:rPr>
          <w:rFonts w:eastAsia="Times New Roman" w:cs="Times New Roman"/>
          <w:szCs w:val="28"/>
          <w:highlight w:val="none"/>
          <w:lang w:val="en-US" w:eastAsia="uk-UA"/>
        </w:rPr>
        <w:t xml:space="preserve">Gutierrez J. A. Vitamin D Metabolites Inhibit Hepatitis C Virus and Modulate Cellular Gene Expression. </w:t>
      </w:r>
      <w:r>
        <w:rPr>
          <w:rFonts w:eastAsia="Times New Roman" w:cs="Times New Roman"/>
          <w:i/>
          <w:iCs/>
          <w:szCs w:val="28"/>
          <w:highlight w:val="none"/>
          <w:lang w:val="en-US" w:eastAsia="uk-UA"/>
        </w:rPr>
        <w:t>J. Virol Antivir Res</w:t>
      </w:r>
      <w:r>
        <w:rPr>
          <w:rFonts w:eastAsia="Times New Roman" w:cs="Times New Roman"/>
          <w:szCs w:val="28"/>
          <w:highlight w:val="none"/>
          <w:lang w:val="en-US" w:eastAsia="uk-UA"/>
        </w:rPr>
        <w:t>. 2014. Vol. 03 (03). doi: 10.4172/2324-8955.1000129</w:t>
      </w:r>
    </w:p>
    <w:p w14:paraId="2DB7C01D">
      <w:pPr>
        <w:widowControl w:val="0"/>
        <w:rPr>
          <w:rFonts w:cs="Times New Roman"/>
          <w:szCs w:val="28"/>
          <w:highlight w:val="none"/>
          <w:lang w:val="en-US"/>
        </w:rPr>
      </w:pPr>
      <w:r>
        <w:rPr>
          <w:rFonts w:cs="Times New Roman"/>
          <w:szCs w:val="28"/>
          <w:highlight w:val="none"/>
          <w:lang w:val="en-US"/>
        </w:rPr>
        <w:t xml:space="preserve">152. </w:t>
      </w:r>
      <w:r>
        <w:rPr>
          <w:rFonts w:eastAsia="Times New Roman" w:cs="Times New Roman"/>
          <w:szCs w:val="28"/>
          <w:highlight w:val="none"/>
          <w:lang w:val="en-US" w:eastAsia="uk-UA"/>
        </w:rPr>
        <w:t xml:space="preserve">Murayama A. Kato T. Inhibition of hepatitis C virus by vitamin D. </w:t>
      </w:r>
      <w:r>
        <w:rPr>
          <w:rFonts w:eastAsia="Times New Roman" w:cs="Times New Roman"/>
          <w:i/>
          <w:iCs/>
          <w:szCs w:val="28"/>
          <w:highlight w:val="none"/>
          <w:lang w:val="en-US" w:eastAsia="uk-UA"/>
        </w:rPr>
        <w:t>Vitam Horm</w:t>
      </w:r>
      <w:r>
        <w:rPr>
          <w:rFonts w:eastAsia="Times New Roman" w:cs="Times New Roman"/>
          <w:szCs w:val="28"/>
          <w:highlight w:val="none"/>
          <w:lang w:val="en-US" w:eastAsia="uk-UA"/>
        </w:rPr>
        <w:t>. 2021. Vol. 117. P. 227</w:t>
      </w:r>
      <w:r>
        <w:rPr>
          <w:rFonts w:cs="Times New Roman"/>
          <w:szCs w:val="28"/>
          <w:highlight w:val="none"/>
          <w:lang w:val="en-US"/>
        </w:rPr>
        <w:t>–</w:t>
      </w:r>
      <w:r>
        <w:rPr>
          <w:rFonts w:eastAsia="Times New Roman" w:cs="Times New Roman"/>
          <w:szCs w:val="28"/>
          <w:highlight w:val="none"/>
          <w:lang w:val="en-US" w:eastAsia="uk-UA"/>
        </w:rPr>
        <w:t>238. doi: 10.1016/bs.vh.2021.06.006</w:t>
      </w:r>
    </w:p>
    <w:p w14:paraId="4563B0A0">
      <w:pPr>
        <w:tabs>
          <w:tab w:val="left" w:pos="1134"/>
        </w:tabs>
        <w:rPr>
          <w:rFonts w:eastAsia="Times New Roman" w:cs="Times New Roman"/>
          <w:szCs w:val="28"/>
          <w:highlight w:val="none"/>
          <w:lang w:val="en-US" w:eastAsia="uk-UA"/>
        </w:rPr>
      </w:pPr>
      <w:r>
        <w:rPr>
          <w:rFonts w:cs="Times New Roman"/>
          <w:szCs w:val="28"/>
          <w:highlight w:val="none"/>
          <w:lang w:val="en-US"/>
        </w:rPr>
        <w:t xml:space="preserve">153. </w:t>
      </w:r>
      <w:r>
        <w:rPr>
          <w:rFonts w:eastAsia="Times New Roman" w:cs="Times New Roman"/>
          <w:szCs w:val="28"/>
          <w:highlight w:val="none"/>
          <w:lang w:val="en-US" w:eastAsia="uk-UA"/>
        </w:rPr>
        <w:t xml:space="preserve">Effect of vitamin D supplementation on sustained virological response in genotype 1/4 chronic hepatitis C treatment-naïve patients from India / M. K. Behera et al. </w:t>
      </w:r>
      <w:r>
        <w:rPr>
          <w:rFonts w:eastAsia="Times New Roman" w:cs="Times New Roman"/>
          <w:i/>
          <w:iCs/>
          <w:szCs w:val="28"/>
          <w:highlight w:val="none"/>
          <w:lang w:val="en-US" w:eastAsia="uk-UA"/>
        </w:rPr>
        <w:t>Indian J. Med Res</w:t>
      </w:r>
      <w:r>
        <w:rPr>
          <w:rFonts w:eastAsia="Times New Roman" w:cs="Times New Roman"/>
          <w:szCs w:val="28"/>
          <w:highlight w:val="none"/>
          <w:lang w:val="en-US" w:eastAsia="uk-UA"/>
        </w:rPr>
        <w:t>. 2018. Vol. 148 (2). P. 200</w:t>
      </w:r>
      <w:r>
        <w:rPr>
          <w:rFonts w:cs="Times New Roman"/>
          <w:szCs w:val="28"/>
          <w:highlight w:val="none"/>
          <w:lang w:val="en-US"/>
        </w:rPr>
        <w:t>–</w:t>
      </w:r>
      <w:r>
        <w:rPr>
          <w:rFonts w:eastAsia="Times New Roman" w:cs="Times New Roman"/>
          <w:szCs w:val="28"/>
          <w:highlight w:val="none"/>
          <w:lang w:val="en-US" w:eastAsia="uk-UA"/>
        </w:rPr>
        <w:t>206. doi: 10.4103/ijmr.IJMR_1295_15</w:t>
      </w:r>
    </w:p>
    <w:p w14:paraId="0E65C83E">
      <w:pPr>
        <w:tabs>
          <w:tab w:val="left" w:pos="1134"/>
        </w:tabs>
        <w:rPr>
          <w:rFonts w:eastAsia="Times New Roman" w:cs="Times New Roman"/>
          <w:szCs w:val="28"/>
          <w:highlight w:val="none"/>
          <w:lang w:val="en-US" w:eastAsia="uk-UA"/>
        </w:rPr>
      </w:pPr>
      <w:r>
        <w:rPr>
          <w:rFonts w:cs="Times New Roman"/>
          <w:szCs w:val="28"/>
          <w:highlight w:val="none"/>
          <w:lang w:val="en-US"/>
        </w:rPr>
        <w:t xml:space="preserve">154. </w:t>
      </w:r>
      <w:r>
        <w:rPr>
          <w:rFonts w:eastAsia="Times New Roman" w:cs="Times New Roman"/>
          <w:szCs w:val="28"/>
          <w:highlight w:val="none"/>
          <w:lang w:val="en-US" w:eastAsia="uk-UA"/>
        </w:rPr>
        <w:t xml:space="preserve">Vitamin D deficiency and a CYP27B1-1260 promoter polymorphism are associated with chronic hepatitis C and poor response to interferon-alfa based therapy / C. M. Lange et al. </w:t>
      </w:r>
      <w:r>
        <w:rPr>
          <w:rFonts w:eastAsia="Times New Roman" w:cs="Times New Roman"/>
          <w:i/>
          <w:iCs/>
          <w:szCs w:val="28"/>
          <w:highlight w:val="none"/>
          <w:lang w:val="en-US" w:eastAsia="uk-UA"/>
        </w:rPr>
        <w:t>J. Hepatol</w:t>
      </w:r>
      <w:r>
        <w:rPr>
          <w:rFonts w:eastAsia="Times New Roman" w:cs="Times New Roman"/>
          <w:szCs w:val="28"/>
          <w:highlight w:val="none"/>
          <w:lang w:val="en-US" w:eastAsia="uk-UA"/>
        </w:rPr>
        <w:t>. 2011. Vol. 54 (5). P. 887</w:t>
      </w:r>
      <w:r>
        <w:rPr>
          <w:rFonts w:cs="Times New Roman"/>
          <w:szCs w:val="28"/>
          <w:highlight w:val="none"/>
          <w:lang w:val="en-US"/>
        </w:rPr>
        <w:t>–</w:t>
      </w:r>
      <w:r>
        <w:rPr>
          <w:rFonts w:eastAsia="Times New Roman" w:cs="Times New Roman"/>
          <w:szCs w:val="28"/>
          <w:highlight w:val="none"/>
          <w:lang w:val="en-US" w:eastAsia="uk-UA"/>
        </w:rPr>
        <w:t>893. doi: 10.1016/j.jhep.2010.08.036</w:t>
      </w:r>
    </w:p>
    <w:p w14:paraId="195B050D">
      <w:pPr>
        <w:tabs>
          <w:tab w:val="left" w:pos="1134"/>
        </w:tabs>
        <w:rPr>
          <w:rFonts w:eastAsia="Times New Roman" w:cs="Times New Roman"/>
          <w:szCs w:val="28"/>
          <w:highlight w:val="none"/>
          <w:lang w:val="en-US" w:eastAsia="uk-UA"/>
        </w:rPr>
      </w:pPr>
      <w:r>
        <w:rPr>
          <w:rFonts w:cs="Times New Roman"/>
          <w:szCs w:val="28"/>
          <w:highlight w:val="none"/>
          <w:lang w:val="en-US"/>
        </w:rPr>
        <w:t xml:space="preserve">155. </w:t>
      </w:r>
      <w:r>
        <w:rPr>
          <w:rFonts w:eastAsia="Times New Roman" w:cs="Times New Roman"/>
          <w:szCs w:val="28"/>
          <w:highlight w:val="none"/>
          <w:lang w:val="en-US" w:eastAsia="uk-UA"/>
        </w:rPr>
        <w:t xml:space="preserve">Vitamin D supplementation for chronic liver diseases in adults / M. Bjelakovic, D. Nikolova, G. Bjelakovic, C. Gluud. </w:t>
      </w:r>
      <w:r>
        <w:rPr>
          <w:rFonts w:eastAsia="Times New Roman" w:cs="Times New Roman"/>
          <w:i/>
          <w:iCs/>
          <w:szCs w:val="28"/>
          <w:highlight w:val="none"/>
          <w:lang w:val="en-US" w:eastAsia="uk-UA"/>
        </w:rPr>
        <w:t>Cochrane Database Syst Rev</w:t>
      </w:r>
      <w:r>
        <w:rPr>
          <w:rFonts w:eastAsia="Times New Roman" w:cs="Times New Roman"/>
          <w:szCs w:val="28"/>
          <w:highlight w:val="none"/>
          <w:lang w:val="en-US" w:eastAsia="uk-UA"/>
        </w:rPr>
        <w:t>. 2021. Vol. 2021 (8). doi: 10.1002/14651858.CD011564.pub3</w:t>
      </w:r>
    </w:p>
    <w:p w14:paraId="61630456">
      <w:pPr>
        <w:tabs>
          <w:tab w:val="left" w:pos="1134"/>
        </w:tabs>
        <w:rPr>
          <w:rFonts w:eastAsia="Times New Roman" w:cs="Times New Roman"/>
          <w:szCs w:val="28"/>
          <w:highlight w:val="none"/>
          <w:lang w:val="en-US" w:eastAsia="uk-UA"/>
        </w:rPr>
      </w:pPr>
      <w:r>
        <w:rPr>
          <w:rFonts w:cs="Times New Roman"/>
          <w:szCs w:val="28"/>
          <w:highlight w:val="none"/>
          <w:lang w:val="en-US"/>
        </w:rPr>
        <w:t xml:space="preserve">156. </w:t>
      </w:r>
      <w:r>
        <w:rPr>
          <w:rFonts w:eastAsia="Times New Roman" w:cs="Times New Roman"/>
          <w:szCs w:val="28"/>
          <w:highlight w:val="none"/>
          <w:lang w:val="en-US" w:eastAsia="uk-UA"/>
        </w:rPr>
        <w:t xml:space="preserve">Vitamin D in addition to peg-interferon-alpha/ribavirin in chronic hepatitis C virus infection: ANRS-HC25-VITAVIC study / B. Terrier et al. </w:t>
      </w:r>
      <w:r>
        <w:rPr>
          <w:rFonts w:eastAsia="Times New Roman" w:cs="Times New Roman"/>
          <w:i/>
          <w:iCs/>
          <w:szCs w:val="28"/>
          <w:highlight w:val="none"/>
          <w:lang w:val="en-US" w:eastAsia="uk-UA"/>
        </w:rPr>
        <w:t>World J. Gastroenterol</w:t>
      </w:r>
      <w:r>
        <w:rPr>
          <w:rFonts w:eastAsia="Times New Roman" w:cs="Times New Roman"/>
          <w:szCs w:val="28"/>
          <w:highlight w:val="none"/>
          <w:lang w:val="en-US" w:eastAsia="uk-UA"/>
        </w:rPr>
        <w:t>. 2015. Vol. 21 (18). P. 5647</w:t>
      </w:r>
      <w:r>
        <w:rPr>
          <w:rFonts w:cs="Times New Roman"/>
          <w:szCs w:val="28"/>
          <w:highlight w:val="none"/>
          <w:lang w:val="en-US"/>
        </w:rPr>
        <w:t>–</w:t>
      </w:r>
      <w:r>
        <w:rPr>
          <w:rFonts w:eastAsia="Times New Roman" w:cs="Times New Roman"/>
          <w:szCs w:val="28"/>
          <w:highlight w:val="none"/>
          <w:lang w:val="en-US" w:eastAsia="uk-UA"/>
        </w:rPr>
        <w:t>5653. doi: 10.3748/wjg.v21.i18.5647</w:t>
      </w:r>
    </w:p>
    <w:p w14:paraId="1D5DA2B6">
      <w:pPr>
        <w:widowControl w:val="0"/>
        <w:rPr>
          <w:rFonts w:cs="Times New Roman"/>
          <w:szCs w:val="28"/>
          <w:highlight w:val="none"/>
          <w:lang w:val="en-US"/>
        </w:rPr>
      </w:pPr>
      <w:r>
        <w:rPr>
          <w:rFonts w:cs="Times New Roman"/>
          <w:szCs w:val="28"/>
          <w:highlight w:val="none"/>
          <w:lang w:val="en-US"/>
        </w:rPr>
        <w:t xml:space="preserve">157. </w:t>
      </w:r>
      <w:r>
        <w:rPr>
          <w:rFonts w:eastAsia="Times New Roman" w:cs="Times New Roman"/>
          <w:szCs w:val="28"/>
          <w:highlight w:val="none"/>
          <w:lang w:val="en-US" w:eastAsia="uk-UA"/>
        </w:rPr>
        <w:t xml:space="preserve">Vitamin D status and viral response to therapy in hepatitis C infected children / A. A. Eltayeb, M. A. A. Abdou, A. M. Abdel-Aal, M. H. Othman. </w:t>
      </w:r>
      <w:r>
        <w:rPr>
          <w:rFonts w:eastAsia="Times New Roman" w:cs="Times New Roman"/>
          <w:i/>
          <w:iCs/>
          <w:szCs w:val="28"/>
          <w:highlight w:val="none"/>
          <w:lang w:val="en-US" w:eastAsia="uk-UA"/>
        </w:rPr>
        <w:t>World J. Gastroenterol</w:t>
      </w:r>
      <w:r>
        <w:rPr>
          <w:rFonts w:eastAsia="Times New Roman" w:cs="Times New Roman"/>
          <w:szCs w:val="28"/>
          <w:highlight w:val="none"/>
          <w:lang w:val="en-US" w:eastAsia="uk-UA"/>
        </w:rPr>
        <w:t>. 2015. Vol. 21 (4). P. 1284</w:t>
      </w:r>
      <w:r>
        <w:rPr>
          <w:rFonts w:cs="Times New Roman"/>
          <w:szCs w:val="28"/>
          <w:highlight w:val="none"/>
          <w:lang w:val="en-US"/>
        </w:rPr>
        <w:t>–</w:t>
      </w:r>
      <w:r>
        <w:rPr>
          <w:rFonts w:eastAsia="Times New Roman" w:cs="Times New Roman"/>
          <w:szCs w:val="28"/>
          <w:highlight w:val="none"/>
          <w:lang w:val="en-US" w:eastAsia="uk-UA"/>
        </w:rPr>
        <w:t>1291. doi: 10.3748/wjg.v21.i4.1284</w:t>
      </w:r>
    </w:p>
    <w:p w14:paraId="506963D2">
      <w:pPr>
        <w:widowControl w:val="0"/>
        <w:rPr>
          <w:rFonts w:cs="Times New Roman"/>
          <w:szCs w:val="28"/>
          <w:highlight w:val="none"/>
          <w:lang w:val="en-US"/>
        </w:rPr>
      </w:pPr>
      <w:r>
        <w:rPr>
          <w:rFonts w:cs="Times New Roman"/>
          <w:szCs w:val="28"/>
          <w:highlight w:val="none"/>
          <w:lang w:val="en-US"/>
        </w:rPr>
        <w:t xml:space="preserve">158. </w:t>
      </w:r>
      <w:r>
        <w:rPr>
          <w:rFonts w:cs="Times New Roman"/>
          <w:szCs w:val="28"/>
          <w:highlight w:val="none"/>
          <w:shd w:val="clear" w:color="auto" w:fill="FFFFFF"/>
          <w:lang w:val="en-US"/>
        </w:rPr>
        <w:t xml:space="preserve">Molecular assessment of vitamin D receptor polymorphism as a valid predictor to the response of interferon/ribavirin-based therapy in Egyptian patients with chronic hepatitis C / A. Abdelsalam et al. </w:t>
      </w:r>
      <w:r>
        <w:rPr>
          <w:rStyle w:val="51"/>
          <w:rFonts w:cs="Times New Roman"/>
          <w:i/>
          <w:iCs/>
          <w:szCs w:val="28"/>
          <w:highlight w:val="none"/>
          <w:shd w:val="clear" w:color="auto" w:fill="FFFFFF"/>
          <w:lang w:val="en-US"/>
        </w:rPr>
        <w:t>J. Digest. Dis</w:t>
      </w:r>
      <w:r>
        <w:rPr>
          <w:rStyle w:val="51"/>
          <w:rFonts w:cs="Times New Roman"/>
          <w:iCs/>
          <w:szCs w:val="28"/>
          <w:highlight w:val="none"/>
          <w:shd w:val="clear" w:color="auto" w:fill="FFFFFF"/>
          <w:lang w:val="en-US"/>
        </w:rPr>
        <w:t>.</w:t>
      </w:r>
      <w:r>
        <w:rPr>
          <w:rFonts w:cs="Times New Roman"/>
          <w:szCs w:val="28"/>
          <w:highlight w:val="none"/>
          <w:shd w:val="clear" w:color="auto" w:fill="FFFFFF"/>
          <w:lang w:val="en-US"/>
        </w:rPr>
        <w:t> </w:t>
      </w:r>
      <w:r>
        <w:rPr>
          <w:rFonts w:cs="Times New Roman"/>
          <w:bCs/>
          <w:szCs w:val="28"/>
          <w:highlight w:val="none"/>
          <w:shd w:val="clear" w:color="auto" w:fill="FFFFFF"/>
          <w:lang w:val="en-US"/>
        </w:rPr>
        <w:t>2016</w:t>
      </w:r>
      <w:r>
        <w:rPr>
          <w:rFonts w:cs="Times New Roman"/>
          <w:szCs w:val="28"/>
          <w:highlight w:val="none"/>
          <w:shd w:val="clear" w:color="auto" w:fill="FFFFFF"/>
          <w:lang w:val="en-US"/>
        </w:rPr>
        <w:t xml:space="preserve">. Vol. </w:t>
      </w:r>
      <w:r>
        <w:rPr>
          <w:rStyle w:val="51"/>
          <w:rFonts w:cs="Times New Roman"/>
          <w:iCs/>
          <w:szCs w:val="28"/>
          <w:highlight w:val="none"/>
          <w:shd w:val="clear" w:color="auto" w:fill="FFFFFF"/>
          <w:lang w:val="en-US"/>
        </w:rPr>
        <w:t>17</w:t>
      </w:r>
      <w:r>
        <w:rPr>
          <w:rFonts w:cs="Times New Roman"/>
          <w:szCs w:val="28"/>
          <w:highlight w:val="none"/>
          <w:shd w:val="clear" w:color="auto" w:fill="FFFFFF"/>
          <w:lang w:val="en-US"/>
        </w:rPr>
        <w:t xml:space="preserve">. P. 547–553. </w:t>
      </w:r>
      <w:r>
        <w:rPr>
          <w:rStyle w:val="53"/>
          <w:rFonts w:cs="Times New Roman"/>
          <w:szCs w:val="28"/>
          <w:highlight w:val="none"/>
          <w:lang w:val="en-US"/>
        </w:rPr>
        <w:t>doi: </w:t>
      </w:r>
      <w:r>
        <w:rPr>
          <w:highlight w:val="none"/>
        </w:rPr>
        <w:fldChar w:fldCharType="begin"/>
      </w:r>
      <w:r>
        <w:rPr>
          <w:highlight w:val="none"/>
        </w:rPr>
        <w:instrText xml:space="preserve"> HYPERLINK "https://doi.org/10.1111/1751-2980.12353" \t "_blank" </w:instrText>
      </w:r>
      <w:r>
        <w:rPr>
          <w:highlight w:val="none"/>
        </w:rPr>
        <w:fldChar w:fldCharType="separate"/>
      </w:r>
      <w:r>
        <w:rPr>
          <w:rStyle w:val="11"/>
          <w:rFonts w:cs="Times New Roman"/>
          <w:color w:val="auto"/>
          <w:szCs w:val="28"/>
          <w:highlight w:val="none"/>
          <w:u w:val="none"/>
          <w:lang w:val="en-US"/>
        </w:rPr>
        <w:t>10.1111/1751-2980.12353</w:t>
      </w:r>
      <w:r>
        <w:rPr>
          <w:rStyle w:val="11"/>
          <w:rFonts w:cs="Times New Roman"/>
          <w:color w:val="auto"/>
          <w:szCs w:val="28"/>
          <w:highlight w:val="none"/>
          <w:u w:val="none"/>
          <w:lang w:val="en-US"/>
        </w:rPr>
        <w:fldChar w:fldCharType="end"/>
      </w:r>
    </w:p>
    <w:p w14:paraId="31930275">
      <w:pPr>
        <w:widowControl w:val="0"/>
        <w:rPr>
          <w:rFonts w:cs="Times New Roman"/>
          <w:szCs w:val="28"/>
          <w:highlight w:val="none"/>
          <w:lang w:val="en-US"/>
        </w:rPr>
      </w:pPr>
      <w:r>
        <w:rPr>
          <w:rFonts w:cs="Times New Roman"/>
          <w:szCs w:val="28"/>
          <w:highlight w:val="none"/>
          <w:lang w:val="en-US"/>
        </w:rPr>
        <w:t xml:space="preserve">159. </w:t>
      </w:r>
      <w:bookmarkStart w:id="77" w:name="_Ref113094418"/>
      <w:r>
        <w:rPr>
          <w:rFonts w:cs="Times New Roman"/>
          <w:szCs w:val="28"/>
          <w:highlight w:val="none"/>
          <w:lang w:val="en-US" w:eastAsia="ru-RU"/>
        </w:rPr>
        <w:t xml:space="preserve">The value of cure associated with treating treatment-naïve chronic hepatitis C genotype 1: Are the new all-oral regimens good value to society? / Z. M. Younossi et al. </w:t>
      </w:r>
      <w:r>
        <w:rPr>
          <w:rFonts w:cs="Times New Roman"/>
          <w:i/>
          <w:szCs w:val="28"/>
          <w:highlight w:val="none"/>
          <w:lang w:val="en-US" w:eastAsia="ru-RU"/>
        </w:rPr>
        <w:t>Liver International</w:t>
      </w:r>
      <w:r>
        <w:rPr>
          <w:rFonts w:cs="Times New Roman"/>
          <w:szCs w:val="28"/>
          <w:highlight w:val="none"/>
          <w:lang w:val="en-US" w:eastAsia="ru-RU"/>
        </w:rPr>
        <w:t xml:space="preserve">. 2017. Vol. 37 (5). P. 662–668. doi: </w:t>
      </w:r>
      <w:r>
        <w:rPr>
          <w:highlight w:val="none"/>
        </w:rPr>
        <w:fldChar w:fldCharType="begin"/>
      </w:r>
      <w:r>
        <w:rPr>
          <w:highlight w:val="none"/>
        </w:rPr>
        <w:instrText xml:space="preserve"> HYPERLINK "https://doi.org/10.1111/liv.13298" </w:instrText>
      </w:r>
      <w:r>
        <w:rPr>
          <w:highlight w:val="none"/>
        </w:rPr>
        <w:fldChar w:fldCharType="separate"/>
      </w:r>
      <w:r>
        <w:rPr>
          <w:rStyle w:val="11"/>
          <w:rFonts w:cs="Times New Roman"/>
          <w:color w:val="auto"/>
          <w:szCs w:val="28"/>
          <w:highlight w:val="none"/>
          <w:u w:val="none"/>
          <w:lang w:val="en-US" w:eastAsia="ru-RU"/>
        </w:rPr>
        <w:t>https://doi.org/10.1111/liv.13298</w:t>
      </w:r>
      <w:r>
        <w:rPr>
          <w:rStyle w:val="11"/>
          <w:rFonts w:cs="Times New Roman"/>
          <w:color w:val="auto"/>
          <w:szCs w:val="28"/>
          <w:highlight w:val="none"/>
          <w:u w:val="none"/>
          <w:lang w:val="en-US" w:eastAsia="ru-RU"/>
        </w:rPr>
        <w:fldChar w:fldCharType="end"/>
      </w:r>
      <w:bookmarkEnd w:id="77"/>
    </w:p>
    <w:p w14:paraId="5957BB2A">
      <w:pPr>
        <w:tabs>
          <w:tab w:val="left" w:pos="1134"/>
        </w:tabs>
        <w:rPr>
          <w:rFonts w:eastAsia="Times New Roman" w:cs="Times New Roman"/>
          <w:szCs w:val="28"/>
          <w:highlight w:val="none"/>
          <w:lang w:val="en-US" w:eastAsia="uk-UA"/>
        </w:rPr>
      </w:pPr>
      <w:r>
        <w:rPr>
          <w:rFonts w:cs="Times New Roman"/>
          <w:szCs w:val="28"/>
          <w:highlight w:val="none"/>
          <w:lang w:val="en-US"/>
        </w:rPr>
        <w:t xml:space="preserve">160. </w:t>
      </w:r>
      <w:r>
        <w:rPr>
          <w:rFonts w:eastAsia="Times New Roman" w:cs="Times New Roman"/>
          <w:szCs w:val="28"/>
          <w:highlight w:val="none"/>
          <w:lang w:val="en-US" w:eastAsia="uk-UA"/>
        </w:rPr>
        <w:t xml:space="preserve">Consensus on management of hepatitis C virus infection in resource-limited Ukraine and Commonwealth of Independent States regions / M. G. Colombo et al. </w:t>
      </w:r>
      <w:r>
        <w:rPr>
          <w:rFonts w:eastAsia="Times New Roman" w:cs="Times New Roman"/>
          <w:i/>
          <w:iCs/>
          <w:szCs w:val="28"/>
          <w:highlight w:val="none"/>
          <w:lang w:val="en-US" w:eastAsia="uk-UA"/>
        </w:rPr>
        <w:t>World J. Gastroenterol</w:t>
      </w:r>
      <w:r>
        <w:rPr>
          <w:rFonts w:eastAsia="Times New Roman" w:cs="Times New Roman"/>
          <w:szCs w:val="28"/>
          <w:highlight w:val="none"/>
          <w:lang w:val="en-US" w:eastAsia="uk-UA"/>
        </w:rPr>
        <w:t>. 2019. Vol. 25 (29). P. 3897</w:t>
      </w:r>
      <w:r>
        <w:rPr>
          <w:rFonts w:cs="Times New Roman"/>
          <w:szCs w:val="28"/>
          <w:highlight w:val="none"/>
          <w:lang w:val="en-US"/>
        </w:rPr>
        <w:t>–</w:t>
      </w:r>
      <w:r>
        <w:rPr>
          <w:rFonts w:eastAsia="Times New Roman" w:cs="Times New Roman"/>
          <w:szCs w:val="28"/>
          <w:highlight w:val="none"/>
          <w:lang w:val="en-US" w:eastAsia="uk-UA"/>
        </w:rPr>
        <w:t>3919. doi: 10.3748/wjg.v25.i29.3897</w:t>
      </w:r>
    </w:p>
    <w:p w14:paraId="4C01B8A4">
      <w:pPr>
        <w:tabs>
          <w:tab w:val="left" w:pos="1134"/>
        </w:tabs>
        <w:rPr>
          <w:rFonts w:eastAsia="Times New Roman" w:cs="Times New Roman"/>
          <w:szCs w:val="28"/>
          <w:highlight w:val="none"/>
          <w:lang w:val="en-US" w:eastAsia="uk-UA"/>
        </w:rPr>
      </w:pPr>
      <w:r>
        <w:rPr>
          <w:rFonts w:cs="Times New Roman"/>
          <w:szCs w:val="28"/>
          <w:highlight w:val="none"/>
          <w:lang w:val="en-US"/>
        </w:rPr>
        <w:t xml:space="preserve">161. </w:t>
      </w:r>
      <w:r>
        <w:rPr>
          <w:rFonts w:eastAsia="Times New Roman" w:cs="Times New Roman"/>
          <w:szCs w:val="28"/>
          <w:highlight w:val="none"/>
          <w:lang w:val="en-US" w:eastAsia="uk-UA"/>
        </w:rPr>
        <w:t xml:space="preserve">Daclatasvir vs telaprevir plus peginterferon alfa/ribavirin for hepatitis C virus genotype 1 / I. Jacobson et al. </w:t>
      </w:r>
      <w:r>
        <w:rPr>
          <w:rFonts w:eastAsia="Times New Roman" w:cs="Times New Roman"/>
          <w:i/>
          <w:iCs/>
          <w:szCs w:val="28"/>
          <w:highlight w:val="none"/>
          <w:lang w:val="en-US" w:eastAsia="uk-UA"/>
        </w:rPr>
        <w:t>World J. Gastroenterol</w:t>
      </w:r>
      <w:r>
        <w:rPr>
          <w:rFonts w:eastAsia="Times New Roman" w:cs="Times New Roman"/>
          <w:szCs w:val="28"/>
          <w:highlight w:val="none"/>
          <w:lang w:val="en-US" w:eastAsia="uk-UA"/>
        </w:rPr>
        <w:t>. 2016. Vol. 22 (12). P. 3418</w:t>
      </w:r>
      <w:r>
        <w:rPr>
          <w:rFonts w:cs="Times New Roman"/>
          <w:szCs w:val="28"/>
          <w:highlight w:val="none"/>
          <w:lang w:val="en-US"/>
        </w:rPr>
        <w:t>–</w:t>
      </w:r>
      <w:r>
        <w:rPr>
          <w:rFonts w:eastAsia="Times New Roman" w:cs="Times New Roman"/>
          <w:szCs w:val="28"/>
          <w:highlight w:val="none"/>
          <w:lang w:val="en-US" w:eastAsia="uk-UA"/>
        </w:rPr>
        <w:t>3431. doi: 10.3748/wjg.v22.i12.3418</w:t>
      </w:r>
    </w:p>
    <w:p w14:paraId="349C7077">
      <w:pPr>
        <w:tabs>
          <w:tab w:val="left" w:pos="1134"/>
        </w:tabs>
        <w:rPr>
          <w:rFonts w:eastAsia="Times New Roman" w:cs="Times New Roman"/>
          <w:szCs w:val="28"/>
          <w:highlight w:val="none"/>
          <w:lang w:val="en-US" w:eastAsia="uk-UA"/>
        </w:rPr>
      </w:pPr>
      <w:r>
        <w:rPr>
          <w:rFonts w:cs="Times New Roman"/>
          <w:szCs w:val="28"/>
          <w:highlight w:val="none"/>
          <w:lang w:val="en-US"/>
        </w:rPr>
        <w:t xml:space="preserve">162. </w:t>
      </w:r>
      <w:r>
        <w:rPr>
          <w:rFonts w:eastAsia="Times New Roman" w:cs="Times New Roman"/>
          <w:szCs w:val="28"/>
          <w:highlight w:val="none"/>
          <w:lang w:val="en-US" w:eastAsia="uk-UA"/>
        </w:rPr>
        <w:t xml:space="preserve">Pegylated interferon plus ribavirin for genotype Ib chronic hepatitis C in Japan / T. Kogure et al. </w:t>
      </w:r>
      <w:r>
        <w:rPr>
          <w:rFonts w:eastAsia="Times New Roman" w:cs="Times New Roman"/>
          <w:i/>
          <w:iCs/>
          <w:szCs w:val="28"/>
          <w:highlight w:val="none"/>
          <w:lang w:val="en-US" w:eastAsia="uk-UA"/>
        </w:rPr>
        <w:t>World J. Gastroenterol</w:t>
      </w:r>
      <w:r>
        <w:rPr>
          <w:rFonts w:eastAsia="Times New Roman" w:cs="Times New Roman"/>
          <w:szCs w:val="28"/>
          <w:highlight w:val="none"/>
          <w:lang w:val="en-US" w:eastAsia="uk-UA"/>
        </w:rPr>
        <w:t>. 2008. Vol. 14 (47). P. 7225</w:t>
      </w:r>
      <w:r>
        <w:rPr>
          <w:rFonts w:cs="Times New Roman"/>
          <w:szCs w:val="28"/>
          <w:highlight w:val="none"/>
          <w:lang w:val="en-US"/>
        </w:rPr>
        <w:t>–</w:t>
      </w:r>
      <w:r>
        <w:rPr>
          <w:rFonts w:eastAsia="Times New Roman" w:cs="Times New Roman"/>
          <w:szCs w:val="28"/>
          <w:highlight w:val="none"/>
          <w:lang w:val="en-US" w:eastAsia="uk-UA"/>
        </w:rPr>
        <w:t>7230. doi: 10.3748/wjg.14.7225</w:t>
      </w:r>
    </w:p>
    <w:p w14:paraId="0528EA84">
      <w:pPr>
        <w:tabs>
          <w:tab w:val="left" w:pos="1134"/>
        </w:tabs>
        <w:rPr>
          <w:rFonts w:eastAsia="Times New Roman" w:cs="Times New Roman"/>
          <w:szCs w:val="28"/>
          <w:highlight w:val="none"/>
          <w:lang w:val="en-US" w:eastAsia="uk-UA"/>
        </w:rPr>
      </w:pPr>
      <w:r>
        <w:rPr>
          <w:rFonts w:cs="Times New Roman"/>
          <w:szCs w:val="28"/>
          <w:highlight w:val="none"/>
          <w:lang w:val="en-US"/>
        </w:rPr>
        <w:t xml:space="preserve">163. </w:t>
      </w:r>
      <w:r>
        <w:rPr>
          <w:rFonts w:eastAsia="Times New Roman" w:cs="Times New Roman"/>
          <w:szCs w:val="28"/>
          <w:highlight w:val="none"/>
          <w:lang w:val="en-US" w:eastAsia="uk-UA"/>
        </w:rPr>
        <w:t xml:space="preserve">Interferon-λ-related genes and therapeutic response in Chinese hepatitis C patients / Y. Y. Zhang et al. </w:t>
      </w:r>
      <w:r>
        <w:rPr>
          <w:rFonts w:eastAsia="Times New Roman" w:cs="Times New Roman"/>
          <w:i/>
          <w:iCs/>
          <w:szCs w:val="28"/>
          <w:highlight w:val="none"/>
          <w:lang w:val="en-US" w:eastAsia="uk-UA"/>
        </w:rPr>
        <w:t>World J. Gastroenterol</w:t>
      </w:r>
      <w:r>
        <w:rPr>
          <w:rFonts w:eastAsia="Times New Roman" w:cs="Times New Roman"/>
          <w:szCs w:val="28"/>
          <w:highlight w:val="none"/>
          <w:lang w:val="en-US" w:eastAsia="uk-UA"/>
        </w:rPr>
        <w:t>. 2015. Vol. 21 (13). P. 4006–4013. doi: 10.3748/wjg.v21.i13.4006</w:t>
      </w:r>
    </w:p>
    <w:p w14:paraId="37C73CDB">
      <w:pPr>
        <w:widowControl w:val="0"/>
        <w:rPr>
          <w:rFonts w:cs="Times New Roman"/>
          <w:szCs w:val="28"/>
          <w:highlight w:val="none"/>
          <w:lang w:val="en-US"/>
        </w:rPr>
      </w:pPr>
      <w:r>
        <w:rPr>
          <w:rFonts w:cs="Times New Roman"/>
          <w:szCs w:val="28"/>
          <w:highlight w:val="none"/>
          <w:lang w:val="en-US"/>
        </w:rPr>
        <w:t xml:space="preserve">164. </w:t>
      </w:r>
      <w:r>
        <w:rPr>
          <w:rFonts w:eastAsia="Times New Roman" w:cs="Times New Roman"/>
          <w:szCs w:val="28"/>
          <w:highlight w:val="none"/>
          <w:lang w:val="en-US" w:eastAsia="uk-UA"/>
        </w:rPr>
        <w:t xml:space="preserve">Myxovirus resistance, osteopontin and suppressor of cytokine signaling 3 polymorphisms predict hepatitis C virus therapy response in an admixed patient population: Comparison with IL28B / A. L. Dias Angelo et al. </w:t>
      </w:r>
      <w:r>
        <w:rPr>
          <w:rFonts w:eastAsia="Times New Roman" w:cs="Times New Roman"/>
          <w:i/>
          <w:iCs/>
          <w:szCs w:val="28"/>
          <w:highlight w:val="none"/>
          <w:lang w:val="en-US" w:eastAsia="uk-UA"/>
        </w:rPr>
        <w:t>Clinics</w:t>
      </w:r>
      <w:r>
        <w:rPr>
          <w:rFonts w:eastAsia="Times New Roman" w:cs="Times New Roman"/>
          <w:szCs w:val="28"/>
          <w:highlight w:val="none"/>
          <w:lang w:val="en-US" w:eastAsia="uk-UA"/>
        </w:rPr>
        <w:t>. 2013. Vol. 68 (10). P. 1325–1332. doi: 10.6061/clinics/2013(10)06</w:t>
      </w:r>
    </w:p>
    <w:p w14:paraId="487BDD76">
      <w:pPr>
        <w:widowControl w:val="0"/>
        <w:rPr>
          <w:rFonts w:cs="Times New Roman"/>
          <w:szCs w:val="28"/>
          <w:highlight w:val="none"/>
          <w:lang w:val="en-US"/>
        </w:rPr>
      </w:pPr>
      <w:r>
        <w:rPr>
          <w:rFonts w:cs="Times New Roman"/>
          <w:szCs w:val="28"/>
          <w:highlight w:val="none"/>
          <w:lang w:val="en-US"/>
        </w:rPr>
        <w:t xml:space="preserve">165. </w:t>
      </w:r>
      <w:r>
        <w:rPr>
          <w:rStyle w:val="57"/>
          <w:rFonts w:cs="Times New Roman"/>
          <w:szCs w:val="28"/>
          <w:highlight w:val="none"/>
          <w:shd w:val="clear" w:color="auto" w:fill="FFFFFF"/>
          <w:lang w:val="en-US"/>
        </w:rPr>
        <w:t>Update on prevention, diagnosis, and treatment of chronic hepatitis B: AASLD 2018 hepatitis B guidance</w:t>
      </w:r>
      <w:r>
        <w:rPr>
          <w:rFonts w:cs="Times New Roman"/>
          <w:szCs w:val="28"/>
          <w:highlight w:val="none"/>
          <w:shd w:val="clear" w:color="auto" w:fill="FFFFFF"/>
          <w:lang w:val="en-US"/>
        </w:rPr>
        <w:t xml:space="preserve"> /</w:t>
      </w:r>
      <w:r>
        <w:rPr>
          <w:rStyle w:val="56"/>
          <w:rFonts w:cs="Times New Roman"/>
          <w:szCs w:val="28"/>
          <w:highlight w:val="none"/>
          <w:shd w:val="clear" w:color="auto" w:fill="FFFFFF"/>
          <w:lang w:val="en-US"/>
        </w:rPr>
        <w:t xml:space="preserve"> N. A. Terrault</w:t>
      </w:r>
      <w:r>
        <w:rPr>
          <w:rFonts w:cs="Times New Roman"/>
          <w:szCs w:val="28"/>
          <w:highlight w:val="none"/>
          <w:shd w:val="clear" w:color="auto" w:fill="FFFFFF"/>
          <w:lang w:val="en-US"/>
        </w:rPr>
        <w:t xml:space="preserve"> et al. </w:t>
      </w:r>
      <w:r>
        <w:rPr>
          <w:rFonts w:cs="Times New Roman"/>
          <w:i/>
          <w:iCs/>
          <w:szCs w:val="28"/>
          <w:highlight w:val="none"/>
          <w:shd w:val="clear" w:color="auto" w:fill="FFFFFF"/>
          <w:lang w:val="en-US"/>
        </w:rPr>
        <w:t>Hepatology</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2018</w:t>
      </w:r>
      <w:r>
        <w:rPr>
          <w:rFonts w:cs="Times New Roman"/>
          <w:szCs w:val="28"/>
          <w:highlight w:val="none"/>
          <w:shd w:val="clear" w:color="auto" w:fill="FFFFFF"/>
          <w:lang w:val="en-US"/>
        </w:rPr>
        <w:t xml:space="preserve">. Vol. </w:t>
      </w:r>
      <w:r>
        <w:rPr>
          <w:rStyle w:val="59"/>
          <w:rFonts w:cs="Times New Roman"/>
          <w:bCs/>
          <w:szCs w:val="28"/>
          <w:highlight w:val="none"/>
          <w:shd w:val="clear" w:color="auto" w:fill="FFFFFF"/>
          <w:lang w:val="en-US"/>
        </w:rPr>
        <w:t>67</w:t>
      </w:r>
      <w:r>
        <w:rPr>
          <w:rFonts w:cs="Times New Roman"/>
          <w:szCs w:val="28"/>
          <w:highlight w:val="none"/>
          <w:shd w:val="clear" w:color="auto" w:fill="FFFFFF"/>
          <w:lang w:val="en-US"/>
        </w:rPr>
        <w:t xml:space="preserve">. P. </w:t>
      </w:r>
      <w:r>
        <w:rPr>
          <w:rStyle w:val="60"/>
          <w:rFonts w:cs="Times New Roman"/>
          <w:szCs w:val="28"/>
          <w:highlight w:val="none"/>
          <w:shd w:val="clear" w:color="auto" w:fill="FFFFFF"/>
          <w:lang w:val="en-US"/>
        </w:rPr>
        <w:t>1560</w:t>
      </w:r>
      <w:r>
        <w:rPr>
          <w:rFonts w:eastAsia="Times New Roman" w:cs="Times New Roman"/>
          <w:szCs w:val="28"/>
          <w:highlight w:val="none"/>
          <w:lang w:val="en-US" w:eastAsia="uk-UA"/>
        </w:rPr>
        <w:t>–</w:t>
      </w:r>
      <w:r>
        <w:rPr>
          <w:rStyle w:val="61"/>
          <w:rFonts w:cs="Times New Roman"/>
          <w:szCs w:val="28"/>
          <w:highlight w:val="none"/>
          <w:shd w:val="clear" w:color="auto" w:fill="FFFFFF"/>
          <w:lang w:val="en-US"/>
        </w:rPr>
        <w:t>1599</w:t>
      </w:r>
      <w:r>
        <w:rPr>
          <w:rFonts w:cs="Times New Roman"/>
          <w:szCs w:val="28"/>
          <w:highlight w:val="none"/>
          <w:shd w:val="clear" w:color="auto" w:fill="FFFFFF"/>
          <w:lang w:val="en-US"/>
        </w:rPr>
        <w:t xml:space="preserve">. </w:t>
      </w:r>
      <w:r>
        <w:rPr>
          <w:rStyle w:val="53"/>
          <w:rFonts w:cs="Times New Roman"/>
          <w:szCs w:val="28"/>
          <w:highlight w:val="none"/>
          <w:lang w:val="en-US"/>
        </w:rPr>
        <w:t>doi: </w:t>
      </w:r>
      <w:r>
        <w:rPr>
          <w:highlight w:val="none"/>
        </w:rPr>
        <w:fldChar w:fldCharType="begin"/>
      </w:r>
      <w:r>
        <w:rPr>
          <w:highlight w:val="none"/>
        </w:rPr>
        <w:instrText xml:space="preserve"> HYPERLINK "https://doi.org/10.1002/hep.29800" \t "_blank" </w:instrText>
      </w:r>
      <w:r>
        <w:rPr>
          <w:highlight w:val="none"/>
        </w:rPr>
        <w:fldChar w:fldCharType="separate"/>
      </w:r>
      <w:r>
        <w:rPr>
          <w:rStyle w:val="53"/>
          <w:rFonts w:cs="Times New Roman"/>
          <w:szCs w:val="28"/>
          <w:highlight w:val="none"/>
          <w:lang w:val="en-US"/>
        </w:rPr>
        <w:t>10.1002/hep.29800</w:t>
      </w:r>
      <w:r>
        <w:rPr>
          <w:rStyle w:val="53"/>
          <w:rFonts w:cs="Times New Roman"/>
          <w:szCs w:val="28"/>
          <w:highlight w:val="none"/>
          <w:lang w:val="en-US"/>
        </w:rPr>
        <w:fldChar w:fldCharType="end"/>
      </w:r>
    </w:p>
    <w:p w14:paraId="231B1E14">
      <w:pPr>
        <w:widowControl w:val="0"/>
        <w:rPr>
          <w:rFonts w:cs="Times New Roman"/>
          <w:szCs w:val="28"/>
          <w:highlight w:val="none"/>
          <w:lang w:val="en-US"/>
        </w:rPr>
      </w:pPr>
      <w:r>
        <w:rPr>
          <w:rFonts w:cs="Times New Roman"/>
          <w:szCs w:val="28"/>
          <w:highlight w:val="none"/>
          <w:lang w:val="en-US"/>
        </w:rPr>
        <w:t xml:space="preserve">166. </w:t>
      </w:r>
      <w:r>
        <w:rPr>
          <w:rStyle w:val="66"/>
          <w:rFonts w:cs="Times New Roman"/>
          <w:szCs w:val="28"/>
          <w:highlight w:val="none"/>
          <w:shd w:val="clear" w:color="auto" w:fill="FFFFFF"/>
          <w:lang w:val="en-US"/>
        </w:rPr>
        <w:t>European Association for the Study of the Liver</w:t>
      </w:r>
      <w:r>
        <w:rPr>
          <w:rFonts w:cs="Times New Roman"/>
          <w:szCs w:val="28"/>
          <w:highlight w:val="none"/>
          <w:shd w:val="clear" w:color="auto" w:fill="FFFFFF"/>
          <w:lang w:val="en-US"/>
        </w:rPr>
        <w:t>. </w:t>
      </w:r>
      <w:r>
        <w:rPr>
          <w:rStyle w:val="57"/>
          <w:rFonts w:cs="Times New Roman"/>
          <w:szCs w:val="28"/>
          <w:highlight w:val="none"/>
          <w:shd w:val="clear" w:color="auto" w:fill="FFFFFF"/>
          <w:lang w:val="en-US"/>
        </w:rPr>
        <w:t>EASL 2017 Clinical Practice Guidelines on the management of hepatitis B virus infection</w:t>
      </w:r>
      <w:r>
        <w:rPr>
          <w:rFonts w:cs="Times New Roman"/>
          <w:szCs w:val="28"/>
          <w:highlight w:val="none"/>
          <w:shd w:val="clear" w:color="auto" w:fill="FFFFFF"/>
          <w:lang w:val="en-US"/>
        </w:rPr>
        <w:t>. </w:t>
      </w:r>
      <w:r>
        <w:rPr>
          <w:rFonts w:cs="Times New Roman"/>
          <w:i/>
          <w:iCs/>
          <w:szCs w:val="28"/>
          <w:highlight w:val="none"/>
          <w:shd w:val="clear" w:color="auto" w:fill="FFFFFF"/>
          <w:lang w:val="en-US"/>
        </w:rPr>
        <w:t>J. Hepatol</w:t>
      </w:r>
      <w:r>
        <w:rPr>
          <w:rFonts w:cs="Times New Roman"/>
          <w:iCs/>
          <w:szCs w:val="28"/>
          <w:highlight w:val="none"/>
          <w:shd w:val="clear" w:color="auto" w:fill="FFFFFF"/>
          <w:lang w:val="en-US"/>
        </w:rPr>
        <w:t>.</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2017</w:t>
      </w:r>
      <w:r>
        <w:rPr>
          <w:rFonts w:cs="Times New Roman"/>
          <w:szCs w:val="28"/>
          <w:highlight w:val="none"/>
          <w:shd w:val="clear" w:color="auto" w:fill="FFFFFF"/>
          <w:lang w:val="en-US"/>
        </w:rPr>
        <w:t xml:space="preserve">. Vol. </w:t>
      </w:r>
      <w:r>
        <w:rPr>
          <w:rStyle w:val="59"/>
          <w:rFonts w:cs="Times New Roman"/>
          <w:bCs/>
          <w:szCs w:val="28"/>
          <w:highlight w:val="none"/>
          <w:shd w:val="clear" w:color="auto" w:fill="FFFFFF"/>
          <w:lang w:val="en-US"/>
        </w:rPr>
        <w:t>67</w:t>
      </w:r>
      <w:r>
        <w:rPr>
          <w:rFonts w:cs="Times New Roman"/>
          <w:szCs w:val="28"/>
          <w:highlight w:val="none"/>
          <w:shd w:val="clear" w:color="auto" w:fill="FFFFFF"/>
          <w:lang w:val="en-US"/>
        </w:rPr>
        <w:t xml:space="preserve">. P. </w:t>
      </w:r>
      <w:r>
        <w:rPr>
          <w:rStyle w:val="60"/>
          <w:rFonts w:cs="Times New Roman"/>
          <w:szCs w:val="28"/>
          <w:highlight w:val="none"/>
          <w:shd w:val="clear" w:color="auto" w:fill="FFFFFF"/>
          <w:lang w:val="en-US"/>
        </w:rPr>
        <w:t>370</w:t>
      </w:r>
      <w:r>
        <w:rPr>
          <w:rFonts w:eastAsia="Times New Roman" w:cs="Times New Roman"/>
          <w:szCs w:val="28"/>
          <w:highlight w:val="none"/>
          <w:lang w:val="en-US" w:eastAsia="uk-UA"/>
        </w:rPr>
        <w:t>–</w:t>
      </w:r>
      <w:r>
        <w:rPr>
          <w:rStyle w:val="61"/>
          <w:rFonts w:cs="Times New Roman"/>
          <w:szCs w:val="28"/>
          <w:highlight w:val="none"/>
          <w:shd w:val="clear" w:color="auto" w:fill="FFFFFF"/>
          <w:lang w:val="en-US"/>
        </w:rPr>
        <w:t>398</w:t>
      </w:r>
      <w:r>
        <w:rPr>
          <w:rFonts w:cs="Times New Roman"/>
          <w:szCs w:val="28"/>
          <w:highlight w:val="none"/>
          <w:shd w:val="clear" w:color="auto" w:fill="FFFFFF"/>
          <w:lang w:val="en-US"/>
        </w:rPr>
        <w:t xml:space="preserve">. </w:t>
      </w:r>
      <w:r>
        <w:rPr>
          <w:rStyle w:val="53"/>
          <w:rFonts w:cs="Times New Roman"/>
          <w:szCs w:val="28"/>
          <w:highlight w:val="none"/>
          <w:lang w:val="en-US"/>
        </w:rPr>
        <w:t>doi: </w:t>
      </w:r>
      <w:r>
        <w:rPr>
          <w:highlight w:val="none"/>
        </w:rPr>
        <w:fldChar w:fldCharType="begin"/>
      </w:r>
      <w:r>
        <w:rPr>
          <w:highlight w:val="none"/>
        </w:rPr>
        <w:instrText xml:space="preserve"> HYPERLINK "https://doi.org/10.1016/j.jhep.2017.03.021" \t "_blank" </w:instrText>
      </w:r>
      <w:r>
        <w:rPr>
          <w:highlight w:val="none"/>
        </w:rPr>
        <w:fldChar w:fldCharType="separate"/>
      </w:r>
      <w:r>
        <w:rPr>
          <w:rStyle w:val="53"/>
          <w:rFonts w:cs="Times New Roman"/>
          <w:szCs w:val="28"/>
          <w:highlight w:val="none"/>
          <w:lang w:val="en-US"/>
        </w:rPr>
        <w:t>10.1016/j.jhep.2017.03.021</w:t>
      </w:r>
      <w:r>
        <w:rPr>
          <w:rStyle w:val="53"/>
          <w:rFonts w:cs="Times New Roman"/>
          <w:szCs w:val="28"/>
          <w:highlight w:val="none"/>
          <w:lang w:val="en-US"/>
        </w:rPr>
        <w:fldChar w:fldCharType="end"/>
      </w:r>
    </w:p>
    <w:p w14:paraId="31E077F5">
      <w:pPr>
        <w:widowControl w:val="0"/>
        <w:rPr>
          <w:rFonts w:cs="Times New Roman"/>
          <w:szCs w:val="28"/>
          <w:highlight w:val="none"/>
          <w:lang w:val="en-US"/>
        </w:rPr>
      </w:pPr>
      <w:r>
        <w:rPr>
          <w:rFonts w:cs="Times New Roman"/>
          <w:szCs w:val="28"/>
          <w:highlight w:val="none"/>
          <w:lang w:val="en-US"/>
        </w:rPr>
        <w:t xml:space="preserve">167. </w:t>
      </w:r>
      <w:r>
        <w:rPr>
          <w:rStyle w:val="57"/>
          <w:rFonts w:cs="Times New Roman"/>
          <w:szCs w:val="28"/>
          <w:highlight w:val="none"/>
          <w:shd w:val="clear" w:color="auto" w:fill="FFFFFF"/>
          <w:lang w:val="en-US"/>
        </w:rPr>
        <w:t>96 weeks treatment of tenofovir alafenamide vs. tenofovir disoproxil fumarate for hepatitis B virus infection</w:t>
      </w:r>
      <w:r>
        <w:rPr>
          <w:rFonts w:cs="Times New Roman"/>
          <w:szCs w:val="28"/>
          <w:highlight w:val="none"/>
          <w:shd w:val="clear" w:color="auto" w:fill="FFFFFF"/>
          <w:lang w:val="en-US"/>
        </w:rPr>
        <w:t xml:space="preserve"> /</w:t>
      </w:r>
      <w:r>
        <w:rPr>
          <w:rStyle w:val="56"/>
          <w:rFonts w:cs="Times New Roman"/>
          <w:szCs w:val="28"/>
          <w:highlight w:val="none"/>
          <w:shd w:val="clear" w:color="auto" w:fill="FFFFFF"/>
          <w:lang w:val="en-US"/>
        </w:rPr>
        <w:t xml:space="preserve"> K. Agarwal</w:t>
      </w:r>
      <w:r>
        <w:rPr>
          <w:rFonts w:cs="Times New Roman"/>
          <w:szCs w:val="28"/>
          <w:highlight w:val="none"/>
          <w:shd w:val="clear" w:color="auto" w:fill="FFFFFF"/>
          <w:lang w:val="en-US"/>
        </w:rPr>
        <w:t xml:space="preserve"> et al. </w:t>
      </w:r>
      <w:r>
        <w:rPr>
          <w:rFonts w:cs="Times New Roman"/>
          <w:i/>
          <w:iCs/>
          <w:szCs w:val="28"/>
          <w:highlight w:val="none"/>
          <w:shd w:val="clear" w:color="auto" w:fill="FFFFFF"/>
          <w:lang w:val="en-US"/>
        </w:rPr>
        <w:t>J. Hepatol.</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2018</w:t>
      </w:r>
      <w:r>
        <w:rPr>
          <w:rFonts w:cs="Times New Roman"/>
          <w:szCs w:val="28"/>
          <w:highlight w:val="none"/>
          <w:shd w:val="clear" w:color="auto" w:fill="FFFFFF"/>
          <w:lang w:val="en-US"/>
        </w:rPr>
        <w:t xml:space="preserve">. Vol. </w:t>
      </w:r>
      <w:r>
        <w:rPr>
          <w:rStyle w:val="59"/>
          <w:rFonts w:cs="Times New Roman"/>
          <w:bCs/>
          <w:szCs w:val="28"/>
          <w:highlight w:val="none"/>
          <w:shd w:val="clear" w:color="auto" w:fill="FFFFFF"/>
          <w:lang w:val="en-US"/>
        </w:rPr>
        <w:t>68</w:t>
      </w:r>
      <w:r>
        <w:rPr>
          <w:rFonts w:cs="Times New Roman"/>
          <w:szCs w:val="28"/>
          <w:highlight w:val="none"/>
          <w:shd w:val="clear" w:color="auto" w:fill="FFFFFF"/>
          <w:lang w:val="en-US"/>
        </w:rPr>
        <w:t xml:space="preserve">. P. </w:t>
      </w:r>
      <w:r>
        <w:rPr>
          <w:rStyle w:val="60"/>
          <w:rFonts w:cs="Times New Roman"/>
          <w:szCs w:val="28"/>
          <w:highlight w:val="none"/>
          <w:shd w:val="clear" w:color="auto" w:fill="FFFFFF"/>
          <w:lang w:val="en-US"/>
        </w:rPr>
        <w:t>672</w:t>
      </w:r>
      <w:r>
        <w:rPr>
          <w:rFonts w:eastAsia="Times New Roman" w:cs="Times New Roman"/>
          <w:szCs w:val="28"/>
          <w:highlight w:val="none"/>
          <w:lang w:val="en-US" w:eastAsia="uk-UA"/>
        </w:rPr>
        <w:t>–</w:t>
      </w:r>
      <w:r>
        <w:rPr>
          <w:rStyle w:val="61"/>
          <w:rFonts w:cs="Times New Roman"/>
          <w:szCs w:val="28"/>
          <w:highlight w:val="none"/>
          <w:shd w:val="clear" w:color="auto" w:fill="FFFFFF"/>
          <w:lang w:val="en-US"/>
        </w:rPr>
        <w:t>681</w:t>
      </w:r>
      <w:r>
        <w:rPr>
          <w:rFonts w:cs="Times New Roman"/>
          <w:szCs w:val="28"/>
          <w:highlight w:val="none"/>
          <w:shd w:val="clear" w:color="auto" w:fill="FFFFFF"/>
          <w:lang w:val="en-US"/>
        </w:rPr>
        <w:t xml:space="preserve">. </w:t>
      </w:r>
      <w:r>
        <w:rPr>
          <w:rStyle w:val="53"/>
          <w:rFonts w:cs="Times New Roman"/>
          <w:szCs w:val="28"/>
          <w:highlight w:val="none"/>
          <w:lang w:val="en-US"/>
        </w:rPr>
        <w:t>doi: </w:t>
      </w:r>
      <w:r>
        <w:rPr>
          <w:highlight w:val="none"/>
        </w:rPr>
        <w:fldChar w:fldCharType="begin"/>
      </w:r>
      <w:r>
        <w:rPr>
          <w:highlight w:val="none"/>
        </w:rPr>
        <w:instrText xml:space="preserve"> HYPERLINK "https://doi.org/10.1016/j.jhep.2017.11.039" \t "_blank" </w:instrText>
      </w:r>
      <w:r>
        <w:rPr>
          <w:highlight w:val="none"/>
        </w:rPr>
        <w:fldChar w:fldCharType="separate"/>
      </w:r>
      <w:r>
        <w:rPr>
          <w:rStyle w:val="11"/>
          <w:rFonts w:cs="Times New Roman"/>
          <w:color w:val="auto"/>
          <w:szCs w:val="28"/>
          <w:highlight w:val="none"/>
          <w:u w:val="none"/>
          <w:lang w:val="en-US"/>
        </w:rPr>
        <w:t>10.1016/j.jhep.2017.11.039</w:t>
      </w:r>
      <w:r>
        <w:rPr>
          <w:rStyle w:val="11"/>
          <w:rFonts w:cs="Times New Roman"/>
          <w:color w:val="auto"/>
          <w:szCs w:val="28"/>
          <w:highlight w:val="none"/>
          <w:u w:val="none"/>
          <w:lang w:val="en-US"/>
        </w:rPr>
        <w:fldChar w:fldCharType="end"/>
      </w:r>
    </w:p>
    <w:p w14:paraId="62FE5952">
      <w:pPr>
        <w:widowControl w:val="0"/>
        <w:rPr>
          <w:rFonts w:cs="Times New Roman"/>
          <w:szCs w:val="28"/>
          <w:highlight w:val="none"/>
          <w:lang w:val="en-US"/>
        </w:rPr>
      </w:pPr>
      <w:r>
        <w:rPr>
          <w:rFonts w:cs="Times New Roman"/>
          <w:szCs w:val="28"/>
          <w:highlight w:val="none"/>
          <w:lang w:val="en-US"/>
        </w:rPr>
        <w:t xml:space="preserve">168. </w:t>
      </w:r>
      <w:r>
        <w:rPr>
          <w:rStyle w:val="88"/>
          <w:rFonts w:cs="Times New Roman"/>
          <w:szCs w:val="28"/>
          <w:highlight w:val="none"/>
          <w:lang w:val="en-US"/>
        </w:rPr>
        <w:t>Direct-acting antiviral sustained virologic response: impact on mortality in patients without advanced liver disease</w:t>
      </w:r>
      <w:r>
        <w:rPr>
          <w:rStyle w:val="13"/>
          <w:rFonts w:cs="Times New Roman"/>
          <w:szCs w:val="28"/>
          <w:highlight w:val="none"/>
          <w:lang w:val="en-US"/>
        </w:rPr>
        <w:t xml:space="preserve"> / </w:t>
      </w:r>
      <w:r>
        <w:rPr>
          <w:rStyle w:val="86"/>
          <w:rFonts w:cs="Times New Roman"/>
          <w:szCs w:val="28"/>
          <w:highlight w:val="none"/>
          <w:lang w:val="en-US"/>
        </w:rPr>
        <w:t>L. I.</w:t>
      </w:r>
      <w:r>
        <w:rPr>
          <w:rStyle w:val="85"/>
          <w:rFonts w:cs="Times New Roman"/>
          <w:szCs w:val="28"/>
          <w:highlight w:val="none"/>
          <w:lang w:val="en-US"/>
        </w:rPr>
        <w:t xml:space="preserve"> Backus</w:t>
      </w:r>
      <w:r>
        <w:rPr>
          <w:rStyle w:val="87"/>
          <w:rFonts w:cs="Times New Roman"/>
          <w:szCs w:val="28"/>
          <w:highlight w:val="none"/>
          <w:lang w:val="en-US"/>
        </w:rPr>
        <w:t xml:space="preserve"> et al</w:t>
      </w:r>
      <w:r>
        <w:rPr>
          <w:rStyle w:val="13"/>
          <w:rFonts w:cs="Times New Roman"/>
          <w:szCs w:val="28"/>
          <w:highlight w:val="none"/>
          <w:lang w:val="en-US"/>
        </w:rPr>
        <w:t>. Hepatology. </w:t>
      </w:r>
      <w:r>
        <w:rPr>
          <w:rStyle w:val="89"/>
          <w:rFonts w:cs="Times New Roman"/>
          <w:szCs w:val="28"/>
          <w:highlight w:val="none"/>
          <w:lang w:val="en-US"/>
        </w:rPr>
        <w:t>2018.</w:t>
      </w:r>
      <w:r>
        <w:rPr>
          <w:rStyle w:val="91"/>
          <w:rFonts w:cs="Times New Roman"/>
          <w:szCs w:val="28"/>
          <w:highlight w:val="none"/>
          <w:lang w:val="en-US"/>
        </w:rPr>
        <w:t xml:space="preserve"> doi: </w:t>
      </w:r>
      <w:r>
        <w:rPr>
          <w:rStyle w:val="92"/>
          <w:rFonts w:cs="Times New Roman"/>
          <w:szCs w:val="28"/>
          <w:highlight w:val="none"/>
          <w:lang w:val="en-US"/>
        </w:rPr>
        <w:t>10.1002/hep.29811</w:t>
      </w:r>
    </w:p>
    <w:p w14:paraId="35F4E889">
      <w:pPr>
        <w:widowControl w:val="0"/>
        <w:rPr>
          <w:rFonts w:cs="Times New Roman"/>
          <w:szCs w:val="28"/>
          <w:highlight w:val="none"/>
          <w:lang w:val="en-US"/>
        </w:rPr>
      </w:pPr>
      <w:r>
        <w:rPr>
          <w:rFonts w:cs="Times New Roman"/>
          <w:szCs w:val="28"/>
          <w:highlight w:val="none"/>
          <w:lang w:val="en-US"/>
        </w:rPr>
        <w:t xml:space="preserve">169. </w:t>
      </w:r>
      <w:r>
        <w:rPr>
          <w:rStyle w:val="57"/>
          <w:rFonts w:cs="Times New Roman"/>
          <w:szCs w:val="28"/>
          <w:highlight w:val="none"/>
          <w:shd w:val="clear" w:color="auto" w:fill="FFFFFF"/>
          <w:lang w:val="en-US"/>
        </w:rPr>
        <w:t>A review on hepatitis D: from virology to new therapies</w:t>
      </w:r>
      <w:r>
        <w:rPr>
          <w:rFonts w:cs="Times New Roman"/>
          <w:szCs w:val="28"/>
          <w:highlight w:val="none"/>
          <w:shd w:val="clear" w:color="auto" w:fill="FFFFFF"/>
          <w:lang w:val="en-US"/>
        </w:rPr>
        <w:t xml:space="preserve"> /</w:t>
      </w:r>
      <w:r>
        <w:rPr>
          <w:rStyle w:val="56"/>
          <w:rFonts w:cs="Times New Roman"/>
          <w:szCs w:val="28"/>
          <w:highlight w:val="none"/>
          <w:shd w:val="clear" w:color="auto" w:fill="FFFFFF"/>
          <w:lang w:val="en-US"/>
        </w:rPr>
        <w:t xml:space="preserve"> N. Mentha</w:t>
      </w:r>
      <w:r>
        <w:rPr>
          <w:rFonts w:cs="Times New Roman"/>
          <w:szCs w:val="28"/>
          <w:highlight w:val="none"/>
          <w:shd w:val="clear" w:color="auto" w:fill="FFFFFF"/>
          <w:lang w:val="en-US"/>
        </w:rPr>
        <w:t>,</w:t>
      </w:r>
      <w:r>
        <w:rPr>
          <w:rStyle w:val="56"/>
          <w:rFonts w:cs="Times New Roman"/>
          <w:szCs w:val="28"/>
          <w:highlight w:val="none"/>
          <w:shd w:val="clear" w:color="auto" w:fill="FFFFFF"/>
          <w:lang w:val="en-US"/>
        </w:rPr>
        <w:t xml:space="preserve"> S. Clement</w:t>
      </w:r>
      <w:r>
        <w:rPr>
          <w:rFonts w:cs="Times New Roman"/>
          <w:szCs w:val="28"/>
          <w:highlight w:val="none"/>
          <w:shd w:val="clear" w:color="auto" w:fill="FFFFFF"/>
          <w:lang w:val="en-US"/>
        </w:rPr>
        <w:t>,</w:t>
      </w:r>
      <w:r>
        <w:rPr>
          <w:rStyle w:val="56"/>
          <w:rFonts w:cs="Times New Roman"/>
          <w:szCs w:val="28"/>
          <w:highlight w:val="none"/>
          <w:shd w:val="clear" w:color="auto" w:fill="FFFFFF"/>
          <w:lang w:val="en-US"/>
        </w:rPr>
        <w:t xml:space="preserve"> F. Negro</w:t>
      </w:r>
      <w:r>
        <w:rPr>
          <w:rFonts w:cs="Times New Roman"/>
          <w:szCs w:val="28"/>
          <w:highlight w:val="none"/>
          <w:shd w:val="clear" w:color="auto" w:fill="FFFFFF"/>
          <w:lang w:val="en-US"/>
        </w:rPr>
        <w:t>, </w:t>
      </w:r>
      <w:r>
        <w:rPr>
          <w:rStyle w:val="56"/>
          <w:rFonts w:cs="Times New Roman"/>
          <w:szCs w:val="28"/>
          <w:highlight w:val="none"/>
          <w:shd w:val="clear" w:color="auto" w:fill="FFFFFF"/>
          <w:lang w:val="en-US"/>
        </w:rPr>
        <w:t>D</w:t>
      </w:r>
      <w:r>
        <w:rPr>
          <w:rFonts w:cs="Times New Roman"/>
          <w:szCs w:val="28"/>
          <w:highlight w:val="none"/>
          <w:shd w:val="clear" w:color="auto" w:fill="FFFFFF"/>
          <w:lang w:val="en-US"/>
        </w:rPr>
        <w:t>. </w:t>
      </w:r>
      <w:r>
        <w:rPr>
          <w:rStyle w:val="56"/>
          <w:rFonts w:cs="Times New Roman"/>
          <w:szCs w:val="28"/>
          <w:highlight w:val="none"/>
          <w:shd w:val="clear" w:color="auto" w:fill="FFFFFF"/>
          <w:lang w:val="en-US"/>
        </w:rPr>
        <w:t xml:space="preserve">Alfaiate. </w:t>
      </w:r>
      <w:r>
        <w:rPr>
          <w:rFonts w:cs="Times New Roman"/>
          <w:i/>
          <w:iCs/>
          <w:szCs w:val="28"/>
          <w:highlight w:val="none"/>
          <w:shd w:val="clear" w:color="auto" w:fill="FFFFFF"/>
          <w:lang w:val="en-US"/>
        </w:rPr>
        <w:t>J. Adv Res.</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2019</w:t>
      </w:r>
      <w:r>
        <w:rPr>
          <w:rFonts w:cs="Times New Roman"/>
          <w:szCs w:val="28"/>
          <w:highlight w:val="none"/>
          <w:shd w:val="clear" w:color="auto" w:fill="FFFFFF"/>
          <w:lang w:val="en-US"/>
        </w:rPr>
        <w:t xml:space="preserve">. Vol. </w:t>
      </w:r>
      <w:r>
        <w:rPr>
          <w:rStyle w:val="59"/>
          <w:rFonts w:cs="Times New Roman"/>
          <w:bCs/>
          <w:szCs w:val="28"/>
          <w:highlight w:val="none"/>
          <w:shd w:val="clear" w:color="auto" w:fill="FFFFFF"/>
          <w:lang w:val="en-US"/>
        </w:rPr>
        <w:t>17</w:t>
      </w:r>
      <w:r>
        <w:rPr>
          <w:rFonts w:cs="Times New Roman"/>
          <w:szCs w:val="28"/>
          <w:highlight w:val="none"/>
          <w:shd w:val="clear" w:color="auto" w:fill="FFFFFF"/>
          <w:lang w:val="en-US"/>
        </w:rPr>
        <w:t xml:space="preserve">. P. </w:t>
      </w:r>
      <w:r>
        <w:rPr>
          <w:rStyle w:val="60"/>
          <w:rFonts w:cs="Times New Roman"/>
          <w:szCs w:val="28"/>
          <w:highlight w:val="none"/>
          <w:shd w:val="clear" w:color="auto" w:fill="FFFFFF"/>
          <w:lang w:val="en-US"/>
        </w:rPr>
        <w:t>3</w:t>
      </w:r>
      <w:r>
        <w:rPr>
          <w:rFonts w:eastAsia="Times New Roman" w:cs="Times New Roman"/>
          <w:szCs w:val="28"/>
          <w:highlight w:val="none"/>
          <w:lang w:val="en-US" w:eastAsia="uk-UA"/>
        </w:rPr>
        <w:t>–</w:t>
      </w:r>
      <w:r>
        <w:rPr>
          <w:rStyle w:val="61"/>
          <w:rFonts w:cs="Times New Roman"/>
          <w:szCs w:val="28"/>
          <w:highlight w:val="none"/>
          <w:shd w:val="clear" w:color="auto" w:fill="FFFFFF"/>
          <w:lang w:val="en-US"/>
        </w:rPr>
        <w:t>15</w:t>
      </w:r>
      <w:r>
        <w:rPr>
          <w:rFonts w:cs="Times New Roman"/>
          <w:szCs w:val="28"/>
          <w:highlight w:val="none"/>
          <w:shd w:val="clear" w:color="auto" w:fill="FFFFFF"/>
          <w:lang w:val="en-US"/>
        </w:rPr>
        <w:t xml:space="preserve">. </w:t>
      </w:r>
      <w:r>
        <w:rPr>
          <w:rStyle w:val="53"/>
          <w:rFonts w:cs="Times New Roman"/>
          <w:szCs w:val="28"/>
          <w:highlight w:val="none"/>
          <w:lang w:val="en-US"/>
        </w:rPr>
        <w:t>doi: </w:t>
      </w:r>
      <w:r>
        <w:rPr>
          <w:highlight w:val="none"/>
        </w:rPr>
        <w:fldChar w:fldCharType="begin"/>
      </w:r>
      <w:r>
        <w:rPr>
          <w:highlight w:val="none"/>
        </w:rPr>
        <w:instrText xml:space="preserve"> HYPERLINK "https://doi.org/10.1016/j.jare.2019.03.009" \t "_blank" </w:instrText>
      </w:r>
      <w:r>
        <w:rPr>
          <w:highlight w:val="none"/>
        </w:rPr>
        <w:fldChar w:fldCharType="separate"/>
      </w:r>
      <w:r>
        <w:rPr>
          <w:rStyle w:val="53"/>
          <w:rFonts w:cs="Times New Roman"/>
          <w:szCs w:val="28"/>
          <w:highlight w:val="none"/>
          <w:lang w:val="en-US"/>
        </w:rPr>
        <w:t>10.1016/j.jare.2019.03.009</w:t>
      </w:r>
      <w:r>
        <w:rPr>
          <w:rStyle w:val="53"/>
          <w:rFonts w:cs="Times New Roman"/>
          <w:szCs w:val="28"/>
          <w:highlight w:val="none"/>
          <w:lang w:val="en-US"/>
        </w:rPr>
        <w:fldChar w:fldCharType="end"/>
      </w:r>
    </w:p>
    <w:p w14:paraId="3389B361">
      <w:pPr>
        <w:widowControl w:val="0"/>
        <w:rPr>
          <w:rFonts w:cs="Times New Roman"/>
          <w:szCs w:val="28"/>
          <w:highlight w:val="none"/>
          <w:lang w:val="en-US"/>
        </w:rPr>
      </w:pPr>
      <w:r>
        <w:rPr>
          <w:rFonts w:cs="Times New Roman"/>
          <w:szCs w:val="28"/>
          <w:highlight w:val="none"/>
          <w:lang w:val="en-US"/>
        </w:rPr>
        <w:t xml:space="preserve">170. </w:t>
      </w:r>
      <w:r>
        <w:rPr>
          <w:rStyle w:val="57"/>
          <w:rFonts w:cs="Times New Roman"/>
          <w:szCs w:val="28"/>
          <w:highlight w:val="none"/>
          <w:shd w:val="clear" w:color="auto" w:fill="FFFFFF"/>
          <w:lang w:val="en-US"/>
        </w:rPr>
        <w:t>Optimizing lonafarnib treatment for the management of chronic delta hepatitis: the LOWR HDV-1 study</w:t>
      </w:r>
      <w:r>
        <w:rPr>
          <w:rFonts w:cs="Times New Roman"/>
          <w:szCs w:val="28"/>
          <w:highlight w:val="none"/>
          <w:shd w:val="clear" w:color="auto" w:fill="FFFFFF"/>
          <w:lang w:val="en-US"/>
        </w:rPr>
        <w:t xml:space="preserve"> /</w:t>
      </w:r>
      <w:r>
        <w:rPr>
          <w:rStyle w:val="56"/>
          <w:rFonts w:cs="Times New Roman"/>
          <w:szCs w:val="28"/>
          <w:highlight w:val="none"/>
          <w:shd w:val="clear" w:color="auto" w:fill="FFFFFF"/>
          <w:lang w:val="en-US"/>
        </w:rPr>
        <w:t xml:space="preserve"> C. Yurdaydin</w:t>
      </w:r>
      <w:r>
        <w:rPr>
          <w:rFonts w:cs="Times New Roman"/>
          <w:szCs w:val="28"/>
          <w:highlight w:val="none"/>
          <w:shd w:val="clear" w:color="auto" w:fill="FFFFFF"/>
          <w:lang w:val="en-US"/>
        </w:rPr>
        <w:t xml:space="preserve"> et al. </w:t>
      </w:r>
      <w:r>
        <w:rPr>
          <w:rFonts w:cs="Times New Roman"/>
          <w:i/>
          <w:iCs/>
          <w:szCs w:val="28"/>
          <w:highlight w:val="none"/>
          <w:shd w:val="clear" w:color="auto" w:fill="FFFFFF"/>
          <w:lang w:val="en-US"/>
        </w:rPr>
        <w:t>Hepatology</w:t>
      </w:r>
      <w:r>
        <w:rPr>
          <w:rFonts w:cs="Times New Roman"/>
          <w:iCs/>
          <w:szCs w:val="28"/>
          <w:highlight w:val="none"/>
          <w:shd w:val="clear" w:color="auto" w:fill="FFFFFF"/>
          <w:lang w:val="en-US"/>
        </w:rPr>
        <w:t>.</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2018</w:t>
      </w:r>
      <w:r>
        <w:rPr>
          <w:rFonts w:cs="Times New Roman"/>
          <w:szCs w:val="28"/>
          <w:highlight w:val="none"/>
          <w:shd w:val="clear" w:color="auto" w:fill="FFFFFF"/>
          <w:lang w:val="en-US"/>
        </w:rPr>
        <w:t xml:space="preserve">. Vol. </w:t>
      </w:r>
      <w:r>
        <w:rPr>
          <w:rStyle w:val="59"/>
          <w:rFonts w:cs="Times New Roman"/>
          <w:bCs/>
          <w:szCs w:val="28"/>
          <w:highlight w:val="none"/>
          <w:shd w:val="clear" w:color="auto" w:fill="FFFFFF"/>
          <w:lang w:val="en-US"/>
        </w:rPr>
        <w:t>67</w:t>
      </w:r>
      <w:r>
        <w:rPr>
          <w:rFonts w:cs="Times New Roman"/>
          <w:szCs w:val="28"/>
          <w:highlight w:val="none"/>
          <w:shd w:val="clear" w:color="auto" w:fill="FFFFFF"/>
          <w:lang w:val="en-US"/>
        </w:rPr>
        <w:t xml:space="preserve">. P. </w:t>
      </w:r>
      <w:r>
        <w:rPr>
          <w:rStyle w:val="60"/>
          <w:rFonts w:cs="Times New Roman"/>
          <w:szCs w:val="28"/>
          <w:highlight w:val="none"/>
          <w:shd w:val="clear" w:color="auto" w:fill="FFFFFF"/>
          <w:lang w:val="en-US"/>
        </w:rPr>
        <w:t>1224</w:t>
      </w:r>
      <w:r>
        <w:rPr>
          <w:rFonts w:eastAsia="Times New Roman" w:cs="Times New Roman"/>
          <w:szCs w:val="28"/>
          <w:highlight w:val="none"/>
          <w:lang w:val="en-US" w:eastAsia="uk-UA"/>
        </w:rPr>
        <w:t>–</w:t>
      </w:r>
      <w:r>
        <w:rPr>
          <w:rStyle w:val="61"/>
          <w:rFonts w:cs="Times New Roman"/>
          <w:szCs w:val="28"/>
          <w:highlight w:val="none"/>
          <w:shd w:val="clear" w:color="auto" w:fill="FFFFFF"/>
          <w:lang w:val="en-US"/>
        </w:rPr>
        <w:t>1236</w:t>
      </w:r>
      <w:r>
        <w:rPr>
          <w:rFonts w:cs="Times New Roman"/>
          <w:szCs w:val="28"/>
          <w:highlight w:val="none"/>
          <w:shd w:val="clear" w:color="auto" w:fill="FFFFFF"/>
          <w:lang w:val="en-US"/>
        </w:rPr>
        <w:t xml:space="preserve">. </w:t>
      </w:r>
      <w:r>
        <w:rPr>
          <w:rStyle w:val="53"/>
          <w:rFonts w:cs="Times New Roman"/>
          <w:szCs w:val="28"/>
          <w:highlight w:val="none"/>
          <w:lang w:val="en-US"/>
        </w:rPr>
        <w:t>doi: </w:t>
      </w:r>
      <w:r>
        <w:rPr>
          <w:highlight w:val="none"/>
        </w:rPr>
        <w:fldChar w:fldCharType="begin"/>
      </w:r>
      <w:r>
        <w:rPr>
          <w:highlight w:val="none"/>
        </w:rPr>
        <w:instrText xml:space="preserve"> HYPERLINK "https://doi.org/10.1002/hep.29658" \t "_blank" </w:instrText>
      </w:r>
      <w:r>
        <w:rPr>
          <w:highlight w:val="none"/>
        </w:rPr>
        <w:fldChar w:fldCharType="separate"/>
      </w:r>
      <w:r>
        <w:rPr>
          <w:rStyle w:val="53"/>
          <w:rFonts w:cs="Times New Roman"/>
          <w:szCs w:val="28"/>
          <w:highlight w:val="none"/>
          <w:lang w:val="en-US"/>
        </w:rPr>
        <w:t>10.1002/hep.29658</w:t>
      </w:r>
      <w:r>
        <w:rPr>
          <w:rStyle w:val="53"/>
          <w:rFonts w:cs="Times New Roman"/>
          <w:szCs w:val="28"/>
          <w:highlight w:val="none"/>
          <w:lang w:val="en-US"/>
        </w:rPr>
        <w:fldChar w:fldCharType="end"/>
      </w:r>
    </w:p>
    <w:p w14:paraId="34EC907C">
      <w:pPr>
        <w:widowControl w:val="0"/>
        <w:rPr>
          <w:rFonts w:cs="Times New Roman"/>
          <w:szCs w:val="28"/>
          <w:highlight w:val="none"/>
          <w:lang w:val="en-US"/>
        </w:rPr>
      </w:pPr>
      <w:r>
        <w:rPr>
          <w:rFonts w:cs="Times New Roman"/>
          <w:szCs w:val="28"/>
          <w:highlight w:val="none"/>
          <w:lang w:val="en-US"/>
        </w:rPr>
        <w:t xml:space="preserve">171. </w:t>
      </w:r>
      <w:r>
        <w:rPr>
          <w:rStyle w:val="66"/>
          <w:rFonts w:cs="Times New Roman"/>
          <w:szCs w:val="28"/>
          <w:highlight w:val="none"/>
          <w:shd w:val="clear" w:color="auto" w:fill="FFFFFF"/>
          <w:lang w:val="en-US"/>
        </w:rPr>
        <w:t>ClinicalTrials.gov</w:t>
      </w:r>
      <w:r>
        <w:rPr>
          <w:rFonts w:cs="Times New Roman"/>
          <w:szCs w:val="28"/>
          <w:highlight w:val="none"/>
          <w:shd w:val="clear" w:color="auto" w:fill="FFFFFF"/>
          <w:lang w:val="en-US"/>
        </w:rPr>
        <w:t>. </w:t>
      </w:r>
      <w:r>
        <w:rPr>
          <w:rStyle w:val="69"/>
          <w:rFonts w:cs="Times New Roman"/>
          <w:iCs/>
          <w:szCs w:val="28"/>
          <w:highlight w:val="none"/>
          <w:shd w:val="clear" w:color="auto" w:fill="FFFFFF"/>
          <w:lang w:val="en-US"/>
        </w:rPr>
        <w:t>Study of the efficacy and safety of lonafarnib/ritonavir with and without pegylated interferon-alfa-2a (D-LIVR)</w:t>
      </w:r>
      <w:r>
        <w:rPr>
          <w:rFonts w:cs="Times New Roman"/>
          <w:szCs w:val="28"/>
          <w:highlight w:val="none"/>
          <w:shd w:val="clear" w:color="auto" w:fill="FFFFFF"/>
          <w:lang w:val="en-US"/>
        </w:rPr>
        <w:t>. Identifier NCT03719313. </w:t>
      </w:r>
      <w:r>
        <w:rPr>
          <w:rStyle w:val="70"/>
          <w:rFonts w:cs="Times New Roman"/>
          <w:szCs w:val="28"/>
          <w:highlight w:val="none"/>
          <w:shd w:val="clear" w:color="auto" w:fill="FFFFFF"/>
          <w:lang w:val="en-US"/>
        </w:rPr>
        <w:t>Bethesda, MD</w:t>
      </w:r>
      <w:r>
        <w:rPr>
          <w:rFonts w:cs="Times New Roman"/>
          <w:szCs w:val="28"/>
          <w:highlight w:val="none"/>
          <w:shd w:val="clear" w:color="auto" w:fill="FFFFFF"/>
          <w:lang w:val="en-US"/>
        </w:rPr>
        <w:t>: National Library of Medicine (US); </w:t>
      </w:r>
      <w:r>
        <w:rPr>
          <w:rStyle w:val="58"/>
          <w:rFonts w:cs="Times New Roman"/>
          <w:szCs w:val="28"/>
          <w:highlight w:val="none"/>
          <w:shd w:val="clear" w:color="auto" w:fill="FFFFFF"/>
          <w:lang w:val="en-US"/>
        </w:rPr>
        <w:t>2019</w:t>
      </w:r>
      <w:r>
        <w:rPr>
          <w:rFonts w:cs="Times New Roman"/>
          <w:szCs w:val="28"/>
          <w:highlight w:val="none"/>
          <w:shd w:val="clear" w:color="auto" w:fill="FFFFFF"/>
          <w:lang w:val="en-US"/>
        </w:rPr>
        <w:t xml:space="preserve">. URL: </w:t>
      </w:r>
      <w:r>
        <w:rPr>
          <w:highlight w:val="none"/>
        </w:rPr>
        <w:fldChar w:fldCharType="begin"/>
      </w:r>
      <w:r>
        <w:rPr>
          <w:highlight w:val="none"/>
        </w:rPr>
        <w:instrText xml:space="preserve"> HYPERLINK "https://clinicaltrials.gov/ct2/show/NCT03719313" </w:instrText>
      </w:r>
      <w:r>
        <w:rPr>
          <w:highlight w:val="none"/>
        </w:rPr>
        <w:fldChar w:fldCharType="separate"/>
      </w:r>
      <w:r>
        <w:rPr>
          <w:rStyle w:val="53"/>
          <w:rFonts w:cs="Times New Roman"/>
          <w:szCs w:val="28"/>
          <w:highlight w:val="none"/>
          <w:shd w:val="clear" w:color="auto" w:fill="FFFFFF"/>
          <w:lang w:val="en-US"/>
        </w:rPr>
        <w:t>https://clinicaltrials.gov/ct2/show/NCT03719313</w:t>
      </w:r>
      <w:r>
        <w:rPr>
          <w:rStyle w:val="53"/>
          <w:rFonts w:cs="Times New Roman"/>
          <w:szCs w:val="28"/>
          <w:highlight w:val="none"/>
          <w:shd w:val="clear" w:color="auto" w:fill="FFFFFF"/>
          <w:lang w:val="en-US"/>
        </w:rPr>
        <w:fldChar w:fldCharType="end"/>
      </w:r>
    </w:p>
    <w:p w14:paraId="068243CC">
      <w:pPr>
        <w:widowControl w:val="0"/>
        <w:rPr>
          <w:rFonts w:cs="Times New Roman"/>
          <w:szCs w:val="28"/>
          <w:highlight w:val="none"/>
          <w:lang w:val="en-US"/>
        </w:rPr>
      </w:pPr>
      <w:r>
        <w:rPr>
          <w:rFonts w:cs="Times New Roman"/>
          <w:szCs w:val="28"/>
          <w:highlight w:val="none"/>
          <w:lang w:val="en-US"/>
        </w:rPr>
        <w:t xml:space="preserve">172. </w:t>
      </w:r>
      <w:r>
        <w:rPr>
          <w:rStyle w:val="56"/>
          <w:rFonts w:cs="Times New Roman"/>
          <w:szCs w:val="28"/>
          <w:highlight w:val="none"/>
          <w:shd w:val="clear" w:color="auto" w:fill="FFFFFF"/>
          <w:lang w:val="en-US"/>
        </w:rPr>
        <w:t>Cornberg M.</w:t>
      </w:r>
      <w:r>
        <w:rPr>
          <w:rFonts w:cs="Times New Roman"/>
          <w:szCs w:val="28"/>
          <w:highlight w:val="none"/>
          <w:shd w:val="clear" w:color="auto" w:fill="FFFFFF"/>
          <w:lang w:val="en-US"/>
        </w:rPr>
        <w:t>, </w:t>
      </w:r>
      <w:r>
        <w:rPr>
          <w:rStyle w:val="56"/>
          <w:rFonts w:cs="Times New Roman"/>
          <w:szCs w:val="28"/>
          <w:highlight w:val="none"/>
          <w:shd w:val="clear" w:color="auto" w:fill="FFFFFF"/>
          <w:lang w:val="en-US"/>
        </w:rPr>
        <w:t>Manns M. P</w:t>
      </w:r>
      <w:r>
        <w:rPr>
          <w:rFonts w:cs="Times New Roman"/>
          <w:szCs w:val="28"/>
          <w:highlight w:val="none"/>
          <w:shd w:val="clear" w:color="auto" w:fill="FFFFFF"/>
          <w:lang w:val="en-US"/>
        </w:rPr>
        <w:t>. </w:t>
      </w:r>
      <w:r>
        <w:rPr>
          <w:rStyle w:val="57"/>
          <w:rFonts w:cs="Times New Roman"/>
          <w:szCs w:val="28"/>
          <w:highlight w:val="none"/>
          <w:shd w:val="clear" w:color="auto" w:fill="FFFFFF"/>
          <w:lang w:val="en-US"/>
        </w:rPr>
        <w:t>Hepatitis: no cure for hepatitis B and D without targeting integrated viral DNA?</w:t>
      </w:r>
      <w:r>
        <w:rPr>
          <w:rFonts w:cs="Times New Roman"/>
          <w:szCs w:val="28"/>
          <w:highlight w:val="none"/>
          <w:shd w:val="clear" w:color="auto" w:fill="FFFFFF"/>
          <w:lang w:val="en-US"/>
        </w:rPr>
        <w:t> </w:t>
      </w:r>
      <w:r>
        <w:rPr>
          <w:rFonts w:cs="Times New Roman"/>
          <w:i/>
          <w:iCs/>
          <w:szCs w:val="28"/>
          <w:highlight w:val="none"/>
          <w:shd w:val="clear" w:color="auto" w:fill="FFFFFF"/>
          <w:lang w:val="en-US"/>
        </w:rPr>
        <w:t>Nat Rev Gastroenterol Hepatol.</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2018</w:t>
      </w:r>
      <w:r>
        <w:rPr>
          <w:rFonts w:cs="Times New Roman"/>
          <w:szCs w:val="28"/>
          <w:highlight w:val="none"/>
          <w:shd w:val="clear" w:color="auto" w:fill="FFFFFF"/>
          <w:lang w:val="en-US"/>
        </w:rPr>
        <w:t xml:space="preserve">. Vol. </w:t>
      </w:r>
      <w:r>
        <w:rPr>
          <w:rStyle w:val="59"/>
          <w:rFonts w:cs="Times New Roman"/>
          <w:bCs/>
          <w:szCs w:val="28"/>
          <w:highlight w:val="none"/>
          <w:shd w:val="clear" w:color="auto" w:fill="FFFFFF"/>
          <w:lang w:val="en-US"/>
        </w:rPr>
        <w:t>15</w:t>
      </w:r>
      <w:r>
        <w:rPr>
          <w:rFonts w:cs="Times New Roman"/>
          <w:szCs w:val="28"/>
          <w:highlight w:val="none"/>
          <w:shd w:val="clear" w:color="auto" w:fill="FFFFFF"/>
          <w:lang w:val="en-US"/>
        </w:rPr>
        <w:t xml:space="preserve">. P. </w:t>
      </w:r>
      <w:r>
        <w:rPr>
          <w:rStyle w:val="60"/>
          <w:rFonts w:cs="Times New Roman"/>
          <w:szCs w:val="28"/>
          <w:highlight w:val="none"/>
          <w:shd w:val="clear" w:color="auto" w:fill="FFFFFF"/>
          <w:lang w:val="en-US"/>
        </w:rPr>
        <w:t>195</w:t>
      </w:r>
      <w:r>
        <w:rPr>
          <w:rFonts w:eastAsia="Times New Roman" w:cs="Times New Roman"/>
          <w:szCs w:val="28"/>
          <w:highlight w:val="none"/>
          <w:lang w:val="en-US" w:eastAsia="uk-UA"/>
        </w:rPr>
        <w:t>–</w:t>
      </w:r>
      <w:r>
        <w:rPr>
          <w:rStyle w:val="61"/>
          <w:rFonts w:cs="Times New Roman"/>
          <w:szCs w:val="28"/>
          <w:highlight w:val="none"/>
          <w:shd w:val="clear" w:color="auto" w:fill="FFFFFF"/>
          <w:lang w:val="en-US"/>
        </w:rPr>
        <w:t>196</w:t>
      </w:r>
      <w:r>
        <w:rPr>
          <w:rFonts w:cs="Times New Roman"/>
          <w:szCs w:val="28"/>
          <w:highlight w:val="none"/>
          <w:shd w:val="clear" w:color="auto" w:fill="FFFFFF"/>
          <w:lang w:val="en-US"/>
        </w:rPr>
        <w:t>.</w:t>
      </w:r>
      <w:r>
        <w:rPr>
          <w:rStyle w:val="53"/>
          <w:rFonts w:cs="Times New Roman"/>
          <w:szCs w:val="28"/>
          <w:highlight w:val="none"/>
          <w:lang w:val="en-US"/>
        </w:rPr>
        <w:t xml:space="preserve"> doi: </w:t>
      </w:r>
      <w:r>
        <w:rPr>
          <w:highlight w:val="none"/>
        </w:rPr>
        <w:fldChar w:fldCharType="begin"/>
      </w:r>
      <w:r>
        <w:rPr>
          <w:highlight w:val="none"/>
        </w:rPr>
        <w:instrText xml:space="preserve"> HYPERLINK "https://doi.org/10.1038/nrgastro.2017.185" \t "_blank" </w:instrText>
      </w:r>
      <w:r>
        <w:rPr>
          <w:highlight w:val="none"/>
        </w:rPr>
        <w:fldChar w:fldCharType="separate"/>
      </w:r>
      <w:r>
        <w:rPr>
          <w:rStyle w:val="11"/>
          <w:rFonts w:cs="Times New Roman"/>
          <w:color w:val="auto"/>
          <w:szCs w:val="28"/>
          <w:highlight w:val="none"/>
          <w:u w:val="none"/>
          <w:lang w:val="en-US"/>
        </w:rPr>
        <w:t>10.1038/nrgastro.2017.185</w:t>
      </w:r>
      <w:r>
        <w:rPr>
          <w:rStyle w:val="11"/>
          <w:rFonts w:cs="Times New Roman"/>
          <w:color w:val="auto"/>
          <w:szCs w:val="28"/>
          <w:highlight w:val="none"/>
          <w:u w:val="none"/>
          <w:lang w:val="en-US"/>
        </w:rPr>
        <w:fldChar w:fldCharType="end"/>
      </w:r>
    </w:p>
    <w:p w14:paraId="0B5A8997">
      <w:pPr>
        <w:widowControl w:val="0"/>
        <w:rPr>
          <w:rFonts w:cs="Times New Roman"/>
          <w:szCs w:val="28"/>
          <w:highlight w:val="none"/>
          <w:lang w:val="en-US"/>
        </w:rPr>
      </w:pPr>
      <w:r>
        <w:rPr>
          <w:rFonts w:cs="Times New Roman"/>
          <w:szCs w:val="28"/>
          <w:highlight w:val="none"/>
          <w:lang w:val="en-US"/>
        </w:rPr>
        <w:t xml:space="preserve">173. </w:t>
      </w:r>
      <w:r>
        <w:rPr>
          <w:rStyle w:val="57"/>
          <w:rFonts w:cs="Times New Roman"/>
          <w:szCs w:val="28"/>
          <w:highlight w:val="none"/>
          <w:shd w:val="clear" w:color="auto" w:fill="FFFFFF"/>
          <w:lang w:val="en-US"/>
        </w:rPr>
        <w:t>RNAi-based treatment of chronically infected patients and chimpanzees reveals that integrated hepatitis B virus DNA is a source of HBsAg</w:t>
      </w:r>
      <w:r>
        <w:rPr>
          <w:rFonts w:cs="Times New Roman"/>
          <w:szCs w:val="28"/>
          <w:highlight w:val="none"/>
          <w:shd w:val="clear" w:color="auto" w:fill="FFFFFF"/>
          <w:lang w:val="en-US"/>
        </w:rPr>
        <w:t xml:space="preserve"> / </w:t>
      </w:r>
      <w:r>
        <w:rPr>
          <w:rStyle w:val="56"/>
          <w:rFonts w:cs="Times New Roman"/>
          <w:szCs w:val="28"/>
          <w:highlight w:val="none"/>
          <w:shd w:val="clear" w:color="auto" w:fill="FFFFFF"/>
          <w:lang w:val="en-US"/>
        </w:rPr>
        <w:t>C. I. Wooddell</w:t>
      </w:r>
      <w:r>
        <w:rPr>
          <w:rFonts w:cs="Times New Roman"/>
          <w:szCs w:val="28"/>
          <w:highlight w:val="none"/>
          <w:shd w:val="clear" w:color="auto" w:fill="FFFFFF"/>
          <w:lang w:val="en-US"/>
        </w:rPr>
        <w:t xml:space="preserve"> et al. </w:t>
      </w:r>
      <w:r>
        <w:rPr>
          <w:rFonts w:cs="Times New Roman"/>
          <w:i/>
          <w:iCs/>
          <w:szCs w:val="28"/>
          <w:highlight w:val="none"/>
          <w:shd w:val="clear" w:color="auto" w:fill="FFFFFF"/>
          <w:lang w:val="en-US"/>
        </w:rPr>
        <w:t>Sci Transl Med</w:t>
      </w:r>
      <w:r>
        <w:rPr>
          <w:rFonts w:cs="Times New Roman"/>
          <w:iCs/>
          <w:szCs w:val="28"/>
          <w:highlight w:val="none"/>
          <w:shd w:val="clear" w:color="auto" w:fill="FFFFFF"/>
          <w:lang w:val="en-US"/>
        </w:rPr>
        <w:t>.</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2017</w:t>
      </w:r>
      <w:r>
        <w:rPr>
          <w:rFonts w:cs="Times New Roman"/>
          <w:szCs w:val="28"/>
          <w:highlight w:val="none"/>
          <w:shd w:val="clear" w:color="auto" w:fill="FFFFFF"/>
          <w:lang w:val="en-US"/>
        </w:rPr>
        <w:t xml:space="preserve">. Vol. </w:t>
      </w:r>
      <w:r>
        <w:rPr>
          <w:rStyle w:val="59"/>
          <w:rFonts w:cs="Times New Roman"/>
          <w:bCs/>
          <w:szCs w:val="28"/>
          <w:highlight w:val="none"/>
          <w:shd w:val="clear" w:color="auto" w:fill="FFFFFF"/>
          <w:lang w:val="en-US"/>
        </w:rPr>
        <w:t>9</w:t>
      </w:r>
      <w:r>
        <w:rPr>
          <w:rFonts w:cs="Times New Roman"/>
          <w:szCs w:val="28"/>
          <w:highlight w:val="none"/>
          <w:shd w:val="clear" w:color="auto" w:fill="FFFFFF"/>
          <w:lang w:val="en-US"/>
        </w:rPr>
        <w:t xml:space="preserve">. eaan0241. </w:t>
      </w:r>
      <w:r>
        <w:rPr>
          <w:rStyle w:val="53"/>
          <w:rFonts w:cs="Times New Roman"/>
          <w:szCs w:val="28"/>
          <w:highlight w:val="none"/>
          <w:lang w:val="en-US"/>
        </w:rPr>
        <w:t>doi: </w:t>
      </w:r>
      <w:r>
        <w:rPr>
          <w:highlight w:val="none"/>
        </w:rPr>
        <w:fldChar w:fldCharType="begin"/>
      </w:r>
      <w:r>
        <w:rPr>
          <w:highlight w:val="none"/>
        </w:rPr>
        <w:instrText xml:space="preserve"> HYPERLINK "https://doi.org/10.1126/scitranslmed.aan0241" \t "_blank" </w:instrText>
      </w:r>
      <w:r>
        <w:rPr>
          <w:highlight w:val="none"/>
        </w:rPr>
        <w:fldChar w:fldCharType="separate"/>
      </w:r>
      <w:r>
        <w:rPr>
          <w:rStyle w:val="11"/>
          <w:rFonts w:cs="Times New Roman"/>
          <w:color w:val="auto"/>
          <w:szCs w:val="28"/>
          <w:highlight w:val="none"/>
          <w:u w:val="none"/>
          <w:lang w:val="en-US"/>
        </w:rPr>
        <w:t>10.1126/scitranslmed.aan0241</w:t>
      </w:r>
      <w:r>
        <w:rPr>
          <w:rStyle w:val="11"/>
          <w:rFonts w:cs="Times New Roman"/>
          <w:color w:val="auto"/>
          <w:szCs w:val="28"/>
          <w:highlight w:val="none"/>
          <w:u w:val="none"/>
          <w:lang w:val="en-US"/>
        </w:rPr>
        <w:fldChar w:fldCharType="end"/>
      </w:r>
    </w:p>
    <w:p w14:paraId="2223FDCB">
      <w:pPr>
        <w:widowControl w:val="0"/>
        <w:rPr>
          <w:rFonts w:cs="Times New Roman"/>
          <w:szCs w:val="28"/>
          <w:highlight w:val="none"/>
          <w:lang w:val="en-US"/>
        </w:rPr>
      </w:pPr>
      <w:r>
        <w:rPr>
          <w:rFonts w:cs="Times New Roman"/>
          <w:szCs w:val="28"/>
          <w:highlight w:val="none"/>
          <w:lang w:val="en-US"/>
        </w:rPr>
        <w:t xml:space="preserve">174. </w:t>
      </w:r>
      <w:r>
        <w:rPr>
          <w:rStyle w:val="57"/>
          <w:rFonts w:cs="Times New Roman"/>
          <w:szCs w:val="28"/>
          <w:highlight w:val="none"/>
          <w:lang w:val="en-US"/>
        </w:rPr>
        <w:t>Glucose metabolism changes in patients with chronic hepatitis C treated with direct acting antivirals</w:t>
      </w:r>
      <w:r>
        <w:rPr>
          <w:rFonts w:cs="Times New Roman"/>
          <w:szCs w:val="28"/>
          <w:highlight w:val="none"/>
          <w:lang w:val="en-US"/>
        </w:rPr>
        <w:t xml:space="preserve"> /</w:t>
      </w:r>
      <w:r>
        <w:rPr>
          <w:rStyle w:val="56"/>
          <w:rFonts w:cs="Times New Roman"/>
          <w:szCs w:val="28"/>
          <w:highlight w:val="none"/>
          <w:lang w:val="en-US"/>
        </w:rPr>
        <w:t xml:space="preserve"> S. Drazilova</w:t>
      </w:r>
      <w:r>
        <w:rPr>
          <w:rFonts w:cs="Times New Roman"/>
          <w:szCs w:val="28"/>
          <w:highlight w:val="none"/>
          <w:lang w:val="en-US"/>
        </w:rPr>
        <w:t xml:space="preserve"> et al. </w:t>
      </w:r>
      <w:r>
        <w:rPr>
          <w:rFonts w:cs="Times New Roman"/>
          <w:i/>
          <w:iCs/>
          <w:szCs w:val="28"/>
          <w:highlight w:val="none"/>
          <w:lang w:val="en-US"/>
        </w:rPr>
        <w:t>Can J. Gastroenterol Hepatol</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2018</w:t>
      </w:r>
      <w:r>
        <w:rPr>
          <w:rFonts w:cs="Times New Roman"/>
          <w:szCs w:val="28"/>
          <w:highlight w:val="none"/>
          <w:lang w:val="en-US"/>
        </w:rPr>
        <w:t xml:space="preserve">. Vol. </w:t>
      </w:r>
      <w:r>
        <w:rPr>
          <w:rStyle w:val="59"/>
          <w:rFonts w:cs="Times New Roman"/>
          <w:bCs/>
          <w:szCs w:val="28"/>
          <w:highlight w:val="none"/>
          <w:lang w:val="en-US"/>
        </w:rPr>
        <w:t>2018</w:t>
      </w:r>
      <w:r>
        <w:rPr>
          <w:rFonts w:cs="Times New Roman"/>
          <w:szCs w:val="28"/>
          <w:highlight w:val="none"/>
          <w:lang w:val="en-US"/>
        </w:rPr>
        <w:t>. P. </w:t>
      </w:r>
      <w:r>
        <w:rPr>
          <w:rStyle w:val="60"/>
          <w:rFonts w:cs="Times New Roman"/>
          <w:szCs w:val="28"/>
          <w:highlight w:val="none"/>
          <w:lang w:val="en-US"/>
        </w:rPr>
        <w:t>6095097</w:t>
      </w:r>
      <w:r>
        <w:rPr>
          <w:rFonts w:cs="Times New Roman"/>
          <w:szCs w:val="28"/>
          <w:highlight w:val="none"/>
          <w:lang w:val="en-US"/>
        </w:rPr>
        <w:t xml:space="preserve">. </w:t>
      </w:r>
      <w:r>
        <w:rPr>
          <w:rFonts w:cs="Times New Roman"/>
          <w:szCs w:val="28"/>
          <w:highlight w:val="none"/>
          <w:shd w:val="clear" w:color="auto" w:fill="FFFFFF"/>
          <w:lang w:val="en-US"/>
        </w:rPr>
        <w:t>doi: </w:t>
      </w:r>
      <w:r>
        <w:rPr>
          <w:highlight w:val="none"/>
        </w:rPr>
        <w:fldChar w:fldCharType="begin"/>
      </w:r>
      <w:r>
        <w:rPr>
          <w:highlight w:val="none"/>
        </w:rPr>
        <w:instrText xml:space="preserve"> HYPERLINK "https://doi.org/10.1155%2F2018%2F6095097" \t "_blank" </w:instrText>
      </w:r>
      <w:r>
        <w:rPr>
          <w:highlight w:val="none"/>
        </w:rPr>
        <w:fldChar w:fldCharType="separate"/>
      </w:r>
      <w:r>
        <w:rPr>
          <w:rStyle w:val="11"/>
          <w:rFonts w:cs="Times New Roman"/>
          <w:color w:val="auto"/>
          <w:szCs w:val="28"/>
          <w:highlight w:val="none"/>
          <w:u w:val="none"/>
          <w:shd w:val="clear" w:color="auto" w:fill="FFFFFF"/>
          <w:lang w:val="en-US"/>
        </w:rPr>
        <w:t>10.1155/2018/6095097</w:t>
      </w:r>
      <w:r>
        <w:rPr>
          <w:rStyle w:val="11"/>
          <w:rFonts w:cs="Times New Roman"/>
          <w:color w:val="auto"/>
          <w:szCs w:val="28"/>
          <w:highlight w:val="none"/>
          <w:u w:val="none"/>
          <w:shd w:val="clear" w:color="auto" w:fill="FFFFFF"/>
          <w:lang w:val="en-US"/>
        </w:rPr>
        <w:fldChar w:fldCharType="end"/>
      </w:r>
    </w:p>
    <w:p w14:paraId="0BEBAD9A">
      <w:pPr>
        <w:widowControl w:val="0"/>
        <w:rPr>
          <w:rFonts w:cs="Times New Roman"/>
          <w:szCs w:val="28"/>
          <w:highlight w:val="none"/>
          <w:lang w:val="en-US"/>
        </w:rPr>
      </w:pPr>
      <w:r>
        <w:rPr>
          <w:rFonts w:cs="Times New Roman"/>
          <w:szCs w:val="28"/>
          <w:highlight w:val="none"/>
          <w:lang w:val="en-US"/>
        </w:rPr>
        <w:t xml:space="preserve">175. </w:t>
      </w:r>
      <w:r>
        <w:rPr>
          <w:rStyle w:val="57"/>
          <w:rFonts w:cs="Times New Roman"/>
          <w:szCs w:val="28"/>
          <w:highlight w:val="none"/>
          <w:lang w:val="en-US"/>
        </w:rPr>
        <w:t>Improvement of glycemic state among responders to sofosbuvir-based treatment regimens: single center experience</w:t>
      </w:r>
      <w:r>
        <w:rPr>
          <w:rFonts w:cs="Times New Roman"/>
          <w:szCs w:val="28"/>
          <w:highlight w:val="none"/>
          <w:lang w:val="en-US"/>
        </w:rPr>
        <w:t xml:space="preserve"> /</w:t>
      </w:r>
      <w:r>
        <w:rPr>
          <w:rStyle w:val="56"/>
          <w:rFonts w:cs="Times New Roman"/>
          <w:szCs w:val="28"/>
          <w:highlight w:val="none"/>
          <w:lang w:val="en-US"/>
        </w:rPr>
        <w:t xml:space="preserve"> S. Abdel Alem</w:t>
      </w:r>
      <w:r>
        <w:rPr>
          <w:rFonts w:cs="Times New Roman"/>
          <w:szCs w:val="28"/>
          <w:highlight w:val="none"/>
          <w:lang w:val="en-US"/>
        </w:rPr>
        <w:t xml:space="preserve"> et al. </w:t>
      </w:r>
      <w:r>
        <w:rPr>
          <w:rFonts w:cs="Times New Roman"/>
          <w:i/>
          <w:iCs/>
          <w:szCs w:val="28"/>
          <w:highlight w:val="none"/>
          <w:lang w:val="en-US"/>
        </w:rPr>
        <w:t>J. Med Virol</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2017</w:t>
      </w:r>
      <w:r>
        <w:rPr>
          <w:rFonts w:cs="Times New Roman"/>
          <w:szCs w:val="28"/>
          <w:highlight w:val="none"/>
          <w:lang w:val="en-US"/>
        </w:rPr>
        <w:t xml:space="preserve">. Vol. </w:t>
      </w:r>
      <w:r>
        <w:rPr>
          <w:rStyle w:val="59"/>
          <w:rFonts w:cs="Times New Roman"/>
          <w:bCs/>
          <w:szCs w:val="28"/>
          <w:highlight w:val="none"/>
          <w:lang w:val="en-US"/>
        </w:rPr>
        <w:t>89</w:t>
      </w:r>
      <w:r>
        <w:rPr>
          <w:rFonts w:cs="Times New Roman"/>
          <w:szCs w:val="28"/>
          <w:highlight w:val="none"/>
          <w:lang w:val="en-US"/>
        </w:rPr>
        <w:t xml:space="preserve">. P. </w:t>
      </w:r>
      <w:r>
        <w:rPr>
          <w:rStyle w:val="60"/>
          <w:rFonts w:cs="Times New Roman"/>
          <w:szCs w:val="28"/>
          <w:highlight w:val="none"/>
          <w:lang w:val="en-US"/>
        </w:rPr>
        <w:t>2181</w:t>
      </w:r>
      <w:r>
        <w:rPr>
          <w:rFonts w:eastAsia="Times New Roman" w:cs="Times New Roman"/>
          <w:szCs w:val="28"/>
          <w:highlight w:val="none"/>
          <w:lang w:val="en-US" w:eastAsia="uk-UA"/>
        </w:rPr>
        <w:t>–</w:t>
      </w:r>
      <w:r>
        <w:rPr>
          <w:rStyle w:val="61"/>
          <w:rFonts w:cs="Times New Roman"/>
          <w:szCs w:val="28"/>
          <w:highlight w:val="none"/>
          <w:lang w:val="en-US"/>
        </w:rPr>
        <w:t>2187</w:t>
      </w:r>
      <w:r>
        <w:rPr>
          <w:rFonts w:cs="Times New Roman"/>
          <w:szCs w:val="28"/>
          <w:highlight w:val="none"/>
          <w:lang w:val="en-US"/>
        </w:rPr>
        <w:t xml:space="preserve">. </w:t>
      </w:r>
      <w:r>
        <w:rPr>
          <w:rFonts w:cs="Times New Roman"/>
          <w:szCs w:val="28"/>
          <w:highlight w:val="none"/>
          <w:shd w:val="clear" w:color="auto" w:fill="FFFFFF"/>
          <w:lang w:val="en-US"/>
        </w:rPr>
        <w:t xml:space="preserve">doi: </w:t>
      </w:r>
      <w:r>
        <w:rPr>
          <w:highlight w:val="none"/>
        </w:rPr>
        <w:fldChar w:fldCharType="begin"/>
      </w:r>
      <w:r>
        <w:rPr>
          <w:highlight w:val="none"/>
        </w:rPr>
        <w:instrText xml:space="preserve"> HYPERLINK "http://dx.doi.org/10.1016%2FS0168-8278(17)30938-8" </w:instrText>
      </w:r>
      <w:r>
        <w:rPr>
          <w:highlight w:val="none"/>
        </w:rPr>
        <w:fldChar w:fldCharType="separate"/>
      </w:r>
      <w:r>
        <w:rPr>
          <w:rStyle w:val="11"/>
          <w:rFonts w:cs="Times New Roman"/>
          <w:color w:val="auto"/>
          <w:szCs w:val="28"/>
          <w:highlight w:val="none"/>
          <w:u w:val="none"/>
          <w:lang w:val="en-US"/>
        </w:rPr>
        <w:t>10.1016/S0168-8278(17)30938-8</w:t>
      </w:r>
      <w:r>
        <w:rPr>
          <w:rStyle w:val="11"/>
          <w:rFonts w:cs="Times New Roman"/>
          <w:color w:val="auto"/>
          <w:szCs w:val="28"/>
          <w:highlight w:val="none"/>
          <w:u w:val="none"/>
          <w:lang w:val="en-US"/>
        </w:rPr>
        <w:fldChar w:fldCharType="end"/>
      </w:r>
    </w:p>
    <w:p w14:paraId="18D71A62">
      <w:pPr>
        <w:widowControl w:val="0"/>
        <w:rPr>
          <w:rFonts w:cs="Times New Roman"/>
          <w:szCs w:val="28"/>
          <w:highlight w:val="none"/>
          <w:lang w:val="en-US"/>
        </w:rPr>
      </w:pPr>
      <w:r>
        <w:rPr>
          <w:rFonts w:cs="Times New Roman"/>
          <w:szCs w:val="28"/>
          <w:highlight w:val="none"/>
          <w:lang w:val="en-US"/>
        </w:rPr>
        <w:t xml:space="preserve">176. </w:t>
      </w:r>
      <w:r>
        <w:rPr>
          <w:rStyle w:val="57"/>
          <w:rFonts w:cs="Times New Roman"/>
          <w:szCs w:val="28"/>
          <w:highlight w:val="none"/>
          <w:lang w:val="en-US"/>
        </w:rPr>
        <w:t>Rapid decline of fasting glucose in HCV diabetic patients treated with direct-acting antiviral agents</w:t>
      </w:r>
      <w:r>
        <w:rPr>
          <w:rFonts w:cs="Times New Roman"/>
          <w:szCs w:val="28"/>
          <w:highlight w:val="none"/>
          <w:lang w:val="en-US"/>
        </w:rPr>
        <w:t xml:space="preserve"> /</w:t>
      </w:r>
      <w:r>
        <w:rPr>
          <w:rStyle w:val="56"/>
          <w:rFonts w:cs="Times New Roman"/>
          <w:szCs w:val="28"/>
          <w:highlight w:val="none"/>
          <w:lang w:val="en-US"/>
        </w:rPr>
        <w:t xml:space="preserve"> P. Pavone</w:t>
      </w:r>
      <w:r>
        <w:rPr>
          <w:rFonts w:cs="Times New Roman"/>
          <w:szCs w:val="28"/>
          <w:highlight w:val="none"/>
          <w:lang w:val="en-US"/>
        </w:rPr>
        <w:t xml:space="preserve"> et al. </w:t>
      </w:r>
      <w:r>
        <w:rPr>
          <w:rFonts w:cs="Times New Roman"/>
          <w:i/>
          <w:iCs/>
          <w:szCs w:val="28"/>
          <w:highlight w:val="none"/>
          <w:lang w:val="en-US"/>
        </w:rPr>
        <w:t>Clin Microbiol Infect</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2016</w:t>
      </w:r>
      <w:r>
        <w:rPr>
          <w:rFonts w:cs="Times New Roman"/>
          <w:szCs w:val="28"/>
          <w:highlight w:val="none"/>
          <w:lang w:val="en-US"/>
        </w:rPr>
        <w:t xml:space="preserve">. Vol. </w:t>
      </w:r>
      <w:r>
        <w:rPr>
          <w:rStyle w:val="59"/>
          <w:rFonts w:cs="Times New Roman"/>
          <w:bCs/>
          <w:szCs w:val="28"/>
          <w:highlight w:val="none"/>
          <w:lang w:val="en-US"/>
        </w:rPr>
        <w:t>22</w:t>
      </w:r>
      <w:r>
        <w:rPr>
          <w:rFonts w:cs="Times New Roman"/>
          <w:szCs w:val="28"/>
          <w:highlight w:val="none"/>
          <w:lang w:val="en-US"/>
        </w:rPr>
        <w:t xml:space="preserve">. P. </w:t>
      </w:r>
      <w:r>
        <w:rPr>
          <w:rStyle w:val="60"/>
          <w:rFonts w:cs="Times New Roman"/>
          <w:szCs w:val="28"/>
          <w:highlight w:val="none"/>
          <w:lang w:val="en-US"/>
        </w:rPr>
        <w:t>462.e1</w:t>
      </w:r>
      <w:r>
        <w:rPr>
          <w:rFonts w:eastAsia="Times New Roman" w:cs="Times New Roman"/>
          <w:szCs w:val="28"/>
          <w:highlight w:val="none"/>
          <w:lang w:val="en-US" w:eastAsia="uk-UA"/>
        </w:rPr>
        <w:t>–</w:t>
      </w:r>
      <w:r>
        <w:rPr>
          <w:rStyle w:val="61"/>
          <w:rFonts w:cs="Times New Roman"/>
          <w:szCs w:val="28"/>
          <w:highlight w:val="none"/>
          <w:lang w:val="en-US"/>
        </w:rPr>
        <w:t>462.e3</w:t>
      </w:r>
      <w:r>
        <w:rPr>
          <w:rFonts w:cs="Times New Roman"/>
          <w:szCs w:val="28"/>
          <w:highlight w:val="none"/>
          <w:lang w:val="en-US"/>
        </w:rPr>
        <w:t xml:space="preserve">. </w:t>
      </w:r>
      <w:r>
        <w:rPr>
          <w:rFonts w:cs="Times New Roman"/>
          <w:szCs w:val="28"/>
          <w:highlight w:val="none"/>
          <w:shd w:val="clear" w:color="auto" w:fill="FFFFFF"/>
          <w:lang w:val="en-US"/>
        </w:rPr>
        <w:t xml:space="preserve">doi: </w:t>
      </w:r>
      <w:r>
        <w:rPr>
          <w:highlight w:val="none"/>
        </w:rPr>
        <w:fldChar w:fldCharType="begin"/>
      </w:r>
      <w:r>
        <w:rPr>
          <w:highlight w:val="none"/>
        </w:rPr>
        <w:instrText xml:space="preserve"> HYPERLINK "https://doi.org/10.1016/j.cmi.2015.12.030"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https://doi.org/10.1016/j.cmi.2015.12.030</w:t>
      </w:r>
      <w:r>
        <w:rPr>
          <w:rStyle w:val="11"/>
          <w:rFonts w:cs="Times New Roman"/>
          <w:color w:val="auto"/>
          <w:szCs w:val="28"/>
          <w:highlight w:val="none"/>
          <w:u w:val="none"/>
          <w:lang w:val="en-US"/>
        </w:rPr>
        <w:fldChar w:fldCharType="end"/>
      </w:r>
    </w:p>
    <w:p w14:paraId="4BC41AC2">
      <w:pPr>
        <w:widowControl w:val="0"/>
        <w:rPr>
          <w:rFonts w:cs="Times New Roman"/>
          <w:szCs w:val="28"/>
          <w:highlight w:val="none"/>
          <w:lang w:val="en-US"/>
        </w:rPr>
      </w:pPr>
      <w:r>
        <w:rPr>
          <w:rFonts w:cs="Times New Roman"/>
          <w:szCs w:val="28"/>
          <w:highlight w:val="none"/>
          <w:lang w:val="en-US"/>
        </w:rPr>
        <w:t xml:space="preserve">177. </w:t>
      </w:r>
      <w:r>
        <w:rPr>
          <w:rStyle w:val="56"/>
          <w:rFonts w:cs="Times New Roman"/>
          <w:szCs w:val="28"/>
          <w:highlight w:val="none"/>
          <w:lang w:val="en-US"/>
        </w:rPr>
        <w:t>Soriano V.</w:t>
      </w:r>
      <w:r>
        <w:rPr>
          <w:rFonts w:cs="Times New Roman"/>
          <w:szCs w:val="28"/>
          <w:highlight w:val="none"/>
          <w:lang w:val="en-US"/>
        </w:rPr>
        <w:t>, </w:t>
      </w:r>
      <w:r>
        <w:rPr>
          <w:rStyle w:val="56"/>
          <w:rFonts w:cs="Times New Roman"/>
          <w:szCs w:val="28"/>
          <w:highlight w:val="none"/>
          <w:lang w:val="en-US"/>
        </w:rPr>
        <w:t>Barreiro P.</w:t>
      </w:r>
      <w:r>
        <w:rPr>
          <w:rFonts w:cs="Times New Roman"/>
          <w:szCs w:val="28"/>
          <w:highlight w:val="none"/>
          <w:lang w:val="en-US"/>
        </w:rPr>
        <w:t>, </w:t>
      </w:r>
      <w:r>
        <w:rPr>
          <w:rStyle w:val="56"/>
          <w:rFonts w:cs="Times New Roman"/>
          <w:szCs w:val="28"/>
          <w:highlight w:val="none"/>
          <w:lang w:val="en-US"/>
        </w:rPr>
        <w:t>de Mendoza C</w:t>
      </w:r>
      <w:r>
        <w:rPr>
          <w:rFonts w:cs="Times New Roman"/>
          <w:szCs w:val="28"/>
          <w:highlight w:val="none"/>
          <w:lang w:val="en-US"/>
        </w:rPr>
        <w:t>. </w:t>
      </w:r>
      <w:r>
        <w:rPr>
          <w:rStyle w:val="57"/>
          <w:rFonts w:cs="Times New Roman"/>
          <w:szCs w:val="28"/>
          <w:highlight w:val="none"/>
          <w:lang w:val="en-US"/>
        </w:rPr>
        <w:t>Hypoglycemia in a diabetic patient during hepatitis C therapy</w:t>
      </w:r>
      <w:r>
        <w:rPr>
          <w:rFonts w:cs="Times New Roman"/>
          <w:szCs w:val="28"/>
          <w:highlight w:val="none"/>
          <w:lang w:val="en-US"/>
        </w:rPr>
        <w:t>. </w:t>
      </w:r>
      <w:r>
        <w:rPr>
          <w:rFonts w:cs="Times New Roman"/>
          <w:i/>
          <w:iCs/>
          <w:szCs w:val="28"/>
          <w:highlight w:val="none"/>
          <w:lang w:val="en-US"/>
        </w:rPr>
        <w:t>Hepatology</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2016</w:t>
      </w:r>
      <w:r>
        <w:rPr>
          <w:rFonts w:cs="Times New Roman"/>
          <w:szCs w:val="28"/>
          <w:highlight w:val="none"/>
          <w:lang w:val="en-US"/>
        </w:rPr>
        <w:t xml:space="preserve">. Vol. </w:t>
      </w:r>
      <w:r>
        <w:rPr>
          <w:rStyle w:val="59"/>
          <w:rFonts w:cs="Times New Roman"/>
          <w:bCs/>
          <w:szCs w:val="28"/>
          <w:highlight w:val="none"/>
          <w:lang w:val="en-US"/>
        </w:rPr>
        <w:t>63</w:t>
      </w:r>
      <w:r>
        <w:rPr>
          <w:rFonts w:cs="Times New Roman"/>
          <w:szCs w:val="28"/>
          <w:highlight w:val="none"/>
          <w:lang w:val="en-US"/>
        </w:rPr>
        <w:t xml:space="preserve">. P. </w:t>
      </w:r>
      <w:r>
        <w:rPr>
          <w:rStyle w:val="60"/>
          <w:rFonts w:cs="Times New Roman"/>
          <w:szCs w:val="28"/>
          <w:highlight w:val="none"/>
          <w:lang w:val="en-US"/>
        </w:rPr>
        <w:t>2065</w:t>
      </w:r>
      <w:r>
        <w:rPr>
          <w:rFonts w:eastAsia="Times New Roman" w:cs="Times New Roman"/>
          <w:szCs w:val="28"/>
          <w:highlight w:val="none"/>
          <w:lang w:val="en-US" w:eastAsia="uk-UA"/>
        </w:rPr>
        <w:t>–</w:t>
      </w:r>
      <w:r>
        <w:rPr>
          <w:rStyle w:val="61"/>
          <w:rFonts w:cs="Times New Roman"/>
          <w:szCs w:val="28"/>
          <w:highlight w:val="none"/>
          <w:lang w:val="en-US"/>
        </w:rPr>
        <w:t>2066</w:t>
      </w:r>
      <w:r>
        <w:rPr>
          <w:rFonts w:cs="Times New Roman"/>
          <w:szCs w:val="28"/>
          <w:highlight w:val="none"/>
          <w:lang w:val="en-US"/>
        </w:rPr>
        <w:t xml:space="preserve">. </w:t>
      </w:r>
      <w:r>
        <w:rPr>
          <w:rFonts w:cs="Times New Roman"/>
          <w:szCs w:val="28"/>
          <w:highlight w:val="none"/>
          <w:shd w:val="clear" w:color="auto" w:fill="FFFFFF"/>
          <w:lang w:val="en-US"/>
        </w:rPr>
        <w:t xml:space="preserve">doi: </w:t>
      </w:r>
      <w:r>
        <w:rPr>
          <w:highlight w:val="none"/>
        </w:rPr>
        <w:fldChar w:fldCharType="begin"/>
      </w:r>
      <w:r>
        <w:rPr>
          <w:highlight w:val="none"/>
        </w:rPr>
        <w:instrText xml:space="preserve"> HYPERLINK "https://doi.org/10.1002/hep.28137" </w:instrText>
      </w:r>
      <w:r>
        <w:rPr>
          <w:highlight w:val="none"/>
        </w:rPr>
        <w:fldChar w:fldCharType="separate"/>
      </w:r>
      <w:r>
        <w:rPr>
          <w:rStyle w:val="11"/>
          <w:rFonts w:cs="Times New Roman"/>
          <w:bCs/>
          <w:color w:val="auto"/>
          <w:szCs w:val="28"/>
          <w:highlight w:val="none"/>
          <w:u w:val="none"/>
          <w:shd w:val="clear" w:color="auto" w:fill="FFFFFF"/>
          <w:lang w:val="en-US"/>
        </w:rPr>
        <w:t>https://doi.org/10.1002/hep.28137</w:t>
      </w:r>
      <w:r>
        <w:rPr>
          <w:rStyle w:val="11"/>
          <w:rFonts w:cs="Times New Roman"/>
          <w:bCs/>
          <w:color w:val="auto"/>
          <w:szCs w:val="28"/>
          <w:highlight w:val="none"/>
          <w:u w:val="none"/>
          <w:shd w:val="clear" w:color="auto" w:fill="FFFFFF"/>
          <w:lang w:val="en-US"/>
        </w:rPr>
        <w:fldChar w:fldCharType="end"/>
      </w:r>
    </w:p>
    <w:p w14:paraId="2FF5DA48">
      <w:pPr>
        <w:widowControl w:val="0"/>
        <w:rPr>
          <w:rFonts w:cs="Times New Roman"/>
          <w:szCs w:val="28"/>
          <w:highlight w:val="none"/>
          <w:lang w:val="en-US"/>
        </w:rPr>
      </w:pPr>
      <w:r>
        <w:rPr>
          <w:rFonts w:cs="Times New Roman"/>
          <w:szCs w:val="28"/>
          <w:highlight w:val="none"/>
          <w:lang w:val="en-US"/>
        </w:rPr>
        <w:t xml:space="preserve">178. </w:t>
      </w:r>
      <w:r>
        <w:rPr>
          <w:rStyle w:val="56"/>
          <w:rFonts w:cs="Times New Roman"/>
          <w:szCs w:val="28"/>
          <w:highlight w:val="none"/>
          <w:lang w:val="en-US"/>
        </w:rPr>
        <w:t>Rindone J. P.</w:t>
      </w:r>
      <w:r>
        <w:rPr>
          <w:rFonts w:cs="Times New Roman"/>
          <w:szCs w:val="28"/>
          <w:highlight w:val="none"/>
          <w:lang w:val="en-US"/>
        </w:rPr>
        <w:t>, </w:t>
      </w:r>
      <w:r>
        <w:rPr>
          <w:rStyle w:val="56"/>
          <w:rFonts w:cs="Times New Roman"/>
          <w:szCs w:val="28"/>
          <w:highlight w:val="none"/>
          <w:lang w:val="en-US"/>
        </w:rPr>
        <w:t>Mellen C. K</w:t>
      </w:r>
      <w:r>
        <w:rPr>
          <w:rFonts w:cs="Times New Roman"/>
          <w:szCs w:val="28"/>
          <w:highlight w:val="none"/>
          <w:lang w:val="en-US"/>
        </w:rPr>
        <w:t>. </w:t>
      </w:r>
      <w:r>
        <w:rPr>
          <w:rStyle w:val="57"/>
          <w:rFonts w:cs="Times New Roman"/>
          <w:szCs w:val="28"/>
          <w:highlight w:val="none"/>
          <w:lang w:val="en-US"/>
        </w:rPr>
        <w:t>Reduction in warfarin effect associated with sofosbuvir–velpatasvir</w:t>
      </w:r>
      <w:r>
        <w:rPr>
          <w:rFonts w:cs="Times New Roman"/>
          <w:szCs w:val="28"/>
          <w:highlight w:val="none"/>
          <w:lang w:val="en-US"/>
        </w:rPr>
        <w:t>. </w:t>
      </w:r>
      <w:r>
        <w:rPr>
          <w:rFonts w:cs="Times New Roman"/>
          <w:i/>
          <w:iCs/>
          <w:szCs w:val="28"/>
          <w:highlight w:val="none"/>
          <w:lang w:val="en-US"/>
        </w:rPr>
        <w:t>Am J. Health Syst Pharm</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2017</w:t>
      </w:r>
      <w:r>
        <w:rPr>
          <w:rFonts w:cs="Times New Roman"/>
          <w:szCs w:val="28"/>
          <w:highlight w:val="none"/>
          <w:lang w:val="en-US"/>
        </w:rPr>
        <w:t xml:space="preserve">. Vol. </w:t>
      </w:r>
      <w:r>
        <w:rPr>
          <w:rStyle w:val="59"/>
          <w:rFonts w:cs="Times New Roman"/>
          <w:bCs/>
          <w:szCs w:val="28"/>
          <w:highlight w:val="none"/>
          <w:lang w:val="en-US"/>
        </w:rPr>
        <w:t>74</w:t>
      </w:r>
      <w:r>
        <w:rPr>
          <w:rFonts w:cs="Times New Roman"/>
          <w:szCs w:val="28"/>
          <w:highlight w:val="none"/>
          <w:lang w:val="en-US"/>
        </w:rPr>
        <w:t xml:space="preserve">. P. </w:t>
      </w:r>
      <w:r>
        <w:rPr>
          <w:rStyle w:val="60"/>
          <w:rFonts w:cs="Times New Roman"/>
          <w:szCs w:val="28"/>
          <w:highlight w:val="none"/>
          <w:lang w:val="en-US"/>
        </w:rPr>
        <w:t>1308</w:t>
      </w:r>
      <w:r>
        <w:rPr>
          <w:rFonts w:eastAsia="Times New Roman" w:cs="Times New Roman"/>
          <w:szCs w:val="28"/>
          <w:highlight w:val="none"/>
          <w:lang w:val="en-US" w:eastAsia="uk-UA"/>
        </w:rPr>
        <w:t>–</w:t>
      </w:r>
      <w:r>
        <w:rPr>
          <w:rStyle w:val="61"/>
          <w:rFonts w:cs="Times New Roman"/>
          <w:szCs w:val="28"/>
          <w:highlight w:val="none"/>
          <w:lang w:val="en-US"/>
        </w:rPr>
        <w:t>1311</w:t>
      </w:r>
      <w:r>
        <w:rPr>
          <w:rFonts w:cs="Times New Roman"/>
          <w:szCs w:val="28"/>
          <w:highlight w:val="none"/>
          <w:lang w:val="en-US"/>
        </w:rPr>
        <w:t xml:space="preserve">. </w:t>
      </w:r>
      <w:r>
        <w:rPr>
          <w:rFonts w:cs="Times New Roman"/>
          <w:szCs w:val="28"/>
          <w:highlight w:val="none"/>
          <w:shd w:val="clear" w:color="auto" w:fill="FFFFFF"/>
          <w:lang w:val="en-US"/>
        </w:rPr>
        <w:t xml:space="preserve">doi: </w:t>
      </w:r>
      <w:r>
        <w:rPr>
          <w:highlight w:val="none"/>
        </w:rPr>
        <w:fldChar w:fldCharType="begin"/>
      </w:r>
      <w:r>
        <w:rPr>
          <w:highlight w:val="none"/>
        </w:rPr>
        <w:instrText xml:space="preserve"> HYPERLINK "https://doi.org/10.2146/ajhp170324" </w:instrText>
      </w:r>
      <w:r>
        <w:rPr>
          <w:highlight w:val="none"/>
        </w:rPr>
        <w:fldChar w:fldCharType="separate"/>
      </w:r>
      <w:r>
        <w:rPr>
          <w:rStyle w:val="11"/>
          <w:rFonts w:cs="Times New Roman"/>
          <w:color w:val="auto"/>
          <w:szCs w:val="28"/>
          <w:highlight w:val="none"/>
          <w:u w:val="none"/>
          <w:shd w:val="clear" w:color="auto" w:fill="FFFFFF"/>
          <w:lang w:val="en-US"/>
        </w:rPr>
        <w:t>https://doi.org/10.2146/ajhp170324</w:t>
      </w:r>
      <w:r>
        <w:rPr>
          <w:rStyle w:val="11"/>
          <w:rFonts w:cs="Times New Roman"/>
          <w:color w:val="auto"/>
          <w:szCs w:val="28"/>
          <w:highlight w:val="none"/>
          <w:u w:val="none"/>
          <w:shd w:val="clear" w:color="auto" w:fill="FFFFFF"/>
          <w:lang w:val="en-US"/>
        </w:rPr>
        <w:fldChar w:fldCharType="end"/>
      </w:r>
    </w:p>
    <w:p w14:paraId="73E52CE3">
      <w:pPr>
        <w:widowControl w:val="0"/>
        <w:rPr>
          <w:rFonts w:cs="Times New Roman"/>
          <w:szCs w:val="28"/>
          <w:highlight w:val="none"/>
          <w:lang w:val="en-US"/>
        </w:rPr>
      </w:pPr>
      <w:r>
        <w:rPr>
          <w:rFonts w:cs="Times New Roman"/>
          <w:szCs w:val="28"/>
          <w:highlight w:val="none"/>
          <w:lang w:val="en-US"/>
        </w:rPr>
        <w:t xml:space="preserve">179. </w:t>
      </w:r>
      <w:r>
        <w:rPr>
          <w:rStyle w:val="57"/>
          <w:rFonts w:cs="Times New Roman"/>
          <w:szCs w:val="28"/>
          <w:highlight w:val="none"/>
          <w:lang w:val="en-US"/>
        </w:rPr>
        <w:t>Evaluation of a potential interaction between new regimens to treat hepatitis C and warfarin</w:t>
      </w:r>
      <w:r>
        <w:rPr>
          <w:rFonts w:cs="Times New Roman"/>
          <w:szCs w:val="28"/>
          <w:highlight w:val="none"/>
          <w:lang w:val="en-US"/>
        </w:rPr>
        <w:t xml:space="preserve"> /</w:t>
      </w:r>
      <w:r>
        <w:rPr>
          <w:rStyle w:val="56"/>
          <w:rFonts w:cs="Times New Roman"/>
          <w:szCs w:val="28"/>
          <w:highlight w:val="none"/>
          <w:lang w:val="en-US"/>
        </w:rPr>
        <w:t xml:space="preserve"> D. D. DeCarolis et al.</w:t>
      </w:r>
      <w:r>
        <w:rPr>
          <w:rFonts w:cs="Times New Roman"/>
          <w:szCs w:val="28"/>
          <w:highlight w:val="none"/>
          <w:lang w:val="en-US"/>
        </w:rPr>
        <w:t> </w:t>
      </w:r>
      <w:r>
        <w:rPr>
          <w:rFonts w:cs="Times New Roman"/>
          <w:i/>
          <w:iCs/>
          <w:szCs w:val="28"/>
          <w:highlight w:val="none"/>
          <w:lang w:val="en-US"/>
        </w:rPr>
        <w:t>Ann Pharmacother</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2016</w:t>
      </w:r>
      <w:r>
        <w:rPr>
          <w:rFonts w:cs="Times New Roman"/>
          <w:szCs w:val="28"/>
          <w:highlight w:val="none"/>
          <w:lang w:val="en-US"/>
        </w:rPr>
        <w:t xml:space="preserve">. Vol. </w:t>
      </w:r>
      <w:r>
        <w:rPr>
          <w:rStyle w:val="59"/>
          <w:rFonts w:cs="Times New Roman"/>
          <w:bCs/>
          <w:szCs w:val="28"/>
          <w:highlight w:val="none"/>
          <w:lang w:val="en-US"/>
        </w:rPr>
        <w:t>50</w:t>
      </w:r>
      <w:r>
        <w:rPr>
          <w:rFonts w:cs="Times New Roman"/>
          <w:szCs w:val="28"/>
          <w:highlight w:val="none"/>
          <w:lang w:val="en-US"/>
        </w:rPr>
        <w:t xml:space="preserve">. P. </w:t>
      </w:r>
      <w:r>
        <w:rPr>
          <w:rStyle w:val="60"/>
          <w:rFonts w:cs="Times New Roman"/>
          <w:szCs w:val="28"/>
          <w:highlight w:val="none"/>
          <w:lang w:val="en-US"/>
        </w:rPr>
        <w:t>909</w:t>
      </w:r>
      <w:r>
        <w:rPr>
          <w:rFonts w:eastAsia="Times New Roman" w:cs="Times New Roman"/>
          <w:szCs w:val="28"/>
          <w:highlight w:val="none"/>
          <w:lang w:val="en-US" w:eastAsia="uk-UA"/>
        </w:rPr>
        <w:t>–</w:t>
      </w:r>
      <w:r>
        <w:rPr>
          <w:rStyle w:val="61"/>
          <w:rFonts w:cs="Times New Roman"/>
          <w:szCs w:val="28"/>
          <w:highlight w:val="none"/>
          <w:lang w:val="en-US"/>
        </w:rPr>
        <w:t>917</w:t>
      </w:r>
      <w:r>
        <w:rPr>
          <w:rFonts w:cs="Times New Roman"/>
          <w:szCs w:val="28"/>
          <w:highlight w:val="none"/>
          <w:lang w:val="en-US"/>
        </w:rPr>
        <w:t xml:space="preserve">. doi: </w:t>
      </w:r>
      <w:r>
        <w:rPr>
          <w:highlight w:val="none"/>
        </w:rPr>
        <w:fldChar w:fldCharType="begin"/>
      </w:r>
      <w:r>
        <w:rPr>
          <w:highlight w:val="none"/>
        </w:rPr>
        <w:instrText xml:space="preserve"> HYPERLINK "https://doi.org/10.1177/1060028016660325" </w:instrText>
      </w:r>
      <w:r>
        <w:rPr>
          <w:highlight w:val="none"/>
        </w:rPr>
        <w:fldChar w:fldCharType="separate"/>
      </w:r>
      <w:r>
        <w:rPr>
          <w:rStyle w:val="11"/>
          <w:rFonts w:cs="Times New Roman"/>
          <w:color w:val="auto"/>
          <w:szCs w:val="28"/>
          <w:highlight w:val="none"/>
          <w:u w:val="none"/>
          <w:shd w:val="clear" w:color="auto" w:fill="FFFFFF"/>
          <w:lang w:val="en-US"/>
        </w:rPr>
        <w:t>https://doi.org/10.1177/1060028016660325</w:t>
      </w:r>
      <w:r>
        <w:rPr>
          <w:rStyle w:val="11"/>
          <w:rFonts w:cs="Times New Roman"/>
          <w:color w:val="auto"/>
          <w:szCs w:val="28"/>
          <w:highlight w:val="none"/>
          <w:u w:val="none"/>
          <w:shd w:val="clear" w:color="auto" w:fill="FFFFFF"/>
          <w:lang w:val="en-US"/>
        </w:rPr>
        <w:fldChar w:fldCharType="end"/>
      </w:r>
    </w:p>
    <w:p w14:paraId="63F955E0">
      <w:pPr>
        <w:widowControl w:val="0"/>
        <w:rPr>
          <w:rFonts w:cs="Times New Roman"/>
          <w:szCs w:val="28"/>
          <w:highlight w:val="none"/>
          <w:lang w:val="en-US"/>
        </w:rPr>
      </w:pPr>
      <w:r>
        <w:rPr>
          <w:rFonts w:cs="Times New Roman"/>
          <w:szCs w:val="28"/>
          <w:highlight w:val="none"/>
          <w:lang w:val="en-US"/>
        </w:rPr>
        <w:t xml:space="preserve">180. </w:t>
      </w:r>
      <w:r>
        <w:rPr>
          <w:rFonts w:cs="Times New Roman"/>
          <w:szCs w:val="28"/>
          <w:highlight w:val="none"/>
          <w:shd w:val="clear" w:color="auto" w:fill="FFFFFF"/>
          <w:lang w:val="en-US"/>
        </w:rPr>
        <w:t xml:space="preserve">ANRS CO12 CirVir Group. Eradication of Hepatitis C Virus Infection in Patients With Cirrhosis Reduces Risk of Liver and Non-Liver Complications / P. Nahon et al. </w:t>
      </w:r>
      <w:r>
        <w:rPr>
          <w:rFonts w:cs="Times New Roman"/>
          <w:i/>
          <w:szCs w:val="28"/>
          <w:highlight w:val="none"/>
          <w:shd w:val="clear" w:color="auto" w:fill="FFFFFF"/>
          <w:lang w:val="en-US"/>
        </w:rPr>
        <w:t>Gastroenterology</w:t>
      </w:r>
      <w:r>
        <w:rPr>
          <w:rFonts w:cs="Times New Roman"/>
          <w:szCs w:val="28"/>
          <w:highlight w:val="none"/>
          <w:shd w:val="clear" w:color="auto" w:fill="FFFFFF"/>
          <w:lang w:val="en-US"/>
        </w:rPr>
        <w:t>. 2017. Vol. 152 (1). P. 142</w:t>
      </w:r>
      <w:r>
        <w:rPr>
          <w:rFonts w:eastAsia="Times New Roman" w:cs="Times New Roman"/>
          <w:szCs w:val="28"/>
          <w:highlight w:val="none"/>
          <w:lang w:val="en-US" w:eastAsia="uk-UA"/>
        </w:rPr>
        <w:t>–</w:t>
      </w:r>
      <w:r>
        <w:rPr>
          <w:rFonts w:cs="Times New Roman"/>
          <w:szCs w:val="28"/>
          <w:highlight w:val="none"/>
          <w:shd w:val="clear" w:color="auto" w:fill="FFFFFF"/>
          <w:lang w:val="en-US"/>
        </w:rPr>
        <w:t>156.e2. doi: 10.1053/j.gastro.2016.09.009</w:t>
      </w:r>
    </w:p>
    <w:p w14:paraId="50FDF419">
      <w:pPr>
        <w:widowControl w:val="0"/>
        <w:rPr>
          <w:rFonts w:cs="Times New Roman"/>
          <w:szCs w:val="28"/>
          <w:highlight w:val="none"/>
          <w:lang w:val="en-US"/>
        </w:rPr>
      </w:pPr>
      <w:r>
        <w:rPr>
          <w:rFonts w:cs="Times New Roman"/>
          <w:szCs w:val="28"/>
          <w:highlight w:val="none"/>
          <w:lang w:val="en-US"/>
        </w:rPr>
        <w:t>181.</w:t>
      </w:r>
      <w:r>
        <w:rPr>
          <w:rFonts w:cs="Times New Roman"/>
          <w:szCs w:val="28"/>
          <w:highlight w:val="none"/>
          <w:shd w:val="clear" w:color="auto" w:fill="FFFFFF"/>
          <w:lang w:val="en-US"/>
        </w:rPr>
        <w:t xml:space="preserve"> </w:t>
      </w:r>
      <w:r>
        <w:rPr>
          <w:rFonts w:cs="Times New Roman"/>
          <w:szCs w:val="28"/>
          <w:highlight w:val="none"/>
          <w:shd w:val="clear" w:color="auto" w:fill="FFFFFF"/>
          <w:lang w:val="en-US"/>
        </w:rPr>
        <w:t>Efficacy and safety of direct acting antivirals for the treatment of mixed cryoglobulinemia /</w:t>
      </w:r>
      <w:r>
        <w:rPr>
          <w:rFonts w:cs="Times New Roman"/>
          <w:szCs w:val="28"/>
          <w:highlight w:val="none"/>
          <w:lang w:val="en-US"/>
        </w:rPr>
        <w:t xml:space="preserve"> J. S. Emery et al</w:t>
      </w:r>
      <w:r>
        <w:rPr>
          <w:rFonts w:cs="Times New Roman"/>
          <w:szCs w:val="28"/>
          <w:highlight w:val="none"/>
          <w:shd w:val="clear" w:color="auto" w:fill="FFFFFF"/>
          <w:lang w:val="en-US"/>
        </w:rPr>
        <w:t>. </w:t>
      </w:r>
      <w:r>
        <w:rPr>
          <w:rFonts w:cs="Times New Roman"/>
          <w:i/>
          <w:szCs w:val="28"/>
          <w:highlight w:val="none"/>
          <w:shd w:val="clear" w:color="auto" w:fill="FFFFFF"/>
          <w:lang w:val="en-US"/>
        </w:rPr>
        <w:t>Am J. Gastroenterol</w:t>
      </w:r>
      <w:r>
        <w:rPr>
          <w:rFonts w:cs="Times New Roman"/>
          <w:szCs w:val="28"/>
          <w:highlight w:val="none"/>
          <w:shd w:val="clear" w:color="auto" w:fill="FFFFFF"/>
          <w:lang w:val="en-US"/>
        </w:rPr>
        <w:t xml:space="preserve">. 2017. Vol. </w:t>
      </w:r>
      <w:r>
        <w:rPr>
          <w:rFonts w:cs="Times New Roman"/>
          <w:bCs/>
          <w:szCs w:val="28"/>
          <w:highlight w:val="none"/>
          <w:shd w:val="clear" w:color="auto" w:fill="FFFFFF"/>
          <w:lang w:val="en-US"/>
        </w:rPr>
        <w:t>112</w:t>
      </w:r>
      <w:r>
        <w:rPr>
          <w:rFonts w:cs="Times New Roman"/>
          <w:szCs w:val="28"/>
          <w:highlight w:val="none"/>
          <w:shd w:val="clear" w:color="auto" w:fill="FFFFFF"/>
          <w:lang w:val="en-US"/>
        </w:rPr>
        <w:t>. P. 1298–1308.</w:t>
      </w:r>
      <w:r>
        <w:rPr>
          <w:rFonts w:cs="Times New Roman"/>
          <w:szCs w:val="28"/>
          <w:highlight w:val="none"/>
          <w:shd w:val="clear" w:color="auto" w:fill="FFFFFF"/>
          <w:lang w:val="en-US"/>
        </w:rPr>
        <w:t xml:space="preserve"> doi: 10.1038/ajg.2017.49</w:t>
      </w:r>
    </w:p>
    <w:p w14:paraId="49B84685">
      <w:pPr>
        <w:widowControl w:val="0"/>
        <w:rPr>
          <w:rFonts w:cs="Times New Roman"/>
          <w:szCs w:val="28"/>
          <w:highlight w:val="none"/>
          <w:lang w:val="en-US"/>
        </w:rPr>
      </w:pPr>
      <w:r>
        <w:rPr>
          <w:rFonts w:cs="Times New Roman"/>
          <w:szCs w:val="28"/>
          <w:highlight w:val="none"/>
          <w:lang w:val="en-US"/>
        </w:rPr>
        <w:t xml:space="preserve">182. </w:t>
      </w:r>
      <w:r>
        <w:rPr>
          <w:rFonts w:cs="Times New Roman"/>
          <w:szCs w:val="28"/>
          <w:highlight w:val="none"/>
          <w:shd w:val="clear" w:color="auto" w:fill="FFFFFF"/>
          <w:lang w:val="en-US"/>
        </w:rPr>
        <w:t>Fehily S. R., Papaluca T., Thompson A. J. Long-term impact of direct-acting antiviral agent therapy in HCV cirrhosis: Critical review. </w:t>
      </w:r>
      <w:r>
        <w:rPr>
          <w:rStyle w:val="51"/>
          <w:rFonts w:cs="Times New Roman"/>
          <w:i/>
          <w:iCs/>
          <w:szCs w:val="28"/>
          <w:highlight w:val="none"/>
          <w:shd w:val="clear" w:color="auto" w:fill="FFFFFF"/>
          <w:lang w:val="en-US"/>
        </w:rPr>
        <w:t>Semin. Liver Dis</w:t>
      </w:r>
      <w:r>
        <w:rPr>
          <w:rStyle w:val="51"/>
          <w:rFonts w:cs="Times New Roman"/>
          <w:iCs/>
          <w:szCs w:val="28"/>
          <w:highlight w:val="none"/>
          <w:shd w:val="clear" w:color="auto" w:fill="FFFFFF"/>
          <w:lang w:val="en-US"/>
        </w:rPr>
        <w:t>.</w:t>
      </w:r>
      <w:r>
        <w:rPr>
          <w:rFonts w:cs="Times New Roman"/>
          <w:szCs w:val="28"/>
          <w:highlight w:val="none"/>
          <w:shd w:val="clear" w:color="auto" w:fill="FFFFFF"/>
          <w:lang w:val="en-US"/>
        </w:rPr>
        <w:t> </w:t>
      </w:r>
      <w:r>
        <w:rPr>
          <w:rFonts w:cs="Times New Roman"/>
          <w:bCs/>
          <w:szCs w:val="28"/>
          <w:highlight w:val="none"/>
          <w:shd w:val="clear" w:color="auto" w:fill="FFFFFF"/>
          <w:lang w:val="en-US"/>
        </w:rPr>
        <w:t>2019</w:t>
      </w:r>
      <w:r>
        <w:rPr>
          <w:rFonts w:cs="Times New Roman"/>
          <w:szCs w:val="28"/>
          <w:highlight w:val="none"/>
          <w:shd w:val="clear" w:color="auto" w:fill="FFFFFF"/>
          <w:lang w:val="en-US"/>
        </w:rPr>
        <w:t xml:space="preserve">. Vol. </w:t>
      </w:r>
      <w:r>
        <w:rPr>
          <w:rStyle w:val="51"/>
          <w:rFonts w:cs="Times New Roman"/>
          <w:iCs/>
          <w:szCs w:val="28"/>
          <w:highlight w:val="none"/>
          <w:shd w:val="clear" w:color="auto" w:fill="FFFFFF"/>
          <w:lang w:val="en-US"/>
        </w:rPr>
        <w:t>39</w:t>
      </w:r>
      <w:r>
        <w:rPr>
          <w:rFonts w:cs="Times New Roman"/>
          <w:szCs w:val="28"/>
          <w:highlight w:val="none"/>
          <w:shd w:val="clear" w:color="auto" w:fill="FFFFFF"/>
          <w:lang w:val="en-US"/>
        </w:rPr>
        <w:t>. P. 341–353. </w:t>
      </w:r>
      <w:r>
        <w:rPr>
          <w:rStyle w:val="53"/>
          <w:rFonts w:cs="Times New Roman"/>
          <w:szCs w:val="28"/>
          <w:highlight w:val="none"/>
          <w:lang w:val="en-US"/>
        </w:rPr>
        <w:t>doi: </w:t>
      </w:r>
      <w:r>
        <w:rPr>
          <w:highlight w:val="none"/>
        </w:rPr>
        <w:fldChar w:fldCharType="begin"/>
      </w:r>
      <w:r>
        <w:rPr>
          <w:highlight w:val="none"/>
        </w:rPr>
        <w:instrText xml:space="preserve"> HYPERLINK "https://doi.org/10.1055/s-0039-1685538" \t "_blank" </w:instrText>
      </w:r>
      <w:r>
        <w:rPr>
          <w:highlight w:val="none"/>
        </w:rPr>
        <w:fldChar w:fldCharType="separate"/>
      </w:r>
      <w:r>
        <w:rPr>
          <w:rStyle w:val="11"/>
          <w:rFonts w:cs="Times New Roman"/>
          <w:color w:val="auto"/>
          <w:szCs w:val="28"/>
          <w:highlight w:val="none"/>
          <w:u w:val="none"/>
          <w:lang w:val="en-US"/>
        </w:rPr>
        <w:t>10.1055/s-0039-1685538</w:t>
      </w:r>
      <w:r>
        <w:rPr>
          <w:rStyle w:val="11"/>
          <w:rFonts w:cs="Times New Roman"/>
          <w:color w:val="auto"/>
          <w:szCs w:val="28"/>
          <w:highlight w:val="none"/>
          <w:u w:val="none"/>
          <w:lang w:val="en-US"/>
        </w:rPr>
        <w:fldChar w:fldCharType="end"/>
      </w:r>
    </w:p>
    <w:p w14:paraId="302CC58E">
      <w:pPr>
        <w:widowControl w:val="0"/>
        <w:rPr>
          <w:rFonts w:cs="Times New Roman"/>
          <w:szCs w:val="28"/>
          <w:highlight w:val="none"/>
          <w:lang w:val="en-US"/>
        </w:rPr>
      </w:pPr>
      <w:r>
        <w:rPr>
          <w:rFonts w:cs="Times New Roman"/>
          <w:szCs w:val="28"/>
          <w:highlight w:val="none"/>
          <w:lang w:val="en-US"/>
        </w:rPr>
        <w:t xml:space="preserve">183. </w:t>
      </w:r>
      <w:r>
        <w:rPr>
          <w:rStyle w:val="12"/>
          <w:rFonts w:cs="Times New Roman"/>
          <w:b w:val="0"/>
          <w:szCs w:val="28"/>
          <w:highlight w:val="none"/>
          <w:lang w:val="en-US"/>
        </w:rPr>
        <w:t xml:space="preserve">Changes in hepatic venous pressure gradient predict hepatic decompensation in patients who achieved sustained virologic response to interferon-free therapy / </w:t>
      </w:r>
      <w:r>
        <w:rPr>
          <w:rFonts w:cs="Times New Roman"/>
          <w:szCs w:val="28"/>
          <w:highlight w:val="none"/>
          <w:lang w:val="en-US"/>
        </w:rPr>
        <w:t>M. Mandorfer</w:t>
      </w:r>
      <w:r>
        <w:rPr>
          <w:rStyle w:val="10"/>
          <w:rFonts w:cs="Times New Roman"/>
          <w:szCs w:val="28"/>
          <w:highlight w:val="none"/>
          <w:lang w:val="en-US"/>
        </w:rPr>
        <w:t xml:space="preserve"> et al. </w:t>
      </w:r>
      <w:r>
        <w:rPr>
          <w:rFonts w:cs="Times New Roman"/>
          <w:i/>
          <w:szCs w:val="28"/>
          <w:highlight w:val="none"/>
          <w:lang w:val="en-US"/>
        </w:rPr>
        <w:t>Hepatology</w:t>
      </w:r>
      <w:r>
        <w:rPr>
          <w:rFonts w:cs="Times New Roman"/>
          <w:szCs w:val="28"/>
          <w:highlight w:val="none"/>
          <w:lang w:val="en-US"/>
        </w:rPr>
        <w:t>. 2020. Vol. 71. P. 1023</w:t>
      </w:r>
      <w:r>
        <w:rPr>
          <w:rFonts w:eastAsia="Times New Roman" w:cs="Times New Roman"/>
          <w:szCs w:val="28"/>
          <w:highlight w:val="none"/>
          <w:lang w:val="en-US" w:eastAsia="uk-UA"/>
        </w:rPr>
        <w:t>–</w:t>
      </w:r>
      <w:r>
        <w:rPr>
          <w:rFonts w:cs="Times New Roman"/>
          <w:szCs w:val="28"/>
          <w:highlight w:val="none"/>
          <w:lang w:val="en-US"/>
        </w:rPr>
        <w:t xml:space="preserve">1036. doi: </w:t>
      </w:r>
      <w:r>
        <w:rPr>
          <w:highlight w:val="none"/>
        </w:rPr>
        <w:fldChar w:fldCharType="begin"/>
      </w:r>
      <w:r>
        <w:rPr>
          <w:highlight w:val="none"/>
        </w:rPr>
        <w:instrText xml:space="preserve"> HYPERLINK "https://doi.org/10.1002/hep.30885" </w:instrText>
      </w:r>
      <w:r>
        <w:rPr>
          <w:highlight w:val="none"/>
        </w:rPr>
        <w:fldChar w:fldCharType="separate"/>
      </w:r>
      <w:r>
        <w:rPr>
          <w:rStyle w:val="11"/>
          <w:rFonts w:cs="Times New Roman"/>
          <w:bCs/>
          <w:color w:val="auto"/>
          <w:szCs w:val="28"/>
          <w:highlight w:val="none"/>
          <w:u w:val="none"/>
          <w:shd w:val="clear" w:color="auto" w:fill="FFFFFF"/>
          <w:lang w:val="en-US"/>
        </w:rPr>
        <w:t>https://doi.org/10.1002/hep.30885</w:t>
      </w:r>
      <w:r>
        <w:rPr>
          <w:rStyle w:val="11"/>
          <w:rFonts w:cs="Times New Roman"/>
          <w:bCs/>
          <w:color w:val="auto"/>
          <w:szCs w:val="28"/>
          <w:highlight w:val="none"/>
          <w:u w:val="none"/>
          <w:shd w:val="clear" w:color="auto" w:fill="FFFFFF"/>
          <w:lang w:val="en-US"/>
        </w:rPr>
        <w:fldChar w:fldCharType="end"/>
      </w:r>
    </w:p>
    <w:p w14:paraId="02A05A4B">
      <w:pPr>
        <w:widowControl w:val="0"/>
        <w:rPr>
          <w:rFonts w:cs="Times New Roman"/>
          <w:szCs w:val="28"/>
          <w:highlight w:val="none"/>
          <w:lang w:val="en-US"/>
        </w:rPr>
      </w:pPr>
      <w:r>
        <w:rPr>
          <w:rFonts w:cs="Times New Roman"/>
          <w:szCs w:val="28"/>
          <w:highlight w:val="none"/>
          <w:lang w:val="en-US"/>
        </w:rPr>
        <w:t xml:space="preserve">184. </w:t>
      </w:r>
      <w:r>
        <w:rPr>
          <w:rStyle w:val="12"/>
          <w:rFonts w:cs="Times New Roman"/>
          <w:b w:val="0"/>
          <w:szCs w:val="28"/>
          <w:highlight w:val="none"/>
          <w:lang w:val="en-US"/>
        </w:rPr>
        <w:t xml:space="preserve">Portal pressure and liver stiffness measurements in the prediction of fibrosis regression after sustained virological response in recurrent hepatitis C / </w:t>
      </w:r>
      <w:r>
        <w:rPr>
          <w:rFonts w:cs="Times New Roman"/>
          <w:szCs w:val="28"/>
          <w:highlight w:val="none"/>
          <w:lang w:val="en-US"/>
        </w:rPr>
        <w:t xml:space="preserve">E. Mauro </w:t>
      </w:r>
      <w:r>
        <w:rPr>
          <w:rStyle w:val="10"/>
          <w:rFonts w:cs="Times New Roman"/>
          <w:szCs w:val="28"/>
          <w:highlight w:val="none"/>
          <w:lang w:val="en-US"/>
        </w:rPr>
        <w:t xml:space="preserve">et al. </w:t>
      </w:r>
      <w:r>
        <w:rPr>
          <w:rFonts w:cs="Times New Roman"/>
          <w:i/>
          <w:szCs w:val="28"/>
          <w:highlight w:val="none"/>
          <w:lang w:val="en-US"/>
        </w:rPr>
        <w:t>Hepatology.</w:t>
      </w:r>
      <w:r>
        <w:rPr>
          <w:rFonts w:cs="Times New Roman"/>
          <w:szCs w:val="28"/>
          <w:highlight w:val="none"/>
          <w:lang w:val="en-US"/>
        </w:rPr>
        <w:t> 2018. Vol. 67. P. 1683</w:t>
      </w:r>
      <w:r>
        <w:rPr>
          <w:rFonts w:eastAsia="Times New Roman" w:cs="Times New Roman"/>
          <w:szCs w:val="28"/>
          <w:highlight w:val="none"/>
          <w:lang w:val="en-US" w:eastAsia="uk-UA"/>
        </w:rPr>
        <w:t>–</w:t>
      </w:r>
      <w:r>
        <w:rPr>
          <w:rFonts w:cs="Times New Roman"/>
          <w:szCs w:val="28"/>
          <w:highlight w:val="none"/>
          <w:lang w:val="en-US"/>
        </w:rPr>
        <w:t xml:space="preserve">1694. doi: </w:t>
      </w:r>
      <w:r>
        <w:rPr>
          <w:highlight w:val="none"/>
        </w:rPr>
        <w:fldChar w:fldCharType="begin"/>
      </w:r>
      <w:r>
        <w:rPr>
          <w:highlight w:val="none"/>
        </w:rPr>
        <w:instrText xml:space="preserve"> HYPERLINK "https://doi.org/10.1002/hep.29557" </w:instrText>
      </w:r>
      <w:r>
        <w:rPr>
          <w:highlight w:val="none"/>
        </w:rPr>
        <w:fldChar w:fldCharType="separate"/>
      </w:r>
      <w:r>
        <w:rPr>
          <w:rStyle w:val="11"/>
          <w:rFonts w:cs="Times New Roman"/>
          <w:bCs/>
          <w:color w:val="auto"/>
          <w:szCs w:val="28"/>
          <w:highlight w:val="none"/>
          <w:u w:val="none"/>
          <w:shd w:val="clear" w:color="auto" w:fill="FFFFFF"/>
          <w:lang w:val="en-US"/>
        </w:rPr>
        <w:t>https://doi.org/10.1002/hep.29557</w:t>
      </w:r>
      <w:r>
        <w:rPr>
          <w:rStyle w:val="11"/>
          <w:rFonts w:cs="Times New Roman"/>
          <w:bCs/>
          <w:color w:val="auto"/>
          <w:szCs w:val="28"/>
          <w:highlight w:val="none"/>
          <w:u w:val="none"/>
          <w:shd w:val="clear" w:color="auto" w:fill="FFFFFF"/>
          <w:lang w:val="en-US"/>
        </w:rPr>
        <w:fldChar w:fldCharType="end"/>
      </w:r>
    </w:p>
    <w:p w14:paraId="610F775D">
      <w:pPr>
        <w:widowControl w:val="0"/>
        <w:rPr>
          <w:rFonts w:cs="Times New Roman"/>
          <w:szCs w:val="28"/>
          <w:highlight w:val="none"/>
          <w:lang w:val="en-US"/>
        </w:rPr>
      </w:pPr>
      <w:r>
        <w:rPr>
          <w:rFonts w:cs="Times New Roman"/>
          <w:szCs w:val="28"/>
          <w:highlight w:val="none"/>
          <w:lang w:val="en-US"/>
        </w:rPr>
        <w:t xml:space="preserve">185. </w:t>
      </w:r>
      <w:r>
        <w:rPr>
          <w:rStyle w:val="12"/>
          <w:rFonts w:cs="Times New Roman"/>
          <w:b w:val="0"/>
          <w:szCs w:val="28"/>
          <w:highlight w:val="none"/>
          <w:lang w:val="en-US"/>
        </w:rPr>
        <w:t xml:space="preserve">Hepatitis C virus infection and rheumatic diseases: the impact of direct-acting antiviral agents / </w:t>
      </w:r>
      <w:r>
        <w:rPr>
          <w:rFonts w:cs="Times New Roman"/>
          <w:szCs w:val="28"/>
          <w:highlight w:val="none"/>
          <w:lang w:val="en-US"/>
        </w:rPr>
        <w:t xml:space="preserve">P. Cacoub, C. Commarmond, D. Sadoun, A. C. Desbois. </w:t>
      </w:r>
      <w:r>
        <w:rPr>
          <w:rFonts w:cs="Times New Roman"/>
          <w:i/>
          <w:szCs w:val="28"/>
          <w:highlight w:val="none"/>
          <w:lang w:val="en-US"/>
        </w:rPr>
        <w:t>Rheum Dis Clin North Am</w:t>
      </w:r>
      <w:r>
        <w:rPr>
          <w:rFonts w:cs="Times New Roman"/>
          <w:szCs w:val="28"/>
          <w:highlight w:val="none"/>
          <w:lang w:val="en-US"/>
        </w:rPr>
        <w:t>. 2017. Vol. 43. P. 123</w:t>
      </w:r>
      <w:r>
        <w:rPr>
          <w:rFonts w:eastAsia="Times New Roman" w:cs="Times New Roman"/>
          <w:szCs w:val="28"/>
          <w:highlight w:val="none"/>
          <w:lang w:val="en-US" w:eastAsia="uk-UA"/>
        </w:rPr>
        <w:t>–</w:t>
      </w:r>
      <w:r>
        <w:rPr>
          <w:rFonts w:cs="Times New Roman"/>
          <w:szCs w:val="28"/>
          <w:highlight w:val="none"/>
          <w:lang w:val="en-US"/>
        </w:rPr>
        <w:t xml:space="preserve">132. </w:t>
      </w:r>
      <w:r>
        <w:rPr>
          <w:rStyle w:val="52"/>
          <w:rFonts w:cs="Times New Roman"/>
          <w:szCs w:val="28"/>
          <w:highlight w:val="none"/>
          <w:lang w:val="en-US"/>
        </w:rPr>
        <w:t xml:space="preserve">doi: </w:t>
      </w:r>
      <w:r>
        <w:rPr>
          <w:highlight w:val="none"/>
        </w:rPr>
        <w:fldChar w:fldCharType="begin"/>
      </w:r>
      <w:r>
        <w:rPr>
          <w:highlight w:val="none"/>
        </w:rPr>
        <w:instrText xml:space="preserve"> HYPERLINK "https://doi.org/10.1016/j.rdc.2016.09.011" </w:instrText>
      </w:r>
      <w:r>
        <w:rPr>
          <w:highlight w:val="none"/>
        </w:rPr>
        <w:fldChar w:fldCharType="separate"/>
      </w:r>
      <w:r>
        <w:rPr>
          <w:rStyle w:val="11"/>
          <w:rFonts w:cs="Times New Roman"/>
          <w:color w:val="auto"/>
          <w:szCs w:val="28"/>
          <w:highlight w:val="none"/>
          <w:u w:val="none"/>
          <w:lang w:val="en-US"/>
        </w:rPr>
        <w:t>https://doi.org/10.1016/j.rdc.2016.09.011</w:t>
      </w:r>
      <w:r>
        <w:rPr>
          <w:rStyle w:val="11"/>
          <w:rFonts w:cs="Times New Roman"/>
          <w:color w:val="auto"/>
          <w:szCs w:val="28"/>
          <w:highlight w:val="none"/>
          <w:u w:val="none"/>
          <w:lang w:val="en-US"/>
        </w:rPr>
        <w:fldChar w:fldCharType="end"/>
      </w:r>
    </w:p>
    <w:p w14:paraId="5720FFEE">
      <w:pPr>
        <w:widowControl w:val="0"/>
        <w:rPr>
          <w:rFonts w:cs="Times New Roman"/>
          <w:szCs w:val="28"/>
          <w:highlight w:val="none"/>
          <w:lang w:val="en-US"/>
        </w:rPr>
      </w:pPr>
      <w:r>
        <w:rPr>
          <w:rFonts w:cs="Times New Roman"/>
          <w:szCs w:val="28"/>
          <w:highlight w:val="none"/>
          <w:lang w:val="en-US"/>
        </w:rPr>
        <w:t xml:space="preserve">186. van der Meer A. J., Berenguer M. </w:t>
      </w:r>
      <w:r>
        <w:rPr>
          <w:rStyle w:val="12"/>
          <w:rFonts w:cs="Times New Roman"/>
          <w:b w:val="0"/>
          <w:szCs w:val="28"/>
          <w:highlight w:val="none"/>
          <w:lang w:val="en-US"/>
        </w:rPr>
        <w:t xml:space="preserve">Reversion of disease manifestations after HCV eradication. </w:t>
      </w:r>
      <w:r>
        <w:rPr>
          <w:rFonts w:cs="Times New Roman"/>
          <w:i/>
          <w:szCs w:val="28"/>
          <w:highlight w:val="none"/>
          <w:lang w:val="en-US"/>
        </w:rPr>
        <w:t>J. Hepatol</w:t>
      </w:r>
      <w:r>
        <w:rPr>
          <w:rFonts w:cs="Times New Roman"/>
          <w:szCs w:val="28"/>
          <w:highlight w:val="none"/>
          <w:lang w:val="en-US"/>
        </w:rPr>
        <w:t>. 2016. Vol. 65. P. S95</w:t>
      </w:r>
      <w:r>
        <w:rPr>
          <w:rFonts w:eastAsia="Times New Roman" w:cs="Times New Roman"/>
          <w:szCs w:val="28"/>
          <w:highlight w:val="none"/>
          <w:lang w:val="en-US" w:eastAsia="uk-UA"/>
        </w:rPr>
        <w:t>–</w:t>
      </w:r>
      <w:r>
        <w:rPr>
          <w:rFonts w:cs="Times New Roman"/>
          <w:szCs w:val="28"/>
          <w:highlight w:val="none"/>
          <w:lang w:val="en-US"/>
        </w:rPr>
        <w:t xml:space="preserve">S108. doi: </w:t>
      </w:r>
      <w:r>
        <w:rPr>
          <w:highlight w:val="none"/>
        </w:rPr>
        <w:fldChar w:fldCharType="begin"/>
      </w:r>
      <w:r>
        <w:rPr>
          <w:highlight w:val="none"/>
        </w:rPr>
        <w:instrText xml:space="preserve"> HYPERLINK "https://doi.org/10.1016/j.jhep.2016.07.039"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https://doi.org/10.1016/j.jhep.2016.07.039</w:t>
      </w:r>
      <w:r>
        <w:rPr>
          <w:rStyle w:val="11"/>
          <w:rFonts w:cs="Times New Roman"/>
          <w:color w:val="auto"/>
          <w:szCs w:val="28"/>
          <w:highlight w:val="none"/>
          <w:u w:val="none"/>
          <w:lang w:val="en-US"/>
        </w:rPr>
        <w:fldChar w:fldCharType="end"/>
      </w:r>
    </w:p>
    <w:p w14:paraId="2E7B4D21">
      <w:pPr>
        <w:widowControl w:val="0"/>
        <w:rPr>
          <w:rFonts w:cs="Times New Roman"/>
          <w:szCs w:val="28"/>
          <w:highlight w:val="none"/>
          <w:lang w:val="en-US"/>
        </w:rPr>
      </w:pPr>
      <w:r>
        <w:rPr>
          <w:rFonts w:cs="Times New Roman"/>
          <w:szCs w:val="28"/>
          <w:highlight w:val="none"/>
          <w:lang w:val="en-US"/>
        </w:rPr>
        <w:t xml:space="preserve">187. </w:t>
      </w:r>
      <w:r>
        <w:rPr>
          <w:rStyle w:val="12"/>
          <w:rFonts w:cs="Times New Roman"/>
          <w:b w:val="0"/>
          <w:szCs w:val="28"/>
          <w:highlight w:val="none"/>
          <w:lang w:val="en-US"/>
        </w:rPr>
        <w:t xml:space="preserve">The effect of sustained virological response on the risk of extrahepatic manifestations of hepatitis C virus infection / </w:t>
      </w:r>
      <w:r>
        <w:rPr>
          <w:rFonts w:cs="Times New Roman"/>
          <w:szCs w:val="28"/>
          <w:highlight w:val="none"/>
          <w:lang w:val="en-US"/>
        </w:rPr>
        <w:t>P. Mahale</w:t>
      </w:r>
      <w:r>
        <w:rPr>
          <w:rStyle w:val="10"/>
          <w:rFonts w:cs="Times New Roman"/>
          <w:szCs w:val="28"/>
          <w:highlight w:val="none"/>
          <w:lang w:val="en-US"/>
        </w:rPr>
        <w:t xml:space="preserve"> et al. </w:t>
      </w:r>
      <w:r>
        <w:rPr>
          <w:rFonts w:cs="Times New Roman"/>
          <w:i/>
          <w:szCs w:val="28"/>
          <w:highlight w:val="none"/>
          <w:lang w:val="en-US"/>
        </w:rPr>
        <w:t>Gut</w:t>
      </w:r>
      <w:r>
        <w:rPr>
          <w:rFonts w:cs="Times New Roman"/>
          <w:szCs w:val="28"/>
          <w:highlight w:val="none"/>
          <w:lang w:val="en-US"/>
        </w:rPr>
        <w:t>. 2018. Vol. 67. P. 553</w:t>
      </w:r>
      <w:r>
        <w:rPr>
          <w:rFonts w:eastAsia="Times New Roman" w:cs="Times New Roman"/>
          <w:szCs w:val="28"/>
          <w:highlight w:val="none"/>
          <w:lang w:val="en-US" w:eastAsia="uk-UA"/>
        </w:rPr>
        <w:t>–</w:t>
      </w:r>
      <w:r>
        <w:rPr>
          <w:rFonts w:cs="Times New Roman"/>
          <w:szCs w:val="28"/>
          <w:highlight w:val="none"/>
          <w:lang w:val="en-US"/>
        </w:rPr>
        <w:t xml:space="preserve">561. doi: </w:t>
      </w:r>
      <w:r>
        <w:rPr>
          <w:highlight w:val="none"/>
        </w:rPr>
        <w:fldChar w:fldCharType="begin"/>
      </w:r>
      <w:r>
        <w:rPr>
          <w:highlight w:val="none"/>
        </w:rPr>
        <w:instrText xml:space="preserve"> HYPERLINK "http://dx.doi.org/10.1136/gutjnl-2017-313983" \t "_new" </w:instrText>
      </w:r>
      <w:r>
        <w:rPr>
          <w:highlight w:val="none"/>
        </w:rPr>
        <w:fldChar w:fldCharType="separate"/>
      </w:r>
      <w:r>
        <w:rPr>
          <w:rStyle w:val="11"/>
          <w:rFonts w:cs="Times New Roman"/>
          <w:color w:val="auto"/>
          <w:szCs w:val="28"/>
          <w:highlight w:val="none"/>
          <w:u w:val="none"/>
          <w:shd w:val="clear" w:color="auto" w:fill="FFFFFF"/>
          <w:lang w:val="en-US"/>
        </w:rPr>
        <w:t>http://dx.doi.org/10.1136/gutjnl-2017-313983</w:t>
      </w:r>
      <w:r>
        <w:rPr>
          <w:rStyle w:val="11"/>
          <w:rFonts w:cs="Times New Roman"/>
          <w:color w:val="auto"/>
          <w:szCs w:val="28"/>
          <w:highlight w:val="none"/>
          <w:u w:val="none"/>
          <w:shd w:val="clear" w:color="auto" w:fill="FFFFFF"/>
          <w:lang w:val="en-US"/>
        </w:rPr>
        <w:fldChar w:fldCharType="end"/>
      </w:r>
    </w:p>
    <w:p w14:paraId="023C815C">
      <w:pPr>
        <w:widowControl w:val="0"/>
        <w:rPr>
          <w:rFonts w:cs="Times New Roman"/>
          <w:szCs w:val="28"/>
          <w:highlight w:val="none"/>
          <w:lang w:val="en-US"/>
        </w:rPr>
      </w:pPr>
      <w:r>
        <w:rPr>
          <w:rFonts w:cs="Times New Roman"/>
          <w:szCs w:val="28"/>
          <w:highlight w:val="none"/>
          <w:lang w:val="en-US"/>
        </w:rPr>
        <w:t xml:space="preserve">188. Negro F. </w:t>
      </w:r>
      <w:r>
        <w:rPr>
          <w:rStyle w:val="12"/>
          <w:rFonts w:cs="Times New Roman"/>
          <w:b w:val="0"/>
          <w:szCs w:val="28"/>
          <w:highlight w:val="none"/>
          <w:lang w:val="en-US"/>
        </w:rPr>
        <w:t xml:space="preserve">Expanded benefits of curing the extrahepatic manifestations of HCV infection. </w:t>
      </w:r>
      <w:r>
        <w:rPr>
          <w:rFonts w:cs="Times New Roman"/>
          <w:i/>
          <w:szCs w:val="28"/>
          <w:highlight w:val="none"/>
          <w:lang w:val="en-US"/>
        </w:rPr>
        <w:t>Gut.</w:t>
      </w:r>
      <w:r>
        <w:rPr>
          <w:rFonts w:cs="Times New Roman"/>
          <w:szCs w:val="28"/>
          <w:highlight w:val="none"/>
          <w:lang w:val="en-US"/>
        </w:rPr>
        <w:t> 2018. Vol. 67. P. 1917</w:t>
      </w:r>
      <w:r>
        <w:rPr>
          <w:rFonts w:eastAsia="Times New Roman" w:cs="Times New Roman"/>
          <w:szCs w:val="28"/>
          <w:highlight w:val="none"/>
          <w:lang w:val="en-US" w:eastAsia="uk-UA"/>
        </w:rPr>
        <w:t>–</w:t>
      </w:r>
      <w:r>
        <w:rPr>
          <w:rFonts w:cs="Times New Roman"/>
          <w:szCs w:val="28"/>
          <w:highlight w:val="none"/>
          <w:lang w:val="en-US"/>
        </w:rPr>
        <w:t xml:space="preserve">1919. doi: </w:t>
      </w:r>
      <w:r>
        <w:rPr>
          <w:highlight w:val="none"/>
        </w:rPr>
        <w:fldChar w:fldCharType="begin"/>
      </w:r>
      <w:r>
        <w:rPr>
          <w:highlight w:val="none"/>
        </w:rPr>
        <w:instrText xml:space="preserve"> HYPERLINK "http://dx.doi.org/10.1136/gutjnl-2018-316578" \t "_new" </w:instrText>
      </w:r>
      <w:r>
        <w:rPr>
          <w:highlight w:val="none"/>
        </w:rPr>
        <w:fldChar w:fldCharType="separate"/>
      </w:r>
      <w:r>
        <w:rPr>
          <w:rStyle w:val="11"/>
          <w:rFonts w:cs="Times New Roman"/>
          <w:color w:val="auto"/>
          <w:szCs w:val="28"/>
          <w:highlight w:val="none"/>
          <w:u w:val="none"/>
          <w:shd w:val="clear" w:color="auto" w:fill="FFFFFF"/>
          <w:lang w:val="en-US"/>
        </w:rPr>
        <w:t>http://dx.doi.org/10.1136/gutjnl-2018-316578</w:t>
      </w:r>
      <w:r>
        <w:rPr>
          <w:rStyle w:val="11"/>
          <w:rFonts w:cs="Times New Roman"/>
          <w:color w:val="auto"/>
          <w:szCs w:val="28"/>
          <w:highlight w:val="none"/>
          <w:u w:val="none"/>
          <w:shd w:val="clear" w:color="auto" w:fill="FFFFFF"/>
          <w:lang w:val="en-US"/>
        </w:rPr>
        <w:fldChar w:fldCharType="end"/>
      </w:r>
    </w:p>
    <w:p w14:paraId="09B1EED7">
      <w:pPr>
        <w:widowControl w:val="0"/>
        <w:rPr>
          <w:rFonts w:cs="Times New Roman"/>
          <w:szCs w:val="28"/>
          <w:highlight w:val="none"/>
          <w:lang w:val="en-US"/>
        </w:rPr>
      </w:pPr>
      <w:r>
        <w:rPr>
          <w:rFonts w:cs="Times New Roman"/>
          <w:szCs w:val="28"/>
          <w:highlight w:val="none"/>
          <w:lang w:val="en-US"/>
        </w:rPr>
        <w:t xml:space="preserve">189. </w:t>
      </w:r>
      <w:r>
        <w:rPr>
          <w:rStyle w:val="12"/>
          <w:rFonts w:cs="Times New Roman"/>
          <w:b w:val="0"/>
          <w:szCs w:val="28"/>
          <w:highlight w:val="none"/>
          <w:lang w:val="en-US"/>
        </w:rPr>
        <w:t xml:space="preserve">Survival of patients with HCV cirrhosis and sustained virologic response is similar to the general population / </w:t>
      </w:r>
      <w:r>
        <w:rPr>
          <w:rFonts w:cs="Times New Roman"/>
          <w:szCs w:val="28"/>
          <w:highlight w:val="none"/>
          <w:lang w:val="en-US"/>
        </w:rPr>
        <w:t>S. Bruno</w:t>
      </w:r>
      <w:r>
        <w:rPr>
          <w:rStyle w:val="10"/>
          <w:rFonts w:cs="Times New Roman"/>
          <w:szCs w:val="28"/>
          <w:highlight w:val="none"/>
          <w:lang w:val="en-US"/>
        </w:rPr>
        <w:t xml:space="preserve"> et al. </w:t>
      </w:r>
      <w:r>
        <w:rPr>
          <w:rFonts w:cs="Times New Roman"/>
          <w:i/>
          <w:szCs w:val="28"/>
          <w:highlight w:val="none"/>
          <w:lang w:val="en-US"/>
        </w:rPr>
        <w:t>J. Hepatol</w:t>
      </w:r>
      <w:r>
        <w:rPr>
          <w:rFonts w:cs="Times New Roman"/>
          <w:szCs w:val="28"/>
          <w:highlight w:val="none"/>
          <w:lang w:val="en-US"/>
        </w:rPr>
        <w:t>. 2016. Vol. 64. P. 1217</w:t>
      </w:r>
      <w:r>
        <w:rPr>
          <w:rFonts w:eastAsia="Times New Roman" w:cs="Times New Roman"/>
          <w:szCs w:val="28"/>
          <w:highlight w:val="none"/>
          <w:lang w:val="en-US" w:eastAsia="uk-UA"/>
        </w:rPr>
        <w:t>–</w:t>
      </w:r>
      <w:r>
        <w:rPr>
          <w:rFonts w:cs="Times New Roman"/>
          <w:szCs w:val="28"/>
          <w:highlight w:val="none"/>
          <w:lang w:val="en-US"/>
        </w:rPr>
        <w:t xml:space="preserve">1223. doi: </w:t>
      </w:r>
      <w:r>
        <w:rPr>
          <w:highlight w:val="none"/>
        </w:rPr>
        <w:fldChar w:fldCharType="begin"/>
      </w:r>
      <w:r>
        <w:rPr>
          <w:highlight w:val="none"/>
        </w:rPr>
        <w:instrText xml:space="preserve"> HYPERLINK "https://doi.org/10.1016/j.jhep.2016.01.034"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https://doi.org/10.1016/j.jhep.2016.01.034</w:t>
      </w:r>
      <w:r>
        <w:rPr>
          <w:rStyle w:val="11"/>
          <w:rFonts w:cs="Times New Roman"/>
          <w:color w:val="auto"/>
          <w:szCs w:val="28"/>
          <w:highlight w:val="none"/>
          <w:u w:val="none"/>
          <w:lang w:val="en-US"/>
        </w:rPr>
        <w:fldChar w:fldCharType="end"/>
      </w:r>
    </w:p>
    <w:p w14:paraId="77D83FDD">
      <w:pPr>
        <w:widowControl w:val="0"/>
        <w:rPr>
          <w:rFonts w:cs="Times New Roman"/>
          <w:szCs w:val="28"/>
          <w:highlight w:val="none"/>
          <w:lang w:val="en-US"/>
        </w:rPr>
      </w:pPr>
      <w:r>
        <w:rPr>
          <w:rFonts w:cs="Times New Roman"/>
          <w:szCs w:val="28"/>
          <w:highlight w:val="none"/>
          <w:lang w:val="en-US"/>
        </w:rPr>
        <w:t xml:space="preserve">190. </w:t>
      </w:r>
      <w:r>
        <w:rPr>
          <w:rStyle w:val="12"/>
          <w:rFonts w:cs="Times New Roman"/>
          <w:b w:val="0"/>
          <w:szCs w:val="28"/>
          <w:highlight w:val="none"/>
          <w:lang w:val="en-US"/>
        </w:rPr>
        <w:t xml:space="preserve">Risk of hepatocellular cancer in HCV patients treated with direct-acting antiviral agents / </w:t>
      </w:r>
      <w:r>
        <w:rPr>
          <w:rFonts w:cs="Times New Roman"/>
          <w:szCs w:val="28"/>
          <w:highlight w:val="none"/>
          <w:lang w:val="en-US"/>
        </w:rPr>
        <w:t xml:space="preserve">F. Kanwal et al. </w:t>
      </w:r>
      <w:r>
        <w:rPr>
          <w:rFonts w:cs="Times New Roman"/>
          <w:i/>
          <w:szCs w:val="28"/>
          <w:highlight w:val="none"/>
          <w:lang w:val="en-US"/>
        </w:rPr>
        <w:t>Gastroenterology</w:t>
      </w:r>
      <w:r>
        <w:rPr>
          <w:rFonts w:cs="Times New Roman"/>
          <w:szCs w:val="28"/>
          <w:highlight w:val="none"/>
          <w:lang w:val="en-US"/>
        </w:rPr>
        <w:t>. 2017. Vol. 153. P. 996</w:t>
      </w:r>
      <w:r>
        <w:rPr>
          <w:rFonts w:eastAsia="Times New Roman" w:cs="Times New Roman"/>
          <w:szCs w:val="28"/>
          <w:highlight w:val="none"/>
          <w:lang w:val="en-US" w:eastAsia="uk-UA"/>
        </w:rPr>
        <w:t>–</w:t>
      </w:r>
      <w:r>
        <w:rPr>
          <w:rFonts w:cs="Times New Roman"/>
          <w:szCs w:val="28"/>
          <w:highlight w:val="none"/>
          <w:lang w:val="en-US"/>
        </w:rPr>
        <w:t xml:space="preserve">1005. doi: </w:t>
      </w:r>
      <w:r>
        <w:rPr>
          <w:highlight w:val="none"/>
        </w:rPr>
        <w:fldChar w:fldCharType="begin"/>
      </w:r>
      <w:r>
        <w:rPr>
          <w:highlight w:val="none"/>
        </w:rPr>
        <w:instrText xml:space="preserve"> HYPERLINK "https://doi.org/10.1053/j.gastro.2017.06.012"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https://doi.org/10.1053/j.gastro.2017.06.012</w:t>
      </w:r>
      <w:r>
        <w:rPr>
          <w:rStyle w:val="11"/>
          <w:rFonts w:cs="Times New Roman"/>
          <w:color w:val="auto"/>
          <w:szCs w:val="28"/>
          <w:highlight w:val="none"/>
          <w:u w:val="none"/>
          <w:lang w:val="en-US"/>
        </w:rPr>
        <w:fldChar w:fldCharType="end"/>
      </w:r>
    </w:p>
    <w:p w14:paraId="4B517145">
      <w:pPr>
        <w:widowControl w:val="0"/>
        <w:rPr>
          <w:rFonts w:cs="Times New Roman"/>
          <w:szCs w:val="28"/>
          <w:highlight w:val="none"/>
          <w:lang w:val="en-US"/>
        </w:rPr>
      </w:pPr>
      <w:r>
        <w:rPr>
          <w:rFonts w:cs="Times New Roman"/>
          <w:szCs w:val="28"/>
          <w:highlight w:val="none"/>
          <w:lang w:val="en-US"/>
        </w:rPr>
        <w:t xml:space="preserve">191. </w:t>
      </w:r>
      <w:r>
        <w:rPr>
          <w:rStyle w:val="12"/>
          <w:rFonts w:cs="Times New Roman"/>
          <w:b w:val="0"/>
          <w:szCs w:val="28"/>
          <w:highlight w:val="none"/>
          <w:lang w:val="en-US"/>
        </w:rPr>
        <w:t xml:space="preserve">Development of models estimating the risk of hepatocellular carcinoma after antiviral treatment for hepatitis C / </w:t>
      </w:r>
      <w:r>
        <w:rPr>
          <w:rFonts w:cs="Times New Roman"/>
          <w:szCs w:val="28"/>
          <w:highlight w:val="none"/>
          <w:lang w:val="en-US"/>
        </w:rPr>
        <w:t xml:space="preserve">G. N. Ioannou et al. </w:t>
      </w:r>
      <w:r>
        <w:rPr>
          <w:rFonts w:cs="Times New Roman"/>
          <w:i/>
          <w:szCs w:val="28"/>
          <w:highlight w:val="none"/>
          <w:lang w:val="en-US"/>
        </w:rPr>
        <w:t>J. Hepatol</w:t>
      </w:r>
      <w:r>
        <w:rPr>
          <w:rFonts w:cs="Times New Roman"/>
          <w:szCs w:val="28"/>
          <w:highlight w:val="none"/>
          <w:lang w:val="en-US"/>
        </w:rPr>
        <w:t>. 2018. Vol. 69. P. 1088</w:t>
      </w:r>
      <w:r>
        <w:rPr>
          <w:rFonts w:eastAsia="Times New Roman" w:cs="Times New Roman"/>
          <w:szCs w:val="28"/>
          <w:highlight w:val="none"/>
          <w:lang w:val="en-US" w:eastAsia="uk-UA"/>
        </w:rPr>
        <w:t>–</w:t>
      </w:r>
      <w:r>
        <w:rPr>
          <w:rFonts w:cs="Times New Roman"/>
          <w:szCs w:val="28"/>
          <w:highlight w:val="none"/>
          <w:lang w:val="en-US"/>
        </w:rPr>
        <w:t xml:space="preserve">1098. doi: </w:t>
      </w:r>
      <w:r>
        <w:rPr>
          <w:highlight w:val="none"/>
        </w:rPr>
        <w:fldChar w:fldCharType="begin"/>
      </w:r>
      <w:r>
        <w:rPr>
          <w:highlight w:val="none"/>
        </w:rPr>
        <w:instrText xml:space="preserve"> HYPERLINK "https://doi.org/10.1016/j.jhep.2018.07.024"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https://doi.org/10.1016/j.jhep.2018.07.024</w:t>
      </w:r>
      <w:r>
        <w:rPr>
          <w:rStyle w:val="11"/>
          <w:rFonts w:cs="Times New Roman"/>
          <w:color w:val="auto"/>
          <w:szCs w:val="28"/>
          <w:highlight w:val="none"/>
          <w:u w:val="none"/>
          <w:lang w:val="en-US"/>
        </w:rPr>
        <w:fldChar w:fldCharType="end"/>
      </w:r>
    </w:p>
    <w:p w14:paraId="130C5B65">
      <w:pPr>
        <w:widowControl w:val="0"/>
        <w:rPr>
          <w:rFonts w:cs="Times New Roman"/>
          <w:szCs w:val="28"/>
          <w:highlight w:val="none"/>
          <w:lang w:val="en-US"/>
        </w:rPr>
      </w:pPr>
      <w:r>
        <w:rPr>
          <w:rFonts w:cs="Times New Roman"/>
          <w:szCs w:val="28"/>
          <w:highlight w:val="none"/>
          <w:lang w:val="en-US"/>
        </w:rPr>
        <w:t xml:space="preserve">192. </w:t>
      </w:r>
      <w:r>
        <w:rPr>
          <w:rStyle w:val="12"/>
          <w:rFonts w:cs="Times New Roman"/>
          <w:b w:val="0"/>
          <w:szCs w:val="28"/>
          <w:highlight w:val="none"/>
          <w:lang w:val="en-US"/>
        </w:rPr>
        <w:t xml:space="preserve">Incidence of hepatocellular carcinoma in patients with HCV-associated cirrhosis treated with direct-acting antiviral agents / </w:t>
      </w:r>
      <w:r>
        <w:rPr>
          <w:rFonts w:cs="Times New Roman"/>
          <w:szCs w:val="28"/>
          <w:highlight w:val="none"/>
          <w:lang w:val="en-US"/>
        </w:rPr>
        <w:t xml:space="preserve">V. Calvaruso </w:t>
      </w:r>
      <w:r>
        <w:rPr>
          <w:rStyle w:val="10"/>
          <w:rFonts w:cs="Times New Roman"/>
          <w:szCs w:val="28"/>
          <w:highlight w:val="none"/>
          <w:lang w:val="en-US"/>
        </w:rPr>
        <w:t xml:space="preserve">et al. </w:t>
      </w:r>
      <w:r>
        <w:rPr>
          <w:rFonts w:cs="Times New Roman"/>
          <w:i/>
          <w:szCs w:val="28"/>
          <w:highlight w:val="none"/>
          <w:lang w:val="en-US"/>
        </w:rPr>
        <w:t>Gastroenterology.</w:t>
      </w:r>
      <w:r>
        <w:rPr>
          <w:rFonts w:cs="Times New Roman"/>
          <w:szCs w:val="28"/>
          <w:highlight w:val="none"/>
          <w:lang w:val="en-US"/>
        </w:rPr>
        <w:t> 2018. Vol. 155. P. 411</w:t>
      </w:r>
      <w:r>
        <w:rPr>
          <w:rFonts w:eastAsia="Times New Roman" w:cs="Times New Roman"/>
          <w:szCs w:val="28"/>
          <w:highlight w:val="none"/>
          <w:lang w:val="en-US" w:eastAsia="uk-UA"/>
        </w:rPr>
        <w:t>–</w:t>
      </w:r>
      <w:r>
        <w:rPr>
          <w:rFonts w:cs="Times New Roman"/>
          <w:szCs w:val="28"/>
          <w:highlight w:val="none"/>
          <w:lang w:val="en-US"/>
        </w:rPr>
        <w:t xml:space="preserve">421. doi: </w:t>
      </w:r>
      <w:r>
        <w:rPr>
          <w:highlight w:val="none"/>
        </w:rPr>
        <w:fldChar w:fldCharType="begin"/>
      </w:r>
      <w:r>
        <w:rPr>
          <w:highlight w:val="none"/>
        </w:rPr>
        <w:instrText xml:space="preserve"> HYPERLINK "https://doi.org/10.1053/j.gastro.2018.04.008"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https://doi.org/10.1053/j.gastro.2018.04.008</w:t>
      </w:r>
      <w:r>
        <w:rPr>
          <w:rStyle w:val="11"/>
          <w:rFonts w:cs="Times New Roman"/>
          <w:color w:val="auto"/>
          <w:szCs w:val="28"/>
          <w:highlight w:val="none"/>
          <w:u w:val="none"/>
          <w:lang w:val="en-US"/>
        </w:rPr>
        <w:fldChar w:fldCharType="end"/>
      </w:r>
    </w:p>
    <w:p w14:paraId="2D8F65EF">
      <w:pPr>
        <w:widowControl w:val="0"/>
        <w:rPr>
          <w:rFonts w:cs="Times New Roman"/>
          <w:szCs w:val="28"/>
          <w:highlight w:val="none"/>
          <w:lang w:val="en-US"/>
        </w:rPr>
      </w:pPr>
      <w:r>
        <w:rPr>
          <w:rFonts w:cs="Times New Roman"/>
          <w:szCs w:val="28"/>
          <w:highlight w:val="none"/>
          <w:lang w:val="en-US"/>
        </w:rPr>
        <w:t xml:space="preserve">193. </w:t>
      </w:r>
      <w:r>
        <w:rPr>
          <w:rStyle w:val="12"/>
          <w:rFonts w:cs="Times New Roman"/>
          <w:b w:val="0"/>
          <w:szCs w:val="28"/>
          <w:highlight w:val="none"/>
          <w:lang w:val="en-US"/>
        </w:rPr>
        <w:t xml:space="preserve">The short-term incidence of hepatocellular carcinoma is not increased after hepatitis C treatment with direct-acting antivirals: an ERCHIVES study / </w:t>
      </w:r>
      <w:r>
        <w:rPr>
          <w:rFonts w:cs="Times New Roman"/>
          <w:szCs w:val="28"/>
          <w:highlight w:val="none"/>
          <w:lang w:val="en-US"/>
        </w:rPr>
        <w:t>D. K. Li</w:t>
      </w:r>
      <w:r>
        <w:rPr>
          <w:rStyle w:val="10"/>
          <w:rFonts w:cs="Times New Roman"/>
          <w:szCs w:val="28"/>
          <w:highlight w:val="none"/>
          <w:lang w:val="en-US"/>
        </w:rPr>
        <w:t xml:space="preserve"> et al. </w:t>
      </w:r>
      <w:r>
        <w:rPr>
          <w:rFonts w:cs="Times New Roman"/>
          <w:i/>
          <w:szCs w:val="28"/>
          <w:highlight w:val="none"/>
          <w:lang w:val="en-US"/>
        </w:rPr>
        <w:t>Hepatology</w:t>
      </w:r>
      <w:r>
        <w:rPr>
          <w:rFonts w:cs="Times New Roman"/>
          <w:szCs w:val="28"/>
          <w:highlight w:val="none"/>
          <w:lang w:val="en-US"/>
        </w:rPr>
        <w:t>. 2018. Vol. 67. P. 2244</w:t>
      </w:r>
      <w:r>
        <w:rPr>
          <w:rFonts w:eastAsia="Times New Roman" w:cs="Times New Roman"/>
          <w:szCs w:val="28"/>
          <w:highlight w:val="none"/>
          <w:lang w:val="en-US" w:eastAsia="uk-UA"/>
        </w:rPr>
        <w:t>–</w:t>
      </w:r>
      <w:r>
        <w:rPr>
          <w:rFonts w:cs="Times New Roman"/>
          <w:szCs w:val="28"/>
          <w:highlight w:val="none"/>
          <w:lang w:val="en-US"/>
        </w:rPr>
        <w:t xml:space="preserve">2253. doi: </w:t>
      </w:r>
      <w:r>
        <w:rPr>
          <w:highlight w:val="none"/>
        </w:rPr>
        <w:fldChar w:fldCharType="begin"/>
      </w:r>
      <w:r>
        <w:rPr>
          <w:highlight w:val="none"/>
        </w:rPr>
        <w:instrText xml:space="preserve"> HYPERLINK "https://doi.org/10.1002/hep.29707" </w:instrText>
      </w:r>
      <w:r>
        <w:rPr>
          <w:highlight w:val="none"/>
        </w:rPr>
        <w:fldChar w:fldCharType="separate"/>
      </w:r>
      <w:r>
        <w:rPr>
          <w:rStyle w:val="11"/>
          <w:rFonts w:cs="Times New Roman"/>
          <w:bCs/>
          <w:color w:val="auto"/>
          <w:szCs w:val="28"/>
          <w:highlight w:val="none"/>
          <w:u w:val="none"/>
          <w:shd w:val="clear" w:color="auto" w:fill="FFFFFF"/>
          <w:lang w:val="en-US"/>
        </w:rPr>
        <w:t>https://doi.org/10.1002/hep.29707</w:t>
      </w:r>
      <w:r>
        <w:rPr>
          <w:rStyle w:val="11"/>
          <w:rFonts w:cs="Times New Roman"/>
          <w:bCs/>
          <w:color w:val="auto"/>
          <w:szCs w:val="28"/>
          <w:highlight w:val="none"/>
          <w:u w:val="none"/>
          <w:shd w:val="clear" w:color="auto" w:fill="FFFFFF"/>
          <w:lang w:val="en-US"/>
        </w:rPr>
        <w:fldChar w:fldCharType="end"/>
      </w:r>
    </w:p>
    <w:p w14:paraId="0D31FECD">
      <w:pPr>
        <w:widowControl w:val="0"/>
        <w:rPr>
          <w:rFonts w:cs="Times New Roman"/>
          <w:szCs w:val="28"/>
          <w:highlight w:val="none"/>
          <w:lang w:val="en-US"/>
        </w:rPr>
      </w:pPr>
      <w:r>
        <w:rPr>
          <w:rFonts w:cs="Times New Roman"/>
          <w:szCs w:val="28"/>
          <w:highlight w:val="none"/>
          <w:lang w:val="en-US"/>
        </w:rPr>
        <w:t xml:space="preserve">194. </w:t>
      </w:r>
      <w:r>
        <w:rPr>
          <w:rStyle w:val="57"/>
          <w:rFonts w:cs="Times New Roman"/>
          <w:szCs w:val="28"/>
          <w:highlight w:val="none"/>
          <w:lang w:val="en-US"/>
        </w:rPr>
        <w:t>Late relapse versus hepatitis C virus reinfection in patients with sustained virologic response after sofosbuvir-based therapies</w:t>
      </w:r>
      <w:r>
        <w:rPr>
          <w:rFonts w:cs="Times New Roman"/>
          <w:szCs w:val="28"/>
          <w:highlight w:val="none"/>
          <w:lang w:val="en-US"/>
        </w:rPr>
        <w:t xml:space="preserve"> / </w:t>
      </w:r>
      <w:r>
        <w:rPr>
          <w:rStyle w:val="56"/>
          <w:rFonts w:cs="Times New Roman"/>
          <w:szCs w:val="28"/>
          <w:highlight w:val="none"/>
          <w:lang w:val="en-US"/>
        </w:rPr>
        <w:t>C. Sarrazin</w:t>
      </w:r>
      <w:r>
        <w:rPr>
          <w:rFonts w:cs="Times New Roman"/>
          <w:szCs w:val="28"/>
          <w:highlight w:val="none"/>
          <w:lang w:val="en-US"/>
        </w:rPr>
        <w:t xml:space="preserve"> et al. </w:t>
      </w:r>
      <w:r>
        <w:rPr>
          <w:rFonts w:cs="Times New Roman"/>
          <w:i/>
          <w:iCs/>
          <w:szCs w:val="28"/>
          <w:highlight w:val="none"/>
          <w:lang w:val="en-US"/>
        </w:rPr>
        <w:t>Clin Infect Dis</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2017</w:t>
      </w:r>
      <w:r>
        <w:rPr>
          <w:rFonts w:cs="Times New Roman"/>
          <w:szCs w:val="28"/>
          <w:highlight w:val="none"/>
          <w:lang w:val="en-US"/>
        </w:rPr>
        <w:t>. Vol. </w:t>
      </w:r>
      <w:r>
        <w:rPr>
          <w:rStyle w:val="59"/>
          <w:rFonts w:cs="Times New Roman"/>
          <w:bCs/>
          <w:szCs w:val="28"/>
          <w:highlight w:val="none"/>
          <w:lang w:val="en-US"/>
        </w:rPr>
        <w:t>64</w:t>
      </w:r>
      <w:r>
        <w:rPr>
          <w:rFonts w:cs="Times New Roman"/>
          <w:szCs w:val="28"/>
          <w:highlight w:val="none"/>
          <w:lang w:val="en-US"/>
        </w:rPr>
        <w:t xml:space="preserve">. P. </w:t>
      </w:r>
      <w:r>
        <w:rPr>
          <w:rStyle w:val="60"/>
          <w:rFonts w:cs="Times New Roman"/>
          <w:szCs w:val="28"/>
          <w:highlight w:val="none"/>
          <w:lang w:val="en-US"/>
        </w:rPr>
        <w:t>44</w:t>
      </w:r>
      <w:r>
        <w:rPr>
          <w:rFonts w:eastAsia="Times New Roman" w:cs="Times New Roman"/>
          <w:szCs w:val="28"/>
          <w:highlight w:val="none"/>
          <w:lang w:val="en-US" w:eastAsia="uk-UA"/>
        </w:rPr>
        <w:t>–</w:t>
      </w:r>
      <w:r>
        <w:rPr>
          <w:rStyle w:val="61"/>
          <w:rFonts w:cs="Times New Roman" w:eastAsiaTheme="majorEastAsia"/>
          <w:szCs w:val="28"/>
          <w:highlight w:val="none"/>
          <w:lang w:val="en-US"/>
        </w:rPr>
        <w:t>52</w:t>
      </w:r>
      <w:r>
        <w:rPr>
          <w:rFonts w:cs="Times New Roman"/>
          <w:szCs w:val="28"/>
          <w:highlight w:val="none"/>
          <w:lang w:val="en-US"/>
        </w:rPr>
        <w:t xml:space="preserve">. doi: </w:t>
      </w:r>
      <w:r>
        <w:rPr>
          <w:highlight w:val="none"/>
        </w:rPr>
        <w:fldChar w:fldCharType="begin"/>
      </w:r>
      <w:r>
        <w:rPr>
          <w:highlight w:val="none"/>
        </w:rPr>
        <w:instrText xml:space="preserve"> HYPERLINK "https://doi.org/10.1093/cid/ciw676" </w:instrText>
      </w:r>
      <w:r>
        <w:rPr>
          <w:highlight w:val="none"/>
        </w:rPr>
        <w:fldChar w:fldCharType="separate"/>
      </w:r>
      <w:r>
        <w:rPr>
          <w:rStyle w:val="11"/>
          <w:rFonts w:cs="Times New Roman"/>
          <w:color w:val="auto"/>
          <w:szCs w:val="28"/>
          <w:highlight w:val="none"/>
          <w:u w:val="none"/>
          <w:shd w:val="clear" w:color="auto" w:fill="FFFFFF"/>
          <w:lang w:val="en-US"/>
        </w:rPr>
        <w:t>https://doi.org/10.1093/cid/ciw676</w:t>
      </w:r>
      <w:r>
        <w:rPr>
          <w:rStyle w:val="11"/>
          <w:rFonts w:cs="Times New Roman"/>
          <w:color w:val="auto"/>
          <w:szCs w:val="28"/>
          <w:highlight w:val="none"/>
          <w:u w:val="none"/>
          <w:shd w:val="clear" w:color="auto" w:fill="FFFFFF"/>
          <w:lang w:val="en-US"/>
        </w:rPr>
        <w:fldChar w:fldCharType="end"/>
      </w:r>
    </w:p>
    <w:p w14:paraId="288CDE95">
      <w:pPr>
        <w:widowControl w:val="0"/>
        <w:rPr>
          <w:rFonts w:cs="Times New Roman"/>
          <w:szCs w:val="28"/>
          <w:highlight w:val="none"/>
          <w:lang w:val="en-US"/>
        </w:rPr>
      </w:pPr>
      <w:r>
        <w:rPr>
          <w:rFonts w:cs="Times New Roman"/>
          <w:szCs w:val="28"/>
          <w:highlight w:val="none"/>
          <w:lang w:val="en-US"/>
        </w:rPr>
        <w:t xml:space="preserve">195. </w:t>
      </w:r>
      <w:r>
        <w:rPr>
          <w:rStyle w:val="57"/>
          <w:rFonts w:cs="Times New Roman"/>
          <w:szCs w:val="28"/>
          <w:highlight w:val="none"/>
          <w:lang w:val="en-US"/>
        </w:rPr>
        <w:t>Risk of late relapse or reinfection with hepatitis C virus after achieving a sustained virological response: a systematic review and meta-analysis</w:t>
      </w:r>
      <w:r>
        <w:rPr>
          <w:rFonts w:cs="Times New Roman"/>
          <w:szCs w:val="28"/>
          <w:highlight w:val="none"/>
          <w:lang w:val="en-US"/>
        </w:rPr>
        <w:t xml:space="preserve"> /</w:t>
      </w:r>
      <w:r>
        <w:rPr>
          <w:rStyle w:val="56"/>
          <w:rFonts w:cs="Times New Roman"/>
          <w:szCs w:val="28"/>
          <w:highlight w:val="none"/>
          <w:lang w:val="en-US"/>
        </w:rPr>
        <w:t xml:space="preserve"> B. Simmons et al. </w:t>
      </w:r>
      <w:r>
        <w:rPr>
          <w:rFonts w:cs="Times New Roman"/>
          <w:i/>
          <w:iCs/>
          <w:szCs w:val="28"/>
          <w:highlight w:val="none"/>
          <w:lang w:val="en-US"/>
        </w:rPr>
        <w:t>Clin Infect Dis</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2016</w:t>
      </w:r>
      <w:r>
        <w:rPr>
          <w:rFonts w:cs="Times New Roman"/>
          <w:szCs w:val="28"/>
          <w:highlight w:val="none"/>
          <w:lang w:val="en-US"/>
        </w:rPr>
        <w:t xml:space="preserve">. Vol. </w:t>
      </w:r>
      <w:r>
        <w:rPr>
          <w:rStyle w:val="59"/>
          <w:rFonts w:cs="Times New Roman"/>
          <w:bCs/>
          <w:szCs w:val="28"/>
          <w:highlight w:val="none"/>
          <w:lang w:val="en-US"/>
        </w:rPr>
        <w:t>62</w:t>
      </w:r>
      <w:r>
        <w:rPr>
          <w:rFonts w:cs="Times New Roman"/>
          <w:szCs w:val="28"/>
          <w:highlight w:val="none"/>
          <w:lang w:val="en-US"/>
        </w:rPr>
        <w:t>. P. </w:t>
      </w:r>
      <w:r>
        <w:rPr>
          <w:rStyle w:val="60"/>
          <w:rFonts w:cs="Times New Roman"/>
          <w:szCs w:val="28"/>
          <w:highlight w:val="none"/>
          <w:lang w:val="en-US"/>
        </w:rPr>
        <w:t>683</w:t>
      </w:r>
      <w:r>
        <w:rPr>
          <w:rFonts w:eastAsia="Times New Roman" w:cs="Times New Roman"/>
          <w:szCs w:val="28"/>
          <w:highlight w:val="none"/>
          <w:lang w:val="en-US" w:eastAsia="uk-UA"/>
        </w:rPr>
        <w:t>–</w:t>
      </w:r>
      <w:r>
        <w:rPr>
          <w:rStyle w:val="61"/>
          <w:rFonts w:cs="Times New Roman"/>
          <w:szCs w:val="28"/>
          <w:highlight w:val="none"/>
          <w:lang w:val="en-US"/>
        </w:rPr>
        <w:t>694</w:t>
      </w:r>
      <w:r>
        <w:rPr>
          <w:rFonts w:cs="Times New Roman"/>
          <w:szCs w:val="28"/>
          <w:highlight w:val="none"/>
          <w:lang w:val="en-US"/>
        </w:rPr>
        <w:t xml:space="preserve">. doi : </w:t>
      </w:r>
      <w:r>
        <w:rPr>
          <w:highlight w:val="none"/>
        </w:rPr>
        <w:fldChar w:fldCharType="begin"/>
      </w:r>
      <w:r>
        <w:rPr>
          <w:highlight w:val="none"/>
        </w:rPr>
        <w:instrText xml:space="preserve"> HYPERLINK "https://doi.org/10.1093/cid/civ948" </w:instrText>
      </w:r>
      <w:r>
        <w:rPr>
          <w:highlight w:val="none"/>
        </w:rPr>
        <w:fldChar w:fldCharType="separate"/>
      </w:r>
      <w:r>
        <w:rPr>
          <w:rStyle w:val="11"/>
          <w:rFonts w:cs="Times New Roman"/>
          <w:color w:val="auto"/>
          <w:szCs w:val="28"/>
          <w:highlight w:val="none"/>
          <w:u w:val="none"/>
          <w:shd w:val="clear" w:color="auto" w:fill="FFFFFF"/>
          <w:lang w:val="en-US"/>
        </w:rPr>
        <w:t>https://doi.org/10.1093/cid/civ948</w:t>
      </w:r>
      <w:r>
        <w:rPr>
          <w:rStyle w:val="11"/>
          <w:rFonts w:cs="Times New Roman"/>
          <w:color w:val="auto"/>
          <w:szCs w:val="28"/>
          <w:highlight w:val="none"/>
          <w:u w:val="none"/>
          <w:shd w:val="clear" w:color="auto" w:fill="FFFFFF"/>
          <w:lang w:val="en-US"/>
        </w:rPr>
        <w:fldChar w:fldCharType="end"/>
      </w:r>
    </w:p>
    <w:p w14:paraId="4C5E94BA">
      <w:pPr>
        <w:widowControl w:val="0"/>
        <w:rPr>
          <w:rFonts w:cs="Times New Roman"/>
          <w:szCs w:val="28"/>
          <w:highlight w:val="none"/>
          <w:lang w:val="en-US"/>
        </w:rPr>
      </w:pPr>
      <w:r>
        <w:rPr>
          <w:rFonts w:cs="Times New Roman"/>
          <w:szCs w:val="28"/>
          <w:highlight w:val="none"/>
          <w:lang w:val="en-US"/>
        </w:rPr>
        <w:t xml:space="preserve">196. </w:t>
      </w:r>
      <w:r>
        <w:rPr>
          <w:rStyle w:val="57"/>
          <w:rFonts w:cs="Times New Roman"/>
          <w:szCs w:val="28"/>
          <w:highlight w:val="none"/>
          <w:lang w:val="en-US"/>
        </w:rPr>
        <w:t>Diagnosis, staging, and management of hepatocellular carcinoma: 2018 practice guidance by the American Association for the Study of Liver Diseases</w:t>
      </w:r>
      <w:r>
        <w:rPr>
          <w:rFonts w:cs="Times New Roman"/>
          <w:szCs w:val="28"/>
          <w:highlight w:val="none"/>
          <w:lang w:val="en-US"/>
        </w:rPr>
        <w:t xml:space="preserve"> /</w:t>
      </w:r>
      <w:r>
        <w:rPr>
          <w:rStyle w:val="56"/>
          <w:rFonts w:cs="Times New Roman"/>
          <w:szCs w:val="28"/>
          <w:highlight w:val="none"/>
          <w:lang w:val="en-US"/>
        </w:rPr>
        <w:t xml:space="preserve"> J. A. Marrero</w:t>
      </w:r>
      <w:r>
        <w:rPr>
          <w:rFonts w:cs="Times New Roman"/>
          <w:szCs w:val="28"/>
          <w:highlight w:val="none"/>
          <w:lang w:val="en-US"/>
        </w:rPr>
        <w:t xml:space="preserve"> et al. </w:t>
      </w:r>
      <w:r>
        <w:rPr>
          <w:rFonts w:cs="Times New Roman"/>
          <w:i/>
          <w:iCs/>
          <w:szCs w:val="28"/>
          <w:highlight w:val="none"/>
          <w:lang w:val="en-US"/>
        </w:rPr>
        <w:t>Hepatology</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2018</w:t>
      </w:r>
      <w:r>
        <w:rPr>
          <w:rFonts w:cs="Times New Roman"/>
          <w:szCs w:val="28"/>
          <w:highlight w:val="none"/>
          <w:lang w:val="en-US"/>
        </w:rPr>
        <w:t xml:space="preserve">. Vol. </w:t>
      </w:r>
      <w:r>
        <w:rPr>
          <w:rStyle w:val="59"/>
          <w:rFonts w:cs="Times New Roman"/>
          <w:bCs/>
          <w:szCs w:val="28"/>
          <w:highlight w:val="none"/>
          <w:lang w:val="en-US"/>
        </w:rPr>
        <w:t>68</w:t>
      </w:r>
      <w:r>
        <w:rPr>
          <w:rFonts w:cs="Times New Roman"/>
          <w:szCs w:val="28"/>
          <w:highlight w:val="none"/>
          <w:lang w:val="en-US"/>
        </w:rPr>
        <w:t xml:space="preserve">. P. </w:t>
      </w:r>
      <w:r>
        <w:rPr>
          <w:rStyle w:val="60"/>
          <w:rFonts w:cs="Times New Roman"/>
          <w:szCs w:val="28"/>
          <w:highlight w:val="none"/>
          <w:lang w:val="en-US"/>
        </w:rPr>
        <w:t>723</w:t>
      </w:r>
      <w:r>
        <w:rPr>
          <w:rFonts w:eastAsia="Times New Roman" w:cs="Times New Roman"/>
          <w:szCs w:val="28"/>
          <w:highlight w:val="none"/>
          <w:lang w:val="en-US" w:eastAsia="uk-UA"/>
        </w:rPr>
        <w:t>–</w:t>
      </w:r>
      <w:r>
        <w:rPr>
          <w:rStyle w:val="61"/>
          <w:rFonts w:cs="Times New Roman"/>
          <w:szCs w:val="28"/>
          <w:highlight w:val="none"/>
          <w:lang w:val="en-US"/>
        </w:rPr>
        <w:t>750</w:t>
      </w:r>
      <w:r>
        <w:rPr>
          <w:rFonts w:cs="Times New Roman"/>
          <w:szCs w:val="28"/>
          <w:highlight w:val="none"/>
          <w:lang w:val="en-US"/>
        </w:rPr>
        <w:t xml:space="preserve">. doi: </w:t>
      </w:r>
      <w:r>
        <w:rPr>
          <w:highlight w:val="none"/>
        </w:rPr>
        <w:fldChar w:fldCharType="begin"/>
      </w:r>
      <w:r>
        <w:rPr>
          <w:highlight w:val="none"/>
        </w:rPr>
        <w:instrText xml:space="preserve"> HYPERLINK "https://doi.org/10.1002/hep.29913" </w:instrText>
      </w:r>
      <w:r>
        <w:rPr>
          <w:highlight w:val="none"/>
        </w:rPr>
        <w:fldChar w:fldCharType="separate"/>
      </w:r>
      <w:r>
        <w:rPr>
          <w:rStyle w:val="11"/>
          <w:rFonts w:cs="Times New Roman"/>
          <w:bCs/>
          <w:color w:val="auto"/>
          <w:szCs w:val="28"/>
          <w:highlight w:val="none"/>
          <w:u w:val="none"/>
          <w:shd w:val="clear" w:color="auto" w:fill="FFFFFF"/>
          <w:lang w:val="en-US"/>
        </w:rPr>
        <w:t>https://doi.org/10.1002/hep.29913</w:t>
      </w:r>
      <w:r>
        <w:rPr>
          <w:rStyle w:val="11"/>
          <w:rFonts w:cs="Times New Roman"/>
          <w:bCs/>
          <w:color w:val="auto"/>
          <w:szCs w:val="28"/>
          <w:highlight w:val="none"/>
          <w:u w:val="none"/>
          <w:shd w:val="clear" w:color="auto" w:fill="FFFFFF"/>
          <w:lang w:val="en-US"/>
        </w:rPr>
        <w:fldChar w:fldCharType="end"/>
      </w:r>
    </w:p>
    <w:p w14:paraId="30FD3A71">
      <w:pPr>
        <w:widowControl w:val="0"/>
        <w:rPr>
          <w:rFonts w:cs="Times New Roman"/>
          <w:szCs w:val="28"/>
          <w:highlight w:val="none"/>
          <w:lang w:val="en-US"/>
        </w:rPr>
      </w:pPr>
      <w:r>
        <w:rPr>
          <w:rFonts w:cs="Times New Roman"/>
          <w:szCs w:val="28"/>
          <w:highlight w:val="none"/>
          <w:lang w:val="en-US"/>
        </w:rPr>
        <w:t>197.</w:t>
      </w:r>
      <w:r>
        <w:rPr>
          <w:rStyle w:val="68"/>
          <w:rFonts w:cs="Times New Roman"/>
          <w:szCs w:val="28"/>
          <w:highlight w:val="none"/>
          <w:lang w:val="en-US"/>
        </w:rPr>
        <w:t xml:space="preserve"> </w:t>
      </w:r>
      <w:r>
        <w:rPr>
          <w:rStyle w:val="57"/>
          <w:rFonts w:cs="Times New Roman"/>
          <w:szCs w:val="28"/>
          <w:highlight w:val="none"/>
          <w:lang w:val="en-US"/>
        </w:rPr>
        <w:t>Portal hypertensive bleeding in cirrhosis: risk stratification, diagnosis, and management: 2016 practice guidance by the American Association for the Study of Liver Diseases</w:t>
      </w:r>
      <w:r>
        <w:rPr>
          <w:rFonts w:cs="Times New Roman"/>
          <w:szCs w:val="28"/>
          <w:highlight w:val="none"/>
          <w:lang w:val="en-US"/>
        </w:rPr>
        <w:t xml:space="preserve"> /</w:t>
      </w:r>
      <w:r>
        <w:rPr>
          <w:rStyle w:val="56"/>
          <w:rFonts w:cs="Times New Roman"/>
          <w:szCs w:val="28"/>
          <w:highlight w:val="none"/>
          <w:lang w:val="en-US"/>
        </w:rPr>
        <w:t xml:space="preserve"> G. Garcia-Tsao</w:t>
      </w:r>
      <w:r>
        <w:rPr>
          <w:rFonts w:cs="Times New Roman"/>
          <w:szCs w:val="28"/>
          <w:highlight w:val="none"/>
          <w:lang w:val="en-US"/>
        </w:rPr>
        <w:t>, </w:t>
      </w:r>
      <w:r>
        <w:rPr>
          <w:rStyle w:val="56"/>
          <w:rFonts w:cs="Times New Roman"/>
          <w:szCs w:val="28"/>
          <w:highlight w:val="none"/>
          <w:lang w:val="en-US"/>
        </w:rPr>
        <w:t>J. G. Abraldes</w:t>
      </w:r>
      <w:r>
        <w:rPr>
          <w:rFonts w:cs="Times New Roman"/>
          <w:szCs w:val="28"/>
          <w:highlight w:val="none"/>
          <w:lang w:val="en-US"/>
        </w:rPr>
        <w:t>,</w:t>
      </w:r>
      <w:r>
        <w:rPr>
          <w:rStyle w:val="56"/>
          <w:rFonts w:cs="Times New Roman"/>
          <w:szCs w:val="28"/>
          <w:highlight w:val="none"/>
          <w:lang w:val="en-US"/>
        </w:rPr>
        <w:t xml:space="preserve"> A. Berzigotti</w:t>
      </w:r>
      <w:r>
        <w:rPr>
          <w:rFonts w:cs="Times New Roman"/>
          <w:szCs w:val="28"/>
          <w:highlight w:val="none"/>
          <w:lang w:val="en-US"/>
        </w:rPr>
        <w:t>,</w:t>
      </w:r>
      <w:r>
        <w:rPr>
          <w:rStyle w:val="56"/>
          <w:rFonts w:cs="Times New Roman"/>
          <w:szCs w:val="28"/>
          <w:highlight w:val="none"/>
          <w:lang w:val="en-US"/>
        </w:rPr>
        <w:t xml:space="preserve"> J</w:t>
      </w:r>
      <w:r>
        <w:rPr>
          <w:rFonts w:cs="Times New Roman"/>
          <w:szCs w:val="28"/>
          <w:highlight w:val="none"/>
          <w:lang w:val="en-US"/>
        </w:rPr>
        <w:t>. </w:t>
      </w:r>
      <w:r>
        <w:rPr>
          <w:rStyle w:val="56"/>
          <w:rFonts w:cs="Times New Roman"/>
          <w:szCs w:val="28"/>
          <w:highlight w:val="none"/>
          <w:lang w:val="en-US"/>
        </w:rPr>
        <w:t xml:space="preserve">Bosch. </w:t>
      </w:r>
      <w:r>
        <w:rPr>
          <w:rFonts w:cs="Times New Roman"/>
          <w:i/>
          <w:iCs/>
          <w:szCs w:val="28"/>
          <w:highlight w:val="none"/>
          <w:lang w:val="en-US"/>
        </w:rPr>
        <w:t>Hepatology</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2017</w:t>
      </w:r>
      <w:r>
        <w:rPr>
          <w:rFonts w:cs="Times New Roman"/>
          <w:szCs w:val="28"/>
          <w:highlight w:val="none"/>
          <w:lang w:val="en-US"/>
        </w:rPr>
        <w:t xml:space="preserve">. Vol. </w:t>
      </w:r>
      <w:r>
        <w:rPr>
          <w:rStyle w:val="59"/>
          <w:rFonts w:cs="Times New Roman"/>
          <w:bCs/>
          <w:szCs w:val="28"/>
          <w:highlight w:val="none"/>
          <w:lang w:val="en-US"/>
        </w:rPr>
        <w:t>65</w:t>
      </w:r>
      <w:r>
        <w:rPr>
          <w:rFonts w:cs="Times New Roman"/>
          <w:szCs w:val="28"/>
          <w:highlight w:val="none"/>
          <w:lang w:val="en-US"/>
        </w:rPr>
        <w:t xml:space="preserve">. P. </w:t>
      </w:r>
      <w:r>
        <w:rPr>
          <w:rStyle w:val="60"/>
          <w:rFonts w:cs="Times New Roman"/>
          <w:szCs w:val="28"/>
          <w:highlight w:val="none"/>
          <w:lang w:val="en-US"/>
        </w:rPr>
        <w:t>310</w:t>
      </w:r>
      <w:r>
        <w:rPr>
          <w:rFonts w:eastAsia="Times New Roman" w:cs="Times New Roman"/>
          <w:szCs w:val="28"/>
          <w:highlight w:val="none"/>
          <w:lang w:val="en-US" w:eastAsia="uk-UA"/>
        </w:rPr>
        <w:t>–</w:t>
      </w:r>
      <w:r>
        <w:rPr>
          <w:rStyle w:val="61"/>
          <w:rFonts w:cs="Times New Roman"/>
          <w:szCs w:val="28"/>
          <w:highlight w:val="none"/>
          <w:lang w:val="en-US"/>
        </w:rPr>
        <w:t>335</w:t>
      </w:r>
      <w:r>
        <w:rPr>
          <w:rFonts w:cs="Times New Roman"/>
          <w:szCs w:val="28"/>
          <w:highlight w:val="none"/>
          <w:lang w:val="en-US"/>
        </w:rPr>
        <w:t xml:space="preserve">. </w:t>
      </w:r>
      <w:r>
        <w:rPr>
          <w:rFonts w:cs="Times New Roman"/>
          <w:szCs w:val="28"/>
          <w:highlight w:val="none"/>
          <w:shd w:val="clear" w:color="auto" w:fill="FFFFFF"/>
          <w:lang w:val="en-US"/>
        </w:rPr>
        <w:t>doi: </w:t>
      </w:r>
      <w:r>
        <w:rPr>
          <w:highlight w:val="none"/>
        </w:rPr>
        <w:fldChar w:fldCharType="begin"/>
      </w:r>
      <w:r>
        <w:rPr>
          <w:highlight w:val="none"/>
        </w:rPr>
        <w:instrText xml:space="preserve"> HYPERLINK "https://doi.org/10.1002/hep.28906" </w:instrText>
      </w:r>
      <w:r>
        <w:rPr>
          <w:highlight w:val="none"/>
        </w:rPr>
        <w:fldChar w:fldCharType="separate"/>
      </w:r>
      <w:r>
        <w:rPr>
          <w:rStyle w:val="11"/>
          <w:rFonts w:cs="Times New Roman"/>
          <w:color w:val="auto"/>
          <w:szCs w:val="28"/>
          <w:highlight w:val="none"/>
          <w:u w:val="none"/>
          <w:shd w:val="clear" w:color="auto" w:fill="FFFFFF"/>
          <w:lang w:val="en-US"/>
        </w:rPr>
        <w:t>10.1002/hep.28906</w:t>
      </w:r>
      <w:r>
        <w:rPr>
          <w:rStyle w:val="11"/>
          <w:rFonts w:cs="Times New Roman"/>
          <w:color w:val="auto"/>
          <w:szCs w:val="28"/>
          <w:highlight w:val="none"/>
          <w:u w:val="none"/>
          <w:shd w:val="clear" w:color="auto" w:fill="FFFFFF"/>
          <w:lang w:val="en-US"/>
        </w:rPr>
        <w:fldChar w:fldCharType="end"/>
      </w:r>
    </w:p>
    <w:p w14:paraId="58B3C4E3">
      <w:pPr>
        <w:widowControl w:val="0"/>
        <w:rPr>
          <w:rFonts w:cs="Times New Roman"/>
          <w:szCs w:val="28"/>
          <w:highlight w:val="none"/>
          <w:lang w:val="en-US"/>
        </w:rPr>
      </w:pPr>
      <w:r>
        <w:rPr>
          <w:rFonts w:cs="Times New Roman"/>
          <w:szCs w:val="28"/>
          <w:highlight w:val="none"/>
          <w:lang w:val="en-US"/>
        </w:rPr>
        <w:t xml:space="preserve">198. </w:t>
      </w:r>
      <w:r>
        <w:rPr>
          <w:rFonts w:cs="Times New Roman"/>
          <w:szCs w:val="28"/>
          <w:highlight w:val="none"/>
          <w:shd w:val="clear" w:color="auto" w:fill="FFFFFF"/>
          <w:lang w:val="en-US"/>
        </w:rPr>
        <w:t xml:space="preserve">Detection of residual HCV-RNA in patients who have achieved sustained virological response is associated with persistent histological abnormality / Y. Wang et al. </w:t>
      </w:r>
      <w:r>
        <w:rPr>
          <w:rStyle w:val="51"/>
          <w:rFonts w:cs="Times New Roman"/>
          <w:i/>
          <w:iCs/>
          <w:szCs w:val="28"/>
          <w:highlight w:val="none"/>
          <w:shd w:val="clear" w:color="auto" w:fill="FFFFFF"/>
          <w:lang w:val="en-US"/>
        </w:rPr>
        <w:t>EBioMedicine</w:t>
      </w:r>
      <w:r>
        <w:rPr>
          <w:rFonts w:cs="Times New Roman"/>
          <w:i/>
          <w:szCs w:val="28"/>
          <w:highlight w:val="none"/>
          <w:shd w:val="clear" w:color="auto" w:fill="FFFFFF"/>
          <w:lang w:val="en-US"/>
        </w:rPr>
        <w:t>.</w:t>
      </w:r>
      <w:r>
        <w:rPr>
          <w:rFonts w:cs="Times New Roman"/>
          <w:szCs w:val="28"/>
          <w:highlight w:val="none"/>
          <w:shd w:val="clear" w:color="auto" w:fill="FFFFFF"/>
          <w:lang w:val="en-US"/>
        </w:rPr>
        <w:t xml:space="preserve"> </w:t>
      </w:r>
      <w:r>
        <w:rPr>
          <w:rFonts w:cs="Times New Roman"/>
          <w:bCs/>
          <w:szCs w:val="28"/>
          <w:highlight w:val="none"/>
          <w:shd w:val="clear" w:color="auto" w:fill="FFFFFF"/>
          <w:lang w:val="en-US"/>
        </w:rPr>
        <w:t>2019</w:t>
      </w:r>
      <w:r>
        <w:rPr>
          <w:rFonts w:cs="Times New Roman"/>
          <w:szCs w:val="28"/>
          <w:highlight w:val="none"/>
          <w:shd w:val="clear" w:color="auto" w:fill="FFFFFF"/>
          <w:lang w:val="en-US"/>
        </w:rPr>
        <w:t xml:space="preserve">. Vol. </w:t>
      </w:r>
      <w:r>
        <w:rPr>
          <w:rStyle w:val="51"/>
          <w:rFonts w:cs="Times New Roman"/>
          <w:iCs/>
          <w:szCs w:val="28"/>
          <w:highlight w:val="none"/>
          <w:shd w:val="clear" w:color="auto" w:fill="FFFFFF"/>
          <w:lang w:val="en-US"/>
        </w:rPr>
        <w:t>46</w:t>
      </w:r>
      <w:r>
        <w:rPr>
          <w:rFonts w:cs="Times New Roman"/>
          <w:szCs w:val="28"/>
          <w:highlight w:val="none"/>
          <w:shd w:val="clear" w:color="auto" w:fill="FFFFFF"/>
          <w:lang w:val="en-US"/>
        </w:rPr>
        <w:t xml:space="preserve">. P. 227–235. </w:t>
      </w:r>
      <w:r>
        <w:rPr>
          <w:rStyle w:val="52"/>
          <w:rFonts w:cs="Times New Roman"/>
          <w:szCs w:val="28"/>
          <w:highlight w:val="none"/>
          <w:lang w:val="en-US"/>
        </w:rPr>
        <w:t xml:space="preserve">doi: </w:t>
      </w:r>
      <w:r>
        <w:rPr>
          <w:highlight w:val="none"/>
        </w:rPr>
        <w:fldChar w:fldCharType="begin"/>
      </w:r>
      <w:r>
        <w:rPr>
          <w:highlight w:val="none"/>
        </w:rPr>
        <w:instrText xml:space="preserve"> HYPERLINK "https://doi.org/10.1016/j.ebiom.2019.07.043" </w:instrText>
      </w:r>
      <w:r>
        <w:rPr>
          <w:highlight w:val="none"/>
        </w:rPr>
        <w:fldChar w:fldCharType="separate"/>
      </w:r>
      <w:r>
        <w:rPr>
          <w:rStyle w:val="11"/>
          <w:rFonts w:cs="Times New Roman"/>
          <w:color w:val="auto"/>
          <w:szCs w:val="28"/>
          <w:highlight w:val="none"/>
          <w:u w:val="none"/>
          <w:lang w:val="en-US"/>
        </w:rPr>
        <w:t>https://doi.org/10.1016/j.ebiom.2019.07.043</w:t>
      </w:r>
      <w:r>
        <w:rPr>
          <w:rStyle w:val="11"/>
          <w:rFonts w:cs="Times New Roman"/>
          <w:color w:val="auto"/>
          <w:szCs w:val="28"/>
          <w:highlight w:val="none"/>
          <w:u w:val="none"/>
          <w:lang w:val="en-US"/>
        </w:rPr>
        <w:fldChar w:fldCharType="end"/>
      </w:r>
    </w:p>
    <w:p w14:paraId="775FDACE">
      <w:pPr>
        <w:widowControl w:val="0"/>
        <w:rPr>
          <w:rFonts w:cs="Times New Roman"/>
          <w:szCs w:val="28"/>
          <w:highlight w:val="none"/>
          <w:shd w:val="clear" w:color="auto" w:fill="FFFFFF"/>
          <w:lang w:val="en-US"/>
        </w:rPr>
      </w:pPr>
      <w:r>
        <w:rPr>
          <w:rFonts w:cs="Times New Roman"/>
          <w:szCs w:val="28"/>
          <w:highlight w:val="none"/>
          <w:lang w:val="en-US"/>
        </w:rPr>
        <w:t xml:space="preserve">199. </w:t>
      </w:r>
      <w:r>
        <w:rPr>
          <w:rStyle w:val="57"/>
          <w:rFonts w:cs="Times New Roman"/>
          <w:szCs w:val="28"/>
          <w:highlight w:val="none"/>
          <w:shd w:val="clear" w:color="auto" w:fill="FFFFFF"/>
          <w:lang w:val="en-US"/>
        </w:rPr>
        <w:t>Special populations: treating hepatitis C in patients with decompensated cirrhosis and/or advanced renal impairment</w:t>
      </w:r>
      <w:r>
        <w:rPr>
          <w:rFonts w:cs="Times New Roman"/>
          <w:szCs w:val="28"/>
          <w:highlight w:val="none"/>
          <w:shd w:val="clear" w:color="auto" w:fill="FFFFFF"/>
          <w:lang w:val="en-US"/>
        </w:rPr>
        <w:t xml:space="preserve"> / </w:t>
      </w:r>
      <w:r>
        <w:rPr>
          <w:rStyle w:val="56"/>
          <w:rFonts w:cs="Times New Roman"/>
          <w:szCs w:val="28"/>
          <w:highlight w:val="none"/>
          <w:shd w:val="clear" w:color="auto" w:fill="FFFFFF"/>
          <w:lang w:val="en-US"/>
        </w:rPr>
        <w:t>M. M. Mücke</w:t>
      </w:r>
      <w:r>
        <w:rPr>
          <w:rFonts w:cs="Times New Roman"/>
          <w:szCs w:val="28"/>
          <w:highlight w:val="none"/>
          <w:shd w:val="clear" w:color="auto" w:fill="FFFFFF"/>
          <w:lang w:val="en-US"/>
        </w:rPr>
        <w:t>,</w:t>
      </w:r>
      <w:r>
        <w:rPr>
          <w:rStyle w:val="56"/>
          <w:rFonts w:cs="Times New Roman"/>
          <w:szCs w:val="28"/>
          <w:highlight w:val="none"/>
          <w:shd w:val="clear" w:color="auto" w:fill="FFFFFF"/>
          <w:lang w:val="en-US"/>
        </w:rPr>
        <w:t xml:space="preserve"> V. T. Mücke</w:t>
      </w:r>
      <w:r>
        <w:rPr>
          <w:rFonts w:cs="Times New Roman"/>
          <w:szCs w:val="28"/>
          <w:highlight w:val="none"/>
          <w:shd w:val="clear" w:color="auto" w:fill="FFFFFF"/>
          <w:lang w:val="en-US"/>
        </w:rPr>
        <w:t>,</w:t>
      </w:r>
      <w:r>
        <w:rPr>
          <w:rStyle w:val="56"/>
          <w:rFonts w:cs="Times New Roman"/>
          <w:szCs w:val="28"/>
          <w:highlight w:val="none"/>
          <w:shd w:val="clear" w:color="auto" w:fill="FFFFFF"/>
          <w:lang w:val="en-US"/>
        </w:rPr>
        <w:t xml:space="preserve"> C. M. Lange</w:t>
      </w:r>
      <w:r>
        <w:rPr>
          <w:rFonts w:cs="Times New Roman"/>
          <w:szCs w:val="28"/>
          <w:highlight w:val="none"/>
          <w:shd w:val="clear" w:color="auto" w:fill="FFFFFF"/>
          <w:lang w:val="en-US"/>
        </w:rPr>
        <w:t>,</w:t>
      </w:r>
      <w:r>
        <w:rPr>
          <w:rStyle w:val="56"/>
          <w:rFonts w:cs="Times New Roman"/>
          <w:szCs w:val="28"/>
          <w:highlight w:val="none"/>
          <w:shd w:val="clear" w:color="auto" w:fill="FFFFFF"/>
          <w:lang w:val="en-US"/>
        </w:rPr>
        <w:t xml:space="preserve"> S</w:t>
      </w:r>
      <w:r>
        <w:rPr>
          <w:rFonts w:cs="Times New Roman"/>
          <w:szCs w:val="28"/>
          <w:highlight w:val="none"/>
          <w:shd w:val="clear" w:color="auto" w:fill="FFFFFF"/>
          <w:lang w:val="en-US"/>
        </w:rPr>
        <w:t>. </w:t>
      </w:r>
      <w:r>
        <w:rPr>
          <w:rStyle w:val="56"/>
          <w:rFonts w:cs="Times New Roman"/>
          <w:szCs w:val="28"/>
          <w:highlight w:val="none"/>
          <w:shd w:val="clear" w:color="auto" w:fill="FFFFFF"/>
          <w:lang w:val="en-US"/>
        </w:rPr>
        <w:t xml:space="preserve">Zeuzem. </w:t>
      </w:r>
      <w:r>
        <w:rPr>
          <w:rFonts w:cs="Times New Roman"/>
          <w:i/>
          <w:iCs/>
          <w:szCs w:val="28"/>
          <w:highlight w:val="none"/>
          <w:shd w:val="clear" w:color="auto" w:fill="FFFFFF"/>
          <w:lang w:val="en-US"/>
        </w:rPr>
        <w:t>Liver Int</w:t>
      </w:r>
      <w:r>
        <w:rPr>
          <w:rFonts w:cs="Times New Roman"/>
          <w:iCs/>
          <w:szCs w:val="28"/>
          <w:highlight w:val="none"/>
          <w:shd w:val="clear" w:color="auto" w:fill="FFFFFF"/>
          <w:lang w:val="en-US"/>
        </w:rPr>
        <w:t>.</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2017</w:t>
      </w:r>
      <w:r>
        <w:rPr>
          <w:rFonts w:cs="Times New Roman"/>
          <w:szCs w:val="28"/>
          <w:highlight w:val="none"/>
          <w:shd w:val="clear" w:color="auto" w:fill="FFFFFF"/>
          <w:lang w:val="en-US"/>
        </w:rPr>
        <w:t xml:space="preserve">. Vol. </w:t>
      </w:r>
      <w:r>
        <w:rPr>
          <w:rStyle w:val="59"/>
          <w:rFonts w:cs="Times New Roman"/>
          <w:bCs/>
          <w:szCs w:val="28"/>
          <w:highlight w:val="none"/>
          <w:shd w:val="clear" w:color="auto" w:fill="FFFFFF"/>
          <w:lang w:val="en-US"/>
        </w:rPr>
        <w:t>37</w:t>
      </w:r>
      <w:r>
        <w:rPr>
          <w:rFonts w:cs="Times New Roman"/>
          <w:szCs w:val="28"/>
          <w:highlight w:val="none"/>
          <w:shd w:val="clear" w:color="auto" w:fill="FFFFFF"/>
          <w:lang w:val="en-US"/>
        </w:rPr>
        <w:t>. P.</w:t>
      </w:r>
      <w:r>
        <w:rPr>
          <w:rStyle w:val="60"/>
          <w:rFonts w:cs="Times New Roman"/>
          <w:szCs w:val="28"/>
          <w:highlight w:val="none"/>
          <w:shd w:val="clear" w:color="auto" w:fill="FFFFFF"/>
          <w:lang w:val="en-US"/>
        </w:rPr>
        <w:t>19</w:t>
      </w:r>
      <w:r>
        <w:rPr>
          <w:rFonts w:cs="Times New Roman"/>
          <w:szCs w:val="28"/>
          <w:highlight w:val="none"/>
          <w:shd w:val="clear" w:color="auto" w:fill="FFFFFF"/>
          <w:lang w:val="en-US"/>
        </w:rPr>
        <w:t>–</w:t>
      </w:r>
      <w:r>
        <w:rPr>
          <w:rStyle w:val="61"/>
          <w:rFonts w:cs="Times New Roman"/>
          <w:szCs w:val="28"/>
          <w:highlight w:val="none"/>
          <w:shd w:val="clear" w:color="auto" w:fill="FFFFFF"/>
          <w:lang w:val="en-US"/>
        </w:rPr>
        <w:t>25</w:t>
      </w:r>
      <w:r>
        <w:rPr>
          <w:rFonts w:cs="Times New Roman"/>
          <w:szCs w:val="28"/>
          <w:highlight w:val="none"/>
          <w:shd w:val="clear" w:color="auto" w:fill="FFFFFF"/>
          <w:lang w:val="en-US"/>
        </w:rPr>
        <w:t>.</w:t>
      </w:r>
      <w:r>
        <w:rPr>
          <w:rStyle w:val="53"/>
          <w:rFonts w:cs="Times New Roman"/>
          <w:szCs w:val="28"/>
          <w:highlight w:val="none"/>
          <w:lang w:val="en-US"/>
        </w:rPr>
        <w:t xml:space="preserve"> doi: </w:t>
      </w:r>
      <w:r>
        <w:rPr>
          <w:highlight w:val="none"/>
        </w:rPr>
        <w:fldChar w:fldCharType="begin"/>
      </w:r>
      <w:r>
        <w:rPr>
          <w:highlight w:val="none"/>
        </w:rPr>
        <w:instrText xml:space="preserve"> HYPERLINK "https://doi.org/10.1111/liv.13279" \t "_blank" </w:instrText>
      </w:r>
      <w:r>
        <w:rPr>
          <w:highlight w:val="none"/>
        </w:rPr>
        <w:fldChar w:fldCharType="separate"/>
      </w:r>
      <w:r>
        <w:rPr>
          <w:rStyle w:val="11"/>
          <w:rFonts w:cs="Times New Roman"/>
          <w:color w:val="auto"/>
          <w:szCs w:val="28"/>
          <w:highlight w:val="none"/>
          <w:u w:val="none"/>
          <w:lang w:val="en-US"/>
        </w:rPr>
        <w:t>10.1111/liv.13279</w:t>
      </w:r>
      <w:r>
        <w:rPr>
          <w:rStyle w:val="11"/>
          <w:rFonts w:cs="Times New Roman"/>
          <w:color w:val="auto"/>
          <w:szCs w:val="28"/>
          <w:highlight w:val="none"/>
          <w:u w:val="none"/>
          <w:lang w:val="en-US"/>
        </w:rPr>
        <w:fldChar w:fldCharType="end"/>
      </w:r>
    </w:p>
    <w:p w14:paraId="387A5D32">
      <w:pPr>
        <w:widowControl w:val="0"/>
        <w:rPr>
          <w:rFonts w:cs="Times New Roman"/>
          <w:szCs w:val="28"/>
          <w:highlight w:val="none"/>
          <w:lang w:val="en-US"/>
        </w:rPr>
      </w:pPr>
      <w:r>
        <w:rPr>
          <w:rFonts w:cs="Times New Roman"/>
          <w:szCs w:val="28"/>
          <w:highlight w:val="none"/>
          <w:lang w:val="en-US"/>
        </w:rPr>
        <w:t xml:space="preserve">200. </w:t>
      </w:r>
      <w:r>
        <w:rPr>
          <w:rStyle w:val="56"/>
          <w:rFonts w:cs="Times New Roman"/>
          <w:szCs w:val="28"/>
          <w:highlight w:val="none"/>
          <w:shd w:val="clear" w:color="auto" w:fill="FFFFFF"/>
          <w:lang w:val="en-US"/>
        </w:rPr>
        <w:t>Pol S.</w:t>
      </w:r>
      <w:r>
        <w:rPr>
          <w:rFonts w:cs="Times New Roman"/>
          <w:szCs w:val="28"/>
          <w:highlight w:val="none"/>
          <w:shd w:val="clear" w:color="auto" w:fill="FFFFFF"/>
          <w:lang w:val="en-US"/>
        </w:rPr>
        <w:t>, </w:t>
      </w:r>
      <w:r>
        <w:rPr>
          <w:rStyle w:val="56"/>
          <w:rFonts w:cs="Times New Roman"/>
          <w:szCs w:val="28"/>
          <w:highlight w:val="none"/>
          <w:shd w:val="clear" w:color="auto" w:fill="FFFFFF"/>
          <w:lang w:val="en-US"/>
        </w:rPr>
        <w:t>Parlati L</w:t>
      </w:r>
      <w:r>
        <w:rPr>
          <w:rFonts w:cs="Times New Roman"/>
          <w:szCs w:val="28"/>
          <w:highlight w:val="none"/>
          <w:shd w:val="clear" w:color="auto" w:fill="FFFFFF"/>
          <w:lang w:val="en-US"/>
        </w:rPr>
        <w:t>. </w:t>
      </w:r>
      <w:r>
        <w:rPr>
          <w:rStyle w:val="57"/>
          <w:rFonts w:cs="Times New Roman"/>
          <w:szCs w:val="28"/>
          <w:highlight w:val="none"/>
          <w:shd w:val="clear" w:color="auto" w:fill="FFFFFF"/>
          <w:lang w:val="en-US"/>
        </w:rPr>
        <w:t>Treatment of hepatitis C: the use of the new pangenotypic direct-acting antivirals in “special populations.”</w:t>
      </w:r>
      <w:r>
        <w:rPr>
          <w:rFonts w:cs="Times New Roman"/>
          <w:szCs w:val="28"/>
          <w:highlight w:val="none"/>
          <w:shd w:val="clear" w:color="auto" w:fill="FFFFFF"/>
          <w:lang w:val="en-US"/>
        </w:rPr>
        <w:t> </w:t>
      </w:r>
      <w:r>
        <w:rPr>
          <w:rFonts w:cs="Times New Roman"/>
          <w:i/>
          <w:iCs/>
          <w:szCs w:val="28"/>
          <w:highlight w:val="none"/>
          <w:shd w:val="clear" w:color="auto" w:fill="FFFFFF"/>
          <w:lang w:val="en-US"/>
        </w:rPr>
        <w:t>Liver Int</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2018</w:t>
      </w:r>
      <w:r>
        <w:rPr>
          <w:rFonts w:cs="Times New Roman"/>
          <w:szCs w:val="28"/>
          <w:highlight w:val="none"/>
          <w:shd w:val="clear" w:color="auto" w:fill="FFFFFF"/>
          <w:lang w:val="en-US"/>
        </w:rPr>
        <w:t xml:space="preserve">. Vol. </w:t>
      </w:r>
      <w:r>
        <w:rPr>
          <w:rStyle w:val="59"/>
          <w:rFonts w:cs="Times New Roman"/>
          <w:bCs/>
          <w:szCs w:val="28"/>
          <w:highlight w:val="none"/>
          <w:shd w:val="clear" w:color="auto" w:fill="FFFFFF"/>
          <w:lang w:val="en-US"/>
        </w:rPr>
        <w:t>38</w:t>
      </w:r>
      <w:r>
        <w:rPr>
          <w:rFonts w:cs="Times New Roman"/>
          <w:szCs w:val="28"/>
          <w:highlight w:val="none"/>
          <w:shd w:val="clear" w:color="auto" w:fill="FFFFFF"/>
          <w:lang w:val="en-US"/>
        </w:rPr>
        <w:t xml:space="preserve">. P. </w:t>
      </w:r>
      <w:r>
        <w:rPr>
          <w:rStyle w:val="60"/>
          <w:rFonts w:cs="Times New Roman"/>
          <w:szCs w:val="28"/>
          <w:highlight w:val="none"/>
          <w:shd w:val="clear" w:color="auto" w:fill="FFFFFF"/>
          <w:lang w:val="en-US"/>
        </w:rPr>
        <w:t>28</w:t>
      </w:r>
      <w:r>
        <w:rPr>
          <w:rFonts w:cs="Times New Roman"/>
          <w:szCs w:val="28"/>
          <w:highlight w:val="none"/>
          <w:shd w:val="clear" w:color="auto" w:fill="FFFFFF"/>
          <w:lang w:val="en-US"/>
        </w:rPr>
        <w:t>–</w:t>
      </w:r>
      <w:r>
        <w:rPr>
          <w:rStyle w:val="61"/>
          <w:rFonts w:cs="Times New Roman"/>
          <w:szCs w:val="28"/>
          <w:highlight w:val="none"/>
          <w:shd w:val="clear" w:color="auto" w:fill="FFFFFF"/>
          <w:lang w:val="en-US"/>
        </w:rPr>
        <w:t>33</w:t>
      </w:r>
      <w:r>
        <w:rPr>
          <w:rFonts w:cs="Times New Roman"/>
          <w:szCs w:val="28"/>
          <w:highlight w:val="none"/>
          <w:shd w:val="clear" w:color="auto" w:fill="FFFFFF"/>
          <w:lang w:val="en-US"/>
        </w:rPr>
        <w:t xml:space="preserve">. </w:t>
      </w:r>
      <w:r>
        <w:rPr>
          <w:rStyle w:val="53"/>
          <w:rFonts w:cs="Times New Roman"/>
          <w:szCs w:val="28"/>
          <w:highlight w:val="none"/>
          <w:lang w:val="en-US"/>
        </w:rPr>
        <w:t>doi: </w:t>
      </w:r>
      <w:r>
        <w:rPr>
          <w:highlight w:val="none"/>
        </w:rPr>
        <w:fldChar w:fldCharType="begin"/>
      </w:r>
      <w:r>
        <w:rPr>
          <w:highlight w:val="none"/>
        </w:rPr>
        <w:instrText xml:space="preserve"> HYPERLINK "https://doi.org/10.1111/liv.13626" \t "_blank" </w:instrText>
      </w:r>
      <w:r>
        <w:rPr>
          <w:highlight w:val="none"/>
        </w:rPr>
        <w:fldChar w:fldCharType="separate"/>
      </w:r>
      <w:r>
        <w:rPr>
          <w:rStyle w:val="11"/>
          <w:rFonts w:cs="Times New Roman"/>
          <w:color w:val="auto"/>
          <w:szCs w:val="28"/>
          <w:highlight w:val="none"/>
          <w:u w:val="none"/>
          <w:lang w:val="en-US"/>
        </w:rPr>
        <w:t>10.1111/liv.13626</w:t>
      </w:r>
      <w:r>
        <w:rPr>
          <w:rStyle w:val="11"/>
          <w:rFonts w:cs="Times New Roman"/>
          <w:color w:val="auto"/>
          <w:szCs w:val="28"/>
          <w:highlight w:val="none"/>
          <w:u w:val="none"/>
          <w:lang w:val="en-US"/>
        </w:rPr>
        <w:fldChar w:fldCharType="end"/>
      </w:r>
    </w:p>
    <w:p w14:paraId="7D83E2E1">
      <w:pPr>
        <w:widowControl w:val="0"/>
        <w:rPr>
          <w:rFonts w:cs="Times New Roman"/>
          <w:szCs w:val="28"/>
          <w:highlight w:val="none"/>
          <w:lang w:val="en-US"/>
        </w:rPr>
      </w:pPr>
      <w:r>
        <w:rPr>
          <w:rFonts w:cs="Times New Roman"/>
          <w:szCs w:val="28"/>
          <w:highlight w:val="none"/>
          <w:lang w:val="en-US"/>
        </w:rPr>
        <w:t xml:space="preserve">201. </w:t>
      </w:r>
      <w:r>
        <w:rPr>
          <w:rStyle w:val="57"/>
          <w:rFonts w:cs="Times New Roman"/>
          <w:szCs w:val="28"/>
          <w:highlight w:val="none"/>
          <w:shd w:val="clear" w:color="auto" w:fill="FFFFFF"/>
          <w:lang w:val="en-US"/>
        </w:rPr>
        <w:t>Oral direct-acting agent therapy for hepatitis C virus infection: a systematic review</w:t>
      </w:r>
      <w:r>
        <w:rPr>
          <w:rFonts w:cs="Times New Roman"/>
          <w:szCs w:val="28"/>
          <w:highlight w:val="none"/>
          <w:shd w:val="clear" w:color="auto" w:fill="FFFFFF"/>
          <w:lang w:val="en-US"/>
        </w:rPr>
        <w:t xml:space="preserve"> / </w:t>
      </w:r>
      <w:r>
        <w:rPr>
          <w:rStyle w:val="56"/>
          <w:rFonts w:cs="Times New Roman"/>
          <w:szCs w:val="28"/>
          <w:highlight w:val="none"/>
          <w:shd w:val="clear" w:color="auto" w:fill="FFFFFF"/>
          <w:lang w:val="en-US"/>
        </w:rPr>
        <w:t xml:space="preserve">O. Falade-Nwulia et al. </w:t>
      </w:r>
      <w:r>
        <w:rPr>
          <w:rFonts w:cs="Times New Roman"/>
          <w:i/>
          <w:iCs/>
          <w:szCs w:val="28"/>
          <w:highlight w:val="none"/>
          <w:shd w:val="clear" w:color="auto" w:fill="FFFFFF"/>
          <w:lang w:val="en-US"/>
        </w:rPr>
        <w:t>Ann Intern Med</w:t>
      </w:r>
      <w:r>
        <w:rPr>
          <w:rFonts w:cs="Times New Roman"/>
          <w:szCs w:val="28"/>
          <w:highlight w:val="none"/>
          <w:shd w:val="clear" w:color="auto" w:fill="FFFFFF"/>
          <w:lang w:val="en-US"/>
        </w:rPr>
        <w:t xml:space="preserve">. </w:t>
      </w:r>
      <w:r>
        <w:rPr>
          <w:rStyle w:val="58"/>
          <w:rFonts w:cs="Times New Roman"/>
          <w:szCs w:val="28"/>
          <w:highlight w:val="none"/>
          <w:shd w:val="clear" w:color="auto" w:fill="FFFFFF"/>
          <w:lang w:val="en-US"/>
        </w:rPr>
        <w:t>2017</w:t>
      </w:r>
      <w:r>
        <w:rPr>
          <w:rFonts w:cs="Times New Roman"/>
          <w:szCs w:val="28"/>
          <w:highlight w:val="none"/>
          <w:shd w:val="clear" w:color="auto" w:fill="FFFFFF"/>
          <w:lang w:val="en-US"/>
        </w:rPr>
        <w:t xml:space="preserve">. Vol. </w:t>
      </w:r>
      <w:r>
        <w:rPr>
          <w:rStyle w:val="59"/>
          <w:rFonts w:cs="Times New Roman"/>
          <w:bCs/>
          <w:szCs w:val="28"/>
          <w:highlight w:val="none"/>
          <w:shd w:val="clear" w:color="auto" w:fill="FFFFFF"/>
          <w:lang w:val="en-US"/>
        </w:rPr>
        <w:t>166</w:t>
      </w:r>
      <w:r>
        <w:rPr>
          <w:rFonts w:cs="Times New Roman"/>
          <w:szCs w:val="28"/>
          <w:highlight w:val="none"/>
          <w:shd w:val="clear" w:color="auto" w:fill="FFFFFF"/>
          <w:lang w:val="en-US"/>
        </w:rPr>
        <w:t xml:space="preserve">. P. </w:t>
      </w:r>
      <w:r>
        <w:rPr>
          <w:rStyle w:val="60"/>
          <w:rFonts w:cs="Times New Roman"/>
          <w:szCs w:val="28"/>
          <w:highlight w:val="none"/>
          <w:shd w:val="clear" w:color="auto" w:fill="FFFFFF"/>
          <w:lang w:val="en-US"/>
        </w:rPr>
        <w:t>637</w:t>
      </w:r>
      <w:r>
        <w:rPr>
          <w:rFonts w:cs="Times New Roman"/>
          <w:szCs w:val="28"/>
          <w:highlight w:val="none"/>
          <w:shd w:val="clear" w:color="auto" w:fill="FFFFFF"/>
          <w:lang w:val="en-US"/>
        </w:rPr>
        <w:t>–</w:t>
      </w:r>
      <w:r>
        <w:rPr>
          <w:rStyle w:val="61"/>
          <w:rFonts w:cs="Times New Roman"/>
          <w:szCs w:val="28"/>
          <w:highlight w:val="none"/>
          <w:shd w:val="clear" w:color="auto" w:fill="FFFFFF"/>
          <w:lang w:val="en-US"/>
        </w:rPr>
        <w:t>648</w:t>
      </w:r>
      <w:r>
        <w:rPr>
          <w:rFonts w:cs="Times New Roman"/>
          <w:szCs w:val="28"/>
          <w:highlight w:val="none"/>
          <w:shd w:val="clear" w:color="auto" w:fill="FFFFFF"/>
          <w:lang w:val="en-US"/>
        </w:rPr>
        <w:t xml:space="preserve">. </w:t>
      </w:r>
      <w:r>
        <w:rPr>
          <w:rStyle w:val="53"/>
          <w:rFonts w:cs="Times New Roman"/>
          <w:szCs w:val="28"/>
          <w:highlight w:val="none"/>
          <w:lang w:val="en-US"/>
        </w:rPr>
        <w:t>doi: </w:t>
      </w:r>
      <w:r>
        <w:rPr>
          <w:highlight w:val="none"/>
        </w:rPr>
        <w:fldChar w:fldCharType="begin"/>
      </w:r>
      <w:r>
        <w:rPr>
          <w:highlight w:val="none"/>
        </w:rPr>
        <w:instrText xml:space="preserve"> HYPERLINK "https://doi.org/10.7326/m16-2575" \t "_blank" </w:instrText>
      </w:r>
      <w:r>
        <w:rPr>
          <w:highlight w:val="none"/>
        </w:rPr>
        <w:fldChar w:fldCharType="separate"/>
      </w:r>
      <w:r>
        <w:rPr>
          <w:rStyle w:val="11"/>
          <w:rFonts w:cs="Times New Roman"/>
          <w:color w:val="auto"/>
          <w:szCs w:val="28"/>
          <w:highlight w:val="none"/>
          <w:u w:val="none"/>
          <w:lang w:val="en-US"/>
        </w:rPr>
        <w:t>10.7326/M16-2575</w:t>
      </w:r>
      <w:r>
        <w:rPr>
          <w:rStyle w:val="11"/>
          <w:rFonts w:cs="Times New Roman"/>
          <w:color w:val="auto"/>
          <w:szCs w:val="28"/>
          <w:highlight w:val="none"/>
          <w:u w:val="none"/>
          <w:lang w:val="en-US"/>
        </w:rPr>
        <w:fldChar w:fldCharType="end"/>
      </w:r>
    </w:p>
    <w:p w14:paraId="5707A593">
      <w:pPr>
        <w:widowControl w:val="0"/>
        <w:rPr>
          <w:rFonts w:cs="Times New Roman"/>
          <w:szCs w:val="28"/>
          <w:highlight w:val="none"/>
          <w:lang w:val="en-US"/>
        </w:rPr>
      </w:pPr>
      <w:r>
        <w:rPr>
          <w:rFonts w:cs="Times New Roman"/>
          <w:szCs w:val="28"/>
          <w:highlight w:val="none"/>
          <w:lang w:val="en-US"/>
        </w:rPr>
        <w:t xml:space="preserve">202. </w:t>
      </w:r>
      <w:r>
        <w:rPr>
          <w:rStyle w:val="48"/>
          <w:rFonts w:cs="Times New Roman"/>
          <w:szCs w:val="28"/>
          <w:highlight w:val="none"/>
          <w:shd w:val="clear" w:color="auto" w:fill="FFFFFF"/>
          <w:lang w:val="en-US"/>
        </w:rPr>
        <w:t>Treatment optimisation for hepatitis C in the era of combination direct-acting antiviral therapy: a systematic review and meta-analysis /</w:t>
      </w:r>
      <w:r>
        <w:rPr>
          <w:rFonts w:cs="Times New Roman"/>
          <w:szCs w:val="28"/>
          <w:highlight w:val="none"/>
          <w:shd w:val="clear" w:color="auto" w:fill="FFFFFF"/>
          <w:lang w:val="en-US"/>
        </w:rPr>
        <w:t xml:space="preserve"> C. R. Jones et al. </w:t>
      </w:r>
      <w:r>
        <w:rPr>
          <w:rStyle w:val="49"/>
          <w:rFonts w:cs="Times New Roman"/>
          <w:i/>
          <w:iCs/>
          <w:szCs w:val="28"/>
          <w:highlight w:val="none"/>
          <w:shd w:val="clear" w:color="auto" w:fill="FFFFFF"/>
          <w:lang w:val="en-US"/>
        </w:rPr>
        <w:t>Wellcome Open Res</w:t>
      </w:r>
      <w:r>
        <w:rPr>
          <w:rStyle w:val="49"/>
          <w:rFonts w:cs="Times New Roman"/>
          <w:iCs/>
          <w:szCs w:val="28"/>
          <w:highlight w:val="none"/>
          <w:shd w:val="clear" w:color="auto" w:fill="FFFFFF"/>
          <w:lang w:val="en-US"/>
        </w:rPr>
        <w:t>.</w:t>
      </w:r>
      <w:r>
        <w:rPr>
          <w:rFonts w:cs="Times New Roman"/>
          <w:szCs w:val="28"/>
          <w:highlight w:val="none"/>
          <w:shd w:val="clear" w:color="auto" w:fill="FFFFFF"/>
          <w:lang w:val="en-US"/>
        </w:rPr>
        <w:t xml:space="preserve"> 2019. Vol. </w:t>
      </w:r>
      <w:r>
        <w:rPr>
          <w:rStyle w:val="50"/>
          <w:rFonts w:cs="Times New Roman"/>
          <w:szCs w:val="28"/>
          <w:highlight w:val="none"/>
          <w:shd w:val="clear" w:color="auto" w:fill="FFFFFF"/>
          <w:lang w:val="en-US"/>
        </w:rPr>
        <w:t>4</w:t>
      </w:r>
      <w:r>
        <w:rPr>
          <w:rFonts w:cs="Times New Roman"/>
          <w:szCs w:val="28"/>
          <w:highlight w:val="none"/>
          <w:shd w:val="clear" w:color="auto" w:fill="FFFFFF"/>
          <w:lang w:val="en-US"/>
        </w:rPr>
        <w:t>. P. 132. doi: 10.12688/wellcomeopenres.15411.1</w:t>
      </w:r>
    </w:p>
    <w:p w14:paraId="2D996EB2">
      <w:pPr>
        <w:widowControl w:val="0"/>
        <w:rPr>
          <w:rFonts w:cs="Times New Roman"/>
          <w:szCs w:val="28"/>
          <w:highlight w:val="none"/>
          <w:lang w:val="en-US"/>
        </w:rPr>
      </w:pPr>
      <w:r>
        <w:rPr>
          <w:rFonts w:cs="Times New Roman"/>
          <w:szCs w:val="28"/>
          <w:highlight w:val="none"/>
          <w:lang w:val="en-US"/>
        </w:rPr>
        <w:t xml:space="preserve">203. </w:t>
      </w:r>
      <w:r>
        <w:rPr>
          <w:rFonts w:cs="Times New Roman"/>
          <w:szCs w:val="28"/>
          <w:highlight w:val="none"/>
          <w:shd w:val="clear" w:color="auto" w:fill="FFFFFF"/>
          <w:lang w:val="en-US"/>
        </w:rPr>
        <w:t xml:space="preserve">European Association for the Study of the Liver. EASL Recommendations on Treatment of Hepatitis C 2016. </w:t>
      </w:r>
      <w:r>
        <w:rPr>
          <w:rFonts w:cs="Times New Roman"/>
          <w:i/>
          <w:szCs w:val="28"/>
          <w:highlight w:val="none"/>
          <w:shd w:val="clear" w:color="auto" w:fill="FFFFFF"/>
          <w:lang w:val="en-US"/>
        </w:rPr>
        <w:t>J. Hepatol</w:t>
      </w:r>
      <w:r>
        <w:rPr>
          <w:rFonts w:cs="Times New Roman"/>
          <w:szCs w:val="28"/>
          <w:highlight w:val="none"/>
          <w:shd w:val="clear" w:color="auto" w:fill="FFFFFF"/>
          <w:lang w:val="en-US"/>
        </w:rPr>
        <w:t>. 2017. Vol. 66 (1). P. 153–194. doi: 10.1016/j.jhep.2016.09.001</w:t>
      </w:r>
    </w:p>
    <w:p w14:paraId="7C2AE7DD">
      <w:pPr>
        <w:widowControl w:val="0"/>
        <w:rPr>
          <w:rFonts w:cs="Times New Roman"/>
          <w:szCs w:val="28"/>
          <w:highlight w:val="none"/>
          <w:lang w:val="en-US"/>
        </w:rPr>
      </w:pPr>
      <w:r>
        <w:rPr>
          <w:rFonts w:cs="Times New Roman"/>
          <w:szCs w:val="28"/>
          <w:highlight w:val="none"/>
          <w:lang w:val="en-US"/>
        </w:rPr>
        <w:t xml:space="preserve">204. </w:t>
      </w:r>
      <w:r>
        <w:rPr>
          <w:rStyle w:val="57"/>
          <w:rFonts w:cs="Times New Roman"/>
          <w:szCs w:val="28"/>
          <w:highlight w:val="none"/>
          <w:lang w:val="en-US"/>
        </w:rPr>
        <w:t>Trends in treatment uptake and provider specialty for hepatitis C virus (HCV) infection in the Veterans Affairs healthcare system: results from the Electronically Retrieved Cohort of HCV-Infected Veterans (ERCHIVES)</w:t>
      </w:r>
      <w:r>
        <w:rPr>
          <w:rFonts w:cs="Times New Roman"/>
          <w:szCs w:val="28"/>
          <w:highlight w:val="none"/>
          <w:lang w:val="en-US"/>
        </w:rPr>
        <w:t xml:space="preserve"> /</w:t>
      </w:r>
      <w:r>
        <w:rPr>
          <w:rStyle w:val="56"/>
          <w:rFonts w:cs="Times New Roman"/>
          <w:szCs w:val="28"/>
          <w:highlight w:val="none"/>
          <w:lang w:val="en-US"/>
        </w:rPr>
        <w:t xml:space="preserve"> A. A. Butt et al.</w:t>
      </w:r>
      <w:r>
        <w:rPr>
          <w:rFonts w:cs="Times New Roman"/>
          <w:szCs w:val="28"/>
          <w:highlight w:val="none"/>
          <w:lang w:val="en-US"/>
        </w:rPr>
        <w:t> </w:t>
      </w:r>
      <w:r>
        <w:rPr>
          <w:rFonts w:cs="Times New Roman"/>
          <w:i/>
          <w:iCs/>
          <w:szCs w:val="28"/>
          <w:highlight w:val="none"/>
          <w:lang w:val="en-US"/>
        </w:rPr>
        <w:t>Clin Infect Dis.</w:t>
      </w:r>
      <w:r>
        <w:rPr>
          <w:rFonts w:cs="Times New Roman"/>
          <w:szCs w:val="28"/>
          <w:highlight w:val="none"/>
          <w:lang w:val="en-US"/>
        </w:rPr>
        <w:t> </w:t>
      </w:r>
      <w:r>
        <w:rPr>
          <w:rStyle w:val="58"/>
          <w:rFonts w:cs="Times New Roman"/>
          <w:szCs w:val="28"/>
          <w:highlight w:val="none"/>
          <w:lang w:val="en-US"/>
        </w:rPr>
        <w:t>2019</w:t>
      </w:r>
      <w:r>
        <w:rPr>
          <w:rFonts w:cs="Times New Roman"/>
          <w:szCs w:val="28"/>
          <w:highlight w:val="none"/>
          <w:lang w:val="en-US"/>
        </w:rPr>
        <w:t>. Vol.</w:t>
      </w:r>
      <w:r>
        <w:rPr>
          <w:rStyle w:val="59"/>
          <w:rFonts w:cs="Times New Roman"/>
          <w:bCs/>
          <w:szCs w:val="28"/>
          <w:highlight w:val="none"/>
          <w:lang w:val="en-US"/>
        </w:rPr>
        <w:t xml:space="preserve"> 68</w:t>
      </w:r>
      <w:r>
        <w:rPr>
          <w:rFonts w:cs="Times New Roman"/>
          <w:szCs w:val="28"/>
          <w:highlight w:val="none"/>
          <w:lang w:val="en-US"/>
        </w:rPr>
        <w:t xml:space="preserve">. P. </w:t>
      </w:r>
      <w:r>
        <w:rPr>
          <w:rStyle w:val="60"/>
          <w:rFonts w:cs="Times New Roman"/>
          <w:szCs w:val="28"/>
          <w:highlight w:val="none"/>
          <w:lang w:val="en-US"/>
        </w:rPr>
        <w:t>857</w:t>
      </w:r>
      <w:r>
        <w:rPr>
          <w:rFonts w:cs="Times New Roman"/>
          <w:szCs w:val="28"/>
          <w:highlight w:val="none"/>
          <w:shd w:val="clear" w:color="auto" w:fill="FFFFFF"/>
          <w:lang w:val="en-US"/>
        </w:rPr>
        <w:t>–</w:t>
      </w:r>
      <w:r>
        <w:rPr>
          <w:rStyle w:val="61"/>
          <w:rFonts w:cs="Times New Roman"/>
          <w:szCs w:val="28"/>
          <w:highlight w:val="none"/>
          <w:lang w:val="en-US"/>
        </w:rPr>
        <w:t>859</w:t>
      </w:r>
      <w:r>
        <w:rPr>
          <w:rFonts w:cs="Times New Roman"/>
          <w:szCs w:val="28"/>
          <w:highlight w:val="none"/>
          <w:lang w:val="en-US"/>
        </w:rPr>
        <w:t xml:space="preserve">. doi: </w:t>
      </w:r>
      <w:r>
        <w:rPr>
          <w:highlight w:val="none"/>
        </w:rPr>
        <w:fldChar w:fldCharType="begin"/>
      </w:r>
      <w:r>
        <w:rPr>
          <w:highlight w:val="none"/>
        </w:rPr>
        <w:instrText xml:space="preserve"> HYPERLINK "https://doi.org/10.1093/cid/ciy697" </w:instrText>
      </w:r>
      <w:r>
        <w:rPr>
          <w:highlight w:val="none"/>
        </w:rPr>
        <w:fldChar w:fldCharType="separate"/>
      </w:r>
      <w:r>
        <w:rPr>
          <w:rStyle w:val="11"/>
          <w:rFonts w:cs="Times New Roman"/>
          <w:color w:val="auto"/>
          <w:szCs w:val="28"/>
          <w:highlight w:val="none"/>
          <w:u w:val="none"/>
          <w:shd w:val="clear" w:color="auto" w:fill="FFFFFF"/>
          <w:lang w:val="en-US"/>
        </w:rPr>
        <w:t>https://doi.org/10.1093/cid/ciy697</w:t>
      </w:r>
      <w:r>
        <w:rPr>
          <w:rStyle w:val="11"/>
          <w:rFonts w:cs="Times New Roman"/>
          <w:color w:val="auto"/>
          <w:szCs w:val="28"/>
          <w:highlight w:val="none"/>
          <w:u w:val="none"/>
          <w:shd w:val="clear" w:color="auto" w:fill="FFFFFF"/>
          <w:lang w:val="en-US"/>
        </w:rPr>
        <w:fldChar w:fldCharType="end"/>
      </w:r>
    </w:p>
    <w:p w14:paraId="46F0B3A3">
      <w:pPr>
        <w:widowControl w:val="0"/>
        <w:rPr>
          <w:rFonts w:cs="Times New Roman"/>
          <w:szCs w:val="28"/>
          <w:highlight w:val="none"/>
          <w:lang w:val="en-US"/>
        </w:rPr>
      </w:pPr>
      <w:r>
        <w:rPr>
          <w:rFonts w:cs="Times New Roman"/>
          <w:szCs w:val="28"/>
          <w:highlight w:val="none"/>
          <w:lang w:val="en-US"/>
        </w:rPr>
        <w:t xml:space="preserve">205. </w:t>
      </w:r>
      <w:r>
        <w:rPr>
          <w:rStyle w:val="66"/>
          <w:rFonts w:cs="Times New Roman"/>
          <w:szCs w:val="28"/>
          <w:highlight w:val="none"/>
          <w:lang w:val="en-US"/>
        </w:rPr>
        <w:t>World Health Organization</w:t>
      </w:r>
      <w:r>
        <w:rPr>
          <w:rFonts w:cs="Times New Roman"/>
          <w:szCs w:val="28"/>
          <w:highlight w:val="none"/>
          <w:lang w:val="en-US"/>
        </w:rPr>
        <w:t>. </w:t>
      </w:r>
      <w:r>
        <w:rPr>
          <w:rStyle w:val="69"/>
          <w:rFonts w:cs="Times New Roman"/>
          <w:iCs/>
          <w:szCs w:val="28"/>
          <w:highlight w:val="none"/>
          <w:lang w:val="en-US"/>
        </w:rPr>
        <w:t>Progress Report on Access to Hepatitis C Treatment: Focus on Overcoming Barriers in Low- and Middle-Income Countries, March 2018</w:t>
      </w:r>
      <w:r>
        <w:rPr>
          <w:rFonts w:cs="Times New Roman"/>
          <w:szCs w:val="28"/>
          <w:highlight w:val="none"/>
          <w:lang w:val="en-US"/>
        </w:rPr>
        <w:t>. </w:t>
      </w:r>
      <w:r>
        <w:rPr>
          <w:rStyle w:val="70"/>
          <w:rFonts w:cs="Times New Roman"/>
          <w:szCs w:val="28"/>
          <w:highlight w:val="none"/>
          <w:lang w:val="en-US"/>
        </w:rPr>
        <w:t>Geneva</w:t>
      </w:r>
      <w:r>
        <w:rPr>
          <w:rFonts w:cs="Times New Roman"/>
          <w:szCs w:val="28"/>
          <w:highlight w:val="none"/>
          <w:lang w:val="en-US"/>
        </w:rPr>
        <w:t>: World Health Organization. </w:t>
      </w:r>
      <w:r>
        <w:rPr>
          <w:rStyle w:val="58"/>
          <w:rFonts w:cs="Times New Roman"/>
          <w:szCs w:val="28"/>
          <w:highlight w:val="none"/>
          <w:lang w:val="en-US"/>
        </w:rPr>
        <w:t>2018</w:t>
      </w:r>
      <w:r>
        <w:rPr>
          <w:rFonts w:cs="Times New Roman"/>
          <w:szCs w:val="28"/>
          <w:highlight w:val="none"/>
          <w:lang w:val="en-US"/>
        </w:rPr>
        <w:t xml:space="preserve">. P. </w:t>
      </w:r>
      <w:r>
        <w:rPr>
          <w:rStyle w:val="60"/>
          <w:rFonts w:cs="Times New Roman"/>
          <w:szCs w:val="28"/>
          <w:highlight w:val="none"/>
          <w:lang w:val="en-US"/>
        </w:rPr>
        <w:t>2</w:t>
      </w:r>
      <w:r>
        <w:rPr>
          <w:rFonts w:cs="Times New Roman"/>
          <w:szCs w:val="28"/>
          <w:highlight w:val="none"/>
          <w:shd w:val="clear" w:color="auto" w:fill="FFFFFF"/>
          <w:lang w:val="en-US"/>
        </w:rPr>
        <w:t>–</w:t>
      </w:r>
      <w:r>
        <w:rPr>
          <w:rStyle w:val="61"/>
          <w:rFonts w:cs="Times New Roman"/>
          <w:szCs w:val="28"/>
          <w:highlight w:val="none"/>
          <w:lang w:val="en-US"/>
        </w:rPr>
        <w:t>30</w:t>
      </w:r>
      <w:r>
        <w:rPr>
          <w:rFonts w:cs="Times New Roman"/>
          <w:szCs w:val="28"/>
          <w:highlight w:val="none"/>
          <w:lang w:val="en-US"/>
        </w:rPr>
        <w:t>. URL: https://apps.who.int/iris/bitstream/handle/10665/260445/WHO-CDS-HIV?sequence=1</w:t>
      </w:r>
    </w:p>
    <w:p w14:paraId="7F25C933">
      <w:pPr>
        <w:widowControl w:val="0"/>
        <w:rPr>
          <w:rFonts w:cs="Times New Roman"/>
          <w:szCs w:val="28"/>
          <w:highlight w:val="none"/>
          <w:lang w:val="en-US"/>
        </w:rPr>
      </w:pPr>
      <w:r>
        <w:rPr>
          <w:rFonts w:cs="Times New Roman"/>
          <w:szCs w:val="28"/>
          <w:highlight w:val="none"/>
          <w:lang w:val="en-US"/>
        </w:rPr>
        <w:t xml:space="preserve">206. </w:t>
      </w:r>
      <w:r>
        <w:rPr>
          <w:rStyle w:val="57"/>
          <w:rFonts w:cs="Times New Roman"/>
          <w:szCs w:val="28"/>
          <w:highlight w:val="none"/>
          <w:lang w:val="en-US"/>
        </w:rPr>
        <w:t>Barriers to hepatitis C treatment in the era of direct-acting anti-viral agents</w:t>
      </w:r>
      <w:r>
        <w:rPr>
          <w:rFonts w:cs="Times New Roman"/>
          <w:szCs w:val="28"/>
          <w:highlight w:val="none"/>
          <w:lang w:val="en-US"/>
        </w:rPr>
        <w:t xml:space="preserve"> /</w:t>
      </w:r>
      <w:r>
        <w:rPr>
          <w:rStyle w:val="56"/>
          <w:rFonts w:cs="Times New Roman"/>
          <w:szCs w:val="28"/>
          <w:highlight w:val="none"/>
          <w:lang w:val="en-US"/>
        </w:rPr>
        <w:t xml:space="preserve"> M. Lin et al. </w:t>
      </w:r>
      <w:r>
        <w:rPr>
          <w:rFonts w:cs="Times New Roman"/>
          <w:i/>
          <w:iCs/>
          <w:szCs w:val="28"/>
          <w:highlight w:val="none"/>
          <w:lang w:val="en-US"/>
        </w:rPr>
        <w:t>Aliment Pharmacol Ther.</w:t>
      </w:r>
      <w:r>
        <w:rPr>
          <w:rFonts w:cs="Times New Roman"/>
          <w:szCs w:val="28"/>
          <w:highlight w:val="none"/>
          <w:lang w:val="en-US"/>
        </w:rPr>
        <w:t> </w:t>
      </w:r>
      <w:r>
        <w:rPr>
          <w:rStyle w:val="58"/>
          <w:rFonts w:cs="Times New Roman"/>
          <w:szCs w:val="28"/>
          <w:highlight w:val="none"/>
          <w:lang w:val="en-US"/>
        </w:rPr>
        <w:t>2017</w:t>
      </w:r>
      <w:r>
        <w:rPr>
          <w:rFonts w:cs="Times New Roman"/>
          <w:szCs w:val="28"/>
          <w:highlight w:val="none"/>
          <w:lang w:val="en-US"/>
        </w:rPr>
        <w:t xml:space="preserve">. Vol. </w:t>
      </w:r>
      <w:r>
        <w:rPr>
          <w:rStyle w:val="59"/>
          <w:rFonts w:cs="Times New Roman"/>
          <w:bCs/>
          <w:szCs w:val="28"/>
          <w:highlight w:val="none"/>
          <w:lang w:val="en-US"/>
        </w:rPr>
        <w:t>46</w:t>
      </w:r>
      <w:r>
        <w:rPr>
          <w:rFonts w:cs="Times New Roman"/>
          <w:szCs w:val="28"/>
          <w:highlight w:val="none"/>
          <w:lang w:val="en-US"/>
        </w:rPr>
        <w:t xml:space="preserve">. P. </w:t>
      </w:r>
      <w:r>
        <w:rPr>
          <w:rStyle w:val="60"/>
          <w:rFonts w:cs="Times New Roman"/>
          <w:szCs w:val="28"/>
          <w:highlight w:val="none"/>
          <w:lang w:val="en-US"/>
        </w:rPr>
        <w:t>992</w:t>
      </w:r>
      <w:r>
        <w:rPr>
          <w:rFonts w:cs="Times New Roman"/>
          <w:szCs w:val="28"/>
          <w:highlight w:val="none"/>
          <w:shd w:val="clear" w:color="auto" w:fill="FFFFFF"/>
          <w:lang w:val="en-US"/>
        </w:rPr>
        <w:t>–</w:t>
      </w:r>
      <w:r>
        <w:rPr>
          <w:rStyle w:val="61"/>
          <w:rFonts w:cs="Times New Roman"/>
          <w:szCs w:val="28"/>
          <w:highlight w:val="none"/>
          <w:lang w:val="en-US"/>
        </w:rPr>
        <w:t>1000</w:t>
      </w:r>
      <w:r>
        <w:rPr>
          <w:rFonts w:cs="Times New Roman"/>
          <w:szCs w:val="28"/>
          <w:highlight w:val="none"/>
          <w:lang w:val="en-US"/>
        </w:rPr>
        <w:t xml:space="preserve">. </w:t>
      </w:r>
      <w:r>
        <w:rPr>
          <w:rStyle w:val="53"/>
          <w:rFonts w:cs="Times New Roman"/>
          <w:szCs w:val="28"/>
          <w:highlight w:val="none"/>
          <w:lang w:val="en-US"/>
        </w:rPr>
        <w:t>doi: </w:t>
      </w:r>
      <w:r>
        <w:rPr>
          <w:highlight w:val="none"/>
        </w:rPr>
        <w:fldChar w:fldCharType="begin"/>
      </w:r>
      <w:r>
        <w:rPr>
          <w:highlight w:val="none"/>
        </w:rPr>
        <w:instrText xml:space="preserve"> HYPERLINK "https://doi.org/10.1111/apt.14328" \t "_blank" </w:instrText>
      </w:r>
      <w:r>
        <w:rPr>
          <w:highlight w:val="none"/>
        </w:rPr>
        <w:fldChar w:fldCharType="separate"/>
      </w:r>
      <w:r>
        <w:rPr>
          <w:rStyle w:val="11"/>
          <w:rFonts w:cs="Times New Roman"/>
          <w:color w:val="auto"/>
          <w:szCs w:val="28"/>
          <w:highlight w:val="none"/>
          <w:u w:val="none"/>
          <w:lang w:val="en-US"/>
        </w:rPr>
        <w:t>10.1111/apt.14328</w:t>
      </w:r>
      <w:r>
        <w:rPr>
          <w:rStyle w:val="11"/>
          <w:rFonts w:cs="Times New Roman"/>
          <w:color w:val="auto"/>
          <w:szCs w:val="28"/>
          <w:highlight w:val="none"/>
          <w:u w:val="none"/>
          <w:lang w:val="en-US"/>
        </w:rPr>
        <w:fldChar w:fldCharType="end"/>
      </w:r>
    </w:p>
    <w:p w14:paraId="27B1AFCD">
      <w:pPr>
        <w:widowControl w:val="0"/>
        <w:rPr>
          <w:rFonts w:cs="Times New Roman"/>
          <w:szCs w:val="28"/>
          <w:highlight w:val="none"/>
          <w:lang w:val="en-US"/>
        </w:rPr>
      </w:pPr>
      <w:r>
        <w:rPr>
          <w:rFonts w:cs="Times New Roman"/>
          <w:szCs w:val="28"/>
          <w:highlight w:val="none"/>
          <w:lang w:val="en-US"/>
        </w:rPr>
        <w:t xml:space="preserve">207. European Medicines Agency. Summary of product characteristics: Victrelis. 2019. URL: </w:t>
      </w:r>
      <w:r>
        <w:rPr>
          <w:highlight w:val="none"/>
        </w:rPr>
        <w:fldChar w:fldCharType="begin"/>
      </w:r>
      <w:r>
        <w:rPr>
          <w:highlight w:val="none"/>
        </w:rPr>
        <w:instrText xml:space="preserve"> HYPERLINK "https://www.ema.europa.eu/documents/product-information/victrelis-epar-product-information_en.pdf" </w:instrText>
      </w:r>
      <w:r>
        <w:rPr>
          <w:highlight w:val="none"/>
        </w:rPr>
        <w:fldChar w:fldCharType="separate"/>
      </w:r>
      <w:r>
        <w:rPr>
          <w:rStyle w:val="11"/>
          <w:rFonts w:cs="Times New Roman"/>
          <w:color w:val="auto"/>
          <w:szCs w:val="28"/>
          <w:highlight w:val="none"/>
          <w:u w:val="none"/>
          <w:lang w:val="en-US"/>
        </w:rPr>
        <w:t>https://www.ema.europa.eu/documents/product-information/victrelis-epar-product-information_en.pdf</w:t>
      </w:r>
      <w:r>
        <w:rPr>
          <w:rStyle w:val="11"/>
          <w:rFonts w:cs="Times New Roman"/>
          <w:color w:val="auto"/>
          <w:szCs w:val="28"/>
          <w:highlight w:val="none"/>
          <w:u w:val="none"/>
          <w:lang w:val="en-US"/>
        </w:rPr>
        <w:fldChar w:fldCharType="end"/>
      </w:r>
    </w:p>
    <w:p w14:paraId="3A084318">
      <w:pPr>
        <w:widowControl w:val="0"/>
        <w:rPr>
          <w:rFonts w:cs="Times New Roman"/>
          <w:szCs w:val="28"/>
          <w:highlight w:val="none"/>
          <w:lang w:val="en-US"/>
        </w:rPr>
      </w:pPr>
      <w:r>
        <w:rPr>
          <w:rFonts w:cs="Times New Roman"/>
          <w:szCs w:val="28"/>
          <w:highlight w:val="none"/>
          <w:lang w:val="en-US"/>
        </w:rPr>
        <w:t xml:space="preserve">208. </w:t>
      </w:r>
      <w:r>
        <w:rPr>
          <w:rStyle w:val="12"/>
          <w:rFonts w:cs="Times New Roman"/>
          <w:b w:val="0"/>
          <w:szCs w:val="28"/>
          <w:highlight w:val="none"/>
          <w:lang w:val="en-US"/>
        </w:rPr>
        <w:t xml:space="preserve">Sofosbuvir-containing regimens are safe and effective in the treatment of HCV patients with moderate to severe renal impairment / </w:t>
      </w:r>
      <w:r>
        <w:rPr>
          <w:rFonts w:cs="Times New Roman"/>
          <w:szCs w:val="28"/>
          <w:highlight w:val="none"/>
          <w:lang w:val="en-US"/>
        </w:rPr>
        <w:t>R. Eletreby</w:t>
      </w:r>
      <w:r>
        <w:rPr>
          <w:rStyle w:val="10"/>
          <w:rFonts w:cs="Times New Roman"/>
          <w:szCs w:val="28"/>
          <w:highlight w:val="none"/>
          <w:lang w:val="en-US"/>
        </w:rPr>
        <w:t xml:space="preserve"> et al. </w:t>
      </w:r>
      <w:r>
        <w:rPr>
          <w:rFonts w:cs="Times New Roman"/>
          <w:i/>
          <w:szCs w:val="28"/>
          <w:highlight w:val="none"/>
          <w:lang w:val="en-US"/>
        </w:rPr>
        <w:t>Liver Int.</w:t>
      </w:r>
      <w:r>
        <w:rPr>
          <w:rFonts w:cs="Times New Roman"/>
          <w:szCs w:val="28"/>
          <w:highlight w:val="none"/>
          <w:lang w:val="en-US"/>
        </w:rPr>
        <w:t xml:space="preserve"> 2020. Vol. 40. P. 797</w:t>
      </w:r>
      <w:r>
        <w:rPr>
          <w:rFonts w:cs="Times New Roman"/>
          <w:szCs w:val="28"/>
          <w:highlight w:val="none"/>
          <w:shd w:val="clear" w:color="auto" w:fill="FFFFFF"/>
          <w:lang w:val="en-US"/>
        </w:rPr>
        <w:t>–</w:t>
      </w:r>
      <w:r>
        <w:rPr>
          <w:rFonts w:cs="Times New Roman"/>
          <w:szCs w:val="28"/>
          <w:highlight w:val="none"/>
          <w:lang w:val="en-US"/>
        </w:rPr>
        <w:t xml:space="preserve">805. </w:t>
      </w:r>
      <w:r>
        <w:rPr>
          <w:rFonts w:eastAsia="Times New Roman" w:cs="Times New Roman"/>
          <w:bCs/>
          <w:szCs w:val="28"/>
          <w:highlight w:val="none"/>
          <w:lang w:val="en-US" w:eastAsia="ru-RU"/>
        </w:rPr>
        <w:t>doi: </w:t>
      </w:r>
      <w:r>
        <w:rPr>
          <w:rFonts w:eastAsia="Times New Roman" w:cs="Times New Roman"/>
          <w:szCs w:val="28"/>
          <w:highlight w:val="none"/>
          <w:lang w:val="en-US" w:eastAsia="ru-RU"/>
        </w:rPr>
        <w:t>10.1111/liv.14299</w:t>
      </w:r>
    </w:p>
    <w:p w14:paraId="4E0F09C3">
      <w:pPr>
        <w:widowControl w:val="0"/>
        <w:rPr>
          <w:rFonts w:cs="Times New Roman"/>
          <w:szCs w:val="28"/>
          <w:highlight w:val="none"/>
          <w:lang w:val="en-US"/>
        </w:rPr>
      </w:pPr>
      <w:r>
        <w:rPr>
          <w:rFonts w:cs="Times New Roman"/>
          <w:szCs w:val="28"/>
          <w:highlight w:val="none"/>
          <w:lang w:val="en-US"/>
        </w:rPr>
        <w:t xml:space="preserve">209. </w:t>
      </w:r>
      <w:r>
        <w:rPr>
          <w:rStyle w:val="12"/>
          <w:rFonts w:cs="Times New Roman"/>
          <w:b w:val="0"/>
          <w:szCs w:val="28"/>
          <w:highlight w:val="none"/>
          <w:lang w:val="en-US"/>
        </w:rPr>
        <w:t xml:space="preserve">Sofosbuvir plus ribavirin and sofosbuvir plus ledipasvir in patients with genotype 1 or 3 hepatitis C virus and severe renal impairment: a multicentre, phase 2b, non-randomised, open-label study / </w:t>
      </w:r>
      <w:r>
        <w:rPr>
          <w:rFonts w:cs="Times New Roman"/>
          <w:szCs w:val="28"/>
          <w:highlight w:val="none"/>
          <w:lang w:val="en-US"/>
        </w:rPr>
        <w:t>E. Lawitz</w:t>
      </w:r>
      <w:r>
        <w:rPr>
          <w:rStyle w:val="10"/>
          <w:rFonts w:cs="Times New Roman"/>
          <w:szCs w:val="28"/>
          <w:highlight w:val="none"/>
          <w:lang w:val="en-US"/>
        </w:rPr>
        <w:t xml:space="preserve"> et al. </w:t>
      </w:r>
      <w:r>
        <w:rPr>
          <w:rFonts w:cs="Times New Roman"/>
          <w:i/>
          <w:szCs w:val="28"/>
          <w:highlight w:val="none"/>
          <w:lang w:val="en-US"/>
        </w:rPr>
        <w:t>Lancet Gastroenterol Hepatol</w:t>
      </w:r>
      <w:r>
        <w:rPr>
          <w:rFonts w:cs="Times New Roman"/>
          <w:szCs w:val="28"/>
          <w:highlight w:val="none"/>
          <w:lang w:val="en-US"/>
        </w:rPr>
        <w:t>. 2020. Vol. 5 (10). P. 918</w:t>
      </w:r>
      <w:r>
        <w:rPr>
          <w:rFonts w:cs="Times New Roman"/>
          <w:szCs w:val="28"/>
          <w:highlight w:val="none"/>
          <w:shd w:val="clear" w:color="auto" w:fill="FFFFFF"/>
          <w:lang w:val="en-US"/>
        </w:rPr>
        <w:t>–</w:t>
      </w:r>
      <w:r>
        <w:rPr>
          <w:rFonts w:cs="Times New Roman"/>
          <w:szCs w:val="28"/>
          <w:highlight w:val="none"/>
          <w:lang w:val="en-US"/>
        </w:rPr>
        <w:t xml:space="preserve">926. </w:t>
      </w:r>
      <w:r>
        <w:rPr>
          <w:rFonts w:eastAsia="Times New Roman" w:cs="Times New Roman"/>
          <w:bCs/>
          <w:szCs w:val="28"/>
          <w:highlight w:val="none"/>
          <w:lang w:val="en-US" w:eastAsia="ru-RU"/>
        </w:rPr>
        <w:t>doi: </w:t>
      </w:r>
      <w:r>
        <w:rPr>
          <w:rFonts w:eastAsia="Times New Roman" w:cs="Times New Roman"/>
          <w:szCs w:val="28"/>
          <w:highlight w:val="none"/>
          <w:lang w:val="en-US" w:eastAsia="ru-RU"/>
        </w:rPr>
        <w:t>10.1016/S2468-1253(19)30417-0</w:t>
      </w:r>
    </w:p>
    <w:p w14:paraId="2A6DE9EC">
      <w:pPr>
        <w:widowControl w:val="0"/>
        <w:rPr>
          <w:rFonts w:cs="Times New Roman"/>
          <w:szCs w:val="28"/>
          <w:highlight w:val="none"/>
          <w:shd w:val="clear" w:color="auto" w:fill="FFFFFF"/>
          <w:lang w:val="en-US"/>
        </w:rPr>
      </w:pPr>
      <w:r>
        <w:rPr>
          <w:rFonts w:cs="Times New Roman"/>
          <w:szCs w:val="28"/>
          <w:highlight w:val="none"/>
          <w:lang w:val="en-US"/>
        </w:rPr>
        <w:t xml:space="preserve">210. Global timing of hepatitis C virus elimination in high-income countries / </w:t>
      </w:r>
      <w:r>
        <w:rPr>
          <w:highlight w:val="none"/>
        </w:rPr>
        <w:fldChar w:fldCharType="begin"/>
      </w:r>
      <w:r>
        <w:rPr>
          <w:highlight w:val="none"/>
        </w:rPr>
        <w:instrText xml:space="preserve"> HYPERLINK "https://onlinelibrary.wiley.com/action/doSearch?ContribAuthorRaw=Razavi%2C+Homie" </w:instrText>
      </w:r>
      <w:r>
        <w:rPr>
          <w:highlight w:val="none"/>
        </w:rPr>
        <w:fldChar w:fldCharType="separate"/>
      </w:r>
      <w:r>
        <w:rPr>
          <w:rStyle w:val="11"/>
          <w:rFonts w:cs="Times New Roman"/>
          <w:color w:val="auto"/>
          <w:szCs w:val="28"/>
          <w:highlight w:val="none"/>
          <w:u w:val="none"/>
          <w:lang w:val="en-US"/>
        </w:rPr>
        <w:t>H. Razavi</w:t>
      </w:r>
      <w:r>
        <w:rPr>
          <w:rStyle w:val="11"/>
          <w:rFonts w:cs="Times New Roman"/>
          <w:color w:val="auto"/>
          <w:szCs w:val="28"/>
          <w:highlight w:val="none"/>
          <w:u w:val="none"/>
          <w:lang w:val="en-US"/>
        </w:rPr>
        <w:fldChar w:fldCharType="end"/>
      </w:r>
      <w:r>
        <w:rPr>
          <w:rStyle w:val="54"/>
          <w:rFonts w:cs="Times New Roman"/>
          <w:szCs w:val="28"/>
          <w:highlight w:val="none"/>
          <w:lang w:val="en-US"/>
        </w:rPr>
        <w:t xml:space="preserve">, </w:t>
      </w:r>
      <w:r>
        <w:rPr>
          <w:highlight w:val="none"/>
        </w:rPr>
        <w:fldChar w:fldCharType="begin"/>
      </w:r>
      <w:r>
        <w:rPr>
          <w:highlight w:val="none"/>
        </w:rPr>
        <w:instrText xml:space="preserve"> HYPERLINK "https://onlinelibrary.wiley.com/action/doSearch?ContribAuthorRaw=Sanchez+Gonzalez%2C+Yuri" </w:instrText>
      </w:r>
      <w:r>
        <w:rPr>
          <w:highlight w:val="none"/>
        </w:rPr>
        <w:fldChar w:fldCharType="separate"/>
      </w:r>
      <w:r>
        <w:rPr>
          <w:rStyle w:val="11"/>
          <w:rFonts w:cs="Times New Roman"/>
          <w:color w:val="auto"/>
          <w:szCs w:val="28"/>
          <w:highlight w:val="none"/>
          <w:u w:val="none"/>
          <w:lang w:val="en-US"/>
        </w:rPr>
        <w:t>Y. S. Gonzalez</w:t>
      </w:r>
      <w:r>
        <w:rPr>
          <w:rStyle w:val="11"/>
          <w:rFonts w:cs="Times New Roman"/>
          <w:color w:val="auto"/>
          <w:szCs w:val="28"/>
          <w:highlight w:val="none"/>
          <w:u w:val="none"/>
          <w:lang w:val="en-US"/>
        </w:rPr>
        <w:fldChar w:fldCharType="end"/>
      </w:r>
      <w:r>
        <w:rPr>
          <w:rStyle w:val="54"/>
          <w:rFonts w:cs="Times New Roman"/>
          <w:szCs w:val="28"/>
          <w:highlight w:val="none"/>
          <w:lang w:val="en-US"/>
        </w:rPr>
        <w:t xml:space="preserve">, </w:t>
      </w:r>
      <w:r>
        <w:rPr>
          <w:highlight w:val="none"/>
        </w:rPr>
        <w:fldChar w:fldCharType="begin"/>
      </w:r>
      <w:r>
        <w:rPr>
          <w:highlight w:val="none"/>
        </w:rPr>
        <w:instrText xml:space="preserve"> HYPERLINK "https://onlinelibrary.wiley.com/action/doSearch?ContribAuthorRaw=Yuen%2C+Cammy" </w:instrText>
      </w:r>
      <w:r>
        <w:rPr>
          <w:highlight w:val="none"/>
        </w:rPr>
        <w:fldChar w:fldCharType="separate"/>
      </w:r>
      <w:r>
        <w:rPr>
          <w:rStyle w:val="11"/>
          <w:rFonts w:cs="Times New Roman"/>
          <w:color w:val="auto"/>
          <w:szCs w:val="28"/>
          <w:highlight w:val="none"/>
          <w:u w:val="none"/>
          <w:lang w:val="en-US"/>
        </w:rPr>
        <w:t>C. Yuen</w:t>
      </w:r>
      <w:r>
        <w:rPr>
          <w:rStyle w:val="11"/>
          <w:rFonts w:cs="Times New Roman"/>
          <w:color w:val="auto"/>
          <w:szCs w:val="28"/>
          <w:highlight w:val="none"/>
          <w:u w:val="none"/>
          <w:lang w:val="en-US"/>
        </w:rPr>
        <w:fldChar w:fldCharType="end"/>
      </w:r>
      <w:r>
        <w:rPr>
          <w:rStyle w:val="54"/>
          <w:rFonts w:cs="Times New Roman"/>
          <w:szCs w:val="28"/>
          <w:highlight w:val="none"/>
          <w:lang w:val="en-US"/>
        </w:rPr>
        <w:t xml:space="preserve">, </w:t>
      </w:r>
      <w:r>
        <w:rPr>
          <w:highlight w:val="none"/>
        </w:rPr>
        <w:fldChar w:fldCharType="begin"/>
      </w:r>
      <w:r>
        <w:rPr>
          <w:highlight w:val="none"/>
        </w:rPr>
        <w:instrText xml:space="preserve"> HYPERLINK "https://onlinelibrary.wiley.com/action/doSearch?ContribAuthorRaw=Cornberg%2C+Markus" </w:instrText>
      </w:r>
      <w:r>
        <w:rPr>
          <w:highlight w:val="none"/>
        </w:rPr>
        <w:fldChar w:fldCharType="separate"/>
      </w:r>
      <w:r>
        <w:rPr>
          <w:rStyle w:val="11"/>
          <w:rFonts w:cs="Times New Roman"/>
          <w:color w:val="auto"/>
          <w:szCs w:val="28"/>
          <w:highlight w:val="none"/>
          <w:u w:val="none"/>
          <w:lang w:val="en-US"/>
        </w:rPr>
        <w:t>M. Cornberg</w:t>
      </w:r>
      <w:r>
        <w:rPr>
          <w:rStyle w:val="11"/>
          <w:rFonts w:cs="Times New Roman"/>
          <w:color w:val="auto"/>
          <w:szCs w:val="28"/>
          <w:highlight w:val="none"/>
          <w:u w:val="none"/>
          <w:lang w:val="en-US"/>
        </w:rPr>
        <w:fldChar w:fldCharType="end"/>
      </w:r>
      <w:r>
        <w:rPr>
          <w:rStyle w:val="64"/>
          <w:rFonts w:cs="Times New Roman"/>
          <w:szCs w:val="28"/>
          <w:highlight w:val="none"/>
          <w:lang w:val="en-US"/>
        </w:rPr>
        <w:t xml:space="preserve">. </w:t>
      </w:r>
      <w:r>
        <w:rPr>
          <w:rStyle w:val="10"/>
          <w:rFonts w:cs="Times New Roman"/>
          <w:szCs w:val="28"/>
          <w:highlight w:val="none"/>
          <w:shd w:val="clear" w:color="auto" w:fill="FFFFFF"/>
          <w:lang w:val="en-US"/>
        </w:rPr>
        <w:t>Liver International.</w:t>
      </w:r>
      <w:r>
        <w:rPr>
          <w:rFonts w:cs="Times New Roman"/>
          <w:szCs w:val="28"/>
          <w:highlight w:val="none"/>
          <w:lang w:val="en-US"/>
        </w:rPr>
        <w:t xml:space="preserve"> </w:t>
      </w:r>
      <w:r>
        <w:rPr>
          <w:rStyle w:val="68"/>
          <w:rFonts w:cs="Times New Roman"/>
          <w:szCs w:val="28"/>
          <w:highlight w:val="none"/>
          <w:lang w:val="en-US"/>
        </w:rPr>
        <w:t xml:space="preserve">2020. </w:t>
      </w:r>
      <w:r>
        <w:rPr>
          <w:highlight w:val="none"/>
        </w:rPr>
        <w:fldChar w:fldCharType="begin"/>
      </w:r>
      <w:r>
        <w:rPr>
          <w:highlight w:val="none"/>
        </w:rPr>
        <w:instrText xml:space="preserve"> HYPERLINK "https://onlinelibrary.wiley.com/toc/14783231/2020/40/3" \o "View Volume 40, Issue 3" </w:instrText>
      </w:r>
      <w:r>
        <w:rPr>
          <w:highlight w:val="none"/>
        </w:rPr>
        <w:fldChar w:fldCharType="separate"/>
      </w:r>
      <w:r>
        <w:rPr>
          <w:rStyle w:val="11"/>
          <w:rFonts w:cs="Times New Roman"/>
          <w:bCs/>
          <w:color w:val="auto"/>
          <w:szCs w:val="28"/>
          <w:highlight w:val="none"/>
          <w:u w:val="none"/>
          <w:lang w:val="en-US"/>
        </w:rPr>
        <w:t xml:space="preserve">Vol. </w:t>
      </w:r>
      <w:r>
        <w:rPr>
          <w:rStyle w:val="55"/>
          <w:rFonts w:cs="Times New Roman"/>
          <w:bCs/>
          <w:szCs w:val="28"/>
          <w:highlight w:val="none"/>
          <w:lang w:val="en-US"/>
        </w:rPr>
        <w:t>40</w:t>
      </w:r>
      <w:r>
        <w:rPr>
          <w:rStyle w:val="11"/>
          <w:rFonts w:cs="Times New Roman"/>
          <w:bCs/>
          <w:color w:val="auto"/>
          <w:szCs w:val="28"/>
          <w:highlight w:val="none"/>
          <w:u w:val="none"/>
          <w:lang w:val="en-US"/>
        </w:rPr>
        <w:t xml:space="preserve">, Iss. </w:t>
      </w:r>
      <w:r>
        <w:rPr>
          <w:rStyle w:val="55"/>
          <w:rFonts w:cs="Times New Roman"/>
          <w:bCs/>
          <w:szCs w:val="28"/>
          <w:highlight w:val="none"/>
          <w:lang w:val="en-US"/>
        </w:rPr>
        <w:t>3</w:t>
      </w:r>
      <w:r>
        <w:rPr>
          <w:rStyle w:val="55"/>
          <w:rFonts w:cs="Times New Roman"/>
          <w:bCs/>
          <w:szCs w:val="28"/>
          <w:highlight w:val="none"/>
          <w:lang w:val="en-US"/>
        </w:rPr>
        <w:fldChar w:fldCharType="end"/>
      </w:r>
      <w:r>
        <w:rPr>
          <w:rFonts w:cs="Times New Roman"/>
          <w:bCs/>
          <w:szCs w:val="28"/>
          <w:highlight w:val="none"/>
          <w:lang w:val="en-US"/>
        </w:rPr>
        <w:t xml:space="preserve">. </w:t>
      </w:r>
      <w:r>
        <w:rPr>
          <w:rFonts w:cs="Times New Roman"/>
          <w:szCs w:val="28"/>
          <w:highlight w:val="none"/>
          <w:lang w:val="en-US"/>
        </w:rPr>
        <w:t>P. 522</w:t>
      </w:r>
      <w:r>
        <w:rPr>
          <w:rFonts w:cs="Times New Roman"/>
          <w:szCs w:val="28"/>
          <w:highlight w:val="none"/>
          <w:shd w:val="clear" w:color="auto" w:fill="FFFFFF"/>
          <w:lang w:val="en-US"/>
        </w:rPr>
        <w:t>–</w:t>
      </w:r>
      <w:r>
        <w:rPr>
          <w:rFonts w:cs="Times New Roman"/>
          <w:szCs w:val="28"/>
          <w:highlight w:val="none"/>
          <w:lang w:val="en-US"/>
        </w:rPr>
        <w:t xml:space="preserve">529. doi: </w:t>
      </w:r>
      <w:r>
        <w:rPr>
          <w:highlight w:val="none"/>
        </w:rPr>
        <w:fldChar w:fldCharType="begin"/>
      </w:r>
      <w:r>
        <w:rPr>
          <w:highlight w:val="none"/>
        </w:rPr>
        <w:instrText xml:space="preserve"> HYPERLINK "https://doi.org/10.1111/liv.14324" </w:instrText>
      </w:r>
      <w:r>
        <w:rPr>
          <w:highlight w:val="none"/>
        </w:rPr>
        <w:fldChar w:fldCharType="separate"/>
      </w:r>
      <w:r>
        <w:rPr>
          <w:rStyle w:val="11"/>
          <w:rFonts w:cs="Times New Roman"/>
          <w:bCs/>
          <w:color w:val="auto"/>
          <w:szCs w:val="28"/>
          <w:highlight w:val="none"/>
          <w:u w:val="none"/>
          <w:lang w:val="en-US"/>
        </w:rPr>
        <w:t>https://doi.org/10.1111/liv.14324</w:t>
      </w:r>
      <w:r>
        <w:rPr>
          <w:rStyle w:val="11"/>
          <w:rFonts w:cs="Times New Roman"/>
          <w:bCs/>
          <w:color w:val="auto"/>
          <w:szCs w:val="28"/>
          <w:highlight w:val="none"/>
          <w:u w:val="none"/>
          <w:lang w:val="en-US"/>
        </w:rPr>
        <w:fldChar w:fldCharType="end"/>
      </w:r>
    </w:p>
    <w:p w14:paraId="5A9A8AFB">
      <w:pPr>
        <w:widowControl w:val="0"/>
        <w:rPr>
          <w:rFonts w:cs="Times New Roman"/>
          <w:szCs w:val="28"/>
          <w:highlight w:val="none"/>
          <w:lang w:val="en-US"/>
        </w:rPr>
      </w:pPr>
      <w:r>
        <w:rPr>
          <w:rFonts w:cs="Times New Roman"/>
          <w:szCs w:val="28"/>
          <w:highlight w:val="none"/>
          <w:lang w:val="en-US"/>
        </w:rPr>
        <w:t xml:space="preserve">211. </w:t>
      </w:r>
      <w:r>
        <w:rPr>
          <w:rStyle w:val="57"/>
          <w:rFonts w:cs="Times New Roman"/>
          <w:szCs w:val="28"/>
          <w:highlight w:val="none"/>
          <w:shd w:val="clear" w:color="auto" w:fill="FFFFFF"/>
          <w:lang w:val="en-US"/>
        </w:rPr>
        <w:t>Viral eradication is required for sustained improvement of patient-reported outcomes in patients with hepatitis C</w:t>
      </w:r>
      <w:r>
        <w:rPr>
          <w:rFonts w:cs="Times New Roman"/>
          <w:szCs w:val="28"/>
          <w:highlight w:val="none"/>
          <w:shd w:val="clear" w:color="auto" w:fill="FFFFFF"/>
          <w:lang w:val="en-US"/>
        </w:rPr>
        <w:t xml:space="preserve"> / </w:t>
      </w:r>
      <w:r>
        <w:rPr>
          <w:rStyle w:val="56"/>
          <w:rFonts w:cs="Times New Roman"/>
          <w:szCs w:val="28"/>
          <w:highlight w:val="none"/>
          <w:shd w:val="clear" w:color="auto" w:fill="FFFFFF"/>
          <w:lang w:val="en-US"/>
        </w:rPr>
        <w:t>Z. M. Younossi</w:t>
      </w:r>
      <w:r>
        <w:rPr>
          <w:rFonts w:cs="Times New Roman"/>
          <w:szCs w:val="28"/>
          <w:highlight w:val="none"/>
          <w:shd w:val="clear" w:color="auto" w:fill="FFFFFF"/>
          <w:lang w:val="en-US"/>
        </w:rPr>
        <w:t xml:space="preserve"> et al. </w:t>
      </w:r>
      <w:r>
        <w:rPr>
          <w:rFonts w:cs="Times New Roman"/>
          <w:i/>
          <w:iCs/>
          <w:szCs w:val="28"/>
          <w:highlight w:val="none"/>
          <w:shd w:val="clear" w:color="auto" w:fill="FFFFFF"/>
          <w:lang w:val="en-US"/>
        </w:rPr>
        <w:t>Liver Int</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2018</w:t>
      </w:r>
      <w:r>
        <w:rPr>
          <w:rFonts w:cs="Times New Roman"/>
          <w:szCs w:val="28"/>
          <w:highlight w:val="none"/>
          <w:shd w:val="clear" w:color="auto" w:fill="FFFFFF"/>
          <w:lang w:val="en-US"/>
        </w:rPr>
        <w:t xml:space="preserve">. doi: </w:t>
      </w:r>
      <w:r>
        <w:rPr>
          <w:highlight w:val="none"/>
        </w:rPr>
        <w:fldChar w:fldCharType="begin"/>
      </w:r>
      <w:r>
        <w:rPr>
          <w:highlight w:val="none"/>
        </w:rPr>
        <w:instrText xml:space="preserve"> HYPERLINK "https://doi.org/10.1111/liv.13900" </w:instrText>
      </w:r>
      <w:r>
        <w:rPr>
          <w:highlight w:val="none"/>
        </w:rPr>
        <w:fldChar w:fldCharType="separate"/>
      </w:r>
      <w:r>
        <w:rPr>
          <w:rStyle w:val="53"/>
          <w:rFonts w:cs="Times New Roman"/>
          <w:szCs w:val="28"/>
          <w:highlight w:val="none"/>
          <w:shd w:val="clear" w:color="auto" w:fill="FFFFFF"/>
          <w:lang w:val="en-US"/>
        </w:rPr>
        <w:t>https://doi.org/10.1111/liv.13900</w:t>
      </w:r>
      <w:r>
        <w:rPr>
          <w:rStyle w:val="53"/>
          <w:rFonts w:cs="Times New Roman"/>
          <w:szCs w:val="28"/>
          <w:highlight w:val="none"/>
          <w:shd w:val="clear" w:color="auto" w:fill="FFFFFF"/>
          <w:lang w:val="en-US"/>
        </w:rPr>
        <w:fldChar w:fldCharType="end"/>
      </w:r>
    </w:p>
    <w:p w14:paraId="1C72AFAB">
      <w:pPr>
        <w:widowControl w:val="0"/>
        <w:rPr>
          <w:rFonts w:cs="Times New Roman"/>
          <w:szCs w:val="28"/>
          <w:highlight w:val="none"/>
          <w:lang w:val="en-US"/>
        </w:rPr>
      </w:pPr>
      <w:r>
        <w:rPr>
          <w:rFonts w:cs="Times New Roman"/>
          <w:szCs w:val="28"/>
          <w:highlight w:val="none"/>
          <w:lang w:val="en-US"/>
        </w:rPr>
        <w:t xml:space="preserve">212. </w:t>
      </w:r>
      <w:r>
        <w:rPr>
          <w:rStyle w:val="57"/>
          <w:rFonts w:cs="Times New Roman"/>
          <w:szCs w:val="28"/>
          <w:highlight w:val="none"/>
          <w:shd w:val="clear" w:color="auto" w:fill="FFFFFF"/>
          <w:lang w:val="en-US"/>
        </w:rPr>
        <w:t>Patient-reported outcomes following treatment of chronic hepatitis C virus infection with sofosbuvir and velpatasvir, with or without voxilaprevir</w:t>
      </w:r>
      <w:r>
        <w:rPr>
          <w:rFonts w:cs="Times New Roman"/>
          <w:szCs w:val="28"/>
          <w:highlight w:val="none"/>
          <w:shd w:val="clear" w:color="auto" w:fill="FFFFFF"/>
          <w:lang w:val="en-US"/>
        </w:rPr>
        <w:t xml:space="preserve"> / </w:t>
      </w:r>
      <w:r>
        <w:rPr>
          <w:rStyle w:val="56"/>
          <w:rFonts w:cs="Times New Roman"/>
          <w:szCs w:val="28"/>
          <w:highlight w:val="none"/>
          <w:shd w:val="clear" w:color="auto" w:fill="FFFFFF"/>
          <w:lang w:val="en-US"/>
        </w:rPr>
        <w:t>Z. M. Younossi</w:t>
      </w:r>
      <w:r>
        <w:rPr>
          <w:rFonts w:cs="Times New Roman"/>
          <w:szCs w:val="28"/>
          <w:highlight w:val="none"/>
          <w:shd w:val="clear" w:color="auto" w:fill="FFFFFF"/>
          <w:lang w:val="en-US"/>
        </w:rPr>
        <w:t xml:space="preserve"> et al. </w:t>
      </w:r>
      <w:r>
        <w:rPr>
          <w:rFonts w:cs="Times New Roman"/>
          <w:i/>
          <w:iCs/>
          <w:szCs w:val="28"/>
          <w:highlight w:val="none"/>
          <w:shd w:val="clear" w:color="auto" w:fill="FFFFFF"/>
          <w:lang w:val="en-US"/>
        </w:rPr>
        <w:t>Clin Gastroenterol Hepatol</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2018</w:t>
      </w:r>
      <w:r>
        <w:rPr>
          <w:rFonts w:cs="Times New Roman"/>
          <w:szCs w:val="28"/>
          <w:highlight w:val="none"/>
          <w:shd w:val="clear" w:color="auto" w:fill="FFFFFF"/>
          <w:lang w:val="en-US"/>
        </w:rPr>
        <w:t xml:space="preserve">. Vol. </w:t>
      </w:r>
      <w:r>
        <w:rPr>
          <w:rStyle w:val="59"/>
          <w:rFonts w:cs="Times New Roman"/>
          <w:bCs/>
          <w:szCs w:val="28"/>
          <w:highlight w:val="none"/>
          <w:shd w:val="clear" w:color="auto" w:fill="FFFFFF"/>
          <w:lang w:val="en-US"/>
        </w:rPr>
        <w:t xml:space="preserve">16 </w:t>
      </w:r>
      <w:r>
        <w:rPr>
          <w:rFonts w:cs="Times New Roman"/>
          <w:szCs w:val="28"/>
          <w:highlight w:val="none"/>
          <w:shd w:val="clear" w:color="auto" w:fill="FFFFFF"/>
          <w:lang w:val="en-US"/>
        </w:rPr>
        <w:t>(</w:t>
      </w:r>
      <w:r>
        <w:rPr>
          <w:rStyle w:val="62"/>
          <w:rFonts w:cs="Times New Roman"/>
          <w:szCs w:val="28"/>
          <w:highlight w:val="none"/>
          <w:shd w:val="clear" w:color="auto" w:fill="FFFFFF"/>
          <w:lang w:val="en-US"/>
        </w:rPr>
        <w:t>4</w:t>
      </w:r>
      <w:r>
        <w:rPr>
          <w:rFonts w:cs="Times New Roman"/>
          <w:szCs w:val="28"/>
          <w:highlight w:val="none"/>
          <w:shd w:val="clear" w:color="auto" w:fill="FFFFFF"/>
          <w:lang w:val="en-US"/>
        </w:rPr>
        <w:t>). P.</w:t>
      </w:r>
      <w:r>
        <w:rPr>
          <w:rStyle w:val="60"/>
          <w:rFonts w:cs="Times New Roman"/>
          <w:szCs w:val="28"/>
          <w:highlight w:val="none"/>
          <w:shd w:val="clear" w:color="auto" w:fill="FFFFFF"/>
          <w:lang w:val="en-US"/>
        </w:rPr>
        <w:t xml:space="preserve"> 567</w:t>
      </w:r>
      <w:r>
        <w:rPr>
          <w:rFonts w:cs="Times New Roman"/>
          <w:szCs w:val="28"/>
          <w:highlight w:val="none"/>
          <w:shd w:val="clear" w:color="auto" w:fill="FFFFFF"/>
          <w:lang w:val="en-US"/>
        </w:rPr>
        <w:t>–</w:t>
      </w:r>
      <w:r>
        <w:rPr>
          <w:rStyle w:val="61"/>
          <w:rFonts w:cs="Times New Roman"/>
          <w:szCs w:val="28"/>
          <w:highlight w:val="none"/>
          <w:shd w:val="clear" w:color="auto" w:fill="FFFFFF"/>
          <w:lang w:val="en-US"/>
        </w:rPr>
        <w:t>574</w:t>
      </w:r>
      <w:r>
        <w:rPr>
          <w:rFonts w:cs="Times New Roman"/>
          <w:szCs w:val="28"/>
          <w:highlight w:val="none"/>
          <w:shd w:val="clear" w:color="auto" w:fill="FFFFFF"/>
          <w:lang w:val="en-US"/>
        </w:rPr>
        <w:t xml:space="preserve">. </w:t>
      </w:r>
      <w:r>
        <w:rPr>
          <w:rStyle w:val="53"/>
          <w:rFonts w:cs="Times New Roman"/>
          <w:szCs w:val="28"/>
          <w:highlight w:val="none"/>
          <w:lang w:val="en-US"/>
        </w:rPr>
        <w:t>doi: </w:t>
      </w:r>
      <w:r>
        <w:rPr>
          <w:highlight w:val="none"/>
        </w:rPr>
        <w:fldChar w:fldCharType="begin"/>
      </w:r>
      <w:r>
        <w:rPr>
          <w:highlight w:val="none"/>
        </w:rPr>
        <w:instrText xml:space="preserve"> HYPERLINK "https://doi.org/10.1016/j.cgh.2017.11.023" \t "_blank" </w:instrText>
      </w:r>
      <w:r>
        <w:rPr>
          <w:highlight w:val="none"/>
        </w:rPr>
        <w:fldChar w:fldCharType="separate"/>
      </w:r>
      <w:r>
        <w:rPr>
          <w:rStyle w:val="53"/>
          <w:rFonts w:cs="Times New Roman"/>
          <w:szCs w:val="28"/>
          <w:highlight w:val="none"/>
          <w:lang w:val="en-US"/>
        </w:rPr>
        <w:t>10.1016/j.cgh.2017.11.023</w:t>
      </w:r>
      <w:r>
        <w:rPr>
          <w:rStyle w:val="53"/>
          <w:rFonts w:cs="Times New Roman"/>
          <w:szCs w:val="28"/>
          <w:highlight w:val="none"/>
          <w:lang w:val="en-US"/>
        </w:rPr>
        <w:fldChar w:fldCharType="end"/>
      </w:r>
    </w:p>
    <w:p w14:paraId="5DF58111">
      <w:pPr>
        <w:widowControl w:val="0"/>
        <w:rPr>
          <w:rFonts w:cs="Times New Roman"/>
          <w:szCs w:val="28"/>
          <w:highlight w:val="none"/>
          <w:lang w:val="en-US"/>
        </w:rPr>
      </w:pPr>
      <w:r>
        <w:rPr>
          <w:rFonts w:cs="Times New Roman"/>
          <w:szCs w:val="28"/>
          <w:highlight w:val="none"/>
          <w:lang w:val="en-US"/>
        </w:rPr>
        <w:t xml:space="preserve">213. </w:t>
      </w:r>
      <w:r>
        <w:rPr>
          <w:rStyle w:val="57"/>
          <w:rFonts w:cs="Times New Roman"/>
          <w:szCs w:val="28"/>
          <w:highlight w:val="none"/>
          <w:shd w:val="clear" w:color="auto" w:fill="FFFFFF"/>
          <w:lang w:val="en-US"/>
        </w:rPr>
        <w:t>Patient-reported outcomes in patients co-infected with hepatitis C virus and human immunodeficiency virus treated with sofosbuvir and velpatasvir: the ASTRAL-5 study</w:t>
      </w:r>
      <w:r>
        <w:rPr>
          <w:rFonts w:cs="Times New Roman"/>
          <w:szCs w:val="28"/>
          <w:highlight w:val="none"/>
          <w:shd w:val="clear" w:color="auto" w:fill="FFFFFF"/>
          <w:lang w:val="en-US"/>
        </w:rPr>
        <w:t xml:space="preserve"> /</w:t>
      </w:r>
      <w:r>
        <w:rPr>
          <w:rStyle w:val="56"/>
          <w:rFonts w:cs="Times New Roman"/>
          <w:szCs w:val="28"/>
          <w:highlight w:val="none"/>
          <w:shd w:val="clear" w:color="auto" w:fill="FFFFFF"/>
          <w:lang w:val="en-US"/>
        </w:rPr>
        <w:t xml:space="preserve"> Z. M. Younossi</w:t>
      </w:r>
      <w:r>
        <w:rPr>
          <w:rFonts w:cs="Times New Roman"/>
          <w:szCs w:val="28"/>
          <w:highlight w:val="none"/>
          <w:shd w:val="clear" w:color="auto" w:fill="FFFFFF"/>
          <w:lang w:val="en-US"/>
        </w:rPr>
        <w:t xml:space="preserve"> et al. </w:t>
      </w:r>
      <w:r>
        <w:rPr>
          <w:rFonts w:cs="Times New Roman"/>
          <w:i/>
          <w:iCs/>
          <w:szCs w:val="28"/>
          <w:highlight w:val="none"/>
          <w:shd w:val="clear" w:color="auto" w:fill="FFFFFF"/>
          <w:lang w:val="en-US"/>
        </w:rPr>
        <w:t>Liver Int</w:t>
      </w:r>
      <w:r>
        <w:rPr>
          <w:rFonts w:cs="Times New Roman"/>
          <w:i/>
          <w:szCs w:val="28"/>
          <w:highlight w:val="none"/>
          <w:shd w:val="clear" w:color="auto" w:fill="FFFFFF"/>
          <w:lang w:val="en-US"/>
        </w:rPr>
        <w:t>.</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2017</w:t>
      </w:r>
      <w:r>
        <w:rPr>
          <w:rFonts w:cs="Times New Roman"/>
          <w:szCs w:val="28"/>
          <w:highlight w:val="none"/>
          <w:shd w:val="clear" w:color="auto" w:fill="FFFFFF"/>
          <w:lang w:val="en-US"/>
        </w:rPr>
        <w:t xml:space="preserve">/ Vol. </w:t>
      </w:r>
      <w:r>
        <w:rPr>
          <w:rStyle w:val="59"/>
          <w:rFonts w:cs="Times New Roman"/>
          <w:bCs/>
          <w:szCs w:val="28"/>
          <w:highlight w:val="none"/>
          <w:shd w:val="clear" w:color="auto" w:fill="FFFFFF"/>
          <w:lang w:val="en-US"/>
        </w:rPr>
        <w:t xml:space="preserve">37 </w:t>
      </w:r>
      <w:r>
        <w:rPr>
          <w:rFonts w:cs="Times New Roman"/>
          <w:szCs w:val="28"/>
          <w:highlight w:val="none"/>
          <w:shd w:val="clear" w:color="auto" w:fill="FFFFFF"/>
          <w:lang w:val="en-US"/>
        </w:rPr>
        <w:t>(</w:t>
      </w:r>
      <w:r>
        <w:rPr>
          <w:rStyle w:val="62"/>
          <w:rFonts w:cs="Times New Roman"/>
          <w:szCs w:val="28"/>
          <w:highlight w:val="none"/>
          <w:shd w:val="clear" w:color="auto" w:fill="FFFFFF"/>
          <w:lang w:val="en-US"/>
        </w:rPr>
        <w:t>12</w:t>
      </w:r>
      <w:r>
        <w:rPr>
          <w:rFonts w:cs="Times New Roman"/>
          <w:szCs w:val="28"/>
          <w:highlight w:val="none"/>
          <w:shd w:val="clear" w:color="auto" w:fill="FFFFFF"/>
          <w:lang w:val="en-US"/>
        </w:rPr>
        <w:t xml:space="preserve">). P. </w:t>
      </w:r>
      <w:r>
        <w:rPr>
          <w:rStyle w:val="60"/>
          <w:rFonts w:cs="Times New Roman"/>
          <w:szCs w:val="28"/>
          <w:highlight w:val="none"/>
          <w:shd w:val="clear" w:color="auto" w:fill="FFFFFF"/>
          <w:lang w:val="en-US"/>
        </w:rPr>
        <w:t>1796</w:t>
      </w:r>
      <w:r>
        <w:rPr>
          <w:rFonts w:cs="Times New Roman"/>
          <w:szCs w:val="28"/>
          <w:highlight w:val="none"/>
          <w:shd w:val="clear" w:color="auto" w:fill="FFFFFF"/>
          <w:lang w:val="en-US"/>
        </w:rPr>
        <w:t>–</w:t>
      </w:r>
      <w:r>
        <w:rPr>
          <w:rStyle w:val="61"/>
          <w:rFonts w:cs="Times New Roman"/>
          <w:szCs w:val="28"/>
          <w:highlight w:val="none"/>
          <w:shd w:val="clear" w:color="auto" w:fill="FFFFFF"/>
          <w:lang w:val="en-US"/>
        </w:rPr>
        <w:t>1804</w:t>
      </w:r>
      <w:r>
        <w:rPr>
          <w:rFonts w:cs="Times New Roman"/>
          <w:szCs w:val="28"/>
          <w:highlight w:val="none"/>
          <w:shd w:val="clear" w:color="auto" w:fill="FFFFFF"/>
          <w:lang w:val="en-US"/>
        </w:rPr>
        <w:t xml:space="preserve">. </w:t>
      </w:r>
      <w:r>
        <w:rPr>
          <w:rStyle w:val="53"/>
          <w:rFonts w:cs="Times New Roman"/>
          <w:szCs w:val="28"/>
          <w:highlight w:val="none"/>
          <w:lang w:val="en-US"/>
        </w:rPr>
        <w:t>doi: </w:t>
      </w:r>
      <w:r>
        <w:rPr>
          <w:highlight w:val="none"/>
        </w:rPr>
        <w:fldChar w:fldCharType="begin"/>
      </w:r>
      <w:r>
        <w:rPr>
          <w:highlight w:val="none"/>
        </w:rPr>
        <w:instrText xml:space="preserve"> HYPERLINK "https://doi.org/10.1111/liv.13462" \t "_blank" </w:instrText>
      </w:r>
      <w:r>
        <w:rPr>
          <w:highlight w:val="none"/>
        </w:rPr>
        <w:fldChar w:fldCharType="separate"/>
      </w:r>
      <w:r>
        <w:rPr>
          <w:rStyle w:val="53"/>
          <w:rFonts w:cs="Times New Roman"/>
          <w:szCs w:val="28"/>
          <w:highlight w:val="none"/>
          <w:lang w:val="en-US"/>
        </w:rPr>
        <w:t>10.1111/liv.13462</w:t>
      </w:r>
      <w:r>
        <w:rPr>
          <w:rStyle w:val="53"/>
          <w:rFonts w:cs="Times New Roman"/>
          <w:szCs w:val="28"/>
          <w:highlight w:val="none"/>
          <w:lang w:val="en-US"/>
        </w:rPr>
        <w:fldChar w:fldCharType="end"/>
      </w:r>
    </w:p>
    <w:p w14:paraId="57382B55">
      <w:pPr>
        <w:widowControl w:val="0"/>
        <w:rPr>
          <w:rFonts w:cs="Times New Roman"/>
          <w:szCs w:val="28"/>
          <w:highlight w:val="none"/>
          <w:lang w:val="en-US"/>
        </w:rPr>
      </w:pPr>
      <w:r>
        <w:rPr>
          <w:rFonts w:cs="Times New Roman"/>
          <w:szCs w:val="28"/>
          <w:highlight w:val="none"/>
          <w:lang w:val="en-US"/>
        </w:rPr>
        <w:t xml:space="preserve">214. </w:t>
      </w:r>
      <w:r>
        <w:rPr>
          <w:rStyle w:val="57"/>
          <w:rFonts w:cs="Times New Roman"/>
          <w:szCs w:val="28"/>
          <w:highlight w:val="none"/>
          <w:shd w:val="clear" w:color="auto" w:fill="FFFFFF"/>
          <w:lang w:val="en-US"/>
        </w:rPr>
        <w:t>Patient-reported outcomes with sofosbuvir and velpatasvir with or without ribavirin for hepatitis C virus-related decompensated cirrhosis: an exploratory analysis from the randomised, open-label ASTRAL-4 phase 3 trial</w:t>
      </w:r>
      <w:r>
        <w:rPr>
          <w:rFonts w:cs="Times New Roman"/>
          <w:szCs w:val="28"/>
          <w:highlight w:val="none"/>
          <w:shd w:val="clear" w:color="auto" w:fill="FFFFFF"/>
          <w:lang w:val="en-US"/>
        </w:rPr>
        <w:t xml:space="preserve"> /</w:t>
      </w:r>
      <w:r>
        <w:rPr>
          <w:rStyle w:val="56"/>
          <w:rFonts w:cs="Times New Roman"/>
          <w:szCs w:val="28"/>
          <w:highlight w:val="none"/>
          <w:shd w:val="clear" w:color="auto" w:fill="FFFFFF"/>
          <w:lang w:val="en-US"/>
        </w:rPr>
        <w:t xml:space="preserve"> Z. M. Younossi</w:t>
      </w:r>
      <w:r>
        <w:rPr>
          <w:rFonts w:cs="Times New Roman"/>
          <w:szCs w:val="28"/>
          <w:highlight w:val="none"/>
          <w:shd w:val="clear" w:color="auto" w:fill="FFFFFF"/>
          <w:lang w:val="en-US"/>
        </w:rPr>
        <w:t xml:space="preserve"> et al. </w:t>
      </w:r>
      <w:r>
        <w:rPr>
          <w:rFonts w:cs="Times New Roman"/>
          <w:i/>
          <w:iCs/>
          <w:szCs w:val="28"/>
          <w:highlight w:val="none"/>
          <w:shd w:val="clear" w:color="auto" w:fill="FFFFFF"/>
          <w:lang w:val="en-US"/>
        </w:rPr>
        <w:t>Lancet Gastroenterol Hepatol</w:t>
      </w:r>
      <w:r>
        <w:rPr>
          <w:rFonts w:cs="Times New Roman"/>
          <w:szCs w:val="28"/>
          <w:highlight w:val="none"/>
          <w:shd w:val="clear" w:color="auto" w:fill="FFFFFF"/>
          <w:lang w:val="en-US"/>
        </w:rPr>
        <w:t>. </w:t>
      </w:r>
      <w:r>
        <w:rPr>
          <w:rStyle w:val="58"/>
          <w:rFonts w:cs="Times New Roman"/>
          <w:szCs w:val="28"/>
          <w:highlight w:val="none"/>
          <w:shd w:val="clear" w:color="auto" w:fill="FFFFFF"/>
          <w:lang w:val="en-US"/>
        </w:rPr>
        <w:t>2016</w:t>
      </w:r>
      <w:r>
        <w:rPr>
          <w:rFonts w:cs="Times New Roman"/>
          <w:szCs w:val="28"/>
          <w:highlight w:val="none"/>
          <w:shd w:val="clear" w:color="auto" w:fill="FFFFFF"/>
          <w:lang w:val="en-US"/>
        </w:rPr>
        <w:t xml:space="preserve">. Vol. </w:t>
      </w:r>
      <w:r>
        <w:rPr>
          <w:rStyle w:val="59"/>
          <w:rFonts w:cs="Times New Roman"/>
          <w:bCs/>
          <w:szCs w:val="28"/>
          <w:highlight w:val="none"/>
          <w:shd w:val="clear" w:color="auto" w:fill="FFFFFF"/>
          <w:lang w:val="en-US"/>
        </w:rPr>
        <w:t xml:space="preserve">1 </w:t>
      </w:r>
      <w:r>
        <w:rPr>
          <w:rFonts w:cs="Times New Roman"/>
          <w:szCs w:val="28"/>
          <w:highlight w:val="none"/>
          <w:shd w:val="clear" w:color="auto" w:fill="FFFFFF"/>
          <w:lang w:val="en-US"/>
        </w:rPr>
        <w:t>(</w:t>
      </w:r>
      <w:r>
        <w:rPr>
          <w:rStyle w:val="62"/>
          <w:rFonts w:cs="Times New Roman"/>
          <w:szCs w:val="28"/>
          <w:highlight w:val="none"/>
          <w:shd w:val="clear" w:color="auto" w:fill="FFFFFF"/>
          <w:lang w:val="en-US"/>
        </w:rPr>
        <w:t>2</w:t>
      </w:r>
      <w:r>
        <w:rPr>
          <w:rFonts w:cs="Times New Roman"/>
          <w:szCs w:val="28"/>
          <w:highlight w:val="none"/>
          <w:shd w:val="clear" w:color="auto" w:fill="FFFFFF"/>
          <w:lang w:val="en-US"/>
        </w:rPr>
        <w:t xml:space="preserve">). P. </w:t>
      </w:r>
      <w:r>
        <w:rPr>
          <w:rStyle w:val="60"/>
          <w:rFonts w:cs="Times New Roman"/>
          <w:szCs w:val="28"/>
          <w:highlight w:val="none"/>
          <w:shd w:val="clear" w:color="auto" w:fill="FFFFFF"/>
          <w:lang w:val="en-US"/>
        </w:rPr>
        <w:t>122</w:t>
      </w:r>
      <w:r>
        <w:rPr>
          <w:rFonts w:cs="Times New Roman"/>
          <w:szCs w:val="28"/>
          <w:highlight w:val="none"/>
          <w:shd w:val="clear" w:color="auto" w:fill="FFFFFF"/>
          <w:lang w:val="en-US"/>
        </w:rPr>
        <w:t>–</w:t>
      </w:r>
      <w:r>
        <w:rPr>
          <w:rStyle w:val="61"/>
          <w:rFonts w:cs="Times New Roman"/>
          <w:szCs w:val="28"/>
          <w:highlight w:val="none"/>
          <w:shd w:val="clear" w:color="auto" w:fill="FFFFFF"/>
          <w:lang w:val="en-US"/>
        </w:rPr>
        <w:t>132</w:t>
      </w:r>
      <w:r>
        <w:rPr>
          <w:rFonts w:cs="Times New Roman"/>
          <w:szCs w:val="28"/>
          <w:highlight w:val="none"/>
          <w:shd w:val="clear" w:color="auto" w:fill="FFFFFF"/>
          <w:lang w:val="en-US"/>
        </w:rPr>
        <w:t>.</w:t>
      </w:r>
      <w:r>
        <w:rPr>
          <w:rStyle w:val="53"/>
          <w:rFonts w:cs="Times New Roman"/>
          <w:szCs w:val="28"/>
          <w:highlight w:val="none"/>
          <w:lang w:val="en-US"/>
        </w:rPr>
        <w:t xml:space="preserve"> doi: </w:t>
      </w:r>
      <w:r>
        <w:rPr>
          <w:highlight w:val="none"/>
        </w:rPr>
        <w:fldChar w:fldCharType="begin"/>
      </w:r>
      <w:r>
        <w:rPr>
          <w:highlight w:val="none"/>
        </w:rPr>
        <w:instrText xml:space="preserve"> HYPERLINK "https://doi.org/10.1016/s2468-1253(16)30009-7" \t "_blank" </w:instrText>
      </w:r>
      <w:r>
        <w:rPr>
          <w:highlight w:val="none"/>
        </w:rPr>
        <w:fldChar w:fldCharType="separate"/>
      </w:r>
      <w:r>
        <w:rPr>
          <w:rStyle w:val="57"/>
          <w:rFonts w:cs="Times New Roman"/>
          <w:szCs w:val="28"/>
          <w:highlight w:val="none"/>
          <w:lang w:val="en-US"/>
        </w:rPr>
        <w:t>10.1016/S2468-1253(16)30009-7</w:t>
      </w:r>
      <w:r>
        <w:rPr>
          <w:rStyle w:val="57"/>
          <w:rFonts w:cs="Times New Roman"/>
          <w:szCs w:val="28"/>
          <w:highlight w:val="none"/>
          <w:lang w:val="en-US"/>
        </w:rPr>
        <w:fldChar w:fldCharType="end"/>
      </w:r>
    </w:p>
    <w:p w14:paraId="62FDD810">
      <w:pPr>
        <w:widowControl w:val="0"/>
        <w:rPr>
          <w:rFonts w:cs="Times New Roman"/>
          <w:szCs w:val="28"/>
          <w:highlight w:val="none"/>
          <w:lang w:val="en-US"/>
        </w:rPr>
      </w:pPr>
      <w:r>
        <w:rPr>
          <w:rFonts w:cs="Times New Roman"/>
          <w:szCs w:val="28"/>
          <w:highlight w:val="none"/>
          <w:lang w:val="en-US"/>
        </w:rPr>
        <w:t xml:space="preserve">215. </w:t>
      </w:r>
      <w:r>
        <w:rPr>
          <w:rStyle w:val="57"/>
          <w:rFonts w:cs="Times New Roman"/>
          <w:szCs w:val="28"/>
          <w:highlight w:val="none"/>
          <w:lang w:val="en-US"/>
        </w:rPr>
        <w:t>Superiority of interferon-free regimens for chronic hepatitis C: the effect on health-related quality of life and work productivity</w:t>
      </w:r>
      <w:r>
        <w:rPr>
          <w:rFonts w:cs="Times New Roman"/>
          <w:szCs w:val="28"/>
          <w:highlight w:val="none"/>
          <w:lang w:val="en-US"/>
        </w:rPr>
        <w:t xml:space="preserve"> / </w:t>
      </w:r>
      <w:r>
        <w:rPr>
          <w:rStyle w:val="56"/>
          <w:rFonts w:cs="Times New Roman"/>
          <w:szCs w:val="28"/>
          <w:highlight w:val="none"/>
          <w:lang w:val="en-US"/>
        </w:rPr>
        <w:t>Z. M. Younossi</w:t>
      </w:r>
      <w:r>
        <w:rPr>
          <w:rFonts w:cs="Times New Roman"/>
          <w:szCs w:val="28"/>
          <w:highlight w:val="none"/>
          <w:lang w:val="en-US"/>
        </w:rPr>
        <w:t xml:space="preserve"> et al. </w:t>
      </w:r>
      <w:r>
        <w:rPr>
          <w:rFonts w:cs="Times New Roman"/>
          <w:i/>
          <w:iCs/>
          <w:szCs w:val="28"/>
          <w:highlight w:val="none"/>
          <w:lang w:val="en-US"/>
        </w:rPr>
        <w:t>Medicine (Baltimore)</w:t>
      </w:r>
      <w:r>
        <w:rPr>
          <w:rFonts w:cs="Times New Roman"/>
          <w:szCs w:val="28"/>
          <w:highlight w:val="none"/>
          <w:lang w:val="en-US"/>
        </w:rPr>
        <w:t>. </w:t>
      </w:r>
      <w:r>
        <w:rPr>
          <w:rStyle w:val="58"/>
          <w:rFonts w:cs="Times New Roman"/>
          <w:szCs w:val="28"/>
          <w:highlight w:val="none"/>
          <w:lang w:val="en-US"/>
        </w:rPr>
        <w:t>2017</w:t>
      </w:r>
      <w:r>
        <w:rPr>
          <w:rFonts w:cs="Times New Roman"/>
          <w:szCs w:val="28"/>
          <w:highlight w:val="none"/>
          <w:lang w:val="en-US"/>
        </w:rPr>
        <w:t xml:space="preserve">. Vol. </w:t>
      </w:r>
      <w:r>
        <w:rPr>
          <w:rStyle w:val="59"/>
          <w:rFonts w:cs="Times New Roman"/>
          <w:bCs/>
          <w:szCs w:val="28"/>
          <w:highlight w:val="none"/>
          <w:lang w:val="en-US"/>
        </w:rPr>
        <w:t xml:space="preserve">96 </w:t>
      </w:r>
      <w:r>
        <w:rPr>
          <w:rFonts w:cs="Times New Roman"/>
          <w:szCs w:val="28"/>
          <w:highlight w:val="none"/>
          <w:lang w:val="en-US"/>
        </w:rPr>
        <w:t>(</w:t>
      </w:r>
      <w:r>
        <w:rPr>
          <w:rStyle w:val="62"/>
          <w:rFonts w:cs="Times New Roman"/>
          <w:szCs w:val="28"/>
          <w:highlight w:val="none"/>
          <w:lang w:val="en-US"/>
        </w:rPr>
        <w:t>7</w:t>
      </w:r>
      <w:r>
        <w:rPr>
          <w:rFonts w:cs="Times New Roman"/>
          <w:szCs w:val="28"/>
          <w:highlight w:val="none"/>
          <w:lang w:val="en-US"/>
        </w:rPr>
        <w:t xml:space="preserve">). P. </w:t>
      </w:r>
      <w:r>
        <w:rPr>
          <w:rStyle w:val="60"/>
          <w:rFonts w:cs="Times New Roman"/>
          <w:szCs w:val="28"/>
          <w:highlight w:val="none"/>
          <w:lang w:val="en-US"/>
        </w:rPr>
        <w:t>e5914</w:t>
      </w:r>
      <w:r>
        <w:rPr>
          <w:rFonts w:cs="Times New Roman"/>
          <w:szCs w:val="28"/>
          <w:highlight w:val="none"/>
          <w:lang w:val="en-US"/>
        </w:rPr>
        <w:t>.</w:t>
      </w:r>
      <w:r>
        <w:rPr>
          <w:rStyle w:val="53"/>
          <w:rFonts w:cs="Times New Roman"/>
          <w:szCs w:val="28"/>
          <w:highlight w:val="none"/>
          <w:lang w:val="en-US"/>
        </w:rPr>
        <w:t xml:space="preserve"> doi: </w:t>
      </w:r>
      <w:r>
        <w:rPr>
          <w:highlight w:val="none"/>
        </w:rPr>
        <w:fldChar w:fldCharType="begin"/>
      </w:r>
      <w:r>
        <w:rPr>
          <w:highlight w:val="none"/>
        </w:rPr>
        <w:instrText xml:space="preserve"> HYPERLINK "https://doi.org/10.1097/md.0000000000005914" \t "_blank" </w:instrText>
      </w:r>
      <w:r>
        <w:rPr>
          <w:highlight w:val="none"/>
        </w:rPr>
        <w:fldChar w:fldCharType="separate"/>
      </w:r>
      <w:r>
        <w:rPr>
          <w:rStyle w:val="57"/>
          <w:rFonts w:cs="Times New Roman"/>
          <w:szCs w:val="28"/>
          <w:highlight w:val="none"/>
          <w:lang w:val="en-US"/>
        </w:rPr>
        <w:t>10.1097/MD.0000000000005914</w:t>
      </w:r>
      <w:r>
        <w:rPr>
          <w:rStyle w:val="57"/>
          <w:rFonts w:cs="Times New Roman"/>
          <w:szCs w:val="28"/>
          <w:highlight w:val="none"/>
          <w:lang w:val="en-US"/>
        </w:rPr>
        <w:fldChar w:fldCharType="end"/>
      </w:r>
    </w:p>
    <w:p w14:paraId="21F20FC6">
      <w:pPr>
        <w:widowControl w:val="0"/>
        <w:rPr>
          <w:rFonts w:cs="Times New Roman"/>
          <w:szCs w:val="28"/>
          <w:highlight w:val="none"/>
          <w:lang w:val="en-US"/>
        </w:rPr>
      </w:pPr>
      <w:r>
        <w:rPr>
          <w:rFonts w:cs="Times New Roman"/>
          <w:szCs w:val="28"/>
          <w:highlight w:val="none"/>
          <w:lang w:val="en-US"/>
        </w:rPr>
        <w:t>216. </w:t>
      </w:r>
      <w:r>
        <w:rPr>
          <w:rStyle w:val="57"/>
          <w:rFonts w:cs="Times New Roman"/>
          <w:szCs w:val="28"/>
          <w:highlight w:val="none"/>
          <w:lang w:val="en-US"/>
        </w:rPr>
        <w:t>Sofosbuvir and velpatasvir combination improves patient-reported outcomes for patients with HCV infection, without or with compensated or decompensated cirrhosis</w:t>
      </w:r>
      <w:r>
        <w:rPr>
          <w:rFonts w:cs="Times New Roman"/>
          <w:szCs w:val="28"/>
          <w:highlight w:val="none"/>
          <w:lang w:val="en-US"/>
        </w:rPr>
        <w:t xml:space="preserve"> /</w:t>
      </w:r>
      <w:r>
        <w:rPr>
          <w:rStyle w:val="56"/>
          <w:rFonts w:cs="Times New Roman"/>
          <w:szCs w:val="28"/>
          <w:highlight w:val="none"/>
          <w:lang w:val="en-US"/>
        </w:rPr>
        <w:t xml:space="preserve"> Z. M. Younossi</w:t>
      </w:r>
      <w:r>
        <w:rPr>
          <w:rFonts w:cs="Times New Roman"/>
          <w:szCs w:val="28"/>
          <w:highlight w:val="none"/>
          <w:lang w:val="en-US"/>
        </w:rPr>
        <w:t xml:space="preserve"> et al. </w:t>
      </w:r>
      <w:r>
        <w:rPr>
          <w:rFonts w:cs="Times New Roman"/>
          <w:i/>
          <w:iCs/>
          <w:szCs w:val="28"/>
          <w:highlight w:val="none"/>
          <w:lang w:val="en-US"/>
        </w:rPr>
        <w:t>Clin Gastroenterol Hepatol</w:t>
      </w:r>
      <w:r>
        <w:rPr>
          <w:rFonts w:cs="Times New Roman"/>
          <w:szCs w:val="28"/>
          <w:highlight w:val="none"/>
          <w:lang w:val="en-US"/>
        </w:rPr>
        <w:t>. </w:t>
      </w:r>
      <w:r>
        <w:rPr>
          <w:rStyle w:val="58"/>
          <w:rFonts w:cs="Times New Roman"/>
          <w:szCs w:val="28"/>
          <w:highlight w:val="none"/>
          <w:lang w:val="en-US"/>
        </w:rPr>
        <w:t>2017</w:t>
      </w:r>
      <w:r>
        <w:rPr>
          <w:rFonts w:cs="Times New Roman"/>
          <w:szCs w:val="28"/>
          <w:highlight w:val="none"/>
          <w:lang w:val="en-US"/>
        </w:rPr>
        <w:t xml:space="preserve">. Vol. </w:t>
      </w:r>
      <w:r>
        <w:rPr>
          <w:rStyle w:val="59"/>
          <w:rFonts w:cs="Times New Roman"/>
          <w:bCs/>
          <w:szCs w:val="28"/>
          <w:highlight w:val="none"/>
          <w:lang w:val="en-US"/>
        </w:rPr>
        <w:t xml:space="preserve">15 </w:t>
      </w:r>
      <w:r>
        <w:rPr>
          <w:rFonts w:cs="Times New Roman"/>
          <w:szCs w:val="28"/>
          <w:highlight w:val="none"/>
          <w:lang w:val="en-US"/>
        </w:rPr>
        <w:t>(</w:t>
      </w:r>
      <w:r>
        <w:rPr>
          <w:rStyle w:val="62"/>
          <w:rFonts w:cs="Times New Roman"/>
          <w:szCs w:val="28"/>
          <w:highlight w:val="none"/>
          <w:lang w:val="en-US"/>
        </w:rPr>
        <w:t>3</w:t>
      </w:r>
      <w:r>
        <w:rPr>
          <w:rFonts w:cs="Times New Roman"/>
          <w:szCs w:val="28"/>
          <w:highlight w:val="none"/>
          <w:lang w:val="en-US"/>
        </w:rPr>
        <w:t xml:space="preserve">). P. </w:t>
      </w:r>
      <w:r>
        <w:rPr>
          <w:rStyle w:val="60"/>
          <w:rFonts w:cs="Times New Roman"/>
          <w:szCs w:val="28"/>
          <w:highlight w:val="none"/>
          <w:lang w:val="en-US"/>
        </w:rPr>
        <w:t>421</w:t>
      </w:r>
      <w:r>
        <w:rPr>
          <w:rFonts w:cs="Times New Roman"/>
          <w:szCs w:val="28"/>
          <w:highlight w:val="none"/>
          <w:shd w:val="clear" w:color="auto" w:fill="FFFFFF"/>
          <w:lang w:val="en-US"/>
        </w:rPr>
        <w:t>–</w:t>
      </w:r>
      <w:r>
        <w:rPr>
          <w:rStyle w:val="61"/>
          <w:rFonts w:cs="Times New Roman"/>
          <w:szCs w:val="28"/>
          <w:highlight w:val="none"/>
          <w:lang w:val="en-US"/>
        </w:rPr>
        <w:t>430</w:t>
      </w:r>
      <w:r>
        <w:rPr>
          <w:rFonts w:cs="Times New Roman"/>
          <w:szCs w:val="28"/>
          <w:highlight w:val="none"/>
          <w:lang w:val="en-US"/>
        </w:rPr>
        <w:t>.</w:t>
      </w:r>
      <w:r>
        <w:rPr>
          <w:rStyle w:val="53"/>
          <w:rFonts w:cs="Times New Roman"/>
          <w:szCs w:val="28"/>
          <w:highlight w:val="none"/>
          <w:lang w:val="en-US"/>
        </w:rPr>
        <w:t xml:space="preserve"> doi: </w:t>
      </w:r>
      <w:r>
        <w:rPr>
          <w:highlight w:val="none"/>
        </w:rPr>
        <w:fldChar w:fldCharType="begin"/>
      </w:r>
      <w:r>
        <w:rPr>
          <w:highlight w:val="none"/>
        </w:rPr>
        <w:instrText xml:space="preserve"> HYPERLINK "https://doi.org/10.1016/j.cgh.2016.10.037" \t "_blank" </w:instrText>
      </w:r>
      <w:r>
        <w:rPr>
          <w:highlight w:val="none"/>
        </w:rPr>
        <w:fldChar w:fldCharType="separate"/>
      </w:r>
      <w:r>
        <w:rPr>
          <w:rStyle w:val="57"/>
          <w:rFonts w:cs="Times New Roman"/>
          <w:szCs w:val="28"/>
          <w:highlight w:val="none"/>
          <w:lang w:val="en-US"/>
        </w:rPr>
        <w:t>10.1016/j.cgh.2016.10.037</w:t>
      </w:r>
      <w:r>
        <w:rPr>
          <w:rStyle w:val="57"/>
          <w:rFonts w:cs="Times New Roman"/>
          <w:szCs w:val="28"/>
          <w:highlight w:val="none"/>
          <w:lang w:val="en-US"/>
        </w:rPr>
        <w:fldChar w:fldCharType="end"/>
      </w:r>
    </w:p>
    <w:p w14:paraId="7D24E308">
      <w:pPr>
        <w:widowControl w:val="0"/>
        <w:rPr>
          <w:rFonts w:cs="Times New Roman"/>
          <w:szCs w:val="28"/>
          <w:highlight w:val="none"/>
          <w:lang w:val="en-US"/>
        </w:rPr>
      </w:pPr>
      <w:r>
        <w:rPr>
          <w:rFonts w:cs="Times New Roman"/>
          <w:szCs w:val="28"/>
          <w:highlight w:val="none"/>
          <w:lang w:val="en-US"/>
        </w:rPr>
        <w:t xml:space="preserve">217. </w:t>
      </w:r>
      <w:r>
        <w:rPr>
          <w:rStyle w:val="57"/>
          <w:rFonts w:cs="Times New Roman"/>
          <w:szCs w:val="28"/>
          <w:highlight w:val="none"/>
          <w:lang w:val="en-US"/>
        </w:rPr>
        <w:t>Sofosbuvir and ledipasvir improve patient-reported outcomes in patients co-infected with hepatitis C and human immunodeficiency virus</w:t>
      </w:r>
      <w:r>
        <w:rPr>
          <w:rFonts w:cs="Times New Roman"/>
          <w:szCs w:val="28"/>
          <w:highlight w:val="none"/>
          <w:lang w:val="en-US"/>
        </w:rPr>
        <w:t xml:space="preserve"> /</w:t>
      </w:r>
      <w:r>
        <w:rPr>
          <w:rStyle w:val="56"/>
          <w:rFonts w:cs="Times New Roman"/>
          <w:szCs w:val="28"/>
          <w:highlight w:val="none"/>
          <w:lang w:val="en-US"/>
        </w:rPr>
        <w:t xml:space="preserve"> Z. M. Younossi et al. </w:t>
      </w:r>
      <w:r>
        <w:rPr>
          <w:rFonts w:cs="Times New Roman"/>
          <w:i/>
          <w:iCs/>
          <w:szCs w:val="28"/>
          <w:highlight w:val="none"/>
          <w:lang w:val="en-US"/>
        </w:rPr>
        <w:t>Clin Infect Dis</w:t>
      </w:r>
      <w:r>
        <w:rPr>
          <w:rFonts w:cs="Times New Roman"/>
          <w:i/>
          <w:szCs w:val="28"/>
          <w:highlight w:val="none"/>
          <w:lang w:val="en-US"/>
        </w:rPr>
        <w:t>.</w:t>
      </w:r>
      <w:r>
        <w:rPr>
          <w:rFonts w:cs="Times New Roman"/>
          <w:szCs w:val="28"/>
          <w:highlight w:val="none"/>
          <w:lang w:val="en-US"/>
        </w:rPr>
        <w:t> </w:t>
      </w:r>
      <w:r>
        <w:rPr>
          <w:rStyle w:val="58"/>
          <w:rFonts w:cs="Times New Roman"/>
          <w:szCs w:val="28"/>
          <w:highlight w:val="none"/>
          <w:lang w:val="en-US"/>
        </w:rPr>
        <w:t>2016</w:t>
      </w:r>
      <w:r>
        <w:rPr>
          <w:rFonts w:cs="Times New Roman"/>
          <w:szCs w:val="28"/>
          <w:highlight w:val="none"/>
          <w:lang w:val="en-US"/>
        </w:rPr>
        <w:t>. Vol.</w:t>
      </w:r>
      <w:r>
        <w:rPr>
          <w:rStyle w:val="59"/>
          <w:rFonts w:cs="Times New Roman"/>
          <w:bCs/>
          <w:szCs w:val="28"/>
          <w:highlight w:val="none"/>
          <w:lang w:val="en-US"/>
        </w:rPr>
        <w:t xml:space="preserve"> 63 </w:t>
      </w:r>
      <w:r>
        <w:rPr>
          <w:rFonts w:cs="Times New Roman"/>
          <w:szCs w:val="28"/>
          <w:highlight w:val="none"/>
          <w:lang w:val="en-US"/>
        </w:rPr>
        <w:t>(</w:t>
      </w:r>
      <w:r>
        <w:rPr>
          <w:rStyle w:val="62"/>
          <w:rFonts w:cs="Times New Roman"/>
          <w:szCs w:val="28"/>
          <w:highlight w:val="none"/>
          <w:lang w:val="en-US"/>
        </w:rPr>
        <w:t>8</w:t>
      </w:r>
      <w:r>
        <w:rPr>
          <w:rFonts w:cs="Times New Roman"/>
          <w:szCs w:val="28"/>
          <w:highlight w:val="none"/>
          <w:lang w:val="en-US"/>
        </w:rPr>
        <w:t xml:space="preserve">). P. </w:t>
      </w:r>
      <w:r>
        <w:rPr>
          <w:rStyle w:val="60"/>
          <w:rFonts w:cs="Times New Roman"/>
          <w:szCs w:val="28"/>
          <w:highlight w:val="none"/>
          <w:lang w:val="en-US"/>
        </w:rPr>
        <w:t>1042</w:t>
      </w:r>
      <w:r>
        <w:rPr>
          <w:rFonts w:cs="Times New Roman"/>
          <w:szCs w:val="28"/>
          <w:highlight w:val="none"/>
          <w:shd w:val="clear" w:color="auto" w:fill="FFFFFF"/>
          <w:lang w:val="en-US"/>
        </w:rPr>
        <w:t>–</w:t>
      </w:r>
      <w:r>
        <w:rPr>
          <w:rStyle w:val="61"/>
          <w:rFonts w:cs="Times New Roman"/>
          <w:szCs w:val="28"/>
          <w:highlight w:val="none"/>
          <w:lang w:val="en-US"/>
        </w:rPr>
        <w:t>1048</w:t>
      </w:r>
      <w:r>
        <w:rPr>
          <w:rFonts w:cs="Times New Roman"/>
          <w:szCs w:val="28"/>
          <w:highlight w:val="none"/>
          <w:lang w:val="en-US"/>
        </w:rPr>
        <w:t>.</w:t>
      </w:r>
      <w:r>
        <w:rPr>
          <w:rStyle w:val="53"/>
          <w:rFonts w:cs="Times New Roman"/>
          <w:szCs w:val="28"/>
          <w:highlight w:val="none"/>
          <w:lang w:val="en-US"/>
        </w:rPr>
        <w:t xml:space="preserve"> doi: </w:t>
      </w:r>
      <w:r>
        <w:rPr>
          <w:highlight w:val="none"/>
        </w:rPr>
        <w:fldChar w:fldCharType="begin"/>
      </w:r>
      <w:r>
        <w:rPr>
          <w:highlight w:val="none"/>
        </w:rPr>
        <w:instrText xml:space="preserve"> HYPERLINK "https://doi.org/10.1093/cid/ciw496" \t "_blank" </w:instrText>
      </w:r>
      <w:r>
        <w:rPr>
          <w:highlight w:val="none"/>
        </w:rPr>
        <w:fldChar w:fldCharType="separate"/>
      </w:r>
      <w:r>
        <w:rPr>
          <w:rStyle w:val="57"/>
          <w:rFonts w:cs="Times New Roman"/>
          <w:szCs w:val="28"/>
          <w:highlight w:val="none"/>
          <w:lang w:val="en-US"/>
        </w:rPr>
        <w:t>10.1093/cid/ciw496</w:t>
      </w:r>
      <w:r>
        <w:rPr>
          <w:rStyle w:val="57"/>
          <w:rFonts w:cs="Times New Roman"/>
          <w:szCs w:val="28"/>
          <w:highlight w:val="none"/>
          <w:lang w:val="en-US"/>
        </w:rPr>
        <w:fldChar w:fldCharType="end"/>
      </w:r>
    </w:p>
    <w:p w14:paraId="398868BA">
      <w:pPr>
        <w:widowControl w:val="0"/>
        <w:rPr>
          <w:rFonts w:cs="Times New Roman"/>
          <w:szCs w:val="28"/>
          <w:highlight w:val="none"/>
          <w:lang w:val="en-US"/>
        </w:rPr>
      </w:pPr>
      <w:r>
        <w:rPr>
          <w:rFonts w:cs="Times New Roman"/>
          <w:szCs w:val="28"/>
          <w:highlight w:val="none"/>
          <w:lang w:val="en-US"/>
        </w:rPr>
        <w:t xml:space="preserve">218. </w:t>
      </w:r>
      <w:r>
        <w:rPr>
          <w:rStyle w:val="57"/>
          <w:rFonts w:cs="Times New Roman"/>
          <w:szCs w:val="28"/>
          <w:highlight w:val="none"/>
          <w:lang w:val="en-US"/>
        </w:rPr>
        <w:t>Sofosbuvir and Ledipasvir is Associated with High Sustained Virologic Response and Improvement of Health-Related Quality of Life in East Asian Patients with Hepatitis C Virus Infection</w:t>
      </w:r>
      <w:r>
        <w:rPr>
          <w:rFonts w:cs="Times New Roman"/>
          <w:szCs w:val="28"/>
          <w:highlight w:val="none"/>
          <w:lang w:val="en-US"/>
        </w:rPr>
        <w:t xml:space="preserve"> /</w:t>
      </w:r>
      <w:r>
        <w:rPr>
          <w:rStyle w:val="56"/>
          <w:rFonts w:cs="Times New Roman"/>
          <w:szCs w:val="28"/>
          <w:highlight w:val="none"/>
          <w:lang w:val="en-US"/>
        </w:rPr>
        <w:t xml:space="preserve"> Z. M. Younossi</w:t>
      </w:r>
      <w:r>
        <w:rPr>
          <w:rFonts w:cs="Times New Roman"/>
          <w:szCs w:val="28"/>
          <w:highlight w:val="none"/>
          <w:lang w:val="en-US"/>
        </w:rPr>
        <w:t xml:space="preserve"> et al. </w:t>
      </w:r>
      <w:r>
        <w:rPr>
          <w:rFonts w:cs="Times New Roman"/>
          <w:iCs/>
          <w:szCs w:val="28"/>
          <w:highlight w:val="none"/>
          <w:lang w:val="en-US"/>
        </w:rPr>
        <w:t>J</w:t>
      </w:r>
      <w:r>
        <w:rPr>
          <w:rFonts w:cs="Times New Roman"/>
          <w:i/>
          <w:iCs/>
          <w:szCs w:val="28"/>
          <w:highlight w:val="none"/>
          <w:lang w:val="en-US"/>
        </w:rPr>
        <w:t>. Viral Hepat</w:t>
      </w:r>
      <w:r>
        <w:rPr>
          <w:rFonts w:cs="Times New Roman"/>
          <w:i/>
          <w:szCs w:val="28"/>
          <w:highlight w:val="none"/>
          <w:lang w:val="en-US"/>
        </w:rPr>
        <w:t>.</w:t>
      </w:r>
      <w:r>
        <w:rPr>
          <w:rFonts w:cs="Times New Roman"/>
          <w:szCs w:val="28"/>
          <w:highlight w:val="none"/>
          <w:lang w:val="en-US"/>
        </w:rPr>
        <w:t> </w:t>
      </w:r>
      <w:r>
        <w:rPr>
          <w:rStyle w:val="58"/>
          <w:rFonts w:cs="Times New Roman"/>
          <w:szCs w:val="28"/>
          <w:highlight w:val="none"/>
          <w:lang w:val="en-US"/>
        </w:rPr>
        <w:t>2018</w:t>
      </w:r>
      <w:r>
        <w:rPr>
          <w:rFonts w:cs="Times New Roman"/>
          <w:szCs w:val="28"/>
          <w:highlight w:val="none"/>
          <w:lang w:val="en-US"/>
        </w:rPr>
        <w:t xml:space="preserve">. doi: </w:t>
      </w:r>
      <w:r>
        <w:rPr>
          <w:highlight w:val="none"/>
        </w:rPr>
        <w:fldChar w:fldCharType="begin"/>
      </w:r>
      <w:r>
        <w:rPr>
          <w:highlight w:val="none"/>
        </w:rPr>
        <w:instrText xml:space="preserve"> HYPERLINK "https://doi.org/10.1111/jvh.12965" </w:instrText>
      </w:r>
      <w:r>
        <w:rPr>
          <w:highlight w:val="none"/>
        </w:rPr>
        <w:fldChar w:fldCharType="separate"/>
      </w:r>
      <w:r>
        <w:rPr>
          <w:rStyle w:val="11"/>
          <w:rFonts w:cs="Times New Roman"/>
          <w:bCs/>
          <w:color w:val="auto"/>
          <w:szCs w:val="28"/>
          <w:highlight w:val="none"/>
          <w:u w:val="none"/>
          <w:shd w:val="clear" w:color="auto" w:fill="FFFFFF"/>
          <w:lang w:val="en-US"/>
        </w:rPr>
        <w:t>https://doi.org/10.1111/jvh.12965</w:t>
      </w:r>
      <w:r>
        <w:rPr>
          <w:rStyle w:val="11"/>
          <w:rFonts w:cs="Times New Roman"/>
          <w:bCs/>
          <w:color w:val="auto"/>
          <w:szCs w:val="28"/>
          <w:highlight w:val="none"/>
          <w:u w:val="none"/>
          <w:shd w:val="clear" w:color="auto" w:fill="FFFFFF"/>
          <w:lang w:val="en-US"/>
        </w:rPr>
        <w:fldChar w:fldCharType="end"/>
      </w:r>
    </w:p>
    <w:p w14:paraId="78B1B46D">
      <w:pPr>
        <w:widowControl w:val="0"/>
        <w:rPr>
          <w:rFonts w:cs="Times New Roman"/>
          <w:szCs w:val="28"/>
          <w:highlight w:val="none"/>
          <w:lang w:val="en-US"/>
        </w:rPr>
      </w:pPr>
      <w:r>
        <w:rPr>
          <w:rFonts w:cs="Times New Roman"/>
          <w:szCs w:val="28"/>
          <w:highlight w:val="none"/>
          <w:lang w:val="en-US"/>
        </w:rPr>
        <w:t xml:space="preserve">219. </w:t>
      </w:r>
      <w:r>
        <w:rPr>
          <w:rStyle w:val="57"/>
          <w:rFonts w:cs="Times New Roman"/>
          <w:szCs w:val="28"/>
          <w:highlight w:val="none"/>
          <w:lang w:val="en-US"/>
        </w:rPr>
        <w:t>Hepatitis C Virus-Infected Patients Receiving Opioid Substitution Therapy Experience Improvement in Patient-Reported Outcomes Following Treatment With Interferon-Free Regimens</w:t>
      </w:r>
      <w:r>
        <w:rPr>
          <w:rFonts w:cs="Times New Roman"/>
          <w:szCs w:val="28"/>
          <w:highlight w:val="none"/>
          <w:lang w:val="en-US"/>
        </w:rPr>
        <w:t xml:space="preserve"> /</w:t>
      </w:r>
      <w:r>
        <w:rPr>
          <w:rStyle w:val="56"/>
          <w:rFonts w:cs="Times New Roman"/>
          <w:szCs w:val="28"/>
          <w:highlight w:val="none"/>
          <w:lang w:val="en-US"/>
        </w:rPr>
        <w:t xml:space="preserve"> M. Stepanova</w:t>
      </w:r>
      <w:r>
        <w:rPr>
          <w:rFonts w:cs="Times New Roman"/>
          <w:szCs w:val="28"/>
          <w:highlight w:val="none"/>
          <w:lang w:val="en-US"/>
        </w:rPr>
        <w:t xml:space="preserve"> et al. </w:t>
      </w:r>
      <w:r>
        <w:rPr>
          <w:rFonts w:cs="Times New Roman"/>
          <w:iCs/>
          <w:szCs w:val="28"/>
          <w:highlight w:val="none"/>
          <w:lang w:val="en-US"/>
        </w:rPr>
        <w:t>J</w:t>
      </w:r>
      <w:r>
        <w:rPr>
          <w:rFonts w:cs="Times New Roman"/>
          <w:i/>
          <w:iCs/>
          <w:szCs w:val="28"/>
          <w:highlight w:val="none"/>
          <w:lang w:val="en-US"/>
        </w:rPr>
        <w:t>. Infect Dis</w:t>
      </w:r>
      <w:r>
        <w:rPr>
          <w:rFonts w:cs="Times New Roman"/>
          <w:szCs w:val="28"/>
          <w:highlight w:val="none"/>
          <w:lang w:val="en-US"/>
        </w:rPr>
        <w:t>. </w:t>
      </w:r>
      <w:r>
        <w:rPr>
          <w:rStyle w:val="58"/>
          <w:rFonts w:cs="Times New Roman"/>
          <w:szCs w:val="28"/>
          <w:highlight w:val="none"/>
          <w:lang w:val="en-US"/>
        </w:rPr>
        <w:t>2018.</w:t>
      </w:r>
      <w:r>
        <w:rPr>
          <w:rFonts w:cs="Times New Roman"/>
          <w:szCs w:val="28"/>
          <w:highlight w:val="none"/>
          <w:lang w:val="en-US"/>
        </w:rPr>
        <w:t> Vol. </w:t>
      </w:r>
      <w:r>
        <w:rPr>
          <w:rStyle w:val="59"/>
          <w:rFonts w:cs="Times New Roman"/>
          <w:bCs/>
          <w:szCs w:val="28"/>
          <w:highlight w:val="none"/>
          <w:lang w:val="en-US"/>
        </w:rPr>
        <w:t xml:space="preserve">217 </w:t>
      </w:r>
      <w:r>
        <w:rPr>
          <w:rFonts w:cs="Times New Roman"/>
          <w:szCs w:val="28"/>
          <w:highlight w:val="none"/>
          <w:lang w:val="en-US"/>
        </w:rPr>
        <w:t>(</w:t>
      </w:r>
      <w:r>
        <w:rPr>
          <w:rStyle w:val="62"/>
          <w:rFonts w:cs="Times New Roman"/>
          <w:szCs w:val="28"/>
          <w:highlight w:val="none"/>
          <w:lang w:val="en-US"/>
        </w:rPr>
        <w:t>7</w:t>
      </w:r>
      <w:r>
        <w:rPr>
          <w:rFonts w:cs="Times New Roman"/>
          <w:szCs w:val="28"/>
          <w:highlight w:val="none"/>
          <w:lang w:val="en-US"/>
        </w:rPr>
        <w:t xml:space="preserve">). P. </w:t>
      </w:r>
      <w:r>
        <w:rPr>
          <w:rStyle w:val="60"/>
          <w:rFonts w:cs="Times New Roman"/>
          <w:szCs w:val="28"/>
          <w:highlight w:val="none"/>
          <w:lang w:val="en-US"/>
        </w:rPr>
        <w:t>1033</w:t>
      </w:r>
      <w:r>
        <w:rPr>
          <w:rFonts w:cs="Times New Roman"/>
          <w:szCs w:val="28"/>
          <w:highlight w:val="none"/>
          <w:shd w:val="clear" w:color="auto" w:fill="FFFFFF"/>
          <w:lang w:val="en-US"/>
        </w:rPr>
        <w:t>–</w:t>
      </w:r>
      <w:r>
        <w:rPr>
          <w:rStyle w:val="61"/>
          <w:rFonts w:cs="Times New Roman"/>
          <w:szCs w:val="28"/>
          <w:highlight w:val="none"/>
          <w:lang w:val="en-US"/>
        </w:rPr>
        <w:t>1043</w:t>
      </w:r>
      <w:r>
        <w:rPr>
          <w:rFonts w:cs="Times New Roman"/>
          <w:szCs w:val="28"/>
          <w:highlight w:val="none"/>
          <w:lang w:val="en-US"/>
        </w:rPr>
        <w:t xml:space="preserve">. doi: </w:t>
      </w:r>
      <w:r>
        <w:rPr>
          <w:highlight w:val="none"/>
        </w:rPr>
        <w:fldChar w:fldCharType="begin"/>
      </w:r>
      <w:r>
        <w:rPr>
          <w:highlight w:val="none"/>
        </w:rPr>
        <w:instrText xml:space="preserve"> HYPERLINK "https://doi.org/10.1093/infdis/jix681" </w:instrText>
      </w:r>
      <w:r>
        <w:rPr>
          <w:highlight w:val="none"/>
        </w:rPr>
        <w:fldChar w:fldCharType="separate"/>
      </w:r>
      <w:r>
        <w:rPr>
          <w:rStyle w:val="11"/>
          <w:rFonts w:cs="Times New Roman"/>
          <w:color w:val="auto"/>
          <w:szCs w:val="28"/>
          <w:highlight w:val="none"/>
          <w:u w:val="none"/>
          <w:lang w:val="en-US"/>
        </w:rPr>
        <w:t>https://doi.org/10.1093/infdis/jix681</w:t>
      </w:r>
      <w:r>
        <w:rPr>
          <w:rStyle w:val="11"/>
          <w:rFonts w:cs="Times New Roman"/>
          <w:color w:val="auto"/>
          <w:szCs w:val="28"/>
          <w:highlight w:val="none"/>
          <w:u w:val="none"/>
          <w:lang w:val="en-US"/>
        </w:rPr>
        <w:fldChar w:fldCharType="end"/>
      </w:r>
    </w:p>
    <w:p w14:paraId="73082B6F">
      <w:pPr>
        <w:widowControl w:val="0"/>
        <w:rPr>
          <w:rFonts w:cs="Times New Roman"/>
          <w:szCs w:val="28"/>
          <w:highlight w:val="none"/>
          <w:lang w:val="en-US"/>
        </w:rPr>
      </w:pPr>
      <w:r>
        <w:rPr>
          <w:rFonts w:cs="Times New Roman"/>
          <w:szCs w:val="28"/>
          <w:highlight w:val="none"/>
          <w:lang w:val="en-US"/>
        </w:rPr>
        <w:t xml:space="preserve">220. European Medicines Agency, Committee for Medicinal Products for Human Use. Guideline on the clinical evaluation of direct acting antivirals for the treatment of chronic hepatitis. June 23, 2016. URL: http://www.ema.europa.eu/docs/en_GB/document_library/ Scientific_guideline/2016/07/WC500209917.pdf </w:t>
      </w:r>
    </w:p>
    <w:p w14:paraId="6053C2DA">
      <w:pPr>
        <w:widowControl w:val="0"/>
        <w:rPr>
          <w:rFonts w:cs="Times New Roman"/>
          <w:szCs w:val="28"/>
          <w:highlight w:val="none"/>
          <w:lang w:val="en-US"/>
        </w:rPr>
      </w:pPr>
      <w:r>
        <w:rPr>
          <w:rFonts w:cs="Times New Roman"/>
          <w:szCs w:val="28"/>
          <w:highlight w:val="none"/>
          <w:lang w:val="en-US"/>
        </w:rPr>
        <w:t xml:space="preserve">221. </w:t>
      </w:r>
      <w:r>
        <w:rPr>
          <w:rStyle w:val="48"/>
          <w:rFonts w:cs="Times New Roman"/>
          <w:szCs w:val="28"/>
          <w:highlight w:val="none"/>
          <w:shd w:val="clear" w:color="auto" w:fill="FFFFFF"/>
          <w:lang w:val="en-US"/>
        </w:rPr>
        <w:t>New therapies, evidence, and guidance in hepatitis C management: expert practices and insights from an educational symposium at the AMCP 27th annual meeting expo /</w:t>
      </w:r>
      <w:r>
        <w:rPr>
          <w:rFonts w:cs="Times New Roman"/>
          <w:szCs w:val="28"/>
          <w:highlight w:val="none"/>
          <w:shd w:val="clear" w:color="auto" w:fill="FFFFFF"/>
          <w:lang w:val="en-US"/>
        </w:rPr>
        <w:t xml:space="preserve"> N. Terrault et al. </w:t>
      </w:r>
      <w:r>
        <w:rPr>
          <w:rStyle w:val="49"/>
          <w:rFonts w:cs="Times New Roman"/>
          <w:i/>
          <w:iCs/>
          <w:szCs w:val="28"/>
          <w:highlight w:val="none"/>
          <w:shd w:val="clear" w:color="auto" w:fill="FFFFFF"/>
          <w:lang w:val="en-US"/>
        </w:rPr>
        <w:t>J. Manag Care Spec Pharm.</w:t>
      </w:r>
      <w:r>
        <w:rPr>
          <w:rFonts w:cs="Times New Roman"/>
          <w:szCs w:val="28"/>
          <w:highlight w:val="none"/>
          <w:shd w:val="clear" w:color="auto" w:fill="FFFFFF"/>
          <w:lang w:val="en-US"/>
        </w:rPr>
        <w:t xml:space="preserve"> 2015. Vol. </w:t>
      </w:r>
      <w:r>
        <w:rPr>
          <w:rStyle w:val="50"/>
          <w:rFonts w:cs="Times New Roman"/>
          <w:szCs w:val="28"/>
          <w:highlight w:val="none"/>
          <w:shd w:val="clear" w:color="auto" w:fill="FFFFFF"/>
          <w:lang w:val="en-US"/>
        </w:rPr>
        <w:t xml:space="preserve">21, </w:t>
      </w:r>
      <w:r>
        <w:rPr>
          <w:rStyle w:val="63"/>
          <w:rFonts w:cs="Times New Roman"/>
          <w:szCs w:val="28"/>
          <w:highlight w:val="none"/>
          <w:shd w:val="clear" w:color="auto" w:fill="FFFFFF"/>
          <w:lang w:val="en-US"/>
        </w:rPr>
        <w:t>9 Suppl</w:t>
      </w:r>
      <w:r>
        <w:rPr>
          <w:rFonts w:cs="Times New Roman"/>
          <w:szCs w:val="28"/>
          <w:highlight w:val="none"/>
          <w:shd w:val="clear" w:color="auto" w:fill="FFFFFF"/>
          <w:lang w:val="en-US"/>
        </w:rPr>
        <w:t>. P. S1–17. doi: 10.18553/jmcp.2015.21.9.S1</w:t>
      </w:r>
    </w:p>
    <w:p w14:paraId="11F1D194">
      <w:pPr>
        <w:widowControl w:val="0"/>
        <w:rPr>
          <w:rFonts w:cs="Times New Roman"/>
          <w:szCs w:val="28"/>
          <w:highlight w:val="none"/>
          <w:lang w:val="en-US"/>
        </w:rPr>
      </w:pPr>
      <w:r>
        <w:rPr>
          <w:rFonts w:cs="Times New Roman"/>
          <w:szCs w:val="28"/>
          <w:highlight w:val="none"/>
          <w:lang w:val="en-US"/>
        </w:rPr>
        <w:t>222.</w:t>
      </w:r>
      <w:r>
        <w:rPr>
          <w:rFonts w:cs="Times New Roman"/>
          <w:szCs w:val="28"/>
          <w:highlight w:val="none"/>
          <w:shd w:val="clear" w:color="auto" w:fill="FFFFFF"/>
          <w:lang w:val="en-US"/>
        </w:rPr>
        <w:t xml:space="preserve"> </w:t>
      </w:r>
      <w:r>
        <w:rPr>
          <w:rStyle w:val="48"/>
          <w:rFonts w:cs="Times New Roman"/>
          <w:szCs w:val="28"/>
          <w:highlight w:val="none"/>
          <w:shd w:val="clear" w:color="auto" w:fill="FFFFFF"/>
          <w:lang w:val="en-US"/>
        </w:rPr>
        <w:t xml:space="preserve">Towards elimination of hepatitis C virus infection in children / </w:t>
      </w:r>
      <w:r>
        <w:rPr>
          <w:rFonts w:cs="Times New Roman"/>
          <w:szCs w:val="28"/>
          <w:highlight w:val="none"/>
          <w:shd w:val="clear" w:color="auto" w:fill="FFFFFF"/>
          <w:lang w:val="en-US"/>
        </w:rPr>
        <w:t>A. Nwaohiri, S. Schillie, M. Bulterys, A. P. Kourtis.</w:t>
      </w:r>
      <w:r>
        <w:rPr>
          <w:rStyle w:val="49"/>
          <w:rFonts w:cs="Times New Roman"/>
          <w:iCs/>
          <w:szCs w:val="28"/>
          <w:highlight w:val="none"/>
          <w:shd w:val="clear" w:color="auto" w:fill="FFFFFF"/>
          <w:lang w:val="en-US"/>
        </w:rPr>
        <w:t xml:space="preserve"> </w:t>
      </w:r>
      <w:r>
        <w:rPr>
          <w:rStyle w:val="49"/>
          <w:rFonts w:cs="Times New Roman"/>
          <w:i/>
          <w:iCs/>
          <w:szCs w:val="28"/>
          <w:highlight w:val="none"/>
          <w:shd w:val="clear" w:color="auto" w:fill="FFFFFF"/>
          <w:lang w:val="en-US"/>
        </w:rPr>
        <w:t>Lancet Child Adolesc Health</w:t>
      </w:r>
      <w:r>
        <w:rPr>
          <w:rStyle w:val="49"/>
          <w:rFonts w:cs="Times New Roman"/>
          <w:iCs/>
          <w:szCs w:val="28"/>
          <w:highlight w:val="none"/>
          <w:shd w:val="clear" w:color="auto" w:fill="FFFFFF"/>
          <w:lang w:val="en-US"/>
        </w:rPr>
        <w:t xml:space="preserve">. </w:t>
      </w:r>
      <w:r>
        <w:rPr>
          <w:rFonts w:cs="Times New Roman"/>
          <w:szCs w:val="28"/>
          <w:highlight w:val="none"/>
          <w:shd w:val="clear" w:color="auto" w:fill="FFFFFF"/>
          <w:lang w:val="en-US"/>
        </w:rPr>
        <w:t xml:space="preserve">2018. Vol. </w:t>
      </w:r>
      <w:r>
        <w:rPr>
          <w:rStyle w:val="50"/>
          <w:rFonts w:cs="Times New Roman"/>
          <w:szCs w:val="28"/>
          <w:highlight w:val="none"/>
          <w:shd w:val="clear" w:color="auto" w:fill="FFFFFF"/>
          <w:lang w:val="en-US"/>
        </w:rPr>
        <w:t>2</w:t>
      </w:r>
      <w:r>
        <w:rPr>
          <w:rFonts w:cs="Times New Roman"/>
          <w:szCs w:val="28"/>
          <w:highlight w:val="none"/>
          <w:shd w:val="clear" w:color="auto" w:fill="FFFFFF"/>
          <w:lang w:val="en-US"/>
        </w:rPr>
        <w:t>. P. 235–237. doi: 10.1016/S2352-4642(18)30069-5</w:t>
      </w:r>
    </w:p>
    <w:p w14:paraId="2D04FD51">
      <w:pPr>
        <w:widowControl w:val="0"/>
        <w:rPr>
          <w:rFonts w:cs="Times New Roman"/>
          <w:szCs w:val="28"/>
          <w:highlight w:val="none"/>
          <w:lang w:val="en-US"/>
        </w:rPr>
      </w:pPr>
      <w:r>
        <w:rPr>
          <w:rFonts w:cs="Times New Roman"/>
          <w:szCs w:val="28"/>
          <w:highlight w:val="none"/>
          <w:lang w:val="en-US"/>
        </w:rPr>
        <w:t>223.</w:t>
      </w:r>
      <w:r>
        <w:rPr>
          <w:rFonts w:cs="Times New Roman"/>
          <w:szCs w:val="28"/>
          <w:highlight w:val="none"/>
          <w:shd w:val="clear" w:color="auto" w:fill="FFFFFF"/>
          <w:lang w:val="en-US"/>
        </w:rPr>
        <w:t xml:space="preserve"> </w:t>
      </w:r>
      <w:r>
        <w:rPr>
          <w:rStyle w:val="48"/>
          <w:rFonts w:cs="Times New Roman"/>
          <w:szCs w:val="28"/>
          <w:highlight w:val="none"/>
          <w:shd w:val="clear" w:color="auto" w:fill="FFFFFF"/>
          <w:lang w:val="en-US"/>
        </w:rPr>
        <w:t xml:space="preserve">Hepatitis C virus infection in children: How do we prevent it and how do we treat it? / </w:t>
      </w:r>
      <w:r>
        <w:rPr>
          <w:rFonts w:cs="Times New Roman"/>
          <w:szCs w:val="28"/>
          <w:highlight w:val="none"/>
          <w:shd w:val="clear" w:color="auto" w:fill="FFFFFF"/>
          <w:lang w:val="en-US"/>
        </w:rPr>
        <w:t xml:space="preserve">A. Nwaohiri, S. Schillie, M. Bulterys, A. P. Kourtis. </w:t>
      </w:r>
      <w:r>
        <w:rPr>
          <w:rStyle w:val="49"/>
          <w:rFonts w:cs="Times New Roman"/>
          <w:i/>
          <w:iCs/>
          <w:szCs w:val="28"/>
          <w:highlight w:val="none"/>
          <w:shd w:val="clear" w:color="auto" w:fill="FFFFFF"/>
          <w:lang w:val="en-US"/>
        </w:rPr>
        <w:t>Expert Rev Anti Infect Ther</w:t>
      </w:r>
      <w:r>
        <w:rPr>
          <w:rStyle w:val="49"/>
          <w:rFonts w:cs="Times New Roman"/>
          <w:iCs/>
          <w:szCs w:val="28"/>
          <w:highlight w:val="none"/>
          <w:shd w:val="clear" w:color="auto" w:fill="FFFFFF"/>
          <w:lang w:val="en-US"/>
        </w:rPr>
        <w:t xml:space="preserve">. </w:t>
      </w:r>
      <w:r>
        <w:rPr>
          <w:rFonts w:cs="Times New Roman"/>
          <w:szCs w:val="28"/>
          <w:highlight w:val="none"/>
          <w:shd w:val="clear" w:color="auto" w:fill="FFFFFF"/>
          <w:lang w:val="en-US"/>
        </w:rPr>
        <w:t xml:space="preserve">2018. Vol. </w:t>
      </w:r>
      <w:r>
        <w:rPr>
          <w:rStyle w:val="50"/>
          <w:rFonts w:cs="Times New Roman"/>
          <w:szCs w:val="28"/>
          <w:highlight w:val="none"/>
          <w:shd w:val="clear" w:color="auto" w:fill="FFFFFF"/>
          <w:lang w:val="en-US"/>
        </w:rPr>
        <w:t>16</w:t>
      </w:r>
      <w:r>
        <w:rPr>
          <w:rFonts w:cs="Times New Roman"/>
          <w:szCs w:val="28"/>
          <w:highlight w:val="none"/>
          <w:shd w:val="clear" w:color="auto" w:fill="FFFFFF"/>
          <w:lang w:val="en-US"/>
        </w:rPr>
        <w:t>. P. 689–694. doi: 10.1080/14787210.2018.1509707</w:t>
      </w:r>
    </w:p>
    <w:p w14:paraId="74621E22">
      <w:pPr>
        <w:widowControl w:val="0"/>
        <w:rPr>
          <w:rFonts w:cs="Times New Roman"/>
          <w:szCs w:val="28"/>
          <w:highlight w:val="none"/>
          <w:lang w:val="en-US"/>
        </w:rPr>
      </w:pPr>
      <w:r>
        <w:rPr>
          <w:rFonts w:cs="Times New Roman"/>
          <w:szCs w:val="28"/>
          <w:highlight w:val="none"/>
          <w:lang w:val="en-US"/>
        </w:rPr>
        <w:t xml:space="preserve">224. </w:t>
      </w:r>
      <w:r>
        <w:rPr>
          <w:rFonts w:eastAsia="Times New Roman" w:cs="Times New Roman"/>
          <w:szCs w:val="28"/>
          <w:highlight w:val="none"/>
          <w:shd w:val="clear" w:color="auto" w:fill="FFFFFF"/>
          <w:lang w:val="en-US" w:eastAsia="ru-RU"/>
        </w:rPr>
        <w:t>Restrictions for reimbursement of direct-acting antiviral treatment for hepatitis C virus infection in Canada: a descriptive study /</w:t>
      </w:r>
      <w:r>
        <w:rPr>
          <w:rFonts w:eastAsia="Times New Roman" w:cs="Times New Roman"/>
          <w:szCs w:val="28"/>
          <w:highlight w:val="none"/>
          <w:lang w:val="en-US" w:eastAsia="ru-RU"/>
        </w:rPr>
        <w:t xml:space="preserve"> A. D. Marshall et al</w:t>
      </w:r>
      <w:r>
        <w:rPr>
          <w:rFonts w:eastAsia="Times New Roman" w:cs="Times New Roman"/>
          <w:szCs w:val="28"/>
          <w:highlight w:val="none"/>
          <w:shd w:val="clear" w:color="auto" w:fill="FFFFFF"/>
          <w:lang w:val="en-US" w:eastAsia="ru-RU"/>
        </w:rPr>
        <w:t>. </w:t>
      </w:r>
      <w:r>
        <w:rPr>
          <w:rFonts w:eastAsia="Times New Roman" w:cs="Times New Roman"/>
          <w:i/>
          <w:szCs w:val="28"/>
          <w:highlight w:val="none"/>
          <w:shd w:val="clear" w:color="auto" w:fill="FFFFFF"/>
          <w:lang w:val="en-US" w:eastAsia="ru-RU"/>
        </w:rPr>
        <w:t>CMAJ Open</w:t>
      </w:r>
      <w:r>
        <w:rPr>
          <w:rFonts w:eastAsia="Times New Roman" w:cs="Times New Roman"/>
          <w:szCs w:val="28"/>
          <w:highlight w:val="none"/>
          <w:shd w:val="clear" w:color="auto" w:fill="FFFFFF"/>
          <w:lang w:val="en-US" w:eastAsia="ru-RU"/>
        </w:rPr>
        <w:t xml:space="preserve">. 2016. Vol. </w:t>
      </w:r>
      <w:r>
        <w:rPr>
          <w:rFonts w:eastAsia="Times New Roman" w:cs="Times New Roman"/>
          <w:bCs/>
          <w:szCs w:val="28"/>
          <w:highlight w:val="none"/>
          <w:shd w:val="clear" w:color="auto" w:fill="FFFFFF"/>
          <w:lang w:val="en-US" w:eastAsia="ru-RU"/>
        </w:rPr>
        <w:t>4</w:t>
      </w:r>
      <w:r>
        <w:rPr>
          <w:rFonts w:eastAsia="Times New Roman" w:cs="Times New Roman"/>
          <w:szCs w:val="28"/>
          <w:highlight w:val="none"/>
          <w:shd w:val="clear" w:color="auto" w:fill="FFFFFF"/>
          <w:lang w:val="en-US" w:eastAsia="ru-RU"/>
        </w:rPr>
        <w:t>. P. E605–14.</w:t>
      </w:r>
      <w:r>
        <w:rPr>
          <w:rFonts w:cs="Times New Roman"/>
          <w:szCs w:val="28"/>
          <w:highlight w:val="none"/>
          <w:shd w:val="clear" w:color="auto" w:fill="FFFFFF"/>
          <w:lang w:val="en-US"/>
        </w:rPr>
        <w:t xml:space="preserve"> doi: </w:t>
      </w:r>
      <w:r>
        <w:rPr>
          <w:highlight w:val="none"/>
        </w:rPr>
        <w:fldChar w:fldCharType="begin"/>
      </w:r>
      <w:r>
        <w:rPr>
          <w:highlight w:val="none"/>
        </w:rPr>
        <w:instrText xml:space="preserve"> HYPERLINK "https://doi.org/10.9778/cmajo.20160008" </w:instrText>
      </w:r>
      <w:r>
        <w:rPr>
          <w:highlight w:val="none"/>
        </w:rPr>
        <w:fldChar w:fldCharType="separate"/>
      </w:r>
      <w:r>
        <w:rPr>
          <w:rStyle w:val="11"/>
          <w:rFonts w:cs="Times New Roman"/>
          <w:color w:val="auto"/>
          <w:szCs w:val="28"/>
          <w:highlight w:val="none"/>
          <w:u w:val="none"/>
          <w:shd w:val="clear" w:color="auto" w:fill="FFFFFF"/>
          <w:lang w:val="en-US"/>
        </w:rPr>
        <w:t>https://doi.org/10.9778/cmajo.20160008</w:t>
      </w:r>
      <w:r>
        <w:rPr>
          <w:rStyle w:val="11"/>
          <w:rFonts w:cs="Times New Roman"/>
          <w:color w:val="auto"/>
          <w:szCs w:val="28"/>
          <w:highlight w:val="none"/>
          <w:u w:val="none"/>
          <w:shd w:val="clear" w:color="auto" w:fill="FFFFFF"/>
          <w:lang w:val="en-US"/>
        </w:rPr>
        <w:fldChar w:fldCharType="end"/>
      </w:r>
    </w:p>
    <w:p w14:paraId="52A43348">
      <w:pPr>
        <w:widowControl w:val="0"/>
        <w:rPr>
          <w:rFonts w:cs="Times New Roman"/>
          <w:szCs w:val="28"/>
          <w:highlight w:val="none"/>
          <w:lang w:val="en-US"/>
        </w:rPr>
      </w:pPr>
      <w:r>
        <w:rPr>
          <w:rFonts w:cs="Times New Roman"/>
          <w:szCs w:val="28"/>
          <w:highlight w:val="none"/>
          <w:lang w:val="en-US"/>
        </w:rPr>
        <w:t xml:space="preserve">225. </w:t>
      </w:r>
      <w:r>
        <w:rPr>
          <w:rFonts w:cs="Times New Roman"/>
          <w:szCs w:val="28"/>
          <w:highlight w:val="none"/>
          <w:shd w:val="clear" w:color="auto" w:fill="FFFFFF"/>
          <w:lang w:val="en-US"/>
        </w:rPr>
        <w:t xml:space="preserve">Risk of de novo hepatocellular carcinoma after HCV treatment with direct-acting antivirals / F. Finkelmeier et al. </w:t>
      </w:r>
      <w:r>
        <w:rPr>
          <w:rStyle w:val="51"/>
          <w:rFonts w:cs="Times New Roman"/>
          <w:i/>
          <w:iCs/>
          <w:szCs w:val="28"/>
          <w:highlight w:val="none"/>
          <w:shd w:val="clear" w:color="auto" w:fill="FFFFFF"/>
          <w:lang w:val="en-US"/>
        </w:rPr>
        <w:t>Liver Cancer</w:t>
      </w:r>
      <w:r>
        <w:rPr>
          <w:rFonts w:cs="Times New Roman"/>
          <w:bCs/>
          <w:szCs w:val="28"/>
          <w:highlight w:val="none"/>
          <w:shd w:val="clear" w:color="auto" w:fill="FFFFFF"/>
          <w:lang w:val="en-US"/>
        </w:rPr>
        <w:t>. 2018</w:t>
      </w:r>
      <w:r>
        <w:rPr>
          <w:rFonts w:cs="Times New Roman"/>
          <w:szCs w:val="28"/>
          <w:highlight w:val="none"/>
          <w:shd w:val="clear" w:color="auto" w:fill="FFFFFF"/>
          <w:lang w:val="en-US"/>
        </w:rPr>
        <w:t xml:space="preserve">. Vol. </w:t>
      </w:r>
      <w:r>
        <w:rPr>
          <w:rStyle w:val="51"/>
          <w:rFonts w:cs="Times New Roman"/>
          <w:iCs/>
          <w:szCs w:val="28"/>
          <w:highlight w:val="none"/>
          <w:shd w:val="clear" w:color="auto" w:fill="FFFFFF"/>
          <w:lang w:val="en-US"/>
        </w:rPr>
        <w:t>7</w:t>
      </w:r>
      <w:r>
        <w:rPr>
          <w:rFonts w:cs="Times New Roman"/>
          <w:szCs w:val="28"/>
          <w:highlight w:val="none"/>
          <w:shd w:val="clear" w:color="auto" w:fill="FFFFFF"/>
          <w:lang w:val="en-US"/>
        </w:rPr>
        <w:t xml:space="preserve">. P. 190–204. doi: </w:t>
      </w:r>
      <w:r>
        <w:rPr>
          <w:highlight w:val="none"/>
        </w:rPr>
        <w:fldChar w:fldCharType="begin"/>
      </w:r>
      <w:r>
        <w:rPr>
          <w:highlight w:val="none"/>
        </w:rPr>
        <w:instrText xml:space="preserve"> HYPERLINK "https://doi.org/10.1159/000486812" </w:instrText>
      </w:r>
      <w:r>
        <w:rPr>
          <w:highlight w:val="none"/>
        </w:rPr>
        <w:fldChar w:fldCharType="separate"/>
      </w:r>
      <w:r>
        <w:rPr>
          <w:rStyle w:val="11"/>
          <w:rFonts w:cs="Times New Roman"/>
          <w:color w:val="auto"/>
          <w:szCs w:val="28"/>
          <w:highlight w:val="none"/>
          <w:u w:val="none"/>
          <w:shd w:val="clear" w:color="auto" w:fill="FFFFFF"/>
          <w:lang w:val="en-US"/>
        </w:rPr>
        <w:t>https://doi.org/10.1159/000486812</w:t>
      </w:r>
      <w:r>
        <w:rPr>
          <w:rStyle w:val="11"/>
          <w:rFonts w:cs="Times New Roman"/>
          <w:color w:val="auto"/>
          <w:szCs w:val="28"/>
          <w:highlight w:val="none"/>
          <w:u w:val="none"/>
          <w:shd w:val="clear" w:color="auto" w:fill="FFFFFF"/>
          <w:lang w:val="en-US"/>
        </w:rPr>
        <w:fldChar w:fldCharType="end"/>
      </w:r>
    </w:p>
    <w:p w14:paraId="22B560D2">
      <w:pPr>
        <w:widowControl w:val="0"/>
        <w:rPr>
          <w:rFonts w:cs="Times New Roman"/>
          <w:szCs w:val="28"/>
          <w:highlight w:val="none"/>
          <w:lang w:val="en-US"/>
        </w:rPr>
      </w:pPr>
      <w:r>
        <w:rPr>
          <w:rFonts w:cs="Times New Roman"/>
          <w:szCs w:val="28"/>
          <w:highlight w:val="none"/>
          <w:lang w:val="en-US"/>
        </w:rPr>
        <w:t xml:space="preserve">226. </w:t>
      </w:r>
      <w:r>
        <w:rPr>
          <w:rFonts w:cs="Times New Roman"/>
          <w:szCs w:val="28"/>
          <w:highlight w:val="none"/>
          <w:shd w:val="clear" w:color="auto" w:fill="FFFFFF"/>
          <w:lang w:val="en-US"/>
        </w:rPr>
        <w:t xml:space="preserve">Outcomes after successful direct-acting antiviral therapy for patients with chronic hepatitis C and decompensated cirrhosis / M. C. Cheung et al. </w:t>
      </w:r>
      <w:r>
        <w:rPr>
          <w:rStyle w:val="51"/>
          <w:rFonts w:cs="Times New Roman"/>
          <w:i/>
          <w:iCs/>
          <w:szCs w:val="28"/>
          <w:highlight w:val="none"/>
          <w:shd w:val="clear" w:color="auto" w:fill="FFFFFF"/>
          <w:lang w:val="en-US"/>
        </w:rPr>
        <w:t>J. Hepatol</w:t>
      </w:r>
      <w:r>
        <w:rPr>
          <w:rStyle w:val="51"/>
          <w:rFonts w:cs="Times New Roman"/>
          <w:iCs/>
          <w:szCs w:val="28"/>
          <w:highlight w:val="none"/>
          <w:shd w:val="clear" w:color="auto" w:fill="FFFFFF"/>
          <w:lang w:val="en-US"/>
        </w:rPr>
        <w:t>.</w:t>
      </w:r>
      <w:r>
        <w:rPr>
          <w:rFonts w:cs="Times New Roman"/>
          <w:szCs w:val="28"/>
          <w:highlight w:val="none"/>
          <w:shd w:val="clear" w:color="auto" w:fill="FFFFFF"/>
          <w:lang w:val="en-US"/>
        </w:rPr>
        <w:t> </w:t>
      </w:r>
      <w:r>
        <w:rPr>
          <w:rFonts w:cs="Times New Roman"/>
          <w:bCs/>
          <w:szCs w:val="28"/>
          <w:highlight w:val="none"/>
          <w:shd w:val="clear" w:color="auto" w:fill="FFFFFF"/>
          <w:lang w:val="en-US"/>
        </w:rPr>
        <w:t>2016</w:t>
      </w:r>
      <w:r>
        <w:rPr>
          <w:rFonts w:cs="Times New Roman"/>
          <w:szCs w:val="28"/>
          <w:highlight w:val="none"/>
          <w:shd w:val="clear" w:color="auto" w:fill="FFFFFF"/>
          <w:lang w:val="en-US"/>
        </w:rPr>
        <w:t xml:space="preserve">. Vol. </w:t>
      </w:r>
      <w:r>
        <w:rPr>
          <w:rStyle w:val="51"/>
          <w:rFonts w:cs="Times New Roman"/>
          <w:iCs/>
          <w:szCs w:val="28"/>
          <w:highlight w:val="none"/>
          <w:shd w:val="clear" w:color="auto" w:fill="FFFFFF"/>
          <w:lang w:val="en-US"/>
        </w:rPr>
        <w:t>65</w:t>
      </w:r>
      <w:r>
        <w:rPr>
          <w:rFonts w:cs="Times New Roman"/>
          <w:szCs w:val="28"/>
          <w:highlight w:val="none"/>
          <w:shd w:val="clear" w:color="auto" w:fill="FFFFFF"/>
          <w:lang w:val="en-US"/>
        </w:rPr>
        <w:t xml:space="preserve">. P. 741–747. </w:t>
      </w:r>
      <w:r>
        <w:rPr>
          <w:rStyle w:val="52"/>
          <w:rFonts w:cs="Times New Roman"/>
          <w:szCs w:val="28"/>
          <w:highlight w:val="none"/>
          <w:lang w:val="en-US"/>
        </w:rPr>
        <w:t xml:space="preserve">doi: </w:t>
      </w:r>
      <w:r>
        <w:rPr>
          <w:highlight w:val="none"/>
        </w:rPr>
        <w:fldChar w:fldCharType="begin"/>
      </w:r>
      <w:r>
        <w:rPr>
          <w:highlight w:val="none"/>
        </w:rPr>
        <w:instrText xml:space="preserve"> HYPERLINK "https://doi.org/10.1016/j.jhep.2016.06.019" </w:instrText>
      </w:r>
      <w:r>
        <w:rPr>
          <w:highlight w:val="none"/>
        </w:rPr>
        <w:fldChar w:fldCharType="separate"/>
      </w:r>
      <w:r>
        <w:rPr>
          <w:rStyle w:val="11"/>
          <w:rFonts w:cs="Times New Roman"/>
          <w:color w:val="auto"/>
          <w:szCs w:val="28"/>
          <w:highlight w:val="none"/>
          <w:u w:val="none"/>
          <w:lang w:val="en-US"/>
        </w:rPr>
        <w:t>https://doi.org/10.1016/j.jhep.2016.06.019</w:t>
      </w:r>
      <w:r>
        <w:rPr>
          <w:rStyle w:val="11"/>
          <w:rFonts w:cs="Times New Roman"/>
          <w:color w:val="auto"/>
          <w:szCs w:val="28"/>
          <w:highlight w:val="none"/>
          <w:u w:val="none"/>
          <w:lang w:val="en-US"/>
        </w:rPr>
        <w:fldChar w:fldCharType="end"/>
      </w:r>
    </w:p>
    <w:p w14:paraId="60640D27">
      <w:pPr>
        <w:widowControl w:val="0"/>
        <w:rPr>
          <w:rFonts w:cs="Times New Roman"/>
          <w:szCs w:val="28"/>
          <w:highlight w:val="none"/>
          <w:lang w:val="en-US"/>
        </w:rPr>
      </w:pPr>
      <w:r>
        <w:rPr>
          <w:rFonts w:cs="Times New Roman"/>
          <w:szCs w:val="28"/>
          <w:highlight w:val="none"/>
          <w:lang w:val="en-US"/>
        </w:rPr>
        <w:t xml:space="preserve">227. Treatment of Chronic Hepatitis C: Efficacy, Side Effects and Complications / L. Sandmann, B. Schulte, M. P. Manns, B. Maasoumy. </w:t>
      </w:r>
      <w:r>
        <w:rPr>
          <w:rFonts w:cs="Times New Roman"/>
          <w:i/>
          <w:szCs w:val="28"/>
          <w:highlight w:val="none"/>
          <w:lang w:val="en-US"/>
        </w:rPr>
        <w:t>Visc Med</w:t>
      </w:r>
      <w:r>
        <w:rPr>
          <w:rFonts w:cs="Times New Roman"/>
          <w:szCs w:val="28"/>
          <w:highlight w:val="none"/>
          <w:lang w:val="en-US"/>
        </w:rPr>
        <w:t>. 2019. Vol. 35. P. 161</w:t>
      </w:r>
      <w:r>
        <w:rPr>
          <w:rFonts w:cs="Times New Roman"/>
          <w:szCs w:val="28"/>
          <w:highlight w:val="none"/>
          <w:shd w:val="clear" w:color="auto" w:fill="FFFFFF"/>
          <w:lang w:val="en-US"/>
        </w:rPr>
        <w:t>–</w:t>
      </w:r>
      <w:r>
        <w:rPr>
          <w:rFonts w:cs="Times New Roman"/>
          <w:szCs w:val="28"/>
          <w:highlight w:val="none"/>
          <w:lang w:val="en-US"/>
        </w:rPr>
        <w:t>170. doi: 10.1159/000500963</w:t>
      </w:r>
    </w:p>
    <w:p w14:paraId="4B2B805A">
      <w:pPr>
        <w:widowControl w:val="0"/>
        <w:rPr>
          <w:rFonts w:cs="Times New Roman"/>
          <w:szCs w:val="28"/>
          <w:highlight w:val="none"/>
          <w:lang w:val="en-US"/>
        </w:rPr>
      </w:pPr>
      <w:r>
        <w:rPr>
          <w:rFonts w:cs="Times New Roman"/>
          <w:szCs w:val="28"/>
          <w:highlight w:val="none"/>
          <w:lang w:val="en-US"/>
        </w:rPr>
        <w:t xml:space="preserve">228. Safety and efficacy of daclatasvir-sofosbuvir in HCV genotype 1-mono-infected patients / S. Pol et al. </w:t>
      </w:r>
      <w:r>
        <w:rPr>
          <w:rFonts w:cs="Times New Roman"/>
          <w:i/>
          <w:szCs w:val="28"/>
          <w:highlight w:val="none"/>
          <w:lang w:val="en-US"/>
        </w:rPr>
        <w:t>J. Hepatol</w:t>
      </w:r>
      <w:r>
        <w:rPr>
          <w:rFonts w:cs="Times New Roman"/>
          <w:szCs w:val="28"/>
          <w:highlight w:val="none"/>
          <w:lang w:val="en-US"/>
        </w:rPr>
        <w:t xml:space="preserve">. 2017. Vol. 66 (1). P. 39–47. doi: </w:t>
      </w:r>
      <w:r>
        <w:rPr>
          <w:highlight w:val="none"/>
        </w:rPr>
        <w:fldChar w:fldCharType="begin"/>
      </w:r>
      <w:r>
        <w:rPr>
          <w:highlight w:val="none"/>
        </w:rPr>
        <w:instrText xml:space="preserve"> HYPERLINK "https://doi.org/10.1016/j.jhep.2016.08.021" \t "_blank" \o "Persistent link using digital object identifier" </w:instrText>
      </w:r>
      <w:r>
        <w:rPr>
          <w:highlight w:val="none"/>
        </w:rPr>
        <w:fldChar w:fldCharType="separate"/>
      </w:r>
      <w:r>
        <w:rPr>
          <w:rStyle w:val="65"/>
          <w:rFonts w:cs="Times New Roman"/>
          <w:szCs w:val="28"/>
          <w:highlight w:val="none"/>
          <w:lang w:val="en-US"/>
        </w:rPr>
        <w:t>https://doi.org/10.1016/j.jhep.2016.08.021</w:t>
      </w:r>
      <w:r>
        <w:rPr>
          <w:rStyle w:val="65"/>
          <w:rFonts w:cs="Times New Roman"/>
          <w:szCs w:val="28"/>
          <w:highlight w:val="none"/>
          <w:lang w:val="en-US"/>
        </w:rPr>
        <w:fldChar w:fldCharType="end"/>
      </w:r>
    </w:p>
    <w:p w14:paraId="2419339D">
      <w:pPr>
        <w:widowControl w:val="0"/>
        <w:rPr>
          <w:rFonts w:cs="Times New Roman"/>
          <w:szCs w:val="28"/>
          <w:highlight w:val="none"/>
          <w:lang w:val="en-US"/>
        </w:rPr>
      </w:pPr>
      <w:r>
        <w:rPr>
          <w:rFonts w:cs="Times New Roman"/>
          <w:szCs w:val="28"/>
          <w:highlight w:val="none"/>
          <w:lang w:val="en-US"/>
        </w:rPr>
        <w:t xml:space="preserve">229. Real-world effectiveness and safety of sofosbuvir plus daclatasvir with or without ribavirin for genotype 2 chronic hepatitis C in Taiwan / P. N. Cheng, Y. C. Chiu, S. C. Chien, H. C. Chiu. </w:t>
      </w:r>
      <w:r>
        <w:rPr>
          <w:rFonts w:cs="Times New Roman"/>
          <w:i/>
          <w:szCs w:val="28"/>
          <w:highlight w:val="none"/>
          <w:lang w:val="en-US"/>
        </w:rPr>
        <w:t>J. Formos Med Assoc.</w:t>
      </w:r>
      <w:r>
        <w:rPr>
          <w:rFonts w:cs="Times New Roman"/>
          <w:szCs w:val="28"/>
          <w:highlight w:val="none"/>
          <w:lang w:val="en-US"/>
        </w:rPr>
        <w:t xml:space="preserve"> 2019. Vol. 118 (5). P. 907–913. doi: </w:t>
      </w:r>
      <w:r>
        <w:rPr>
          <w:highlight w:val="none"/>
        </w:rPr>
        <w:fldChar w:fldCharType="begin"/>
      </w:r>
      <w:r>
        <w:rPr>
          <w:highlight w:val="none"/>
        </w:rPr>
        <w:instrText xml:space="preserve"> HYPERLINK "https://doi.org/10.1016/j.jhep.2016.08.021" \t "_blank" \o "Persistent link using digital object identifier" </w:instrText>
      </w:r>
      <w:r>
        <w:rPr>
          <w:highlight w:val="none"/>
        </w:rPr>
        <w:fldChar w:fldCharType="separate"/>
      </w:r>
      <w:r>
        <w:rPr>
          <w:rStyle w:val="65"/>
          <w:rFonts w:cs="Times New Roman"/>
          <w:szCs w:val="28"/>
          <w:highlight w:val="none"/>
          <w:lang w:val="en-US"/>
        </w:rPr>
        <w:t>https://doi.org/</w:t>
      </w:r>
      <w:r>
        <w:rPr>
          <w:rStyle w:val="65"/>
          <w:rFonts w:cs="Times New Roman"/>
          <w:szCs w:val="28"/>
          <w:highlight w:val="none"/>
          <w:lang w:val="en-US"/>
        </w:rPr>
        <w:fldChar w:fldCharType="end"/>
      </w:r>
      <w:r>
        <w:rPr>
          <w:highlight w:val="none"/>
        </w:rPr>
        <w:fldChar w:fldCharType="begin"/>
      </w:r>
      <w:r>
        <w:rPr>
          <w:highlight w:val="none"/>
        </w:rPr>
        <w:instrText xml:space="preserve"> HYPERLINK "https://doi.org/10.1016/j.jfma.2018.09.016" \t "_blank" </w:instrText>
      </w:r>
      <w:r>
        <w:rPr>
          <w:highlight w:val="none"/>
        </w:rPr>
        <w:fldChar w:fldCharType="separate"/>
      </w:r>
      <w:r>
        <w:rPr>
          <w:rStyle w:val="11"/>
          <w:rFonts w:cs="Times New Roman"/>
          <w:color w:val="auto"/>
          <w:szCs w:val="28"/>
          <w:highlight w:val="none"/>
          <w:u w:val="none"/>
          <w:lang w:val="en-US"/>
        </w:rPr>
        <w:t>10.1016/j.jfma.2018.09.016</w:t>
      </w:r>
      <w:r>
        <w:rPr>
          <w:rStyle w:val="11"/>
          <w:rFonts w:cs="Times New Roman"/>
          <w:color w:val="auto"/>
          <w:szCs w:val="28"/>
          <w:highlight w:val="none"/>
          <w:u w:val="none"/>
          <w:lang w:val="en-US"/>
        </w:rPr>
        <w:fldChar w:fldCharType="end"/>
      </w:r>
    </w:p>
    <w:p w14:paraId="25521E6B">
      <w:pPr>
        <w:widowControl w:val="0"/>
        <w:rPr>
          <w:rFonts w:cs="Times New Roman"/>
          <w:szCs w:val="28"/>
          <w:highlight w:val="none"/>
          <w:lang w:val="en-US"/>
        </w:rPr>
      </w:pPr>
      <w:r>
        <w:rPr>
          <w:rFonts w:cs="Times New Roman"/>
          <w:szCs w:val="28"/>
          <w:highlight w:val="none"/>
          <w:lang w:val="en-US"/>
        </w:rPr>
        <w:t xml:space="preserve">230. Daclatasvir, sofosbuvir, and ribavirin for hepatitis C virus genotype 3 and advanced liver disease: a randomized phase III study (ALLY-3+) / V. Leroy et al. </w:t>
      </w:r>
      <w:r>
        <w:rPr>
          <w:rFonts w:cs="Times New Roman"/>
          <w:i/>
          <w:szCs w:val="28"/>
          <w:highlight w:val="none"/>
          <w:lang w:val="en-US"/>
        </w:rPr>
        <w:t>Hepatology</w:t>
      </w:r>
      <w:r>
        <w:rPr>
          <w:rFonts w:cs="Times New Roman"/>
          <w:szCs w:val="28"/>
          <w:highlight w:val="none"/>
          <w:lang w:val="en-US"/>
        </w:rPr>
        <w:t xml:space="preserve">. 2016. Vol. 63 (5). P. 1430–1441. </w:t>
      </w:r>
      <w:r>
        <w:rPr>
          <w:rStyle w:val="53"/>
          <w:rFonts w:cs="Times New Roman"/>
          <w:szCs w:val="28"/>
          <w:highlight w:val="none"/>
          <w:lang w:val="en-US"/>
        </w:rPr>
        <w:t>doi: </w:t>
      </w:r>
      <w:r>
        <w:rPr>
          <w:highlight w:val="none"/>
        </w:rPr>
        <w:fldChar w:fldCharType="begin"/>
      </w:r>
      <w:r>
        <w:rPr>
          <w:highlight w:val="none"/>
        </w:rPr>
        <w:instrText xml:space="preserve"> HYPERLINK "https://doi.org/10.1002/hep.28473" \t "_blank" </w:instrText>
      </w:r>
      <w:r>
        <w:rPr>
          <w:highlight w:val="none"/>
        </w:rPr>
        <w:fldChar w:fldCharType="separate"/>
      </w:r>
      <w:r>
        <w:rPr>
          <w:rStyle w:val="65"/>
          <w:rFonts w:cs="Times New Roman"/>
          <w:szCs w:val="28"/>
          <w:highlight w:val="none"/>
          <w:lang w:val="en-US"/>
        </w:rPr>
        <w:t>10.1002/hep.28473</w:t>
      </w:r>
      <w:r>
        <w:rPr>
          <w:rStyle w:val="65"/>
          <w:rFonts w:cs="Times New Roman"/>
          <w:szCs w:val="28"/>
          <w:highlight w:val="none"/>
          <w:lang w:val="en-US"/>
        </w:rPr>
        <w:fldChar w:fldCharType="end"/>
      </w:r>
    </w:p>
    <w:p w14:paraId="451B81C0">
      <w:pPr>
        <w:widowControl w:val="0"/>
        <w:rPr>
          <w:rFonts w:cs="Times New Roman"/>
          <w:szCs w:val="28"/>
          <w:highlight w:val="none"/>
          <w:lang w:val="en-US"/>
        </w:rPr>
      </w:pPr>
      <w:r>
        <w:rPr>
          <w:rFonts w:cs="Times New Roman"/>
          <w:szCs w:val="28"/>
          <w:highlight w:val="none"/>
          <w:lang w:val="en-US"/>
        </w:rPr>
        <w:t xml:space="preserve">231. Efficacy and safety of sofosbuvir plus daclatasvir with or without ribavirin: large real-life results of patients with chronic hepatitis C genotype 4 / A. Abdel-Moneim et al. </w:t>
      </w:r>
      <w:r>
        <w:rPr>
          <w:rFonts w:cs="Times New Roman"/>
          <w:i/>
          <w:szCs w:val="28"/>
          <w:highlight w:val="none"/>
          <w:lang w:val="en-US"/>
        </w:rPr>
        <w:t>Hepatol Int</w:t>
      </w:r>
      <w:r>
        <w:rPr>
          <w:rFonts w:cs="Times New Roman"/>
          <w:szCs w:val="28"/>
          <w:highlight w:val="none"/>
          <w:lang w:val="en-US"/>
        </w:rPr>
        <w:t xml:space="preserve">. 2018. Vol. 12 (4). P. 348–355. </w:t>
      </w:r>
      <w:r>
        <w:rPr>
          <w:rStyle w:val="53"/>
          <w:rFonts w:cs="Times New Roman"/>
          <w:szCs w:val="28"/>
          <w:highlight w:val="none"/>
          <w:lang w:val="en-US"/>
        </w:rPr>
        <w:t>doi: </w:t>
      </w:r>
      <w:r>
        <w:rPr>
          <w:highlight w:val="none"/>
        </w:rPr>
        <w:fldChar w:fldCharType="begin"/>
      </w:r>
      <w:r>
        <w:rPr>
          <w:highlight w:val="none"/>
        </w:rPr>
        <w:instrText xml:space="preserve"> HYPERLINK "https://doi.org/10.1007/s12072-018-9868-8" \t "_blank" </w:instrText>
      </w:r>
      <w:r>
        <w:rPr>
          <w:highlight w:val="none"/>
        </w:rPr>
        <w:fldChar w:fldCharType="separate"/>
      </w:r>
      <w:r>
        <w:rPr>
          <w:rStyle w:val="65"/>
          <w:rFonts w:cs="Times New Roman"/>
          <w:szCs w:val="28"/>
          <w:highlight w:val="none"/>
          <w:lang w:val="en-US"/>
        </w:rPr>
        <w:t>10.1007/s12072-018-9868-8</w:t>
      </w:r>
      <w:r>
        <w:rPr>
          <w:rStyle w:val="65"/>
          <w:rFonts w:cs="Times New Roman"/>
          <w:szCs w:val="28"/>
          <w:highlight w:val="none"/>
          <w:lang w:val="en-US"/>
        </w:rPr>
        <w:fldChar w:fldCharType="end"/>
      </w:r>
    </w:p>
    <w:p w14:paraId="07BE92D6">
      <w:pPr>
        <w:widowControl w:val="0"/>
        <w:rPr>
          <w:rFonts w:cs="Times New Roman"/>
          <w:szCs w:val="28"/>
          <w:highlight w:val="none"/>
          <w:lang w:val="en-US"/>
        </w:rPr>
      </w:pPr>
      <w:r>
        <w:rPr>
          <w:rFonts w:cs="Times New Roman"/>
          <w:szCs w:val="28"/>
          <w:highlight w:val="none"/>
          <w:lang w:val="en-US"/>
        </w:rPr>
        <w:t xml:space="preserve">232. Sofosbuvir plus daclatasvir with or without ribavirin in 551 patients with hepatitis C-related cirrhosis, genotype 4 / H. El-Khayat et al. </w:t>
      </w:r>
      <w:r>
        <w:rPr>
          <w:rFonts w:cs="Times New Roman"/>
          <w:i/>
          <w:szCs w:val="28"/>
          <w:highlight w:val="none"/>
          <w:lang w:val="en-US"/>
        </w:rPr>
        <w:t>Aliment Pharmacol Ther</w:t>
      </w:r>
      <w:r>
        <w:rPr>
          <w:rFonts w:cs="Times New Roman"/>
          <w:szCs w:val="28"/>
          <w:highlight w:val="none"/>
          <w:lang w:val="en-US"/>
        </w:rPr>
        <w:t>. 2018. Vol. 47 (5). P. 674–9. </w:t>
      </w:r>
      <w:r>
        <w:rPr>
          <w:rStyle w:val="53"/>
          <w:rFonts w:cs="Times New Roman"/>
          <w:szCs w:val="28"/>
          <w:highlight w:val="none"/>
          <w:lang w:val="en-US"/>
        </w:rPr>
        <w:t>doi: </w:t>
      </w:r>
      <w:r>
        <w:rPr>
          <w:highlight w:val="none"/>
        </w:rPr>
        <w:fldChar w:fldCharType="begin"/>
      </w:r>
      <w:r>
        <w:rPr>
          <w:highlight w:val="none"/>
        </w:rPr>
        <w:instrText xml:space="preserve"> HYPERLINK "https://doi.org/10.1111/apt.14482" \t "_blank" </w:instrText>
      </w:r>
      <w:r>
        <w:rPr>
          <w:highlight w:val="none"/>
        </w:rPr>
        <w:fldChar w:fldCharType="separate"/>
      </w:r>
      <w:r>
        <w:rPr>
          <w:rStyle w:val="65"/>
          <w:rFonts w:cs="Times New Roman"/>
          <w:szCs w:val="28"/>
          <w:highlight w:val="none"/>
          <w:lang w:val="en-US"/>
        </w:rPr>
        <w:t>10.1111/apt.14482</w:t>
      </w:r>
      <w:r>
        <w:rPr>
          <w:rStyle w:val="65"/>
          <w:rFonts w:cs="Times New Roman"/>
          <w:szCs w:val="28"/>
          <w:highlight w:val="none"/>
          <w:lang w:val="en-US"/>
        </w:rPr>
        <w:fldChar w:fldCharType="end"/>
      </w:r>
    </w:p>
    <w:p w14:paraId="46937C2F">
      <w:pPr>
        <w:widowControl w:val="0"/>
        <w:rPr>
          <w:rFonts w:cs="Times New Roman"/>
          <w:szCs w:val="28"/>
          <w:highlight w:val="none"/>
          <w:lang w:val="en-US"/>
        </w:rPr>
      </w:pPr>
      <w:r>
        <w:rPr>
          <w:rFonts w:cs="Times New Roman"/>
          <w:szCs w:val="28"/>
          <w:highlight w:val="none"/>
          <w:lang w:val="en-US"/>
        </w:rPr>
        <w:t xml:space="preserve">233. Daclatasvir and sofosbuvir treatment of decompensated liver disease or post-liver transplant hepatitis C virus recurrence in patients with advanced liver disease/cirrhosis in a real-world cohort / P. Kwo et al. </w:t>
      </w:r>
      <w:r>
        <w:rPr>
          <w:rFonts w:cs="Times New Roman"/>
          <w:i/>
          <w:szCs w:val="28"/>
          <w:highlight w:val="none"/>
          <w:lang w:val="en-US"/>
        </w:rPr>
        <w:t>Hepatol Commun</w:t>
      </w:r>
      <w:r>
        <w:rPr>
          <w:rFonts w:cs="Times New Roman"/>
          <w:szCs w:val="28"/>
          <w:highlight w:val="none"/>
          <w:lang w:val="en-US"/>
        </w:rPr>
        <w:t xml:space="preserve">. 2018. Vol. 2 (4). P. 354–363. </w:t>
      </w:r>
      <w:r>
        <w:rPr>
          <w:rStyle w:val="53"/>
          <w:rFonts w:cs="Times New Roman"/>
          <w:szCs w:val="28"/>
          <w:highlight w:val="none"/>
          <w:lang w:val="en-US"/>
        </w:rPr>
        <w:t>doi: </w:t>
      </w:r>
      <w:r>
        <w:rPr>
          <w:highlight w:val="none"/>
        </w:rPr>
        <w:fldChar w:fldCharType="begin"/>
      </w:r>
      <w:r>
        <w:rPr>
          <w:highlight w:val="none"/>
        </w:rPr>
        <w:instrText xml:space="preserve"> HYPERLINK "https://doi.org/10.1002/hep4.1156" \t "_blank" </w:instrText>
      </w:r>
      <w:r>
        <w:rPr>
          <w:highlight w:val="none"/>
        </w:rPr>
        <w:fldChar w:fldCharType="separate"/>
      </w:r>
      <w:r>
        <w:rPr>
          <w:rStyle w:val="65"/>
          <w:rFonts w:cs="Times New Roman"/>
          <w:szCs w:val="28"/>
          <w:highlight w:val="none"/>
          <w:lang w:val="en-US"/>
        </w:rPr>
        <w:t>10.1002/hep4.1156</w:t>
      </w:r>
      <w:r>
        <w:rPr>
          <w:rStyle w:val="65"/>
          <w:rFonts w:cs="Times New Roman"/>
          <w:szCs w:val="28"/>
          <w:highlight w:val="none"/>
          <w:lang w:val="en-US"/>
        </w:rPr>
        <w:fldChar w:fldCharType="end"/>
      </w:r>
    </w:p>
    <w:p w14:paraId="45C4DE07">
      <w:pPr>
        <w:widowControl w:val="0"/>
        <w:rPr>
          <w:rFonts w:cs="Times New Roman"/>
          <w:szCs w:val="28"/>
          <w:highlight w:val="none"/>
          <w:lang w:val="en-US"/>
        </w:rPr>
      </w:pPr>
      <w:r>
        <w:rPr>
          <w:rFonts w:cs="Times New Roman"/>
          <w:szCs w:val="28"/>
          <w:highlight w:val="none"/>
          <w:lang w:val="en-US"/>
        </w:rPr>
        <w:t xml:space="preserve">234. Daclatasvir with sofosbuvir and ribavirin for hepatitis C virus infection with advanced cirrhosis or post-liver transplantation recurrence / F. Poordad et al. </w:t>
      </w:r>
      <w:r>
        <w:rPr>
          <w:rFonts w:cs="Times New Roman"/>
          <w:i/>
          <w:szCs w:val="28"/>
          <w:highlight w:val="none"/>
          <w:lang w:val="en-US"/>
        </w:rPr>
        <w:t>Hepatology.</w:t>
      </w:r>
      <w:r>
        <w:rPr>
          <w:rFonts w:cs="Times New Roman"/>
          <w:szCs w:val="28"/>
          <w:highlight w:val="none"/>
          <w:lang w:val="en-US"/>
        </w:rPr>
        <w:t xml:space="preserve"> 2016. Vol. 63 (5). P. 1493–1505. </w:t>
      </w:r>
      <w:r>
        <w:rPr>
          <w:rStyle w:val="53"/>
          <w:rFonts w:cs="Times New Roman"/>
          <w:szCs w:val="28"/>
          <w:highlight w:val="none"/>
          <w:lang w:val="en-US"/>
        </w:rPr>
        <w:t>doi: </w:t>
      </w:r>
      <w:r>
        <w:rPr>
          <w:highlight w:val="none"/>
        </w:rPr>
        <w:fldChar w:fldCharType="begin"/>
      </w:r>
      <w:r>
        <w:rPr>
          <w:highlight w:val="none"/>
        </w:rPr>
        <w:instrText xml:space="preserve"> HYPERLINK "https://doi.org/10.1002/hep.28446" \t "_blank" </w:instrText>
      </w:r>
      <w:r>
        <w:rPr>
          <w:highlight w:val="none"/>
        </w:rPr>
        <w:fldChar w:fldCharType="separate"/>
      </w:r>
      <w:r>
        <w:rPr>
          <w:rStyle w:val="65"/>
          <w:rFonts w:cs="Times New Roman"/>
          <w:szCs w:val="28"/>
          <w:highlight w:val="none"/>
          <w:lang w:val="en-US"/>
        </w:rPr>
        <w:t>10.1002/hep.28446</w:t>
      </w:r>
      <w:r>
        <w:rPr>
          <w:rStyle w:val="65"/>
          <w:rFonts w:cs="Times New Roman"/>
          <w:szCs w:val="28"/>
          <w:highlight w:val="none"/>
          <w:lang w:val="en-US"/>
        </w:rPr>
        <w:fldChar w:fldCharType="end"/>
      </w:r>
    </w:p>
    <w:p w14:paraId="285E5E6E">
      <w:pPr>
        <w:widowControl w:val="0"/>
        <w:rPr>
          <w:rFonts w:cs="Times New Roman"/>
          <w:szCs w:val="28"/>
          <w:highlight w:val="none"/>
          <w:lang w:val="en-US"/>
        </w:rPr>
      </w:pPr>
      <w:r>
        <w:rPr>
          <w:rFonts w:cs="Times New Roman"/>
          <w:szCs w:val="28"/>
          <w:highlight w:val="none"/>
          <w:lang w:val="en-US"/>
        </w:rPr>
        <w:t xml:space="preserve">235. Daclatasvir plus sofosbuvir, with or without ribavirin, in real-world patients with HIV-HCV coinfection and advanced liver disease / J. K. Rockstroh et al. </w:t>
      </w:r>
      <w:r>
        <w:rPr>
          <w:rFonts w:cs="Times New Roman"/>
          <w:i/>
          <w:szCs w:val="28"/>
          <w:highlight w:val="none"/>
          <w:lang w:val="en-US"/>
        </w:rPr>
        <w:t>Antivir Ther</w:t>
      </w:r>
      <w:r>
        <w:rPr>
          <w:rFonts w:cs="Times New Roman"/>
          <w:szCs w:val="28"/>
          <w:highlight w:val="none"/>
          <w:lang w:val="en-US"/>
        </w:rPr>
        <w:t xml:space="preserve">. 2017. Vol. 22 (3). P. 225–236. </w:t>
      </w:r>
      <w:r>
        <w:rPr>
          <w:rStyle w:val="53"/>
          <w:rFonts w:cs="Times New Roman"/>
          <w:szCs w:val="28"/>
          <w:highlight w:val="none"/>
          <w:lang w:val="en-US"/>
        </w:rPr>
        <w:t>doi: </w:t>
      </w:r>
      <w:r>
        <w:rPr>
          <w:highlight w:val="none"/>
        </w:rPr>
        <w:fldChar w:fldCharType="begin"/>
      </w:r>
      <w:r>
        <w:rPr>
          <w:highlight w:val="none"/>
        </w:rPr>
        <w:instrText xml:space="preserve"> HYPERLINK "https://doi.org/10.3851/imp3108" \t "_blank" </w:instrText>
      </w:r>
      <w:r>
        <w:rPr>
          <w:highlight w:val="none"/>
        </w:rPr>
        <w:fldChar w:fldCharType="separate"/>
      </w:r>
      <w:r>
        <w:rPr>
          <w:rStyle w:val="11"/>
          <w:rFonts w:cs="Times New Roman"/>
          <w:color w:val="auto"/>
          <w:szCs w:val="28"/>
          <w:highlight w:val="none"/>
          <w:u w:val="none"/>
          <w:lang w:val="en-US"/>
        </w:rPr>
        <w:t>10.3851/IMP3108</w:t>
      </w:r>
      <w:r>
        <w:rPr>
          <w:rStyle w:val="11"/>
          <w:rFonts w:cs="Times New Roman"/>
          <w:color w:val="auto"/>
          <w:szCs w:val="28"/>
          <w:highlight w:val="none"/>
          <w:u w:val="none"/>
          <w:lang w:val="en-US"/>
        </w:rPr>
        <w:fldChar w:fldCharType="end"/>
      </w:r>
    </w:p>
    <w:p w14:paraId="473CB572">
      <w:pPr>
        <w:widowControl w:val="0"/>
        <w:rPr>
          <w:rFonts w:cs="Times New Roman"/>
          <w:szCs w:val="28"/>
          <w:highlight w:val="none"/>
          <w:lang w:val="en-US"/>
        </w:rPr>
      </w:pPr>
      <w:r>
        <w:rPr>
          <w:rFonts w:cs="Times New Roman"/>
          <w:szCs w:val="28"/>
          <w:highlight w:val="none"/>
          <w:lang w:val="en-US"/>
        </w:rPr>
        <w:t xml:space="preserve">236. Sofosbuvir plus daclatasvir with or without ribavirin for treatment of chronic HCV genotype 4 patients: real-life experience / G. Shiha et al. </w:t>
      </w:r>
      <w:r>
        <w:rPr>
          <w:rFonts w:cs="Times New Roman"/>
          <w:i/>
          <w:szCs w:val="28"/>
          <w:highlight w:val="none"/>
          <w:lang w:val="en-US"/>
        </w:rPr>
        <w:t>Hepatol Int</w:t>
      </w:r>
      <w:r>
        <w:rPr>
          <w:rFonts w:cs="Times New Roman"/>
          <w:szCs w:val="28"/>
          <w:highlight w:val="none"/>
          <w:lang w:val="en-US"/>
        </w:rPr>
        <w:t xml:space="preserve">. 2018. Vol. 12 (4). P. 339–347. </w:t>
      </w:r>
      <w:r>
        <w:rPr>
          <w:rFonts w:cs="Times New Roman"/>
          <w:szCs w:val="28"/>
          <w:highlight w:val="none"/>
          <w:shd w:val="clear" w:color="auto" w:fill="FFFFFF"/>
          <w:lang w:val="en-US"/>
        </w:rPr>
        <w:t>doi: 10.1007/s12072-018-9861-2</w:t>
      </w:r>
    </w:p>
    <w:p w14:paraId="36C1900C">
      <w:pPr>
        <w:widowControl w:val="0"/>
        <w:rPr>
          <w:rFonts w:cs="Times New Roman"/>
          <w:szCs w:val="28"/>
          <w:highlight w:val="none"/>
          <w:lang w:val="en-US"/>
        </w:rPr>
      </w:pPr>
      <w:r>
        <w:rPr>
          <w:rFonts w:cs="Times New Roman"/>
          <w:szCs w:val="28"/>
          <w:highlight w:val="none"/>
          <w:lang w:val="en-US"/>
        </w:rPr>
        <w:t xml:space="preserve">237. Real world effectiveness of 8 and 12 weeks of ledipasvir/sofosbuvir (LDV/SOF) in Blacks with HCV: a comparative analysis of clinical trials with real world cohorts / E. Wilson et al. </w:t>
      </w:r>
      <w:r>
        <w:rPr>
          <w:rFonts w:cs="Times New Roman"/>
          <w:i/>
          <w:szCs w:val="28"/>
          <w:highlight w:val="none"/>
          <w:lang w:val="en-US"/>
        </w:rPr>
        <w:t>AASLD: The Liver Meeting</w:t>
      </w:r>
      <w:r>
        <w:rPr>
          <w:rFonts w:cs="Times New Roman"/>
          <w:szCs w:val="28"/>
          <w:highlight w:val="none"/>
          <w:lang w:val="en-US"/>
        </w:rPr>
        <w:t>; 20–24 Oct 2017; Washington, DC.</w:t>
      </w:r>
    </w:p>
    <w:p w14:paraId="07C6BAA4">
      <w:pPr>
        <w:widowControl w:val="0"/>
        <w:rPr>
          <w:rFonts w:cs="Times New Roman"/>
          <w:szCs w:val="28"/>
          <w:highlight w:val="none"/>
          <w:lang w:val="en-US"/>
        </w:rPr>
      </w:pPr>
      <w:r>
        <w:rPr>
          <w:rFonts w:cs="Times New Roman"/>
          <w:szCs w:val="28"/>
          <w:highlight w:val="none"/>
          <w:lang w:val="en-US"/>
        </w:rPr>
        <w:t xml:space="preserve">238. Real-world effectiveness of 8-week treatment with ledipasvir/sofosbuvir in chronic hepatitis C / P. Buggisch et al. </w:t>
      </w:r>
      <w:r>
        <w:rPr>
          <w:rFonts w:cs="Times New Roman"/>
          <w:i/>
          <w:szCs w:val="28"/>
          <w:highlight w:val="none"/>
          <w:lang w:val="en-US"/>
        </w:rPr>
        <w:t>J. Hepatol</w:t>
      </w:r>
      <w:r>
        <w:rPr>
          <w:rFonts w:cs="Times New Roman"/>
          <w:szCs w:val="28"/>
          <w:highlight w:val="none"/>
          <w:lang w:val="en-US"/>
        </w:rPr>
        <w:t xml:space="preserve">. 2018. Vol. 68 (4). P. 663–671. </w:t>
      </w:r>
      <w:r>
        <w:rPr>
          <w:rStyle w:val="53"/>
          <w:rFonts w:cs="Times New Roman"/>
          <w:szCs w:val="28"/>
          <w:highlight w:val="none"/>
          <w:lang w:val="en-US"/>
        </w:rPr>
        <w:t>doi: </w:t>
      </w:r>
      <w:r>
        <w:rPr>
          <w:highlight w:val="none"/>
        </w:rPr>
        <w:fldChar w:fldCharType="begin"/>
      </w:r>
      <w:r>
        <w:rPr>
          <w:highlight w:val="none"/>
        </w:rPr>
        <w:instrText xml:space="preserve"> HYPERLINK "https://doi.org/10.1016/j.jhep.2017.11.009" \t "_blank" </w:instrText>
      </w:r>
      <w:r>
        <w:rPr>
          <w:highlight w:val="none"/>
        </w:rPr>
        <w:fldChar w:fldCharType="separate"/>
      </w:r>
      <w:r>
        <w:rPr>
          <w:rStyle w:val="65"/>
          <w:rFonts w:cs="Times New Roman"/>
          <w:szCs w:val="28"/>
          <w:highlight w:val="none"/>
          <w:lang w:val="en-US"/>
        </w:rPr>
        <w:t>10.1016/j.jhep.2017.11.009</w:t>
      </w:r>
      <w:r>
        <w:rPr>
          <w:rStyle w:val="65"/>
          <w:rFonts w:cs="Times New Roman"/>
          <w:szCs w:val="28"/>
          <w:highlight w:val="none"/>
          <w:lang w:val="en-US"/>
        </w:rPr>
        <w:fldChar w:fldCharType="end"/>
      </w:r>
    </w:p>
    <w:p w14:paraId="63398B75">
      <w:pPr>
        <w:widowControl w:val="0"/>
        <w:rPr>
          <w:rFonts w:cs="Times New Roman"/>
          <w:szCs w:val="28"/>
          <w:highlight w:val="none"/>
          <w:lang w:val="en-US"/>
        </w:rPr>
      </w:pPr>
      <w:r>
        <w:rPr>
          <w:rFonts w:cs="Times New Roman"/>
          <w:szCs w:val="28"/>
          <w:highlight w:val="none"/>
          <w:lang w:val="en-US"/>
        </w:rPr>
        <w:t xml:space="preserve">239. 8 weeks of sofosbuvir/ledipasvir is effective in DAA-naive non-cirrhotic HCV genotype 4 infected patients (HEPNED-001 study) / A. Boerekamps et al. </w:t>
      </w:r>
      <w:r>
        <w:rPr>
          <w:rFonts w:cs="Times New Roman"/>
          <w:i/>
          <w:szCs w:val="28"/>
          <w:highlight w:val="none"/>
          <w:lang w:val="en-US"/>
        </w:rPr>
        <w:t>J. Hepatol</w:t>
      </w:r>
      <w:r>
        <w:rPr>
          <w:rFonts w:cs="Times New Roman"/>
          <w:szCs w:val="28"/>
          <w:highlight w:val="none"/>
          <w:lang w:val="en-US"/>
        </w:rPr>
        <w:t xml:space="preserve">. 2019. Vol. 70 (3). P. 554–557. </w:t>
      </w:r>
      <w:r>
        <w:rPr>
          <w:rStyle w:val="53"/>
          <w:rFonts w:cs="Times New Roman"/>
          <w:szCs w:val="28"/>
          <w:highlight w:val="none"/>
          <w:lang w:val="en-US"/>
        </w:rPr>
        <w:t>doi: </w:t>
      </w:r>
      <w:r>
        <w:rPr>
          <w:highlight w:val="none"/>
        </w:rPr>
        <w:fldChar w:fldCharType="begin"/>
      </w:r>
      <w:r>
        <w:rPr>
          <w:highlight w:val="none"/>
        </w:rPr>
        <w:instrText xml:space="preserve"> HYPERLINK "https://doi.org/10.1016/j.jhep.2018.10.032" \t "_blank" </w:instrText>
      </w:r>
      <w:r>
        <w:rPr>
          <w:highlight w:val="none"/>
        </w:rPr>
        <w:fldChar w:fldCharType="separate"/>
      </w:r>
      <w:r>
        <w:rPr>
          <w:rStyle w:val="65"/>
          <w:rFonts w:cs="Times New Roman"/>
          <w:szCs w:val="28"/>
          <w:highlight w:val="none"/>
          <w:lang w:val="en-US"/>
        </w:rPr>
        <w:t>10.1016/j.jhep.2018.10.032</w:t>
      </w:r>
      <w:r>
        <w:rPr>
          <w:rStyle w:val="65"/>
          <w:rFonts w:cs="Times New Roman"/>
          <w:szCs w:val="28"/>
          <w:highlight w:val="none"/>
          <w:lang w:val="en-US"/>
        </w:rPr>
        <w:fldChar w:fldCharType="end"/>
      </w:r>
    </w:p>
    <w:p w14:paraId="349DF34F">
      <w:pPr>
        <w:widowControl w:val="0"/>
        <w:rPr>
          <w:rFonts w:cs="Times New Roman"/>
          <w:szCs w:val="28"/>
          <w:highlight w:val="none"/>
          <w:lang w:val="en-US"/>
        </w:rPr>
      </w:pPr>
      <w:r>
        <w:rPr>
          <w:rFonts w:cs="Times New Roman"/>
          <w:szCs w:val="28"/>
          <w:highlight w:val="none"/>
          <w:lang w:val="en-US"/>
        </w:rPr>
        <w:t xml:space="preserve">240. Ledipasvir plus sofosbuvir for 12 weeks in patients with hepatitis C genotype 4 infection / A. Abergel et al. </w:t>
      </w:r>
      <w:r>
        <w:rPr>
          <w:rFonts w:cs="Times New Roman"/>
          <w:i/>
          <w:szCs w:val="28"/>
          <w:highlight w:val="none"/>
          <w:lang w:val="en-US"/>
        </w:rPr>
        <w:t>Hepatology</w:t>
      </w:r>
      <w:r>
        <w:rPr>
          <w:rFonts w:cs="Times New Roman"/>
          <w:szCs w:val="28"/>
          <w:highlight w:val="none"/>
          <w:lang w:val="en-US"/>
        </w:rPr>
        <w:t xml:space="preserve">. 2016. Vol. 64 (4). P. 1049–1056. </w:t>
      </w:r>
      <w:r>
        <w:rPr>
          <w:rStyle w:val="53"/>
          <w:rFonts w:cs="Times New Roman"/>
          <w:szCs w:val="28"/>
          <w:highlight w:val="none"/>
          <w:lang w:val="en-US"/>
        </w:rPr>
        <w:t>doi: </w:t>
      </w:r>
      <w:r>
        <w:rPr>
          <w:highlight w:val="none"/>
        </w:rPr>
        <w:fldChar w:fldCharType="begin"/>
      </w:r>
      <w:r>
        <w:rPr>
          <w:highlight w:val="none"/>
        </w:rPr>
        <w:instrText xml:space="preserve"> HYPERLINK "https://doi.org/10.1002/hep.28706" \t "_blank" </w:instrText>
      </w:r>
      <w:r>
        <w:rPr>
          <w:highlight w:val="none"/>
        </w:rPr>
        <w:fldChar w:fldCharType="separate"/>
      </w:r>
      <w:r>
        <w:rPr>
          <w:rStyle w:val="65"/>
          <w:rFonts w:cs="Times New Roman"/>
          <w:szCs w:val="28"/>
          <w:highlight w:val="none"/>
          <w:lang w:val="en-US"/>
        </w:rPr>
        <w:t>10.1002/hep.28706</w:t>
      </w:r>
      <w:r>
        <w:rPr>
          <w:rStyle w:val="65"/>
          <w:rFonts w:cs="Times New Roman"/>
          <w:szCs w:val="28"/>
          <w:highlight w:val="none"/>
          <w:lang w:val="en-US"/>
        </w:rPr>
        <w:fldChar w:fldCharType="end"/>
      </w:r>
    </w:p>
    <w:p w14:paraId="3ADF426D">
      <w:pPr>
        <w:widowControl w:val="0"/>
        <w:rPr>
          <w:rFonts w:cs="Times New Roman"/>
          <w:szCs w:val="28"/>
          <w:highlight w:val="none"/>
          <w:lang w:val="en-US"/>
        </w:rPr>
      </w:pPr>
      <w:r>
        <w:rPr>
          <w:rFonts w:cs="Times New Roman"/>
          <w:szCs w:val="28"/>
          <w:highlight w:val="none"/>
          <w:lang w:val="en-US"/>
        </w:rPr>
        <w:t xml:space="preserve">241. Ledipasvir-sofosbuvir in patients with hepatitis C virus genotype 5 infection: an open-label, multicentre, single-arm, phase 2 study / A. Abergel et al. </w:t>
      </w:r>
      <w:r>
        <w:rPr>
          <w:rFonts w:cs="Times New Roman"/>
          <w:i/>
          <w:szCs w:val="28"/>
          <w:highlight w:val="none"/>
          <w:lang w:val="en-US"/>
        </w:rPr>
        <w:t>Lancet Infect Dis.</w:t>
      </w:r>
      <w:r>
        <w:rPr>
          <w:rFonts w:cs="Times New Roman"/>
          <w:szCs w:val="28"/>
          <w:highlight w:val="none"/>
          <w:lang w:val="en-US"/>
        </w:rPr>
        <w:t xml:space="preserve"> 2016. Vol. 16 (4). P. 459–464. </w:t>
      </w:r>
      <w:r>
        <w:rPr>
          <w:rStyle w:val="53"/>
          <w:rFonts w:cs="Times New Roman"/>
          <w:szCs w:val="28"/>
          <w:highlight w:val="none"/>
          <w:lang w:val="en-US"/>
        </w:rPr>
        <w:t>doi: </w:t>
      </w:r>
      <w:r>
        <w:rPr>
          <w:highlight w:val="none"/>
        </w:rPr>
        <w:fldChar w:fldCharType="begin"/>
      </w:r>
      <w:r>
        <w:rPr>
          <w:highlight w:val="none"/>
        </w:rPr>
        <w:instrText xml:space="preserve"> HYPERLINK "https://doi.org/10.1016/s1473-3099(15)00529-0" \t "_blank" </w:instrText>
      </w:r>
      <w:r>
        <w:rPr>
          <w:highlight w:val="none"/>
        </w:rPr>
        <w:fldChar w:fldCharType="separate"/>
      </w:r>
      <w:r>
        <w:rPr>
          <w:rStyle w:val="65"/>
          <w:rFonts w:cs="Times New Roman"/>
          <w:szCs w:val="28"/>
          <w:highlight w:val="none"/>
          <w:lang w:val="en-US"/>
        </w:rPr>
        <w:t>10.1016/S1473-3099(15)00529-0</w:t>
      </w:r>
      <w:r>
        <w:rPr>
          <w:rStyle w:val="65"/>
          <w:rFonts w:cs="Times New Roman"/>
          <w:szCs w:val="28"/>
          <w:highlight w:val="none"/>
          <w:lang w:val="en-US"/>
        </w:rPr>
        <w:fldChar w:fldCharType="end"/>
      </w:r>
    </w:p>
    <w:p w14:paraId="2FEFC4BF">
      <w:pPr>
        <w:widowControl w:val="0"/>
        <w:rPr>
          <w:rFonts w:cs="Times New Roman"/>
          <w:szCs w:val="28"/>
          <w:highlight w:val="none"/>
          <w:lang w:val="en-US"/>
        </w:rPr>
      </w:pPr>
      <w:r>
        <w:rPr>
          <w:rFonts w:cs="Times New Roman"/>
          <w:szCs w:val="28"/>
          <w:highlight w:val="none"/>
          <w:lang w:val="en-US"/>
        </w:rPr>
        <w:t xml:space="preserve">242. Treatment with sofosbuvir and ledipasvir without ribavirin for 12 weeks is highly effective for recurrent hepatitis C virus genotype 1b infection after living donor liver transplantation: a Japanese multicenter experience / Y. Ueda et al. </w:t>
      </w:r>
      <w:r>
        <w:rPr>
          <w:rFonts w:cs="Times New Roman"/>
          <w:i/>
          <w:szCs w:val="28"/>
          <w:highlight w:val="none"/>
          <w:lang w:val="en-US"/>
        </w:rPr>
        <w:t>J. Gastroenterol</w:t>
      </w:r>
      <w:r>
        <w:rPr>
          <w:rFonts w:cs="Times New Roman"/>
          <w:szCs w:val="28"/>
          <w:highlight w:val="none"/>
          <w:lang w:val="en-US"/>
        </w:rPr>
        <w:t xml:space="preserve">. 2017. Vol. 52 (8). P. 986–991. </w:t>
      </w:r>
      <w:r>
        <w:rPr>
          <w:rStyle w:val="53"/>
          <w:rFonts w:cs="Times New Roman"/>
          <w:szCs w:val="28"/>
          <w:highlight w:val="none"/>
          <w:lang w:val="en-US"/>
        </w:rPr>
        <w:t>doi: </w:t>
      </w:r>
      <w:r>
        <w:rPr>
          <w:highlight w:val="none"/>
        </w:rPr>
        <w:fldChar w:fldCharType="begin"/>
      </w:r>
      <w:r>
        <w:rPr>
          <w:highlight w:val="none"/>
        </w:rPr>
        <w:instrText xml:space="preserve"> HYPERLINK "https://doi.org/10.1007/s00535-017-1310-9" \t "_blank" </w:instrText>
      </w:r>
      <w:r>
        <w:rPr>
          <w:highlight w:val="none"/>
        </w:rPr>
        <w:fldChar w:fldCharType="separate"/>
      </w:r>
      <w:r>
        <w:rPr>
          <w:rStyle w:val="65"/>
          <w:rFonts w:cs="Times New Roman"/>
          <w:szCs w:val="28"/>
          <w:highlight w:val="none"/>
          <w:lang w:val="en-US"/>
        </w:rPr>
        <w:t>10.1007/s00535-017-1310-9</w:t>
      </w:r>
      <w:r>
        <w:rPr>
          <w:rStyle w:val="65"/>
          <w:rFonts w:cs="Times New Roman"/>
          <w:szCs w:val="28"/>
          <w:highlight w:val="none"/>
          <w:lang w:val="en-US"/>
        </w:rPr>
        <w:fldChar w:fldCharType="end"/>
      </w:r>
    </w:p>
    <w:p w14:paraId="0C2AF621">
      <w:pPr>
        <w:widowControl w:val="0"/>
        <w:rPr>
          <w:rFonts w:cs="Times New Roman"/>
          <w:szCs w:val="28"/>
          <w:highlight w:val="none"/>
          <w:lang w:val="en-US"/>
        </w:rPr>
      </w:pPr>
      <w:r>
        <w:rPr>
          <w:rFonts w:cs="Times New Roman"/>
          <w:szCs w:val="28"/>
          <w:highlight w:val="none"/>
          <w:lang w:val="en-US"/>
        </w:rPr>
        <w:t xml:space="preserve">243. Efficacy of ledipasvir and sofosbuvir treatment of HCV infection in patients coinfected with HBV / C. J. Liu et al. </w:t>
      </w:r>
      <w:r>
        <w:rPr>
          <w:rFonts w:cs="Times New Roman"/>
          <w:i/>
          <w:szCs w:val="28"/>
          <w:highlight w:val="none"/>
          <w:lang w:val="en-US"/>
        </w:rPr>
        <w:t>Gastroenterology</w:t>
      </w:r>
      <w:r>
        <w:rPr>
          <w:rFonts w:cs="Times New Roman"/>
          <w:szCs w:val="28"/>
          <w:highlight w:val="none"/>
          <w:lang w:val="en-US"/>
        </w:rPr>
        <w:t xml:space="preserve">. 2018. Vol. 154 (4). P. 989–997. </w:t>
      </w:r>
      <w:r>
        <w:rPr>
          <w:rStyle w:val="53"/>
          <w:rFonts w:cs="Times New Roman"/>
          <w:szCs w:val="28"/>
          <w:highlight w:val="none"/>
          <w:lang w:val="en-US"/>
        </w:rPr>
        <w:t>doi: </w:t>
      </w:r>
      <w:r>
        <w:rPr>
          <w:rFonts w:cs="Times New Roman"/>
          <w:szCs w:val="28"/>
          <w:highlight w:val="none"/>
          <w:shd w:val="clear" w:color="auto" w:fill="FFFFFF"/>
          <w:lang w:val="en-US"/>
        </w:rPr>
        <w:t>10.1053/j.gastro.2017.11.011.</w:t>
      </w:r>
    </w:p>
    <w:p w14:paraId="5160546F">
      <w:pPr>
        <w:widowControl w:val="0"/>
        <w:rPr>
          <w:rFonts w:cs="Times New Roman"/>
          <w:szCs w:val="28"/>
          <w:highlight w:val="none"/>
          <w:lang w:val="en-US"/>
        </w:rPr>
      </w:pPr>
      <w:r>
        <w:rPr>
          <w:rFonts w:cs="Times New Roman"/>
          <w:szCs w:val="28"/>
          <w:highlight w:val="none"/>
          <w:lang w:val="en-US"/>
        </w:rPr>
        <w:t xml:space="preserve">244. A phase IIIb study of ledipasvir/sofosbuvir fixed-dose combination tablet in treatment-naive and treatment-experienced Korean patients chronically infected with genotype 1 hepatitis C virus / Y. S. Lim et al. </w:t>
      </w:r>
      <w:r>
        <w:rPr>
          <w:rFonts w:cs="Times New Roman"/>
          <w:i/>
          <w:szCs w:val="28"/>
          <w:highlight w:val="none"/>
          <w:lang w:val="en-US"/>
        </w:rPr>
        <w:t>Hepatol Int</w:t>
      </w:r>
      <w:r>
        <w:rPr>
          <w:rFonts w:cs="Times New Roman"/>
          <w:szCs w:val="28"/>
          <w:highlight w:val="none"/>
          <w:lang w:val="en-US"/>
        </w:rPr>
        <w:t xml:space="preserve">. 2016. Vol. 10 (6). P. 947–955. </w:t>
      </w:r>
      <w:r>
        <w:rPr>
          <w:rStyle w:val="53"/>
          <w:rFonts w:cs="Times New Roman"/>
          <w:szCs w:val="28"/>
          <w:highlight w:val="none"/>
          <w:lang w:val="en-US"/>
        </w:rPr>
        <w:t>doi: </w:t>
      </w:r>
      <w:r>
        <w:rPr>
          <w:highlight w:val="none"/>
        </w:rPr>
        <w:fldChar w:fldCharType="begin"/>
      </w:r>
      <w:r>
        <w:rPr>
          <w:highlight w:val="none"/>
        </w:rPr>
        <w:instrText xml:space="preserve"> HYPERLINK "https://doi.org/10.1007/s12072-016-9726-5" \t "_blank" </w:instrText>
      </w:r>
      <w:r>
        <w:rPr>
          <w:highlight w:val="none"/>
        </w:rPr>
        <w:fldChar w:fldCharType="separate"/>
      </w:r>
      <w:r>
        <w:rPr>
          <w:rStyle w:val="11"/>
          <w:rFonts w:cs="Times New Roman"/>
          <w:color w:val="auto"/>
          <w:szCs w:val="28"/>
          <w:highlight w:val="none"/>
          <w:u w:val="none"/>
          <w:lang w:val="en-US"/>
        </w:rPr>
        <w:t>10.1007/s12072-016-9726-5</w:t>
      </w:r>
      <w:r>
        <w:rPr>
          <w:rStyle w:val="11"/>
          <w:rFonts w:cs="Times New Roman"/>
          <w:color w:val="auto"/>
          <w:szCs w:val="28"/>
          <w:highlight w:val="none"/>
          <w:u w:val="none"/>
          <w:lang w:val="en-US"/>
        </w:rPr>
        <w:fldChar w:fldCharType="end"/>
      </w:r>
    </w:p>
    <w:p w14:paraId="4B0EE393">
      <w:pPr>
        <w:widowControl w:val="0"/>
        <w:rPr>
          <w:rFonts w:cs="Times New Roman"/>
          <w:szCs w:val="28"/>
          <w:highlight w:val="none"/>
          <w:lang w:val="en-US"/>
        </w:rPr>
      </w:pPr>
      <w:r>
        <w:rPr>
          <w:rFonts w:cs="Times New Roman"/>
          <w:szCs w:val="28"/>
          <w:highlight w:val="none"/>
          <w:lang w:val="en-US"/>
        </w:rPr>
        <w:t xml:space="preserve">245. Antiviral activity, safety, and tolerability of multiple ascending doses of elbasvir or grazoprevir in participants infected with hepatitis C virus genotype-1 or -3 / W. W. Yeh et al. </w:t>
      </w:r>
      <w:r>
        <w:rPr>
          <w:rFonts w:cs="Times New Roman"/>
          <w:i/>
          <w:szCs w:val="28"/>
          <w:highlight w:val="none"/>
          <w:lang w:val="en-US"/>
        </w:rPr>
        <w:t>Clin Ther</w:t>
      </w:r>
      <w:r>
        <w:rPr>
          <w:rFonts w:cs="Times New Roman"/>
          <w:szCs w:val="28"/>
          <w:highlight w:val="none"/>
          <w:lang w:val="en-US"/>
        </w:rPr>
        <w:t xml:space="preserve">. 2018. Vol. 40 (5). P. 704–718.e6. </w:t>
      </w:r>
      <w:r>
        <w:rPr>
          <w:rStyle w:val="53"/>
          <w:rFonts w:cs="Times New Roman"/>
          <w:szCs w:val="28"/>
          <w:highlight w:val="none"/>
          <w:lang w:val="en-US"/>
        </w:rPr>
        <w:t>doi: </w:t>
      </w:r>
      <w:r>
        <w:rPr>
          <w:highlight w:val="none"/>
        </w:rPr>
        <w:fldChar w:fldCharType="begin"/>
      </w:r>
      <w:r>
        <w:rPr>
          <w:highlight w:val="none"/>
        </w:rPr>
        <w:instrText xml:space="preserve"> HYPERLINK "https://doi.org/10.1016/j.clinthera.2018.03.002" \t "_blank" </w:instrText>
      </w:r>
      <w:r>
        <w:rPr>
          <w:highlight w:val="none"/>
        </w:rPr>
        <w:fldChar w:fldCharType="separate"/>
      </w:r>
      <w:r>
        <w:rPr>
          <w:rStyle w:val="65"/>
          <w:rFonts w:cs="Times New Roman"/>
          <w:szCs w:val="28"/>
          <w:highlight w:val="none"/>
          <w:lang w:val="en-US"/>
        </w:rPr>
        <w:t>10.1016/j.clinthera.2018.03.002</w:t>
      </w:r>
      <w:r>
        <w:rPr>
          <w:rStyle w:val="65"/>
          <w:rFonts w:cs="Times New Roman"/>
          <w:szCs w:val="28"/>
          <w:highlight w:val="none"/>
          <w:lang w:val="en-US"/>
        </w:rPr>
        <w:fldChar w:fldCharType="end"/>
      </w:r>
    </w:p>
    <w:p w14:paraId="17C7D946">
      <w:pPr>
        <w:widowControl w:val="0"/>
        <w:rPr>
          <w:rFonts w:cs="Times New Roman"/>
          <w:szCs w:val="28"/>
          <w:highlight w:val="none"/>
          <w:lang w:val="en-US"/>
        </w:rPr>
      </w:pPr>
      <w:r>
        <w:rPr>
          <w:rFonts w:cs="Times New Roman"/>
          <w:szCs w:val="28"/>
          <w:highlight w:val="none"/>
          <w:lang w:val="en-US"/>
        </w:rPr>
        <w:t>246.</w:t>
      </w:r>
      <w:r>
        <w:rPr>
          <w:rStyle w:val="65"/>
          <w:rFonts w:cs="Times New Roman"/>
          <w:szCs w:val="28"/>
          <w:highlight w:val="none"/>
          <w:lang w:val="en-US"/>
        </w:rPr>
        <w:t xml:space="preserve"> </w:t>
      </w:r>
      <w:r>
        <w:rPr>
          <w:rFonts w:cs="Times New Roman"/>
          <w:szCs w:val="28"/>
          <w:highlight w:val="none"/>
          <w:lang w:val="en-US"/>
        </w:rPr>
        <w:t xml:space="preserve">Efficacy and safety of elbasvir/grazoprevir in participants with HCV genotype 1, 4, or 6 infection from the Asia-Pacific region and Russia: final results from the randomized C-CORAL study / L. Wei et al. </w:t>
      </w:r>
      <w:r>
        <w:rPr>
          <w:rFonts w:cs="Times New Roman"/>
          <w:i/>
          <w:szCs w:val="28"/>
          <w:highlight w:val="none"/>
          <w:lang w:val="en-US"/>
        </w:rPr>
        <w:t>J. Gastroenterol Hepatol</w:t>
      </w:r>
      <w:r>
        <w:rPr>
          <w:rFonts w:cs="Times New Roman"/>
          <w:szCs w:val="28"/>
          <w:highlight w:val="none"/>
          <w:lang w:val="en-US"/>
        </w:rPr>
        <w:t xml:space="preserve">. 2019. Vol. 34 (1). P. 12–21. </w:t>
      </w:r>
      <w:r>
        <w:rPr>
          <w:rStyle w:val="53"/>
          <w:rFonts w:cs="Times New Roman"/>
          <w:szCs w:val="28"/>
          <w:highlight w:val="none"/>
          <w:lang w:val="en-US"/>
        </w:rPr>
        <w:t>doi: </w:t>
      </w:r>
      <w:r>
        <w:rPr>
          <w:highlight w:val="none"/>
        </w:rPr>
        <w:fldChar w:fldCharType="begin"/>
      </w:r>
      <w:r>
        <w:rPr>
          <w:highlight w:val="none"/>
        </w:rPr>
        <w:instrText xml:space="preserve"> HYPERLINK "https://doi.org/10.1111/jgh.14509" \t "_blank" </w:instrText>
      </w:r>
      <w:r>
        <w:rPr>
          <w:highlight w:val="none"/>
        </w:rPr>
        <w:fldChar w:fldCharType="separate"/>
      </w:r>
      <w:r>
        <w:rPr>
          <w:rStyle w:val="65"/>
          <w:rFonts w:cs="Times New Roman"/>
          <w:szCs w:val="28"/>
          <w:highlight w:val="none"/>
          <w:lang w:val="en-US"/>
        </w:rPr>
        <w:t>10.1111/jgh.14509</w:t>
      </w:r>
      <w:r>
        <w:rPr>
          <w:rStyle w:val="65"/>
          <w:rFonts w:cs="Times New Roman"/>
          <w:szCs w:val="28"/>
          <w:highlight w:val="none"/>
          <w:lang w:val="en-US"/>
        </w:rPr>
        <w:fldChar w:fldCharType="end"/>
      </w:r>
    </w:p>
    <w:p w14:paraId="69C586E9">
      <w:pPr>
        <w:widowControl w:val="0"/>
        <w:rPr>
          <w:rFonts w:cs="Times New Roman"/>
          <w:szCs w:val="28"/>
          <w:highlight w:val="none"/>
          <w:lang w:val="en-US"/>
        </w:rPr>
      </w:pPr>
      <w:r>
        <w:rPr>
          <w:rFonts w:cs="Times New Roman"/>
          <w:szCs w:val="28"/>
          <w:highlight w:val="none"/>
          <w:lang w:val="en-US"/>
        </w:rPr>
        <w:t xml:space="preserve">247. Safety and efficacy of elbasvir/grazoprevir in patients with hepatitis C virus infection and compensated cirrhosis: an integrated analysis / I. M. Jacobson et al. </w:t>
      </w:r>
      <w:r>
        <w:rPr>
          <w:rFonts w:cs="Times New Roman"/>
          <w:i/>
          <w:szCs w:val="28"/>
          <w:highlight w:val="none"/>
          <w:lang w:val="en-US"/>
        </w:rPr>
        <w:t>Gastroenterology</w:t>
      </w:r>
      <w:r>
        <w:rPr>
          <w:rFonts w:cs="Times New Roman"/>
          <w:szCs w:val="28"/>
          <w:highlight w:val="none"/>
          <w:lang w:val="en-US"/>
        </w:rPr>
        <w:t xml:space="preserve">. 2017. Vol. 152 (6). P. 1372–1382.e2. </w:t>
      </w:r>
      <w:r>
        <w:rPr>
          <w:rStyle w:val="53"/>
          <w:rFonts w:cs="Times New Roman"/>
          <w:szCs w:val="28"/>
          <w:highlight w:val="none"/>
          <w:lang w:val="en-US"/>
        </w:rPr>
        <w:t>doi: </w:t>
      </w:r>
      <w:r>
        <w:rPr>
          <w:highlight w:val="none"/>
        </w:rPr>
        <w:fldChar w:fldCharType="begin"/>
      </w:r>
      <w:r>
        <w:rPr>
          <w:highlight w:val="none"/>
        </w:rPr>
        <w:instrText xml:space="preserve"> HYPERLINK "https://doi.org/10.1053/j.gastro.2017.01.050" \t "_blank" </w:instrText>
      </w:r>
      <w:r>
        <w:rPr>
          <w:highlight w:val="none"/>
        </w:rPr>
        <w:fldChar w:fldCharType="separate"/>
      </w:r>
      <w:r>
        <w:rPr>
          <w:rStyle w:val="65"/>
          <w:rFonts w:cs="Times New Roman"/>
          <w:szCs w:val="28"/>
          <w:highlight w:val="none"/>
          <w:lang w:val="en-US"/>
        </w:rPr>
        <w:t>10.1053/j.gastro.2017.01.050</w:t>
      </w:r>
      <w:r>
        <w:rPr>
          <w:rStyle w:val="65"/>
          <w:rFonts w:cs="Times New Roman"/>
          <w:szCs w:val="28"/>
          <w:highlight w:val="none"/>
          <w:lang w:val="en-US"/>
        </w:rPr>
        <w:fldChar w:fldCharType="end"/>
      </w:r>
    </w:p>
    <w:p w14:paraId="491727D3">
      <w:pPr>
        <w:widowControl w:val="0"/>
        <w:rPr>
          <w:rFonts w:cs="Times New Roman"/>
          <w:szCs w:val="28"/>
          <w:highlight w:val="none"/>
          <w:lang w:val="en-US"/>
        </w:rPr>
      </w:pPr>
      <w:r>
        <w:rPr>
          <w:rFonts w:cs="Times New Roman"/>
          <w:szCs w:val="28"/>
          <w:highlight w:val="none"/>
          <w:lang w:val="en-US"/>
        </w:rPr>
        <w:t xml:space="preserve">248. Efficacy of 12 or 18 weeks of elbasvir plus grazoprevir with ribavirin in treatment-naive, noncirrhotic HCV genotype 3-infected patients / E. Gane et al. </w:t>
      </w:r>
      <w:r>
        <w:rPr>
          <w:rFonts w:cs="Times New Roman"/>
          <w:i/>
          <w:szCs w:val="28"/>
          <w:highlight w:val="none"/>
          <w:lang w:val="en-US"/>
        </w:rPr>
        <w:t>J. Viral Hepat</w:t>
      </w:r>
      <w:r>
        <w:rPr>
          <w:rFonts w:cs="Times New Roman"/>
          <w:szCs w:val="28"/>
          <w:highlight w:val="none"/>
          <w:lang w:val="en-US"/>
        </w:rPr>
        <w:t xml:space="preserve">. 2017. Vol. 24 (10). P. 895–899. </w:t>
      </w:r>
      <w:r>
        <w:rPr>
          <w:rStyle w:val="53"/>
          <w:rFonts w:cs="Times New Roman"/>
          <w:szCs w:val="28"/>
          <w:highlight w:val="none"/>
          <w:lang w:val="en-US"/>
        </w:rPr>
        <w:t>doi: </w:t>
      </w:r>
      <w:r>
        <w:rPr>
          <w:highlight w:val="none"/>
        </w:rPr>
        <w:fldChar w:fldCharType="begin"/>
      </w:r>
      <w:r>
        <w:rPr>
          <w:highlight w:val="none"/>
        </w:rPr>
        <w:instrText xml:space="preserve"> HYPERLINK "https://doi.org/10.1111/jvh.12719" \t "_blank" </w:instrText>
      </w:r>
      <w:r>
        <w:rPr>
          <w:highlight w:val="none"/>
        </w:rPr>
        <w:fldChar w:fldCharType="separate"/>
      </w:r>
      <w:r>
        <w:rPr>
          <w:rStyle w:val="65"/>
          <w:rFonts w:cs="Times New Roman"/>
          <w:szCs w:val="28"/>
          <w:highlight w:val="none"/>
          <w:lang w:val="en-US"/>
        </w:rPr>
        <w:t>10.1111/jvh.12719</w:t>
      </w:r>
      <w:r>
        <w:rPr>
          <w:rStyle w:val="65"/>
          <w:rFonts w:cs="Times New Roman"/>
          <w:szCs w:val="28"/>
          <w:highlight w:val="none"/>
          <w:lang w:val="en-US"/>
        </w:rPr>
        <w:fldChar w:fldCharType="end"/>
      </w:r>
    </w:p>
    <w:p w14:paraId="16C0FFF6">
      <w:pPr>
        <w:widowControl w:val="0"/>
        <w:rPr>
          <w:rFonts w:cs="Times New Roman"/>
          <w:szCs w:val="28"/>
          <w:highlight w:val="none"/>
          <w:lang w:val="en-US"/>
        </w:rPr>
      </w:pPr>
      <w:r>
        <w:rPr>
          <w:rFonts w:cs="Times New Roman"/>
          <w:szCs w:val="28"/>
          <w:highlight w:val="none"/>
          <w:lang w:val="en-US"/>
        </w:rPr>
        <w:t xml:space="preserve">249. Elbasvir/grazoprevir and sofosbuvir for hepatitis C virus genotype 3 infection with compensated cirrhosis: a randomized trial / G. R. Foster et al. </w:t>
      </w:r>
      <w:r>
        <w:rPr>
          <w:rFonts w:cs="Times New Roman"/>
          <w:i/>
          <w:szCs w:val="28"/>
          <w:highlight w:val="none"/>
          <w:lang w:val="en-US"/>
        </w:rPr>
        <w:t>Hepatology.</w:t>
      </w:r>
      <w:r>
        <w:rPr>
          <w:rFonts w:cs="Times New Roman"/>
          <w:szCs w:val="28"/>
          <w:highlight w:val="none"/>
          <w:lang w:val="en-US"/>
        </w:rPr>
        <w:t xml:space="preserve"> 2018. Vol. 67 (6). P. 2113–2126. </w:t>
      </w:r>
      <w:r>
        <w:rPr>
          <w:rStyle w:val="53"/>
          <w:rFonts w:cs="Times New Roman"/>
          <w:szCs w:val="28"/>
          <w:highlight w:val="none"/>
          <w:lang w:val="en-US"/>
        </w:rPr>
        <w:t>doi: </w:t>
      </w:r>
      <w:r>
        <w:rPr>
          <w:highlight w:val="none"/>
        </w:rPr>
        <w:fldChar w:fldCharType="begin"/>
      </w:r>
      <w:r>
        <w:rPr>
          <w:highlight w:val="none"/>
        </w:rPr>
        <w:instrText xml:space="preserve"> HYPERLINK "https://doi.org/10.1002/hep.29852" \t "_blank" </w:instrText>
      </w:r>
      <w:r>
        <w:rPr>
          <w:highlight w:val="none"/>
        </w:rPr>
        <w:fldChar w:fldCharType="separate"/>
      </w:r>
      <w:r>
        <w:rPr>
          <w:rStyle w:val="65"/>
          <w:rFonts w:cs="Times New Roman"/>
          <w:szCs w:val="28"/>
          <w:highlight w:val="none"/>
          <w:lang w:val="en-US"/>
        </w:rPr>
        <w:t>10.1002/hep.29852</w:t>
      </w:r>
      <w:r>
        <w:rPr>
          <w:rStyle w:val="65"/>
          <w:rFonts w:cs="Times New Roman"/>
          <w:szCs w:val="28"/>
          <w:highlight w:val="none"/>
          <w:lang w:val="en-US"/>
        </w:rPr>
        <w:fldChar w:fldCharType="end"/>
      </w:r>
    </w:p>
    <w:p w14:paraId="63B2BA73">
      <w:pPr>
        <w:widowControl w:val="0"/>
        <w:rPr>
          <w:rFonts w:cs="Times New Roman"/>
          <w:szCs w:val="28"/>
          <w:highlight w:val="none"/>
          <w:lang w:val="en-US"/>
        </w:rPr>
      </w:pPr>
      <w:r>
        <w:rPr>
          <w:rFonts w:cs="Times New Roman"/>
          <w:szCs w:val="28"/>
          <w:highlight w:val="none"/>
          <w:lang w:val="en-US"/>
        </w:rPr>
        <w:t xml:space="preserve">250. Retreatment with sofosbuvir plus grazoprevir/elbasvir plus ribavirin of patients with hepatitis C virus genotype 1 or 4 who previously failed an NS5A- or NS3-containing regimen: the ANRS HC34 REVENGE study / V. de Ledinghen et al. </w:t>
      </w:r>
      <w:r>
        <w:rPr>
          <w:rFonts w:cs="Times New Roman"/>
          <w:i/>
          <w:szCs w:val="28"/>
          <w:highlight w:val="none"/>
          <w:lang w:val="en-US"/>
        </w:rPr>
        <w:t>Clin Infect Dis</w:t>
      </w:r>
      <w:r>
        <w:rPr>
          <w:rFonts w:cs="Times New Roman"/>
          <w:szCs w:val="28"/>
          <w:highlight w:val="none"/>
          <w:lang w:val="en-US"/>
        </w:rPr>
        <w:t xml:space="preserve">. 2018. Vol. 66 (7). P. 1013–1018. </w:t>
      </w:r>
      <w:r>
        <w:rPr>
          <w:rStyle w:val="53"/>
          <w:rFonts w:cs="Times New Roman"/>
          <w:szCs w:val="28"/>
          <w:highlight w:val="none"/>
          <w:lang w:val="en-US"/>
        </w:rPr>
        <w:t>doi: </w:t>
      </w:r>
      <w:r>
        <w:rPr>
          <w:highlight w:val="none"/>
        </w:rPr>
        <w:fldChar w:fldCharType="begin"/>
      </w:r>
      <w:r>
        <w:rPr>
          <w:highlight w:val="none"/>
        </w:rPr>
        <w:instrText xml:space="preserve"> HYPERLINK "https://doi.org/10.1093/cid/cix916" \t "_blank" </w:instrText>
      </w:r>
      <w:r>
        <w:rPr>
          <w:highlight w:val="none"/>
        </w:rPr>
        <w:fldChar w:fldCharType="separate"/>
      </w:r>
      <w:r>
        <w:rPr>
          <w:rStyle w:val="11"/>
          <w:rFonts w:cs="Times New Roman"/>
          <w:color w:val="auto"/>
          <w:szCs w:val="28"/>
          <w:highlight w:val="none"/>
          <w:u w:val="none"/>
          <w:lang w:val="en-US"/>
        </w:rPr>
        <w:t>10.1093/cid/cix916</w:t>
      </w:r>
      <w:r>
        <w:rPr>
          <w:rStyle w:val="11"/>
          <w:rFonts w:cs="Times New Roman"/>
          <w:color w:val="auto"/>
          <w:szCs w:val="28"/>
          <w:highlight w:val="none"/>
          <w:u w:val="none"/>
          <w:lang w:val="en-US"/>
        </w:rPr>
        <w:fldChar w:fldCharType="end"/>
      </w:r>
    </w:p>
    <w:p w14:paraId="4C62F58D">
      <w:pPr>
        <w:widowControl w:val="0"/>
        <w:rPr>
          <w:rFonts w:cs="Times New Roman"/>
          <w:szCs w:val="28"/>
          <w:highlight w:val="none"/>
          <w:lang w:val="en-US"/>
        </w:rPr>
      </w:pPr>
      <w:r>
        <w:rPr>
          <w:rFonts w:cs="Times New Roman"/>
          <w:szCs w:val="28"/>
          <w:highlight w:val="none"/>
          <w:lang w:val="en-US"/>
        </w:rPr>
        <w:t xml:space="preserve">251. </w:t>
      </w:r>
      <w:r>
        <w:rPr>
          <w:rStyle w:val="12"/>
          <w:rFonts w:cs="Times New Roman"/>
          <w:b w:val="0"/>
          <w:szCs w:val="28"/>
          <w:highlight w:val="none"/>
          <w:lang w:val="en-US"/>
        </w:rPr>
        <w:t xml:space="preserve">The safety and efficacy of elbasvir and grazoprevir in participants with hepatitis C virus genotype 1b infection / </w:t>
      </w:r>
      <w:r>
        <w:rPr>
          <w:rFonts w:cs="Times New Roman"/>
          <w:szCs w:val="28"/>
          <w:highlight w:val="none"/>
          <w:lang w:val="en-US"/>
        </w:rPr>
        <w:t xml:space="preserve">S. Zeuzem et al. </w:t>
      </w:r>
      <w:r>
        <w:rPr>
          <w:rFonts w:cs="Times New Roman"/>
          <w:i/>
          <w:szCs w:val="28"/>
          <w:highlight w:val="none"/>
          <w:lang w:val="en-US"/>
        </w:rPr>
        <w:t>J. Gastroenterol</w:t>
      </w:r>
      <w:r>
        <w:rPr>
          <w:rFonts w:cs="Times New Roman"/>
          <w:szCs w:val="28"/>
          <w:highlight w:val="none"/>
          <w:lang w:val="en-US"/>
        </w:rPr>
        <w:t>. 2018. Vol. 53. P. 679</w:t>
      </w:r>
      <w:r>
        <w:rPr>
          <w:rFonts w:cs="Times New Roman"/>
          <w:szCs w:val="28"/>
          <w:highlight w:val="none"/>
          <w:shd w:val="clear" w:color="auto" w:fill="FFFFFF"/>
          <w:lang w:val="en-US"/>
        </w:rPr>
        <w:t>–</w:t>
      </w:r>
      <w:r>
        <w:rPr>
          <w:rFonts w:cs="Times New Roman"/>
          <w:szCs w:val="28"/>
          <w:highlight w:val="none"/>
          <w:lang w:val="en-US"/>
        </w:rPr>
        <w:t xml:space="preserve">688. doi: </w:t>
      </w:r>
      <w:r>
        <w:rPr>
          <w:rFonts w:cs="Times New Roman"/>
          <w:szCs w:val="28"/>
          <w:highlight w:val="none"/>
          <w:shd w:val="clear" w:color="auto" w:fill="FCFCFC"/>
          <w:lang w:val="en-US"/>
        </w:rPr>
        <w:t>https://doi.org/10.1007/s00535-018-1429-3</w:t>
      </w:r>
    </w:p>
    <w:p w14:paraId="2906A1F0">
      <w:pPr>
        <w:widowControl w:val="0"/>
        <w:rPr>
          <w:rFonts w:cs="Times New Roman"/>
          <w:szCs w:val="28"/>
          <w:highlight w:val="none"/>
          <w:lang w:val="en-US"/>
        </w:rPr>
      </w:pPr>
      <w:r>
        <w:rPr>
          <w:rFonts w:cs="Times New Roman"/>
          <w:szCs w:val="28"/>
          <w:highlight w:val="none"/>
          <w:lang w:val="en-US"/>
        </w:rPr>
        <w:t>252.</w:t>
      </w:r>
      <w:r>
        <w:rPr>
          <w:rFonts w:cs="Times New Roman"/>
          <w:szCs w:val="28"/>
          <w:highlight w:val="none"/>
          <w:shd w:val="clear" w:color="auto" w:fill="FCFCFC"/>
          <w:lang w:val="en-US"/>
        </w:rPr>
        <w:t xml:space="preserve"> </w:t>
      </w:r>
      <w:r>
        <w:rPr>
          <w:rStyle w:val="12"/>
          <w:rFonts w:cs="Times New Roman"/>
          <w:b w:val="0"/>
          <w:szCs w:val="28"/>
          <w:highlight w:val="none"/>
          <w:lang w:val="en-US"/>
        </w:rPr>
        <w:t xml:space="preserve">Real-world effectiveness of elbasvir/grazoprevir in HCV-infected patients in the US Veterans Affairs Healthcare System / </w:t>
      </w:r>
      <w:r>
        <w:rPr>
          <w:rFonts w:cs="Times New Roman"/>
          <w:szCs w:val="28"/>
          <w:highlight w:val="none"/>
          <w:lang w:val="en-US"/>
        </w:rPr>
        <w:t>J. R. Kramer et al. J</w:t>
      </w:r>
      <w:r>
        <w:rPr>
          <w:rFonts w:cs="Times New Roman"/>
          <w:i/>
          <w:szCs w:val="28"/>
          <w:highlight w:val="none"/>
          <w:lang w:val="en-US"/>
        </w:rPr>
        <w:t>. Viral Hepat</w:t>
      </w:r>
      <w:r>
        <w:rPr>
          <w:rFonts w:cs="Times New Roman"/>
          <w:szCs w:val="28"/>
          <w:highlight w:val="none"/>
          <w:lang w:val="en-US"/>
        </w:rPr>
        <w:t>. 2018. Vol. 25. P. 1270</w:t>
      </w:r>
      <w:r>
        <w:rPr>
          <w:rFonts w:cs="Times New Roman"/>
          <w:szCs w:val="28"/>
          <w:highlight w:val="none"/>
          <w:shd w:val="clear" w:color="auto" w:fill="FFFFFF"/>
          <w:lang w:val="en-US"/>
        </w:rPr>
        <w:t>–</w:t>
      </w:r>
      <w:r>
        <w:rPr>
          <w:rFonts w:cs="Times New Roman"/>
          <w:szCs w:val="28"/>
          <w:highlight w:val="none"/>
          <w:lang w:val="en-US"/>
        </w:rPr>
        <w:t xml:space="preserve">1279. </w:t>
      </w:r>
      <w:r>
        <w:rPr>
          <w:rFonts w:cs="Times New Roman"/>
          <w:bCs/>
          <w:szCs w:val="28"/>
          <w:highlight w:val="none"/>
          <w:lang w:val="en-US"/>
        </w:rPr>
        <w:t>doi: </w:t>
      </w:r>
      <w:r>
        <w:rPr>
          <w:rFonts w:cs="Times New Roman"/>
          <w:szCs w:val="28"/>
          <w:highlight w:val="none"/>
          <w:lang w:val="en-US"/>
        </w:rPr>
        <w:t>10.1111/jvh.12937</w:t>
      </w:r>
    </w:p>
    <w:p w14:paraId="5D912601">
      <w:pPr>
        <w:widowControl w:val="0"/>
        <w:rPr>
          <w:rFonts w:cs="Times New Roman"/>
          <w:szCs w:val="28"/>
          <w:highlight w:val="none"/>
          <w:lang w:val="en-US"/>
        </w:rPr>
      </w:pPr>
      <w:r>
        <w:rPr>
          <w:rFonts w:cs="Times New Roman"/>
          <w:szCs w:val="28"/>
          <w:highlight w:val="none"/>
          <w:lang w:val="en-US"/>
        </w:rPr>
        <w:t xml:space="preserve">253. </w:t>
      </w:r>
      <w:r>
        <w:rPr>
          <w:rStyle w:val="12"/>
          <w:rFonts w:cs="Times New Roman"/>
          <w:b w:val="0"/>
          <w:szCs w:val="28"/>
          <w:highlight w:val="none"/>
          <w:lang w:val="en-US"/>
        </w:rPr>
        <w:t xml:space="preserve">Real-world use of elbasvir-grazoprevir in patients with chronic hepatitis C: retrospective analyses from the TRIO network / </w:t>
      </w:r>
      <w:r>
        <w:rPr>
          <w:rFonts w:cs="Times New Roman"/>
          <w:szCs w:val="28"/>
          <w:highlight w:val="none"/>
          <w:lang w:val="en-US"/>
        </w:rPr>
        <w:t xml:space="preserve">S. L. Flamm et al. </w:t>
      </w:r>
      <w:r>
        <w:rPr>
          <w:rFonts w:cs="Times New Roman"/>
          <w:i/>
          <w:szCs w:val="28"/>
          <w:highlight w:val="none"/>
          <w:lang w:val="en-US"/>
        </w:rPr>
        <w:t>Aliment Pharmacol Ther</w:t>
      </w:r>
      <w:r>
        <w:rPr>
          <w:rFonts w:cs="Times New Roman"/>
          <w:szCs w:val="28"/>
          <w:highlight w:val="none"/>
          <w:lang w:val="en-US"/>
        </w:rPr>
        <w:t>. 2018. Vol. 47. P. 1511</w:t>
      </w:r>
      <w:r>
        <w:rPr>
          <w:rFonts w:cs="Times New Roman"/>
          <w:szCs w:val="28"/>
          <w:highlight w:val="none"/>
          <w:shd w:val="clear" w:color="auto" w:fill="FFFFFF"/>
          <w:lang w:val="en-US"/>
        </w:rPr>
        <w:t>–</w:t>
      </w:r>
      <w:r>
        <w:rPr>
          <w:rFonts w:cs="Times New Roman"/>
          <w:szCs w:val="28"/>
          <w:highlight w:val="none"/>
          <w:lang w:val="en-US"/>
        </w:rPr>
        <w:t xml:space="preserve">1522. </w:t>
      </w:r>
      <w:r>
        <w:rPr>
          <w:rFonts w:cs="Times New Roman"/>
          <w:bCs/>
          <w:szCs w:val="28"/>
          <w:highlight w:val="none"/>
          <w:lang w:val="en-US"/>
        </w:rPr>
        <w:t>doi: </w:t>
      </w:r>
      <w:r>
        <w:rPr>
          <w:rFonts w:cs="Times New Roman"/>
          <w:szCs w:val="28"/>
          <w:highlight w:val="none"/>
          <w:lang w:val="en-US"/>
        </w:rPr>
        <w:t>10.1111/apt.14635</w:t>
      </w:r>
    </w:p>
    <w:p w14:paraId="48F958A5">
      <w:pPr>
        <w:widowControl w:val="0"/>
        <w:rPr>
          <w:rFonts w:cs="Times New Roman"/>
          <w:szCs w:val="28"/>
          <w:highlight w:val="none"/>
          <w:lang w:val="en-US"/>
        </w:rPr>
      </w:pPr>
      <w:r>
        <w:rPr>
          <w:rFonts w:cs="Times New Roman"/>
          <w:szCs w:val="28"/>
          <w:highlight w:val="none"/>
          <w:lang w:val="en-US"/>
        </w:rPr>
        <w:t xml:space="preserve">254. </w:t>
      </w:r>
      <w:r>
        <w:rPr>
          <w:rStyle w:val="12"/>
          <w:rFonts w:cs="Times New Roman"/>
          <w:b w:val="0"/>
          <w:szCs w:val="28"/>
          <w:highlight w:val="none"/>
          <w:lang w:val="en-US"/>
        </w:rPr>
        <w:t xml:space="preserve">Effectiveness and safety of elbasvir/grazoprevir therapy in patients with chronic HCV infection: results from the Spanish HEPA-C real-world cohort / </w:t>
      </w:r>
      <w:r>
        <w:rPr>
          <w:rFonts w:cs="Times New Roman"/>
          <w:szCs w:val="28"/>
          <w:highlight w:val="none"/>
          <w:lang w:val="en-US"/>
        </w:rPr>
        <w:t xml:space="preserve">M. Hernandez-Conde et al. </w:t>
      </w:r>
      <w:r>
        <w:rPr>
          <w:rFonts w:cs="Times New Roman"/>
          <w:i/>
          <w:szCs w:val="28"/>
          <w:highlight w:val="none"/>
          <w:lang w:val="en-US"/>
        </w:rPr>
        <w:t>J. Viral Hepat</w:t>
      </w:r>
      <w:r>
        <w:rPr>
          <w:rFonts w:cs="Times New Roman"/>
          <w:szCs w:val="28"/>
          <w:highlight w:val="none"/>
          <w:lang w:val="en-US"/>
        </w:rPr>
        <w:t>. 2019. Vol. 26. P. 55</w:t>
      </w:r>
      <w:r>
        <w:rPr>
          <w:rFonts w:cs="Times New Roman"/>
          <w:szCs w:val="28"/>
          <w:highlight w:val="none"/>
          <w:shd w:val="clear" w:color="auto" w:fill="FFFFFF"/>
          <w:lang w:val="en-US"/>
        </w:rPr>
        <w:t>–</w:t>
      </w:r>
      <w:r>
        <w:rPr>
          <w:rFonts w:cs="Times New Roman"/>
          <w:szCs w:val="28"/>
          <w:highlight w:val="none"/>
          <w:lang w:val="en-US"/>
        </w:rPr>
        <w:t xml:space="preserve">64. </w:t>
      </w:r>
      <w:r>
        <w:rPr>
          <w:rFonts w:cs="Times New Roman"/>
          <w:bCs/>
          <w:szCs w:val="28"/>
          <w:highlight w:val="none"/>
          <w:lang w:val="en-US"/>
        </w:rPr>
        <w:t>doi: </w:t>
      </w:r>
      <w:r>
        <w:rPr>
          <w:rFonts w:cs="Times New Roman"/>
          <w:szCs w:val="28"/>
          <w:highlight w:val="none"/>
          <w:lang w:val="en-US"/>
        </w:rPr>
        <w:t>10.1111/jvh.13008</w:t>
      </w:r>
    </w:p>
    <w:p w14:paraId="509E0A3B">
      <w:pPr>
        <w:widowControl w:val="0"/>
        <w:rPr>
          <w:rFonts w:cs="Times New Roman"/>
          <w:szCs w:val="28"/>
          <w:highlight w:val="none"/>
          <w:lang w:val="en-US"/>
        </w:rPr>
      </w:pPr>
      <w:r>
        <w:rPr>
          <w:rFonts w:cs="Times New Roman"/>
          <w:szCs w:val="28"/>
          <w:highlight w:val="none"/>
          <w:lang w:val="en-US"/>
        </w:rPr>
        <w:t xml:space="preserve">255. </w:t>
      </w:r>
      <w:r>
        <w:rPr>
          <w:rStyle w:val="12"/>
          <w:rFonts w:cs="Times New Roman"/>
          <w:b w:val="0"/>
          <w:szCs w:val="28"/>
          <w:highlight w:val="none"/>
          <w:lang w:val="en-US"/>
        </w:rPr>
        <w:t xml:space="preserve">Elbasvir/grazoprevir in people with hepatitis C genotype 1 infection and Child-Pugh class B cirrhosis: the C-SALT study / </w:t>
      </w:r>
      <w:r>
        <w:rPr>
          <w:rFonts w:cs="Times New Roman"/>
          <w:szCs w:val="28"/>
          <w:highlight w:val="none"/>
          <w:lang w:val="en-US"/>
        </w:rPr>
        <w:t xml:space="preserve">I. M. Jacobson et al. </w:t>
      </w:r>
      <w:r>
        <w:rPr>
          <w:rFonts w:cs="Times New Roman"/>
          <w:i/>
          <w:szCs w:val="28"/>
          <w:highlight w:val="none"/>
          <w:lang w:val="en-US"/>
        </w:rPr>
        <w:t>Clin Transl Gastroenterol</w:t>
      </w:r>
      <w:r>
        <w:rPr>
          <w:rFonts w:cs="Times New Roman"/>
          <w:szCs w:val="28"/>
          <w:highlight w:val="none"/>
          <w:lang w:val="en-US"/>
        </w:rPr>
        <w:t xml:space="preserve">. 2019. Vol. 10. P. e00007. </w:t>
      </w:r>
      <w:r>
        <w:rPr>
          <w:rFonts w:cs="Times New Roman"/>
          <w:szCs w:val="28"/>
          <w:highlight w:val="none"/>
          <w:shd w:val="clear" w:color="auto" w:fill="FFFFFF"/>
          <w:lang w:val="en-US"/>
        </w:rPr>
        <w:t>doi: 10.14309/ctg.0000000000000007</w:t>
      </w:r>
    </w:p>
    <w:p w14:paraId="41A0C3FE">
      <w:pPr>
        <w:widowControl w:val="0"/>
        <w:rPr>
          <w:rFonts w:cs="Times New Roman"/>
          <w:szCs w:val="28"/>
          <w:highlight w:val="none"/>
          <w:lang w:val="en-US"/>
        </w:rPr>
      </w:pPr>
      <w:r>
        <w:rPr>
          <w:rFonts w:cs="Times New Roman"/>
          <w:szCs w:val="28"/>
          <w:highlight w:val="none"/>
          <w:lang w:val="en-US"/>
        </w:rPr>
        <w:t xml:space="preserve">256. Generic velpatasvir plus sofosbuvir for hepatitis C virus infection in patients with or without human immunodeficiency virus coinfection / C. H. Liu et al. </w:t>
      </w:r>
      <w:r>
        <w:rPr>
          <w:rFonts w:cs="Times New Roman"/>
          <w:i/>
          <w:szCs w:val="28"/>
          <w:highlight w:val="none"/>
          <w:lang w:val="en-US"/>
        </w:rPr>
        <w:t>Aliment Pharmacol Ther</w:t>
      </w:r>
      <w:r>
        <w:rPr>
          <w:rFonts w:cs="Times New Roman"/>
          <w:szCs w:val="28"/>
          <w:highlight w:val="none"/>
          <w:lang w:val="en-US"/>
        </w:rPr>
        <w:t xml:space="preserve">. 2018. Vol. 47 (12). P. 1690–1698. </w:t>
      </w:r>
      <w:r>
        <w:rPr>
          <w:rStyle w:val="53"/>
          <w:rFonts w:cs="Times New Roman"/>
          <w:szCs w:val="28"/>
          <w:highlight w:val="none"/>
          <w:lang w:val="en-US"/>
        </w:rPr>
        <w:t>doi: </w:t>
      </w:r>
      <w:r>
        <w:rPr>
          <w:highlight w:val="none"/>
        </w:rPr>
        <w:fldChar w:fldCharType="begin"/>
      </w:r>
      <w:r>
        <w:rPr>
          <w:highlight w:val="none"/>
        </w:rPr>
        <w:instrText xml:space="preserve"> HYPERLINK "https://doi.org/10.1111/apt.14647" \t "_blank" </w:instrText>
      </w:r>
      <w:r>
        <w:rPr>
          <w:highlight w:val="none"/>
        </w:rPr>
        <w:fldChar w:fldCharType="separate"/>
      </w:r>
      <w:r>
        <w:rPr>
          <w:rStyle w:val="65"/>
          <w:rFonts w:cs="Times New Roman"/>
          <w:szCs w:val="28"/>
          <w:highlight w:val="none"/>
          <w:lang w:val="en-US"/>
        </w:rPr>
        <w:t>10.1111/apt.14647</w:t>
      </w:r>
      <w:r>
        <w:rPr>
          <w:rStyle w:val="65"/>
          <w:rFonts w:cs="Times New Roman"/>
          <w:szCs w:val="28"/>
          <w:highlight w:val="none"/>
          <w:lang w:val="en-US"/>
        </w:rPr>
        <w:fldChar w:fldCharType="end"/>
      </w:r>
    </w:p>
    <w:p w14:paraId="0EC845D6">
      <w:pPr>
        <w:widowControl w:val="0"/>
        <w:rPr>
          <w:rFonts w:cs="Times New Roman"/>
          <w:szCs w:val="28"/>
          <w:highlight w:val="none"/>
          <w:lang w:val="en-US"/>
        </w:rPr>
      </w:pPr>
      <w:r>
        <w:rPr>
          <w:rFonts w:cs="Times New Roman"/>
          <w:szCs w:val="28"/>
          <w:highlight w:val="none"/>
          <w:lang w:val="en-US"/>
        </w:rPr>
        <w:t>257.</w:t>
      </w:r>
      <w:r>
        <w:rPr>
          <w:rStyle w:val="65"/>
          <w:rFonts w:cs="Times New Roman"/>
          <w:szCs w:val="28"/>
          <w:highlight w:val="none"/>
          <w:lang w:val="en-US"/>
        </w:rPr>
        <w:t xml:space="preserve"> </w:t>
      </w:r>
      <w:r>
        <w:rPr>
          <w:rFonts w:cs="Times New Roman"/>
          <w:szCs w:val="28"/>
          <w:highlight w:val="none"/>
          <w:lang w:val="en-US"/>
        </w:rPr>
        <w:t xml:space="preserve">Sofosbuvir-velpatasvir with ribavirin for 24 weeks in hepatitis C virus patients previously treated with a direct-acting antiviral regimen / E. J. Gane et al. </w:t>
      </w:r>
      <w:r>
        <w:rPr>
          <w:rFonts w:cs="Times New Roman"/>
          <w:i/>
          <w:szCs w:val="28"/>
          <w:highlight w:val="none"/>
          <w:lang w:val="en-US"/>
        </w:rPr>
        <w:t>Hepatology</w:t>
      </w:r>
      <w:r>
        <w:rPr>
          <w:rFonts w:cs="Times New Roman"/>
          <w:szCs w:val="28"/>
          <w:highlight w:val="none"/>
          <w:lang w:val="en-US"/>
        </w:rPr>
        <w:t xml:space="preserve">. 2017. Vol. 66 (4). P. 1083–1089. </w:t>
      </w:r>
      <w:r>
        <w:rPr>
          <w:rStyle w:val="53"/>
          <w:rFonts w:cs="Times New Roman"/>
          <w:szCs w:val="28"/>
          <w:highlight w:val="none"/>
          <w:lang w:val="en-US"/>
        </w:rPr>
        <w:t>doi: </w:t>
      </w:r>
      <w:r>
        <w:rPr>
          <w:highlight w:val="none"/>
        </w:rPr>
        <w:fldChar w:fldCharType="begin"/>
      </w:r>
      <w:r>
        <w:rPr>
          <w:highlight w:val="none"/>
        </w:rPr>
        <w:instrText xml:space="preserve"> HYPERLINK "https://doi.org/10.1002/hep.29256" \t "_blank" </w:instrText>
      </w:r>
      <w:r>
        <w:rPr>
          <w:highlight w:val="none"/>
        </w:rPr>
        <w:fldChar w:fldCharType="separate"/>
      </w:r>
      <w:r>
        <w:rPr>
          <w:rStyle w:val="65"/>
          <w:rFonts w:cs="Times New Roman"/>
          <w:szCs w:val="28"/>
          <w:highlight w:val="none"/>
          <w:lang w:val="en-US"/>
        </w:rPr>
        <w:t>10.1002/hep.29256</w:t>
      </w:r>
      <w:r>
        <w:rPr>
          <w:rStyle w:val="65"/>
          <w:rFonts w:cs="Times New Roman"/>
          <w:szCs w:val="28"/>
          <w:highlight w:val="none"/>
          <w:lang w:val="en-US"/>
        </w:rPr>
        <w:fldChar w:fldCharType="end"/>
      </w:r>
    </w:p>
    <w:p w14:paraId="02D721DD">
      <w:pPr>
        <w:widowControl w:val="0"/>
        <w:rPr>
          <w:rFonts w:cs="Times New Roman"/>
          <w:szCs w:val="28"/>
          <w:highlight w:val="none"/>
          <w:lang w:val="en-US"/>
        </w:rPr>
      </w:pPr>
      <w:r>
        <w:rPr>
          <w:rFonts w:cs="Times New Roman"/>
          <w:szCs w:val="28"/>
          <w:highlight w:val="none"/>
          <w:lang w:val="en-US"/>
        </w:rPr>
        <w:t>258.</w:t>
      </w:r>
      <w:r>
        <w:rPr>
          <w:rStyle w:val="65"/>
          <w:rFonts w:cs="Times New Roman"/>
          <w:szCs w:val="28"/>
          <w:highlight w:val="none"/>
          <w:lang w:val="en-US"/>
        </w:rPr>
        <w:t xml:space="preserve"> </w:t>
      </w:r>
      <w:r>
        <w:rPr>
          <w:rFonts w:cs="Times New Roman"/>
          <w:szCs w:val="28"/>
          <w:highlight w:val="none"/>
          <w:lang w:val="en-US"/>
        </w:rPr>
        <w:t xml:space="preserve">Efficacy and safety of sofosbuvir-velpatasvir with or without ribavirin in HCV-infected Japanese patients with decompensated cirrhosis: an open-label phase 3 trial / T. Takehara et al. </w:t>
      </w:r>
      <w:r>
        <w:rPr>
          <w:rFonts w:cs="Times New Roman"/>
          <w:i/>
          <w:szCs w:val="28"/>
          <w:highlight w:val="none"/>
          <w:lang w:val="en-US"/>
        </w:rPr>
        <w:t>J. Gastroenterol.</w:t>
      </w:r>
      <w:r>
        <w:rPr>
          <w:rFonts w:cs="Times New Roman"/>
          <w:szCs w:val="28"/>
          <w:highlight w:val="none"/>
          <w:lang w:val="en-US"/>
        </w:rPr>
        <w:t xml:space="preserve"> 2019. Vol. 54 (1). P. 87–95. </w:t>
      </w:r>
      <w:r>
        <w:rPr>
          <w:rStyle w:val="53"/>
          <w:rFonts w:cs="Times New Roman"/>
          <w:szCs w:val="28"/>
          <w:highlight w:val="none"/>
          <w:lang w:val="en-US"/>
        </w:rPr>
        <w:t>doi: </w:t>
      </w:r>
      <w:r>
        <w:rPr>
          <w:highlight w:val="none"/>
        </w:rPr>
        <w:fldChar w:fldCharType="begin"/>
      </w:r>
      <w:r>
        <w:rPr>
          <w:highlight w:val="none"/>
        </w:rPr>
        <w:instrText xml:space="preserve"> HYPERLINK "https://doi.org/10.1007/s00535-018-1503-x" \t "_blank" </w:instrText>
      </w:r>
      <w:r>
        <w:rPr>
          <w:highlight w:val="none"/>
        </w:rPr>
        <w:fldChar w:fldCharType="separate"/>
      </w:r>
      <w:r>
        <w:rPr>
          <w:rStyle w:val="12"/>
          <w:rFonts w:cs="Times New Roman"/>
          <w:b w:val="0"/>
          <w:szCs w:val="28"/>
          <w:highlight w:val="none"/>
          <w:lang w:val="en-US"/>
        </w:rPr>
        <w:t>10.1007/s00535-018-1503-x</w:t>
      </w:r>
      <w:r>
        <w:rPr>
          <w:rStyle w:val="12"/>
          <w:rFonts w:cs="Times New Roman"/>
          <w:b w:val="0"/>
          <w:szCs w:val="28"/>
          <w:highlight w:val="none"/>
          <w:lang w:val="en-US"/>
        </w:rPr>
        <w:fldChar w:fldCharType="end"/>
      </w:r>
    </w:p>
    <w:p w14:paraId="6ACA762C">
      <w:pPr>
        <w:widowControl w:val="0"/>
        <w:rPr>
          <w:rFonts w:cs="Times New Roman"/>
          <w:szCs w:val="28"/>
          <w:highlight w:val="none"/>
          <w:lang w:val="en-US"/>
        </w:rPr>
      </w:pPr>
      <w:r>
        <w:rPr>
          <w:rFonts w:cs="Times New Roman"/>
          <w:szCs w:val="28"/>
          <w:highlight w:val="none"/>
          <w:lang w:val="en-US"/>
        </w:rPr>
        <w:t>259.</w:t>
      </w:r>
      <w:r>
        <w:rPr>
          <w:rStyle w:val="65"/>
          <w:rFonts w:cs="Times New Roman"/>
          <w:szCs w:val="28"/>
          <w:highlight w:val="none"/>
          <w:lang w:val="en-US"/>
        </w:rPr>
        <w:t xml:space="preserve"> </w:t>
      </w:r>
      <w:r>
        <w:rPr>
          <w:rStyle w:val="12"/>
          <w:rFonts w:cs="Times New Roman"/>
          <w:b w:val="0"/>
          <w:szCs w:val="28"/>
          <w:highlight w:val="none"/>
          <w:lang w:val="en-US"/>
        </w:rPr>
        <w:t xml:space="preserve">Pharmacokinetics and safety of velpatasvir and sofosbuvir/velpatasvir in subjects with hepatic impairment / </w:t>
      </w:r>
      <w:r>
        <w:rPr>
          <w:rFonts w:cs="Times New Roman"/>
          <w:szCs w:val="28"/>
          <w:highlight w:val="none"/>
          <w:lang w:val="en-US"/>
        </w:rPr>
        <w:t xml:space="preserve">E. Mogalian et al. </w:t>
      </w:r>
      <w:r>
        <w:rPr>
          <w:rFonts w:cs="Times New Roman"/>
          <w:i/>
          <w:szCs w:val="28"/>
          <w:highlight w:val="none"/>
          <w:lang w:val="en-US"/>
        </w:rPr>
        <w:t>Clin Pharmacokinet</w:t>
      </w:r>
      <w:r>
        <w:rPr>
          <w:rFonts w:cs="Times New Roman"/>
          <w:szCs w:val="28"/>
          <w:highlight w:val="none"/>
          <w:lang w:val="en-US"/>
        </w:rPr>
        <w:t>. 2018. Vol. 57. P. 1449</w:t>
      </w:r>
      <w:r>
        <w:rPr>
          <w:rFonts w:cs="Times New Roman"/>
          <w:szCs w:val="28"/>
          <w:highlight w:val="none"/>
          <w:shd w:val="clear" w:color="auto" w:fill="FFFFFF"/>
          <w:lang w:val="en-US"/>
        </w:rPr>
        <w:t>–</w:t>
      </w:r>
      <w:r>
        <w:rPr>
          <w:rFonts w:cs="Times New Roman"/>
          <w:szCs w:val="28"/>
          <w:highlight w:val="none"/>
          <w:lang w:val="en-US"/>
        </w:rPr>
        <w:t xml:space="preserve">1457. </w:t>
      </w:r>
      <w:r>
        <w:rPr>
          <w:rFonts w:cs="Times New Roman"/>
          <w:bCs/>
          <w:szCs w:val="28"/>
          <w:highlight w:val="none"/>
          <w:lang w:val="en-US"/>
        </w:rPr>
        <w:t>doi: </w:t>
      </w:r>
      <w:r>
        <w:rPr>
          <w:rFonts w:cs="Times New Roman"/>
          <w:szCs w:val="28"/>
          <w:highlight w:val="none"/>
          <w:lang w:val="en-US"/>
        </w:rPr>
        <w:t>10.1007/s40262-018-0645-6</w:t>
      </w:r>
    </w:p>
    <w:p w14:paraId="45C66D19">
      <w:pPr>
        <w:widowControl w:val="0"/>
        <w:rPr>
          <w:rFonts w:cs="Times New Roman"/>
          <w:szCs w:val="28"/>
          <w:highlight w:val="none"/>
          <w:lang w:val="en-US"/>
        </w:rPr>
      </w:pPr>
      <w:r>
        <w:rPr>
          <w:rFonts w:cs="Times New Roman"/>
          <w:szCs w:val="28"/>
          <w:highlight w:val="none"/>
          <w:lang w:val="en-US"/>
        </w:rPr>
        <w:t xml:space="preserve">260. </w:t>
      </w:r>
      <w:r>
        <w:rPr>
          <w:rStyle w:val="12"/>
          <w:rFonts w:cs="Times New Roman"/>
          <w:b w:val="0"/>
          <w:szCs w:val="28"/>
          <w:highlight w:val="none"/>
          <w:lang w:val="en-US"/>
        </w:rPr>
        <w:t xml:space="preserve">Pharmacokinetics, efficacy, and safety of hepatitis C virus drugs in patients with liver and/or renal impairment / </w:t>
      </w:r>
      <w:r>
        <w:rPr>
          <w:rFonts w:cs="Times New Roman"/>
          <w:szCs w:val="28"/>
          <w:highlight w:val="none"/>
          <w:lang w:val="en-US"/>
        </w:rPr>
        <w:t xml:space="preserve">E. J. Smolders et al. </w:t>
      </w:r>
      <w:r>
        <w:rPr>
          <w:rFonts w:cs="Times New Roman"/>
          <w:i/>
          <w:szCs w:val="28"/>
          <w:highlight w:val="none"/>
          <w:lang w:val="en-US"/>
        </w:rPr>
        <w:t>Burger. Drug Saf</w:t>
      </w:r>
      <w:r>
        <w:rPr>
          <w:rFonts w:cs="Times New Roman"/>
          <w:szCs w:val="28"/>
          <w:highlight w:val="none"/>
          <w:lang w:val="en-US"/>
        </w:rPr>
        <w:t>. 2016. Vol. 39. P. 589</w:t>
      </w:r>
      <w:r>
        <w:rPr>
          <w:rFonts w:cs="Times New Roman"/>
          <w:szCs w:val="28"/>
          <w:highlight w:val="none"/>
          <w:shd w:val="clear" w:color="auto" w:fill="FFFFFF"/>
          <w:lang w:val="en-US"/>
        </w:rPr>
        <w:t>–</w:t>
      </w:r>
      <w:r>
        <w:rPr>
          <w:rFonts w:cs="Times New Roman"/>
          <w:szCs w:val="28"/>
          <w:highlight w:val="none"/>
          <w:lang w:val="en-US"/>
        </w:rPr>
        <w:t xml:space="preserve">611. </w:t>
      </w:r>
      <w:r>
        <w:rPr>
          <w:rFonts w:cs="Times New Roman"/>
          <w:bCs/>
          <w:szCs w:val="28"/>
          <w:highlight w:val="none"/>
          <w:lang w:val="en-US"/>
        </w:rPr>
        <w:t>doi: </w:t>
      </w:r>
      <w:r>
        <w:rPr>
          <w:rFonts w:cs="Times New Roman"/>
          <w:szCs w:val="28"/>
          <w:highlight w:val="none"/>
          <w:lang w:val="en-US"/>
        </w:rPr>
        <w:t>10.1007/s40264-016-0420-2</w:t>
      </w:r>
    </w:p>
    <w:p w14:paraId="71BE7202">
      <w:pPr>
        <w:widowControl w:val="0"/>
        <w:rPr>
          <w:rFonts w:cs="Times New Roman"/>
          <w:szCs w:val="28"/>
          <w:highlight w:val="none"/>
          <w:lang w:val="en-US"/>
        </w:rPr>
      </w:pPr>
      <w:r>
        <w:rPr>
          <w:rFonts w:cs="Times New Roman"/>
          <w:szCs w:val="28"/>
          <w:highlight w:val="none"/>
          <w:lang w:val="en-US"/>
        </w:rPr>
        <w:t xml:space="preserve">261. </w:t>
      </w:r>
      <w:r>
        <w:rPr>
          <w:rStyle w:val="12"/>
          <w:rFonts w:cs="Times New Roman"/>
          <w:b w:val="0"/>
          <w:szCs w:val="28"/>
          <w:highlight w:val="none"/>
          <w:lang w:val="en-US"/>
        </w:rPr>
        <w:t xml:space="preserve">Sofosbuvir/velpatasvir for 12 weeks in hepatitis C virus-infected patients with end-stage renal disease undergoing dialysis / </w:t>
      </w:r>
      <w:r>
        <w:rPr>
          <w:rFonts w:cs="Times New Roman"/>
          <w:szCs w:val="28"/>
          <w:highlight w:val="none"/>
          <w:lang w:val="en-US"/>
        </w:rPr>
        <w:t xml:space="preserve">S. M. Borgia et al. </w:t>
      </w:r>
      <w:r>
        <w:rPr>
          <w:rFonts w:cs="Times New Roman"/>
          <w:i/>
          <w:szCs w:val="28"/>
          <w:highlight w:val="none"/>
          <w:lang w:val="en-US"/>
        </w:rPr>
        <w:t>J. Hepatol</w:t>
      </w:r>
      <w:r>
        <w:rPr>
          <w:rFonts w:cs="Times New Roman"/>
          <w:szCs w:val="28"/>
          <w:highlight w:val="none"/>
          <w:lang w:val="en-US"/>
        </w:rPr>
        <w:t>. 2019. Vol. 71. P. 660</w:t>
      </w:r>
      <w:r>
        <w:rPr>
          <w:rFonts w:cs="Times New Roman"/>
          <w:szCs w:val="28"/>
          <w:highlight w:val="none"/>
          <w:shd w:val="clear" w:color="auto" w:fill="FFFFFF"/>
          <w:lang w:val="en-US"/>
        </w:rPr>
        <w:t>–</w:t>
      </w:r>
      <w:r>
        <w:rPr>
          <w:rFonts w:cs="Times New Roman"/>
          <w:szCs w:val="28"/>
          <w:highlight w:val="none"/>
          <w:lang w:val="en-US"/>
        </w:rPr>
        <w:t xml:space="preserve">665. </w:t>
      </w:r>
      <w:r>
        <w:rPr>
          <w:rFonts w:cs="Times New Roman"/>
          <w:bCs/>
          <w:szCs w:val="28"/>
          <w:highlight w:val="none"/>
          <w:lang w:val="en-US"/>
        </w:rPr>
        <w:t>doi: </w:t>
      </w:r>
      <w:r>
        <w:rPr>
          <w:rFonts w:cs="Times New Roman"/>
          <w:szCs w:val="28"/>
          <w:highlight w:val="none"/>
          <w:lang w:val="en-US"/>
        </w:rPr>
        <w:t>10.1016/j.jhep.2019.05.028</w:t>
      </w:r>
    </w:p>
    <w:p w14:paraId="561BB598">
      <w:pPr>
        <w:widowControl w:val="0"/>
        <w:rPr>
          <w:rFonts w:cs="Times New Roman"/>
          <w:szCs w:val="28"/>
          <w:highlight w:val="none"/>
          <w:lang w:val="en-US"/>
        </w:rPr>
      </w:pPr>
      <w:r>
        <w:rPr>
          <w:rFonts w:cs="Times New Roman"/>
          <w:szCs w:val="28"/>
          <w:highlight w:val="none"/>
          <w:lang w:val="en-US"/>
        </w:rPr>
        <w:t xml:space="preserve">262. </w:t>
      </w:r>
      <w:r>
        <w:rPr>
          <w:rStyle w:val="12"/>
          <w:rFonts w:cs="Times New Roman"/>
          <w:b w:val="0"/>
          <w:szCs w:val="28"/>
          <w:highlight w:val="none"/>
          <w:lang w:val="en-US"/>
        </w:rPr>
        <w:t xml:space="preserve">Efficacy and safety of sofosbuvir/velpatasvir for the treatment of patients with chronic hepatitis C genotype 1-6 infection: integrated analysis of eight Phase 3 clinical trials / </w:t>
      </w:r>
      <w:r>
        <w:rPr>
          <w:rFonts w:cs="Times New Roman"/>
          <w:szCs w:val="28"/>
          <w:highlight w:val="none"/>
          <w:lang w:val="en-US"/>
        </w:rPr>
        <w:t xml:space="preserve">E. Lawitz et al. </w:t>
      </w:r>
      <w:r>
        <w:rPr>
          <w:rFonts w:cs="Times New Roman"/>
          <w:i/>
          <w:szCs w:val="28"/>
          <w:highlight w:val="none"/>
          <w:lang w:val="en-US"/>
        </w:rPr>
        <w:t>Gastroenterology</w:t>
      </w:r>
      <w:r>
        <w:rPr>
          <w:rFonts w:cs="Times New Roman"/>
          <w:szCs w:val="28"/>
          <w:highlight w:val="none"/>
          <w:lang w:val="en-US"/>
        </w:rPr>
        <w:t>. 2019. Vol. 156, Suppl. 1. P. S1343.</w:t>
      </w:r>
    </w:p>
    <w:p w14:paraId="46B305F5">
      <w:pPr>
        <w:widowControl w:val="0"/>
        <w:rPr>
          <w:rFonts w:cs="Times New Roman"/>
          <w:szCs w:val="28"/>
          <w:highlight w:val="none"/>
          <w:lang w:val="en-US"/>
        </w:rPr>
      </w:pPr>
      <w:r>
        <w:rPr>
          <w:rFonts w:cs="Times New Roman"/>
          <w:szCs w:val="28"/>
          <w:highlight w:val="none"/>
          <w:lang w:val="en-US"/>
        </w:rPr>
        <w:t xml:space="preserve">263. </w:t>
      </w:r>
      <w:r>
        <w:rPr>
          <w:rStyle w:val="12"/>
          <w:rFonts w:cs="Times New Roman"/>
          <w:b w:val="0"/>
          <w:szCs w:val="28"/>
          <w:highlight w:val="none"/>
          <w:lang w:val="en-US"/>
        </w:rPr>
        <w:t xml:space="preserve">Global real-world evidence of sofosbuvir/velpatasvir as a simple, effective regimen for the treatment of chronic hepatitis C patients: integrated analysis of 12 clinical practice cohorts / </w:t>
      </w:r>
      <w:r>
        <w:rPr>
          <w:rFonts w:cs="Times New Roman"/>
          <w:szCs w:val="28"/>
          <w:highlight w:val="none"/>
          <w:lang w:val="en-US"/>
        </w:rPr>
        <w:t xml:space="preserve">A. Mangia et al. J. Hepatol. 2019. Vol. 70, Suppl. P. e2-e3. </w:t>
      </w:r>
      <w:r>
        <w:rPr>
          <w:rFonts w:cs="Times New Roman"/>
          <w:szCs w:val="28"/>
          <w:highlight w:val="none"/>
          <w:shd w:val="clear" w:color="auto" w:fill="FFFFFF"/>
          <w:lang w:val="en-US"/>
        </w:rPr>
        <w:t xml:space="preserve">doi: </w:t>
      </w:r>
      <w:r>
        <w:rPr>
          <w:highlight w:val="none"/>
        </w:rPr>
        <w:fldChar w:fldCharType="begin"/>
      </w:r>
      <w:r>
        <w:rPr>
          <w:highlight w:val="none"/>
        </w:rPr>
        <w:instrText xml:space="preserve"> HYPERLINK "https://doi.org/10.1111/liv.14537" </w:instrText>
      </w:r>
      <w:r>
        <w:rPr>
          <w:highlight w:val="none"/>
        </w:rPr>
        <w:fldChar w:fldCharType="separate"/>
      </w:r>
      <w:r>
        <w:rPr>
          <w:rStyle w:val="11"/>
          <w:rFonts w:cs="Times New Roman"/>
          <w:bCs/>
          <w:color w:val="auto"/>
          <w:szCs w:val="28"/>
          <w:highlight w:val="none"/>
          <w:u w:val="none"/>
          <w:lang w:val="en-US"/>
        </w:rPr>
        <w:t>https://doi.org/10.1111/liv.14537</w:t>
      </w:r>
      <w:r>
        <w:rPr>
          <w:rStyle w:val="11"/>
          <w:rFonts w:cs="Times New Roman"/>
          <w:bCs/>
          <w:color w:val="auto"/>
          <w:szCs w:val="28"/>
          <w:highlight w:val="none"/>
          <w:u w:val="none"/>
          <w:lang w:val="en-US"/>
        </w:rPr>
        <w:fldChar w:fldCharType="end"/>
      </w:r>
    </w:p>
    <w:p w14:paraId="29BD8CBF">
      <w:pPr>
        <w:widowControl w:val="0"/>
        <w:rPr>
          <w:rFonts w:cs="Times New Roman"/>
          <w:szCs w:val="28"/>
          <w:highlight w:val="none"/>
          <w:lang w:val="en-US"/>
        </w:rPr>
      </w:pPr>
      <w:r>
        <w:rPr>
          <w:rFonts w:cs="Times New Roman"/>
          <w:szCs w:val="28"/>
          <w:highlight w:val="none"/>
          <w:lang w:val="en-US"/>
        </w:rPr>
        <w:t xml:space="preserve">264. </w:t>
      </w:r>
      <w:r>
        <w:rPr>
          <w:rStyle w:val="57"/>
          <w:rFonts w:cs="Times New Roman"/>
          <w:szCs w:val="28"/>
          <w:highlight w:val="none"/>
          <w:lang w:val="en-US"/>
        </w:rPr>
        <w:t>Sofosbuvir–velpatasvir for treatment of chronic hepatitis C virus infection in Asia: a single-arm, open-label, phase 3 trial</w:t>
      </w:r>
      <w:r>
        <w:rPr>
          <w:rFonts w:cs="Times New Roman"/>
          <w:szCs w:val="28"/>
          <w:highlight w:val="none"/>
          <w:lang w:val="en-US"/>
        </w:rPr>
        <w:t xml:space="preserve"> /</w:t>
      </w:r>
      <w:r>
        <w:rPr>
          <w:rStyle w:val="56"/>
          <w:rFonts w:cs="Times New Roman"/>
          <w:szCs w:val="28"/>
          <w:highlight w:val="none"/>
          <w:lang w:val="en-US"/>
        </w:rPr>
        <w:t xml:space="preserve"> L. Wei et al. </w:t>
      </w:r>
      <w:r>
        <w:rPr>
          <w:rFonts w:cs="Times New Roman"/>
          <w:i/>
          <w:iCs/>
          <w:szCs w:val="28"/>
          <w:highlight w:val="none"/>
          <w:lang w:val="en-US"/>
        </w:rPr>
        <w:t>Lancet Gastroenterol Hepatol</w:t>
      </w:r>
      <w:r>
        <w:rPr>
          <w:rStyle w:val="58"/>
          <w:rFonts w:cs="Times New Roman"/>
          <w:szCs w:val="28"/>
          <w:highlight w:val="none"/>
          <w:lang w:val="en-US"/>
        </w:rPr>
        <w:t>. 2019</w:t>
      </w:r>
      <w:r>
        <w:rPr>
          <w:rFonts w:cs="Times New Roman"/>
          <w:szCs w:val="28"/>
          <w:highlight w:val="none"/>
          <w:lang w:val="en-US"/>
        </w:rPr>
        <w:t xml:space="preserve">. Vol. </w:t>
      </w:r>
      <w:r>
        <w:rPr>
          <w:rStyle w:val="59"/>
          <w:rFonts w:cs="Times New Roman"/>
          <w:bCs/>
          <w:szCs w:val="28"/>
          <w:highlight w:val="none"/>
          <w:lang w:val="en-US"/>
        </w:rPr>
        <w:t>4</w:t>
      </w:r>
      <w:r>
        <w:rPr>
          <w:rFonts w:cs="Times New Roman"/>
          <w:szCs w:val="28"/>
          <w:highlight w:val="none"/>
          <w:lang w:val="en-US"/>
        </w:rPr>
        <w:t xml:space="preserve">. P. </w:t>
      </w:r>
      <w:r>
        <w:rPr>
          <w:rStyle w:val="60"/>
          <w:rFonts w:cs="Times New Roman"/>
          <w:szCs w:val="28"/>
          <w:highlight w:val="none"/>
          <w:lang w:val="en-US"/>
        </w:rPr>
        <w:t>127</w:t>
      </w:r>
      <w:r>
        <w:rPr>
          <w:rFonts w:cs="Times New Roman"/>
          <w:szCs w:val="28"/>
          <w:highlight w:val="none"/>
          <w:shd w:val="clear" w:color="auto" w:fill="FFFFFF"/>
          <w:lang w:val="en-US"/>
        </w:rPr>
        <w:t>–</w:t>
      </w:r>
      <w:r>
        <w:rPr>
          <w:rStyle w:val="61"/>
          <w:rFonts w:cs="Times New Roman"/>
          <w:szCs w:val="28"/>
          <w:highlight w:val="none"/>
          <w:lang w:val="en-US"/>
        </w:rPr>
        <w:t>134</w:t>
      </w:r>
      <w:r>
        <w:rPr>
          <w:rFonts w:cs="Times New Roman"/>
          <w:szCs w:val="28"/>
          <w:highlight w:val="none"/>
          <w:lang w:val="en-US"/>
        </w:rPr>
        <w:t xml:space="preserve">. </w:t>
      </w:r>
      <w:r>
        <w:rPr>
          <w:rFonts w:cs="Times New Roman"/>
          <w:szCs w:val="28"/>
          <w:highlight w:val="none"/>
          <w:shd w:val="clear" w:color="auto" w:fill="FFFFFF"/>
          <w:lang w:val="en-US"/>
        </w:rPr>
        <w:t>doi: 10.1016/S2468-1253(18)30343-1</w:t>
      </w:r>
    </w:p>
    <w:p w14:paraId="14EA2DA1">
      <w:pPr>
        <w:widowControl w:val="0"/>
        <w:rPr>
          <w:rFonts w:cs="Times New Roman"/>
          <w:szCs w:val="28"/>
          <w:highlight w:val="none"/>
          <w:lang w:val="en-US"/>
        </w:rPr>
      </w:pPr>
      <w:r>
        <w:rPr>
          <w:rFonts w:cs="Times New Roman"/>
          <w:szCs w:val="28"/>
          <w:highlight w:val="none"/>
          <w:lang w:val="en-US"/>
        </w:rPr>
        <w:t xml:space="preserve">265. </w:t>
      </w:r>
      <w:r>
        <w:rPr>
          <w:rStyle w:val="57"/>
          <w:rFonts w:cs="Times New Roman"/>
          <w:szCs w:val="28"/>
          <w:highlight w:val="none"/>
          <w:lang w:val="en-US"/>
        </w:rPr>
        <w:t>Efficacy of 8 weeks of sofosbuvir, velpatasvir, and voxilaprevir in patients with chronic HCV infection: 2 phase 3 randomized trials</w:t>
      </w:r>
      <w:r>
        <w:rPr>
          <w:rFonts w:cs="Times New Roman"/>
          <w:szCs w:val="28"/>
          <w:highlight w:val="none"/>
          <w:lang w:val="en-US"/>
        </w:rPr>
        <w:t xml:space="preserve"> / </w:t>
      </w:r>
      <w:r>
        <w:rPr>
          <w:rStyle w:val="56"/>
          <w:rFonts w:cs="Times New Roman"/>
          <w:szCs w:val="28"/>
          <w:highlight w:val="none"/>
          <w:lang w:val="en-US"/>
        </w:rPr>
        <w:t xml:space="preserve">I. M. Jacobson et al. </w:t>
      </w:r>
      <w:r>
        <w:rPr>
          <w:rFonts w:cs="Times New Roman"/>
          <w:i/>
          <w:iCs/>
          <w:szCs w:val="28"/>
          <w:highlight w:val="none"/>
          <w:lang w:val="en-US"/>
        </w:rPr>
        <w:t>Gastroenterology</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2017</w:t>
      </w:r>
      <w:r>
        <w:rPr>
          <w:rFonts w:cs="Times New Roman"/>
          <w:szCs w:val="28"/>
          <w:highlight w:val="none"/>
          <w:lang w:val="en-US"/>
        </w:rPr>
        <w:t>. Vol.</w:t>
      </w:r>
      <w:r>
        <w:rPr>
          <w:rStyle w:val="59"/>
          <w:rFonts w:cs="Times New Roman"/>
          <w:bCs/>
          <w:szCs w:val="28"/>
          <w:highlight w:val="none"/>
          <w:lang w:val="en-US"/>
        </w:rPr>
        <w:t xml:space="preserve"> 153</w:t>
      </w:r>
      <w:r>
        <w:rPr>
          <w:rFonts w:cs="Times New Roman"/>
          <w:szCs w:val="28"/>
          <w:highlight w:val="none"/>
          <w:lang w:val="en-US"/>
        </w:rPr>
        <w:t>. P.</w:t>
      </w:r>
      <w:r>
        <w:rPr>
          <w:rStyle w:val="60"/>
          <w:rFonts w:cs="Times New Roman"/>
          <w:szCs w:val="28"/>
          <w:highlight w:val="none"/>
          <w:lang w:val="en-US"/>
        </w:rPr>
        <w:t xml:space="preserve"> 113</w:t>
      </w:r>
      <w:r>
        <w:rPr>
          <w:rFonts w:cs="Times New Roman"/>
          <w:szCs w:val="28"/>
          <w:highlight w:val="none"/>
          <w:shd w:val="clear" w:color="auto" w:fill="FFFFFF"/>
          <w:lang w:val="en-US"/>
        </w:rPr>
        <w:t>–</w:t>
      </w:r>
      <w:r>
        <w:rPr>
          <w:rStyle w:val="61"/>
          <w:rFonts w:cs="Times New Roman"/>
          <w:szCs w:val="28"/>
          <w:highlight w:val="none"/>
          <w:lang w:val="en-US"/>
        </w:rPr>
        <w:t>122</w:t>
      </w:r>
      <w:r>
        <w:rPr>
          <w:rFonts w:cs="Times New Roman"/>
          <w:szCs w:val="28"/>
          <w:highlight w:val="none"/>
          <w:lang w:val="en-US"/>
        </w:rPr>
        <w:t xml:space="preserve">. </w:t>
      </w:r>
      <w:r>
        <w:rPr>
          <w:rFonts w:cs="Times New Roman"/>
          <w:szCs w:val="28"/>
          <w:highlight w:val="none"/>
          <w:shd w:val="clear" w:color="auto" w:fill="FFFFFF"/>
          <w:lang w:val="en-US"/>
        </w:rPr>
        <w:t>doi: 10.1053/j.gastro.2017.03.047</w:t>
      </w:r>
    </w:p>
    <w:p w14:paraId="53C17EE3">
      <w:pPr>
        <w:widowControl w:val="0"/>
        <w:rPr>
          <w:rFonts w:cs="Times New Roman"/>
          <w:szCs w:val="28"/>
          <w:highlight w:val="none"/>
          <w:lang w:val="en-US"/>
        </w:rPr>
      </w:pPr>
      <w:r>
        <w:rPr>
          <w:rFonts w:cs="Times New Roman"/>
          <w:szCs w:val="28"/>
          <w:highlight w:val="none"/>
          <w:lang w:val="en-US"/>
        </w:rPr>
        <w:t>266.</w:t>
      </w:r>
      <w:r>
        <w:rPr>
          <w:rStyle w:val="56"/>
          <w:rFonts w:cs="Times New Roman"/>
          <w:szCs w:val="28"/>
          <w:highlight w:val="none"/>
          <w:lang w:val="en-US"/>
        </w:rPr>
        <w:t xml:space="preserve"> </w:t>
      </w:r>
      <w:r>
        <w:rPr>
          <w:rStyle w:val="57"/>
          <w:rFonts w:cs="Times New Roman"/>
          <w:szCs w:val="28"/>
          <w:highlight w:val="none"/>
          <w:lang w:val="en-US"/>
        </w:rPr>
        <w:t>High efficacy of sofosbuvir/velpatasvir and impact of baseline resistance-associated substitutions in hepatitis C genotype 3 infection</w:t>
      </w:r>
      <w:r>
        <w:rPr>
          <w:rFonts w:cs="Times New Roman"/>
          <w:szCs w:val="28"/>
          <w:highlight w:val="none"/>
          <w:lang w:val="en-US"/>
        </w:rPr>
        <w:t xml:space="preserve"> /</w:t>
      </w:r>
      <w:r>
        <w:rPr>
          <w:rStyle w:val="56"/>
          <w:rFonts w:cs="Times New Roman"/>
          <w:szCs w:val="28"/>
          <w:highlight w:val="none"/>
          <w:lang w:val="en-US"/>
        </w:rPr>
        <w:t xml:space="preserve"> J. Von Felden et al. </w:t>
      </w:r>
      <w:r>
        <w:rPr>
          <w:rFonts w:cs="Times New Roman"/>
          <w:i/>
          <w:iCs/>
          <w:szCs w:val="28"/>
          <w:highlight w:val="none"/>
          <w:lang w:val="en-US"/>
        </w:rPr>
        <w:t>Aliment Pharmacol Ther</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2018</w:t>
      </w:r>
      <w:r>
        <w:rPr>
          <w:rFonts w:cs="Times New Roman"/>
          <w:szCs w:val="28"/>
          <w:highlight w:val="none"/>
          <w:lang w:val="en-US"/>
        </w:rPr>
        <w:t xml:space="preserve">. Vol. </w:t>
      </w:r>
      <w:r>
        <w:rPr>
          <w:rStyle w:val="59"/>
          <w:rFonts w:cs="Times New Roman"/>
          <w:bCs/>
          <w:szCs w:val="28"/>
          <w:highlight w:val="none"/>
          <w:lang w:val="en-US"/>
        </w:rPr>
        <w:t>47</w:t>
      </w:r>
      <w:r>
        <w:rPr>
          <w:rFonts w:cs="Times New Roman"/>
          <w:szCs w:val="28"/>
          <w:highlight w:val="none"/>
          <w:lang w:val="en-US"/>
        </w:rPr>
        <w:t xml:space="preserve">. P. </w:t>
      </w:r>
      <w:r>
        <w:rPr>
          <w:rStyle w:val="60"/>
          <w:rFonts w:cs="Times New Roman"/>
          <w:szCs w:val="28"/>
          <w:highlight w:val="none"/>
          <w:lang w:val="en-US"/>
        </w:rPr>
        <w:t>1288</w:t>
      </w:r>
      <w:r>
        <w:rPr>
          <w:rFonts w:cs="Times New Roman"/>
          <w:szCs w:val="28"/>
          <w:highlight w:val="none"/>
          <w:shd w:val="clear" w:color="auto" w:fill="FFFFFF"/>
          <w:lang w:val="en-US"/>
        </w:rPr>
        <w:t>–</w:t>
      </w:r>
      <w:r>
        <w:rPr>
          <w:rStyle w:val="61"/>
          <w:rFonts w:cs="Times New Roman"/>
          <w:szCs w:val="28"/>
          <w:highlight w:val="none"/>
          <w:lang w:val="en-US"/>
        </w:rPr>
        <w:t>1295</w:t>
      </w:r>
      <w:r>
        <w:rPr>
          <w:rFonts w:cs="Times New Roman"/>
          <w:szCs w:val="28"/>
          <w:highlight w:val="none"/>
          <w:lang w:val="en-US"/>
        </w:rPr>
        <w:t xml:space="preserve">. </w:t>
      </w:r>
      <w:r>
        <w:rPr>
          <w:rFonts w:cs="Times New Roman"/>
          <w:szCs w:val="28"/>
          <w:highlight w:val="none"/>
          <w:shd w:val="clear" w:color="auto" w:fill="FFFFFF"/>
          <w:lang w:val="en-US"/>
        </w:rPr>
        <w:t>doi: 10.1111/apt.14592</w:t>
      </w:r>
    </w:p>
    <w:p w14:paraId="7D29D66F">
      <w:pPr>
        <w:widowControl w:val="0"/>
        <w:rPr>
          <w:rFonts w:cs="Times New Roman"/>
          <w:szCs w:val="28"/>
          <w:highlight w:val="none"/>
          <w:lang w:val="en-US"/>
        </w:rPr>
      </w:pPr>
      <w:r>
        <w:rPr>
          <w:rFonts w:cs="Times New Roman"/>
          <w:szCs w:val="28"/>
          <w:highlight w:val="none"/>
          <w:lang w:val="en-US"/>
        </w:rPr>
        <w:t>267. </w:t>
      </w:r>
      <w:r>
        <w:rPr>
          <w:rStyle w:val="57"/>
          <w:rFonts w:cs="Times New Roman"/>
          <w:szCs w:val="28"/>
          <w:highlight w:val="none"/>
          <w:lang w:val="en-US"/>
        </w:rPr>
        <w:t>Efficacy of sofosbuvir and velpatasvir, with and without ribavirin, in patients with hepatitis C virus genotype 3 infection and cirrhosis</w:t>
      </w:r>
      <w:r>
        <w:rPr>
          <w:rFonts w:cs="Times New Roman"/>
          <w:szCs w:val="28"/>
          <w:highlight w:val="none"/>
          <w:lang w:val="en-US"/>
        </w:rPr>
        <w:t xml:space="preserve"> / </w:t>
      </w:r>
      <w:r>
        <w:rPr>
          <w:rStyle w:val="56"/>
          <w:rFonts w:cs="Times New Roman"/>
          <w:szCs w:val="28"/>
          <w:highlight w:val="none"/>
          <w:lang w:val="en-US"/>
        </w:rPr>
        <w:t xml:space="preserve">R. Esteban et al. </w:t>
      </w:r>
      <w:r>
        <w:rPr>
          <w:rFonts w:cs="Times New Roman"/>
          <w:i/>
          <w:iCs/>
          <w:szCs w:val="28"/>
          <w:highlight w:val="none"/>
          <w:lang w:val="en-US"/>
        </w:rPr>
        <w:t>Gastroenterology</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2018</w:t>
      </w:r>
      <w:r>
        <w:rPr>
          <w:rFonts w:cs="Times New Roman"/>
          <w:szCs w:val="28"/>
          <w:highlight w:val="none"/>
          <w:lang w:val="en-US"/>
        </w:rPr>
        <w:t>. Vol.</w:t>
      </w:r>
      <w:r>
        <w:rPr>
          <w:rStyle w:val="59"/>
          <w:rFonts w:cs="Times New Roman"/>
          <w:bCs/>
          <w:szCs w:val="28"/>
          <w:highlight w:val="none"/>
          <w:lang w:val="en-US"/>
        </w:rPr>
        <w:t xml:space="preserve"> 155</w:t>
      </w:r>
      <w:r>
        <w:rPr>
          <w:rFonts w:cs="Times New Roman"/>
          <w:szCs w:val="28"/>
          <w:highlight w:val="none"/>
          <w:lang w:val="en-US"/>
        </w:rPr>
        <w:t xml:space="preserve">. P. </w:t>
      </w:r>
      <w:r>
        <w:rPr>
          <w:rStyle w:val="60"/>
          <w:rFonts w:cs="Times New Roman"/>
          <w:szCs w:val="28"/>
          <w:highlight w:val="none"/>
          <w:lang w:val="en-US"/>
        </w:rPr>
        <w:t>1120</w:t>
      </w:r>
      <w:r>
        <w:rPr>
          <w:rFonts w:cs="Times New Roman"/>
          <w:szCs w:val="28"/>
          <w:highlight w:val="none"/>
          <w:shd w:val="clear" w:color="auto" w:fill="FFFFFF"/>
          <w:lang w:val="en-US"/>
        </w:rPr>
        <w:t>–</w:t>
      </w:r>
      <w:r>
        <w:rPr>
          <w:rStyle w:val="61"/>
          <w:rFonts w:cs="Times New Roman"/>
          <w:szCs w:val="28"/>
          <w:highlight w:val="none"/>
          <w:lang w:val="en-US"/>
        </w:rPr>
        <w:t>1127.e4</w:t>
      </w:r>
      <w:r>
        <w:rPr>
          <w:rFonts w:cs="Times New Roman"/>
          <w:szCs w:val="28"/>
          <w:highlight w:val="none"/>
          <w:lang w:val="en-US"/>
        </w:rPr>
        <w:t xml:space="preserve">. doi: </w:t>
      </w:r>
      <w:r>
        <w:rPr>
          <w:highlight w:val="none"/>
        </w:rPr>
        <w:fldChar w:fldCharType="begin"/>
      </w:r>
      <w:r>
        <w:rPr>
          <w:highlight w:val="none"/>
        </w:rPr>
        <w:instrText xml:space="preserve"> HYPERLINK "https://doi.org/10.1053/j.gastro.2018.06.042"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https://doi.org/10.1053/j.gastro.2018.06.042</w:t>
      </w:r>
      <w:r>
        <w:rPr>
          <w:rStyle w:val="11"/>
          <w:rFonts w:cs="Times New Roman"/>
          <w:color w:val="auto"/>
          <w:szCs w:val="28"/>
          <w:highlight w:val="none"/>
          <w:u w:val="none"/>
          <w:lang w:val="en-US"/>
        </w:rPr>
        <w:fldChar w:fldCharType="end"/>
      </w:r>
    </w:p>
    <w:p w14:paraId="7B7D60BD">
      <w:pPr>
        <w:widowControl w:val="0"/>
        <w:rPr>
          <w:rFonts w:cs="Times New Roman"/>
          <w:szCs w:val="28"/>
          <w:highlight w:val="none"/>
          <w:lang w:val="en-US"/>
        </w:rPr>
      </w:pPr>
      <w:r>
        <w:rPr>
          <w:rFonts w:cs="Times New Roman"/>
          <w:szCs w:val="28"/>
          <w:highlight w:val="none"/>
          <w:lang w:val="en-US"/>
        </w:rPr>
        <w:t xml:space="preserve">268. </w:t>
      </w:r>
      <w:r>
        <w:rPr>
          <w:rStyle w:val="57"/>
          <w:rFonts w:cs="Times New Roman"/>
          <w:szCs w:val="28"/>
          <w:highlight w:val="none"/>
          <w:lang w:val="en-US"/>
        </w:rPr>
        <w:t>Sofosbuvir/velpatasvir in patients with hepatitis C virus genotypes 1-6 and compensated cirrhosis or advanced fibrosis</w:t>
      </w:r>
      <w:r>
        <w:rPr>
          <w:rFonts w:cs="Times New Roman"/>
          <w:szCs w:val="28"/>
          <w:highlight w:val="none"/>
          <w:lang w:val="en-US"/>
        </w:rPr>
        <w:t xml:space="preserve"> /</w:t>
      </w:r>
      <w:r>
        <w:rPr>
          <w:rStyle w:val="56"/>
          <w:rFonts w:cs="Times New Roman"/>
          <w:szCs w:val="28"/>
          <w:highlight w:val="none"/>
          <w:lang w:val="en-US"/>
        </w:rPr>
        <w:t xml:space="preserve"> T. Asselah et al. </w:t>
      </w:r>
      <w:r>
        <w:rPr>
          <w:rFonts w:cs="Times New Roman"/>
          <w:i/>
          <w:iCs/>
          <w:szCs w:val="28"/>
          <w:highlight w:val="none"/>
          <w:lang w:val="en-US"/>
        </w:rPr>
        <w:t>Liver Int</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2018</w:t>
      </w:r>
      <w:r>
        <w:rPr>
          <w:rFonts w:cs="Times New Roman"/>
          <w:szCs w:val="28"/>
          <w:highlight w:val="none"/>
          <w:lang w:val="en-US"/>
        </w:rPr>
        <w:t xml:space="preserve">. Vol. </w:t>
      </w:r>
      <w:r>
        <w:rPr>
          <w:rStyle w:val="59"/>
          <w:rFonts w:cs="Times New Roman"/>
          <w:bCs/>
          <w:szCs w:val="28"/>
          <w:highlight w:val="none"/>
          <w:lang w:val="en-US"/>
        </w:rPr>
        <w:t>38</w:t>
      </w:r>
      <w:r>
        <w:rPr>
          <w:rFonts w:cs="Times New Roman"/>
          <w:szCs w:val="28"/>
          <w:highlight w:val="none"/>
          <w:lang w:val="en-US"/>
        </w:rPr>
        <w:t xml:space="preserve">. </w:t>
      </w:r>
      <w:r>
        <w:rPr>
          <w:rFonts w:cs="Times New Roman"/>
          <w:szCs w:val="28"/>
          <w:highlight w:val="none"/>
          <w:lang w:val="en-US"/>
        </w:rPr>
        <w:tab/>
      </w:r>
      <w:r>
        <w:rPr>
          <w:rFonts w:cs="Times New Roman"/>
          <w:szCs w:val="28"/>
          <w:highlight w:val="none"/>
          <w:lang w:val="en-US"/>
        </w:rPr>
        <w:t>P.</w:t>
      </w:r>
      <w:r>
        <w:rPr>
          <w:rStyle w:val="60"/>
          <w:rFonts w:cs="Times New Roman"/>
          <w:szCs w:val="28"/>
          <w:highlight w:val="none"/>
          <w:lang w:val="en-US"/>
        </w:rPr>
        <w:t>443</w:t>
      </w:r>
      <w:r>
        <w:rPr>
          <w:rFonts w:cs="Times New Roman"/>
          <w:szCs w:val="28"/>
          <w:highlight w:val="none"/>
          <w:shd w:val="clear" w:color="auto" w:fill="FFFFFF"/>
          <w:lang w:val="en-US"/>
        </w:rPr>
        <w:t>–</w:t>
      </w:r>
      <w:r>
        <w:rPr>
          <w:rStyle w:val="61"/>
          <w:rFonts w:cs="Times New Roman"/>
          <w:szCs w:val="28"/>
          <w:highlight w:val="none"/>
          <w:lang w:val="en-US"/>
        </w:rPr>
        <w:t>450</w:t>
      </w:r>
      <w:r>
        <w:rPr>
          <w:rFonts w:cs="Times New Roman"/>
          <w:szCs w:val="28"/>
          <w:highlight w:val="none"/>
          <w:lang w:val="en-US"/>
        </w:rPr>
        <w:t xml:space="preserve">. doi: </w:t>
      </w:r>
      <w:r>
        <w:rPr>
          <w:highlight w:val="none"/>
        </w:rPr>
        <w:fldChar w:fldCharType="begin"/>
      </w:r>
      <w:r>
        <w:rPr>
          <w:highlight w:val="none"/>
        </w:rPr>
        <w:instrText xml:space="preserve"> HYPERLINK "https://doi.org/10.1111/liv.13534" </w:instrText>
      </w:r>
      <w:r>
        <w:rPr>
          <w:highlight w:val="none"/>
        </w:rPr>
        <w:fldChar w:fldCharType="separate"/>
      </w:r>
      <w:r>
        <w:rPr>
          <w:rStyle w:val="11"/>
          <w:rFonts w:cs="Times New Roman"/>
          <w:bCs/>
          <w:color w:val="auto"/>
          <w:szCs w:val="28"/>
          <w:highlight w:val="none"/>
          <w:u w:val="none"/>
          <w:shd w:val="clear" w:color="auto" w:fill="FFFFFF"/>
          <w:lang w:val="en-US"/>
        </w:rPr>
        <w:t>https://doi.org/10.1111/liv.13534</w:t>
      </w:r>
      <w:r>
        <w:rPr>
          <w:rStyle w:val="11"/>
          <w:rFonts w:cs="Times New Roman"/>
          <w:bCs/>
          <w:color w:val="auto"/>
          <w:szCs w:val="28"/>
          <w:highlight w:val="none"/>
          <w:u w:val="none"/>
          <w:shd w:val="clear" w:color="auto" w:fill="FFFFFF"/>
          <w:lang w:val="en-US"/>
        </w:rPr>
        <w:fldChar w:fldCharType="end"/>
      </w:r>
    </w:p>
    <w:p w14:paraId="175DDDAF">
      <w:pPr>
        <w:widowControl w:val="0"/>
        <w:rPr>
          <w:rFonts w:cs="Times New Roman"/>
          <w:szCs w:val="28"/>
          <w:highlight w:val="none"/>
          <w:lang w:val="en-US"/>
        </w:rPr>
      </w:pPr>
      <w:r>
        <w:rPr>
          <w:rFonts w:cs="Times New Roman"/>
          <w:szCs w:val="28"/>
          <w:highlight w:val="none"/>
          <w:lang w:val="en-US"/>
        </w:rPr>
        <w:t xml:space="preserve">269. </w:t>
      </w:r>
      <w:r>
        <w:rPr>
          <w:rStyle w:val="57"/>
          <w:rFonts w:cs="Times New Roman"/>
          <w:szCs w:val="28"/>
          <w:highlight w:val="none"/>
          <w:lang w:val="en-US"/>
        </w:rPr>
        <w:t>Sofosbuvir and velpatasvir with or without voxilaprevir in direct-acting antiviral-naive chronic hepatitis C: patient-reported outcomes from POLARIS 2 and 3</w:t>
      </w:r>
      <w:r>
        <w:rPr>
          <w:rFonts w:cs="Times New Roman"/>
          <w:szCs w:val="28"/>
          <w:highlight w:val="none"/>
          <w:lang w:val="en-US"/>
        </w:rPr>
        <w:t xml:space="preserve"> / </w:t>
      </w:r>
      <w:r>
        <w:rPr>
          <w:rStyle w:val="56"/>
          <w:rFonts w:cs="Times New Roman"/>
          <w:szCs w:val="28"/>
          <w:highlight w:val="none"/>
          <w:lang w:val="en-US"/>
        </w:rPr>
        <w:t xml:space="preserve">Z. M. Younossi et al. </w:t>
      </w:r>
      <w:r>
        <w:rPr>
          <w:rFonts w:cs="Times New Roman"/>
          <w:i/>
          <w:iCs/>
          <w:szCs w:val="28"/>
          <w:highlight w:val="none"/>
          <w:lang w:val="en-US"/>
        </w:rPr>
        <w:t>Aliment Pharmacol Ther</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2018</w:t>
      </w:r>
      <w:r>
        <w:rPr>
          <w:rFonts w:cs="Times New Roman"/>
          <w:szCs w:val="28"/>
          <w:highlight w:val="none"/>
          <w:lang w:val="en-US"/>
        </w:rPr>
        <w:t xml:space="preserve">. Vol. </w:t>
      </w:r>
      <w:r>
        <w:rPr>
          <w:rStyle w:val="59"/>
          <w:rFonts w:cs="Times New Roman"/>
          <w:bCs/>
          <w:szCs w:val="28"/>
          <w:highlight w:val="none"/>
          <w:lang w:val="en-US"/>
        </w:rPr>
        <w:t>47</w:t>
      </w:r>
      <w:r>
        <w:rPr>
          <w:rFonts w:cs="Times New Roman"/>
          <w:szCs w:val="28"/>
          <w:highlight w:val="none"/>
          <w:lang w:val="en-US"/>
        </w:rPr>
        <w:t xml:space="preserve">. P. </w:t>
      </w:r>
      <w:r>
        <w:rPr>
          <w:rStyle w:val="60"/>
          <w:rFonts w:cs="Times New Roman"/>
          <w:szCs w:val="28"/>
          <w:highlight w:val="none"/>
          <w:lang w:val="en-US"/>
        </w:rPr>
        <w:t>259</w:t>
      </w:r>
      <w:r>
        <w:rPr>
          <w:rFonts w:cs="Times New Roman"/>
          <w:szCs w:val="28"/>
          <w:highlight w:val="none"/>
          <w:shd w:val="clear" w:color="auto" w:fill="FFFFFF"/>
          <w:lang w:val="en-US"/>
        </w:rPr>
        <w:t>–</w:t>
      </w:r>
      <w:r>
        <w:rPr>
          <w:rStyle w:val="61"/>
          <w:rFonts w:cs="Times New Roman"/>
          <w:szCs w:val="28"/>
          <w:highlight w:val="none"/>
          <w:lang w:val="en-US"/>
        </w:rPr>
        <w:t>267</w:t>
      </w:r>
      <w:r>
        <w:rPr>
          <w:rFonts w:cs="Times New Roman"/>
          <w:szCs w:val="28"/>
          <w:highlight w:val="none"/>
          <w:lang w:val="en-US"/>
        </w:rPr>
        <w:t xml:space="preserve">. doi: </w:t>
      </w:r>
      <w:r>
        <w:rPr>
          <w:highlight w:val="none"/>
        </w:rPr>
        <w:fldChar w:fldCharType="begin"/>
      </w:r>
      <w:r>
        <w:rPr>
          <w:highlight w:val="none"/>
        </w:rPr>
        <w:instrText xml:space="preserve"> HYPERLINK "https://doi.org/10.1111/apt.14423" </w:instrText>
      </w:r>
      <w:r>
        <w:rPr>
          <w:highlight w:val="none"/>
        </w:rPr>
        <w:fldChar w:fldCharType="separate"/>
      </w:r>
      <w:r>
        <w:rPr>
          <w:rStyle w:val="11"/>
          <w:rFonts w:cs="Times New Roman"/>
          <w:bCs/>
          <w:color w:val="auto"/>
          <w:szCs w:val="28"/>
          <w:highlight w:val="none"/>
          <w:u w:val="none"/>
          <w:shd w:val="clear" w:color="auto" w:fill="FFFFFF"/>
          <w:lang w:val="en-US"/>
        </w:rPr>
        <w:t>https://doi.org/10.1111/apt.14423</w:t>
      </w:r>
      <w:r>
        <w:rPr>
          <w:rStyle w:val="11"/>
          <w:rFonts w:cs="Times New Roman"/>
          <w:bCs/>
          <w:color w:val="auto"/>
          <w:szCs w:val="28"/>
          <w:highlight w:val="none"/>
          <w:u w:val="none"/>
          <w:shd w:val="clear" w:color="auto" w:fill="FFFFFF"/>
          <w:lang w:val="en-US"/>
        </w:rPr>
        <w:fldChar w:fldCharType="end"/>
      </w:r>
    </w:p>
    <w:p w14:paraId="32051FAE">
      <w:pPr>
        <w:widowControl w:val="0"/>
        <w:rPr>
          <w:rFonts w:cs="Times New Roman"/>
          <w:szCs w:val="28"/>
          <w:highlight w:val="none"/>
          <w:lang w:val="en-US"/>
        </w:rPr>
      </w:pPr>
      <w:r>
        <w:rPr>
          <w:rFonts w:cs="Times New Roman"/>
          <w:szCs w:val="28"/>
          <w:highlight w:val="none"/>
          <w:lang w:val="en-US"/>
        </w:rPr>
        <w:t>270. European Medicines Agency. Summary of product characteristics: Epclusa [in Dutch]. 2019. URL: </w:t>
      </w:r>
      <w:r>
        <w:rPr>
          <w:highlight w:val="none"/>
        </w:rPr>
        <w:fldChar w:fldCharType="begin"/>
      </w:r>
      <w:r>
        <w:rPr>
          <w:highlight w:val="none"/>
        </w:rPr>
        <w:instrText xml:space="preserve"> HYPERLINK "https://www.ema.europa.eu/documents/product-information/epclusa-epar-product-information_nl.pdf" </w:instrText>
      </w:r>
      <w:r>
        <w:rPr>
          <w:highlight w:val="none"/>
        </w:rPr>
        <w:fldChar w:fldCharType="separate"/>
      </w:r>
      <w:r>
        <w:rPr>
          <w:rStyle w:val="11"/>
          <w:rFonts w:cs="Times New Roman"/>
          <w:color w:val="auto"/>
          <w:szCs w:val="28"/>
          <w:highlight w:val="none"/>
          <w:u w:val="none"/>
          <w:lang w:val="en-US"/>
        </w:rPr>
        <w:t>https://www.ema.europa.eu/documents/product-information/epclusa-epar-product-information_nl.pdf</w:t>
      </w:r>
      <w:r>
        <w:rPr>
          <w:rStyle w:val="11"/>
          <w:rFonts w:cs="Times New Roman"/>
          <w:color w:val="auto"/>
          <w:szCs w:val="28"/>
          <w:highlight w:val="none"/>
          <w:u w:val="none"/>
          <w:lang w:val="en-US"/>
        </w:rPr>
        <w:fldChar w:fldCharType="end"/>
      </w:r>
    </w:p>
    <w:p w14:paraId="37BF65CF">
      <w:pPr>
        <w:widowControl w:val="0"/>
        <w:rPr>
          <w:rFonts w:cs="Times New Roman"/>
          <w:szCs w:val="28"/>
          <w:highlight w:val="none"/>
          <w:lang w:val="en-US"/>
        </w:rPr>
      </w:pPr>
      <w:r>
        <w:rPr>
          <w:rFonts w:cs="Times New Roman"/>
          <w:szCs w:val="28"/>
          <w:highlight w:val="none"/>
          <w:lang w:val="en-US"/>
        </w:rPr>
        <w:t xml:space="preserve">271. </w:t>
      </w:r>
      <w:r>
        <w:rPr>
          <w:rStyle w:val="57"/>
          <w:rFonts w:cs="Times New Roman"/>
          <w:szCs w:val="28"/>
          <w:highlight w:val="none"/>
          <w:lang w:val="en-US"/>
        </w:rPr>
        <w:t>Sustained virologic response rates in patients with chronic hepatitis C genotype 6 treated with ledipasvir+sofosbuvir or sofosbuvir+velpatasvir</w:t>
      </w:r>
      <w:r>
        <w:rPr>
          <w:rFonts w:cs="Times New Roman"/>
          <w:szCs w:val="28"/>
          <w:highlight w:val="none"/>
          <w:lang w:val="en-US"/>
        </w:rPr>
        <w:t xml:space="preserve"> /</w:t>
      </w:r>
      <w:r>
        <w:rPr>
          <w:rStyle w:val="56"/>
          <w:rFonts w:cs="Times New Roman"/>
          <w:szCs w:val="28"/>
          <w:highlight w:val="none"/>
          <w:lang w:val="en-US"/>
        </w:rPr>
        <w:t xml:space="preserve"> E. Nguyen et al.</w:t>
      </w:r>
      <w:r>
        <w:rPr>
          <w:rFonts w:cs="Times New Roman"/>
          <w:szCs w:val="28"/>
          <w:highlight w:val="none"/>
          <w:lang w:val="en-US"/>
        </w:rPr>
        <w:t> </w:t>
      </w:r>
      <w:r>
        <w:rPr>
          <w:rFonts w:cs="Times New Roman"/>
          <w:i/>
          <w:iCs/>
          <w:szCs w:val="28"/>
          <w:highlight w:val="none"/>
          <w:lang w:val="en-US"/>
        </w:rPr>
        <w:t>Aliment Pharmacol Ther.</w:t>
      </w:r>
      <w:r>
        <w:rPr>
          <w:rFonts w:cs="Times New Roman"/>
          <w:szCs w:val="28"/>
          <w:highlight w:val="none"/>
          <w:lang w:val="en-US"/>
        </w:rPr>
        <w:t> </w:t>
      </w:r>
      <w:r>
        <w:rPr>
          <w:rStyle w:val="58"/>
          <w:rFonts w:cs="Times New Roman"/>
          <w:szCs w:val="28"/>
          <w:highlight w:val="none"/>
          <w:lang w:val="en-US"/>
        </w:rPr>
        <w:t>2019</w:t>
      </w:r>
      <w:r>
        <w:rPr>
          <w:rFonts w:cs="Times New Roman"/>
          <w:szCs w:val="28"/>
          <w:highlight w:val="none"/>
          <w:lang w:val="en-US"/>
        </w:rPr>
        <w:t xml:space="preserve">. Vol. </w:t>
      </w:r>
      <w:r>
        <w:rPr>
          <w:rStyle w:val="59"/>
          <w:rFonts w:cs="Times New Roman"/>
          <w:bCs/>
          <w:szCs w:val="28"/>
          <w:highlight w:val="none"/>
          <w:lang w:val="en-US"/>
        </w:rPr>
        <w:t>49</w:t>
      </w:r>
      <w:r>
        <w:rPr>
          <w:rFonts w:cs="Times New Roman"/>
          <w:szCs w:val="28"/>
          <w:highlight w:val="none"/>
          <w:lang w:val="en-US"/>
        </w:rPr>
        <w:t xml:space="preserve">. P. </w:t>
      </w:r>
      <w:r>
        <w:rPr>
          <w:rStyle w:val="60"/>
          <w:rFonts w:cs="Times New Roman"/>
          <w:szCs w:val="28"/>
          <w:highlight w:val="none"/>
          <w:lang w:val="en-US"/>
        </w:rPr>
        <w:t>99</w:t>
      </w:r>
      <w:r>
        <w:rPr>
          <w:rFonts w:cs="Times New Roman"/>
          <w:szCs w:val="28"/>
          <w:highlight w:val="none"/>
          <w:shd w:val="clear" w:color="auto" w:fill="FFFFFF"/>
          <w:lang w:val="en-US"/>
        </w:rPr>
        <w:t>–</w:t>
      </w:r>
      <w:r>
        <w:rPr>
          <w:rStyle w:val="61"/>
          <w:rFonts w:cs="Times New Roman"/>
          <w:szCs w:val="28"/>
          <w:highlight w:val="none"/>
          <w:lang w:val="en-US"/>
        </w:rPr>
        <w:t>106</w:t>
      </w:r>
      <w:r>
        <w:rPr>
          <w:rFonts w:cs="Times New Roman"/>
          <w:szCs w:val="28"/>
          <w:highlight w:val="none"/>
          <w:lang w:val="en-US"/>
        </w:rPr>
        <w:t xml:space="preserve">. </w:t>
      </w:r>
      <w:r>
        <w:rPr>
          <w:rFonts w:cs="Times New Roman"/>
          <w:szCs w:val="28"/>
          <w:highlight w:val="none"/>
          <w:shd w:val="clear" w:color="auto" w:fill="FFFFFF"/>
          <w:lang w:val="en-US"/>
        </w:rPr>
        <w:t>doi: 10.1111/apt.15043</w:t>
      </w:r>
    </w:p>
    <w:p w14:paraId="62F0748D">
      <w:pPr>
        <w:widowControl w:val="0"/>
        <w:rPr>
          <w:rFonts w:cs="Times New Roman"/>
          <w:szCs w:val="28"/>
          <w:highlight w:val="none"/>
          <w:lang w:val="en-US"/>
        </w:rPr>
      </w:pPr>
      <w:r>
        <w:rPr>
          <w:rFonts w:cs="Times New Roman"/>
          <w:szCs w:val="28"/>
          <w:highlight w:val="none"/>
          <w:lang w:val="en-US"/>
        </w:rPr>
        <w:t xml:space="preserve">272. </w:t>
      </w:r>
      <w:r>
        <w:rPr>
          <w:rStyle w:val="57"/>
          <w:rFonts w:cs="Times New Roman"/>
          <w:szCs w:val="28"/>
          <w:highlight w:val="none"/>
          <w:lang w:val="en-US"/>
        </w:rPr>
        <w:t>Safety and efficacy of sofosbuvir-based direct-acting antiviral regimens for hepatitis C virus genotype 6 in southwest China: real-world experience of a retrospective study</w:t>
      </w:r>
      <w:r>
        <w:rPr>
          <w:rFonts w:cs="Times New Roman"/>
          <w:szCs w:val="28"/>
          <w:highlight w:val="none"/>
          <w:lang w:val="en-US"/>
        </w:rPr>
        <w:t xml:space="preserve"> / </w:t>
      </w:r>
      <w:r>
        <w:rPr>
          <w:rStyle w:val="56"/>
          <w:rFonts w:cs="Times New Roman"/>
          <w:szCs w:val="28"/>
          <w:highlight w:val="none"/>
          <w:lang w:val="en-US"/>
        </w:rPr>
        <w:t>D. B. Wu et al.</w:t>
      </w:r>
      <w:r>
        <w:rPr>
          <w:rFonts w:cs="Times New Roman"/>
          <w:szCs w:val="28"/>
          <w:highlight w:val="none"/>
          <w:lang w:val="en-US"/>
        </w:rPr>
        <w:t> </w:t>
      </w:r>
      <w:r>
        <w:rPr>
          <w:rFonts w:cs="Times New Roman"/>
          <w:iCs/>
          <w:szCs w:val="28"/>
          <w:highlight w:val="none"/>
          <w:lang w:val="en-US"/>
        </w:rPr>
        <w:t>J</w:t>
      </w:r>
      <w:r>
        <w:rPr>
          <w:rFonts w:cs="Times New Roman"/>
          <w:i/>
          <w:iCs/>
          <w:szCs w:val="28"/>
          <w:highlight w:val="none"/>
          <w:lang w:val="en-US"/>
        </w:rPr>
        <w:t>. Viral Hepat.</w:t>
      </w:r>
      <w:r>
        <w:rPr>
          <w:rFonts w:cs="Times New Roman"/>
          <w:szCs w:val="28"/>
          <w:highlight w:val="none"/>
          <w:lang w:val="en-US"/>
        </w:rPr>
        <w:t> </w:t>
      </w:r>
      <w:r>
        <w:rPr>
          <w:rStyle w:val="58"/>
          <w:rFonts w:cs="Times New Roman"/>
          <w:szCs w:val="28"/>
          <w:highlight w:val="none"/>
          <w:lang w:val="en-US"/>
        </w:rPr>
        <w:t>2019</w:t>
      </w:r>
      <w:r>
        <w:rPr>
          <w:rFonts w:cs="Times New Roman"/>
          <w:szCs w:val="28"/>
          <w:highlight w:val="none"/>
          <w:lang w:val="en-US"/>
        </w:rPr>
        <w:t xml:space="preserve">. Vol. </w:t>
      </w:r>
      <w:r>
        <w:rPr>
          <w:rStyle w:val="59"/>
          <w:rFonts w:cs="Times New Roman"/>
          <w:bCs/>
          <w:szCs w:val="28"/>
          <w:highlight w:val="none"/>
          <w:lang w:val="en-US"/>
        </w:rPr>
        <w:t>26</w:t>
      </w:r>
      <w:r>
        <w:rPr>
          <w:rFonts w:cs="Times New Roman"/>
          <w:szCs w:val="28"/>
          <w:highlight w:val="none"/>
          <w:lang w:val="en-US"/>
        </w:rPr>
        <w:t xml:space="preserve">. P. </w:t>
      </w:r>
      <w:r>
        <w:rPr>
          <w:rStyle w:val="60"/>
          <w:rFonts w:cs="Times New Roman"/>
          <w:szCs w:val="28"/>
          <w:highlight w:val="none"/>
          <w:lang w:val="en-US"/>
        </w:rPr>
        <w:t>316</w:t>
      </w:r>
      <w:r>
        <w:rPr>
          <w:rFonts w:cs="Times New Roman"/>
          <w:szCs w:val="28"/>
          <w:highlight w:val="none"/>
          <w:shd w:val="clear" w:color="auto" w:fill="FFFFFF"/>
          <w:lang w:val="en-US"/>
        </w:rPr>
        <w:t>–</w:t>
      </w:r>
      <w:r>
        <w:rPr>
          <w:rStyle w:val="61"/>
          <w:rFonts w:cs="Times New Roman"/>
          <w:szCs w:val="28"/>
          <w:highlight w:val="none"/>
          <w:lang w:val="en-US"/>
        </w:rPr>
        <w:t>322</w:t>
      </w:r>
      <w:r>
        <w:rPr>
          <w:rFonts w:cs="Times New Roman"/>
          <w:szCs w:val="28"/>
          <w:highlight w:val="none"/>
          <w:lang w:val="en-US"/>
        </w:rPr>
        <w:t xml:space="preserve">. </w:t>
      </w:r>
      <w:r>
        <w:rPr>
          <w:rFonts w:cs="Times New Roman"/>
          <w:szCs w:val="28"/>
          <w:highlight w:val="none"/>
          <w:shd w:val="clear" w:color="auto" w:fill="FFFFFF"/>
          <w:lang w:val="en-US"/>
        </w:rPr>
        <w:t>doi: 10.1111/jvh.13033</w:t>
      </w:r>
    </w:p>
    <w:p w14:paraId="48322718">
      <w:pPr>
        <w:widowControl w:val="0"/>
        <w:rPr>
          <w:rFonts w:cs="Times New Roman"/>
          <w:szCs w:val="28"/>
          <w:highlight w:val="none"/>
          <w:lang w:val="en-US"/>
        </w:rPr>
      </w:pPr>
      <w:r>
        <w:rPr>
          <w:rFonts w:cs="Times New Roman"/>
          <w:szCs w:val="28"/>
          <w:highlight w:val="none"/>
          <w:lang w:val="en-US"/>
        </w:rPr>
        <w:t xml:space="preserve">273. </w:t>
      </w:r>
      <w:r>
        <w:rPr>
          <w:rStyle w:val="57"/>
          <w:rFonts w:cs="Times New Roman"/>
          <w:szCs w:val="28"/>
          <w:highlight w:val="none"/>
          <w:lang w:val="en-US"/>
        </w:rPr>
        <w:t>Real-world effectiveness of daclatasvir plus sofosbuvir and velpatasvir/sofosbuvir in hepatitis C genotype 2 and 3</w:t>
      </w:r>
      <w:r>
        <w:rPr>
          <w:rFonts w:cs="Times New Roman"/>
          <w:szCs w:val="28"/>
          <w:highlight w:val="none"/>
          <w:lang w:val="en-US"/>
        </w:rPr>
        <w:t xml:space="preserve"> /</w:t>
      </w:r>
      <w:r>
        <w:rPr>
          <w:rStyle w:val="56"/>
          <w:rFonts w:cs="Times New Roman"/>
          <w:szCs w:val="28"/>
          <w:highlight w:val="none"/>
          <w:lang w:val="en-US"/>
        </w:rPr>
        <w:t xml:space="preserve"> P. S. Belperio et al. </w:t>
      </w:r>
      <w:r>
        <w:rPr>
          <w:rFonts w:cs="Times New Roman"/>
          <w:i/>
          <w:iCs/>
          <w:szCs w:val="28"/>
          <w:highlight w:val="none"/>
          <w:lang w:val="en-US"/>
        </w:rPr>
        <w:t>J. Hepatol</w:t>
      </w:r>
      <w:r>
        <w:rPr>
          <w:rStyle w:val="58"/>
          <w:rFonts w:cs="Times New Roman"/>
          <w:szCs w:val="28"/>
          <w:highlight w:val="none"/>
          <w:lang w:val="en-US"/>
        </w:rPr>
        <w:t>. 2019</w:t>
      </w:r>
      <w:r>
        <w:rPr>
          <w:rFonts w:cs="Times New Roman"/>
          <w:szCs w:val="28"/>
          <w:highlight w:val="none"/>
          <w:lang w:val="en-US"/>
        </w:rPr>
        <w:t xml:space="preserve">. Vol. </w:t>
      </w:r>
      <w:r>
        <w:rPr>
          <w:rStyle w:val="59"/>
          <w:rFonts w:cs="Times New Roman"/>
          <w:bCs/>
          <w:szCs w:val="28"/>
          <w:highlight w:val="none"/>
          <w:lang w:val="en-US"/>
        </w:rPr>
        <w:t>70</w:t>
      </w:r>
      <w:r>
        <w:rPr>
          <w:rFonts w:cs="Times New Roman"/>
          <w:szCs w:val="28"/>
          <w:highlight w:val="none"/>
          <w:lang w:val="en-US"/>
        </w:rPr>
        <w:t xml:space="preserve">. P. </w:t>
      </w:r>
      <w:r>
        <w:rPr>
          <w:rStyle w:val="60"/>
          <w:rFonts w:cs="Times New Roman"/>
          <w:szCs w:val="28"/>
          <w:highlight w:val="none"/>
          <w:lang w:val="en-US"/>
        </w:rPr>
        <w:t>15</w:t>
      </w:r>
      <w:r>
        <w:rPr>
          <w:rFonts w:cs="Times New Roman"/>
          <w:szCs w:val="28"/>
          <w:highlight w:val="none"/>
          <w:shd w:val="clear" w:color="auto" w:fill="FFFFFF"/>
          <w:lang w:val="en-US"/>
        </w:rPr>
        <w:t>–</w:t>
      </w:r>
      <w:r>
        <w:rPr>
          <w:rStyle w:val="61"/>
          <w:rFonts w:cs="Times New Roman"/>
          <w:szCs w:val="28"/>
          <w:highlight w:val="none"/>
          <w:lang w:val="en-US"/>
        </w:rPr>
        <w:t>23</w:t>
      </w:r>
      <w:r>
        <w:rPr>
          <w:rFonts w:cs="Times New Roman"/>
          <w:szCs w:val="28"/>
          <w:highlight w:val="none"/>
          <w:lang w:val="en-US"/>
        </w:rPr>
        <w:t xml:space="preserve">. doi: </w:t>
      </w:r>
      <w:r>
        <w:rPr>
          <w:highlight w:val="none"/>
        </w:rPr>
        <w:fldChar w:fldCharType="begin"/>
      </w:r>
      <w:r>
        <w:rPr>
          <w:highlight w:val="none"/>
        </w:rPr>
        <w:instrText xml:space="preserve"> HYPERLINK "https://doi.org/10.1016/j.jhep.2018.09.018"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https://doi.org/10.1016/j.jhep.2018.09.018</w:t>
      </w:r>
      <w:r>
        <w:rPr>
          <w:rStyle w:val="11"/>
          <w:rFonts w:cs="Times New Roman"/>
          <w:color w:val="auto"/>
          <w:szCs w:val="28"/>
          <w:highlight w:val="none"/>
          <w:u w:val="none"/>
          <w:lang w:val="en-US"/>
        </w:rPr>
        <w:fldChar w:fldCharType="end"/>
      </w:r>
    </w:p>
    <w:p w14:paraId="1E8393BE">
      <w:pPr>
        <w:widowControl w:val="0"/>
        <w:rPr>
          <w:rFonts w:cs="Times New Roman"/>
          <w:szCs w:val="28"/>
          <w:highlight w:val="none"/>
          <w:lang w:val="en-US"/>
        </w:rPr>
      </w:pPr>
      <w:r>
        <w:rPr>
          <w:rFonts w:cs="Times New Roman"/>
          <w:szCs w:val="28"/>
          <w:highlight w:val="none"/>
          <w:lang w:val="en-US"/>
        </w:rPr>
        <w:t xml:space="preserve">274. </w:t>
      </w:r>
      <w:r>
        <w:rPr>
          <w:rStyle w:val="57"/>
          <w:rFonts w:cs="Times New Roman"/>
          <w:szCs w:val="28"/>
          <w:highlight w:val="none"/>
          <w:lang w:val="en-US"/>
        </w:rPr>
        <w:t>Effectiveness of ledipasvir/sofosbuvir and sofosbuvir/velpatasvir in people who inject drugs and/or those in opioid agonist therapy</w:t>
      </w:r>
      <w:r>
        <w:rPr>
          <w:rFonts w:cs="Times New Roman"/>
          <w:szCs w:val="28"/>
          <w:highlight w:val="none"/>
          <w:lang w:val="en-US"/>
        </w:rPr>
        <w:t xml:space="preserve"> / </w:t>
      </w:r>
      <w:r>
        <w:rPr>
          <w:rStyle w:val="56"/>
          <w:rFonts w:cs="Times New Roman"/>
          <w:szCs w:val="28"/>
          <w:highlight w:val="none"/>
          <w:lang w:val="en-US"/>
        </w:rPr>
        <w:t>N. Z. Janjua</w:t>
      </w:r>
      <w:r>
        <w:rPr>
          <w:rFonts w:cs="Times New Roman"/>
          <w:szCs w:val="28"/>
          <w:highlight w:val="none"/>
          <w:lang w:val="en-US"/>
        </w:rPr>
        <w:t xml:space="preserve"> et al. </w:t>
      </w:r>
      <w:r>
        <w:rPr>
          <w:rFonts w:cs="Times New Roman"/>
          <w:i/>
          <w:iCs/>
          <w:szCs w:val="28"/>
          <w:highlight w:val="none"/>
          <w:lang w:val="en-US"/>
        </w:rPr>
        <w:t>Hepatol Commun.</w:t>
      </w:r>
      <w:r>
        <w:rPr>
          <w:rFonts w:cs="Times New Roman"/>
          <w:szCs w:val="28"/>
          <w:highlight w:val="none"/>
          <w:lang w:val="en-US"/>
        </w:rPr>
        <w:t> </w:t>
      </w:r>
      <w:r>
        <w:rPr>
          <w:rStyle w:val="58"/>
          <w:rFonts w:cs="Times New Roman"/>
          <w:szCs w:val="28"/>
          <w:highlight w:val="none"/>
          <w:lang w:val="en-US"/>
        </w:rPr>
        <w:t>2019</w:t>
      </w:r>
      <w:r>
        <w:rPr>
          <w:rFonts w:cs="Times New Roman"/>
          <w:szCs w:val="28"/>
          <w:highlight w:val="none"/>
          <w:lang w:val="en-US"/>
        </w:rPr>
        <w:t xml:space="preserve">. Vol. </w:t>
      </w:r>
      <w:r>
        <w:rPr>
          <w:rStyle w:val="59"/>
          <w:rFonts w:cs="Times New Roman"/>
          <w:bCs/>
          <w:szCs w:val="28"/>
          <w:highlight w:val="none"/>
          <w:lang w:val="en-US"/>
        </w:rPr>
        <w:t>3</w:t>
      </w:r>
      <w:r>
        <w:rPr>
          <w:rFonts w:cs="Times New Roman"/>
          <w:szCs w:val="28"/>
          <w:highlight w:val="none"/>
          <w:lang w:val="en-US"/>
        </w:rPr>
        <w:t xml:space="preserve">. P. </w:t>
      </w:r>
      <w:r>
        <w:rPr>
          <w:rStyle w:val="60"/>
          <w:rFonts w:cs="Times New Roman"/>
          <w:szCs w:val="28"/>
          <w:highlight w:val="none"/>
          <w:lang w:val="en-US"/>
        </w:rPr>
        <w:t>478</w:t>
      </w:r>
      <w:r>
        <w:rPr>
          <w:rFonts w:cs="Times New Roman"/>
          <w:szCs w:val="28"/>
          <w:highlight w:val="none"/>
          <w:shd w:val="clear" w:color="auto" w:fill="FFFFFF"/>
          <w:lang w:val="en-US"/>
        </w:rPr>
        <w:t>–</w:t>
      </w:r>
      <w:r>
        <w:rPr>
          <w:rStyle w:val="61"/>
          <w:rFonts w:cs="Times New Roman"/>
          <w:szCs w:val="28"/>
          <w:highlight w:val="none"/>
          <w:lang w:val="en-US"/>
        </w:rPr>
        <w:t>492</w:t>
      </w:r>
      <w:r>
        <w:rPr>
          <w:rFonts w:cs="Times New Roman"/>
          <w:szCs w:val="28"/>
          <w:highlight w:val="none"/>
          <w:lang w:val="en-US"/>
        </w:rPr>
        <w:t xml:space="preserve">. doi: </w:t>
      </w:r>
      <w:r>
        <w:rPr>
          <w:highlight w:val="none"/>
        </w:rPr>
        <w:fldChar w:fldCharType="begin"/>
      </w:r>
      <w:r>
        <w:rPr>
          <w:highlight w:val="none"/>
        </w:rPr>
        <w:instrText xml:space="preserve"> HYPERLINK "https://doi.org/10.1002/hep4.1307" </w:instrText>
      </w:r>
      <w:r>
        <w:rPr>
          <w:highlight w:val="none"/>
        </w:rPr>
        <w:fldChar w:fldCharType="separate"/>
      </w:r>
      <w:r>
        <w:rPr>
          <w:rStyle w:val="11"/>
          <w:rFonts w:cs="Times New Roman"/>
          <w:bCs/>
          <w:color w:val="auto"/>
          <w:szCs w:val="28"/>
          <w:highlight w:val="none"/>
          <w:u w:val="none"/>
          <w:shd w:val="clear" w:color="auto" w:fill="FFFFFF"/>
          <w:lang w:val="en-US"/>
        </w:rPr>
        <w:t>https://doi.org/10.1002/hep4.1307</w:t>
      </w:r>
      <w:r>
        <w:rPr>
          <w:rStyle w:val="11"/>
          <w:rFonts w:cs="Times New Roman"/>
          <w:bCs/>
          <w:color w:val="auto"/>
          <w:szCs w:val="28"/>
          <w:highlight w:val="none"/>
          <w:u w:val="none"/>
          <w:shd w:val="clear" w:color="auto" w:fill="FFFFFF"/>
          <w:lang w:val="en-US"/>
        </w:rPr>
        <w:fldChar w:fldCharType="end"/>
      </w:r>
    </w:p>
    <w:p w14:paraId="2DDB37B4">
      <w:pPr>
        <w:widowControl w:val="0"/>
        <w:rPr>
          <w:rFonts w:cs="Times New Roman"/>
          <w:szCs w:val="28"/>
          <w:highlight w:val="none"/>
          <w:lang w:val="en-US"/>
        </w:rPr>
      </w:pPr>
      <w:r>
        <w:rPr>
          <w:rFonts w:cs="Times New Roman"/>
          <w:szCs w:val="28"/>
          <w:highlight w:val="none"/>
          <w:lang w:val="en-US"/>
        </w:rPr>
        <w:t xml:space="preserve">275. </w:t>
      </w:r>
      <w:r>
        <w:rPr>
          <w:rStyle w:val="57"/>
          <w:rFonts w:cs="Times New Roman"/>
          <w:szCs w:val="28"/>
          <w:highlight w:val="none"/>
          <w:lang w:val="en-US"/>
        </w:rPr>
        <w:t>A retrospective study of the efficacy of sofosbuvir plus NS5A inhibitors for patients with hepatitis C virus genotype-2 chronic infection</w:t>
      </w:r>
      <w:r>
        <w:rPr>
          <w:rFonts w:cs="Times New Roman"/>
          <w:szCs w:val="28"/>
          <w:highlight w:val="none"/>
          <w:lang w:val="en-US"/>
        </w:rPr>
        <w:t xml:space="preserve"> /</w:t>
      </w:r>
      <w:r>
        <w:rPr>
          <w:rStyle w:val="56"/>
          <w:rFonts w:cs="Times New Roman"/>
          <w:szCs w:val="28"/>
          <w:highlight w:val="none"/>
          <w:lang w:val="en-US"/>
        </w:rPr>
        <w:t xml:space="preserve"> D. D. Lv</w:t>
      </w:r>
      <w:r>
        <w:rPr>
          <w:rFonts w:cs="Times New Roman"/>
          <w:szCs w:val="28"/>
          <w:highlight w:val="none"/>
          <w:lang w:val="en-US"/>
        </w:rPr>
        <w:t xml:space="preserve"> et al. </w:t>
      </w:r>
      <w:r>
        <w:rPr>
          <w:rFonts w:cs="Times New Roman"/>
          <w:i/>
          <w:iCs/>
          <w:szCs w:val="28"/>
          <w:highlight w:val="none"/>
          <w:lang w:val="en-US"/>
        </w:rPr>
        <w:t>Eur J. Gastroenterol Hepatol</w:t>
      </w:r>
      <w:r>
        <w:rPr>
          <w:rStyle w:val="58"/>
          <w:rFonts w:cs="Times New Roman"/>
          <w:szCs w:val="28"/>
          <w:highlight w:val="none"/>
          <w:lang w:val="en-US"/>
        </w:rPr>
        <w:t>. 2019</w:t>
      </w:r>
      <w:r>
        <w:rPr>
          <w:rFonts w:cs="Times New Roman"/>
          <w:szCs w:val="28"/>
          <w:highlight w:val="none"/>
          <w:lang w:val="en-US"/>
        </w:rPr>
        <w:t xml:space="preserve">. Vol. </w:t>
      </w:r>
      <w:r>
        <w:rPr>
          <w:rStyle w:val="59"/>
          <w:rFonts w:cs="Times New Roman"/>
          <w:bCs/>
          <w:szCs w:val="28"/>
          <w:highlight w:val="none"/>
          <w:lang w:val="en-US"/>
        </w:rPr>
        <w:t>31</w:t>
      </w:r>
      <w:r>
        <w:rPr>
          <w:rFonts w:cs="Times New Roman"/>
          <w:szCs w:val="28"/>
          <w:highlight w:val="none"/>
          <w:lang w:val="en-US"/>
        </w:rPr>
        <w:t xml:space="preserve">. P. </w:t>
      </w:r>
      <w:r>
        <w:rPr>
          <w:rStyle w:val="60"/>
          <w:rFonts w:cs="Times New Roman"/>
          <w:szCs w:val="28"/>
          <w:highlight w:val="none"/>
          <w:lang w:val="en-US"/>
        </w:rPr>
        <w:t>382</w:t>
      </w:r>
      <w:r>
        <w:rPr>
          <w:rFonts w:cs="Times New Roman"/>
          <w:szCs w:val="28"/>
          <w:highlight w:val="none"/>
          <w:shd w:val="clear" w:color="auto" w:fill="FFFFFF"/>
          <w:lang w:val="en-US"/>
        </w:rPr>
        <w:t>–</w:t>
      </w:r>
      <w:r>
        <w:rPr>
          <w:rStyle w:val="61"/>
          <w:rFonts w:cs="Times New Roman"/>
          <w:szCs w:val="28"/>
          <w:highlight w:val="none"/>
          <w:lang w:val="en-US"/>
        </w:rPr>
        <w:t>388</w:t>
      </w:r>
      <w:r>
        <w:rPr>
          <w:rFonts w:cs="Times New Roman"/>
          <w:szCs w:val="28"/>
          <w:highlight w:val="none"/>
          <w:lang w:val="en-US"/>
        </w:rPr>
        <w:t xml:space="preserve">. </w:t>
      </w:r>
      <w:r>
        <w:rPr>
          <w:rStyle w:val="12"/>
          <w:rFonts w:cs="Times New Roman"/>
          <w:b w:val="0"/>
          <w:szCs w:val="28"/>
          <w:highlight w:val="none"/>
          <w:shd w:val="clear" w:color="auto" w:fill="FFFFFF"/>
          <w:lang w:val="en-US"/>
        </w:rPr>
        <w:t>doi:</w:t>
      </w:r>
      <w:r>
        <w:rPr>
          <w:rFonts w:cs="Times New Roman"/>
          <w:szCs w:val="28"/>
          <w:highlight w:val="none"/>
          <w:shd w:val="clear" w:color="auto" w:fill="FFFFFF"/>
          <w:lang w:val="en-US"/>
        </w:rPr>
        <w:t> </w:t>
      </w:r>
      <w:r>
        <w:rPr>
          <w:highlight w:val="none"/>
        </w:rPr>
        <w:fldChar w:fldCharType="begin"/>
      </w:r>
      <w:r>
        <w:rPr>
          <w:highlight w:val="none"/>
        </w:rPr>
        <w:instrText xml:space="preserve"> HYPERLINK "https://doi.org/10.1097/MEG.0000000000001299" </w:instrText>
      </w:r>
      <w:r>
        <w:rPr>
          <w:highlight w:val="none"/>
        </w:rPr>
        <w:fldChar w:fldCharType="separate"/>
      </w:r>
      <w:r>
        <w:rPr>
          <w:rStyle w:val="11"/>
          <w:rFonts w:cs="Times New Roman"/>
          <w:color w:val="auto"/>
          <w:szCs w:val="28"/>
          <w:highlight w:val="none"/>
          <w:u w:val="none"/>
          <w:shd w:val="clear" w:color="auto" w:fill="FFFFFF"/>
          <w:lang w:val="en-US"/>
        </w:rPr>
        <w:t>https://doi.org/10.1097/MEG.0000000000001299</w:t>
      </w:r>
      <w:r>
        <w:rPr>
          <w:rStyle w:val="11"/>
          <w:rFonts w:cs="Times New Roman"/>
          <w:color w:val="auto"/>
          <w:szCs w:val="28"/>
          <w:highlight w:val="none"/>
          <w:u w:val="none"/>
          <w:shd w:val="clear" w:color="auto" w:fill="FFFFFF"/>
          <w:lang w:val="en-US"/>
        </w:rPr>
        <w:fldChar w:fldCharType="end"/>
      </w:r>
    </w:p>
    <w:p w14:paraId="45BCDB5D">
      <w:pPr>
        <w:widowControl w:val="0"/>
        <w:rPr>
          <w:rFonts w:cs="Times New Roman"/>
          <w:szCs w:val="28"/>
          <w:highlight w:val="none"/>
          <w:lang w:val="en-US"/>
        </w:rPr>
      </w:pPr>
      <w:r>
        <w:rPr>
          <w:rFonts w:cs="Times New Roman"/>
          <w:szCs w:val="28"/>
          <w:highlight w:val="none"/>
          <w:lang w:val="en-US"/>
        </w:rPr>
        <w:t xml:space="preserve">276. </w:t>
      </w:r>
      <w:r>
        <w:rPr>
          <w:rStyle w:val="57"/>
          <w:rFonts w:cs="Times New Roman"/>
          <w:szCs w:val="28"/>
          <w:highlight w:val="none"/>
          <w:lang w:val="en-US"/>
        </w:rPr>
        <w:t>Sofosbuvir based regimens in the treatment of chronic hepatitis C genotype 1 infection in African-American patients: a community-based retrospective cohort study</w:t>
      </w:r>
      <w:r>
        <w:rPr>
          <w:rFonts w:cs="Times New Roman"/>
          <w:szCs w:val="28"/>
          <w:highlight w:val="none"/>
          <w:lang w:val="en-US"/>
        </w:rPr>
        <w:t xml:space="preserve"> /</w:t>
      </w:r>
      <w:r>
        <w:rPr>
          <w:rStyle w:val="56"/>
          <w:rFonts w:cs="Times New Roman"/>
          <w:szCs w:val="28"/>
          <w:highlight w:val="none"/>
          <w:lang w:val="en-US"/>
        </w:rPr>
        <w:t xml:space="preserve"> V. Gayam et al. </w:t>
      </w:r>
      <w:r>
        <w:rPr>
          <w:rFonts w:cs="Times New Roman"/>
          <w:i/>
          <w:iCs/>
          <w:szCs w:val="28"/>
          <w:highlight w:val="none"/>
          <w:lang w:val="en-US"/>
        </w:rPr>
        <w:t>Eur J. Gastroenterol Hepatol.</w:t>
      </w:r>
      <w:r>
        <w:rPr>
          <w:rFonts w:cs="Times New Roman"/>
          <w:szCs w:val="28"/>
          <w:highlight w:val="none"/>
          <w:lang w:val="en-US"/>
        </w:rPr>
        <w:t> </w:t>
      </w:r>
      <w:r>
        <w:rPr>
          <w:rStyle w:val="58"/>
          <w:rFonts w:cs="Times New Roman"/>
          <w:szCs w:val="28"/>
          <w:highlight w:val="none"/>
          <w:lang w:val="en-US"/>
        </w:rPr>
        <w:t>2018</w:t>
      </w:r>
      <w:r>
        <w:rPr>
          <w:rFonts w:cs="Times New Roman"/>
          <w:szCs w:val="28"/>
          <w:highlight w:val="none"/>
          <w:lang w:val="en-US"/>
        </w:rPr>
        <w:t xml:space="preserve">. Vol. </w:t>
      </w:r>
      <w:r>
        <w:rPr>
          <w:rStyle w:val="59"/>
          <w:rFonts w:cs="Times New Roman"/>
          <w:bCs/>
          <w:szCs w:val="28"/>
          <w:highlight w:val="none"/>
          <w:lang w:val="en-US"/>
        </w:rPr>
        <w:t>30</w:t>
      </w:r>
      <w:r>
        <w:rPr>
          <w:rFonts w:cs="Times New Roman"/>
          <w:szCs w:val="28"/>
          <w:highlight w:val="none"/>
          <w:lang w:val="en-US"/>
        </w:rPr>
        <w:t>. P. </w:t>
      </w:r>
      <w:r>
        <w:rPr>
          <w:rStyle w:val="60"/>
          <w:rFonts w:cs="Times New Roman"/>
          <w:szCs w:val="28"/>
          <w:highlight w:val="none"/>
          <w:lang w:val="en-US"/>
        </w:rPr>
        <w:t>1200</w:t>
      </w:r>
      <w:r>
        <w:rPr>
          <w:rFonts w:cs="Times New Roman"/>
          <w:szCs w:val="28"/>
          <w:highlight w:val="none"/>
          <w:shd w:val="clear" w:color="auto" w:fill="FFFFFF"/>
          <w:lang w:val="en-US"/>
        </w:rPr>
        <w:t>–</w:t>
      </w:r>
      <w:r>
        <w:rPr>
          <w:rStyle w:val="61"/>
          <w:rFonts w:cs="Times New Roman"/>
          <w:szCs w:val="28"/>
          <w:highlight w:val="none"/>
          <w:lang w:val="en-US"/>
        </w:rPr>
        <w:t>1207</w:t>
      </w:r>
      <w:r>
        <w:rPr>
          <w:rFonts w:cs="Times New Roman"/>
          <w:szCs w:val="28"/>
          <w:highlight w:val="none"/>
          <w:lang w:val="en-US"/>
        </w:rPr>
        <w:t xml:space="preserve">. </w:t>
      </w:r>
      <w:r>
        <w:rPr>
          <w:rFonts w:cs="Times New Roman"/>
          <w:szCs w:val="28"/>
          <w:highlight w:val="none"/>
          <w:shd w:val="clear" w:color="auto" w:fill="FFFFFF"/>
          <w:lang w:val="en-US"/>
        </w:rPr>
        <w:t>doi: </w:t>
      </w:r>
      <w:r>
        <w:rPr>
          <w:highlight w:val="none"/>
        </w:rPr>
        <w:fldChar w:fldCharType="begin"/>
      </w:r>
      <w:r>
        <w:rPr>
          <w:highlight w:val="none"/>
        </w:rPr>
        <w:instrText xml:space="preserve"> HYPERLINK "https://doi.org/10.1097%2FMEG.0000000000001233" \t "_blank" </w:instrText>
      </w:r>
      <w:r>
        <w:rPr>
          <w:highlight w:val="none"/>
        </w:rPr>
        <w:fldChar w:fldCharType="separate"/>
      </w:r>
      <w:r>
        <w:rPr>
          <w:rStyle w:val="11"/>
          <w:rFonts w:cs="Times New Roman"/>
          <w:color w:val="auto"/>
          <w:szCs w:val="28"/>
          <w:highlight w:val="none"/>
          <w:u w:val="none"/>
          <w:shd w:val="clear" w:color="auto" w:fill="FFFFFF"/>
          <w:lang w:val="en-US"/>
        </w:rPr>
        <w:t>10.1097/MEG.0000000000001233</w:t>
      </w:r>
      <w:r>
        <w:rPr>
          <w:rStyle w:val="11"/>
          <w:rFonts w:cs="Times New Roman"/>
          <w:color w:val="auto"/>
          <w:szCs w:val="28"/>
          <w:highlight w:val="none"/>
          <w:u w:val="none"/>
          <w:shd w:val="clear" w:color="auto" w:fill="FFFFFF"/>
          <w:lang w:val="en-US"/>
        </w:rPr>
        <w:fldChar w:fldCharType="end"/>
      </w:r>
    </w:p>
    <w:p w14:paraId="20D0A2FE">
      <w:pPr>
        <w:widowControl w:val="0"/>
        <w:rPr>
          <w:rFonts w:cs="Times New Roman"/>
          <w:szCs w:val="28"/>
          <w:highlight w:val="none"/>
          <w:lang w:val="en-US"/>
        </w:rPr>
      </w:pPr>
      <w:r>
        <w:rPr>
          <w:rFonts w:cs="Times New Roman"/>
          <w:szCs w:val="28"/>
          <w:highlight w:val="none"/>
          <w:lang w:val="en-US"/>
        </w:rPr>
        <w:t xml:space="preserve">277. </w:t>
      </w:r>
      <w:r>
        <w:rPr>
          <w:rStyle w:val="57"/>
          <w:rFonts w:cs="Times New Roman"/>
          <w:szCs w:val="28"/>
          <w:highlight w:val="none"/>
          <w:lang w:val="en-US"/>
        </w:rPr>
        <w:t>Generic sofosbuvir-based interferon-free direct acting antiviral agents for patients with chronic hepatitis C virus infection: a real-world multicenter observational study</w:t>
      </w:r>
      <w:r>
        <w:rPr>
          <w:rFonts w:cs="Times New Roman"/>
          <w:szCs w:val="28"/>
          <w:highlight w:val="none"/>
          <w:lang w:val="en-US"/>
        </w:rPr>
        <w:t xml:space="preserve"> /</w:t>
      </w:r>
      <w:r>
        <w:rPr>
          <w:rStyle w:val="56"/>
          <w:rFonts w:cs="Times New Roman"/>
          <w:szCs w:val="28"/>
          <w:highlight w:val="none"/>
          <w:lang w:val="en-US"/>
        </w:rPr>
        <w:t xml:space="preserve"> C. H. Liu et al.</w:t>
      </w:r>
      <w:r>
        <w:rPr>
          <w:rFonts w:cs="Times New Roman"/>
          <w:szCs w:val="28"/>
          <w:highlight w:val="none"/>
          <w:lang w:val="en-US"/>
        </w:rPr>
        <w:t> </w:t>
      </w:r>
      <w:r>
        <w:rPr>
          <w:rFonts w:cs="Times New Roman"/>
          <w:i/>
          <w:iCs/>
          <w:szCs w:val="28"/>
          <w:highlight w:val="none"/>
          <w:lang w:val="en-US"/>
        </w:rPr>
        <w:t>Sci Rep</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2018</w:t>
      </w:r>
      <w:r>
        <w:rPr>
          <w:rFonts w:cs="Times New Roman"/>
          <w:szCs w:val="28"/>
          <w:highlight w:val="none"/>
          <w:lang w:val="en-US"/>
        </w:rPr>
        <w:t xml:space="preserve">. Vol. </w:t>
      </w:r>
      <w:r>
        <w:rPr>
          <w:rStyle w:val="59"/>
          <w:rFonts w:cs="Times New Roman"/>
          <w:bCs/>
          <w:szCs w:val="28"/>
          <w:highlight w:val="none"/>
          <w:lang w:val="en-US"/>
        </w:rPr>
        <w:t>8</w:t>
      </w:r>
      <w:r>
        <w:rPr>
          <w:rFonts w:cs="Times New Roman"/>
          <w:szCs w:val="28"/>
          <w:highlight w:val="none"/>
          <w:lang w:val="en-US"/>
        </w:rPr>
        <w:t>. P. </w:t>
      </w:r>
      <w:r>
        <w:rPr>
          <w:rStyle w:val="60"/>
          <w:rFonts w:cs="Times New Roman"/>
          <w:szCs w:val="28"/>
          <w:highlight w:val="none"/>
          <w:lang w:val="en-US"/>
        </w:rPr>
        <w:t>13699</w:t>
      </w:r>
      <w:r>
        <w:rPr>
          <w:rFonts w:cs="Times New Roman"/>
          <w:szCs w:val="28"/>
          <w:highlight w:val="none"/>
          <w:lang w:val="en-US"/>
        </w:rPr>
        <w:t>–</w:t>
      </w:r>
      <w:r>
        <w:rPr>
          <w:rStyle w:val="61"/>
          <w:rFonts w:cs="Times New Roman"/>
          <w:szCs w:val="28"/>
          <w:highlight w:val="none"/>
          <w:lang w:val="en-US"/>
        </w:rPr>
        <w:t>13708</w:t>
      </w:r>
      <w:r>
        <w:rPr>
          <w:rFonts w:cs="Times New Roman"/>
          <w:szCs w:val="28"/>
          <w:highlight w:val="none"/>
          <w:lang w:val="en-US"/>
        </w:rPr>
        <w:t xml:space="preserve">. doi: </w:t>
      </w:r>
      <w:r>
        <w:rPr>
          <w:highlight w:val="none"/>
        </w:rPr>
        <w:fldChar w:fldCharType="begin"/>
      </w:r>
      <w:r>
        <w:rPr>
          <w:highlight w:val="none"/>
        </w:rPr>
        <w:instrText xml:space="preserve"> HYPERLINK "https://doi.org/10.1038/s41598-018-32060-7" </w:instrText>
      </w:r>
      <w:r>
        <w:rPr>
          <w:highlight w:val="none"/>
        </w:rPr>
        <w:fldChar w:fldCharType="separate"/>
      </w:r>
      <w:r>
        <w:rPr>
          <w:rStyle w:val="11"/>
          <w:rFonts w:cs="Times New Roman"/>
          <w:color w:val="auto"/>
          <w:szCs w:val="28"/>
          <w:highlight w:val="none"/>
          <w:u w:val="none"/>
          <w:shd w:val="clear" w:color="auto" w:fill="FFFFFF"/>
          <w:lang w:val="en-US"/>
        </w:rPr>
        <w:t>https://doi.org/10.1038/s41598-018-32060-7</w:t>
      </w:r>
      <w:r>
        <w:rPr>
          <w:rStyle w:val="11"/>
          <w:rFonts w:cs="Times New Roman"/>
          <w:color w:val="auto"/>
          <w:szCs w:val="28"/>
          <w:highlight w:val="none"/>
          <w:u w:val="none"/>
          <w:shd w:val="clear" w:color="auto" w:fill="FFFFFF"/>
          <w:lang w:val="en-US"/>
        </w:rPr>
        <w:fldChar w:fldCharType="end"/>
      </w:r>
    </w:p>
    <w:p w14:paraId="39CB8965">
      <w:pPr>
        <w:widowControl w:val="0"/>
        <w:rPr>
          <w:rFonts w:cs="Times New Roman"/>
          <w:szCs w:val="28"/>
          <w:highlight w:val="none"/>
          <w:lang w:val="en-US"/>
        </w:rPr>
      </w:pPr>
      <w:r>
        <w:rPr>
          <w:rFonts w:cs="Times New Roman"/>
          <w:szCs w:val="28"/>
          <w:highlight w:val="none"/>
          <w:lang w:val="en-US"/>
        </w:rPr>
        <w:t>278.</w:t>
      </w:r>
      <w:r>
        <w:rPr>
          <w:rFonts w:cs="Times New Roman"/>
          <w:szCs w:val="28"/>
          <w:highlight w:val="none"/>
          <w:shd w:val="clear" w:color="auto" w:fill="FFFFFF"/>
          <w:lang w:val="en-US"/>
        </w:rPr>
        <w:t xml:space="preserve"> </w:t>
      </w:r>
      <w:r>
        <w:rPr>
          <w:rStyle w:val="57"/>
          <w:rFonts w:cs="Times New Roman"/>
          <w:szCs w:val="28"/>
          <w:highlight w:val="none"/>
          <w:lang w:val="en-US"/>
        </w:rPr>
        <w:t>Satisfactory virological response and fibrosis improvement of sofosbuvir-based regimens for Chinese patients with hepatitis C virus genotype 3 infection: results of a real-world cohort study</w:t>
      </w:r>
      <w:r>
        <w:rPr>
          <w:rFonts w:cs="Times New Roman"/>
          <w:szCs w:val="28"/>
          <w:highlight w:val="none"/>
          <w:lang w:val="en-US"/>
        </w:rPr>
        <w:t xml:space="preserve"> /</w:t>
      </w:r>
      <w:r>
        <w:rPr>
          <w:rStyle w:val="56"/>
          <w:rFonts w:cs="Times New Roman"/>
          <w:szCs w:val="28"/>
          <w:highlight w:val="none"/>
          <w:lang w:val="en-US"/>
        </w:rPr>
        <w:t xml:space="preserve"> Y. C. Tao et al. </w:t>
      </w:r>
      <w:r>
        <w:rPr>
          <w:rFonts w:cs="Times New Roman"/>
          <w:i/>
          <w:iCs/>
          <w:szCs w:val="28"/>
          <w:highlight w:val="none"/>
          <w:lang w:val="en-US"/>
        </w:rPr>
        <w:t>Virol J.</w:t>
      </w:r>
      <w:r>
        <w:rPr>
          <w:rFonts w:cs="Times New Roman"/>
          <w:szCs w:val="28"/>
          <w:highlight w:val="none"/>
          <w:lang w:val="en-US"/>
        </w:rPr>
        <w:t> </w:t>
      </w:r>
      <w:r>
        <w:rPr>
          <w:rStyle w:val="58"/>
          <w:rFonts w:cs="Times New Roman"/>
          <w:szCs w:val="28"/>
          <w:highlight w:val="none"/>
          <w:lang w:val="en-US"/>
        </w:rPr>
        <w:t>2018</w:t>
      </w:r>
      <w:r>
        <w:rPr>
          <w:rFonts w:cs="Times New Roman"/>
          <w:szCs w:val="28"/>
          <w:highlight w:val="none"/>
          <w:lang w:val="en-US"/>
        </w:rPr>
        <w:t xml:space="preserve">. Vol. </w:t>
      </w:r>
      <w:r>
        <w:rPr>
          <w:rStyle w:val="59"/>
          <w:rFonts w:cs="Times New Roman"/>
          <w:bCs/>
          <w:szCs w:val="28"/>
          <w:highlight w:val="none"/>
          <w:lang w:val="en-US"/>
        </w:rPr>
        <w:t>15</w:t>
      </w:r>
      <w:r>
        <w:rPr>
          <w:rFonts w:cs="Times New Roman"/>
          <w:szCs w:val="28"/>
          <w:highlight w:val="none"/>
          <w:lang w:val="en-US"/>
        </w:rPr>
        <w:t xml:space="preserve">. P. </w:t>
      </w:r>
      <w:r>
        <w:rPr>
          <w:rStyle w:val="60"/>
          <w:rFonts w:cs="Times New Roman"/>
          <w:szCs w:val="28"/>
          <w:highlight w:val="none"/>
          <w:lang w:val="en-US"/>
        </w:rPr>
        <w:t>150</w:t>
      </w:r>
      <w:r>
        <w:rPr>
          <w:rFonts w:cs="Times New Roman"/>
          <w:szCs w:val="28"/>
          <w:highlight w:val="none"/>
          <w:lang w:val="en-US"/>
        </w:rPr>
        <w:t>–</w:t>
      </w:r>
      <w:r>
        <w:rPr>
          <w:rStyle w:val="61"/>
          <w:rFonts w:cs="Times New Roman"/>
          <w:szCs w:val="28"/>
          <w:highlight w:val="none"/>
          <w:lang w:val="en-US"/>
        </w:rPr>
        <w:t>157</w:t>
      </w:r>
      <w:r>
        <w:rPr>
          <w:rFonts w:cs="Times New Roman"/>
          <w:szCs w:val="28"/>
          <w:highlight w:val="none"/>
          <w:lang w:val="en-US"/>
        </w:rPr>
        <w:t xml:space="preserve">. doi: </w:t>
      </w:r>
      <w:r>
        <w:rPr>
          <w:rFonts w:cs="Times New Roman"/>
          <w:szCs w:val="28"/>
          <w:highlight w:val="none"/>
          <w:shd w:val="clear" w:color="auto" w:fill="FFFFFF"/>
          <w:lang w:val="en-US"/>
        </w:rPr>
        <w:t>https://doi.org/10.1186/s12985-018-1066-8</w:t>
      </w:r>
    </w:p>
    <w:p w14:paraId="6F10AC94">
      <w:pPr>
        <w:widowControl w:val="0"/>
        <w:rPr>
          <w:rFonts w:cs="Times New Roman"/>
          <w:szCs w:val="28"/>
          <w:highlight w:val="none"/>
          <w:lang w:val="en-US"/>
        </w:rPr>
      </w:pPr>
      <w:r>
        <w:rPr>
          <w:rFonts w:cs="Times New Roman"/>
          <w:szCs w:val="28"/>
          <w:highlight w:val="none"/>
          <w:lang w:val="en-US"/>
        </w:rPr>
        <w:t xml:space="preserve">279. </w:t>
      </w:r>
      <w:r>
        <w:rPr>
          <w:rStyle w:val="57"/>
          <w:rFonts w:cs="Times New Roman"/>
          <w:szCs w:val="28"/>
          <w:highlight w:val="none"/>
          <w:lang w:val="en-US"/>
        </w:rPr>
        <w:t>Global real world evidence of sofosbuvir/velpatasvir as a simple, effective regimen for the treatment of chronic hepatitis C patients: integrated analysis of 12 clinical practice cohorts</w:t>
      </w:r>
      <w:r>
        <w:rPr>
          <w:rFonts w:cs="Times New Roman"/>
          <w:szCs w:val="28"/>
          <w:highlight w:val="none"/>
          <w:lang w:val="en-US"/>
        </w:rPr>
        <w:t> [Abstract GS-03] / </w:t>
      </w:r>
      <w:r>
        <w:rPr>
          <w:rStyle w:val="56"/>
          <w:rFonts w:cs="Times New Roman"/>
          <w:szCs w:val="28"/>
          <w:highlight w:val="none"/>
          <w:lang w:val="en-US"/>
        </w:rPr>
        <w:t xml:space="preserve">A. Mangia et al. </w:t>
      </w:r>
      <w:r>
        <w:rPr>
          <w:rFonts w:cs="Times New Roman"/>
          <w:i/>
          <w:iCs/>
          <w:szCs w:val="28"/>
          <w:highlight w:val="none"/>
          <w:lang w:val="en-US"/>
        </w:rPr>
        <w:t>J. Hepatol</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2019</w:t>
      </w:r>
      <w:r>
        <w:rPr>
          <w:rFonts w:cs="Times New Roman"/>
          <w:szCs w:val="28"/>
          <w:highlight w:val="none"/>
          <w:lang w:val="en-US"/>
        </w:rPr>
        <w:t xml:space="preserve">. Vol. </w:t>
      </w:r>
      <w:r>
        <w:rPr>
          <w:rStyle w:val="59"/>
          <w:rFonts w:cs="Times New Roman"/>
          <w:bCs/>
          <w:szCs w:val="28"/>
          <w:highlight w:val="none"/>
          <w:lang w:val="en-US"/>
        </w:rPr>
        <w:t>70</w:t>
      </w:r>
      <w:r>
        <w:rPr>
          <w:rFonts w:cs="Times New Roman"/>
          <w:szCs w:val="28"/>
          <w:highlight w:val="none"/>
          <w:lang w:val="en-US"/>
        </w:rPr>
        <w:t>. P. </w:t>
      </w:r>
      <w:r>
        <w:rPr>
          <w:rStyle w:val="60"/>
          <w:rFonts w:cs="Times New Roman"/>
          <w:szCs w:val="28"/>
          <w:highlight w:val="none"/>
          <w:lang w:val="en-US"/>
        </w:rPr>
        <w:t>e2</w:t>
      </w:r>
      <w:r>
        <w:rPr>
          <w:rFonts w:cs="Times New Roman"/>
          <w:szCs w:val="28"/>
          <w:highlight w:val="none"/>
          <w:shd w:val="clear" w:color="auto" w:fill="FFFFFF"/>
          <w:lang w:val="en-US"/>
        </w:rPr>
        <w:t>–</w:t>
      </w:r>
      <w:r>
        <w:rPr>
          <w:rStyle w:val="61"/>
          <w:rFonts w:cs="Times New Roman" w:eastAsiaTheme="majorEastAsia"/>
          <w:szCs w:val="28"/>
          <w:highlight w:val="none"/>
          <w:lang w:val="en-US"/>
        </w:rPr>
        <w:t>e3</w:t>
      </w:r>
      <w:r>
        <w:rPr>
          <w:rFonts w:cs="Times New Roman"/>
          <w:szCs w:val="28"/>
          <w:highlight w:val="none"/>
          <w:lang w:val="en-US"/>
        </w:rPr>
        <w:t>.</w:t>
      </w:r>
    </w:p>
    <w:p w14:paraId="71B830F2">
      <w:pPr>
        <w:widowControl w:val="0"/>
        <w:rPr>
          <w:rFonts w:cs="Times New Roman"/>
          <w:szCs w:val="28"/>
          <w:highlight w:val="none"/>
          <w:lang w:val="en-US"/>
        </w:rPr>
      </w:pPr>
      <w:r>
        <w:rPr>
          <w:rFonts w:cs="Times New Roman"/>
          <w:szCs w:val="28"/>
          <w:highlight w:val="none"/>
          <w:lang w:val="en-US"/>
        </w:rPr>
        <w:t xml:space="preserve">280. </w:t>
      </w:r>
      <w:r>
        <w:rPr>
          <w:rFonts w:cs="Times New Roman"/>
          <w:szCs w:val="28"/>
          <w:highlight w:val="none"/>
          <w:shd w:val="clear" w:color="auto" w:fill="FFFFFF"/>
          <w:lang w:val="en-US"/>
        </w:rPr>
        <w:t xml:space="preserve">Sofosbuvir/velpatasvir for the treatment of HCV: excellent results from a phase-3, open-label study in Russia and Sweden / V. Isakov et al. </w:t>
      </w:r>
      <w:r>
        <w:rPr>
          <w:rFonts w:cs="Times New Roman"/>
          <w:i/>
          <w:szCs w:val="28"/>
          <w:highlight w:val="none"/>
          <w:shd w:val="clear" w:color="auto" w:fill="FFFFFF"/>
          <w:lang w:val="en-US"/>
        </w:rPr>
        <w:t>Infect Dis (Lond).</w:t>
      </w:r>
      <w:r>
        <w:rPr>
          <w:rFonts w:cs="Times New Roman"/>
          <w:szCs w:val="28"/>
          <w:highlight w:val="none"/>
          <w:shd w:val="clear" w:color="auto" w:fill="FFFFFF"/>
          <w:lang w:val="en-US"/>
        </w:rPr>
        <w:t xml:space="preserve"> 2019. Vol. 51 (2). P. 131–139. doi: 10.1080/23744235.2018.1535186</w:t>
      </w:r>
    </w:p>
    <w:p w14:paraId="6AE0BFF7">
      <w:pPr>
        <w:widowControl w:val="0"/>
        <w:rPr>
          <w:rFonts w:cs="Times New Roman"/>
          <w:szCs w:val="28"/>
          <w:highlight w:val="none"/>
          <w:lang w:val="en-US"/>
        </w:rPr>
      </w:pPr>
      <w:r>
        <w:rPr>
          <w:rFonts w:cs="Times New Roman"/>
          <w:szCs w:val="28"/>
          <w:highlight w:val="none"/>
          <w:lang w:val="en-US"/>
        </w:rPr>
        <w:t xml:space="preserve">281. </w:t>
      </w:r>
      <w:r>
        <w:rPr>
          <w:rFonts w:cs="Times New Roman"/>
          <w:szCs w:val="28"/>
          <w:highlight w:val="none"/>
          <w:shd w:val="clear" w:color="auto" w:fill="FFFFFF"/>
          <w:lang w:val="en-US"/>
        </w:rPr>
        <w:t xml:space="preserve">Resistance analysis in patients with genotype 1-6 HCV infection treated with sofosbuvir/velpatasvir in the phase III studies / C. Hezode et al. </w:t>
      </w:r>
      <w:r>
        <w:rPr>
          <w:rFonts w:cs="Times New Roman"/>
          <w:i/>
          <w:szCs w:val="28"/>
          <w:highlight w:val="none"/>
          <w:shd w:val="clear" w:color="auto" w:fill="FFFFFF"/>
          <w:lang w:val="en-US"/>
        </w:rPr>
        <w:t>J. Hepatol</w:t>
      </w:r>
      <w:r>
        <w:rPr>
          <w:rFonts w:cs="Times New Roman"/>
          <w:szCs w:val="28"/>
          <w:highlight w:val="none"/>
          <w:shd w:val="clear" w:color="auto" w:fill="FFFFFF"/>
          <w:lang w:val="en-US"/>
        </w:rPr>
        <w:t>. 2018. Vol. 68 (5). P. 895–903. doi: 10.1016/j.jhep.2017.11.032</w:t>
      </w:r>
    </w:p>
    <w:p w14:paraId="2600017B">
      <w:pPr>
        <w:widowControl w:val="0"/>
        <w:rPr>
          <w:rFonts w:cs="Times New Roman"/>
          <w:szCs w:val="28"/>
          <w:highlight w:val="none"/>
          <w:lang w:val="en-US"/>
        </w:rPr>
      </w:pPr>
      <w:r>
        <w:rPr>
          <w:rFonts w:cs="Times New Roman"/>
          <w:szCs w:val="28"/>
          <w:highlight w:val="none"/>
          <w:lang w:val="en-US"/>
        </w:rPr>
        <w:t xml:space="preserve">282. </w:t>
      </w:r>
      <w:r>
        <w:rPr>
          <w:rStyle w:val="57"/>
          <w:rFonts w:cs="Times New Roman"/>
          <w:szCs w:val="28"/>
          <w:highlight w:val="none"/>
          <w:lang w:val="en-US"/>
        </w:rPr>
        <w:t>Efficacy and safety of glecaprevir/pibrentasvir in patients with chronic hepatitis C virus genotype 5 or 6 infection (ENDURANCE-5,6): an open-label, multicentre, phase 3b trial</w:t>
      </w:r>
      <w:r>
        <w:rPr>
          <w:rFonts w:cs="Times New Roman"/>
          <w:szCs w:val="28"/>
          <w:highlight w:val="none"/>
          <w:lang w:val="en-US"/>
        </w:rPr>
        <w:t xml:space="preserve"> /</w:t>
      </w:r>
      <w:r>
        <w:rPr>
          <w:rStyle w:val="56"/>
          <w:rFonts w:cs="Times New Roman"/>
          <w:szCs w:val="28"/>
          <w:highlight w:val="none"/>
          <w:lang w:val="en-US"/>
        </w:rPr>
        <w:t xml:space="preserve"> T. Asselah et al. </w:t>
      </w:r>
      <w:r>
        <w:rPr>
          <w:rFonts w:cs="Times New Roman"/>
          <w:i/>
          <w:iCs/>
          <w:szCs w:val="28"/>
          <w:highlight w:val="none"/>
          <w:lang w:val="en-US"/>
        </w:rPr>
        <w:t>Lancet Gastroenterol Hepatol.</w:t>
      </w:r>
      <w:r>
        <w:rPr>
          <w:rFonts w:cs="Times New Roman"/>
          <w:szCs w:val="28"/>
          <w:highlight w:val="none"/>
          <w:lang w:val="en-US"/>
        </w:rPr>
        <w:t> </w:t>
      </w:r>
      <w:r>
        <w:rPr>
          <w:rStyle w:val="58"/>
          <w:rFonts w:cs="Times New Roman"/>
          <w:szCs w:val="28"/>
          <w:highlight w:val="none"/>
          <w:lang w:val="en-US"/>
        </w:rPr>
        <w:t>2019</w:t>
      </w:r>
      <w:r>
        <w:rPr>
          <w:rFonts w:cs="Times New Roman"/>
          <w:szCs w:val="28"/>
          <w:highlight w:val="none"/>
          <w:lang w:val="en-US"/>
        </w:rPr>
        <w:t xml:space="preserve">. Vol. </w:t>
      </w:r>
      <w:r>
        <w:rPr>
          <w:rStyle w:val="59"/>
          <w:rFonts w:cs="Times New Roman"/>
          <w:bCs/>
          <w:szCs w:val="28"/>
          <w:highlight w:val="none"/>
          <w:lang w:val="en-US"/>
        </w:rPr>
        <w:t>4</w:t>
      </w:r>
      <w:r>
        <w:rPr>
          <w:rFonts w:cs="Times New Roman"/>
          <w:szCs w:val="28"/>
          <w:highlight w:val="none"/>
          <w:lang w:val="en-US"/>
        </w:rPr>
        <w:t xml:space="preserve">. P. </w:t>
      </w:r>
      <w:r>
        <w:rPr>
          <w:rStyle w:val="60"/>
          <w:rFonts w:cs="Times New Roman"/>
          <w:szCs w:val="28"/>
          <w:highlight w:val="none"/>
          <w:lang w:val="en-US"/>
        </w:rPr>
        <w:t>45</w:t>
      </w:r>
      <w:r>
        <w:rPr>
          <w:rFonts w:cs="Times New Roman"/>
          <w:szCs w:val="28"/>
          <w:highlight w:val="none"/>
          <w:shd w:val="clear" w:color="auto" w:fill="FFFFFF"/>
          <w:lang w:val="en-US"/>
        </w:rPr>
        <w:t>–</w:t>
      </w:r>
      <w:r>
        <w:rPr>
          <w:rStyle w:val="61"/>
          <w:rFonts w:cs="Times New Roman"/>
          <w:szCs w:val="28"/>
          <w:highlight w:val="none"/>
          <w:lang w:val="en-US"/>
        </w:rPr>
        <w:t>51</w:t>
      </w:r>
      <w:r>
        <w:rPr>
          <w:rFonts w:cs="Times New Roman"/>
          <w:szCs w:val="28"/>
          <w:highlight w:val="none"/>
          <w:lang w:val="en-US"/>
        </w:rPr>
        <w:t xml:space="preserve">. doi: </w:t>
      </w:r>
      <w:r>
        <w:rPr>
          <w:highlight w:val="none"/>
        </w:rPr>
        <w:fldChar w:fldCharType="begin"/>
      </w:r>
      <w:r>
        <w:rPr>
          <w:highlight w:val="none"/>
        </w:rPr>
        <w:instrText xml:space="preserve"> HYPERLINK "https://doi.org/10.1016/S2468-1253(18)30341-8"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https://doi.org/10.1016/S2468-1253(18)30341-8</w:t>
      </w:r>
      <w:r>
        <w:rPr>
          <w:rStyle w:val="11"/>
          <w:rFonts w:cs="Times New Roman"/>
          <w:color w:val="auto"/>
          <w:szCs w:val="28"/>
          <w:highlight w:val="none"/>
          <w:u w:val="none"/>
          <w:lang w:val="en-US"/>
        </w:rPr>
        <w:fldChar w:fldCharType="end"/>
      </w:r>
    </w:p>
    <w:p w14:paraId="7399EC15">
      <w:pPr>
        <w:widowControl w:val="0"/>
        <w:rPr>
          <w:rFonts w:cs="Times New Roman"/>
          <w:szCs w:val="28"/>
          <w:highlight w:val="none"/>
          <w:lang w:val="en-US"/>
        </w:rPr>
      </w:pPr>
      <w:r>
        <w:rPr>
          <w:rFonts w:cs="Times New Roman"/>
          <w:szCs w:val="28"/>
          <w:highlight w:val="none"/>
          <w:lang w:val="en-US"/>
        </w:rPr>
        <w:t>283. </w:t>
      </w:r>
      <w:r>
        <w:rPr>
          <w:rStyle w:val="57"/>
          <w:rFonts w:cs="Times New Roman"/>
          <w:szCs w:val="28"/>
          <w:highlight w:val="none"/>
          <w:lang w:val="en-US"/>
        </w:rPr>
        <w:t>Glecaprevir/pibrentasvir in patients with chronic HCV genotype 3 infection: an integrated phase 2/3 analysis</w:t>
      </w:r>
      <w:r>
        <w:rPr>
          <w:rFonts w:cs="Times New Roman"/>
          <w:szCs w:val="28"/>
          <w:highlight w:val="none"/>
          <w:lang w:val="en-US"/>
        </w:rPr>
        <w:t xml:space="preserve"> /</w:t>
      </w:r>
      <w:r>
        <w:rPr>
          <w:rStyle w:val="56"/>
          <w:rFonts w:cs="Times New Roman"/>
          <w:szCs w:val="28"/>
          <w:highlight w:val="none"/>
          <w:lang w:val="en-US"/>
        </w:rPr>
        <w:t xml:space="preserve"> S. Flamm et al. </w:t>
      </w:r>
      <w:r>
        <w:rPr>
          <w:rFonts w:cs="Times New Roman"/>
          <w:i/>
          <w:iCs/>
          <w:szCs w:val="28"/>
          <w:highlight w:val="none"/>
          <w:lang w:val="en-US"/>
        </w:rPr>
        <w:t>J. Viral Hepat</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2019</w:t>
      </w:r>
      <w:r>
        <w:rPr>
          <w:rFonts w:cs="Times New Roman"/>
          <w:szCs w:val="28"/>
          <w:highlight w:val="none"/>
          <w:lang w:val="en-US"/>
        </w:rPr>
        <w:t xml:space="preserve">. Vol. </w:t>
      </w:r>
      <w:r>
        <w:rPr>
          <w:rStyle w:val="59"/>
          <w:rFonts w:cs="Times New Roman"/>
          <w:bCs/>
          <w:szCs w:val="28"/>
          <w:highlight w:val="none"/>
          <w:lang w:val="en-US"/>
        </w:rPr>
        <w:t>26</w:t>
      </w:r>
      <w:r>
        <w:rPr>
          <w:rFonts w:cs="Times New Roman"/>
          <w:szCs w:val="28"/>
          <w:highlight w:val="none"/>
          <w:lang w:val="en-US"/>
        </w:rPr>
        <w:t xml:space="preserve">. P. </w:t>
      </w:r>
      <w:r>
        <w:rPr>
          <w:rStyle w:val="60"/>
          <w:rFonts w:cs="Times New Roman"/>
          <w:szCs w:val="28"/>
          <w:highlight w:val="none"/>
          <w:lang w:val="en-US"/>
        </w:rPr>
        <w:t>337</w:t>
      </w:r>
      <w:r>
        <w:rPr>
          <w:rFonts w:cs="Times New Roman"/>
          <w:szCs w:val="28"/>
          <w:highlight w:val="none"/>
          <w:shd w:val="clear" w:color="auto" w:fill="FFFFFF"/>
          <w:lang w:val="en-US"/>
        </w:rPr>
        <w:t>–</w:t>
      </w:r>
      <w:r>
        <w:rPr>
          <w:rStyle w:val="61"/>
          <w:rFonts w:cs="Times New Roman"/>
          <w:szCs w:val="28"/>
          <w:highlight w:val="none"/>
          <w:lang w:val="en-US"/>
        </w:rPr>
        <w:t>349</w:t>
      </w:r>
      <w:r>
        <w:rPr>
          <w:rFonts w:cs="Times New Roman"/>
          <w:szCs w:val="28"/>
          <w:highlight w:val="none"/>
          <w:lang w:val="en-US"/>
        </w:rPr>
        <w:t xml:space="preserve">. doi: </w:t>
      </w:r>
      <w:r>
        <w:rPr>
          <w:highlight w:val="none"/>
        </w:rPr>
        <w:fldChar w:fldCharType="begin"/>
      </w:r>
      <w:r>
        <w:rPr>
          <w:highlight w:val="none"/>
        </w:rPr>
        <w:instrText xml:space="preserve"> HYPERLINK "https://doi.org/10.1111/jvh.13038" </w:instrText>
      </w:r>
      <w:r>
        <w:rPr>
          <w:highlight w:val="none"/>
        </w:rPr>
        <w:fldChar w:fldCharType="separate"/>
      </w:r>
      <w:r>
        <w:rPr>
          <w:rStyle w:val="11"/>
          <w:rFonts w:cs="Times New Roman"/>
          <w:bCs/>
          <w:color w:val="auto"/>
          <w:szCs w:val="28"/>
          <w:highlight w:val="none"/>
          <w:u w:val="none"/>
          <w:lang w:val="en-US"/>
        </w:rPr>
        <w:t>https://doi.org/10.1111/jvh.13038</w:t>
      </w:r>
      <w:r>
        <w:rPr>
          <w:rStyle w:val="11"/>
          <w:rFonts w:cs="Times New Roman"/>
          <w:bCs/>
          <w:color w:val="auto"/>
          <w:szCs w:val="28"/>
          <w:highlight w:val="none"/>
          <w:u w:val="none"/>
          <w:lang w:val="en-US"/>
        </w:rPr>
        <w:fldChar w:fldCharType="end"/>
      </w:r>
    </w:p>
    <w:p w14:paraId="42B9EB8D">
      <w:pPr>
        <w:widowControl w:val="0"/>
        <w:rPr>
          <w:rFonts w:cs="Times New Roman"/>
          <w:szCs w:val="28"/>
          <w:highlight w:val="none"/>
          <w:lang w:val="en-US"/>
        </w:rPr>
      </w:pPr>
      <w:r>
        <w:rPr>
          <w:rFonts w:cs="Times New Roman"/>
          <w:szCs w:val="28"/>
          <w:highlight w:val="none"/>
          <w:lang w:val="en-US"/>
        </w:rPr>
        <w:t xml:space="preserve">284. </w:t>
      </w:r>
      <w:r>
        <w:rPr>
          <w:rStyle w:val="57"/>
          <w:rFonts w:cs="Times New Roman"/>
          <w:szCs w:val="28"/>
          <w:highlight w:val="none"/>
          <w:lang w:val="en-US"/>
        </w:rPr>
        <w:t>Glecaprevir/pibrentasvir in patients with chronic HCV and recent drug use: an integrated analysis of 7 phase III studies</w:t>
      </w:r>
      <w:r>
        <w:rPr>
          <w:rFonts w:cs="Times New Roman"/>
          <w:szCs w:val="28"/>
          <w:highlight w:val="none"/>
          <w:lang w:val="en-US"/>
        </w:rPr>
        <w:t xml:space="preserve"> / </w:t>
      </w:r>
      <w:r>
        <w:rPr>
          <w:rStyle w:val="56"/>
          <w:rFonts w:cs="Times New Roman"/>
          <w:szCs w:val="28"/>
          <w:highlight w:val="none"/>
          <w:lang w:val="en-US"/>
        </w:rPr>
        <w:t xml:space="preserve">G. R. Foster et al. </w:t>
      </w:r>
      <w:r>
        <w:rPr>
          <w:rFonts w:cs="Times New Roman"/>
          <w:i/>
          <w:iCs/>
          <w:szCs w:val="28"/>
          <w:highlight w:val="none"/>
          <w:lang w:val="en-US"/>
        </w:rPr>
        <w:t>Drug Alcohol Depend</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2019</w:t>
      </w:r>
      <w:r>
        <w:rPr>
          <w:rFonts w:cs="Times New Roman"/>
          <w:szCs w:val="28"/>
          <w:highlight w:val="none"/>
          <w:lang w:val="en-US"/>
        </w:rPr>
        <w:t xml:space="preserve">. Vol. </w:t>
      </w:r>
      <w:r>
        <w:rPr>
          <w:rStyle w:val="59"/>
          <w:rFonts w:cs="Times New Roman"/>
          <w:bCs/>
          <w:szCs w:val="28"/>
          <w:highlight w:val="none"/>
          <w:lang w:val="en-US"/>
        </w:rPr>
        <w:t>194</w:t>
      </w:r>
      <w:r>
        <w:rPr>
          <w:rFonts w:cs="Times New Roman"/>
          <w:szCs w:val="28"/>
          <w:highlight w:val="none"/>
          <w:lang w:val="en-US"/>
        </w:rPr>
        <w:t>. P. </w:t>
      </w:r>
      <w:r>
        <w:rPr>
          <w:rStyle w:val="60"/>
          <w:rFonts w:cs="Times New Roman"/>
          <w:szCs w:val="28"/>
          <w:highlight w:val="none"/>
          <w:lang w:val="en-US"/>
        </w:rPr>
        <w:t>487</w:t>
      </w:r>
      <w:r>
        <w:rPr>
          <w:rFonts w:cs="Times New Roman"/>
          <w:szCs w:val="28"/>
          <w:highlight w:val="none"/>
          <w:shd w:val="clear" w:color="auto" w:fill="FFFFFF"/>
          <w:lang w:val="en-US"/>
        </w:rPr>
        <w:t>–</w:t>
      </w:r>
      <w:r>
        <w:rPr>
          <w:rStyle w:val="61"/>
          <w:rFonts w:cs="Times New Roman"/>
          <w:szCs w:val="28"/>
          <w:highlight w:val="none"/>
          <w:lang w:val="en-US"/>
        </w:rPr>
        <w:t>494</w:t>
      </w:r>
      <w:r>
        <w:rPr>
          <w:rFonts w:cs="Times New Roman"/>
          <w:szCs w:val="28"/>
          <w:highlight w:val="none"/>
          <w:lang w:val="en-US"/>
        </w:rPr>
        <w:t xml:space="preserve">. doi: </w:t>
      </w:r>
      <w:r>
        <w:rPr>
          <w:highlight w:val="none"/>
        </w:rPr>
        <w:fldChar w:fldCharType="begin"/>
      </w:r>
      <w:r>
        <w:rPr>
          <w:highlight w:val="none"/>
        </w:rPr>
        <w:instrText xml:space="preserve"> HYPERLINK "https://doi.org/10.1016/j.drugalcdep.2018.11.007"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https://doi.org/10.1016/j.drugalcdep.2018.11.007</w:t>
      </w:r>
      <w:r>
        <w:rPr>
          <w:rStyle w:val="11"/>
          <w:rFonts w:cs="Times New Roman"/>
          <w:color w:val="auto"/>
          <w:szCs w:val="28"/>
          <w:highlight w:val="none"/>
          <w:u w:val="none"/>
          <w:lang w:val="en-US"/>
        </w:rPr>
        <w:fldChar w:fldCharType="end"/>
      </w:r>
    </w:p>
    <w:p w14:paraId="63FBE604">
      <w:pPr>
        <w:widowControl w:val="0"/>
        <w:rPr>
          <w:rFonts w:cs="Times New Roman"/>
          <w:szCs w:val="28"/>
          <w:highlight w:val="none"/>
          <w:lang w:val="en-US"/>
        </w:rPr>
      </w:pPr>
      <w:r>
        <w:rPr>
          <w:rFonts w:cs="Times New Roman"/>
          <w:szCs w:val="28"/>
          <w:highlight w:val="none"/>
          <w:lang w:val="en-US"/>
        </w:rPr>
        <w:t xml:space="preserve">285. </w:t>
      </w:r>
      <w:r>
        <w:rPr>
          <w:rStyle w:val="57"/>
          <w:rFonts w:cs="Times New Roman"/>
          <w:szCs w:val="28"/>
          <w:highlight w:val="none"/>
          <w:lang w:val="en-US"/>
        </w:rPr>
        <w:t>Safety and efficacy of glecaprevir/pibrentasvir for the treatment of chronic hepatitis C in patients aged 65 years or older</w:t>
      </w:r>
      <w:r>
        <w:rPr>
          <w:rFonts w:cs="Times New Roman"/>
          <w:szCs w:val="28"/>
          <w:highlight w:val="none"/>
          <w:lang w:val="en-US"/>
        </w:rPr>
        <w:t xml:space="preserve"> /</w:t>
      </w:r>
      <w:r>
        <w:rPr>
          <w:rStyle w:val="56"/>
          <w:rFonts w:cs="Times New Roman"/>
          <w:szCs w:val="28"/>
          <w:highlight w:val="none"/>
          <w:lang w:val="en-US"/>
        </w:rPr>
        <w:t xml:space="preserve"> G. R. Foster et al. </w:t>
      </w:r>
      <w:r>
        <w:rPr>
          <w:rFonts w:cs="Times New Roman"/>
          <w:i/>
          <w:iCs/>
          <w:szCs w:val="28"/>
          <w:highlight w:val="none"/>
          <w:lang w:val="en-US"/>
        </w:rPr>
        <w:t>PLoS One</w:t>
      </w:r>
      <w:r>
        <w:rPr>
          <w:rFonts w:cs="Times New Roman"/>
          <w:iCs/>
          <w:szCs w:val="28"/>
          <w:highlight w:val="none"/>
          <w:lang w:val="en-US"/>
        </w:rPr>
        <w:t xml:space="preserve">. </w:t>
      </w:r>
      <w:r>
        <w:rPr>
          <w:rStyle w:val="58"/>
          <w:rFonts w:cs="Times New Roman"/>
          <w:szCs w:val="28"/>
          <w:highlight w:val="none"/>
          <w:lang w:val="en-US"/>
        </w:rPr>
        <w:t>2019</w:t>
      </w:r>
      <w:r>
        <w:rPr>
          <w:rFonts w:cs="Times New Roman"/>
          <w:szCs w:val="28"/>
          <w:highlight w:val="none"/>
          <w:lang w:val="en-US"/>
        </w:rPr>
        <w:t xml:space="preserve">. Vol. </w:t>
      </w:r>
      <w:r>
        <w:rPr>
          <w:rStyle w:val="59"/>
          <w:rFonts w:cs="Times New Roman"/>
          <w:bCs/>
          <w:szCs w:val="28"/>
          <w:highlight w:val="none"/>
          <w:lang w:val="en-US"/>
        </w:rPr>
        <w:t>14</w:t>
      </w:r>
      <w:r>
        <w:rPr>
          <w:rFonts w:cs="Times New Roman"/>
          <w:szCs w:val="28"/>
          <w:highlight w:val="none"/>
          <w:lang w:val="en-US"/>
        </w:rPr>
        <w:t xml:space="preserve">. P. e0208506. doi: </w:t>
      </w:r>
      <w:r>
        <w:rPr>
          <w:highlight w:val="none"/>
        </w:rPr>
        <w:fldChar w:fldCharType="begin"/>
      </w:r>
      <w:r>
        <w:rPr>
          <w:highlight w:val="none"/>
        </w:rPr>
        <w:instrText xml:space="preserve"> HYPERLINK "https://doi.org/10.1371/journal.pone.0208506" </w:instrText>
      </w:r>
      <w:r>
        <w:rPr>
          <w:highlight w:val="none"/>
        </w:rPr>
        <w:fldChar w:fldCharType="separate"/>
      </w:r>
      <w:r>
        <w:rPr>
          <w:rStyle w:val="11"/>
          <w:rFonts w:cs="Times New Roman"/>
          <w:color w:val="auto"/>
          <w:szCs w:val="28"/>
          <w:highlight w:val="none"/>
          <w:u w:val="none"/>
          <w:lang w:val="en-US"/>
        </w:rPr>
        <w:t>https://doi.org/10.1371/journal.pone.0208506</w:t>
      </w:r>
      <w:r>
        <w:rPr>
          <w:rStyle w:val="11"/>
          <w:rFonts w:cs="Times New Roman"/>
          <w:color w:val="auto"/>
          <w:szCs w:val="28"/>
          <w:highlight w:val="none"/>
          <w:u w:val="none"/>
          <w:lang w:val="en-US"/>
        </w:rPr>
        <w:fldChar w:fldCharType="end"/>
      </w:r>
    </w:p>
    <w:p w14:paraId="7B7A2680">
      <w:pPr>
        <w:widowControl w:val="0"/>
        <w:rPr>
          <w:rFonts w:cs="Times New Roman"/>
          <w:szCs w:val="28"/>
          <w:highlight w:val="none"/>
          <w:lang w:val="en-US"/>
        </w:rPr>
      </w:pPr>
      <w:r>
        <w:rPr>
          <w:rFonts w:cs="Times New Roman"/>
          <w:szCs w:val="28"/>
          <w:highlight w:val="none"/>
          <w:lang w:val="en-US"/>
        </w:rPr>
        <w:t xml:space="preserve">286. </w:t>
      </w:r>
      <w:r>
        <w:rPr>
          <w:rStyle w:val="57"/>
          <w:rFonts w:cs="Times New Roman"/>
          <w:szCs w:val="28"/>
          <w:highlight w:val="none"/>
          <w:lang w:val="en-US"/>
        </w:rPr>
        <w:t>Integrated analysis of 8-week glecaprevir/pibrentasvir in Japanese and overseas patients without cirrhosis and with hepatitis C virus genotype 1 or 2 infection</w:t>
      </w:r>
      <w:r>
        <w:rPr>
          <w:rFonts w:cs="Times New Roman"/>
          <w:szCs w:val="28"/>
          <w:highlight w:val="none"/>
          <w:lang w:val="en-US"/>
        </w:rPr>
        <w:t xml:space="preserve"> /</w:t>
      </w:r>
      <w:r>
        <w:rPr>
          <w:rStyle w:val="56"/>
          <w:rFonts w:cs="Times New Roman"/>
          <w:szCs w:val="28"/>
          <w:highlight w:val="none"/>
          <w:lang w:val="en-US"/>
        </w:rPr>
        <w:t xml:space="preserve"> A. Naganuma et al.</w:t>
      </w:r>
      <w:r>
        <w:rPr>
          <w:rFonts w:cs="Times New Roman"/>
          <w:szCs w:val="28"/>
          <w:highlight w:val="none"/>
          <w:lang w:val="en-US"/>
        </w:rPr>
        <w:t> </w:t>
      </w:r>
      <w:r>
        <w:rPr>
          <w:rFonts w:cs="Times New Roman"/>
          <w:i/>
          <w:iCs/>
          <w:szCs w:val="28"/>
          <w:highlight w:val="none"/>
          <w:lang w:val="en-US"/>
        </w:rPr>
        <w:t>J. Gastroenterol</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2019</w:t>
      </w:r>
      <w:r>
        <w:rPr>
          <w:rFonts w:cs="Times New Roman"/>
          <w:szCs w:val="28"/>
          <w:highlight w:val="none"/>
          <w:lang w:val="en-US"/>
        </w:rPr>
        <w:t>. Vol. </w:t>
      </w:r>
      <w:r>
        <w:rPr>
          <w:rStyle w:val="59"/>
          <w:rFonts w:cs="Times New Roman"/>
          <w:bCs/>
          <w:szCs w:val="28"/>
          <w:highlight w:val="none"/>
          <w:lang w:val="en-US"/>
        </w:rPr>
        <w:t>54</w:t>
      </w:r>
      <w:r>
        <w:rPr>
          <w:rFonts w:cs="Times New Roman"/>
          <w:szCs w:val="28"/>
          <w:highlight w:val="none"/>
          <w:lang w:val="en-US"/>
        </w:rPr>
        <w:t>. P. </w:t>
      </w:r>
      <w:r>
        <w:rPr>
          <w:rStyle w:val="60"/>
          <w:rFonts w:cs="Times New Roman"/>
          <w:szCs w:val="28"/>
          <w:highlight w:val="none"/>
          <w:lang w:val="en-US"/>
        </w:rPr>
        <w:t>752</w:t>
      </w:r>
      <w:r>
        <w:rPr>
          <w:rFonts w:cs="Times New Roman"/>
          <w:szCs w:val="28"/>
          <w:highlight w:val="none"/>
          <w:shd w:val="clear" w:color="auto" w:fill="FFFFFF"/>
          <w:lang w:val="en-US"/>
        </w:rPr>
        <w:t>–</w:t>
      </w:r>
      <w:r>
        <w:rPr>
          <w:rStyle w:val="61"/>
          <w:rFonts w:cs="Times New Roman"/>
          <w:szCs w:val="28"/>
          <w:highlight w:val="none"/>
          <w:lang w:val="en-US"/>
        </w:rPr>
        <w:t>761</w:t>
      </w:r>
      <w:r>
        <w:rPr>
          <w:rFonts w:cs="Times New Roman"/>
          <w:szCs w:val="28"/>
          <w:highlight w:val="none"/>
          <w:lang w:val="en-US"/>
        </w:rPr>
        <w:t xml:space="preserve">. doi: </w:t>
      </w:r>
      <w:r>
        <w:rPr>
          <w:rFonts w:cs="Times New Roman"/>
          <w:szCs w:val="28"/>
          <w:highlight w:val="none"/>
          <w:shd w:val="clear" w:color="auto" w:fill="FCFCFC"/>
          <w:lang w:val="en-US"/>
        </w:rPr>
        <w:t>https://doi.org/10.1007/s00535-019-01569-7</w:t>
      </w:r>
    </w:p>
    <w:p w14:paraId="1B7FEAE3">
      <w:pPr>
        <w:widowControl w:val="0"/>
        <w:rPr>
          <w:rFonts w:cs="Times New Roman"/>
          <w:szCs w:val="28"/>
          <w:highlight w:val="none"/>
          <w:lang w:val="en-US"/>
        </w:rPr>
      </w:pPr>
      <w:r>
        <w:rPr>
          <w:rFonts w:cs="Times New Roman"/>
          <w:szCs w:val="28"/>
          <w:highlight w:val="none"/>
          <w:lang w:val="en-US"/>
        </w:rPr>
        <w:t>287.</w:t>
      </w:r>
      <w:r>
        <w:rPr>
          <w:rFonts w:cs="Times New Roman"/>
          <w:szCs w:val="28"/>
          <w:highlight w:val="none"/>
          <w:shd w:val="clear" w:color="auto" w:fill="FCFCFC"/>
          <w:lang w:val="en-US"/>
        </w:rPr>
        <w:t xml:space="preserve"> </w:t>
      </w:r>
      <w:r>
        <w:rPr>
          <w:rStyle w:val="57"/>
          <w:rFonts w:cs="Times New Roman"/>
          <w:szCs w:val="28"/>
          <w:highlight w:val="none"/>
          <w:lang w:val="en-US"/>
        </w:rPr>
        <w:t>Safety and efficacy of glecaprevir/pibrentasvir for the treatment of HCV genotype 1-6: results of the HCV-Target Study [Abstract 956]</w:t>
      </w:r>
      <w:r>
        <w:rPr>
          <w:rFonts w:cs="Times New Roman"/>
          <w:szCs w:val="28"/>
          <w:highlight w:val="none"/>
          <w:lang w:val="en-US"/>
        </w:rPr>
        <w:t xml:space="preserve"> /</w:t>
      </w:r>
      <w:r>
        <w:rPr>
          <w:rStyle w:val="56"/>
          <w:rFonts w:cs="Times New Roman"/>
          <w:szCs w:val="28"/>
          <w:highlight w:val="none"/>
          <w:lang w:val="en-US"/>
        </w:rPr>
        <w:t xml:space="preserve"> R. K. Sterling et al. </w:t>
      </w:r>
      <w:r>
        <w:rPr>
          <w:rFonts w:cs="Times New Roman"/>
          <w:i/>
          <w:iCs/>
          <w:szCs w:val="28"/>
          <w:highlight w:val="none"/>
          <w:lang w:val="en-US"/>
        </w:rPr>
        <w:t>Gastroenterology</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2019</w:t>
      </w:r>
      <w:r>
        <w:rPr>
          <w:rFonts w:cs="Times New Roman"/>
          <w:szCs w:val="28"/>
          <w:highlight w:val="none"/>
          <w:lang w:val="en-US"/>
        </w:rPr>
        <w:t xml:space="preserve">. Vol. </w:t>
      </w:r>
      <w:r>
        <w:rPr>
          <w:rStyle w:val="59"/>
          <w:rFonts w:cs="Times New Roman"/>
          <w:bCs/>
          <w:szCs w:val="28"/>
          <w:highlight w:val="none"/>
          <w:lang w:val="en-US"/>
        </w:rPr>
        <w:t>156</w:t>
      </w:r>
      <w:r>
        <w:rPr>
          <w:rFonts w:cs="Times New Roman"/>
          <w:szCs w:val="28"/>
          <w:highlight w:val="none"/>
          <w:lang w:val="en-US"/>
        </w:rPr>
        <w:t xml:space="preserve">, </w:t>
      </w:r>
      <w:r>
        <w:rPr>
          <w:rStyle w:val="62"/>
          <w:rFonts w:cs="Times New Roman"/>
          <w:szCs w:val="28"/>
          <w:highlight w:val="none"/>
          <w:lang w:val="en-US"/>
        </w:rPr>
        <w:t>Suppl. 1</w:t>
      </w:r>
      <w:r>
        <w:rPr>
          <w:rFonts w:cs="Times New Roman"/>
          <w:szCs w:val="28"/>
          <w:highlight w:val="none"/>
          <w:lang w:val="en-US"/>
        </w:rPr>
        <w:t xml:space="preserve">. P. </w:t>
      </w:r>
      <w:r>
        <w:rPr>
          <w:rStyle w:val="60"/>
          <w:rFonts w:cs="Times New Roman"/>
          <w:szCs w:val="28"/>
          <w:highlight w:val="none"/>
          <w:lang w:val="en-US"/>
        </w:rPr>
        <w:t>S1220</w:t>
      </w:r>
      <w:r>
        <w:rPr>
          <w:rFonts w:cs="Times New Roman"/>
          <w:szCs w:val="28"/>
          <w:highlight w:val="none"/>
          <w:lang w:val="en-US"/>
        </w:rPr>
        <w:t xml:space="preserve">. </w:t>
      </w:r>
    </w:p>
    <w:p w14:paraId="021F5E4D">
      <w:pPr>
        <w:widowControl w:val="0"/>
        <w:rPr>
          <w:rFonts w:cs="Times New Roman"/>
          <w:szCs w:val="28"/>
          <w:highlight w:val="none"/>
          <w:lang w:val="en-US"/>
        </w:rPr>
      </w:pPr>
      <w:r>
        <w:rPr>
          <w:rFonts w:cs="Times New Roman"/>
          <w:szCs w:val="28"/>
          <w:highlight w:val="none"/>
          <w:lang w:val="en-US"/>
        </w:rPr>
        <w:t xml:space="preserve">288. </w:t>
      </w:r>
      <w:r>
        <w:rPr>
          <w:rStyle w:val="57"/>
          <w:rFonts w:cs="Times New Roman"/>
          <w:szCs w:val="28"/>
          <w:highlight w:val="none"/>
          <w:lang w:val="en-US"/>
        </w:rPr>
        <w:t>Efficacy of glecaprevir/pibrentasvir for 8 or 12 weeks in patients with hepatitis C virus genotype 2, 4, 5, or 6 infection without cirrhosis</w:t>
      </w:r>
      <w:r>
        <w:rPr>
          <w:rFonts w:cs="Times New Roman"/>
          <w:szCs w:val="28"/>
          <w:highlight w:val="none"/>
          <w:lang w:val="en-US"/>
        </w:rPr>
        <w:t xml:space="preserve"> / </w:t>
      </w:r>
      <w:r>
        <w:rPr>
          <w:rStyle w:val="56"/>
          <w:rFonts w:cs="Times New Roman"/>
          <w:szCs w:val="28"/>
          <w:highlight w:val="none"/>
          <w:lang w:val="en-US"/>
        </w:rPr>
        <w:t xml:space="preserve">T. Asselah et al. </w:t>
      </w:r>
      <w:r>
        <w:rPr>
          <w:rFonts w:cs="Times New Roman"/>
          <w:i/>
          <w:iCs/>
          <w:szCs w:val="28"/>
          <w:highlight w:val="none"/>
          <w:lang w:val="en-US"/>
        </w:rPr>
        <w:t>Clin Gastroenterol Hepatol</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2018</w:t>
      </w:r>
      <w:r>
        <w:rPr>
          <w:rFonts w:cs="Times New Roman"/>
          <w:szCs w:val="28"/>
          <w:highlight w:val="none"/>
          <w:lang w:val="en-US"/>
        </w:rPr>
        <w:t>. Vol. </w:t>
      </w:r>
      <w:r>
        <w:rPr>
          <w:rStyle w:val="59"/>
          <w:rFonts w:cs="Times New Roman"/>
          <w:bCs/>
          <w:szCs w:val="28"/>
          <w:highlight w:val="none"/>
          <w:lang w:val="en-US"/>
        </w:rPr>
        <w:t>16</w:t>
      </w:r>
      <w:r>
        <w:rPr>
          <w:rFonts w:cs="Times New Roman"/>
          <w:szCs w:val="28"/>
          <w:highlight w:val="none"/>
          <w:lang w:val="en-US"/>
        </w:rPr>
        <w:t>. P. </w:t>
      </w:r>
      <w:r>
        <w:rPr>
          <w:rStyle w:val="60"/>
          <w:rFonts w:cs="Times New Roman"/>
          <w:szCs w:val="28"/>
          <w:highlight w:val="none"/>
          <w:lang w:val="en-US"/>
        </w:rPr>
        <w:t>417</w:t>
      </w:r>
      <w:r>
        <w:rPr>
          <w:rFonts w:cs="Times New Roman"/>
          <w:szCs w:val="28"/>
          <w:highlight w:val="none"/>
          <w:shd w:val="clear" w:color="auto" w:fill="FFFFFF"/>
          <w:lang w:val="en-US"/>
        </w:rPr>
        <w:t>–</w:t>
      </w:r>
      <w:r>
        <w:rPr>
          <w:rStyle w:val="61"/>
          <w:rFonts w:cs="Times New Roman"/>
          <w:szCs w:val="28"/>
          <w:highlight w:val="none"/>
          <w:lang w:val="en-US"/>
        </w:rPr>
        <w:t>426</w:t>
      </w:r>
      <w:r>
        <w:rPr>
          <w:rFonts w:cs="Times New Roman"/>
          <w:szCs w:val="28"/>
          <w:highlight w:val="none"/>
          <w:lang w:val="en-US"/>
        </w:rPr>
        <w:t xml:space="preserve">. doi: </w:t>
      </w:r>
      <w:r>
        <w:rPr>
          <w:highlight w:val="none"/>
        </w:rPr>
        <w:fldChar w:fldCharType="begin"/>
      </w:r>
      <w:r>
        <w:rPr>
          <w:highlight w:val="none"/>
        </w:rPr>
        <w:instrText xml:space="preserve"> HYPERLINK "https://doi.org/10.1016/j.cgh.2017.09.027"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https://doi.org/10.1016/j.cgh.2017.09.027</w:t>
      </w:r>
      <w:r>
        <w:rPr>
          <w:rStyle w:val="11"/>
          <w:rFonts w:cs="Times New Roman"/>
          <w:color w:val="auto"/>
          <w:szCs w:val="28"/>
          <w:highlight w:val="none"/>
          <w:u w:val="none"/>
          <w:lang w:val="en-US"/>
        </w:rPr>
        <w:fldChar w:fldCharType="end"/>
      </w:r>
    </w:p>
    <w:p w14:paraId="37DC42AC">
      <w:pPr>
        <w:widowControl w:val="0"/>
        <w:rPr>
          <w:rFonts w:cs="Times New Roman"/>
          <w:szCs w:val="28"/>
          <w:highlight w:val="none"/>
          <w:lang w:val="en-US"/>
        </w:rPr>
      </w:pPr>
      <w:r>
        <w:rPr>
          <w:rFonts w:cs="Times New Roman"/>
          <w:szCs w:val="28"/>
          <w:highlight w:val="none"/>
          <w:lang w:val="en-US"/>
        </w:rPr>
        <w:t xml:space="preserve">289. </w:t>
      </w:r>
      <w:r>
        <w:rPr>
          <w:rStyle w:val="57"/>
          <w:rFonts w:cs="Times New Roman"/>
          <w:szCs w:val="28"/>
          <w:highlight w:val="none"/>
          <w:lang w:val="en-US"/>
        </w:rPr>
        <w:t>Efficacy and safety of glecaprevir/pibrentasvir in Japanese patients with chronic genotype 1 hepatitis C virus infection with and without cirrhosis</w:t>
      </w:r>
      <w:r>
        <w:rPr>
          <w:rFonts w:cs="Times New Roman"/>
          <w:szCs w:val="28"/>
          <w:highlight w:val="none"/>
          <w:lang w:val="en-US"/>
        </w:rPr>
        <w:t xml:space="preserve"> / </w:t>
      </w:r>
      <w:r>
        <w:rPr>
          <w:rStyle w:val="56"/>
          <w:rFonts w:cs="Times New Roman"/>
          <w:szCs w:val="28"/>
          <w:highlight w:val="none"/>
          <w:lang w:val="en-US"/>
        </w:rPr>
        <w:t>K. Chayama et al.</w:t>
      </w:r>
      <w:r>
        <w:rPr>
          <w:rFonts w:cs="Times New Roman"/>
          <w:szCs w:val="28"/>
          <w:highlight w:val="none"/>
          <w:lang w:val="en-US"/>
        </w:rPr>
        <w:t> </w:t>
      </w:r>
      <w:r>
        <w:rPr>
          <w:rFonts w:cs="Times New Roman"/>
          <w:i/>
          <w:iCs/>
          <w:szCs w:val="28"/>
          <w:highlight w:val="none"/>
          <w:lang w:val="en-US"/>
        </w:rPr>
        <w:t>J. Gastroenterol</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2018</w:t>
      </w:r>
      <w:r>
        <w:rPr>
          <w:rFonts w:cs="Times New Roman"/>
          <w:szCs w:val="28"/>
          <w:highlight w:val="none"/>
          <w:lang w:val="en-US"/>
        </w:rPr>
        <w:t>. Vol. </w:t>
      </w:r>
      <w:r>
        <w:rPr>
          <w:rStyle w:val="59"/>
          <w:rFonts w:cs="Times New Roman"/>
          <w:bCs/>
          <w:szCs w:val="28"/>
          <w:highlight w:val="none"/>
          <w:lang w:val="en-US"/>
        </w:rPr>
        <w:t>53</w:t>
      </w:r>
      <w:r>
        <w:rPr>
          <w:rFonts w:cs="Times New Roman"/>
          <w:szCs w:val="28"/>
          <w:highlight w:val="none"/>
          <w:lang w:val="en-US"/>
        </w:rPr>
        <w:t>. P. </w:t>
      </w:r>
      <w:r>
        <w:rPr>
          <w:rStyle w:val="60"/>
          <w:rFonts w:cs="Times New Roman"/>
          <w:szCs w:val="28"/>
          <w:highlight w:val="none"/>
          <w:lang w:val="en-US"/>
        </w:rPr>
        <w:t>557</w:t>
      </w:r>
      <w:r>
        <w:rPr>
          <w:rFonts w:cs="Times New Roman"/>
          <w:szCs w:val="28"/>
          <w:highlight w:val="none"/>
          <w:shd w:val="clear" w:color="auto" w:fill="FFFFFF"/>
          <w:lang w:val="en-US"/>
        </w:rPr>
        <w:t>–</w:t>
      </w:r>
      <w:r>
        <w:rPr>
          <w:rStyle w:val="61"/>
          <w:rFonts w:cs="Times New Roman"/>
          <w:szCs w:val="28"/>
          <w:highlight w:val="none"/>
          <w:lang w:val="en-US"/>
        </w:rPr>
        <w:t>565</w:t>
      </w:r>
      <w:r>
        <w:rPr>
          <w:rFonts w:cs="Times New Roman"/>
          <w:szCs w:val="28"/>
          <w:highlight w:val="none"/>
          <w:lang w:val="en-US"/>
        </w:rPr>
        <w:t xml:space="preserve">. doi: </w:t>
      </w:r>
      <w:r>
        <w:rPr>
          <w:rFonts w:cs="Times New Roman"/>
          <w:szCs w:val="28"/>
          <w:highlight w:val="none"/>
          <w:shd w:val="clear" w:color="auto" w:fill="FCFCFC"/>
          <w:lang w:val="en-US"/>
        </w:rPr>
        <w:t>https://doi.org/10.1007/s00535-017-1391-5</w:t>
      </w:r>
    </w:p>
    <w:p w14:paraId="477367F7">
      <w:pPr>
        <w:widowControl w:val="0"/>
        <w:rPr>
          <w:rFonts w:cs="Times New Roman"/>
          <w:szCs w:val="28"/>
          <w:highlight w:val="none"/>
          <w:lang w:val="en-US"/>
        </w:rPr>
      </w:pPr>
      <w:r>
        <w:rPr>
          <w:rFonts w:cs="Times New Roman"/>
          <w:szCs w:val="28"/>
          <w:highlight w:val="none"/>
          <w:lang w:val="en-US"/>
        </w:rPr>
        <w:t>290.</w:t>
      </w:r>
      <w:r>
        <w:rPr>
          <w:rFonts w:cs="Times New Roman"/>
          <w:szCs w:val="28"/>
          <w:highlight w:val="none"/>
          <w:shd w:val="clear" w:color="auto" w:fill="FCFCFC"/>
          <w:lang w:val="en-US"/>
        </w:rPr>
        <w:t xml:space="preserve"> </w:t>
      </w:r>
      <w:r>
        <w:rPr>
          <w:rStyle w:val="57"/>
          <w:rFonts w:cs="Times New Roman"/>
          <w:szCs w:val="28"/>
          <w:highlight w:val="none"/>
          <w:lang w:val="en-US"/>
        </w:rPr>
        <w:t>High SVR12 with 8-week and 12-week glecaprevir/pibrentasvir therapy: an integrated analysis of HCV genotype 1-6 patients without cirrhosis</w:t>
      </w:r>
      <w:r>
        <w:rPr>
          <w:rFonts w:cs="Times New Roman"/>
          <w:szCs w:val="28"/>
          <w:highlight w:val="none"/>
          <w:lang w:val="en-US"/>
        </w:rPr>
        <w:t xml:space="preserve"> /</w:t>
      </w:r>
      <w:r>
        <w:rPr>
          <w:rStyle w:val="56"/>
          <w:rFonts w:cs="Times New Roman"/>
          <w:szCs w:val="28"/>
          <w:highlight w:val="none"/>
          <w:lang w:val="en-US"/>
        </w:rPr>
        <w:t xml:space="preserve"> M. Puoti et al.</w:t>
      </w:r>
      <w:r>
        <w:rPr>
          <w:rFonts w:cs="Times New Roman"/>
          <w:szCs w:val="28"/>
          <w:highlight w:val="none"/>
          <w:lang w:val="en-US"/>
        </w:rPr>
        <w:t> </w:t>
      </w:r>
      <w:r>
        <w:rPr>
          <w:rFonts w:cs="Times New Roman"/>
          <w:i/>
          <w:iCs/>
          <w:szCs w:val="28"/>
          <w:highlight w:val="none"/>
          <w:lang w:val="en-US"/>
        </w:rPr>
        <w:t>J. Hepatol</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2018</w:t>
      </w:r>
      <w:r>
        <w:rPr>
          <w:rFonts w:cs="Times New Roman"/>
          <w:szCs w:val="28"/>
          <w:highlight w:val="none"/>
          <w:lang w:val="en-US"/>
        </w:rPr>
        <w:t>. Vol. </w:t>
      </w:r>
      <w:r>
        <w:rPr>
          <w:rStyle w:val="59"/>
          <w:rFonts w:cs="Times New Roman"/>
          <w:bCs/>
          <w:szCs w:val="28"/>
          <w:highlight w:val="none"/>
          <w:lang w:val="en-US"/>
        </w:rPr>
        <w:t>69</w:t>
      </w:r>
      <w:r>
        <w:rPr>
          <w:rFonts w:cs="Times New Roman"/>
          <w:szCs w:val="28"/>
          <w:highlight w:val="none"/>
          <w:lang w:val="en-US"/>
        </w:rPr>
        <w:t>. P. </w:t>
      </w:r>
      <w:r>
        <w:rPr>
          <w:rStyle w:val="60"/>
          <w:rFonts w:cs="Times New Roman"/>
          <w:szCs w:val="28"/>
          <w:highlight w:val="none"/>
          <w:lang w:val="en-US"/>
        </w:rPr>
        <w:t>293</w:t>
      </w:r>
      <w:r>
        <w:rPr>
          <w:rFonts w:cs="Times New Roman"/>
          <w:szCs w:val="28"/>
          <w:highlight w:val="none"/>
          <w:shd w:val="clear" w:color="auto" w:fill="FFFFFF"/>
          <w:lang w:val="en-US"/>
        </w:rPr>
        <w:t>–</w:t>
      </w:r>
      <w:r>
        <w:rPr>
          <w:rStyle w:val="61"/>
          <w:rFonts w:cs="Times New Roman"/>
          <w:szCs w:val="28"/>
          <w:highlight w:val="none"/>
          <w:lang w:val="en-US"/>
        </w:rPr>
        <w:t>300</w:t>
      </w:r>
      <w:r>
        <w:rPr>
          <w:rFonts w:cs="Times New Roman"/>
          <w:szCs w:val="28"/>
          <w:highlight w:val="none"/>
          <w:lang w:val="en-US"/>
        </w:rPr>
        <w:t xml:space="preserve">. doi: </w:t>
      </w:r>
      <w:r>
        <w:rPr>
          <w:highlight w:val="none"/>
        </w:rPr>
        <w:fldChar w:fldCharType="begin"/>
      </w:r>
      <w:r>
        <w:rPr>
          <w:highlight w:val="none"/>
        </w:rPr>
        <w:instrText xml:space="preserve"> HYPERLINK "https://doi.org/10.1016/j.jhep.2018.03.007"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https://doi.org/10.1016/j.jhep.2018.03.007</w:t>
      </w:r>
      <w:r>
        <w:rPr>
          <w:rStyle w:val="11"/>
          <w:rFonts w:cs="Times New Roman"/>
          <w:color w:val="auto"/>
          <w:szCs w:val="28"/>
          <w:highlight w:val="none"/>
          <w:u w:val="none"/>
          <w:lang w:val="en-US"/>
        </w:rPr>
        <w:fldChar w:fldCharType="end"/>
      </w:r>
    </w:p>
    <w:p w14:paraId="089F7772">
      <w:pPr>
        <w:widowControl w:val="0"/>
        <w:rPr>
          <w:rFonts w:cs="Times New Roman"/>
          <w:szCs w:val="28"/>
          <w:highlight w:val="none"/>
          <w:lang w:val="en-US"/>
        </w:rPr>
      </w:pPr>
      <w:r>
        <w:rPr>
          <w:rFonts w:cs="Times New Roman"/>
          <w:szCs w:val="28"/>
          <w:highlight w:val="none"/>
          <w:lang w:val="en-US"/>
        </w:rPr>
        <w:t xml:space="preserve">291. </w:t>
      </w:r>
      <w:r>
        <w:rPr>
          <w:rStyle w:val="57"/>
          <w:rFonts w:cs="Times New Roman"/>
          <w:szCs w:val="28"/>
          <w:highlight w:val="none"/>
          <w:lang w:val="en-US"/>
        </w:rPr>
        <w:t>Glecaprevir–pibrentasvir for 8 or 12 weeks in HCV genotype 1 or 3 infection</w:t>
      </w:r>
      <w:r>
        <w:rPr>
          <w:rFonts w:cs="Times New Roman"/>
          <w:szCs w:val="28"/>
          <w:highlight w:val="none"/>
          <w:lang w:val="en-US"/>
        </w:rPr>
        <w:t xml:space="preserve"> /</w:t>
      </w:r>
      <w:r>
        <w:rPr>
          <w:rStyle w:val="56"/>
          <w:rFonts w:cs="Times New Roman"/>
          <w:szCs w:val="28"/>
          <w:highlight w:val="none"/>
          <w:lang w:val="en-US"/>
        </w:rPr>
        <w:t xml:space="preserve"> S. Zeuzem et al. </w:t>
      </w:r>
      <w:r>
        <w:rPr>
          <w:rFonts w:cs="Times New Roman"/>
          <w:i/>
          <w:iCs/>
          <w:szCs w:val="28"/>
          <w:highlight w:val="none"/>
          <w:lang w:val="en-US"/>
        </w:rPr>
        <w:t>N. Engl J. Med.</w:t>
      </w:r>
      <w:r>
        <w:rPr>
          <w:rFonts w:cs="Times New Roman"/>
          <w:szCs w:val="28"/>
          <w:highlight w:val="none"/>
          <w:lang w:val="en-US"/>
        </w:rPr>
        <w:t> </w:t>
      </w:r>
      <w:r>
        <w:rPr>
          <w:rStyle w:val="58"/>
          <w:rFonts w:cs="Times New Roman"/>
          <w:szCs w:val="28"/>
          <w:highlight w:val="none"/>
          <w:lang w:val="en-US"/>
        </w:rPr>
        <w:t>2018</w:t>
      </w:r>
      <w:r>
        <w:rPr>
          <w:rFonts w:cs="Times New Roman"/>
          <w:szCs w:val="28"/>
          <w:highlight w:val="none"/>
          <w:lang w:val="en-US"/>
        </w:rPr>
        <w:t>. Vol. </w:t>
      </w:r>
      <w:r>
        <w:rPr>
          <w:rStyle w:val="59"/>
          <w:rFonts w:cs="Times New Roman"/>
          <w:bCs/>
          <w:szCs w:val="28"/>
          <w:highlight w:val="none"/>
          <w:lang w:val="en-US"/>
        </w:rPr>
        <w:t>378</w:t>
      </w:r>
      <w:r>
        <w:rPr>
          <w:rFonts w:cs="Times New Roman"/>
          <w:szCs w:val="28"/>
          <w:highlight w:val="none"/>
          <w:lang w:val="en-US"/>
        </w:rPr>
        <w:t>. P. </w:t>
      </w:r>
      <w:r>
        <w:rPr>
          <w:rStyle w:val="60"/>
          <w:rFonts w:cs="Times New Roman"/>
          <w:szCs w:val="28"/>
          <w:highlight w:val="none"/>
          <w:lang w:val="en-US"/>
        </w:rPr>
        <w:t>354</w:t>
      </w:r>
      <w:r>
        <w:rPr>
          <w:rFonts w:cs="Times New Roman"/>
          <w:szCs w:val="28"/>
          <w:highlight w:val="none"/>
          <w:shd w:val="clear" w:color="auto" w:fill="FFFFFF"/>
          <w:lang w:val="en-US"/>
        </w:rPr>
        <w:t>–</w:t>
      </w:r>
      <w:r>
        <w:rPr>
          <w:rStyle w:val="61"/>
          <w:rFonts w:cs="Times New Roman"/>
          <w:szCs w:val="28"/>
          <w:highlight w:val="none"/>
          <w:lang w:val="en-US"/>
        </w:rPr>
        <w:t>369</w:t>
      </w:r>
      <w:r>
        <w:rPr>
          <w:rFonts w:cs="Times New Roman"/>
          <w:szCs w:val="28"/>
          <w:highlight w:val="none"/>
          <w:lang w:val="en-US"/>
        </w:rPr>
        <w:t xml:space="preserve">. </w:t>
      </w:r>
      <w:r>
        <w:rPr>
          <w:rFonts w:cs="Times New Roman"/>
          <w:szCs w:val="28"/>
          <w:highlight w:val="none"/>
          <w:shd w:val="clear" w:color="auto" w:fill="FFFFFF"/>
          <w:lang w:val="en-US"/>
        </w:rPr>
        <w:t>doi: 10.1056/NEJMoa1702417</w:t>
      </w:r>
    </w:p>
    <w:p w14:paraId="7BE269CD">
      <w:pPr>
        <w:widowControl w:val="0"/>
        <w:rPr>
          <w:rFonts w:cs="Times New Roman"/>
          <w:szCs w:val="28"/>
          <w:highlight w:val="none"/>
          <w:lang w:val="en-US"/>
        </w:rPr>
      </w:pPr>
      <w:r>
        <w:rPr>
          <w:rFonts w:cs="Times New Roman"/>
          <w:szCs w:val="28"/>
          <w:highlight w:val="none"/>
          <w:lang w:val="en-US"/>
        </w:rPr>
        <w:t>292.</w:t>
      </w:r>
      <w:r>
        <w:rPr>
          <w:rFonts w:cs="Times New Roman"/>
          <w:szCs w:val="28"/>
          <w:highlight w:val="none"/>
          <w:shd w:val="clear" w:color="auto" w:fill="FFFFFF"/>
          <w:lang w:val="en-US"/>
        </w:rPr>
        <w:t xml:space="preserve"> </w:t>
      </w:r>
      <w:r>
        <w:rPr>
          <w:rStyle w:val="57"/>
          <w:rFonts w:cs="Times New Roman"/>
          <w:szCs w:val="28"/>
          <w:highlight w:val="none"/>
          <w:lang w:val="en-US"/>
        </w:rPr>
        <w:t>Glecaprevir and pibrentasvir yield high response rates in patients with HCV genotype 1-6 without cirrhosis</w:t>
      </w:r>
      <w:r>
        <w:rPr>
          <w:rFonts w:cs="Times New Roman"/>
          <w:szCs w:val="28"/>
          <w:highlight w:val="none"/>
          <w:lang w:val="en-US"/>
        </w:rPr>
        <w:t xml:space="preserve"> /</w:t>
      </w:r>
      <w:r>
        <w:rPr>
          <w:rStyle w:val="56"/>
          <w:rFonts w:cs="Times New Roman"/>
          <w:szCs w:val="28"/>
          <w:highlight w:val="none"/>
          <w:lang w:val="en-US"/>
        </w:rPr>
        <w:t xml:space="preserve"> P. Y. Kwo et al. </w:t>
      </w:r>
      <w:r>
        <w:rPr>
          <w:rFonts w:cs="Times New Roman"/>
          <w:i/>
          <w:iCs/>
          <w:szCs w:val="28"/>
          <w:highlight w:val="none"/>
          <w:lang w:val="en-US"/>
        </w:rPr>
        <w:t>J. Hepatol</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2017</w:t>
      </w:r>
      <w:r>
        <w:rPr>
          <w:rFonts w:cs="Times New Roman"/>
          <w:szCs w:val="28"/>
          <w:highlight w:val="none"/>
          <w:lang w:val="en-US"/>
        </w:rPr>
        <w:t>. Vol. </w:t>
      </w:r>
      <w:r>
        <w:rPr>
          <w:rStyle w:val="59"/>
          <w:rFonts w:cs="Times New Roman"/>
          <w:bCs/>
          <w:szCs w:val="28"/>
          <w:highlight w:val="none"/>
          <w:lang w:val="en-US"/>
        </w:rPr>
        <w:t>67</w:t>
      </w:r>
      <w:r>
        <w:rPr>
          <w:rFonts w:cs="Times New Roman"/>
          <w:szCs w:val="28"/>
          <w:highlight w:val="none"/>
          <w:lang w:val="en-US"/>
        </w:rPr>
        <w:t>. P. </w:t>
      </w:r>
      <w:r>
        <w:rPr>
          <w:rStyle w:val="60"/>
          <w:rFonts w:cs="Times New Roman"/>
          <w:szCs w:val="28"/>
          <w:highlight w:val="none"/>
          <w:lang w:val="en-US"/>
        </w:rPr>
        <w:t>263</w:t>
      </w:r>
      <w:r>
        <w:rPr>
          <w:rFonts w:cs="Times New Roman"/>
          <w:szCs w:val="28"/>
          <w:highlight w:val="none"/>
          <w:shd w:val="clear" w:color="auto" w:fill="FFFFFF"/>
          <w:lang w:val="en-US"/>
        </w:rPr>
        <w:t>–</w:t>
      </w:r>
      <w:r>
        <w:rPr>
          <w:rStyle w:val="61"/>
          <w:rFonts w:cs="Times New Roman"/>
          <w:szCs w:val="28"/>
          <w:highlight w:val="none"/>
          <w:lang w:val="en-US"/>
        </w:rPr>
        <w:t>271</w:t>
      </w:r>
      <w:r>
        <w:rPr>
          <w:rFonts w:cs="Times New Roman"/>
          <w:szCs w:val="28"/>
          <w:highlight w:val="none"/>
          <w:lang w:val="en-US"/>
        </w:rPr>
        <w:t xml:space="preserve">. doi: </w:t>
      </w:r>
      <w:r>
        <w:rPr>
          <w:highlight w:val="none"/>
        </w:rPr>
        <w:fldChar w:fldCharType="begin"/>
      </w:r>
      <w:r>
        <w:rPr>
          <w:highlight w:val="none"/>
        </w:rPr>
        <w:instrText xml:space="preserve"> HYPERLINK "https://doi.org/10.1016/j.jhep.2017.03.039"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https://doi.org/10.1016/j.jhep.2017.03.039</w:t>
      </w:r>
      <w:r>
        <w:rPr>
          <w:rStyle w:val="11"/>
          <w:rFonts w:cs="Times New Roman"/>
          <w:color w:val="auto"/>
          <w:szCs w:val="28"/>
          <w:highlight w:val="none"/>
          <w:u w:val="none"/>
          <w:lang w:val="en-US"/>
        </w:rPr>
        <w:fldChar w:fldCharType="end"/>
      </w:r>
    </w:p>
    <w:p w14:paraId="1A0C4B0F">
      <w:pPr>
        <w:widowControl w:val="0"/>
        <w:rPr>
          <w:rFonts w:cs="Times New Roman"/>
          <w:szCs w:val="28"/>
          <w:highlight w:val="none"/>
          <w:lang w:val="en-US"/>
        </w:rPr>
      </w:pPr>
      <w:r>
        <w:rPr>
          <w:rFonts w:cs="Times New Roman"/>
          <w:szCs w:val="28"/>
          <w:highlight w:val="none"/>
          <w:lang w:val="en-US"/>
        </w:rPr>
        <w:t xml:space="preserve">293. </w:t>
      </w:r>
      <w:r>
        <w:rPr>
          <w:rStyle w:val="57"/>
          <w:rFonts w:cs="Times New Roman"/>
          <w:szCs w:val="28"/>
          <w:highlight w:val="none"/>
          <w:lang w:val="en-US"/>
        </w:rPr>
        <w:t>Real-world effectiveness and safety of glecaprevir/pibrentasvir for the treatment of chronic hepatitis C infection: data from the German Hepatitis C-Registry</w:t>
      </w:r>
      <w:r>
        <w:rPr>
          <w:rFonts w:cs="Times New Roman"/>
          <w:szCs w:val="28"/>
          <w:highlight w:val="none"/>
          <w:lang w:val="en-US"/>
        </w:rPr>
        <w:t xml:space="preserve"> / </w:t>
      </w:r>
      <w:r>
        <w:rPr>
          <w:rStyle w:val="56"/>
          <w:rFonts w:cs="Times New Roman"/>
          <w:szCs w:val="28"/>
          <w:highlight w:val="none"/>
          <w:lang w:val="en-US"/>
        </w:rPr>
        <w:t xml:space="preserve">T. Berg et al. </w:t>
      </w:r>
      <w:r>
        <w:rPr>
          <w:rFonts w:cs="Times New Roman"/>
          <w:i/>
          <w:iCs/>
          <w:szCs w:val="28"/>
          <w:highlight w:val="none"/>
          <w:lang w:val="en-US"/>
        </w:rPr>
        <w:t>Aliment Pharmacol Ther</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2019</w:t>
      </w:r>
      <w:r>
        <w:rPr>
          <w:rFonts w:cs="Times New Roman"/>
          <w:szCs w:val="28"/>
          <w:highlight w:val="none"/>
          <w:lang w:val="en-US"/>
        </w:rPr>
        <w:t>. Vol. </w:t>
      </w:r>
      <w:r>
        <w:rPr>
          <w:rStyle w:val="59"/>
          <w:rFonts w:cs="Times New Roman"/>
          <w:bCs/>
          <w:szCs w:val="28"/>
          <w:highlight w:val="none"/>
          <w:lang w:val="en-US"/>
        </w:rPr>
        <w:t>49</w:t>
      </w:r>
      <w:r>
        <w:rPr>
          <w:rFonts w:cs="Times New Roman"/>
          <w:szCs w:val="28"/>
          <w:highlight w:val="none"/>
          <w:lang w:val="en-US"/>
        </w:rPr>
        <w:t>. P. </w:t>
      </w:r>
      <w:r>
        <w:rPr>
          <w:rStyle w:val="60"/>
          <w:rFonts w:cs="Times New Roman"/>
          <w:szCs w:val="28"/>
          <w:highlight w:val="none"/>
          <w:lang w:val="en-US"/>
        </w:rPr>
        <w:t>1052</w:t>
      </w:r>
      <w:r>
        <w:rPr>
          <w:rFonts w:cs="Times New Roman"/>
          <w:szCs w:val="28"/>
          <w:highlight w:val="none"/>
          <w:shd w:val="clear" w:color="auto" w:fill="FFFFFF"/>
          <w:lang w:val="en-US"/>
        </w:rPr>
        <w:t>–</w:t>
      </w:r>
      <w:r>
        <w:rPr>
          <w:rStyle w:val="61"/>
          <w:rFonts w:cs="Times New Roman"/>
          <w:szCs w:val="28"/>
          <w:highlight w:val="none"/>
          <w:lang w:val="en-US"/>
        </w:rPr>
        <w:t>1059</w:t>
      </w:r>
      <w:r>
        <w:rPr>
          <w:rFonts w:cs="Times New Roman"/>
          <w:szCs w:val="28"/>
          <w:highlight w:val="none"/>
          <w:lang w:val="en-US"/>
        </w:rPr>
        <w:t xml:space="preserve">. doi: </w:t>
      </w:r>
      <w:r>
        <w:rPr>
          <w:highlight w:val="none"/>
        </w:rPr>
        <w:fldChar w:fldCharType="begin"/>
      </w:r>
      <w:r>
        <w:rPr>
          <w:highlight w:val="none"/>
        </w:rPr>
        <w:instrText xml:space="preserve"> HYPERLINK "https://doi.org/10.1111/apt.15222" </w:instrText>
      </w:r>
      <w:r>
        <w:rPr>
          <w:highlight w:val="none"/>
        </w:rPr>
        <w:fldChar w:fldCharType="separate"/>
      </w:r>
      <w:r>
        <w:rPr>
          <w:rStyle w:val="11"/>
          <w:rFonts w:cs="Times New Roman"/>
          <w:bCs/>
          <w:color w:val="auto"/>
          <w:szCs w:val="28"/>
          <w:highlight w:val="none"/>
          <w:u w:val="none"/>
          <w:shd w:val="clear" w:color="auto" w:fill="FFFFFF"/>
          <w:lang w:val="en-US"/>
        </w:rPr>
        <w:t>https://doi.org/10.1111/apt.15222</w:t>
      </w:r>
      <w:r>
        <w:rPr>
          <w:rStyle w:val="11"/>
          <w:rFonts w:cs="Times New Roman"/>
          <w:bCs/>
          <w:color w:val="auto"/>
          <w:szCs w:val="28"/>
          <w:highlight w:val="none"/>
          <w:u w:val="none"/>
          <w:shd w:val="clear" w:color="auto" w:fill="FFFFFF"/>
          <w:lang w:val="en-US"/>
        </w:rPr>
        <w:fldChar w:fldCharType="end"/>
      </w:r>
    </w:p>
    <w:p w14:paraId="0D29381F">
      <w:pPr>
        <w:widowControl w:val="0"/>
        <w:rPr>
          <w:rFonts w:cs="Times New Roman"/>
          <w:szCs w:val="28"/>
          <w:highlight w:val="none"/>
          <w:lang w:val="en-US"/>
        </w:rPr>
      </w:pPr>
      <w:r>
        <w:rPr>
          <w:rFonts w:cs="Times New Roman"/>
          <w:szCs w:val="28"/>
          <w:highlight w:val="none"/>
          <w:lang w:val="en-US"/>
        </w:rPr>
        <w:t xml:space="preserve">294. </w:t>
      </w:r>
      <w:r>
        <w:rPr>
          <w:rStyle w:val="57"/>
          <w:rFonts w:cs="Times New Roman"/>
          <w:szCs w:val="28"/>
          <w:highlight w:val="none"/>
          <w:lang w:val="en-US"/>
        </w:rPr>
        <w:t>Assessing the safety of direct-acting antiviral agents for hepatitis C</w:t>
      </w:r>
      <w:r>
        <w:rPr>
          <w:rFonts w:cs="Times New Roman"/>
          <w:szCs w:val="28"/>
          <w:highlight w:val="none"/>
          <w:lang w:val="en-US"/>
        </w:rPr>
        <w:t xml:space="preserve"> /</w:t>
      </w:r>
      <w:r>
        <w:rPr>
          <w:rStyle w:val="56"/>
          <w:rFonts w:cs="Times New Roman"/>
          <w:szCs w:val="28"/>
          <w:highlight w:val="none"/>
          <w:lang w:val="en-US"/>
        </w:rPr>
        <w:t xml:space="preserve"> E. A. McGlynn et al.</w:t>
      </w:r>
      <w:r>
        <w:rPr>
          <w:rFonts w:cs="Times New Roman"/>
          <w:szCs w:val="28"/>
          <w:highlight w:val="none"/>
          <w:lang w:val="en-US"/>
        </w:rPr>
        <w:t> </w:t>
      </w:r>
      <w:r>
        <w:rPr>
          <w:rFonts w:cs="Times New Roman"/>
          <w:i/>
          <w:iCs/>
          <w:szCs w:val="28"/>
          <w:highlight w:val="none"/>
          <w:lang w:val="en-US"/>
        </w:rPr>
        <w:t>JAMA Netw Open.</w:t>
      </w:r>
      <w:r>
        <w:rPr>
          <w:rFonts w:cs="Times New Roman"/>
          <w:szCs w:val="28"/>
          <w:highlight w:val="none"/>
          <w:lang w:val="en-US"/>
        </w:rPr>
        <w:t> </w:t>
      </w:r>
      <w:r>
        <w:rPr>
          <w:rStyle w:val="58"/>
          <w:rFonts w:cs="Times New Roman"/>
          <w:szCs w:val="28"/>
          <w:highlight w:val="none"/>
          <w:lang w:val="en-US"/>
        </w:rPr>
        <w:t>2019</w:t>
      </w:r>
      <w:r>
        <w:rPr>
          <w:rFonts w:cs="Times New Roman"/>
          <w:szCs w:val="28"/>
          <w:highlight w:val="none"/>
          <w:lang w:val="en-US"/>
        </w:rPr>
        <w:t>. Vol. </w:t>
      </w:r>
      <w:r>
        <w:rPr>
          <w:rStyle w:val="59"/>
          <w:rFonts w:cs="Times New Roman"/>
          <w:bCs/>
          <w:szCs w:val="28"/>
          <w:highlight w:val="none"/>
          <w:lang w:val="en-US"/>
        </w:rPr>
        <w:t>2</w:t>
      </w:r>
      <w:r>
        <w:rPr>
          <w:rFonts w:cs="Times New Roman"/>
          <w:szCs w:val="28"/>
          <w:highlight w:val="none"/>
          <w:lang w:val="en-US"/>
        </w:rPr>
        <w:t xml:space="preserve">. P. e194765. </w:t>
      </w:r>
      <w:r>
        <w:rPr>
          <w:rFonts w:cs="Times New Roman"/>
          <w:szCs w:val="28"/>
          <w:highlight w:val="none"/>
          <w:shd w:val="clear" w:color="auto" w:fill="FFFFFF"/>
          <w:lang w:val="en-US"/>
        </w:rPr>
        <w:t>doi: 10.1001/jamanetworkopen.2019.4765</w:t>
      </w:r>
    </w:p>
    <w:p w14:paraId="4EA1BBDB">
      <w:pPr>
        <w:widowControl w:val="0"/>
        <w:rPr>
          <w:rFonts w:cs="Times New Roman"/>
          <w:szCs w:val="28"/>
          <w:highlight w:val="none"/>
          <w:lang w:val="en-US"/>
        </w:rPr>
      </w:pPr>
      <w:r>
        <w:rPr>
          <w:rFonts w:cs="Times New Roman"/>
          <w:szCs w:val="28"/>
          <w:highlight w:val="none"/>
          <w:lang w:val="en-US"/>
        </w:rPr>
        <w:t>295. </w:t>
      </w:r>
      <w:r>
        <w:rPr>
          <w:rStyle w:val="57"/>
          <w:rFonts w:cs="Times New Roman"/>
          <w:szCs w:val="28"/>
          <w:highlight w:val="none"/>
          <w:lang w:val="en-US"/>
        </w:rPr>
        <w:t>Effectiveness of therapy in 16,567 directly-acting antiviral treated people in England: high response rates in genotype 3 hepatitis C infection regardless of degree of fibrosis, but ribavirin improves response in cirrhosis</w:t>
      </w:r>
      <w:r>
        <w:rPr>
          <w:rFonts w:cs="Times New Roman"/>
          <w:szCs w:val="28"/>
          <w:highlight w:val="none"/>
          <w:lang w:val="en-US"/>
        </w:rPr>
        <w:t> [Abstract LBO-07] / </w:t>
      </w:r>
      <w:r>
        <w:rPr>
          <w:rStyle w:val="56"/>
          <w:rFonts w:cs="Times New Roman"/>
          <w:szCs w:val="28"/>
          <w:highlight w:val="none"/>
          <w:lang w:val="en-US"/>
        </w:rPr>
        <w:t xml:space="preserve">R. D'Ambrosio et al. </w:t>
      </w:r>
      <w:r>
        <w:rPr>
          <w:rFonts w:cs="Times New Roman"/>
          <w:i/>
          <w:iCs/>
          <w:szCs w:val="28"/>
          <w:highlight w:val="none"/>
          <w:lang w:val="en-US"/>
        </w:rPr>
        <w:t>J. Hepatol</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2019</w:t>
      </w:r>
      <w:r>
        <w:rPr>
          <w:rFonts w:cs="Times New Roman"/>
          <w:szCs w:val="28"/>
          <w:highlight w:val="none"/>
          <w:lang w:val="en-US"/>
        </w:rPr>
        <w:t>. Vol. </w:t>
      </w:r>
      <w:r>
        <w:rPr>
          <w:rStyle w:val="59"/>
          <w:rFonts w:cs="Times New Roman"/>
          <w:bCs/>
          <w:szCs w:val="28"/>
          <w:highlight w:val="none"/>
          <w:lang w:val="en-US"/>
        </w:rPr>
        <w:t>70</w:t>
      </w:r>
      <w:r>
        <w:rPr>
          <w:rFonts w:cs="Times New Roman"/>
          <w:szCs w:val="28"/>
          <w:highlight w:val="none"/>
          <w:lang w:val="en-US"/>
        </w:rPr>
        <w:t>. P, </w:t>
      </w:r>
      <w:r>
        <w:rPr>
          <w:rStyle w:val="60"/>
          <w:rFonts w:cs="Times New Roman"/>
          <w:szCs w:val="28"/>
          <w:highlight w:val="none"/>
          <w:lang w:val="en-US"/>
        </w:rPr>
        <w:t>e131.</w:t>
      </w:r>
    </w:p>
    <w:p w14:paraId="68638428">
      <w:pPr>
        <w:widowControl w:val="0"/>
        <w:rPr>
          <w:rFonts w:cs="Times New Roman"/>
          <w:szCs w:val="28"/>
          <w:highlight w:val="none"/>
          <w:lang w:val="en-US"/>
        </w:rPr>
      </w:pPr>
      <w:r>
        <w:rPr>
          <w:rFonts w:cs="Times New Roman"/>
          <w:szCs w:val="28"/>
          <w:highlight w:val="none"/>
          <w:lang w:val="en-US"/>
        </w:rPr>
        <w:t>296.</w:t>
      </w:r>
      <w:r>
        <w:rPr>
          <w:rStyle w:val="65"/>
          <w:rFonts w:cs="Times New Roman"/>
          <w:szCs w:val="28"/>
          <w:highlight w:val="none"/>
          <w:lang w:val="en-US"/>
        </w:rPr>
        <w:t xml:space="preserve"> </w:t>
      </w:r>
      <w:r>
        <w:rPr>
          <w:rFonts w:cs="Times New Roman"/>
          <w:szCs w:val="28"/>
          <w:highlight w:val="none"/>
          <w:lang w:val="en-US"/>
        </w:rPr>
        <w:t xml:space="preserve">Glecaprevir plus pibrentasvir for chronic hepatitis C virus genotype 1, 2, 4, 5, or 6 infection in adults with compensated cirrhosis (EXPEDITION-1): a single-arm, open-label, multicentre phase 3 trial / X. Forns et al. </w:t>
      </w:r>
      <w:r>
        <w:rPr>
          <w:rFonts w:cs="Times New Roman"/>
          <w:i/>
          <w:szCs w:val="28"/>
          <w:highlight w:val="none"/>
          <w:lang w:val="en-US"/>
        </w:rPr>
        <w:t>Lancet Infect Dis</w:t>
      </w:r>
      <w:r>
        <w:rPr>
          <w:rFonts w:cs="Times New Roman"/>
          <w:szCs w:val="28"/>
          <w:highlight w:val="none"/>
          <w:lang w:val="en-US"/>
        </w:rPr>
        <w:t xml:space="preserve">. 2017. Vol. 17 (10). P. 1062–1068. </w:t>
      </w:r>
      <w:r>
        <w:rPr>
          <w:rStyle w:val="53"/>
          <w:rFonts w:cs="Times New Roman"/>
          <w:szCs w:val="28"/>
          <w:highlight w:val="none"/>
          <w:lang w:val="en-US"/>
        </w:rPr>
        <w:t>doi: </w:t>
      </w:r>
      <w:r>
        <w:rPr>
          <w:highlight w:val="none"/>
        </w:rPr>
        <w:fldChar w:fldCharType="begin"/>
      </w:r>
      <w:r>
        <w:rPr>
          <w:highlight w:val="none"/>
        </w:rPr>
        <w:instrText xml:space="preserve"> HYPERLINK "https://doi.org/10.1016/s1473-3099(17)30496-6" \t "_blank" </w:instrText>
      </w:r>
      <w:r>
        <w:rPr>
          <w:highlight w:val="none"/>
        </w:rPr>
        <w:fldChar w:fldCharType="separate"/>
      </w:r>
      <w:r>
        <w:rPr>
          <w:rStyle w:val="11"/>
          <w:rFonts w:cs="Times New Roman"/>
          <w:color w:val="auto"/>
          <w:szCs w:val="28"/>
          <w:highlight w:val="none"/>
          <w:u w:val="none"/>
          <w:lang w:val="en-US"/>
        </w:rPr>
        <w:t>10.1016/S1473-3099(17)30496-6</w:t>
      </w:r>
      <w:r>
        <w:rPr>
          <w:rStyle w:val="11"/>
          <w:rFonts w:cs="Times New Roman"/>
          <w:color w:val="auto"/>
          <w:szCs w:val="28"/>
          <w:highlight w:val="none"/>
          <w:u w:val="none"/>
          <w:lang w:val="en-US"/>
        </w:rPr>
        <w:fldChar w:fldCharType="end"/>
      </w:r>
    </w:p>
    <w:p w14:paraId="2E6B03D3">
      <w:pPr>
        <w:widowControl w:val="0"/>
        <w:rPr>
          <w:rFonts w:cs="Times New Roman"/>
          <w:szCs w:val="28"/>
          <w:highlight w:val="none"/>
          <w:lang w:val="en-US"/>
        </w:rPr>
      </w:pPr>
      <w:r>
        <w:rPr>
          <w:rFonts w:cs="Times New Roman"/>
          <w:szCs w:val="28"/>
          <w:highlight w:val="none"/>
          <w:lang w:val="en-US"/>
        </w:rPr>
        <w:t>297.</w:t>
      </w:r>
      <w:r>
        <w:rPr>
          <w:rStyle w:val="65"/>
          <w:rFonts w:cs="Times New Roman"/>
          <w:szCs w:val="28"/>
          <w:highlight w:val="none"/>
          <w:lang w:val="en-US"/>
        </w:rPr>
        <w:t xml:space="preserve"> </w:t>
      </w:r>
      <w:r>
        <w:rPr>
          <w:rFonts w:cs="Times New Roman"/>
          <w:szCs w:val="28"/>
          <w:highlight w:val="none"/>
          <w:lang w:val="en-US"/>
        </w:rPr>
        <w:t xml:space="preserve">Efficacy and safety of glecaprevir/pibrentasvir in Japanese patients with chronic genotype 2 hepatitis C virus infection / H. Toyoda et al. </w:t>
      </w:r>
      <w:r>
        <w:rPr>
          <w:rFonts w:cs="Times New Roman"/>
          <w:i/>
          <w:szCs w:val="28"/>
          <w:highlight w:val="none"/>
          <w:lang w:val="en-US"/>
        </w:rPr>
        <w:t>Hepatology</w:t>
      </w:r>
      <w:r>
        <w:rPr>
          <w:rFonts w:cs="Times New Roman"/>
          <w:szCs w:val="28"/>
          <w:highlight w:val="none"/>
          <w:lang w:val="en-US"/>
        </w:rPr>
        <w:t xml:space="preserve">. 2017. doi: </w:t>
      </w:r>
      <w:r>
        <w:rPr>
          <w:highlight w:val="none"/>
        </w:rPr>
        <w:fldChar w:fldCharType="begin"/>
      </w:r>
      <w:r>
        <w:rPr>
          <w:highlight w:val="none"/>
        </w:rPr>
        <w:instrText xml:space="preserve"> HYPERLINK "https://doi.org/10.1002/hep.29510" </w:instrText>
      </w:r>
      <w:r>
        <w:rPr>
          <w:highlight w:val="none"/>
        </w:rPr>
        <w:fldChar w:fldCharType="separate"/>
      </w:r>
      <w:r>
        <w:rPr>
          <w:rStyle w:val="11"/>
          <w:rFonts w:cs="Times New Roman"/>
          <w:color w:val="auto"/>
          <w:szCs w:val="28"/>
          <w:highlight w:val="none"/>
          <w:u w:val="none"/>
          <w:lang w:val="en-US"/>
        </w:rPr>
        <w:t>https://doi.org/10.1002/hep.29510</w:t>
      </w:r>
      <w:r>
        <w:rPr>
          <w:rStyle w:val="11"/>
          <w:rFonts w:cs="Times New Roman"/>
          <w:color w:val="auto"/>
          <w:szCs w:val="28"/>
          <w:highlight w:val="none"/>
          <w:u w:val="none"/>
          <w:lang w:val="en-US"/>
        </w:rPr>
        <w:fldChar w:fldCharType="end"/>
      </w:r>
    </w:p>
    <w:p w14:paraId="1A68FAE8">
      <w:pPr>
        <w:widowControl w:val="0"/>
        <w:rPr>
          <w:rFonts w:cs="Times New Roman"/>
          <w:szCs w:val="28"/>
          <w:highlight w:val="none"/>
          <w:lang w:val="en-US"/>
        </w:rPr>
      </w:pPr>
      <w:r>
        <w:rPr>
          <w:rFonts w:cs="Times New Roman"/>
          <w:szCs w:val="28"/>
          <w:highlight w:val="none"/>
          <w:lang w:val="en-US"/>
        </w:rPr>
        <w:t xml:space="preserve">298. </w:t>
      </w:r>
      <w:r>
        <w:rPr>
          <w:rStyle w:val="12"/>
          <w:rFonts w:cs="Times New Roman"/>
          <w:b w:val="0"/>
          <w:szCs w:val="28"/>
          <w:highlight w:val="none"/>
          <w:lang w:val="en-US"/>
        </w:rPr>
        <w:t xml:space="preserve">Efficacy and safety of glecaprevir/pibrentasvir in patients with chronic HCV infection and moderate to severe renal impairment: an integrated analysis / </w:t>
      </w:r>
      <w:r>
        <w:rPr>
          <w:rFonts w:cs="Times New Roman"/>
          <w:szCs w:val="28"/>
          <w:highlight w:val="none"/>
          <w:lang w:val="en-US"/>
        </w:rPr>
        <w:t xml:space="preserve">E. Lawitz et al. </w:t>
      </w:r>
      <w:r>
        <w:rPr>
          <w:rFonts w:cs="Times New Roman"/>
          <w:i/>
          <w:szCs w:val="28"/>
          <w:highlight w:val="none"/>
          <w:lang w:val="en-US"/>
        </w:rPr>
        <w:t>Hepatology</w:t>
      </w:r>
      <w:r>
        <w:rPr>
          <w:rFonts w:cs="Times New Roman"/>
          <w:szCs w:val="28"/>
          <w:highlight w:val="none"/>
          <w:lang w:val="en-US"/>
        </w:rPr>
        <w:t xml:space="preserve">. 2018. Vol. 68, Suppl. P. 426A. </w:t>
      </w:r>
    </w:p>
    <w:p w14:paraId="68A3A7EB">
      <w:pPr>
        <w:widowControl w:val="0"/>
        <w:rPr>
          <w:rFonts w:cs="Times New Roman"/>
          <w:szCs w:val="28"/>
          <w:highlight w:val="none"/>
          <w:lang w:val="en-US"/>
        </w:rPr>
      </w:pPr>
      <w:r>
        <w:rPr>
          <w:rFonts w:cs="Times New Roman"/>
          <w:szCs w:val="28"/>
          <w:highlight w:val="none"/>
          <w:lang w:val="en-US"/>
        </w:rPr>
        <w:t>300.</w:t>
      </w:r>
      <w:r>
        <w:rPr>
          <w:rFonts w:cs="Times New Roman"/>
          <w:szCs w:val="28"/>
          <w:highlight w:val="none"/>
          <w:shd w:val="clear" w:color="auto" w:fill="FFFFFF"/>
          <w:lang w:val="en-US"/>
        </w:rPr>
        <w:t xml:space="preserve"> </w:t>
      </w:r>
      <w:r>
        <w:rPr>
          <w:rFonts w:cs="Times New Roman"/>
          <w:bCs/>
          <w:szCs w:val="28"/>
          <w:highlight w:val="none"/>
          <w:lang w:val="en-US"/>
        </w:rPr>
        <w:t xml:space="preserve">Glecaprevir/Pibrentasvir for hepatitis C virus genotype 3 patients with cirrhosis and/or prior treatment experience: a partially randomized phase 3 clinical trial / </w:t>
      </w:r>
      <w:r>
        <w:rPr>
          <w:rFonts w:cs="Times New Roman"/>
          <w:szCs w:val="28"/>
          <w:highlight w:val="none"/>
          <w:lang w:val="en-US"/>
        </w:rPr>
        <w:t xml:space="preserve">D. Wyles et al. </w:t>
      </w:r>
      <w:r>
        <w:rPr>
          <w:rFonts w:cs="Times New Roman"/>
          <w:i/>
          <w:szCs w:val="28"/>
          <w:highlight w:val="none"/>
          <w:lang w:val="en-US"/>
        </w:rPr>
        <w:t>Hepatology</w:t>
      </w:r>
      <w:r>
        <w:rPr>
          <w:rFonts w:cs="Times New Roman"/>
          <w:szCs w:val="28"/>
          <w:highlight w:val="none"/>
          <w:lang w:val="en-US"/>
        </w:rPr>
        <w:t>. 2018. Vol. 67. P. 514</w:t>
      </w:r>
      <w:r>
        <w:rPr>
          <w:rFonts w:cs="Times New Roman"/>
          <w:szCs w:val="28"/>
          <w:highlight w:val="none"/>
          <w:shd w:val="clear" w:color="auto" w:fill="FFFFFF"/>
          <w:lang w:val="en-US"/>
        </w:rPr>
        <w:t>–</w:t>
      </w:r>
      <w:r>
        <w:rPr>
          <w:rFonts w:cs="Times New Roman"/>
          <w:szCs w:val="28"/>
          <w:highlight w:val="none"/>
          <w:lang w:val="en-US"/>
        </w:rPr>
        <w:t xml:space="preserve">523. </w:t>
      </w:r>
      <w:r>
        <w:rPr>
          <w:rFonts w:cs="Times New Roman"/>
          <w:szCs w:val="28"/>
          <w:highlight w:val="none"/>
          <w:shd w:val="clear" w:color="auto" w:fill="FFFFFF"/>
          <w:lang w:val="en-US"/>
        </w:rPr>
        <w:t xml:space="preserve">doi: </w:t>
      </w:r>
      <w:r>
        <w:rPr>
          <w:highlight w:val="none"/>
        </w:rPr>
        <w:fldChar w:fldCharType="begin"/>
      </w:r>
      <w:r>
        <w:rPr>
          <w:highlight w:val="none"/>
        </w:rPr>
        <w:instrText xml:space="preserve"> HYPERLINK "https://doi.org/10.1002/hep.29541" </w:instrText>
      </w:r>
      <w:r>
        <w:rPr>
          <w:highlight w:val="none"/>
        </w:rPr>
        <w:fldChar w:fldCharType="separate"/>
      </w:r>
      <w:r>
        <w:rPr>
          <w:rStyle w:val="11"/>
          <w:rFonts w:cs="Times New Roman"/>
          <w:bCs/>
          <w:color w:val="auto"/>
          <w:szCs w:val="28"/>
          <w:highlight w:val="none"/>
          <w:u w:val="none"/>
          <w:lang w:val="en-US"/>
        </w:rPr>
        <w:t>https://doi.org/10.1002/hep.29541</w:t>
      </w:r>
      <w:r>
        <w:rPr>
          <w:rStyle w:val="11"/>
          <w:rFonts w:cs="Times New Roman"/>
          <w:bCs/>
          <w:color w:val="auto"/>
          <w:szCs w:val="28"/>
          <w:highlight w:val="none"/>
          <w:u w:val="none"/>
          <w:lang w:val="en-US"/>
        </w:rPr>
        <w:fldChar w:fldCharType="end"/>
      </w:r>
    </w:p>
    <w:p w14:paraId="7F60F6C9">
      <w:pPr>
        <w:widowControl w:val="0"/>
        <w:rPr>
          <w:rFonts w:cs="Times New Roman"/>
          <w:szCs w:val="28"/>
          <w:highlight w:val="none"/>
          <w:lang w:val="en-US"/>
        </w:rPr>
      </w:pPr>
      <w:r>
        <w:rPr>
          <w:rFonts w:cs="Times New Roman"/>
          <w:szCs w:val="28"/>
          <w:highlight w:val="none"/>
          <w:lang w:val="en-US"/>
        </w:rPr>
        <w:t>301.</w:t>
      </w:r>
      <w:r>
        <w:rPr>
          <w:rFonts w:cs="Times New Roman"/>
          <w:szCs w:val="28"/>
          <w:highlight w:val="none"/>
          <w:shd w:val="clear" w:color="auto" w:fill="FFFFFF"/>
          <w:lang w:val="en-US"/>
        </w:rPr>
        <w:t xml:space="preserve"> AASLD-IDSA HCV Guidance Panel. Hepatitis C Guidance 2018 Update: AASLD-IDSA Recommendations for Testing, Managing, and Treating Hepatitis C Virus Infection. </w:t>
      </w:r>
      <w:r>
        <w:rPr>
          <w:rFonts w:cs="Times New Roman"/>
          <w:i/>
          <w:szCs w:val="28"/>
          <w:highlight w:val="none"/>
          <w:shd w:val="clear" w:color="auto" w:fill="FFFFFF"/>
          <w:lang w:val="en-US"/>
        </w:rPr>
        <w:t>Clin Infect Dis</w:t>
      </w:r>
      <w:r>
        <w:rPr>
          <w:rFonts w:cs="Times New Roman"/>
          <w:szCs w:val="28"/>
          <w:highlight w:val="none"/>
          <w:shd w:val="clear" w:color="auto" w:fill="FFFFFF"/>
          <w:lang w:val="en-US"/>
        </w:rPr>
        <w:t>. 2018. Vol. 67 (10). P. 1477–1492. doi: 10.1093/cid/ciy585</w:t>
      </w:r>
    </w:p>
    <w:p w14:paraId="2F9B1E2A">
      <w:pPr>
        <w:widowControl w:val="0"/>
        <w:rPr>
          <w:rFonts w:cs="Times New Roman"/>
          <w:szCs w:val="28"/>
          <w:highlight w:val="none"/>
          <w:lang w:val="en-US"/>
        </w:rPr>
      </w:pPr>
      <w:r>
        <w:rPr>
          <w:rFonts w:cs="Times New Roman"/>
          <w:szCs w:val="28"/>
          <w:highlight w:val="none"/>
          <w:lang w:val="en-US"/>
        </w:rPr>
        <w:t xml:space="preserve">302. </w:t>
      </w:r>
      <w:r>
        <w:rPr>
          <w:rStyle w:val="57"/>
          <w:rFonts w:cs="Times New Roman"/>
          <w:szCs w:val="28"/>
          <w:highlight w:val="none"/>
          <w:lang w:val="en-US"/>
        </w:rPr>
        <w:t>Effectiveness of therapy in 16,567 directly-acting antiviral treated people in England: high response rates in genotype 3 hepatitis C infection regardless of degree of fibrosis, but ribavirin improves response in cirrhosis</w:t>
      </w:r>
      <w:r>
        <w:rPr>
          <w:rFonts w:cs="Times New Roman"/>
          <w:szCs w:val="28"/>
          <w:highlight w:val="none"/>
          <w:lang w:val="en-US"/>
        </w:rPr>
        <w:t> [Abstract LBO-07] /</w:t>
      </w:r>
      <w:r>
        <w:rPr>
          <w:rStyle w:val="56"/>
          <w:rFonts w:cs="Times New Roman"/>
          <w:szCs w:val="28"/>
          <w:highlight w:val="none"/>
          <w:lang w:val="en-US"/>
        </w:rPr>
        <w:t xml:space="preserve"> K. Drysdale</w:t>
      </w:r>
      <w:r>
        <w:rPr>
          <w:rFonts w:cs="Times New Roman"/>
          <w:szCs w:val="28"/>
          <w:highlight w:val="none"/>
          <w:lang w:val="en-US"/>
        </w:rPr>
        <w:t>,</w:t>
      </w:r>
      <w:r>
        <w:rPr>
          <w:rStyle w:val="56"/>
          <w:rFonts w:cs="Times New Roman"/>
          <w:szCs w:val="28"/>
          <w:highlight w:val="none"/>
          <w:lang w:val="en-US"/>
        </w:rPr>
        <w:t xml:space="preserve"> C. Townley</w:t>
      </w:r>
      <w:r>
        <w:rPr>
          <w:rFonts w:cs="Times New Roman"/>
          <w:szCs w:val="28"/>
          <w:highlight w:val="none"/>
          <w:lang w:val="en-US"/>
        </w:rPr>
        <w:t xml:space="preserve">, </w:t>
      </w:r>
      <w:r>
        <w:rPr>
          <w:rStyle w:val="56"/>
          <w:rFonts w:cs="Times New Roman"/>
          <w:szCs w:val="28"/>
          <w:highlight w:val="none"/>
          <w:lang w:val="en-US"/>
        </w:rPr>
        <w:t>F. Mahomed</w:t>
      </w:r>
      <w:r>
        <w:rPr>
          <w:rFonts w:cs="Times New Roman"/>
          <w:szCs w:val="28"/>
          <w:highlight w:val="none"/>
          <w:lang w:val="en-US"/>
        </w:rPr>
        <w:t>,</w:t>
      </w:r>
      <w:r>
        <w:rPr>
          <w:rStyle w:val="56"/>
          <w:rFonts w:cs="Times New Roman"/>
          <w:szCs w:val="28"/>
          <w:highlight w:val="none"/>
          <w:lang w:val="en-US"/>
        </w:rPr>
        <w:t xml:space="preserve"> G. R</w:t>
      </w:r>
      <w:r>
        <w:rPr>
          <w:rFonts w:cs="Times New Roman"/>
          <w:szCs w:val="28"/>
          <w:highlight w:val="none"/>
          <w:lang w:val="en-US"/>
        </w:rPr>
        <w:t>. </w:t>
      </w:r>
      <w:r>
        <w:rPr>
          <w:rStyle w:val="56"/>
          <w:rFonts w:cs="Times New Roman"/>
          <w:szCs w:val="28"/>
          <w:highlight w:val="none"/>
          <w:lang w:val="en-US"/>
        </w:rPr>
        <w:t xml:space="preserve">Foster. </w:t>
      </w:r>
      <w:r>
        <w:rPr>
          <w:rFonts w:cs="Times New Roman"/>
          <w:i/>
          <w:iCs/>
          <w:szCs w:val="28"/>
          <w:highlight w:val="none"/>
          <w:lang w:val="en-US"/>
        </w:rPr>
        <w:t>J. Hepatol</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2019</w:t>
      </w:r>
      <w:r>
        <w:rPr>
          <w:rFonts w:cs="Times New Roman"/>
          <w:szCs w:val="28"/>
          <w:highlight w:val="none"/>
          <w:lang w:val="en-US"/>
        </w:rPr>
        <w:t>. Vol. </w:t>
      </w:r>
      <w:r>
        <w:rPr>
          <w:rStyle w:val="59"/>
          <w:rFonts w:cs="Times New Roman"/>
          <w:bCs/>
          <w:szCs w:val="28"/>
          <w:highlight w:val="none"/>
          <w:lang w:val="en-US"/>
        </w:rPr>
        <w:t>70</w:t>
      </w:r>
      <w:r>
        <w:rPr>
          <w:rFonts w:cs="Times New Roman"/>
          <w:szCs w:val="28"/>
          <w:highlight w:val="none"/>
          <w:lang w:val="en-US"/>
        </w:rPr>
        <w:t>. P. </w:t>
      </w:r>
      <w:r>
        <w:rPr>
          <w:rStyle w:val="60"/>
          <w:rFonts w:cs="Times New Roman"/>
          <w:szCs w:val="28"/>
          <w:highlight w:val="none"/>
          <w:lang w:val="en-US"/>
        </w:rPr>
        <w:t>e131</w:t>
      </w:r>
      <w:r>
        <w:rPr>
          <w:rFonts w:cs="Times New Roman"/>
          <w:szCs w:val="28"/>
          <w:highlight w:val="none"/>
          <w:lang w:val="en-US"/>
        </w:rPr>
        <w:t xml:space="preserve">. </w:t>
      </w:r>
      <w:r>
        <w:rPr>
          <w:rFonts w:cs="Times New Roman"/>
          <w:bCs/>
          <w:szCs w:val="28"/>
          <w:highlight w:val="none"/>
          <w:lang w:val="en-US"/>
        </w:rPr>
        <w:t xml:space="preserve">doi: </w:t>
      </w:r>
      <w:r>
        <w:rPr>
          <w:rFonts w:cs="Times New Roman"/>
          <w:szCs w:val="28"/>
          <w:highlight w:val="none"/>
          <w:lang w:val="en-US"/>
        </w:rPr>
        <w:t>10.1016/S0618-8278(19)30231-2</w:t>
      </w:r>
    </w:p>
    <w:p w14:paraId="7A9732BE">
      <w:pPr>
        <w:widowControl w:val="0"/>
        <w:rPr>
          <w:rFonts w:cs="Times New Roman"/>
          <w:szCs w:val="28"/>
          <w:highlight w:val="none"/>
          <w:lang w:val="en-US"/>
        </w:rPr>
      </w:pPr>
      <w:r>
        <w:rPr>
          <w:rFonts w:cs="Times New Roman"/>
          <w:szCs w:val="28"/>
          <w:highlight w:val="none"/>
          <w:lang w:val="en-US"/>
        </w:rPr>
        <w:t xml:space="preserve">303. Time-dependent improvement of liver inflammation, fibrosis and metabolic liver function after successful direct-acting antiviral therapy of chronic hepatitis C / </w:t>
      </w:r>
      <w:r>
        <w:rPr>
          <w:highlight w:val="none"/>
        </w:rPr>
        <w:fldChar w:fldCharType="begin"/>
      </w:r>
      <w:r>
        <w:rPr>
          <w:highlight w:val="none"/>
        </w:rPr>
        <w:instrText xml:space="preserve"> HYPERLINK "https://onlinelibrary.wiley.com/action/doSearch?ContribAuthorRaw=Laursen%2C+Tea+Lund" </w:instrText>
      </w:r>
      <w:r>
        <w:rPr>
          <w:highlight w:val="none"/>
        </w:rPr>
        <w:fldChar w:fldCharType="separate"/>
      </w:r>
      <w:r>
        <w:rPr>
          <w:rStyle w:val="11"/>
          <w:rFonts w:cs="Times New Roman"/>
          <w:color w:val="auto"/>
          <w:szCs w:val="28"/>
          <w:highlight w:val="none"/>
          <w:u w:val="none"/>
          <w:lang w:val="en-US"/>
        </w:rPr>
        <w:t>T. L. Laursen</w:t>
      </w:r>
      <w:r>
        <w:rPr>
          <w:rStyle w:val="11"/>
          <w:rFonts w:cs="Times New Roman"/>
          <w:color w:val="auto"/>
          <w:szCs w:val="28"/>
          <w:highlight w:val="none"/>
          <w:u w:val="none"/>
          <w:lang w:val="en-US"/>
        </w:rPr>
        <w:fldChar w:fldCharType="end"/>
      </w:r>
      <w:r>
        <w:rPr>
          <w:rStyle w:val="11"/>
          <w:rFonts w:cs="Times New Roman"/>
          <w:color w:val="auto"/>
          <w:szCs w:val="28"/>
          <w:highlight w:val="none"/>
          <w:u w:val="none"/>
          <w:lang w:val="en-US"/>
        </w:rPr>
        <w:t xml:space="preserve"> et al. </w:t>
      </w:r>
      <w:r>
        <w:rPr>
          <w:rFonts w:cs="Times New Roman"/>
          <w:i/>
          <w:iCs/>
          <w:szCs w:val="28"/>
          <w:highlight w:val="none"/>
          <w:shd w:val="clear" w:color="auto" w:fill="FFFFFF"/>
          <w:lang w:val="en-US"/>
        </w:rPr>
        <w:t>J. of Viral Hepatitis</w:t>
      </w:r>
      <w:r>
        <w:rPr>
          <w:rFonts w:cs="Times New Roman"/>
          <w:iCs/>
          <w:szCs w:val="28"/>
          <w:highlight w:val="none"/>
          <w:shd w:val="clear" w:color="auto" w:fill="FFFFFF"/>
          <w:lang w:val="en-US"/>
        </w:rPr>
        <w:t xml:space="preserve">. </w:t>
      </w:r>
      <w:r>
        <w:rPr>
          <w:rStyle w:val="68"/>
          <w:rFonts w:cs="Times New Roman"/>
          <w:szCs w:val="28"/>
          <w:highlight w:val="none"/>
          <w:lang w:val="en-US"/>
        </w:rPr>
        <w:t xml:space="preserve">2020. </w:t>
      </w:r>
      <w:r>
        <w:rPr>
          <w:highlight w:val="none"/>
        </w:rPr>
        <w:fldChar w:fldCharType="begin"/>
      </w:r>
      <w:r>
        <w:rPr>
          <w:highlight w:val="none"/>
        </w:rPr>
        <w:instrText xml:space="preserve"> HYPERLINK "https://onlinelibrary.wiley.com/toc/13652893/2020/27/1" \o "View Volume 27, Issue 1" </w:instrText>
      </w:r>
      <w:r>
        <w:rPr>
          <w:highlight w:val="none"/>
        </w:rPr>
        <w:fldChar w:fldCharType="separate"/>
      </w:r>
      <w:r>
        <w:rPr>
          <w:rStyle w:val="11"/>
          <w:rFonts w:cs="Times New Roman"/>
          <w:bCs/>
          <w:color w:val="auto"/>
          <w:szCs w:val="28"/>
          <w:highlight w:val="none"/>
          <w:u w:val="none"/>
          <w:lang w:val="en-US"/>
        </w:rPr>
        <w:t xml:space="preserve">Vol. </w:t>
      </w:r>
      <w:r>
        <w:rPr>
          <w:rStyle w:val="55"/>
          <w:rFonts w:cs="Times New Roman"/>
          <w:bCs/>
          <w:szCs w:val="28"/>
          <w:highlight w:val="none"/>
          <w:lang w:val="en-US"/>
        </w:rPr>
        <w:t>27</w:t>
      </w:r>
      <w:r>
        <w:rPr>
          <w:rStyle w:val="11"/>
          <w:rFonts w:cs="Times New Roman"/>
          <w:bCs/>
          <w:color w:val="auto"/>
          <w:szCs w:val="28"/>
          <w:highlight w:val="none"/>
          <w:u w:val="none"/>
          <w:lang w:val="en-US"/>
        </w:rPr>
        <w:t xml:space="preserve">, Iss. </w:t>
      </w:r>
      <w:r>
        <w:rPr>
          <w:rStyle w:val="55"/>
          <w:rFonts w:cs="Times New Roman"/>
          <w:bCs/>
          <w:szCs w:val="28"/>
          <w:highlight w:val="none"/>
          <w:lang w:val="en-US"/>
        </w:rPr>
        <w:t>1</w:t>
      </w:r>
      <w:r>
        <w:rPr>
          <w:rStyle w:val="55"/>
          <w:rFonts w:cs="Times New Roman"/>
          <w:bCs/>
          <w:szCs w:val="28"/>
          <w:highlight w:val="none"/>
          <w:lang w:val="en-US"/>
        </w:rPr>
        <w:fldChar w:fldCharType="end"/>
      </w:r>
      <w:r>
        <w:rPr>
          <w:rFonts w:cs="Times New Roman"/>
          <w:bCs/>
          <w:szCs w:val="28"/>
          <w:highlight w:val="none"/>
          <w:lang w:val="en-US"/>
        </w:rPr>
        <w:t xml:space="preserve">. </w:t>
      </w:r>
      <w:r>
        <w:rPr>
          <w:rFonts w:cs="Times New Roman"/>
          <w:szCs w:val="28"/>
          <w:highlight w:val="none"/>
          <w:lang w:val="en-US"/>
        </w:rPr>
        <w:t>P. 28</w:t>
      </w:r>
      <w:r>
        <w:rPr>
          <w:rFonts w:cs="Times New Roman"/>
          <w:szCs w:val="28"/>
          <w:highlight w:val="none"/>
          <w:shd w:val="clear" w:color="auto" w:fill="FFFFFF"/>
          <w:lang w:val="en-US"/>
        </w:rPr>
        <w:t>–</w:t>
      </w:r>
      <w:r>
        <w:rPr>
          <w:rFonts w:cs="Times New Roman"/>
          <w:szCs w:val="28"/>
          <w:highlight w:val="none"/>
          <w:lang w:val="en-US"/>
        </w:rPr>
        <w:t xml:space="preserve">35. </w:t>
      </w:r>
      <w:r>
        <w:rPr>
          <w:rStyle w:val="68"/>
          <w:rFonts w:cs="Times New Roman"/>
          <w:szCs w:val="28"/>
          <w:highlight w:val="none"/>
          <w:lang w:val="en-US"/>
        </w:rPr>
        <w:t xml:space="preserve">doi: </w:t>
      </w:r>
      <w:r>
        <w:rPr>
          <w:highlight w:val="none"/>
        </w:rPr>
        <w:fldChar w:fldCharType="begin"/>
      </w:r>
      <w:r>
        <w:rPr>
          <w:highlight w:val="none"/>
        </w:rPr>
        <w:instrText xml:space="preserve"> HYPERLINK "https://doi.org/10.1111/jvh.13204" </w:instrText>
      </w:r>
      <w:r>
        <w:rPr>
          <w:highlight w:val="none"/>
        </w:rPr>
        <w:fldChar w:fldCharType="separate"/>
      </w:r>
      <w:r>
        <w:rPr>
          <w:rStyle w:val="11"/>
          <w:rFonts w:cs="Times New Roman"/>
          <w:bCs/>
          <w:color w:val="auto"/>
          <w:szCs w:val="28"/>
          <w:highlight w:val="none"/>
          <w:u w:val="none"/>
          <w:lang w:val="en-US"/>
        </w:rPr>
        <w:t>https://doi.org/10.1111/jvh.13204</w:t>
      </w:r>
      <w:r>
        <w:rPr>
          <w:rStyle w:val="11"/>
          <w:rFonts w:cs="Times New Roman"/>
          <w:bCs/>
          <w:color w:val="auto"/>
          <w:szCs w:val="28"/>
          <w:highlight w:val="none"/>
          <w:u w:val="none"/>
          <w:lang w:val="en-US"/>
        </w:rPr>
        <w:fldChar w:fldCharType="end"/>
      </w:r>
    </w:p>
    <w:p w14:paraId="228D5394">
      <w:pPr>
        <w:widowControl w:val="0"/>
        <w:rPr>
          <w:rFonts w:cs="Times New Roman"/>
          <w:szCs w:val="28"/>
          <w:highlight w:val="none"/>
          <w:lang w:val="en-US"/>
        </w:rPr>
      </w:pPr>
      <w:r>
        <w:rPr>
          <w:rFonts w:cs="Times New Roman"/>
          <w:szCs w:val="28"/>
          <w:highlight w:val="none"/>
          <w:lang w:val="en-US"/>
        </w:rPr>
        <w:t xml:space="preserve">304. </w:t>
      </w:r>
      <w:r>
        <w:rPr>
          <w:rStyle w:val="66"/>
          <w:rFonts w:cs="Times New Roman"/>
          <w:szCs w:val="28"/>
          <w:highlight w:val="none"/>
          <w:shd w:val="clear" w:color="auto" w:fill="FFFFFF"/>
          <w:lang w:val="en-US"/>
        </w:rPr>
        <w:t>AASLD-IDSA</w:t>
      </w:r>
      <w:r>
        <w:rPr>
          <w:rFonts w:cs="Times New Roman"/>
          <w:szCs w:val="28"/>
          <w:highlight w:val="none"/>
          <w:shd w:val="clear" w:color="auto" w:fill="FFFFFF"/>
          <w:lang w:val="en-US"/>
        </w:rPr>
        <w:t>. </w:t>
      </w:r>
      <w:r>
        <w:rPr>
          <w:rStyle w:val="69"/>
          <w:rFonts w:cs="Times New Roman"/>
          <w:iCs/>
          <w:szCs w:val="28"/>
          <w:highlight w:val="none"/>
          <w:shd w:val="clear" w:color="auto" w:fill="FFFFFF"/>
          <w:lang w:val="en-US"/>
        </w:rPr>
        <w:t>Recommendations for testing, managing, and treating hepatitis C</w:t>
      </w:r>
      <w:r>
        <w:rPr>
          <w:rFonts w:cs="Times New Roman"/>
          <w:szCs w:val="28"/>
          <w:highlight w:val="none"/>
          <w:shd w:val="clear" w:color="auto" w:fill="FFFFFF"/>
          <w:lang w:val="en-US"/>
        </w:rPr>
        <w:t xml:space="preserve">. URL: </w:t>
      </w:r>
      <w:r>
        <w:rPr>
          <w:highlight w:val="none"/>
        </w:rPr>
        <w:fldChar w:fldCharType="begin"/>
      </w:r>
      <w:r>
        <w:rPr>
          <w:highlight w:val="none"/>
        </w:rPr>
        <w:instrText xml:space="preserve"> HYPERLINK "http://www.hcvguidelines.org/" </w:instrText>
      </w:r>
      <w:r>
        <w:rPr>
          <w:highlight w:val="none"/>
        </w:rPr>
        <w:fldChar w:fldCharType="separate"/>
      </w:r>
      <w:r>
        <w:rPr>
          <w:rStyle w:val="11"/>
          <w:rFonts w:cs="Times New Roman"/>
          <w:color w:val="auto"/>
          <w:szCs w:val="28"/>
          <w:highlight w:val="none"/>
          <w:u w:val="none"/>
          <w:shd w:val="clear" w:color="auto" w:fill="FFFFFF"/>
          <w:lang w:val="en-US"/>
        </w:rPr>
        <w:t>http://www.hcvguidelines.org</w:t>
      </w:r>
      <w:r>
        <w:rPr>
          <w:rStyle w:val="11"/>
          <w:rFonts w:cs="Times New Roman"/>
          <w:color w:val="auto"/>
          <w:szCs w:val="28"/>
          <w:highlight w:val="none"/>
          <w:u w:val="none"/>
          <w:shd w:val="clear" w:color="auto" w:fill="FFFFFF"/>
          <w:lang w:val="en-US"/>
        </w:rPr>
        <w:fldChar w:fldCharType="end"/>
      </w:r>
    </w:p>
    <w:p w14:paraId="68841AEE">
      <w:pPr>
        <w:widowControl w:val="0"/>
        <w:rPr>
          <w:rFonts w:cs="Times New Roman"/>
          <w:szCs w:val="28"/>
          <w:highlight w:val="none"/>
          <w:lang w:val="en-US"/>
        </w:rPr>
      </w:pPr>
      <w:r>
        <w:rPr>
          <w:rFonts w:cs="Times New Roman"/>
          <w:szCs w:val="28"/>
          <w:highlight w:val="none"/>
          <w:lang w:val="en-US"/>
        </w:rPr>
        <w:t>305.</w:t>
      </w:r>
      <w:r>
        <w:rPr>
          <w:rFonts w:cs="Times New Roman"/>
          <w:szCs w:val="28"/>
          <w:highlight w:val="none"/>
          <w:shd w:val="clear" w:color="auto" w:fill="FFFFFF"/>
          <w:lang w:val="en-US"/>
        </w:rPr>
        <w:t xml:space="preserve"> </w:t>
      </w:r>
      <w:r>
        <w:rPr>
          <w:rFonts w:cs="Times New Roman"/>
          <w:szCs w:val="28"/>
          <w:highlight w:val="none"/>
          <w:lang w:val="en-US"/>
        </w:rPr>
        <w:t xml:space="preserve">European Medicines Agency. Summary of product characteristics: Maviret [in Dutch]. 2019. URL: </w:t>
      </w:r>
      <w:r>
        <w:rPr>
          <w:highlight w:val="none"/>
        </w:rPr>
        <w:fldChar w:fldCharType="begin"/>
      </w:r>
      <w:r>
        <w:rPr>
          <w:highlight w:val="none"/>
        </w:rPr>
        <w:instrText xml:space="preserve"> HYPERLINK "https://www.ema.europa.eu/documents/product-information/maviret-epar-product-information_nl.pdf" </w:instrText>
      </w:r>
      <w:r>
        <w:rPr>
          <w:highlight w:val="none"/>
        </w:rPr>
        <w:fldChar w:fldCharType="separate"/>
      </w:r>
      <w:r>
        <w:rPr>
          <w:rStyle w:val="11"/>
          <w:rFonts w:cs="Times New Roman"/>
          <w:color w:val="auto"/>
          <w:szCs w:val="28"/>
          <w:highlight w:val="none"/>
          <w:u w:val="none"/>
          <w:lang w:val="en-US"/>
        </w:rPr>
        <w:t>https://www.ema.europa.eu/documents/product-information/maviret-epar-product-information_nl.pdf</w:t>
      </w:r>
      <w:r>
        <w:rPr>
          <w:rStyle w:val="11"/>
          <w:rFonts w:cs="Times New Roman"/>
          <w:color w:val="auto"/>
          <w:szCs w:val="28"/>
          <w:highlight w:val="none"/>
          <w:u w:val="none"/>
          <w:lang w:val="en-US"/>
        </w:rPr>
        <w:fldChar w:fldCharType="end"/>
      </w:r>
    </w:p>
    <w:p w14:paraId="20C60586">
      <w:pPr>
        <w:widowControl w:val="0"/>
        <w:rPr>
          <w:rFonts w:cs="Times New Roman"/>
          <w:szCs w:val="28"/>
          <w:highlight w:val="none"/>
          <w:lang w:val="en-US"/>
        </w:rPr>
      </w:pPr>
      <w:r>
        <w:rPr>
          <w:rFonts w:cs="Times New Roman"/>
          <w:szCs w:val="28"/>
          <w:highlight w:val="none"/>
          <w:lang w:val="en-US"/>
        </w:rPr>
        <w:t xml:space="preserve">306. </w:t>
      </w:r>
      <w:r>
        <w:rPr>
          <w:rStyle w:val="57"/>
          <w:rFonts w:cs="Times New Roman"/>
          <w:szCs w:val="28"/>
          <w:highlight w:val="none"/>
          <w:lang w:val="en-US"/>
        </w:rPr>
        <w:t>Elbasvir–grazoprevir to treat hepatitis C virus infection in persons receiving opioid agonist therapy: a randomized trial</w:t>
      </w:r>
      <w:r>
        <w:rPr>
          <w:rFonts w:cs="Times New Roman"/>
          <w:szCs w:val="28"/>
          <w:highlight w:val="none"/>
          <w:lang w:val="en-US"/>
        </w:rPr>
        <w:t xml:space="preserve"> /</w:t>
      </w:r>
      <w:r>
        <w:rPr>
          <w:rStyle w:val="56"/>
          <w:rFonts w:cs="Times New Roman"/>
          <w:szCs w:val="28"/>
          <w:highlight w:val="none"/>
          <w:lang w:val="en-US"/>
        </w:rPr>
        <w:t xml:space="preserve"> G. J. Dore et al. </w:t>
      </w:r>
      <w:r>
        <w:rPr>
          <w:rFonts w:cs="Times New Roman"/>
          <w:i/>
          <w:iCs/>
          <w:szCs w:val="28"/>
          <w:highlight w:val="none"/>
          <w:lang w:val="en-US"/>
        </w:rPr>
        <w:t>Ann Intern Med</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2016</w:t>
      </w:r>
      <w:r>
        <w:rPr>
          <w:rFonts w:cs="Times New Roman"/>
          <w:szCs w:val="28"/>
          <w:highlight w:val="none"/>
          <w:lang w:val="en-US"/>
        </w:rPr>
        <w:t>. Vol. </w:t>
      </w:r>
      <w:r>
        <w:rPr>
          <w:rStyle w:val="59"/>
          <w:rFonts w:cs="Times New Roman"/>
          <w:bCs/>
          <w:szCs w:val="28"/>
          <w:highlight w:val="none"/>
          <w:lang w:val="en-US"/>
        </w:rPr>
        <w:t>165</w:t>
      </w:r>
      <w:r>
        <w:rPr>
          <w:rFonts w:cs="Times New Roman"/>
          <w:szCs w:val="28"/>
          <w:highlight w:val="none"/>
          <w:lang w:val="en-US"/>
        </w:rPr>
        <w:t>. P. </w:t>
      </w:r>
      <w:r>
        <w:rPr>
          <w:rStyle w:val="60"/>
          <w:rFonts w:cs="Times New Roman"/>
          <w:szCs w:val="28"/>
          <w:highlight w:val="none"/>
          <w:lang w:val="en-US"/>
        </w:rPr>
        <w:t>625</w:t>
      </w:r>
      <w:r>
        <w:rPr>
          <w:rFonts w:cs="Times New Roman"/>
          <w:szCs w:val="28"/>
          <w:highlight w:val="none"/>
          <w:shd w:val="clear" w:color="auto" w:fill="FFFFFF"/>
          <w:lang w:val="en-US"/>
        </w:rPr>
        <w:t>–</w:t>
      </w:r>
      <w:r>
        <w:rPr>
          <w:rStyle w:val="61"/>
          <w:rFonts w:cs="Times New Roman" w:eastAsiaTheme="majorEastAsia"/>
          <w:szCs w:val="28"/>
          <w:highlight w:val="none"/>
          <w:lang w:val="en-US"/>
        </w:rPr>
        <w:t>634</w:t>
      </w:r>
      <w:r>
        <w:rPr>
          <w:rFonts w:cs="Times New Roman"/>
          <w:szCs w:val="28"/>
          <w:highlight w:val="none"/>
          <w:lang w:val="en-US"/>
        </w:rPr>
        <w:t xml:space="preserve">. </w:t>
      </w:r>
      <w:r>
        <w:rPr>
          <w:rStyle w:val="53"/>
          <w:rFonts w:cs="Times New Roman"/>
          <w:szCs w:val="28"/>
          <w:highlight w:val="none"/>
          <w:lang w:val="en-US"/>
        </w:rPr>
        <w:t>doi: </w:t>
      </w:r>
      <w:r>
        <w:rPr>
          <w:highlight w:val="none"/>
        </w:rPr>
        <w:fldChar w:fldCharType="begin"/>
      </w:r>
      <w:r>
        <w:rPr>
          <w:highlight w:val="none"/>
        </w:rPr>
        <w:instrText xml:space="preserve"> HYPERLINK "https://doi.org/10.7326/m16-0816" \t "_blank" </w:instrText>
      </w:r>
      <w:r>
        <w:rPr>
          <w:highlight w:val="none"/>
        </w:rPr>
        <w:fldChar w:fldCharType="separate"/>
      </w:r>
      <w:r>
        <w:rPr>
          <w:rStyle w:val="11"/>
          <w:rFonts w:cs="Times New Roman"/>
          <w:color w:val="auto"/>
          <w:szCs w:val="28"/>
          <w:highlight w:val="none"/>
          <w:u w:val="none"/>
          <w:lang w:val="en-US"/>
        </w:rPr>
        <w:t>10.7326/M16-0816</w:t>
      </w:r>
      <w:r>
        <w:rPr>
          <w:rStyle w:val="11"/>
          <w:rFonts w:cs="Times New Roman"/>
          <w:color w:val="auto"/>
          <w:szCs w:val="28"/>
          <w:highlight w:val="none"/>
          <w:u w:val="none"/>
          <w:lang w:val="en-US"/>
        </w:rPr>
        <w:fldChar w:fldCharType="end"/>
      </w:r>
    </w:p>
    <w:p w14:paraId="625C2E79">
      <w:pPr>
        <w:widowControl w:val="0"/>
        <w:rPr>
          <w:rFonts w:cs="Times New Roman"/>
          <w:szCs w:val="28"/>
          <w:highlight w:val="none"/>
          <w:lang w:val="en-US"/>
        </w:rPr>
      </w:pPr>
      <w:r>
        <w:rPr>
          <w:rFonts w:cs="Times New Roman"/>
          <w:szCs w:val="28"/>
          <w:highlight w:val="none"/>
          <w:lang w:val="en-US"/>
        </w:rPr>
        <w:t xml:space="preserve">307. </w:t>
      </w:r>
      <w:r>
        <w:rPr>
          <w:rStyle w:val="57"/>
          <w:rFonts w:cs="Times New Roman"/>
          <w:szCs w:val="28"/>
          <w:highlight w:val="none"/>
          <w:lang w:val="en-US"/>
        </w:rPr>
        <w:t>Real-life glecaprevir/pibrentasvir in a large cohort of patients with hepatitis C virus infection: the MISTRAL study</w:t>
      </w:r>
      <w:r>
        <w:rPr>
          <w:rFonts w:cs="Times New Roman"/>
          <w:szCs w:val="28"/>
          <w:highlight w:val="none"/>
          <w:lang w:val="en-US"/>
        </w:rPr>
        <w:t xml:space="preserve"> /</w:t>
      </w:r>
      <w:r>
        <w:rPr>
          <w:rStyle w:val="56"/>
          <w:rFonts w:cs="Times New Roman"/>
          <w:szCs w:val="28"/>
          <w:highlight w:val="none"/>
          <w:lang w:val="en-US"/>
        </w:rPr>
        <w:t xml:space="preserve"> M. Persico et al</w:t>
      </w:r>
      <w:r>
        <w:rPr>
          <w:rFonts w:cs="Times New Roman"/>
          <w:szCs w:val="28"/>
          <w:highlight w:val="none"/>
          <w:lang w:val="en-US"/>
        </w:rPr>
        <w:t>. </w:t>
      </w:r>
      <w:r>
        <w:rPr>
          <w:rFonts w:cs="Times New Roman"/>
          <w:i/>
          <w:iCs/>
          <w:szCs w:val="28"/>
          <w:highlight w:val="none"/>
          <w:lang w:val="en-US"/>
        </w:rPr>
        <w:t>Liver Int</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2019</w:t>
      </w:r>
      <w:r>
        <w:rPr>
          <w:rFonts w:cs="Times New Roman"/>
          <w:szCs w:val="28"/>
          <w:highlight w:val="none"/>
          <w:lang w:val="en-US"/>
        </w:rPr>
        <w:t>. Vol. </w:t>
      </w:r>
      <w:r>
        <w:rPr>
          <w:rStyle w:val="59"/>
          <w:rFonts w:cs="Times New Roman"/>
          <w:bCs/>
          <w:szCs w:val="28"/>
          <w:highlight w:val="none"/>
          <w:lang w:val="en-US"/>
        </w:rPr>
        <w:t>39</w:t>
      </w:r>
      <w:r>
        <w:rPr>
          <w:rFonts w:cs="Times New Roman"/>
          <w:szCs w:val="28"/>
          <w:highlight w:val="none"/>
          <w:lang w:val="en-US"/>
        </w:rPr>
        <w:t>. P. </w:t>
      </w:r>
      <w:r>
        <w:rPr>
          <w:rStyle w:val="60"/>
          <w:rFonts w:cs="Times New Roman"/>
          <w:szCs w:val="28"/>
          <w:highlight w:val="none"/>
          <w:lang w:val="en-US"/>
        </w:rPr>
        <w:t>1852</w:t>
      </w:r>
      <w:r>
        <w:rPr>
          <w:rFonts w:cs="Times New Roman"/>
          <w:szCs w:val="28"/>
          <w:highlight w:val="none"/>
          <w:shd w:val="clear" w:color="auto" w:fill="FFFFFF"/>
          <w:lang w:val="en-US"/>
        </w:rPr>
        <w:t>–</w:t>
      </w:r>
      <w:r>
        <w:rPr>
          <w:rStyle w:val="61"/>
          <w:rFonts w:cs="Times New Roman"/>
          <w:szCs w:val="28"/>
          <w:highlight w:val="none"/>
          <w:lang w:val="en-US"/>
        </w:rPr>
        <w:t>1859</w:t>
      </w:r>
      <w:r>
        <w:rPr>
          <w:rFonts w:cs="Times New Roman"/>
          <w:szCs w:val="28"/>
          <w:highlight w:val="none"/>
          <w:lang w:val="en-US"/>
        </w:rPr>
        <w:t xml:space="preserve">. doi: </w:t>
      </w:r>
      <w:r>
        <w:rPr>
          <w:highlight w:val="none"/>
        </w:rPr>
        <w:fldChar w:fldCharType="begin"/>
      </w:r>
      <w:r>
        <w:rPr>
          <w:highlight w:val="none"/>
        </w:rPr>
        <w:instrText xml:space="preserve"> HYPERLINK "https://doi.org/10.1111/liv.14170" </w:instrText>
      </w:r>
      <w:r>
        <w:rPr>
          <w:highlight w:val="none"/>
        </w:rPr>
        <w:fldChar w:fldCharType="separate"/>
      </w:r>
      <w:r>
        <w:rPr>
          <w:rStyle w:val="11"/>
          <w:rFonts w:cs="Times New Roman"/>
          <w:bCs/>
          <w:color w:val="auto"/>
          <w:szCs w:val="28"/>
          <w:highlight w:val="none"/>
          <w:u w:val="none"/>
          <w:shd w:val="clear" w:color="auto" w:fill="FFFFFF"/>
          <w:lang w:val="en-US"/>
        </w:rPr>
        <w:t>https://doi.org/10.1111/liv.14170</w:t>
      </w:r>
      <w:r>
        <w:rPr>
          <w:rStyle w:val="11"/>
          <w:rFonts w:cs="Times New Roman"/>
          <w:bCs/>
          <w:color w:val="auto"/>
          <w:szCs w:val="28"/>
          <w:highlight w:val="none"/>
          <w:u w:val="none"/>
          <w:shd w:val="clear" w:color="auto" w:fill="FFFFFF"/>
          <w:lang w:val="en-US"/>
        </w:rPr>
        <w:fldChar w:fldCharType="end"/>
      </w:r>
    </w:p>
    <w:p w14:paraId="02F82017">
      <w:pPr>
        <w:widowControl w:val="0"/>
        <w:rPr>
          <w:rFonts w:cs="Times New Roman"/>
          <w:szCs w:val="28"/>
          <w:highlight w:val="none"/>
          <w:lang w:val="en-US"/>
        </w:rPr>
      </w:pPr>
      <w:r>
        <w:rPr>
          <w:rFonts w:cs="Times New Roman"/>
          <w:szCs w:val="28"/>
          <w:highlight w:val="none"/>
          <w:lang w:val="en-US"/>
        </w:rPr>
        <w:t xml:space="preserve">308. </w:t>
      </w:r>
      <w:r>
        <w:rPr>
          <w:rStyle w:val="57"/>
          <w:rFonts w:cs="Times New Roman"/>
          <w:szCs w:val="28"/>
          <w:highlight w:val="none"/>
          <w:lang w:val="en-US"/>
        </w:rPr>
        <w:t>Glecaprevir and pibrentasvir for Japanese patients with chronic hepatitis C genotype 1 or 2 infection: results from a multicenter, real-world cohort study</w:t>
      </w:r>
      <w:r>
        <w:rPr>
          <w:rFonts w:cs="Times New Roman"/>
          <w:szCs w:val="28"/>
          <w:highlight w:val="none"/>
          <w:lang w:val="en-US"/>
        </w:rPr>
        <w:t xml:space="preserve"> /</w:t>
      </w:r>
      <w:r>
        <w:rPr>
          <w:rStyle w:val="56"/>
          <w:rFonts w:cs="Times New Roman"/>
          <w:szCs w:val="28"/>
          <w:highlight w:val="none"/>
          <w:lang w:val="en-US"/>
        </w:rPr>
        <w:t xml:space="preserve"> E. Ogawa et al.</w:t>
      </w:r>
      <w:r>
        <w:rPr>
          <w:rFonts w:cs="Times New Roman"/>
          <w:szCs w:val="28"/>
          <w:highlight w:val="none"/>
          <w:lang w:val="en-US"/>
        </w:rPr>
        <w:t> </w:t>
      </w:r>
      <w:r>
        <w:rPr>
          <w:rFonts w:cs="Times New Roman"/>
          <w:i/>
          <w:iCs/>
          <w:szCs w:val="28"/>
          <w:highlight w:val="none"/>
          <w:lang w:val="en-US"/>
        </w:rPr>
        <w:t>Hepatol Res</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2019</w:t>
      </w:r>
      <w:r>
        <w:rPr>
          <w:rFonts w:cs="Times New Roman"/>
          <w:szCs w:val="28"/>
          <w:highlight w:val="none"/>
          <w:lang w:val="en-US"/>
        </w:rPr>
        <w:t>. Vol. </w:t>
      </w:r>
      <w:r>
        <w:rPr>
          <w:rStyle w:val="59"/>
          <w:rFonts w:cs="Times New Roman"/>
          <w:bCs/>
          <w:szCs w:val="28"/>
          <w:highlight w:val="none"/>
          <w:lang w:val="en-US"/>
        </w:rPr>
        <w:t>49</w:t>
      </w:r>
      <w:r>
        <w:rPr>
          <w:rFonts w:cs="Times New Roman"/>
          <w:szCs w:val="28"/>
          <w:highlight w:val="none"/>
          <w:lang w:val="en-US"/>
        </w:rPr>
        <w:t>. P. </w:t>
      </w:r>
      <w:r>
        <w:rPr>
          <w:rStyle w:val="60"/>
          <w:rFonts w:cs="Times New Roman"/>
          <w:szCs w:val="28"/>
          <w:highlight w:val="none"/>
          <w:lang w:val="en-US"/>
        </w:rPr>
        <w:t>617</w:t>
      </w:r>
      <w:r>
        <w:rPr>
          <w:rFonts w:cs="Times New Roman"/>
          <w:szCs w:val="28"/>
          <w:highlight w:val="none"/>
          <w:shd w:val="clear" w:color="auto" w:fill="FFFFFF"/>
          <w:lang w:val="en-US"/>
        </w:rPr>
        <w:t>–</w:t>
      </w:r>
      <w:r>
        <w:rPr>
          <w:rStyle w:val="61"/>
          <w:rFonts w:cs="Times New Roman"/>
          <w:szCs w:val="28"/>
          <w:highlight w:val="none"/>
          <w:lang w:val="en-US"/>
        </w:rPr>
        <w:t>626</w:t>
      </w:r>
      <w:r>
        <w:rPr>
          <w:rFonts w:cs="Times New Roman"/>
          <w:szCs w:val="28"/>
          <w:highlight w:val="none"/>
          <w:lang w:val="en-US"/>
        </w:rPr>
        <w:t xml:space="preserve">. doi: </w:t>
      </w:r>
      <w:r>
        <w:rPr>
          <w:highlight w:val="none"/>
        </w:rPr>
        <w:fldChar w:fldCharType="begin"/>
      </w:r>
      <w:r>
        <w:rPr>
          <w:highlight w:val="none"/>
        </w:rPr>
        <w:instrText xml:space="preserve"> HYPERLINK "https://doi.org/10.1111/hepr.13328" </w:instrText>
      </w:r>
      <w:r>
        <w:rPr>
          <w:highlight w:val="none"/>
        </w:rPr>
        <w:fldChar w:fldCharType="separate"/>
      </w:r>
      <w:r>
        <w:rPr>
          <w:rStyle w:val="11"/>
          <w:rFonts w:cs="Times New Roman"/>
          <w:bCs/>
          <w:color w:val="auto"/>
          <w:szCs w:val="28"/>
          <w:highlight w:val="none"/>
          <w:u w:val="none"/>
          <w:shd w:val="clear" w:color="auto" w:fill="FFFFFF"/>
          <w:lang w:val="en-US"/>
        </w:rPr>
        <w:t>https://doi.org/10.1111/hepr.13328</w:t>
      </w:r>
      <w:r>
        <w:rPr>
          <w:rStyle w:val="11"/>
          <w:rFonts w:cs="Times New Roman"/>
          <w:bCs/>
          <w:color w:val="auto"/>
          <w:szCs w:val="28"/>
          <w:highlight w:val="none"/>
          <w:u w:val="none"/>
          <w:shd w:val="clear" w:color="auto" w:fill="FFFFFF"/>
          <w:lang w:val="en-US"/>
        </w:rPr>
        <w:fldChar w:fldCharType="end"/>
      </w:r>
    </w:p>
    <w:p w14:paraId="683C50EE">
      <w:pPr>
        <w:widowControl w:val="0"/>
        <w:rPr>
          <w:rFonts w:cs="Times New Roman"/>
          <w:szCs w:val="28"/>
          <w:highlight w:val="none"/>
          <w:lang w:val="en-US"/>
        </w:rPr>
      </w:pPr>
      <w:r>
        <w:rPr>
          <w:rFonts w:cs="Times New Roman"/>
          <w:szCs w:val="28"/>
          <w:highlight w:val="none"/>
          <w:lang w:val="en-US"/>
        </w:rPr>
        <w:t>309. </w:t>
      </w:r>
      <w:r>
        <w:rPr>
          <w:rStyle w:val="57"/>
          <w:rFonts w:cs="Times New Roman"/>
          <w:szCs w:val="28"/>
          <w:highlight w:val="none"/>
          <w:lang w:val="en-US"/>
        </w:rPr>
        <w:t>Real-world experience of 12-week DAA regimen of glecaprevir and pibrentasvir in patients with chronic HCV infection</w:t>
      </w:r>
      <w:r>
        <w:rPr>
          <w:rFonts w:cs="Times New Roman"/>
          <w:szCs w:val="28"/>
          <w:highlight w:val="none"/>
          <w:lang w:val="en-US"/>
        </w:rPr>
        <w:t xml:space="preserve"> /</w:t>
      </w:r>
      <w:r>
        <w:rPr>
          <w:rStyle w:val="56"/>
          <w:rFonts w:cs="Times New Roman"/>
          <w:szCs w:val="28"/>
          <w:highlight w:val="none"/>
          <w:lang w:val="en-US"/>
        </w:rPr>
        <w:t xml:space="preserve"> H. Toyoda</w:t>
      </w:r>
      <w:r>
        <w:rPr>
          <w:rFonts w:cs="Times New Roman"/>
          <w:szCs w:val="28"/>
          <w:highlight w:val="none"/>
          <w:lang w:val="en-US"/>
        </w:rPr>
        <w:t xml:space="preserve"> et al. </w:t>
      </w:r>
      <w:r>
        <w:rPr>
          <w:rFonts w:cs="Times New Roman"/>
          <w:i/>
          <w:iCs/>
          <w:szCs w:val="28"/>
          <w:highlight w:val="none"/>
          <w:lang w:val="en-US"/>
        </w:rPr>
        <w:t>J. Gastroenterol Hepatol</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2019.</w:t>
      </w:r>
      <w:r>
        <w:rPr>
          <w:rFonts w:cs="Times New Roman"/>
          <w:szCs w:val="28"/>
          <w:highlight w:val="none"/>
          <w:lang w:val="en-US"/>
        </w:rPr>
        <w:t> doi: </w:t>
      </w:r>
      <w:r>
        <w:rPr>
          <w:highlight w:val="none"/>
        </w:rPr>
        <w:fldChar w:fldCharType="begin"/>
      </w:r>
      <w:r>
        <w:rPr>
          <w:highlight w:val="none"/>
        </w:rPr>
        <w:instrText xml:space="preserve"> HYPERLINK "https://doi.org/10.1111/jgh.14874" </w:instrText>
      </w:r>
      <w:r>
        <w:rPr>
          <w:highlight w:val="none"/>
        </w:rPr>
        <w:fldChar w:fldCharType="separate"/>
      </w:r>
      <w:r>
        <w:rPr>
          <w:rStyle w:val="11"/>
          <w:rFonts w:cs="Times New Roman"/>
          <w:color w:val="auto"/>
          <w:szCs w:val="28"/>
          <w:highlight w:val="none"/>
          <w:u w:val="none"/>
          <w:lang w:val="en-US"/>
        </w:rPr>
        <w:t>https://doi.org/10.1111/jgh.14874</w:t>
      </w:r>
      <w:r>
        <w:rPr>
          <w:rStyle w:val="11"/>
          <w:rFonts w:cs="Times New Roman"/>
          <w:color w:val="auto"/>
          <w:szCs w:val="28"/>
          <w:highlight w:val="none"/>
          <w:u w:val="none"/>
          <w:lang w:val="en-US"/>
        </w:rPr>
        <w:fldChar w:fldCharType="end"/>
      </w:r>
      <w:r>
        <w:rPr>
          <w:rFonts w:cs="Times New Roman"/>
          <w:szCs w:val="28"/>
          <w:highlight w:val="none"/>
          <w:lang w:val="en-US"/>
        </w:rPr>
        <w:t xml:space="preserve">. [Epub ahead of print] </w:t>
      </w:r>
      <w:r>
        <w:rPr>
          <w:highlight w:val="none"/>
        </w:rPr>
        <w:fldChar w:fldCharType="begin"/>
      </w:r>
      <w:r>
        <w:rPr>
          <w:highlight w:val="none"/>
        </w:rPr>
        <w:instrText xml:space="preserve"> HYPERLINK "https://doi.org/10.1111/jgh.14874" </w:instrText>
      </w:r>
      <w:r>
        <w:rPr>
          <w:highlight w:val="none"/>
        </w:rPr>
        <w:fldChar w:fldCharType="separate"/>
      </w:r>
      <w:r>
        <w:rPr>
          <w:rStyle w:val="11"/>
          <w:rFonts w:cs="Times New Roman"/>
          <w:bCs/>
          <w:color w:val="auto"/>
          <w:szCs w:val="28"/>
          <w:highlight w:val="none"/>
          <w:u w:val="none"/>
          <w:shd w:val="clear" w:color="auto" w:fill="FFFFFF"/>
          <w:lang w:val="en-US"/>
        </w:rPr>
        <w:t>https://doi.org/10.1111/jgh.14874</w:t>
      </w:r>
      <w:r>
        <w:rPr>
          <w:rStyle w:val="11"/>
          <w:rFonts w:cs="Times New Roman"/>
          <w:bCs/>
          <w:color w:val="auto"/>
          <w:szCs w:val="28"/>
          <w:highlight w:val="none"/>
          <w:u w:val="none"/>
          <w:shd w:val="clear" w:color="auto" w:fill="FFFFFF"/>
          <w:lang w:val="en-US"/>
        </w:rPr>
        <w:fldChar w:fldCharType="end"/>
      </w:r>
    </w:p>
    <w:p w14:paraId="2FE50559">
      <w:pPr>
        <w:widowControl w:val="0"/>
        <w:rPr>
          <w:rFonts w:cs="Times New Roman"/>
          <w:szCs w:val="28"/>
          <w:highlight w:val="none"/>
          <w:lang w:val="en-US"/>
        </w:rPr>
      </w:pPr>
      <w:r>
        <w:rPr>
          <w:rFonts w:cs="Times New Roman"/>
          <w:szCs w:val="28"/>
          <w:highlight w:val="none"/>
          <w:lang w:val="en-US"/>
        </w:rPr>
        <w:t xml:space="preserve">310. </w:t>
      </w:r>
      <w:r>
        <w:rPr>
          <w:rStyle w:val="57"/>
          <w:rFonts w:cs="Times New Roman"/>
          <w:szCs w:val="28"/>
          <w:highlight w:val="none"/>
          <w:lang w:val="en-US"/>
        </w:rPr>
        <w:t>Glecaprevir/pibrentasvir for 8 weeks in treatment-naive patients with chronic HCV genotypes 1-6 and compensated cirrhosis: the EXPEDITION-8 trial</w:t>
      </w:r>
      <w:r>
        <w:rPr>
          <w:rFonts w:cs="Times New Roman"/>
          <w:szCs w:val="28"/>
          <w:highlight w:val="none"/>
          <w:lang w:val="en-US"/>
        </w:rPr>
        <w:t xml:space="preserve"> /</w:t>
      </w:r>
      <w:r>
        <w:rPr>
          <w:rStyle w:val="56"/>
          <w:rFonts w:cs="Times New Roman"/>
          <w:szCs w:val="28"/>
          <w:highlight w:val="none"/>
          <w:lang w:val="en-US"/>
        </w:rPr>
        <w:t xml:space="preserve"> RS Jr. Brown et al.</w:t>
      </w:r>
      <w:r>
        <w:rPr>
          <w:rFonts w:cs="Times New Roman"/>
          <w:szCs w:val="28"/>
          <w:highlight w:val="none"/>
          <w:lang w:val="en-US"/>
        </w:rPr>
        <w:t> </w:t>
      </w:r>
      <w:r>
        <w:rPr>
          <w:rFonts w:cs="Times New Roman"/>
          <w:i/>
          <w:iCs/>
          <w:szCs w:val="28"/>
          <w:highlight w:val="none"/>
          <w:lang w:val="en-US"/>
        </w:rPr>
        <w:t>J. Hepatol</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2019. doi:</w:t>
      </w:r>
      <w:r>
        <w:rPr>
          <w:rFonts w:cs="Times New Roman"/>
          <w:szCs w:val="28"/>
          <w:highlight w:val="none"/>
          <w:lang w:val="en-US"/>
        </w:rPr>
        <w:t xml:space="preserve"> </w:t>
      </w:r>
      <w:r>
        <w:rPr>
          <w:highlight w:val="none"/>
        </w:rPr>
        <w:fldChar w:fldCharType="begin"/>
      </w:r>
      <w:r>
        <w:rPr>
          <w:highlight w:val="none"/>
        </w:rPr>
        <w:instrText xml:space="preserve"> HYPERLINK "https://doi.org/10.1016/j.jhep.2019.10.020" </w:instrText>
      </w:r>
      <w:r>
        <w:rPr>
          <w:highlight w:val="none"/>
        </w:rPr>
        <w:fldChar w:fldCharType="separate"/>
      </w:r>
      <w:r>
        <w:rPr>
          <w:rStyle w:val="11"/>
          <w:rFonts w:cs="Times New Roman"/>
          <w:color w:val="auto"/>
          <w:szCs w:val="28"/>
          <w:highlight w:val="none"/>
          <w:u w:val="none"/>
          <w:lang w:val="en-US"/>
        </w:rPr>
        <w:t>https://doi.org/10.1016/j.jhep.2019.10.020</w:t>
      </w:r>
      <w:r>
        <w:rPr>
          <w:rStyle w:val="11"/>
          <w:rFonts w:cs="Times New Roman"/>
          <w:color w:val="auto"/>
          <w:szCs w:val="28"/>
          <w:highlight w:val="none"/>
          <w:u w:val="none"/>
          <w:lang w:val="en-US"/>
        </w:rPr>
        <w:fldChar w:fldCharType="end"/>
      </w:r>
      <w:r>
        <w:rPr>
          <w:rFonts w:cs="Times New Roman"/>
          <w:szCs w:val="28"/>
          <w:highlight w:val="none"/>
          <w:lang w:val="en-US"/>
        </w:rPr>
        <w:t>. [Epub ahead of print]</w:t>
      </w:r>
    </w:p>
    <w:p w14:paraId="14A68D07">
      <w:pPr>
        <w:widowControl w:val="0"/>
        <w:rPr>
          <w:rFonts w:cs="Times New Roman"/>
          <w:szCs w:val="28"/>
          <w:highlight w:val="none"/>
          <w:lang w:val="en-US"/>
        </w:rPr>
      </w:pPr>
      <w:r>
        <w:rPr>
          <w:rFonts w:cs="Times New Roman"/>
          <w:szCs w:val="28"/>
          <w:highlight w:val="none"/>
          <w:lang w:val="en-US"/>
        </w:rPr>
        <w:t xml:space="preserve">311. </w:t>
      </w:r>
      <w:r>
        <w:rPr>
          <w:rStyle w:val="57"/>
          <w:rFonts w:cs="Times New Roman"/>
          <w:szCs w:val="28"/>
          <w:highlight w:val="none"/>
          <w:lang w:val="en-US"/>
        </w:rPr>
        <w:t>Efficacy and safety of glecaprevir/pibrentasvir in patients coinfected with hepatitis C virus and human immunodeficiency virus type 1: the EXPEDITION-2 study</w:t>
      </w:r>
      <w:r>
        <w:rPr>
          <w:rFonts w:cs="Times New Roman"/>
          <w:szCs w:val="28"/>
          <w:highlight w:val="none"/>
          <w:lang w:val="en-US"/>
        </w:rPr>
        <w:t xml:space="preserve"> /</w:t>
      </w:r>
      <w:r>
        <w:rPr>
          <w:rStyle w:val="56"/>
          <w:rFonts w:cs="Times New Roman"/>
          <w:szCs w:val="28"/>
          <w:highlight w:val="none"/>
          <w:lang w:val="en-US"/>
        </w:rPr>
        <w:t xml:space="preserve"> J. K. Rockstroh et al.</w:t>
      </w:r>
      <w:r>
        <w:rPr>
          <w:rFonts w:cs="Times New Roman"/>
          <w:szCs w:val="28"/>
          <w:highlight w:val="none"/>
          <w:lang w:val="en-US"/>
        </w:rPr>
        <w:t> </w:t>
      </w:r>
      <w:r>
        <w:rPr>
          <w:rFonts w:cs="Times New Roman"/>
          <w:i/>
          <w:iCs/>
          <w:szCs w:val="28"/>
          <w:highlight w:val="none"/>
          <w:lang w:val="en-US"/>
        </w:rPr>
        <w:t>Clin Infect Dis</w:t>
      </w:r>
      <w:r>
        <w:rPr>
          <w:rFonts w:cs="Times New Roman"/>
          <w:szCs w:val="28"/>
          <w:highlight w:val="none"/>
          <w:lang w:val="en-US"/>
        </w:rPr>
        <w:t>. </w:t>
      </w:r>
      <w:r>
        <w:rPr>
          <w:rStyle w:val="58"/>
          <w:rFonts w:cs="Times New Roman"/>
          <w:szCs w:val="28"/>
          <w:highlight w:val="none"/>
          <w:lang w:val="en-US"/>
        </w:rPr>
        <w:t>2018</w:t>
      </w:r>
      <w:r>
        <w:rPr>
          <w:rFonts w:cs="Times New Roman"/>
          <w:szCs w:val="28"/>
          <w:highlight w:val="none"/>
          <w:lang w:val="en-US"/>
        </w:rPr>
        <w:t>. Vol. </w:t>
      </w:r>
      <w:r>
        <w:rPr>
          <w:rStyle w:val="59"/>
          <w:rFonts w:cs="Times New Roman"/>
          <w:bCs/>
          <w:szCs w:val="28"/>
          <w:highlight w:val="none"/>
          <w:lang w:val="en-US"/>
        </w:rPr>
        <w:t>67</w:t>
      </w:r>
      <w:r>
        <w:rPr>
          <w:rFonts w:cs="Times New Roman"/>
          <w:szCs w:val="28"/>
          <w:highlight w:val="none"/>
          <w:lang w:val="en-US"/>
        </w:rPr>
        <w:t>. P. </w:t>
      </w:r>
      <w:r>
        <w:rPr>
          <w:rStyle w:val="60"/>
          <w:rFonts w:cs="Times New Roman"/>
          <w:szCs w:val="28"/>
          <w:highlight w:val="none"/>
          <w:lang w:val="en-US"/>
        </w:rPr>
        <w:t>1010</w:t>
      </w:r>
      <w:r>
        <w:rPr>
          <w:rFonts w:cs="Times New Roman"/>
          <w:szCs w:val="28"/>
          <w:highlight w:val="none"/>
          <w:shd w:val="clear" w:color="auto" w:fill="FFFFFF"/>
          <w:lang w:val="en-US"/>
        </w:rPr>
        <w:t>–</w:t>
      </w:r>
      <w:r>
        <w:rPr>
          <w:rStyle w:val="61"/>
          <w:rFonts w:cs="Times New Roman"/>
          <w:szCs w:val="28"/>
          <w:highlight w:val="none"/>
          <w:lang w:val="en-US"/>
        </w:rPr>
        <w:t>1017</w:t>
      </w:r>
      <w:r>
        <w:rPr>
          <w:rFonts w:cs="Times New Roman"/>
          <w:szCs w:val="28"/>
          <w:highlight w:val="none"/>
          <w:lang w:val="en-US"/>
        </w:rPr>
        <w:t xml:space="preserve">. doi: </w:t>
      </w:r>
      <w:r>
        <w:rPr>
          <w:highlight w:val="none"/>
        </w:rPr>
        <w:fldChar w:fldCharType="begin"/>
      </w:r>
      <w:r>
        <w:rPr>
          <w:highlight w:val="none"/>
        </w:rPr>
        <w:instrText xml:space="preserve"> HYPERLINK "https://doi.org/10.1093/cid/ciy220" </w:instrText>
      </w:r>
      <w:r>
        <w:rPr>
          <w:highlight w:val="none"/>
        </w:rPr>
        <w:fldChar w:fldCharType="separate"/>
      </w:r>
      <w:r>
        <w:rPr>
          <w:rStyle w:val="11"/>
          <w:rFonts w:cs="Times New Roman"/>
          <w:color w:val="auto"/>
          <w:szCs w:val="28"/>
          <w:highlight w:val="none"/>
          <w:u w:val="none"/>
          <w:shd w:val="clear" w:color="auto" w:fill="FFFFFF"/>
          <w:lang w:val="en-US"/>
        </w:rPr>
        <w:t>https://doi.org/10.1093/cid/ciy220</w:t>
      </w:r>
      <w:r>
        <w:rPr>
          <w:rStyle w:val="11"/>
          <w:rFonts w:cs="Times New Roman"/>
          <w:color w:val="auto"/>
          <w:szCs w:val="28"/>
          <w:highlight w:val="none"/>
          <w:u w:val="none"/>
          <w:shd w:val="clear" w:color="auto" w:fill="FFFFFF"/>
          <w:lang w:val="en-US"/>
        </w:rPr>
        <w:fldChar w:fldCharType="end"/>
      </w:r>
    </w:p>
    <w:p w14:paraId="43476D0C">
      <w:pPr>
        <w:widowControl w:val="0"/>
        <w:rPr>
          <w:rFonts w:cs="Times New Roman"/>
          <w:szCs w:val="28"/>
          <w:highlight w:val="none"/>
          <w:lang w:val="en-US"/>
        </w:rPr>
      </w:pPr>
      <w:r>
        <w:rPr>
          <w:rFonts w:cs="Times New Roman"/>
          <w:szCs w:val="28"/>
          <w:highlight w:val="none"/>
          <w:lang w:val="en-US"/>
        </w:rPr>
        <w:t xml:space="preserve">312. </w:t>
      </w:r>
      <w:r>
        <w:rPr>
          <w:rStyle w:val="57"/>
          <w:rFonts w:cs="Times New Roman"/>
          <w:szCs w:val="28"/>
          <w:highlight w:val="none"/>
          <w:lang w:val="en-US"/>
        </w:rPr>
        <w:t>100 % SVR4 with ABT-493 and ABT-530 with or without ribavirin in treatment-naive HCV genotype 3-infected patients with cirrhosis</w:t>
      </w:r>
      <w:r>
        <w:rPr>
          <w:rFonts w:cs="Times New Roman"/>
          <w:szCs w:val="28"/>
          <w:highlight w:val="none"/>
          <w:lang w:val="en-US"/>
        </w:rPr>
        <w:t xml:space="preserve"> / </w:t>
      </w:r>
      <w:r>
        <w:rPr>
          <w:rStyle w:val="56"/>
          <w:rFonts w:cs="Times New Roman"/>
          <w:szCs w:val="28"/>
          <w:highlight w:val="none"/>
          <w:lang w:val="en-US"/>
        </w:rPr>
        <w:t>P. Y. Kwo et al.</w:t>
      </w:r>
      <w:r>
        <w:rPr>
          <w:rFonts w:cs="Times New Roman"/>
          <w:szCs w:val="28"/>
          <w:highlight w:val="none"/>
          <w:lang w:val="en-US"/>
        </w:rPr>
        <w:t> </w:t>
      </w:r>
      <w:r>
        <w:rPr>
          <w:rFonts w:cs="Times New Roman"/>
          <w:i/>
          <w:iCs/>
          <w:szCs w:val="28"/>
          <w:highlight w:val="none"/>
          <w:lang w:val="en-US"/>
        </w:rPr>
        <w:t>J. Hepatol</w:t>
      </w:r>
      <w:r>
        <w:rPr>
          <w:rFonts w:cs="Times New Roman"/>
          <w:iCs/>
          <w:szCs w:val="28"/>
          <w:highlight w:val="none"/>
          <w:lang w:val="en-US"/>
        </w:rPr>
        <w:t>.</w:t>
      </w:r>
      <w:r>
        <w:rPr>
          <w:rFonts w:cs="Times New Roman"/>
          <w:szCs w:val="28"/>
          <w:highlight w:val="none"/>
          <w:lang w:val="en-US"/>
        </w:rPr>
        <w:t> </w:t>
      </w:r>
      <w:r>
        <w:rPr>
          <w:rStyle w:val="58"/>
          <w:rFonts w:cs="Times New Roman"/>
          <w:szCs w:val="28"/>
          <w:highlight w:val="none"/>
          <w:lang w:val="en-US"/>
        </w:rPr>
        <w:t>2016</w:t>
      </w:r>
      <w:r>
        <w:rPr>
          <w:rFonts w:cs="Times New Roman"/>
          <w:szCs w:val="28"/>
          <w:highlight w:val="none"/>
          <w:lang w:val="en-US"/>
        </w:rPr>
        <w:t>. Vol. </w:t>
      </w:r>
      <w:r>
        <w:rPr>
          <w:rStyle w:val="59"/>
          <w:rFonts w:cs="Times New Roman"/>
          <w:bCs/>
          <w:szCs w:val="28"/>
          <w:highlight w:val="none"/>
          <w:lang w:val="en-US"/>
        </w:rPr>
        <w:t>64</w:t>
      </w:r>
      <w:r>
        <w:rPr>
          <w:rFonts w:cs="Times New Roman"/>
          <w:szCs w:val="28"/>
          <w:highlight w:val="none"/>
          <w:lang w:val="en-US"/>
        </w:rPr>
        <w:t>. P. </w:t>
      </w:r>
      <w:r>
        <w:rPr>
          <w:rStyle w:val="60"/>
          <w:rFonts w:cs="Times New Roman"/>
          <w:szCs w:val="28"/>
          <w:highlight w:val="none"/>
          <w:lang w:val="en-US"/>
        </w:rPr>
        <w:t>S208</w:t>
      </w:r>
      <w:r>
        <w:rPr>
          <w:rFonts w:cs="Times New Roman"/>
          <w:szCs w:val="28"/>
          <w:highlight w:val="none"/>
          <w:lang w:val="en-US"/>
        </w:rPr>
        <w:t xml:space="preserve">. doi: </w:t>
      </w:r>
      <w:r>
        <w:rPr>
          <w:highlight w:val="none"/>
        </w:rPr>
        <w:fldChar w:fldCharType="begin"/>
      </w:r>
      <w:r>
        <w:rPr>
          <w:highlight w:val="none"/>
        </w:rPr>
        <w:instrText xml:space="preserve"> HYPERLINK "http://dx.doi.org/10.1016%2FS0168-8278(16)00170-7" </w:instrText>
      </w:r>
      <w:r>
        <w:rPr>
          <w:highlight w:val="none"/>
        </w:rPr>
        <w:fldChar w:fldCharType="separate"/>
      </w:r>
      <w:r>
        <w:rPr>
          <w:rStyle w:val="11"/>
          <w:rFonts w:cs="Times New Roman"/>
          <w:color w:val="auto"/>
          <w:szCs w:val="28"/>
          <w:highlight w:val="none"/>
          <w:u w:val="none"/>
          <w:lang w:val="en-US"/>
        </w:rPr>
        <w:t>10.1016/S0168-8278(16)00170-7</w:t>
      </w:r>
      <w:r>
        <w:rPr>
          <w:rStyle w:val="11"/>
          <w:rFonts w:cs="Times New Roman"/>
          <w:color w:val="auto"/>
          <w:szCs w:val="28"/>
          <w:highlight w:val="none"/>
          <w:u w:val="none"/>
          <w:lang w:val="en-US"/>
        </w:rPr>
        <w:fldChar w:fldCharType="end"/>
      </w:r>
    </w:p>
    <w:p w14:paraId="2AED2FA8">
      <w:pPr>
        <w:widowControl w:val="0"/>
        <w:rPr>
          <w:rFonts w:cs="Times New Roman"/>
          <w:szCs w:val="28"/>
          <w:highlight w:val="none"/>
          <w:lang w:val="en-US"/>
        </w:rPr>
      </w:pPr>
      <w:r>
        <w:rPr>
          <w:rFonts w:cs="Times New Roman"/>
          <w:szCs w:val="28"/>
          <w:highlight w:val="none"/>
          <w:lang w:val="en-US"/>
        </w:rPr>
        <w:t xml:space="preserve">313. GS-9857 in patients with chronic hepatitis C virus genotype 1–4 infection: a randomized, double-blind, dose-ranging phase 1 study / M. Rodriguez-Torres et al. </w:t>
      </w:r>
      <w:r>
        <w:rPr>
          <w:rFonts w:cs="Times New Roman"/>
          <w:i/>
          <w:szCs w:val="28"/>
          <w:highlight w:val="none"/>
          <w:lang w:val="en-US"/>
        </w:rPr>
        <w:t>J. Viral Hepat</w:t>
      </w:r>
      <w:r>
        <w:rPr>
          <w:rFonts w:cs="Times New Roman"/>
          <w:szCs w:val="28"/>
          <w:highlight w:val="none"/>
          <w:lang w:val="en-US"/>
        </w:rPr>
        <w:t xml:space="preserve">. 2016. Vol. 23 (8). P. 614–622. </w:t>
      </w:r>
      <w:r>
        <w:rPr>
          <w:rStyle w:val="53"/>
          <w:rFonts w:cs="Times New Roman"/>
          <w:szCs w:val="28"/>
          <w:highlight w:val="none"/>
          <w:lang w:val="en-US"/>
        </w:rPr>
        <w:t>doi: </w:t>
      </w:r>
      <w:r>
        <w:rPr>
          <w:highlight w:val="none"/>
        </w:rPr>
        <w:fldChar w:fldCharType="begin"/>
      </w:r>
      <w:r>
        <w:rPr>
          <w:highlight w:val="none"/>
        </w:rPr>
        <w:instrText xml:space="preserve"> HYPERLINK "https://doi.org/10.1111/jvh.12527" \t "_blank" </w:instrText>
      </w:r>
      <w:r>
        <w:rPr>
          <w:highlight w:val="none"/>
        </w:rPr>
        <w:fldChar w:fldCharType="separate"/>
      </w:r>
      <w:r>
        <w:rPr>
          <w:rStyle w:val="65"/>
          <w:rFonts w:cs="Times New Roman"/>
          <w:szCs w:val="28"/>
          <w:highlight w:val="none"/>
          <w:lang w:val="en-US"/>
        </w:rPr>
        <w:t>10.1111/jvh.12527</w:t>
      </w:r>
      <w:r>
        <w:rPr>
          <w:rStyle w:val="65"/>
          <w:rFonts w:cs="Times New Roman"/>
          <w:szCs w:val="28"/>
          <w:highlight w:val="none"/>
          <w:lang w:val="en-US"/>
        </w:rPr>
        <w:fldChar w:fldCharType="end"/>
      </w:r>
    </w:p>
    <w:p w14:paraId="16CFF41A">
      <w:pPr>
        <w:widowControl w:val="0"/>
        <w:rPr>
          <w:rFonts w:cs="Times New Roman"/>
          <w:szCs w:val="28"/>
          <w:highlight w:val="none"/>
          <w:lang w:val="en-US"/>
        </w:rPr>
      </w:pPr>
      <w:r>
        <w:rPr>
          <w:rFonts w:cs="Times New Roman"/>
          <w:szCs w:val="28"/>
          <w:highlight w:val="none"/>
          <w:lang w:val="en-US"/>
        </w:rPr>
        <w:t>314.</w:t>
      </w:r>
      <w:r>
        <w:rPr>
          <w:rStyle w:val="65"/>
          <w:rFonts w:cs="Times New Roman"/>
          <w:szCs w:val="28"/>
          <w:highlight w:val="none"/>
          <w:lang w:val="en-US"/>
        </w:rPr>
        <w:t xml:space="preserve"> </w:t>
      </w:r>
      <w:r>
        <w:rPr>
          <w:rFonts w:cs="Times New Roman"/>
          <w:szCs w:val="28"/>
          <w:highlight w:val="none"/>
          <w:lang w:val="en-US"/>
        </w:rPr>
        <w:t xml:space="preserve">Efficacy of sofosbuvir, velpatasvir, and GS-9857 in patients with hepatitis C virus genotype 2, 3, 4, or 6 infections in an open-label, phase 2 trial / E. J. Gane et al. </w:t>
      </w:r>
      <w:r>
        <w:rPr>
          <w:rFonts w:cs="Times New Roman"/>
          <w:i/>
          <w:szCs w:val="28"/>
          <w:highlight w:val="none"/>
          <w:lang w:val="en-US"/>
        </w:rPr>
        <w:t>Gastroenterology</w:t>
      </w:r>
      <w:r>
        <w:rPr>
          <w:rFonts w:cs="Times New Roman"/>
          <w:szCs w:val="28"/>
          <w:highlight w:val="none"/>
          <w:lang w:val="en-US"/>
        </w:rPr>
        <w:t xml:space="preserve">. 2016. Vol. 151 (5). P. 902–909. </w:t>
      </w:r>
      <w:r>
        <w:rPr>
          <w:rStyle w:val="53"/>
          <w:rFonts w:cs="Times New Roman"/>
          <w:szCs w:val="28"/>
          <w:highlight w:val="none"/>
          <w:lang w:val="en-US"/>
        </w:rPr>
        <w:t>doi: </w:t>
      </w:r>
      <w:r>
        <w:rPr>
          <w:highlight w:val="none"/>
        </w:rPr>
        <w:fldChar w:fldCharType="begin"/>
      </w:r>
      <w:r>
        <w:rPr>
          <w:highlight w:val="none"/>
        </w:rPr>
        <w:instrText xml:space="preserve"> HYPERLINK "https://doi.org/10.1053/j.gastro.2016.07.038" \t "_blank" </w:instrText>
      </w:r>
      <w:r>
        <w:rPr>
          <w:highlight w:val="none"/>
        </w:rPr>
        <w:fldChar w:fldCharType="separate"/>
      </w:r>
      <w:r>
        <w:rPr>
          <w:rStyle w:val="65"/>
          <w:rFonts w:cs="Times New Roman"/>
          <w:szCs w:val="28"/>
          <w:highlight w:val="none"/>
          <w:lang w:val="en-US"/>
        </w:rPr>
        <w:t>10.1053/j.gastro.2016.07.038</w:t>
      </w:r>
      <w:r>
        <w:rPr>
          <w:rStyle w:val="65"/>
          <w:rFonts w:cs="Times New Roman"/>
          <w:szCs w:val="28"/>
          <w:highlight w:val="none"/>
          <w:lang w:val="en-US"/>
        </w:rPr>
        <w:fldChar w:fldCharType="end"/>
      </w:r>
    </w:p>
    <w:p w14:paraId="54AA8F8F">
      <w:pPr>
        <w:widowControl w:val="0"/>
        <w:rPr>
          <w:rFonts w:cs="Times New Roman"/>
          <w:szCs w:val="28"/>
          <w:highlight w:val="none"/>
          <w:lang w:val="en-US"/>
        </w:rPr>
      </w:pPr>
      <w:r>
        <w:rPr>
          <w:rFonts w:cs="Times New Roman"/>
          <w:szCs w:val="28"/>
          <w:highlight w:val="none"/>
          <w:lang w:val="en-US"/>
        </w:rPr>
        <w:t>315.</w:t>
      </w:r>
      <w:r>
        <w:rPr>
          <w:rStyle w:val="65"/>
          <w:rFonts w:cs="Times New Roman"/>
          <w:szCs w:val="28"/>
          <w:highlight w:val="none"/>
          <w:lang w:val="en-US"/>
        </w:rPr>
        <w:t xml:space="preserve"> </w:t>
      </w:r>
      <w:r>
        <w:rPr>
          <w:rFonts w:cs="Times New Roman"/>
          <w:szCs w:val="28"/>
          <w:highlight w:val="none"/>
          <w:lang w:val="en-US"/>
        </w:rPr>
        <w:t xml:space="preserve">Sofosbuvir, velpatasvir, and voxilaprevir for previously treated HCV infection / M. Bourliere et al. </w:t>
      </w:r>
      <w:r>
        <w:rPr>
          <w:rFonts w:cs="Times New Roman"/>
          <w:i/>
          <w:szCs w:val="28"/>
          <w:highlight w:val="none"/>
          <w:lang w:val="en-US"/>
        </w:rPr>
        <w:t>N Engl J. Med</w:t>
      </w:r>
      <w:r>
        <w:rPr>
          <w:rFonts w:cs="Times New Roman"/>
          <w:szCs w:val="28"/>
          <w:highlight w:val="none"/>
          <w:lang w:val="en-US"/>
        </w:rPr>
        <w:t xml:space="preserve">. 2017. Vol. 376 (22). P. 2134–2146. </w:t>
      </w:r>
      <w:r>
        <w:rPr>
          <w:rStyle w:val="53"/>
          <w:rFonts w:cs="Times New Roman"/>
          <w:szCs w:val="28"/>
          <w:highlight w:val="none"/>
          <w:lang w:val="en-US"/>
        </w:rPr>
        <w:t>doi: </w:t>
      </w:r>
      <w:r>
        <w:rPr>
          <w:highlight w:val="none"/>
        </w:rPr>
        <w:fldChar w:fldCharType="begin"/>
      </w:r>
      <w:r>
        <w:rPr>
          <w:highlight w:val="none"/>
        </w:rPr>
        <w:instrText xml:space="preserve"> HYPERLINK "https://doi.org/10.1056/nejmoa1613512" \t "_blank" </w:instrText>
      </w:r>
      <w:r>
        <w:rPr>
          <w:highlight w:val="none"/>
        </w:rPr>
        <w:fldChar w:fldCharType="separate"/>
      </w:r>
      <w:r>
        <w:rPr>
          <w:rStyle w:val="11"/>
          <w:rFonts w:cs="Times New Roman"/>
          <w:color w:val="auto"/>
          <w:szCs w:val="28"/>
          <w:highlight w:val="none"/>
          <w:u w:val="none"/>
          <w:lang w:val="en-US"/>
        </w:rPr>
        <w:t>10.1056/NEJMoa1613512</w:t>
      </w:r>
      <w:r>
        <w:rPr>
          <w:rStyle w:val="11"/>
          <w:rFonts w:cs="Times New Roman"/>
          <w:color w:val="auto"/>
          <w:szCs w:val="28"/>
          <w:highlight w:val="none"/>
          <w:u w:val="none"/>
          <w:lang w:val="en-US"/>
        </w:rPr>
        <w:fldChar w:fldCharType="end"/>
      </w:r>
    </w:p>
    <w:p w14:paraId="3E459C7C">
      <w:pPr>
        <w:widowControl w:val="0"/>
        <w:rPr>
          <w:rFonts w:cs="Times New Roman"/>
          <w:szCs w:val="28"/>
          <w:highlight w:val="none"/>
          <w:lang w:val="en-US"/>
        </w:rPr>
      </w:pPr>
      <w:r>
        <w:rPr>
          <w:rFonts w:cs="Times New Roman"/>
          <w:szCs w:val="28"/>
          <w:highlight w:val="none"/>
          <w:lang w:val="en-US"/>
        </w:rPr>
        <w:t xml:space="preserve">316. </w:t>
      </w:r>
      <w:r>
        <w:rPr>
          <w:rStyle w:val="12"/>
          <w:rFonts w:cs="Times New Roman"/>
          <w:b w:val="0"/>
          <w:szCs w:val="28"/>
          <w:highlight w:val="none"/>
          <w:lang w:val="en-US"/>
        </w:rPr>
        <w:t xml:space="preserve">Real-world effectiveness of sofosbuvir/velpatasvir/voxilaprevir in 573 direct-acting antiviral experienced hepatitis C patients / </w:t>
      </w:r>
      <w:r>
        <w:rPr>
          <w:rFonts w:cs="Times New Roman"/>
          <w:szCs w:val="28"/>
          <w:highlight w:val="none"/>
          <w:lang w:val="en-US"/>
        </w:rPr>
        <w:t xml:space="preserve">P. S. Belperio, T. A. Shahoumian, T. P. Loomis, L. I. Backus. </w:t>
      </w:r>
      <w:r>
        <w:rPr>
          <w:rFonts w:cs="Times New Roman"/>
          <w:i/>
          <w:szCs w:val="28"/>
          <w:highlight w:val="none"/>
          <w:lang w:val="en-US"/>
        </w:rPr>
        <w:t>J. Viral Hepat</w:t>
      </w:r>
      <w:r>
        <w:rPr>
          <w:rFonts w:cs="Times New Roman"/>
          <w:szCs w:val="28"/>
          <w:highlight w:val="none"/>
          <w:lang w:val="en-US"/>
        </w:rPr>
        <w:t>. 2019. Vol. 26. P. 980</w:t>
      </w:r>
      <w:r>
        <w:rPr>
          <w:rFonts w:cs="Times New Roman"/>
          <w:szCs w:val="28"/>
          <w:highlight w:val="none"/>
          <w:shd w:val="clear" w:color="auto" w:fill="FFFFFF"/>
          <w:lang w:val="en-US"/>
        </w:rPr>
        <w:t>–</w:t>
      </w:r>
      <w:r>
        <w:rPr>
          <w:rFonts w:cs="Times New Roman"/>
          <w:szCs w:val="28"/>
          <w:highlight w:val="none"/>
          <w:lang w:val="en-US"/>
        </w:rPr>
        <w:t xml:space="preserve">990. doi: </w:t>
      </w:r>
      <w:r>
        <w:rPr>
          <w:rFonts w:cs="Times New Roman"/>
          <w:szCs w:val="28"/>
          <w:highlight w:val="none"/>
          <w:shd w:val="clear" w:color="auto" w:fill="FCFCFC"/>
          <w:lang w:val="en-US"/>
        </w:rPr>
        <w:t>https://doi.org/10.1007/s40121-022-00666-0</w:t>
      </w:r>
    </w:p>
    <w:p w14:paraId="0CC37AD4">
      <w:pPr>
        <w:widowControl w:val="0"/>
        <w:rPr>
          <w:rFonts w:cs="Times New Roman"/>
          <w:szCs w:val="28"/>
          <w:highlight w:val="none"/>
          <w:lang w:val="en-US"/>
        </w:rPr>
      </w:pPr>
      <w:r>
        <w:rPr>
          <w:rFonts w:cs="Times New Roman"/>
          <w:szCs w:val="28"/>
          <w:highlight w:val="none"/>
          <w:lang w:val="en-US"/>
        </w:rPr>
        <w:t>317.</w:t>
      </w:r>
      <w:r>
        <w:rPr>
          <w:rFonts w:cs="Times New Roman"/>
          <w:szCs w:val="28"/>
          <w:highlight w:val="none"/>
          <w:shd w:val="clear" w:color="auto" w:fill="FCFCFC"/>
          <w:lang w:val="en-US"/>
        </w:rPr>
        <w:t xml:space="preserve"> </w:t>
      </w:r>
      <w:r>
        <w:rPr>
          <w:rStyle w:val="12"/>
          <w:rFonts w:cs="Times New Roman"/>
          <w:b w:val="0"/>
          <w:szCs w:val="28"/>
          <w:highlight w:val="none"/>
          <w:lang w:val="en-US"/>
        </w:rPr>
        <w:t xml:space="preserve">Effectiveness and safety of sofosbuvir/velpatasvir/voxilaprevir in patients with chronic hepatitis C previously treated with DAAs / </w:t>
      </w:r>
      <w:r>
        <w:rPr>
          <w:rFonts w:cs="Times New Roman"/>
          <w:szCs w:val="28"/>
          <w:highlight w:val="none"/>
          <w:lang w:val="en-US"/>
        </w:rPr>
        <w:t xml:space="preserve">J. Llaneras et al. </w:t>
      </w:r>
      <w:r>
        <w:rPr>
          <w:rFonts w:cs="Times New Roman"/>
          <w:i/>
          <w:szCs w:val="28"/>
          <w:highlight w:val="none"/>
          <w:lang w:val="en-US"/>
        </w:rPr>
        <w:t>J. Hepatol</w:t>
      </w:r>
      <w:r>
        <w:rPr>
          <w:rFonts w:cs="Times New Roman"/>
          <w:szCs w:val="28"/>
          <w:highlight w:val="none"/>
          <w:lang w:val="en-US"/>
        </w:rPr>
        <w:t>. 2019. Vol. 71. P. 666</w:t>
      </w:r>
      <w:r>
        <w:rPr>
          <w:rFonts w:cs="Times New Roman"/>
          <w:szCs w:val="28"/>
          <w:highlight w:val="none"/>
          <w:shd w:val="clear" w:color="auto" w:fill="FFFFFF"/>
          <w:lang w:val="en-US"/>
        </w:rPr>
        <w:t>–</w:t>
      </w:r>
      <w:r>
        <w:rPr>
          <w:rFonts w:cs="Times New Roman"/>
          <w:szCs w:val="28"/>
          <w:highlight w:val="none"/>
          <w:lang w:val="en-US"/>
        </w:rPr>
        <w:t xml:space="preserve">672. </w:t>
      </w:r>
      <w:r>
        <w:rPr>
          <w:rFonts w:cs="Times New Roman"/>
          <w:bCs/>
          <w:szCs w:val="28"/>
          <w:highlight w:val="none"/>
          <w:lang w:val="en-US"/>
        </w:rPr>
        <w:t>doi: </w:t>
      </w:r>
      <w:r>
        <w:rPr>
          <w:rFonts w:cs="Times New Roman"/>
          <w:szCs w:val="28"/>
          <w:highlight w:val="none"/>
          <w:lang w:val="en-US"/>
        </w:rPr>
        <w:t>10.1016/j.jhep.2019.06.002</w:t>
      </w:r>
    </w:p>
    <w:p w14:paraId="518B6DB5">
      <w:pPr>
        <w:widowControl w:val="0"/>
        <w:rPr>
          <w:rFonts w:cs="Times New Roman"/>
          <w:szCs w:val="28"/>
          <w:highlight w:val="none"/>
          <w:lang w:val="en-US"/>
        </w:rPr>
      </w:pPr>
      <w:r>
        <w:rPr>
          <w:rFonts w:cs="Times New Roman"/>
          <w:szCs w:val="28"/>
          <w:highlight w:val="none"/>
          <w:lang w:val="en-US"/>
        </w:rPr>
        <w:t xml:space="preserve">318. </w:t>
      </w:r>
      <w:r>
        <w:rPr>
          <w:rStyle w:val="12"/>
          <w:rFonts w:cs="Times New Roman"/>
          <w:b w:val="0"/>
          <w:szCs w:val="28"/>
          <w:highlight w:val="none"/>
          <w:lang w:val="en-US"/>
        </w:rPr>
        <w:t xml:space="preserve">Real-life effectiveness and safety of sofosbuvir/velpatasvir/voxilaprevir in hepatitis C patients with previous DAA failure / </w:t>
      </w:r>
      <w:r>
        <w:rPr>
          <w:rFonts w:cs="Times New Roman"/>
          <w:szCs w:val="28"/>
          <w:highlight w:val="none"/>
          <w:lang w:val="en-US"/>
        </w:rPr>
        <w:t xml:space="preserve">E. Degasperi et al. </w:t>
      </w:r>
      <w:r>
        <w:rPr>
          <w:rFonts w:cs="Times New Roman"/>
          <w:i/>
          <w:szCs w:val="28"/>
          <w:highlight w:val="none"/>
          <w:lang w:val="en-US"/>
        </w:rPr>
        <w:t>J. Hepatol</w:t>
      </w:r>
      <w:r>
        <w:rPr>
          <w:rFonts w:cs="Times New Roman"/>
          <w:szCs w:val="28"/>
          <w:highlight w:val="none"/>
          <w:lang w:val="en-US"/>
        </w:rPr>
        <w:t>. 2019. Vol. 71. P. 1106</w:t>
      </w:r>
      <w:r>
        <w:rPr>
          <w:rFonts w:cs="Times New Roman"/>
          <w:szCs w:val="28"/>
          <w:highlight w:val="none"/>
          <w:shd w:val="clear" w:color="auto" w:fill="FFFFFF"/>
          <w:lang w:val="en-US"/>
        </w:rPr>
        <w:t>–</w:t>
      </w:r>
      <w:r>
        <w:rPr>
          <w:rFonts w:cs="Times New Roman"/>
          <w:szCs w:val="28"/>
          <w:highlight w:val="none"/>
          <w:lang w:val="en-US"/>
        </w:rPr>
        <w:t xml:space="preserve">1115. doi: </w:t>
      </w:r>
      <w:r>
        <w:rPr>
          <w:highlight w:val="none"/>
        </w:rPr>
        <w:fldChar w:fldCharType="begin"/>
      </w:r>
      <w:r>
        <w:rPr>
          <w:highlight w:val="none"/>
        </w:rPr>
        <w:instrText xml:space="preserve"> HYPERLINK "https://doi.org/10.1016/j.jhep.2019.07.020" \t "_blank" \o "Persistent link using digital object identifier" </w:instrText>
      </w:r>
      <w:r>
        <w:rPr>
          <w:highlight w:val="none"/>
        </w:rPr>
        <w:fldChar w:fldCharType="separate"/>
      </w:r>
      <w:r>
        <w:rPr>
          <w:rStyle w:val="11"/>
          <w:rFonts w:cs="Times New Roman"/>
          <w:color w:val="auto"/>
          <w:szCs w:val="28"/>
          <w:highlight w:val="none"/>
          <w:u w:val="none"/>
          <w:lang w:val="en-US"/>
        </w:rPr>
        <w:t>https://doi.org/10.1016/j.jhep.2019.07.020</w:t>
      </w:r>
      <w:r>
        <w:rPr>
          <w:rStyle w:val="11"/>
          <w:rFonts w:cs="Times New Roman"/>
          <w:color w:val="auto"/>
          <w:szCs w:val="28"/>
          <w:highlight w:val="none"/>
          <w:u w:val="none"/>
          <w:lang w:val="en-US"/>
        </w:rPr>
        <w:fldChar w:fldCharType="end"/>
      </w:r>
    </w:p>
    <w:p w14:paraId="75DF6327">
      <w:pPr>
        <w:widowControl w:val="0"/>
        <w:rPr>
          <w:rFonts w:cs="Times New Roman"/>
          <w:szCs w:val="28"/>
          <w:highlight w:val="none"/>
          <w:lang w:val="en-US"/>
        </w:rPr>
      </w:pPr>
      <w:r>
        <w:rPr>
          <w:rFonts w:cs="Times New Roman"/>
          <w:szCs w:val="28"/>
          <w:highlight w:val="none"/>
          <w:lang w:val="en-US"/>
        </w:rPr>
        <w:t>319.</w:t>
      </w:r>
      <w:r>
        <w:rPr>
          <w:rStyle w:val="11"/>
          <w:rFonts w:cs="Times New Roman"/>
          <w:color w:val="auto"/>
          <w:szCs w:val="28"/>
          <w:highlight w:val="none"/>
          <w:u w:val="none"/>
          <w:lang w:val="en-US"/>
        </w:rPr>
        <w:t xml:space="preserve"> </w:t>
      </w:r>
      <w:r>
        <w:rPr>
          <w:rFonts w:cs="Times New Roman"/>
          <w:szCs w:val="28"/>
          <w:highlight w:val="none"/>
          <w:lang w:val="en-US"/>
        </w:rPr>
        <w:t xml:space="preserve">European Medicines Agency. Summary of product characteristics: Vosevi. 2019. URL: </w:t>
      </w:r>
      <w:r>
        <w:rPr>
          <w:highlight w:val="none"/>
        </w:rPr>
        <w:fldChar w:fldCharType="begin"/>
      </w:r>
      <w:r>
        <w:rPr>
          <w:highlight w:val="none"/>
        </w:rPr>
        <w:instrText xml:space="preserve"> HYPERLINK "https://www.ema.europa.eu/documents/product-information/vosevi-epar-product-information_en.pdf" </w:instrText>
      </w:r>
      <w:r>
        <w:rPr>
          <w:highlight w:val="none"/>
        </w:rPr>
        <w:fldChar w:fldCharType="separate"/>
      </w:r>
      <w:r>
        <w:rPr>
          <w:rStyle w:val="11"/>
          <w:rFonts w:cs="Times New Roman"/>
          <w:color w:val="auto"/>
          <w:szCs w:val="28"/>
          <w:highlight w:val="none"/>
          <w:u w:val="none"/>
          <w:lang w:val="en-US"/>
        </w:rPr>
        <w:t>https://www.ema.europa.eu/documents/product-information/vosevi-epar-product-information_en.pdf</w:t>
      </w:r>
      <w:r>
        <w:rPr>
          <w:rStyle w:val="11"/>
          <w:rFonts w:cs="Times New Roman"/>
          <w:color w:val="auto"/>
          <w:szCs w:val="28"/>
          <w:highlight w:val="none"/>
          <w:u w:val="none"/>
          <w:lang w:val="en-US"/>
        </w:rPr>
        <w:fldChar w:fldCharType="end"/>
      </w:r>
    </w:p>
    <w:p w14:paraId="017B67CF">
      <w:pPr>
        <w:rPr>
          <w:rFonts w:cs="Times New Roman"/>
          <w:szCs w:val="28"/>
          <w:highlight w:val="none"/>
        </w:rPr>
      </w:pPr>
    </w:p>
    <w:p w14:paraId="54063D4B">
      <w:pPr>
        <w:rPr>
          <w:rFonts w:cs="Times New Roman"/>
          <w:szCs w:val="28"/>
          <w:highlight w:val="none"/>
        </w:rPr>
      </w:pPr>
    </w:p>
    <w:p w14:paraId="58A6FB58">
      <w:pPr>
        <w:rPr>
          <w:rFonts w:cs="Times New Roman"/>
          <w:szCs w:val="28"/>
          <w:highlight w:val="none"/>
        </w:rPr>
      </w:pPr>
      <w:r>
        <w:rPr>
          <w:rFonts w:cs="Times New Roman"/>
          <w:szCs w:val="28"/>
          <w:highlight w:val="none"/>
        </w:rPr>
        <w:t>2.1 Загальні принципи організації діяльності комісій з питань етики при лікувально-профілактичних закладах, в яких проводяться клінічні випробування лікарських засобів (рекомендації для експертів): посіб. / Л. Ковтун та ін. К., 2017. 45 c.</w:t>
      </w:r>
    </w:p>
    <w:p w14:paraId="00AABD50">
      <w:pPr>
        <w:widowControl w:val="0"/>
        <w:rPr>
          <w:rFonts w:cs="Times New Roman"/>
          <w:szCs w:val="28"/>
          <w:highlight w:val="none"/>
        </w:rPr>
      </w:pPr>
      <w:r>
        <w:rPr>
          <w:rFonts w:cs="Times New Roman"/>
          <w:szCs w:val="28"/>
          <w:highlight w:val="none"/>
        </w:rPr>
        <w:t xml:space="preserve">2.2 ICD-11 for Mortality and Morbidity Statistics (Version 09/2020). URL: </w:t>
      </w:r>
      <w:r>
        <w:rPr>
          <w:highlight w:val="none"/>
        </w:rPr>
        <w:fldChar w:fldCharType="begin"/>
      </w:r>
      <w:r>
        <w:rPr>
          <w:highlight w:val="none"/>
        </w:rPr>
        <w:instrText xml:space="preserve"> HYPERLINK "https://icd.who.int/browse11/l-m/en" </w:instrText>
      </w:r>
      <w:r>
        <w:rPr>
          <w:highlight w:val="none"/>
        </w:rPr>
        <w:fldChar w:fldCharType="separate"/>
      </w:r>
      <w:r>
        <w:rPr>
          <w:rStyle w:val="11"/>
          <w:rFonts w:cs="Times New Roman"/>
          <w:color w:val="auto"/>
          <w:szCs w:val="28"/>
          <w:highlight w:val="none"/>
          <w:u w:val="none"/>
        </w:rPr>
        <w:t>https://icd.who.int/browse11/l-m/en</w:t>
      </w:r>
      <w:r>
        <w:rPr>
          <w:rStyle w:val="11"/>
          <w:rFonts w:cs="Times New Roman"/>
          <w:color w:val="auto"/>
          <w:szCs w:val="28"/>
          <w:highlight w:val="none"/>
          <w:u w:val="none"/>
        </w:rPr>
        <w:fldChar w:fldCharType="end"/>
      </w:r>
    </w:p>
    <w:p w14:paraId="24DA929C">
      <w:pPr>
        <w:widowControl w:val="0"/>
        <w:rPr>
          <w:rStyle w:val="12"/>
          <w:rFonts w:cs="Times New Roman"/>
          <w:b w:val="0"/>
          <w:szCs w:val="21"/>
          <w:highlight w:val="none"/>
          <w:shd w:val="clear" w:color="auto" w:fill="FFFFFF"/>
        </w:rPr>
      </w:pPr>
      <w:r>
        <w:rPr>
          <w:rFonts w:cs="Times New Roman"/>
          <w:szCs w:val="28"/>
          <w:highlight w:val="none"/>
        </w:rPr>
        <w:t>2.3 AASLD.</w:t>
      </w:r>
      <w:r>
        <w:rPr>
          <w:rStyle w:val="12"/>
          <w:rFonts w:cs="Times New Roman"/>
          <w:b w:val="0"/>
          <w:szCs w:val="21"/>
          <w:highlight w:val="none"/>
          <w:shd w:val="clear" w:color="auto" w:fill="FFFFFF"/>
        </w:rPr>
        <w:t xml:space="preserve"> HCV Guidance: Recommendations for Testing, Managing, and Treating Hepatitis C. 2019. https://www.hcvguidelines.org/evaluate/testing-and-linkage</w:t>
      </w:r>
    </w:p>
    <w:p w14:paraId="711D6B84">
      <w:pPr>
        <w:widowControl w:val="0"/>
        <w:rPr>
          <w:rFonts w:cs="Times New Roman"/>
          <w:highlight w:val="none"/>
        </w:rPr>
      </w:pPr>
      <w:r>
        <w:rPr>
          <w:rFonts w:cs="Times New Roman"/>
          <w:highlight w:val="none"/>
        </w:rPr>
        <w:t>2.4 EASL Recommendations on Treatment of Hepatitis C. 2016. https://easl.eu/publication/easl-recommendations-on-treatment-of-hepatitis-c/</w:t>
      </w:r>
    </w:p>
    <w:p w14:paraId="0992A1CC">
      <w:pPr>
        <w:widowControl w:val="0"/>
        <w:rPr>
          <w:rFonts w:cs="Times New Roman"/>
          <w:highlight w:val="none"/>
        </w:rPr>
      </w:pPr>
      <w:r>
        <w:rPr>
          <w:rFonts w:cs="Times New Roman"/>
          <w:highlight w:val="none"/>
        </w:rPr>
        <w:t>2.5 EASL. EASL recommendations on treatment of hepatitis C: Final update of the series. Practice Guidelines. Journal of Hepatology 2020 vol. 73. Р. 1170–1218</w:t>
      </w:r>
    </w:p>
    <w:p w14:paraId="79B33DF9">
      <w:pPr>
        <w:rPr>
          <w:rFonts w:cs="Times New Roman"/>
          <w:szCs w:val="28"/>
          <w:highlight w:val="none"/>
        </w:rPr>
      </w:pPr>
      <w:r>
        <w:rPr>
          <w:rFonts w:cs="Times New Roman"/>
          <w:highlight w:val="none"/>
        </w:rPr>
        <w:t>2.6 Державний експертний центр Міністерства охорони здоров’я України ДУ «Центр громадського здоров’я МОЗ України». Вірусний гепатит С. Клінічна настанова, заснована на доказах. 2020. 132 с. https://www.dec.gov.ua/wp-content/uploads/2021/01/2021_50_51_kn_vgc.pdf</w:t>
      </w:r>
    </w:p>
    <w:p w14:paraId="0A9FCC3F">
      <w:pPr>
        <w:widowControl w:val="0"/>
        <w:rPr>
          <w:rFonts w:cs="Times New Roman"/>
          <w:highlight w:val="none"/>
          <w:shd w:val="clear" w:color="auto" w:fill="FFFFFF"/>
        </w:rPr>
      </w:pPr>
      <w:r>
        <w:rPr>
          <w:rFonts w:cs="Times New Roman"/>
          <w:szCs w:val="28"/>
          <w:highlight w:val="none"/>
        </w:rPr>
        <w:t xml:space="preserve">2.7 </w:t>
      </w:r>
      <w:r>
        <w:rPr>
          <w:rFonts w:cs="Times New Roman"/>
          <w:highlight w:val="none"/>
          <w:shd w:val="clear" w:color="auto" w:fill="FFFFFF"/>
        </w:rPr>
        <w:t>European Association for the Study of the Liver. Electronic address: easloffice@easloffice.eu; Clinical Practice Guideline Panel; Chair:; EASL Governing Board representative:; Panel members:. EASL Clinical Practice Guidelines on non-invasive tests for evaluation of liver disease severity and prognosis – 2021 update. J Hepatol. 2021 Sep;75(3):659-689. doi: 10.1016/j.jhep.2021.05.025</w:t>
      </w:r>
    </w:p>
    <w:p w14:paraId="2D0DE480">
      <w:pPr>
        <w:widowControl w:val="0"/>
        <w:rPr>
          <w:rFonts w:cs="Times New Roman"/>
          <w:szCs w:val="33"/>
          <w:highlight w:val="none"/>
        </w:rPr>
      </w:pPr>
      <w:r>
        <w:rPr>
          <w:rFonts w:cs="Times New Roman"/>
          <w:szCs w:val="33"/>
          <w:highlight w:val="none"/>
        </w:rPr>
        <w:t>2.8 Наказ МОЗ України від 15.01.2021 № 51 «Про затвердження стандартів медичної допомоги при вірусному гепатиті С у дорослих». 2021. 25 с. https://phc.org.ua/sites/default/files/users/user90/28274-dn_51_15_01_2021_dod.pdf</w:t>
      </w:r>
    </w:p>
    <w:p w14:paraId="4BB33F33">
      <w:pPr>
        <w:rPr>
          <w:rFonts w:cs="Times New Roman"/>
          <w:szCs w:val="28"/>
          <w:highlight w:val="none"/>
        </w:rPr>
      </w:pPr>
      <w:r>
        <w:rPr>
          <w:rFonts w:cs="Times New Roman"/>
          <w:szCs w:val="28"/>
          <w:highlight w:val="none"/>
        </w:rPr>
        <w:t xml:space="preserve">2.9 </w:t>
      </w:r>
      <w:r>
        <w:rPr>
          <w:rFonts w:cs="Times New Roman"/>
          <w:highlight w:val="none"/>
        </w:rPr>
        <w:t>Li Q, Lu C, Li W, et al. Evaluation of eLIFT for Non-invasive Assessment of Liver fibrosis and Cirrhosis in Patients with Chronic Hepatitis B Virus Infection. Sci Rep. 2017;7:5429. doi:10.1038/s41598-017-05718-x.</w:t>
      </w:r>
    </w:p>
    <w:p w14:paraId="3A300EA8">
      <w:pPr>
        <w:pStyle w:val="19"/>
        <w:spacing w:after="0"/>
        <w:rPr>
          <w:rFonts w:cs="Times New Roman"/>
          <w:highlight w:val="none"/>
        </w:rPr>
      </w:pPr>
      <w:r>
        <w:rPr>
          <w:rFonts w:cs="Times New Roman"/>
          <w:highlight w:val="none"/>
        </w:rPr>
        <w:t>2.10 Електронний посібник до вивчення курсу «Основи загальної клінічної лабораторної діагностики» / Т.М. Шевченко, П.М. Полушкін – Д.: ДНУ, 2016. – 138 с.</w:t>
      </w:r>
    </w:p>
    <w:p w14:paraId="7D643CC7">
      <w:pPr>
        <w:rPr>
          <w:rFonts w:cs="Times New Roman"/>
          <w:szCs w:val="28"/>
          <w:highlight w:val="none"/>
        </w:rPr>
      </w:pPr>
      <w:r>
        <w:rPr>
          <w:rFonts w:eastAsia="Arial" w:cs="Times New Roman"/>
          <w:szCs w:val="14"/>
          <w:highlight w:val="none"/>
          <w:lang w:eastAsia="uk-UA" w:bidi="uk-UA"/>
        </w:rPr>
        <w:t xml:space="preserve">2.11 Клінічна </w:t>
      </w:r>
      <w:r>
        <w:rPr>
          <w:rFonts w:cs="Times New Roman"/>
          <w:highlight w:val="none"/>
          <w:lang w:eastAsia="uk-UA" w:bidi="uk-UA"/>
        </w:rPr>
        <w:t xml:space="preserve">лабораторна діагностика : підручник / Л.Є. Лаповець, Г.Б. Лебедь, О.О. Ястремська та ін. ; за ред. Л.Є. Лаповець. — 2-е вид., стер. — К. : </w:t>
      </w:r>
      <w:r>
        <w:rPr>
          <w:rFonts w:eastAsia="Arial" w:cs="Times New Roman"/>
          <w:szCs w:val="14"/>
          <w:highlight w:val="none"/>
          <w:lang w:eastAsia="uk-UA" w:bidi="uk-UA"/>
        </w:rPr>
        <w:t xml:space="preserve">ВСВ </w:t>
      </w:r>
      <w:r>
        <w:rPr>
          <w:rFonts w:cs="Times New Roman"/>
          <w:highlight w:val="none"/>
          <w:lang w:eastAsia="uk-UA" w:bidi="uk-UA"/>
        </w:rPr>
        <w:t>«Медицина», 2021. — 472 с.</w:t>
      </w:r>
    </w:p>
    <w:p w14:paraId="055C8BD6">
      <w:pPr>
        <w:spacing w:line="259" w:lineRule="auto"/>
        <w:ind w:firstLine="0"/>
        <w:jc w:val="left"/>
        <w:rPr>
          <w:rFonts w:eastAsia="Times New Roman" w:cs="Times New Roman"/>
          <w:szCs w:val="28"/>
          <w:highlight w:val="none"/>
          <w:lang w:eastAsia="uk-UA"/>
        </w:rPr>
      </w:pPr>
      <w:r>
        <w:rPr>
          <w:rFonts w:eastAsia="Times New Roman" w:cs="Times New Roman"/>
          <w:szCs w:val="28"/>
          <w:highlight w:val="none"/>
          <w:lang w:eastAsia="uk-UA"/>
        </w:rPr>
        <w:br w:type="page"/>
      </w:r>
    </w:p>
    <w:p w14:paraId="1A408EB6">
      <w:pPr>
        <w:pStyle w:val="2"/>
        <w:rPr>
          <w:rFonts w:cs="Times New Roman"/>
          <w:szCs w:val="28"/>
          <w:highlight w:val="none"/>
          <w:lang w:val="uk-UA"/>
        </w:rPr>
      </w:pPr>
      <w:bookmarkStart w:id="78" w:name="_Toc153923971"/>
      <w:r>
        <w:rPr>
          <w:rFonts w:cs="Times New Roman"/>
          <w:szCs w:val="28"/>
          <w:highlight w:val="none"/>
          <w:lang w:val="uk-UA"/>
        </w:rPr>
        <w:t>ДОДАТКИ</w:t>
      </w:r>
      <w:bookmarkEnd w:id="78"/>
    </w:p>
    <w:p w14:paraId="560513DD">
      <w:pPr>
        <w:rPr>
          <w:rFonts w:cs="Times New Roman"/>
          <w:szCs w:val="28"/>
          <w:highlight w:val="none"/>
        </w:rPr>
      </w:pPr>
      <w:r>
        <w:rPr>
          <w:highlight w:val="none"/>
        </w:rPr>
        <w:br w:type="page"/>
      </w:r>
    </w:p>
    <w:p w14:paraId="55239FFC">
      <w:pPr>
        <w:pStyle w:val="3"/>
        <w:ind w:firstLine="7938"/>
        <w:jc w:val="center"/>
        <w:rPr>
          <w:highlight w:val="none"/>
        </w:rPr>
      </w:pPr>
      <w:bookmarkStart w:id="79" w:name="_Toc153923972"/>
      <w:r>
        <w:rPr>
          <w:highlight w:val="none"/>
          <w:lang w:eastAsia="ru-RU"/>
        </w:rPr>
        <w:t>Додаток А</w:t>
      </w:r>
      <w:r>
        <w:rPr>
          <w:highlight w:val="none"/>
          <w:lang w:eastAsia="ru-RU"/>
        </w:rPr>
        <w:br w:type="textWrapping"/>
      </w:r>
      <w:r>
        <w:rPr>
          <w:highlight w:val="none"/>
        </w:rPr>
        <w:t>СПИСОК ОПУБЛІКОВАНИХ ПРАЦЬ ЗА ТЕМОЮ ДИСЕРТАЦІЇ</w:t>
      </w:r>
      <w:bookmarkEnd w:id="79"/>
    </w:p>
    <w:p w14:paraId="406F1414">
      <w:pPr>
        <w:pStyle w:val="23"/>
        <w:tabs>
          <w:tab w:val="left" w:pos="1134"/>
        </w:tabs>
        <w:spacing w:before="0" w:beforeAutospacing="0" w:after="0" w:afterAutospacing="0" w:line="360" w:lineRule="auto"/>
        <w:ind w:left="709"/>
        <w:jc w:val="both"/>
        <w:rPr>
          <w:rFonts w:eastAsiaTheme="minorHAnsi" w:cstheme="minorBidi"/>
          <w:b/>
          <w:bCs/>
          <w:sz w:val="28"/>
          <w:szCs w:val="22"/>
          <w:highlight w:val="none"/>
          <w:lang w:eastAsia="en-US"/>
        </w:rPr>
      </w:pPr>
    </w:p>
    <w:p w14:paraId="3EF3E4C4">
      <w:pPr>
        <w:tabs>
          <w:tab w:val="left" w:pos="1134"/>
        </w:tabs>
        <w:rPr>
          <w:rFonts w:cs="Times New Roman"/>
          <w:bCs/>
          <w:i/>
          <w:iCs/>
          <w:szCs w:val="28"/>
          <w:highlight w:val="none"/>
        </w:rPr>
      </w:pPr>
      <w:r>
        <w:rPr>
          <w:rFonts w:cs="Times New Roman"/>
          <w:bCs/>
          <w:i/>
          <w:iCs/>
          <w:szCs w:val="28"/>
          <w:highlight w:val="none"/>
        </w:rPr>
        <w:t>Наукові праці, в яких опубліковані основні наукові результати дисертації:</w:t>
      </w:r>
    </w:p>
    <w:p w14:paraId="557BB520">
      <w:pPr>
        <w:pStyle w:val="23"/>
        <w:numPr>
          <w:ilvl w:val="0"/>
          <w:numId w:val="7"/>
        </w:numPr>
        <w:tabs>
          <w:tab w:val="left" w:pos="1134"/>
        </w:tabs>
        <w:spacing w:before="0" w:beforeAutospacing="0" w:after="0" w:afterAutospacing="0" w:line="360" w:lineRule="auto"/>
        <w:ind w:left="0" w:firstLine="709"/>
        <w:jc w:val="both"/>
        <w:rPr>
          <w:sz w:val="28"/>
          <w:szCs w:val="28"/>
          <w:highlight w:val="none"/>
        </w:rPr>
      </w:pPr>
      <w:r>
        <w:rPr>
          <w:b/>
          <w:bCs/>
          <w:sz w:val="28"/>
          <w:szCs w:val="28"/>
          <w:highlight w:val="none"/>
        </w:rPr>
        <w:t>Sheiko, A. G.</w:t>
      </w:r>
      <w:r>
        <w:rPr>
          <w:sz w:val="28"/>
          <w:szCs w:val="28"/>
          <w:highlight w:val="none"/>
        </w:rPr>
        <w:t xml:space="preserve">, &amp; Yurko, K. V. (2023). The value of osteopontin in predicting fibrosis in patients with chronic viral hepatitis C. </w:t>
      </w:r>
      <w:r>
        <w:rPr>
          <w:i/>
          <w:iCs/>
          <w:sz w:val="28"/>
          <w:szCs w:val="28"/>
          <w:highlight w:val="none"/>
        </w:rPr>
        <w:t>Gastroenterology (Ukraine)</w:t>
      </w:r>
      <w:r>
        <w:rPr>
          <w:sz w:val="28"/>
          <w:szCs w:val="28"/>
          <w:highlight w:val="none"/>
        </w:rPr>
        <w:t xml:space="preserve">, </w:t>
      </w:r>
      <w:r>
        <w:rPr>
          <w:i/>
          <w:iCs/>
          <w:sz w:val="28"/>
          <w:szCs w:val="28"/>
          <w:highlight w:val="none"/>
        </w:rPr>
        <w:t>57</w:t>
      </w:r>
      <w:r>
        <w:rPr>
          <w:sz w:val="28"/>
          <w:szCs w:val="28"/>
          <w:highlight w:val="none"/>
        </w:rPr>
        <w:t xml:space="preserve">(3), 166–171. </w:t>
      </w:r>
      <w:r>
        <w:rPr>
          <w:highlight w:val="none"/>
        </w:rPr>
        <w:fldChar w:fldCharType="begin"/>
      </w:r>
      <w:r>
        <w:rPr>
          <w:highlight w:val="none"/>
        </w:rPr>
        <w:instrText xml:space="preserve"> HYPERLINK "https://doi.org/10.22141/2308-2097.57.3.2023.556" </w:instrText>
      </w:r>
      <w:r>
        <w:rPr>
          <w:highlight w:val="none"/>
        </w:rPr>
        <w:fldChar w:fldCharType="separate"/>
      </w:r>
      <w:r>
        <w:rPr>
          <w:rStyle w:val="11"/>
          <w:sz w:val="28"/>
          <w:szCs w:val="28"/>
          <w:highlight w:val="none"/>
        </w:rPr>
        <w:t>https://doi.org/10.22141/2308-2097.57.3.2023.556</w:t>
      </w:r>
      <w:r>
        <w:rPr>
          <w:rStyle w:val="11"/>
          <w:sz w:val="28"/>
          <w:szCs w:val="28"/>
          <w:highlight w:val="none"/>
        </w:rPr>
        <w:fldChar w:fldCharType="end"/>
      </w:r>
      <w:r>
        <w:rPr>
          <w:sz w:val="28"/>
          <w:szCs w:val="28"/>
          <w:highlight w:val="none"/>
        </w:rPr>
        <w:t xml:space="preserve"> </w:t>
      </w:r>
      <w:r>
        <w:rPr>
          <w:i/>
          <w:iCs/>
          <w:sz w:val="28"/>
          <w:szCs w:val="28"/>
          <w:highlight w:val="none"/>
        </w:rPr>
        <w:t>(Здобувачем сформовано групи, проведено клініко-лабораторне та клініко-інструментальне обстеження хворих, аналіз і статистичну обробку отриманих даних, підготовлено статтю до друку)</w:t>
      </w:r>
      <w:r>
        <w:rPr>
          <w:sz w:val="28"/>
          <w:szCs w:val="28"/>
          <w:highlight w:val="none"/>
          <w:lang w:val="ru-RU"/>
        </w:rPr>
        <w:t xml:space="preserve">. </w:t>
      </w:r>
    </w:p>
    <w:p w14:paraId="26230C35">
      <w:pPr>
        <w:pStyle w:val="23"/>
        <w:numPr>
          <w:ilvl w:val="0"/>
          <w:numId w:val="7"/>
        </w:numPr>
        <w:tabs>
          <w:tab w:val="left" w:pos="1134"/>
        </w:tabs>
        <w:spacing w:before="0" w:beforeAutospacing="0" w:after="0" w:afterAutospacing="0" w:line="360" w:lineRule="auto"/>
        <w:ind w:left="0" w:firstLine="709"/>
        <w:jc w:val="both"/>
        <w:rPr>
          <w:sz w:val="28"/>
          <w:szCs w:val="28"/>
          <w:highlight w:val="none"/>
        </w:rPr>
      </w:pPr>
      <w:r>
        <w:rPr>
          <w:b/>
          <w:bCs/>
          <w:sz w:val="28"/>
          <w:szCs w:val="28"/>
          <w:highlight w:val="none"/>
        </w:rPr>
        <w:t>Шейко, А.</w:t>
      </w:r>
      <w:r>
        <w:rPr>
          <w:sz w:val="28"/>
          <w:szCs w:val="28"/>
          <w:highlight w:val="none"/>
        </w:rPr>
        <w:t xml:space="preserve"> (2023). Значення показників клінічного аналізу крові для визначення ступеня фіброзного процесу у хворих на хронічний гепатит С. </w:t>
      </w:r>
      <w:r>
        <w:rPr>
          <w:i/>
          <w:iCs/>
          <w:sz w:val="28"/>
          <w:szCs w:val="28"/>
          <w:highlight w:val="none"/>
        </w:rPr>
        <w:t>Інфекційні Хвороби</w:t>
      </w:r>
      <w:r>
        <w:rPr>
          <w:sz w:val="28"/>
          <w:szCs w:val="28"/>
          <w:highlight w:val="none"/>
        </w:rPr>
        <w:t xml:space="preserve">, </w:t>
      </w:r>
      <w:r>
        <w:rPr>
          <w:i/>
          <w:iCs/>
          <w:sz w:val="28"/>
          <w:szCs w:val="28"/>
          <w:highlight w:val="none"/>
        </w:rPr>
        <w:t>4</w:t>
      </w:r>
      <w:r>
        <w:rPr>
          <w:sz w:val="28"/>
          <w:szCs w:val="28"/>
          <w:highlight w:val="none"/>
        </w:rPr>
        <w:t xml:space="preserve">(114), 29–33. </w:t>
      </w:r>
      <w:r>
        <w:rPr>
          <w:highlight w:val="none"/>
        </w:rPr>
        <w:fldChar w:fldCharType="begin"/>
      </w:r>
      <w:r>
        <w:rPr>
          <w:highlight w:val="none"/>
        </w:rPr>
        <w:instrText xml:space="preserve"> HYPERLINK "https://doi.org/DOI%2010.11603/1681-2727.2023.4.14244" </w:instrText>
      </w:r>
      <w:r>
        <w:rPr>
          <w:highlight w:val="none"/>
        </w:rPr>
        <w:fldChar w:fldCharType="separate"/>
      </w:r>
      <w:r>
        <w:rPr>
          <w:rStyle w:val="11"/>
          <w:sz w:val="28"/>
          <w:szCs w:val="28"/>
          <w:highlight w:val="none"/>
        </w:rPr>
        <w:t>https://doi.org/DOI 10.11603/1681-2727.2023.4.14244</w:t>
      </w:r>
      <w:r>
        <w:rPr>
          <w:rStyle w:val="11"/>
          <w:sz w:val="28"/>
          <w:szCs w:val="28"/>
          <w:highlight w:val="none"/>
        </w:rPr>
        <w:fldChar w:fldCharType="end"/>
      </w:r>
      <w:r>
        <w:rPr>
          <w:sz w:val="28"/>
          <w:szCs w:val="28"/>
          <w:highlight w:val="none"/>
        </w:rPr>
        <w:t xml:space="preserve"> </w:t>
      </w:r>
      <w:r>
        <w:rPr>
          <w:i/>
          <w:iCs/>
          <w:sz w:val="28"/>
          <w:szCs w:val="28"/>
          <w:highlight w:val="none"/>
        </w:rPr>
        <w:t>(Здобувачем сформовано групи, проведено клініко-лабораторне та клініко-інструментальне обстеження хворих, аналіз і статистичну обробку отриманих даних, підготовлено статтю до друку)</w:t>
      </w:r>
      <w:r>
        <w:rPr>
          <w:sz w:val="28"/>
          <w:szCs w:val="28"/>
          <w:highlight w:val="none"/>
          <w:lang w:val="ru-RU"/>
        </w:rPr>
        <w:t>.</w:t>
      </w:r>
    </w:p>
    <w:p w14:paraId="04B3B4CB">
      <w:pPr>
        <w:pStyle w:val="23"/>
        <w:numPr>
          <w:ilvl w:val="0"/>
          <w:numId w:val="7"/>
        </w:numPr>
        <w:tabs>
          <w:tab w:val="left" w:pos="1134"/>
        </w:tabs>
        <w:spacing w:before="0" w:beforeAutospacing="0" w:after="0" w:afterAutospacing="0" w:line="360" w:lineRule="auto"/>
        <w:ind w:left="0" w:firstLine="709"/>
        <w:jc w:val="both"/>
        <w:rPr>
          <w:rFonts w:eastAsiaTheme="minorHAnsi"/>
          <w:bCs/>
          <w:i/>
          <w:iCs/>
          <w:sz w:val="28"/>
          <w:szCs w:val="28"/>
          <w:highlight w:val="none"/>
          <w:lang w:eastAsia="en-US"/>
        </w:rPr>
      </w:pPr>
      <w:r>
        <w:rPr>
          <w:b/>
          <w:bCs/>
          <w:sz w:val="28"/>
          <w:szCs w:val="28"/>
          <w:highlight w:val="none"/>
        </w:rPr>
        <w:t>Sheiko, A. H.,</w:t>
      </w:r>
      <w:r>
        <w:rPr>
          <w:sz w:val="28"/>
          <w:szCs w:val="28"/>
          <w:highlight w:val="none"/>
        </w:rPr>
        <w:t xml:space="preserve"> Yurko, K. V., Solomennyk, H. O., &amp; Kucheriavchenko, V. V. (2023). The prognostic value of blood markers in prediction of the probability of the development of fibrotic process in patients with chronic hepatitis C virus. </w:t>
      </w:r>
      <w:r>
        <w:rPr>
          <w:i/>
          <w:iCs/>
          <w:sz w:val="28"/>
          <w:szCs w:val="28"/>
          <w:highlight w:val="none"/>
        </w:rPr>
        <w:t>Клінічна Та Профілактична Медицина</w:t>
      </w:r>
      <w:r>
        <w:rPr>
          <w:sz w:val="28"/>
          <w:szCs w:val="28"/>
          <w:highlight w:val="none"/>
        </w:rPr>
        <w:t xml:space="preserve">, </w:t>
      </w:r>
      <w:r>
        <w:rPr>
          <w:sz w:val="28"/>
          <w:szCs w:val="28"/>
          <w:highlight w:val="none"/>
          <w:lang w:val="ru-RU"/>
        </w:rPr>
        <w:t>29</w:t>
      </w:r>
      <w:r>
        <w:rPr>
          <w:sz w:val="28"/>
          <w:szCs w:val="28"/>
          <w:highlight w:val="none"/>
        </w:rPr>
        <w:t>(</w:t>
      </w:r>
      <w:r>
        <w:rPr>
          <w:sz w:val="28"/>
          <w:szCs w:val="28"/>
          <w:highlight w:val="none"/>
          <w:lang w:val="ru-RU"/>
        </w:rPr>
        <w:t>7</w:t>
      </w:r>
      <w:r>
        <w:rPr>
          <w:sz w:val="28"/>
          <w:szCs w:val="28"/>
          <w:highlight w:val="none"/>
        </w:rPr>
        <w:t xml:space="preserve">). </w:t>
      </w:r>
      <w:r>
        <w:rPr>
          <w:highlight w:val="none"/>
        </w:rPr>
        <w:fldChar w:fldCharType="begin"/>
      </w:r>
      <w:r>
        <w:rPr>
          <w:highlight w:val="none"/>
        </w:rPr>
        <w:instrText xml:space="preserve"> HYPERLINK "https://doi.org/10.31612/2616-4868.7.2023.01" </w:instrText>
      </w:r>
      <w:r>
        <w:rPr>
          <w:highlight w:val="none"/>
        </w:rPr>
        <w:fldChar w:fldCharType="separate"/>
      </w:r>
      <w:r>
        <w:rPr>
          <w:rStyle w:val="11"/>
          <w:sz w:val="28"/>
          <w:szCs w:val="28"/>
          <w:highlight w:val="none"/>
        </w:rPr>
        <w:t>https://doi.org/10.31612/2616-4868.</w:t>
      </w:r>
      <w:r>
        <w:rPr>
          <w:rStyle w:val="11"/>
          <w:sz w:val="28"/>
          <w:szCs w:val="28"/>
          <w:highlight w:val="none"/>
          <w:lang w:val="ru-RU"/>
        </w:rPr>
        <w:t>7</w:t>
      </w:r>
      <w:r>
        <w:rPr>
          <w:rStyle w:val="11"/>
          <w:sz w:val="28"/>
          <w:szCs w:val="28"/>
          <w:highlight w:val="none"/>
        </w:rPr>
        <w:t>.2023.</w:t>
      </w:r>
      <w:r>
        <w:rPr>
          <w:rStyle w:val="11"/>
          <w:sz w:val="28"/>
          <w:szCs w:val="28"/>
          <w:highlight w:val="none"/>
          <w:lang w:val="ru-RU"/>
        </w:rPr>
        <w:t>0</w:t>
      </w:r>
      <w:r>
        <w:rPr>
          <w:rStyle w:val="11"/>
          <w:sz w:val="28"/>
          <w:szCs w:val="28"/>
          <w:highlight w:val="none"/>
        </w:rPr>
        <w:t>1</w:t>
      </w:r>
      <w:r>
        <w:rPr>
          <w:rStyle w:val="11"/>
          <w:sz w:val="28"/>
          <w:szCs w:val="28"/>
          <w:highlight w:val="none"/>
        </w:rPr>
        <w:fldChar w:fldCharType="end"/>
      </w:r>
      <w:r>
        <w:rPr>
          <w:sz w:val="28"/>
          <w:szCs w:val="28"/>
          <w:highlight w:val="none"/>
        </w:rPr>
        <w:t xml:space="preserve"> </w:t>
      </w:r>
      <w:r>
        <w:rPr>
          <w:i/>
          <w:iCs/>
          <w:sz w:val="28"/>
          <w:szCs w:val="28"/>
          <w:highlight w:val="none"/>
        </w:rPr>
        <w:t xml:space="preserve">(Здобувачем сформовано групи, проведено клініко-лабораторне та клініко-інструментальне обстеження хворих, аналіз і </w:t>
      </w:r>
      <w:r>
        <w:rPr>
          <w:rFonts w:eastAsiaTheme="minorHAnsi"/>
          <w:bCs/>
          <w:i/>
          <w:iCs/>
          <w:sz w:val="28"/>
          <w:szCs w:val="28"/>
          <w:highlight w:val="none"/>
          <w:lang w:eastAsia="en-US"/>
        </w:rPr>
        <w:t xml:space="preserve">статистичну обробку отриманих даних, підготовлено статтю до друку). </w:t>
      </w:r>
    </w:p>
    <w:p w14:paraId="1A6D4313">
      <w:pPr>
        <w:pStyle w:val="40"/>
        <w:tabs>
          <w:tab w:val="left" w:pos="1134"/>
        </w:tabs>
        <w:spacing w:after="0" w:line="360" w:lineRule="auto"/>
        <w:ind w:left="0" w:firstLine="425"/>
        <w:jc w:val="both"/>
        <w:rPr>
          <w:rFonts w:ascii="Times New Roman" w:hAnsi="Times New Roman" w:eastAsiaTheme="minorHAnsi"/>
          <w:bCs/>
          <w:i/>
          <w:iCs/>
          <w:sz w:val="28"/>
          <w:szCs w:val="28"/>
          <w:highlight w:val="none"/>
          <w:lang w:val="uk-UA"/>
        </w:rPr>
      </w:pPr>
    </w:p>
    <w:p w14:paraId="2CC665E1">
      <w:pPr>
        <w:pStyle w:val="40"/>
        <w:tabs>
          <w:tab w:val="left" w:pos="1134"/>
        </w:tabs>
        <w:spacing w:after="0" w:line="360" w:lineRule="auto"/>
        <w:ind w:left="0" w:firstLine="709"/>
        <w:jc w:val="both"/>
        <w:rPr>
          <w:rFonts w:ascii="Times New Roman" w:hAnsi="Times New Roman" w:eastAsiaTheme="minorHAnsi"/>
          <w:bCs/>
          <w:i/>
          <w:iCs/>
          <w:sz w:val="28"/>
          <w:szCs w:val="28"/>
          <w:highlight w:val="none"/>
          <w:lang w:val="uk-UA"/>
        </w:rPr>
      </w:pPr>
      <w:r>
        <w:rPr>
          <w:rFonts w:ascii="Times New Roman" w:hAnsi="Times New Roman" w:eastAsiaTheme="minorHAnsi"/>
          <w:bCs/>
          <w:i/>
          <w:iCs/>
          <w:sz w:val="28"/>
          <w:szCs w:val="28"/>
          <w:highlight w:val="none"/>
          <w:lang w:val="uk-UA"/>
        </w:rPr>
        <w:t>Опубліковані наукові праці апробаційного характеру:</w:t>
      </w:r>
    </w:p>
    <w:p w14:paraId="3C2E4FE6">
      <w:pPr>
        <w:pStyle w:val="23"/>
        <w:numPr>
          <w:ilvl w:val="0"/>
          <w:numId w:val="7"/>
        </w:numPr>
        <w:tabs>
          <w:tab w:val="left" w:pos="1134"/>
        </w:tabs>
        <w:spacing w:before="0" w:beforeAutospacing="0" w:after="0" w:afterAutospacing="0" w:line="360" w:lineRule="auto"/>
        <w:ind w:left="0" w:firstLine="709"/>
        <w:jc w:val="both"/>
        <w:rPr>
          <w:sz w:val="28"/>
          <w:szCs w:val="28"/>
          <w:highlight w:val="none"/>
        </w:rPr>
      </w:pPr>
      <w:r>
        <w:rPr>
          <w:sz w:val="28"/>
          <w:szCs w:val="28"/>
          <w:highlight w:val="none"/>
        </w:rPr>
        <w:t xml:space="preserve">Юрко, К. В., &amp; </w:t>
      </w:r>
      <w:r>
        <w:rPr>
          <w:b/>
          <w:bCs/>
          <w:sz w:val="28"/>
          <w:szCs w:val="28"/>
          <w:highlight w:val="none"/>
        </w:rPr>
        <w:t>Шейко, А.</w:t>
      </w:r>
      <w:r>
        <w:rPr>
          <w:sz w:val="28"/>
          <w:szCs w:val="28"/>
          <w:highlight w:val="none"/>
        </w:rPr>
        <w:t xml:space="preserve"> (2023). Остеопонтин як неінвазивний предиктор процесів фіброзу в пацієнтів із хронічним вірусним гепатитом С. </w:t>
      </w:r>
      <w:r>
        <w:rPr>
          <w:i/>
          <w:iCs/>
          <w:sz w:val="28"/>
          <w:szCs w:val="28"/>
          <w:highlight w:val="none"/>
        </w:rPr>
        <w:t>«Інфекційні Захворювання — Виклики Сьогодення. Сучасні Аспекти Клініки, Діагностики, Лікування Та Профілактики</w:t>
      </w:r>
      <w:r>
        <w:rPr>
          <w:sz w:val="28"/>
          <w:szCs w:val="28"/>
          <w:highlight w:val="none"/>
        </w:rPr>
        <w:t xml:space="preserve">, 213. </w:t>
      </w:r>
      <w:r>
        <w:rPr>
          <w:highlight w:val="none"/>
        </w:rPr>
        <w:fldChar w:fldCharType="begin"/>
      </w:r>
      <w:r>
        <w:rPr>
          <w:highlight w:val="none"/>
        </w:rPr>
        <w:instrText xml:space="preserve"> HYPERLINK "https://doi.org/https://doi.org/10.22141/2224-0586.19.3.2023.1581" </w:instrText>
      </w:r>
      <w:r>
        <w:rPr>
          <w:highlight w:val="none"/>
        </w:rPr>
        <w:fldChar w:fldCharType="separate"/>
      </w:r>
      <w:r>
        <w:rPr>
          <w:rStyle w:val="11"/>
          <w:sz w:val="28"/>
          <w:szCs w:val="28"/>
          <w:highlight w:val="none"/>
        </w:rPr>
        <w:t>https://doi.org/https://doi.org/10.22141/2224-0586.19.3.2023.1581</w:t>
      </w:r>
      <w:r>
        <w:rPr>
          <w:rStyle w:val="11"/>
          <w:sz w:val="28"/>
          <w:szCs w:val="28"/>
          <w:highlight w:val="none"/>
        </w:rPr>
        <w:fldChar w:fldCharType="end"/>
      </w:r>
      <w:r>
        <w:rPr>
          <w:sz w:val="28"/>
          <w:szCs w:val="28"/>
          <w:highlight w:val="none"/>
        </w:rPr>
        <w:t xml:space="preserve"> </w:t>
      </w:r>
      <w:r>
        <w:rPr>
          <w:i/>
          <w:iCs/>
          <w:sz w:val="28"/>
          <w:szCs w:val="28"/>
          <w:highlight w:val="none"/>
        </w:rPr>
        <w:t>(Здобувачем проведено аналіз літературних даних, статистичну обробку отриманих даних та підготовлено тези до друку)</w:t>
      </w:r>
      <w:r>
        <w:rPr>
          <w:sz w:val="28"/>
          <w:szCs w:val="28"/>
          <w:highlight w:val="none"/>
          <w:lang w:val="ru-RU"/>
        </w:rPr>
        <w:t xml:space="preserve">. </w:t>
      </w:r>
    </w:p>
    <w:p w14:paraId="32FECD87">
      <w:pPr>
        <w:pStyle w:val="23"/>
        <w:numPr>
          <w:ilvl w:val="0"/>
          <w:numId w:val="7"/>
        </w:numPr>
        <w:tabs>
          <w:tab w:val="left" w:pos="1134"/>
        </w:tabs>
        <w:spacing w:before="0" w:beforeAutospacing="0" w:after="0" w:afterAutospacing="0" w:line="360" w:lineRule="auto"/>
        <w:ind w:left="0" w:firstLine="709"/>
        <w:jc w:val="both"/>
        <w:rPr>
          <w:sz w:val="28"/>
          <w:szCs w:val="28"/>
          <w:highlight w:val="none"/>
        </w:rPr>
      </w:pPr>
      <w:r>
        <w:rPr>
          <w:b/>
          <w:bCs/>
          <w:sz w:val="28"/>
          <w:szCs w:val="28"/>
          <w:highlight w:val="none"/>
        </w:rPr>
        <w:t>Шейко, А.</w:t>
      </w:r>
      <w:r>
        <w:rPr>
          <w:sz w:val="28"/>
          <w:szCs w:val="28"/>
          <w:highlight w:val="none"/>
        </w:rPr>
        <w:t xml:space="preserve"> (2023). Маркерні можливості остеопонтину в прогнозуванні значного фіброзного процесу у хворих на хронічний вірусний гепатит С. </w:t>
      </w:r>
      <w:r>
        <w:rPr>
          <w:i/>
          <w:iCs/>
          <w:sz w:val="28"/>
          <w:szCs w:val="28"/>
          <w:highlight w:val="none"/>
        </w:rPr>
        <w:t>Мечниковські Читання - 2023</w:t>
      </w:r>
      <w:r>
        <w:rPr>
          <w:sz w:val="28"/>
          <w:szCs w:val="28"/>
          <w:highlight w:val="none"/>
        </w:rPr>
        <w:t>, 89–90 (</w:t>
      </w:r>
      <w:r>
        <w:rPr>
          <w:i/>
          <w:iCs/>
          <w:sz w:val="28"/>
          <w:szCs w:val="28"/>
          <w:highlight w:val="none"/>
        </w:rPr>
        <w:t>Здобувачем проведено аналіз отриманих даних, статистичну обробку отриманих даних та підготовлено тези та доповідь до друку)</w:t>
      </w:r>
      <w:r>
        <w:rPr>
          <w:sz w:val="28"/>
          <w:szCs w:val="28"/>
          <w:highlight w:val="none"/>
        </w:rPr>
        <w:t>.</w:t>
      </w:r>
    </w:p>
    <w:p w14:paraId="49A6EFB9">
      <w:pPr>
        <w:spacing w:after="160" w:line="259" w:lineRule="auto"/>
        <w:ind w:firstLine="0"/>
        <w:jc w:val="left"/>
        <w:rPr>
          <w:rFonts w:cs="Times New Roman"/>
          <w:szCs w:val="28"/>
          <w:highlight w:val="none"/>
          <w:lang w:eastAsia="ru-RU"/>
        </w:rPr>
      </w:pPr>
      <w:r>
        <w:rPr>
          <w:rFonts w:cs="Times New Roman"/>
          <w:szCs w:val="28"/>
          <w:highlight w:val="none"/>
          <w:lang w:eastAsia="ru-RU"/>
        </w:rPr>
        <w:br w:type="page"/>
      </w:r>
    </w:p>
    <w:p w14:paraId="3326022E">
      <w:pPr>
        <w:pStyle w:val="3"/>
        <w:jc w:val="right"/>
        <w:rPr>
          <w:highlight w:val="none"/>
          <w:lang w:eastAsia="ru-RU"/>
        </w:rPr>
      </w:pPr>
      <w:bookmarkStart w:id="80" w:name="_Toc153923973"/>
      <w:r>
        <w:rPr>
          <w:highlight w:val="none"/>
          <w:lang w:eastAsia="ru-RU"/>
        </w:rPr>
        <w:t>Додаток Б</w:t>
      </w:r>
      <w:bookmarkEnd w:id="80"/>
    </w:p>
    <w:p w14:paraId="07EB6873">
      <w:pPr>
        <w:spacing w:after="160" w:line="259" w:lineRule="auto"/>
        <w:ind w:firstLine="0"/>
        <w:jc w:val="left"/>
        <w:rPr>
          <w:rFonts w:eastAsiaTheme="majorEastAsia" w:cstheme="majorBidi"/>
          <w:b/>
          <w:szCs w:val="26"/>
          <w:highlight w:val="none"/>
          <w:lang w:eastAsia="ru-RU"/>
        </w:rPr>
      </w:pPr>
      <w:r>
        <w:rPr>
          <w:highlight w:val="none"/>
          <w:lang w:eastAsia="ru-RU"/>
        </w:rPr>
        <w:br w:type="page"/>
      </w:r>
    </w:p>
    <w:p w14:paraId="3B91AB4F">
      <w:pPr>
        <w:pStyle w:val="3"/>
        <w:jc w:val="right"/>
        <w:rPr>
          <w:highlight w:val="none"/>
          <w:lang w:eastAsia="ru-RU"/>
        </w:rPr>
      </w:pPr>
      <w:bookmarkStart w:id="81" w:name="_Toc153923974"/>
      <w:r>
        <w:rPr>
          <w:highlight w:val="none"/>
          <w:lang w:eastAsia="ru-RU"/>
        </w:rPr>
        <w:t>Додаток В</w:t>
      </w:r>
      <w:bookmarkEnd w:id="81"/>
    </w:p>
    <w:p w14:paraId="37185094">
      <w:pPr>
        <w:rPr>
          <w:rFonts w:eastAsiaTheme="majorEastAsia" w:cstheme="majorBidi"/>
          <w:szCs w:val="26"/>
          <w:highlight w:val="none"/>
          <w:lang w:eastAsia="ru-RU"/>
        </w:rPr>
      </w:pPr>
      <w:r>
        <w:rPr>
          <w:highlight w:val="none"/>
          <w:lang w:eastAsia="ru-RU"/>
        </w:rPr>
        <w:br w:type="page"/>
      </w:r>
    </w:p>
    <w:p w14:paraId="4B13C649">
      <w:pPr>
        <w:pStyle w:val="3"/>
        <w:jc w:val="right"/>
        <w:rPr>
          <w:highlight w:val="none"/>
          <w:lang w:eastAsia="ru-RU"/>
        </w:rPr>
      </w:pPr>
      <w:bookmarkStart w:id="82" w:name="_Toc153923975"/>
      <w:r>
        <w:rPr>
          <w:highlight w:val="none"/>
          <w:lang w:eastAsia="ru-RU"/>
        </w:rPr>
        <w:t>Додаток Г</w:t>
      </w:r>
      <w:bookmarkEnd w:id="82"/>
    </w:p>
    <w:p w14:paraId="16D4513E">
      <w:pPr>
        <w:pStyle w:val="3"/>
        <w:jc w:val="right"/>
        <w:rPr>
          <w:highlight w:val="none"/>
          <w:lang w:eastAsia="ru-RU"/>
        </w:rPr>
      </w:pPr>
    </w:p>
    <w:sectPr>
      <w:headerReference r:id="rId5" w:type="default"/>
      <w:pgSz w:w="11906" w:h="16838"/>
      <w:pgMar w:top="1134" w:right="851" w:bottom="1134" w:left="1701" w:header="709" w:footer="709" w:gutter="0"/>
      <w:cols w:space="708" w:num="1"/>
      <w:titlePg/>
      <w:docGrid w:linePitch="381"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CC"/>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Calibri Light">
    <w:panose1 w:val="020F0302020204030204"/>
    <w:charset w:val="CC"/>
    <w:family w:val="swiss"/>
    <w:pitch w:val="default"/>
    <w:sig w:usb0="E4002EFF" w:usb1="C200247B" w:usb2="00000009" w:usb3="00000000" w:csb0="200001FF" w:csb1="00000000"/>
  </w:font>
  <w:font w:name="Segoe UI">
    <w:panose1 w:val="020B0502040204020203"/>
    <w:charset w:val="CC"/>
    <w:family w:val="swiss"/>
    <w:pitch w:val="default"/>
    <w:sig w:usb0="E4002EFF" w:usb1="C000E47F" w:usb2="00000009" w:usb3="00000000" w:csb0="200001FF" w:csb1="00000000"/>
  </w:font>
  <w:font w:name="Arial Unicode MS">
    <w:altName w:val="Arial"/>
    <w:panose1 w:val="020B0604020202020204"/>
    <w:charset w:val="80"/>
    <w:family w:val="swiss"/>
    <w:pitch w:val="default"/>
    <w:sig w:usb0="00000000" w:usb1="00000000" w:usb2="0000003F" w:usb3="00000000" w:csb0="003F01FF" w:csb1="00000000"/>
  </w:font>
  <w:font w:name="Arial">
    <w:panose1 w:val="020B0604020202020204"/>
    <w:charset w:val="CC"/>
    <w:family w:val="swiss"/>
    <w:pitch w:val="default"/>
    <w:sig w:usb0="E0002EFF" w:usb1="C000785B" w:usb2="00000009" w:usb3="00000000" w:csb0="400001FF" w:csb1="FFFF0000"/>
  </w:font>
  <w:font w:name="Calibri Light">
    <w:panose1 w:val="020F0302020204030204"/>
    <w:charset w:val="00"/>
    <w:family w:val="auto"/>
    <w:pitch w:val="default"/>
    <w:sig w:usb0="E4002EFF" w:usb1="C2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60" w:lineRule="auto"/>
      </w:pPr>
      <w:r>
        <w:separator/>
      </w:r>
    </w:p>
  </w:footnote>
  <w:footnote w:type="continuationSeparator" w:id="1">
    <w:p>
      <w:pPr>
        <w:spacing w:before="0" w:after="0"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83797692"/>
      <w:docPartObj>
        <w:docPartGallery w:val="AutoText"/>
      </w:docPartObj>
    </w:sdtPr>
    <w:sdtContent>
      <w:p w14:paraId="7D3D9CBE">
        <w:pPr>
          <w:pStyle w:val="18"/>
          <w:jc w:val="right"/>
        </w:pPr>
        <w:r>
          <w:fldChar w:fldCharType="begin"/>
        </w:r>
        <w:r>
          <w:instrText xml:space="preserve">PAGE   \* MERGEFORMAT</w:instrText>
        </w:r>
        <w:r>
          <w:fldChar w:fldCharType="separate"/>
        </w:r>
        <w:r>
          <w:rPr>
            <w:lang w:val="ru-RU"/>
          </w:rPr>
          <w:t>126</w:t>
        </w:r>
        <w:r>
          <w:rPr>
            <w:lang w:val="ru-RU"/>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7CA873"/>
    <w:multiLevelType w:val="singleLevel"/>
    <w:tmpl w:val="877CA873"/>
    <w:lvl w:ilvl="0" w:tentative="0">
      <w:start w:val="1"/>
      <w:numFmt w:val="decimal"/>
      <w:suff w:val="space"/>
      <w:lvlText w:val="%1."/>
      <w:lvlJc w:val="left"/>
      <w:pPr>
        <w:ind w:left="131"/>
      </w:pPr>
    </w:lvl>
  </w:abstractNum>
  <w:abstractNum w:abstractNumId="1">
    <w:nsid w:val="07D2237D"/>
    <w:multiLevelType w:val="multilevel"/>
    <w:tmpl w:val="07D2237D"/>
    <w:lvl w:ilvl="0" w:tentative="0">
      <w:start w:val="1"/>
      <w:numFmt w:val="decimal"/>
      <w:lvlText w:val="%1."/>
      <w:lvlJc w:val="left"/>
      <w:pPr>
        <w:ind w:left="1429" w:hanging="360"/>
      </w:pPr>
      <w:rPr>
        <w:rFonts w:hint="default"/>
        <w:b w:val="0"/>
        <w:bCs/>
      </w:rPr>
    </w:lvl>
    <w:lvl w:ilvl="1" w:tentative="0">
      <w:start w:val="1"/>
      <w:numFmt w:val="lowerLetter"/>
      <w:lvlText w:val="%2."/>
      <w:lvlJc w:val="left"/>
      <w:pPr>
        <w:ind w:left="2149" w:hanging="360"/>
      </w:pPr>
    </w:lvl>
    <w:lvl w:ilvl="2" w:tentative="0">
      <w:start w:val="1"/>
      <w:numFmt w:val="lowerRoman"/>
      <w:lvlText w:val="%3."/>
      <w:lvlJc w:val="right"/>
      <w:pPr>
        <w:ind w:left="2869" w:hanging="180"/>
      </w:pPr>
    </w:lvl>
    <w:lvl w:ilvl="3" w:tentative="0">
      <w:start w:val="1"/>
      <w:numFmt w:val="decimal"/>
      <w:lvlText w:val="%4."/>
      <w:lvlJc w:val="left"/>
      <w:pPr>
        <w:ind w:left="3589" w:hanging="360"/>
      </w:pPr>
    </w:lvl>
    <w:lvl w:ilvl="4" w:tentative="0">
      <w:start w:val="1"/>
      <w:numFmt w:val="lowerLetter"/>
      <w:lvlText w:val="%5."/>
      <w:lvlJc w:val="left"/>
      <w:pPr>
        <w:ind w:left="4309" w:hanging="360"/>
      </w:pPr>
    </w:lvl>
    <w:lvl w:ilvl="5" w:tentative="0">
      <w:start w:val="1"/>
      <w:numFmt w:val="lowerRoman"/>
      <w:lvlText w:val="%6."/>
      <w:lvlJc w:val="right"/>
      <w:pPr>
        <w:ind w:left="5029" w:hanging="180"/>
      </w:pPr>
    </w:lvl>
    <w:lvl w:ilvl="6" w:tentative="0">
      <w:start w:val="1"/>
      <w:numFmt w:val="decimal"/>
      <w:lvlText w:val="%7."/>
      <w:lvlJc w:val="left"/>
      <w:pPr>
        <w:ind w:left="5749" w:hanging="360"/>
      </w:pPr>
    </w:lvl>
    <w:lvl w:ilvl="7" w:tentative="0">
      <w:start w:val="1"/>
      <w:numFmt w:val="lowerLetter"/>
      <w:lvlText w:val="%8."/>
      <w:lvlJc w:val="left"/>
      <w:pPr>
        <w:ind w:left="6469" w:hanging="360"/>
      </w:pPr>
    </w:lvl>
    <w:lvl w:ilvl="8" w:tentative="0">
      <w:start w:val="1"/>
      <w:numFmt w:val="lowerRoman"/>
      <w:lvlText w:val="%9."/>
      <w:lvlJc w:val="right"/>
      <w:pPr>
        <w:ind w:left="7189" w:hanging="180"/>
      </w:pPr>
    </w:lvl>
  </w:abstractNum>
  <w:abstractNum w:abstractNumId="2">
    <w:nsid w:val="360B7794"/>
    <w:multiLevelType w:val="multilevel"/>
    <w:tmpl w:val="360B7794"/>
    <w:lvl w:ilvl="0" w:tentative="0">
      <w:start w:val="1"/>
      <w:numFmt w:val="decimal"/>
      <w:lvlText w:val="%1."/>
      <w:lvlJc w:val="left"/>
      <w:pPr>
        <w:ind w:left="1429" w:hanging="360"/>
      </w:pPr>
    </w:lvl>
    <w:lvl w:ilvl="1" w:tentative="0">
      <w:start w:val="1"/>
      <w:numFmt w:val="lowerLetter"/>
      <w:lvlText w:val="%2."/>
      <w:lvlJc w:val="left"/>
      <w:pPr>
        <w:ind w:left="2149" w:hanging="360"/>
      </w:pPr>
    </w:lvl>
    <w:lvl w:ilvl="2" w:tentative="0">
      <w:start w:val="1"/>
      <w:numFmt w:val="lowerRoman"/>
      <w:lvlText w:val="%3."/>
      <w:lvlJc w:val="right"/>
      <w:pPr>
        <w:ind w:left="2869" w:hanging="180"/>
      </w:pPr>
    </w:lvl>
    <w:lvl w:ilvl="3" w:tentative="0">
      <w:start w:val="1"/>
      <w:numFmt w:val="decimal"/>
      <w:lvlText w:val="%4."/>
      <w:lvlJc w:val="left"/>
      <w:pPr>
        <w:ind w:left="3589" w:hanging="360"/>
      </w:pPr>
    </w:lvl>
    <w:lvl w:ilvl="4" w:tentative="0">
      <w:start w:val="1"/>
      <w:numFmt w:val="lowerLetter"/>
      <w:lvlText w:val="%5."/>
      <w:lvlJc w:val="left"/>
      <w:pPr>
        <w:ind w:left="4309" w:hanging="360"/>
      </w:pPr>
    </w:lvl>
    <w:lvl w:ilvl="5" w:tentative="0">
      <w:start w:val="1"/>
      <w:numFmt w:val="lowerRoman"/>
      <w:lvlText w:val="%6."/>
      <w:lvlJc w:val="right"/>
      <w:pPr>
        <w:ind w:left="5029" w:hanging="180"/>
      </w:pPr>
    </w:lvl>
    <w:lvl w:ilvl="6" w:tentative="0">
      <w:start w:val="1"/>
      <w:numFmt w:val="decimal"/>
      <w:lvlText w:val="%7."/>
      <w:lvlJc w:val="left"/>
      <w:pPr>
        <w:ind w:left="5749" w:hanging="360"/>
      </w:pPr>
    </w:lvl>
    <w:lvl w:ilvl="7" w:tentative="0">
      <w:start w:val="1"/>
      <w:numFmt w:val="lowerLetter"/>
      <w:lvlText w:val="%8."/>
      <w:lvlJc w:val="left"/>
      <w:pPr>
        <w:ind w:left="6469" w:hanging="360"/>
      </w:pPr>
    </w:lvl>
    <w:lvl w:ilvl="8" w:tentative="0">
      <w:start w:val="1"/>
      <w:numFmt w:val="lowerRoman"/>
      <w:lvlText w:val="%9."/>
      <w:lvlJc w:val="right"/>
      <w:pPr>
        <w:ind w:left="7189" w:hanging="180"/>
      </w:pPr>
    </w:lvl>
  </w:abstractNum>
  <w:abstractNum w:abstractNumId="3">
    <w:nsid w:val="60073F28"/>
    <w:multiLevelType w:val="multilevel"/>
    <w:tmpl w:val="60073F28"/>
    <w:lvl w:ilvl="0" w:tentative="0">
      <w:start w:val="1"/>
      <w:numFmt w:val="decimal"/>
      <w:lvlText w:val="%1."/>
      <w:lvlJc w:val="left"/>
      <w:pPr>
        <w:ind w:left="1429" w:hanging="360"/>
      </w:pPr>
    </w:lvl>
    <w:lvl w:ilvl="1" w:tentative="0">
      <w:start w:val="1"/>
      <w:numFmt w:val="lowerLetter"/>
      <w:lvlText w:val="%2."/>
      <w:lvlJc w:val="left"/>
      <w:pPr>
        <w:ind w:left="2149" w:hanging="360"/>
      </w:pPr>
    </w:lvl>
    <w:lvl w:ilvl="2" w:tentative="0">
      <w:start w:val="1"/>
      <w:numFmt w:val="lowerRoman"/>
      <w:lvlText w:val="%3."/>
      <w:lvlJc w:val="right"/>
      <w:pPr>
        <w:ind w:left="2869" w:hanging="180"/>
      </w:pPr>
    </w:lvl>
    <w:lvl w:ilvl="3" w:tentative="0">
      <w:start w:val="1"/>
      <w:numFmt w:val="decimal"/>
      <w:lvlText w:val="%4."/>
      <w:lvlJc w:val="left"/>
      <w:pPr>
        <w:ind w:left="3589" w:hanging="360"/>
      </w:pPr>
    </w:lvl>
    <w:lvl w:ilvl="4" w:tentative="0">
      <w:start w:val="1"/>
      <w:numFmt w:val="lowerLetter"/>
      <w:lvlText w:val="%5."/>
      <w:lvlJc w:val="left"/>
      <w:pPr>
        <w:ind w:left="4309" w:hanging="360"/>
      </w:pPr>
    </w:lvl>
    <w:lvl w:ilvl="5" w:tentative="0">
      <w:start w:val="1"/>
      <w:numFmt w:val="lowerRoman"/>
      <w:lvlText w:val="%6."/>
      <w:lvlJc w:val="right"/>
      <w:pPr>
        <w:ind w:left="5029" w:hanging="180"/>
      </w:pPr>
    </w:lvl>
    <w:lvl w:ilvl="6" w:tentative="0">
      <w:start w:val="1"/>
      <w:numFmt w:val="decimal"/>
      <w:lvlText w:val="%7."/>
      <w:lvlJc w:val="left"/>
      <w:pPr>
        <w:ind w:left="5749" w:hanging="360"/>
      </w:pPr>
    </w:lvl>
    <w:lvl w:ilvl="7" w:tentative="0">
      <w:start w:val="1"/>
      <w:numFmt w:val="lowerLetter"/>
      <w:lvlText w:val="%8."/>
      <w:lvlJc w:val="left"/>
      <w:pPr>
        <w:ind w:left="6469" w:hanging="360"/>
      </w:pPr>
    </w:lvl>
    <w:lvl w:ilvl="8" w:tentative="0">
      <w:start w:val="1"/>
      <w:numFmt w:val="lowerRoman"/>
      <w:lvlText w:val="%9."/>
      <w:lvlJc w:val="right"/>
      <w:pPr>
        <w:ind w:left="7189" w:hanging="180"/>
      </w:pPr>
    </w:lvl>
  </w:abstractNum>
  <w:abstractNum w:abstractNumId="4">
    <w:nsid w:val="78B178D9"/>
    <w:multiLevelType w:val="multilevel"/>
    <w:tmpl w:val="78B178D9"/>
    <w:lvl w:ilvl="0" w:tentative="0">
      <w:start w:val="1"/>
      <w:numFmt w:val="decimal"/>
      <w:lvlText w:val="%1."/>
      <w:lvlJc w:val="left"/>
      <w:pPr>
        <w:ind w:left="1429" w:hanging="360"/>
      </w:pPr>
    </w:lvl>
    <w:lvl w:ilvl="1" w:tentative="0">
      <w:start w:val="1"/>
      <w:numFmt w:val="lowerLetter"/>
      <w:lvlText w:val="%2."/>
      <w:lvlJc w:val="left"/>
      <w:pPr>
        <w:ind w:left="2149" w:hanging="360"/>
      </w:pPr>
    </w:lvl>
    <w:lvl w:ilvl="2" w:tentative="0">
      <w:start w:val="1"/>
      <w:numFmt w:val="lowerRoman"/>
      <w:lvlText w:val="%3."/>
      <w:lvlJc w:val="right"/>
      <w:pPr>
        <w:ind w:left="2869" w:hanging="180"/>
      </w:pPr>
    </w:lvl>
    <w:lvl w:ilvl="3" w:tentative="0">
      <w:start w:val="1"/>
      <w:numFmt w:val="decimal"/>
      <w:lvlText w:val="%4."/>
      <w:lvlJc w:val="left"/>
      <w:pPr>
        <w:ind w:left="3589" w:hanging="360"/>
      </w:pPr>
    </w:lvl>
    <w:lvl w:ilvl="4" w:tentative="0">
      <w:start w:val="1"/>
      <w:numFmt w:val="lowerLetter"/>
      <w:lvlText w:val="%5."/>
      <w:lvlJc w:val="left"/>
      <w:pPr>
        <w:ind w:left="4309" w:hanging="360"/>
      </w:pPr>
    </w:lvl>
    <w:lvl w:ilvl="5" w:tentative="0">
      <w:start w:val="1"/>
      <w:numFmt w:val="lowerRoman"/>
      <w:lvlText w:val="%6."/>
      <w:lvlJc w:val="right"/>
      <w:pPr>
        <w:ind w:left="5029" w:hanging="180"/>
      </w:pPr>
    </w:lvl>
    <w:lvl w:ilvl="6" w:tentative="0">
      <w:start w:val="1"/>
      <w:numFmt w:val="decimal"/>
      <w:lvlText w:val="%7."/>
      <w:lvlJc w:val="left"/>
      <w:pPr>
        <w:ind w:left="5749" w:hanging="360"/>
      </w:pPr>
    </w:lvl>
    <w:lvl w:ilvl="7" w:tentative="0">
      <w:start w:val="1"/>
      <w:numFmt w:val="lowerLetter"/>
      <w:lvlText w:val="%8."/>
      <w:lvlJc w:val="left"/>
      <w:pPr>
        <w:ind w:left="6469" w:hanging="360"/>
      </w:pPr>
    </w:lvl>
    <w:lvl w:ilvl="8" w:tentative="0">
      <w:start w:val="1"/>
      <w:numFmt w:val="lowerRoman"/>
      <w:lvlText w:val="%9."/>
      <w:lvlJc w:val="right"/>
      <w:pPr>
        <w:ind w:left="7189" w:hanging="180"/>
      </w:pPr>
    </w:lvl>
  </w:abstractNum>
  <w:abstractNum w:abstractNumId="5">
    <w:nsid w:val="79877621"/>
    <w:multiLevelType w:val="multilevel"/>
    <w:tmpl w:val="79877621"/>
    <w:lvl w:ilvl="0" w:tentative="0">
      <w:start w:val="1"/>
      <w:numFmt w:val="decimal"/>
      <w:lvlText w:val="%1."/>
      <w:lvlJc w:val="left"/>
      <w:pPr>
        <w:ind w:left="1429" w:hanging="360"/>
      </w:pPr>
    </w:lvl>
    <w:lvl w:ilvl="1" w:tentative="0">
      <w:start w:val="1"/>
      <w:numFmt w:val="lowerLetter"/>
      <w:lvlText w:val="%2."/>
      <w:lvlJc w:val="left"/>
      <w:pPr>
        <w:ind w:left="2149" w:hanging="360"/>
      </w:pPr>
    </w:lvl>
    <w:lvl w:ilvl="2" w:tentative="0">
      <w:start w:val="1"/>
      <w:numFmt w:val="lowerRoman"/>
      <w:lvlText w:val="%3."/>
      <w:lvlJc w:val="right"/>
      <w:pPr>
        <w:ind w:left="2869" w:hanging="180"/>
      </w:pPr>
    </w:lvl>
    <w:lvl w:ilvl="3" w:tentative="0">
      <w:start w:val="1"/>
      <w:numFmt w:val="decimal"/>
      <w:lvlText w:val="%4."/>
      <w:lvlJc w:val="left"/>
      <w:pPr>
        <w:ind w:left="3589" w:hanging="360"/>
      </w:pPr>
    </w:lvl>
    <w:lvl w:ilvl="4" w:tentative="0">
      <w:start w:val="1"/>
      <w:numFmt w:val="lowerLetter"/>
      <w:lvlText w:val="%5."/>
      <w:lvlJc w:val="left"/>
      <w:pPr>
        <w:ind w:left="4309" w:hanging="360"/>
      </w:pPr>
    </w:lvl>
    <w:lvl w:ilvl="5" w:tentative="0">
      <w:start w:val="1"/>
      <w:numFmt w:val="lowerRoman"/>
      <w:lvlText w:val="%6."/>
      <w:lvlJc w:val="right"/>
      <w:pPr>
        <w:ind w:left="5029" w:hanging="180"/>
      </w:pPr>
    </w:lvl>
    <w:lvl w:ilvl="6" w:tentative="0">
      <w:start w:val="1"/>
      <w:numFmt w:val="decimal"/>
      <w:lvlText w:val="%7."/>
      <w:lvlJc w:val="left"/>
      <w:pPr>
        <w:ind w:left="5749" w:hanging="360"/>
      </w:pPr>
    </w:lvl>
    <w:lvl w:ilvl="7" w:tentative="0">
      <w:start w:val="1"/>
      <w:numFmt w:val="lowerLetter"/>
      <w:lvlText w:val="%8."/>
      <w:lvlJc w:val="left"/>
      <w:pPr>
        <w:ind w:left="6469" w:hanging="360"/>
      </w:pPr>
    </w:lvl>
    <w:lvl w:ilvl="8" w:tentative="0">
      <w:start w:val="1"/>
      <w:numFmt w:val="lowerRoman"/>
      <w:lvlText w:val="%9."/>
      <w:lvlJc w:val="right"/>
      <w:pPr>
        <w:ind w:left="7189" w:hanging="180"/>
      </w:pPr>
    </w:lvl>
  </w:abstractNum>
  <w:abstractNum w:abstractNumId="6">
    <w:nsid w:val="7FA94263"/>
    <w:multiLevelType w:val="multilevel"/>
    <w:tmpl w:val="7FA94263"/>
    <w:lvl w:ilvl="0" w:tentative="0">
      <w:start w:val="1"/>
      <w:numFmt w:val="decimal"/>
      <w:lvlText w:val="%1."/>
      <w:lvlJc w:val="left"/>
      <w:pPr>
        <w:ind w:left="1429" w:hanging="360"/>
      </w:pPr>
      <w:rPr>
        <w:sz w:val="28"/>
        <w:szCs w:val="28"/>
      </w:rPr>
    </w:lvl>
    <w:lvl w:ilvl="1" w:tentative="0">
      <w:start w:val="1"/>
      <w:numFmt w:val="lowerLetter"/>
      <w:lvlText w:val="%2."/>
      <w:lvlJc w:val="left"/>
      <w:pPr>
        <w:ind w:left="2149" w:hanging="360"/>
      </w:pPr>
    </w:lvl>
    <w:lvl w:ilvl="2" w:tentative="0">
      <w:start w:val="1"/>
      <w:numFmt w:val="lowerRoman"/>
      <w:lvlText w:val="%3."/>
      <w:lvlJc w:val="right"/>
      <w:pPr>
        <w:ind w:left="2869" w:hanging="180"/>
      </w:pPr>
    </w:lvl>
    <w:lvl w:ilvl="3" w:tentative="0">
      <w:start w:val="1"/>
      <w:numFmt w:val="decimal"/>
      <w:lvlText w:val="%4."/>
      <w:lvlJc w:val="left"/>
      <w:pPr>
        <w:ind w:left="3589" w:hanging="360"/>
      </w:pPr>
    </w:lvl>
    <w:lvl w:ilvl="4" w:tentative="0">
      <w:start w:val="1"/>
      <w:numFmt w:val="lowerLetter"/>
      <w:lvlText w:val="%5."/>
      <w:lvlJc w:val="left"/>
      <w:pPr>
        <w:ind w:left="4309" w:hanging="360"/>
      </w:pPr>
    </w:lvl>
    <w:lvl w:ilvl="5" w:tentative="0">
      <w:start w:val="1"/>
      <w:numFmt w:val="lowerRoman"/>
      <w:lvlText w:val="%6."/>
      <w:lvlJc w:val="right"/>
      <w:pPr>
        <w:ind w:left="5029" w:hanging="180"/>
      </w:pPr>
    </w:lvl>
    <w:lvl w:ilvl="6" w:tentative="0">
      <w:start w:val="1"/>
      <w:numFmt w:val="decimal"/>
      <w:lvlText w:val="%7."/>
      <w:lvlJc w:val="left"/>
      <w:pPr>
        <w:ind w:left="5749" w:hanging="360"/>
      </w:pPr>
    </w:lvl>
    <w:lvl w:ilvl="7" w:tentative="0">
      <w:start w:val="1"/>
      <w:numFmt w:val="lowerLetter"/>
      <w:lvlText w:val="%8."/>
      <w:lvlJc w:val="left"/>
      <w:pPr>
        <w:ind w:left="6469" w:hanging="360"/>
      </w:pPr>
    </w:lvl>
    <w:lvl w:ilvl="8" w:tentative="0">
      <w:start w:val="1"/>
      <w:numFmt w:val="lowerRoman"/>
      <w:lvlText w:val="%9."/>
      <w:lvlJc w:val="right"/>
      <w:pPr>
        <w:ind w:left="7189" w:hanging="180"/>
      </w:pPr>
    </w:lvl>
  </w:abstractNum>
  <w:num w:numId="1">
    <w:abstractNumId w:val="2"/>
  </w:num>
  <w:num w:numId="2">
    <w:abstractNumId w:val="1"/>
  </w:num>
  <w:num w:numId="3">
    <w:abstractNumId w:val="5"/>
  </w:num>
  <w:num w:numId="4">
    <w:abstractNumId w:val="6"/>
  </w:num>
  <w:num w:numId="5">
    <w:abstractNumId w:val="3"/>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hideSpellingErrors/>
  <w:documentProtection w:enforcement="0"/>
  <w:defaultTabStop w:val="708"/>
  <w:hyphenationZone w:val="425"/>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2"/>
  </w:compat>
  <w:rsids>
    <w:rsidRoot w:val="004F2087"/>
    <w:rsid w:val="00001B24"/>
    <w:rsid w:val="000021C1"/>
    <w:rsid w:val="00002421"/>
    <w:rsid w:val="00002E3C"/>
    <w:rsid w:val="000041C8"/>
    <w:rsid w:val="00006D50"/>
    <w:rsid w:val="00007C1B"/>
    <w:rsid w:val="00011560"/>
    <w:rsid w:val="00011FE1"/>
    <w:rsid w:val="00012068"/>
    <w:rsid w:val="00015E01"/>
    <w:rsid w:val="000163D4"/>
    <w:rsid w:val="00016BBE"/>
    <w:rsid w:val="00017DF0"/>
    <w:rsid w:val="000203D1"/>
    <w:rsid w:val="00020925"/>
    <w:rsid w:val="00020C5B"/>
    <w:rsid w:val="0002135E"/>
    <w:rsid w:val="00024B0B"/>
    <w:rsid w:val="00024C08"/>
    <w:rsid w:val="0002564C"/>
    <w:rsid w:val="000257D9"/>
    <w:rsid w:val="000261B9"/>
    <w:rsid w:val="00027A36"/>
    <w:rsid w:val="0003442E"/>
    <w:rsid w:val="000367B6"/>
    <w:rsid w:val="00036AC1"/>
    <w:rsid w:val="00040718"/>
    <w:rsid w:val="00042367"/>
    <w:rsid w:val="000435CE"/>
    <w:rsid w:val="00043EC6"/>
    <w:rsid w:val="00044821"/>
    <w:rsid w:val="00044EF9"/>
    <w:rsid w:val="00044FAE"/>
    <w:rsid w:val="00053477"/>
    <w:rsid w:val="000576D1"/>
    <w:rsid w:val="00057E2E"/>
    <w:rsid w:val="00062046"/>
    <w:rsid w:val="00063D3A"/>
    <w:rsid w:val="00066EF5"/>
    <w:rsid w:val="00067F43"/>
    <w:rsid w:val="00070638"/>
    <w:rsid w:val="0007281E"/>
    <w:rsid w:val="00073B03"/>
    <w:rsid w:val="00074BAB"/>
    <w:rsid w:val="00074E5D"/>
    <w:rsid w:val="0007509A"/>
    <w:rsid w:val="000758B4"/>
    <w:rsid w:val="00080435"/>
    <w:rsid w:val="00081350"/>
    <w:rsid w:val="00083825"/>
    <w:rsid w:val="00083B9C"/>
    <w:rsid w:val="00086CD4"/>
    <w:rsid w:val="00087A20"/>
    <w:rsid w:val="00087CF4"/>
    <w:rsid w:val="00090A03"/>
    <w:rsid w:val="00091BBE"/>
    <w:rsid w:val="0009283E"/>
    <w:rsid w:val="000961BD"/>
    <w:rsid w:val="000970CE"/>
    <w:rsid w:val="00097DB9"/>
    <w:rsid w:val="000A0B79"/>
    <w:rsid w:val="000A482A"/>
    <w:rsid w:val="000A4D6D"/>
    <w:rsid w:val="000B2FB8"/>
    <w:rsid w:val="000B37F8"/>
    <w:rsid w:val="000B4FEF"/>
    <w:rsid w:val="000C02F5"/>
    <w:rsid w:val="000C6553"/>
    <w:rsid w:val="000C7F5A"/>
    <w:rsid w:val="000D153C"/>
    <w:rsid w:val="000D1E81"/>
    <w:rsid w:val="000D2F91"/>
    <w:rsid w:val="000D3787"/>
    <w:rsid w:val="000D3EDD"/>
    <w:rsid w:val="000D4CA9"/>
    <w:rsid w:val="000E0257"/>
    <w:rsid w:val="000E1BC5"/>
    <w:rsid w:val="000E4184"/>
    <w:rsid w:val="000E45DC"/>
    <w:rsid w:val="000E6BE4"/>
    <w:rsid w:val="000E6E4A"/>
    <w:rsid w:val="000F05A4"/>
    <w:rsid w:val="000F156E"/>
    <w:rsid w:val="000F3E9F"/>
    <w:rsid w:val="000F4FBF"/>
    <w:rsid w:val="00100FF7"/>
    <w:rsid w:val="00104B8D"/>
    <w:rsid w:val="00104EA7"/>
    <w:rsid w:val="00105F1C"/>
    <w:rsid w:val="0010638A"/>
    <w:rsid w:val="00107824"/>
    <w:rsid w:val="00107E58"/>
    <w:rsid w:val="00110623"/>
    <w:rsid w:val="00112FCA"/>
    <w:rsid w:val="00112FD8"/>
    <w:rsid w:val="001136B3"/>
    <w:rsid w:val="00113E6F"/>
    <w:rsid w:val="001145C6"/>
    <w:rsid w:val="00116156"/>
    <w:rsid w:val="00116DAB"/>
    <w:rsid w:val="001179E6"/>
    <w:rsid w:val="00123243"/>
    <w:rsid w:val="00123A7A"/>
    <w:rsid w:val="0012408D"/>
    <w:rsid w:val="00124144"/>
    <w:rsid w:val="00124D87"/>
    <w:rsid w:val="001268DD"/>
    <w:rsid w:val="001313AE"/>
    <w:rsid w:val="001330C0"/>
    <w:rsid w:val="0013373A"/>
    <w:rsid w:val="00134181"/>
    <w:rsid w:val="00135F81"/>
    <w:rsid w:val="00137E27"/>
    <w:rsid w:val="00141C87"/>
    <w:rsid w:val="00142335"/>
    <w:rsid w:val="0014322A"/>
    <w:rsid w:val="001442D9"/>
    <w:rsid w:val="001446EE"/>
    <w:rsid w:val="001458A2"/>
    <w:rsid w:val="00147B3F"/>
    <w:rsid w:val="00152A78"/>
    <w:rsid w:val="00156AD4"/>
    <w:rsid w:val="00157173"/>
    <w:rsid w:val="001612D5"/>
    <w:rsid w:val="001614F2"/>
    <w:rsid w:val="0016156A"/>
    <w:rsid w:val="0016315E"/>
    <w:rsid w:val="0016395B"/>
    <w:rsid w:val="00163CF8"/>
    <w:rsid w:val="00163DCA"/>
    <w:rsid w:val="001649D6"/>
    <w:rsid w:val="00170190"/>
    <w:rsid w:val="0017058A"/>
    <w:rsid w:val="0017143A"/>
    <w:rsid w:val="001722AA"/>
    <w:rsid w:val="00174EF2"/>
    <w:rsid w:val="00177776"/>
    <w:rsid w:val="00181644"/>
    <w:rsid w:val="00184772"/>
    <w:rsid w:val="00185B7B"/>
    <w:rsid w:val="001917E0"/>
    <w:rsid w:val="00191FED"/>
    <w:rsid w:val="00193ECE"/>
    <w:rsid w:val="00195DBF"/>
    <w:rsid w:val="001A1A06"/>
    <w:rsid w:val="001A4A85"/>
    <w:rsid w:val="001A6F19"/>
    <w:rsid w:val="001B2BAB"/>
    <w:rsid w:val="001B4C69"/>
    <w:rsid w:val="001B4DBC"/>
    <w:rsid w:val="001B5C6E"/>
    <w:rsid w:val="001B71D2"/>
    <w:rsid w:val="001B7CCD"/>
    <w:rsid w:val="001C1DFD"/>
    <w:rsid w:val="001C3796"/>
    <w:rsid w:val="001D2965"/>
    <w:rsid w:val="001D2B47"/>
    <w:rsid w:val="001D3E87"/>
    <w:rsid w:val="001D4418"/>
    <w:rsid w:val="001D522E"/>
    <w:rsid w:val="001E0121"/>
    <w:rsid w:val="001E0B56"/>
    <w:rsid w:val="001E2964"/>
    <w:rsid w:val="001E3A47"/>
    <w:rsid w:val="001E3B38"/>
    <w:rsid w:val="001E4470"/>
    <w:rsid w:val="001E4E53"/>
    <w:rsid w:val="001E6329"/>
    <w:rsid w:val="001E6F55"/>
    <w:rsid w:val="001E70E7"/>
    <w:rsid w:val="001F2AAA"/>
    <w:rsid w:val="001F3C19"/>
    <w:rsid w:val="001F4FD0"/>
    <w:rsid w:val="001F57BB"/>
    <w:rsid w:val="001F6978"/>
    <w:rsid w:val="00202907"/>
    <w:rsid w:val="00203F79"/>
    <w:rsid w:val="00207A54"/>
    <w:rsid w:val="002111CA"/>
    <w:rsid w:val="00211952"/>
    <w:rsid w:val="00211E5B"/>
    <w:rsid w:val="002124B0"/>
    <w:rsid w:val="002128A1"/>
    <w:rsid w:val="0021328B"/>
    <w:rsid w:val="0021379F"/>
    <w:rsid w:val="0021564B"/>
    <w:rsid w:val="00220B29"/>
    <w:rsid w:val="00223997"/>
    <w:rsid w:val="00224928"/>
    <w:rsid w:val="00224995"/>
    <w:rsid w:val="0022670E"/>
    <w:rsid w:val="002273EB"/>
    <w:rsid w:val="00230488"/>
    <w:rsid w:val="00231D93"/>
    <w:rsid w:val="0023409E"/>
    <w:rsid w:val="0023435C"/>
    <w:rsid w:val="002372B4"/>
    <w:rsid w:val="002430C2"/>
    <w:rsid w:val="00244044"/>
    <w:rsid w:val="0024509B"/>
    <w:rsid w:val="0024572D"/>
    <w:rsid w:val="00246279"/>
    <w:rsid w:val="0025271D"/>
    <w:rsid w:val="002533A6"/>
    <w:rsid w:val="002541F5"/>
    <w:rsid w:val="00257040"/>
    <w:rsid w:val="0026072E"/>
    <w:rsid w:val="00260D24"/>
    <w:rsid w:val="00261292"/>
    <w:rsid w:val="00264CE2"/>
    <w:rsid w:val="00271A29"/>
    <w:rsid w:val="00272005"/>
    <w:rsid w:val="00273F11"/>
    <w:rsid w:val="0027455F"/>
    <w:rsid w:val="00274E79"/>
    <w:rsid w:val="00277162"/>
    <w:rsid w:val="00281C49"/>
    <w:rsid w:val="00284B0E"/>
    <w:rsid w:val="00285799"/>
    <w:rsid w:val="00286814"/>
    <w:rsid w:val="00287C81"/>
    <w:rsid w:val="00287DA5"/>
    <w:rsid w:val="002910E7"/>
    <w:rsid w:val="0029177C"/>
    <w:rsid w:val="00291AC8"/>
    <w:rsid w:val="00292A0F"/>
    <w:rsid w:val="00294681"/>
    <w:rsid w:val="00295014"/>
    <w:rsid w:val="002967BC"/>
    <w:rsid w:val="00296FA2"/>
    <w:rsid w:val="00296FBE"/>
    <w:rsid w:val="002A05F9"/>
    <w:rsid w:val="002A214F"/>
    <w:rsid w:val="002A2152"/>
    <w:rsid w:val="002A462F"/>
    <w:rsid w:val="002A4A5D"/>
    <w:rsid w:val="002A6EAF"/>
    <w:rsid w:val="002B00A0"/>
    <w:rsid w:val="002B0D93"/>
    <w:rsid w:val="002B4536"/>
    <w:rsid w:val="002B5728"/>
    <w:rsid w:val="002B6AC6"/>
    <w:rsid w:val="002B7065"/>
    <w:rsid w:val="002B7657"/>
    <w:rsid w:val="002C4C18"/>
    <w:rsid w:val="002C5C08"/>
    <w:rsid w:val="002C78A4"/>
    <w:rsid w:val="002C7DD5"/>
    <w:rsid w:val="002D1681"/>
    <w:rsid w:val="002D17FE"/>
    <w:rsid w:val="002D3344"/>
    <w:rsid w:val="002D6D66"/>
    <w:rsid w:val="002D6E42"/>
    <w:rsid w:val="002E1DDF"/>
    <w:rsid w:val="002E2E61"/>
    <w:rsid w:val="002E6D2D"/>
    <w:rsid w:val="002E7799"/>
    <w:rsid w:val="002F081A"/>
    <w:rsid w:val="002F219F"/>
    <w:rsid w:val="002F4101"/>
    <w:rsid w:val="002F5224"/>
    <w:rsid w:val="002F5B93"/>
    <w:rsid w:val="002F6350"/>
    <w:rsid w:val="002F6EBC"/>
    <w:rsid w:val="0030054A"/>
    <w:rsid w:val="003034BA"/>
    <w:rsid w:val="00303A0E"/>
    <w:rsid w:val="00304677"/>
    <w:rsid w:val="00304804"/>
    <w:rsid w:val="00304989"/>
    <w:rsid w:val="00306570"/>
    <w:rsid w:val="00306722"/>
    <w:rsid w:val="003103A8"/>
    <w:rsid w:val="00310490"/>
    <w:rsid w:val="00314D85"/>
    <w:rsid w:val="00315877"/>
    <w:rsid w:val="00315BE6"/>
    <w:rsid w:val="0031693A"/>
    <w:rsid w:val="00316AF3"/>
    <w:rsid w:val="00317810"/>
    <w:rsid w:val="00317B9E"/>
    <w:rsid w:val="003204BA"/>
    <w:rsid w:val="00321AD3"/>
    <w:rsid w:val="00321CCB"/>
    <w:rsid w:val="00321CD8"/>
    <w:rsid w:val="00323377"/>
    <w:rsid w:val="003252C5"/>
    <w:rsid w:val="00327079"/>
    <w:rsid w:val="003276B8"/>
    <w:rsid w:val="0032770D"/>
    <w:rsid w:val="003323E4"/>
    <w:rsid w:val="00335962"/>
    <w:rsid w:val="00337D3C"/>
    <w:rsid w:val="00341815"/>
    <w:rsid w:val="00343906"/>
    <w:rsid w:val="00345275"/>
    <w:rsid w:val="00345786"/>
    <w:rsid w:val="00345E9A"/>
    <w:rsid w:val="00347097"/>
    <w:rsid w:val="00347471"/>
    <w:rsid w:val="00347E26"/>
    <w:rsid w:val="00350BC3"/>
    <w:rsid w:val="0035579E"/>
    <w:rsid w:val="00355909"/>
    <w:rsid w:val="003568DA"/>
    <w:rsid w:val="00360247"/>
    <w:rsid w:val="0036336B"/>
    <w:rsid w:val="00366A64"/>
    <w:rsid w:val="00366F7D"/>
    <w:rsid w:val="003671F0"/>
    <w:rsid w:val="003718A4"/>
    <w:rsid w:val="003731BB"/>
    <w:rsid w:val="003736DC"/>
    <w:rsid w:val="00374B8C"/>
    <w:rsid w:val="00374D48"/>
    <w:rsid w:val="003801CE"/>
    <w:rsid w:val="00381A8C"/>
    <w:rsid w:val="00386C47"/>
    <w:rsid w:val="00391A99"/>
    <w:rsid w:val="003927E3"/>
    <w:rsid w:val="00392B39"/>
    <w:rsid w:val="0039389F"/>
    <w:rsid w:val="00394051"/>
    <w:rsid w:val="003955C0"/>
    <w:rsid w:val="00397EC0"/>
    <w:rsid w:val="003A3A4D"/>
    <w:rsid w:val="003A3C3C"/>
    <w:rsid w:val="003A410D"/>
    <w:rsid w:val="003A42FB"/>
    <w:rsid w:val="003B0617"/>
    <w:rsid w:val="003B16C5"/>
    <w:rsid w:val="003B21FE"/>
    <w:rsid w:val="003B3AAF"/>
    <w:rsid w:val="003B3CAD"/>
    <w:rsid w:val="003B45F0"/>
    <w:rsid w:val="003B5157"/>
    <w:rsid w:val="003B648A"/>
    <w:rsid w:val="003B64BF"/>
    <w:rsid w:val="003C420B"/>
    <w:rsid w:val="003C5012"/>
    <w:rsid w:val="003C7714"/>
    <w:rsid w:val="003C7A5A"/>
    <w:rsid w:val="003D1937"/>
    <w:rsid w:val="003D1EDB"/>
    <w:rsid w:val="003D5762"/>
    <w:rsid w:val="003D5BE3"/>
    <w:rsid w:val="003D5CDB"/>
    <w:rsid w:val="003D6C50"/>
    <w:rsid w:val="003E0740"/>
    <w:rsid w:val="003E2C2F"/>
    <w:rsid w:val="003E2FE3"/>
    <w:rsid w:val="003E377B"/>
    <w:rsid w:val="003E5561"/>
    <w:rsid w:val="003E5580"/>
    <w:rsid w:val="003E6DC6"/>
    <w:rsid w:val="003E7C8B"/>
    <w:rsid w:val="003F1840"/>
    <w:rsid w:val="003F4515"/>
    <w:rsid w:val="003F63C0"/>
    <w:rsid w:val="003F7F93"/>
    <w:rsid w:val="004007E2"/>
    <w:rsid w:val="00400EB7"/>
    <w:rsid w:val="004038FE"/>
    <w:rsid w:val="00403D7B"/>
    <w:rsid w:val="00404DFC"/>
    <w:rsid w:val="00405EDD"/>
    <w:rsid w:val="004108C8"/>
    <w:rsid w:val="0041245A"/>
    <w:rsid w:val="00412D87"/>
    <w:rsid w:val="004137A6"/>
    <w:rsid w:val="00413AE7"/>
    <w:rsid w:val="004235C0"/>
    <w:rsid w:val="00423CCD"/>
    <w:rsid w:val="00424AFF"/>
    <w:rsid w:val="0043093A"/>
    <w:rsid w:val="00430DA1"/>
    <w:rsid w:val="00430F48"/>
    <w:rsid w:val="0043115F"/>
    <w:rsid w:val="00431F46"/>
    <w:rsid w:val="00433EDE"/>
    <w:rsid w:val="00434E4E"/>
    <w:rsid w:val="00437652"/>
    <w:rsid w:val="0043780B"/>
    <w:rsid w:val="00437909"/>
    <w:rsid w:val="00437C2A"/>
    <w:rsid w:val="004459BD"/>
    <w:rsid w:val="00446431"/>
    <w:rsid w:val="00450102"/>
    <w:rsid w:val="004528B9"/>
    <w:rsid w:val="00455AB1"/>
    <w:rsid w:val="00462140"/>
    <w:rsid w:val="0046260E"/>
    <w:rsid w:val="00462630"/>
    <w:rsid w:val="00462EB9"/>
    <w:rsid w:val="00462F52"/>
    <w:rsid w:val="00464DD7"/>
    <w:rsid w:val="00467079"/>
    <w:rsid w:val="0046760B"/>
    <w:rsid w:val="00470717"/>
    <w:rsid w:val="00474013"/>
    <w:rsid w:val="0047524C"/>
    <w:rsid w:val="004758AD"/>
    <w:rsid w:val="004761FE"/>
    <w:rsid w:val="00477108"/>
    <w:rsid w:val="0048441A"/>
    <w:rsid w:val="004846A9"/>
    <w:rsid w:val="00484F77"/>
    <w:rsid w:val="00486FAD"/>
    <w:rsid w:val="00487840"/>
    <w:rsid w:val="00487930"/>
    <w:rsid w:val="00487AE7"/>
    <w:rsid w:val="004910E2"/>
    <w:rsid w:val="0049187B"/>
    <w:rsid w:val="00492C2D"/>
    <w:rsid w:val="0049306A"/>
    <w:rsid w:val="0049489A"/>
    <w:rsid w:val="004958B0"/>
    <w:rsid w:val="00495B7F"/>
    <w:rsid w:val="00495D35"/>
    <w:rsid w:val="00496C1A"/>
    <w:rsid w:val="004A04AB"/>
    <w:rsid w:val="004A0632"/>
    <w:rsid w:val="004A1BA7"/>
    <w:rsid w:val="004A1E38"/>
    <w:rsid w:val="004A2208"/>
    <w:rsid w:val="004A2D71"/>
    <w:rsid w:val="004A38EE"/>
    <w:rsid w:val="004A5C1A"/>
    <w:rsid w:val="004A7DBE"/>
    <w:rsid w:val="004B24FA"/>
    <w:rsid w:val="004B3F55"/>
    <w:rsid w:val="004B7B69"/>
    <w:rsid w:val="004B7C81"/>
    <w:rsid w:val="004C0693"/>
    <w:rsid w:val="004C15E0"/>
    <w:rsid w:val="004C48C9"/>
    <w:rsid w:val="004C5021"/>
    <w:rsid w:val="004C61FF"/>
    <w:rsid w:val="004C71D2"/>
    <w:rsid w:val="004D0256"/>
    <w:rsid w:val="004D08E9"/>
    <w:rsid w:val="004D122D"/>
    <w:rsid w:val="004D1342"/>
    <w:rsid w:val="004D1B34"/>
    <w:rsid w:val="004D230C"/>
    <w:rsid w:val="004D31F3"/>
    <w:rsid w:val="004D5BBD"/>
    <w:rsid w:val="004D7B07"/>
    <w:rsid w:val="004E098E"/>
    <w:rsid w:val="004E4046"/>
    <w:rsid w:val="004E44F3"/>
    <w:rsid w:val="004E456A"/>
    <w:rsid w:val="004E46E8"/>
    <w:rsid w:val="004E4952"/>
    <w:rsid w:val="004E5298"/>
    <w:rsid w:val="004F0093"/>
    <w:rsid w:val="004F2087"/>
    <w:rsid w:val="004F2790"/>
    <w:rsid w:val="004F3E71"/>
    <w:rsid w:val="004F4384"/>
    <w:rsid w:val="004F45A0"/>
    <w:rsid w:val="004F5713"/>
    <w:rsid w:val="004F6020"/>
    <w:rsid w:val="004F658F"/>
    <w:rsid w:val="004F6C98"/>
    <w:rsid w:val="004F7553"/>
    <w:rsid w:val="005028F7"/>
    <w:rsid w:val="00506F77"/>
    <w:rsid w:val="00507E31"/>
    <w:rsid w:val="00510345"/>
    <w:rsid w:val="0051354D"/>
    <w:rsid w:val="005140AF"/>
    <w:rsid w:val="0051456F"/>
    <w:rsid w:val="00514D19"/>
    <w:rsid w:val="0051535B"/>
    <w:rsid w:val="0051554F"/>
    <w:rsid w:val="00516F19"/>
    <w:rsid w:val="00521BBF"/>
    <w:rsid w:val="005228EA"/>
    <w:rsid w:val="00524A53"/>
    <w:rsid w:val="00525ADE"/>
    <w:rsid w:val="00525F80"/>
    <w:rsid w:val="00527E94"/>
    <w:rsid w:val="0053060F"/>
    <w:rsid w:val="00530F13"/>
    <w:rsid w:val="005323D9"/>
    <w:rsid w:val="00533D7F"/>
    <w:rsid w:val="00536D7E"/>
    <w:rsid w:val="005374C0"/>
    <w:rsid w:val="005415A2"/>
    <w:rsid w:val="00541F4A"/>
    <w:rsid w:val="005420BA"/>
    <w:rsid w:val="00544884"/>
    <w:rsid w:val="005448CE"/>
    <w:rsid w:val="005449FF"/>
    <w:rsid w:val="00545F53"/>
    <w:rsid w:val="00550F3D"/>
    <w:rsid w:val="005556B9"/>
    <w:rsid w:val="005566D3"/>
    <w:rsid w:val="00557BB7"/>
    <w:rsid w:val="00560469"/>
    <w:rsid w:val="00560732"/>
    <w:rsid w:val="0056374B"/>
    <w:rsid w:val="00564D83"/>
    <w:rsid w:val="00565009"/>
    <w:rsid w:val="00565D29"/>
    <w:rsid w:val="00566A5A"/>
    <w:rsid w:val="0056733A"/>
    <w:rsid w:val="0057555C"/>
    <w:rsid w:val="00582B4E"/>
    <w:rsid w:val="00583A87"/>
    <w:rsid w:val="00584F81"/>
    <w:rsid w:val="00585F7F"/>
    <w:rsid w:val="0058638D"/>
    <w:rsid w:val="005866CC"/>
    <w:rsid w:val="005902EF"/>
    <w:rsid w:val="0059159C"/>
    <w:rsid w:val="00592503"/>
    <w:rsid w:val="00593254"/>
    <w:rsid w:val="0059483E"/>
    <w:rsid w:val="00595A56"/>
    <w:rsid w:val="0059637E"/>
    <w:rsid w:val="0059761D"/>
    <w:rsid w:val="005A1685"/>
    <w:rsid w:val="005A1BD9"/>
    <w:rsid w:val="005A1D74"/>
    <w:rsid w:val="005A2D76"/>
    <w:rsid w:val="005A2F0A"/>
    <w:rsid w:val="005A3F24"/>
    <w:rsid w:val="005A5BFC"/>
    <w:rsid w:val="005B0357"/>
    <w:rsid w:val="005B1B77"/>
    <w:rsid w:val="005B317C"/>
    <w:rsid w:val="005B4168"/>
    <w:rsid w:val="005B425F"/>
    <w:rsid w:val="005B6457"/>
    <w:rsid w:val="005B7DE5"/>
    <w:rsid w:val="005C09D9"/>
    <w:rsid w:val="005C0FED"/>
    <w:rsid w:val="005C15BD"/>
    <w:rsid w:val="005C1E80"/>
    <w:rsid w:val="005C5D5E"/>
    <w:rsid w:val="005C62A8"/>
    <w:rsid w:val="005C66FD"/>
    <w:rsid w:val="005C71C8"/>
    <w:rsid w:val="005C7739"/>
    <w:rsid w:val="005D608F"/>
    <w:rsid w:val="005D610B"/>
    <w:rsid w:val="005E75C7"/>
    <w:rsid w:val="005E7FB8"/>
    <w:rsid w:val="005F15F9"/>
    <w:rsid w:val="005F39E2"/>
    <w:rsid w:val="005F442A"/>
    <w:rsid w:val="005F5984"/>
    <w:rsid w:val="006015B9"/>
    <w:rsid w:val="0061025C"/>
    <w:rsid w:val="00610291"/>
    <w:rsid w:val="006106D8"/>
    <w:rsid w:val="006114B6"/>
    <w:rsid w:val="006119A6"/>
    <w:rsid w:val="0061292F"/>
    <w:rsid w:val="006172A8"/>
    <w:rsid w:val="00617559"/>
    <w:rsid w:val="00622034"/>
    <w:rsid w:val="0062746E"/>
    <w:rsid w:val="0062748E"/>
    <w:rsid w:val="00627818"/>
    <w:rsid w:val="0063096B"/>
    <w:rsid w:val="00630AE0"/>
    <w:rsid w:val="006314D7"/>
    <w:rsid w:val="0063175B"/>
    <w:rsid w:val="0063236D"/>
    <w:rsid w:val="00634C56"/>
    <w:rsid w:val="00635460"/>
    <w:rsid w:val="00635B46"/>
    <w:rsid w:val="006372C7"/>
    <w:rsid w:val="00640287"/>
    <w:rsid w:val="006477BE"/>
    <w:rsid w:val="00647CFF"/>
    <w:rsid w:val="00650E4B"/>
    <w:rsid w:val="006513E0"/>
    <w:rsid w:val="0065143B"/>
    <w:rsid w:val="0065413E"/>
    <w:rsid w:val="00654671"/>
    <w:rsid w:val="00655D00"/>
    <w:rsid w:val="00657534"/>
    <w:rsid w:val="00657BBE"/>
    <w:rsid w:val="006610BB"/>
    <w:rsid w:val="00661FC2"/>
    <w:rsid w:val="0066262D"/>
    <w:rsid w:val="006658C9"/>
    <w:rsid w:val="00665B14"/>
    <w:rsid w:val="00665BBD"/>
    <w:rsid w:val="006667C1"/>
    <w:rsid w:val="00666B6D"/>
    <w:rsid w:val="00666C19"/>
    <w:rsid w:val="00666DCC"/>
    <w:rsid w:val="0067083E"/>
    <w:rsid w:val="0067178F"/>
    <w:rsid w:val="00671807"/>
    <w:rsid w:val="00671C53"/>
    <w:rsid w:val="00672B44"/>
    <w:rsid w:val="00672E64"/>
    <w:rsid w:val="00680C75"/>
    <w:rsid w:val="00680E5E"/>
    <w:rsid w:val="0068308E"/>
    <w:rsid w:val="00684732"/>
    <w:rsid w:val="00684C4D"/>
    <w:rsid w:val="00685C65"/>
    <w:rsid w:val="006860E4"/>
    <w:rsid w:val="00693585"/>
    <w:rsid w:val="00696BAC"/>
    <w:rsid w:val="00697C45"/>
    <w:rsid w:val="006A17A1"/>
    <w:rsid w:val="006A1D06"/>
    <w:rsid w:val="006A4937"/>
    <w:rsid w:val="006A4BC5"/>
    <w:rsid w:val="006A7D2E"/>
    <w:rsid w:val="006B1CE0"/>
    <w:rsid w:val="006B325B"/>
    <w:rsid w:val="006B3EA5"/>
    <w:rsid w:val="006B76E9"/>
    <w:rsid w:val="006C1C73"/>
    <w:rsid w:val="006C3EB2"/>
    <w:rsid w:val="006C55B0"/>
    <w:rsid w:val="006C5B8D"/>
    <w:rsid w:val="006C6077"/>
    <w:rsid w:val="006C7957"/>
    <w:rsid w:val="006D1C62"/>
    <w:rsid w:val="006D332A"/>
    <w:rsid w:val="006D7564"/>
    <w:rsid w:val="006E01E4"/>
    <w:rsid w:val="006E102D"/>
    <w:rsid w:val="006E316D"/>
    <w:rsid w:val="006E3B13"/>
    <w:rsid w:val="006E50DF"/>
    <w:rsid w:val="006E5773"/>
    <w:rsid w:val="006F0E6E"/>
    <w:rsid w:val="006F32DD"/>
    <w:rsid w:val="006F33EC"/>
    <w:rsid w:val="006F4A9B"/>
    <w:rsid w:val="006F4BF4"/>
    <w:rsid w:val="006F56A7"/>
    <w:rsid w:val="006F7CA4"/>
    <w:rsid w:val="00700D5C"/>
    <w:rsid w:val="00701600"/>
    <w:rsid w:val="00703049"/>
    <w:rsid w:val="00703106"/>
    <w:rsid w:val="00706BEC"/>
    <w:rsid w:val="00706FB5"/>
    <w:rsid w:val="00707EF5"/>
    <w:rsid w:val="007134E1"/>
    <w:rsid w:val="007159D3"/>
    <w:rsid w:val="00716A3A"/>
    <w:rsid w:val="007215F8"/>
    <w:rsid w:val="00722CE9"/>
    <w:rsid w:val="0072437F"/>
    <w:rsid w:val="00724D2D"/>
    <w:rsid w:val="00726EDE"/>
    <w:rsid w:val="00727DBB"/>
    <w:rsid w:val="00730EEE"/>
    <w:rsid w:val="007333B0"/>
    <w:rsid w:val="00733AF5"/>
    <w:rsid w:val="00734449"/>
    <w:rsid w:val="007354F0"/>
    <w:rsid w:val="00737AAD"/>
    <w:rsid w:val="00737D49"/>
    <w:rsid w:val="007410E4"/>
    <w:rsid w:val="00743065"/>
    <w:rsid w:val="0074447B"/>
    <w:rsid w:val="00745001"/>
    <w:rsid w:val="00745285"/>
    <w:rsid w:val="00745458"/>
    <w:rsid w:val="00747530"/>
    <w:rsid w:val="007478EA"/>
    <w:rsid w:val="007527CE"/>
    <w:rsid w:val="00754A5A"/>
    <w:rsid w:val="0075651A"/>
    <w:rsid w:val="00763C24"/>
    <w:rsid w:val="00765582"/>
    <w:rsid w:val="00766A85"/>
    <w:rsid w:val="00766FA0"/>
    <w:rsid w:val="00767A70"/>
    <w:rsid w:val="007709AB"/>
    <w:rsid w:val="00771EA4"/>
    <w:rsid w:val="00774389"/>
    <w:rsid w:val="00774961"/>
    <w:rsid w:val="0077686B"/>
    <w:rsid w:val="00777A22"/>
    <w:rsid w:val="00781753"/>
    <w:rsid w:val="00783F12"/>
    <w:rsid w:val="00785720"/>
    <w:rsid w:val="00785D72"/>
    <w:rsid w:val="007912C4"/>
    <w:rsid w:val="00791838"/>
    <w:rsid w:val="00795595"/>
    <w:rsid w:val="007966F2"/>
    <w:rsid w:val="00797D38"/>
    <w:rsid w:val="007A0900"/>
    <w:rsid w:val="007A0C11"/>
    <w:rsid w:val="007A3C33"/>
    <w:rsid w:val="007A619F"/>
    <w:rsid w:val="007A6F36"/>
    <w:rsid w:val="007A717D"/>
    <w:rsid w:val="007B02AA"/>
    <w:rsid w:val="007B0B38"/>
    <w:rsid w:val="007B12CE"/>
    <w:rsid w:val="007B2F0F"/>
    <w:rsid w:val="007B3417"/>
    <w:rsid w:val="007B46AE"/>
    <w:rsid w:val="007B59B8"/>
    <w:rsid w:val="007C03B6"/>
    <w:rsid w:val="007C099B"/>
    <w:rsid w:val="007C0F1D"/>
    <w:rsid w:val="007C1862"/>
    <w:rsid w:val="007C56FF"/>
    <w:rsid w:val="007D2316"/>
    <w:rsid w:val="007D28FD"/>
    <w:rsid w:val="007D2E87"/>
    <w:rsid w:val="007D30A9"/>
    <w:rsid w:val="007D4852"/>
    <w:rsid w:val="007D4C93"/>
    <w:rsid w:val="007D55BC"/>
    <w:rsid w:val="007D625D"/>
    <w:rsid w:val="007D7FC3"/>
    <w:rsid w:val="007E0151"/>
    <w:rsid w:val="007E4BB4"/>
    <w:rsid w:val="007E4EEF"/>
    <w:rsid w:val="007E6DCC"/>
    <w:rsid w:val="007E73A4"/>
    <w:rsid w:val="007E7517"/>
    <w:rsid w:val="007E7FE8"/>
    <w:rsid w:val="007F392B"/>
    <w:rsid w:val="007F546D"/>
    <w:rsid w:val="007F5A10"/>
    <w:rsid w:val="007F630E"/>
    <w:rsid w:val="007F6944"/>
    <w:rsid w:val="007F7D68"/>
    <w:rsid w:val="00800149"/>
    <w:rsid w:val="00802A4C"/>
    <w:rsid w:val="00802F2F"/>
    <w:rsid w:val="0080463C"/>
    <w:rsid w:val="00806EF0"/>
    <w:rsid w:val="0081032D"/>
    <w:rsid w:val="00811C8C"/>
    <w:rsid w:val="00812749"/>
    <w:rsid w:val="00812DF4"/>
    <w:rsid w:val="00813204"/>
    <w:rsid w:val="00813DB6"/>
    <w:rsid w:val="00813EF5"/>
    <w:rsid w:val="00817B52"/>
    <w:rsid w:val="00824DB3"/>
    <w:rsid w:val="008274E2"/>
    <w:rsid w:val="008275AB"/>
    <w:rsid w:val="0083025E"/>
    <w:rsid w:val="0083060C"/>
    <w:rsid w:val="00831E4F"/>
    <w:rsid w:val="008328EE"/>
    <w:rsid w:val="00832F8F"/>
    <w:rsid w:val="008331FC"/>
    <w:rsid w:val="0083437E"/>
    <w:rsid w:val="00836093"/>
    <w:rsid w:val="00837068"/>
    <w:rsid w:val="008401F0"/>
    <w:rsid w:val="00841F13"/>
    <w:rsid w:val="00843ECB"/>
    <w:rsid w:val="00844144"/>
    <w:rsid w:val="008453B5"/>
    <w:rsid w:val="00846EC6"/>
    <w:rsid w:val="008473E9"/>
    <w:rsid w:val="00852837"/>
    <w:rsid w:val="008532B0"/>
    <w:rsid w:val="00855FAE"/>
    <w:rsid w:val="00856F4D"/>
    <w:rsid w:val="00860065"/>
    <w:rsid w:val="00861E9A"/>
    <w:rsid w:val="008621D2"/>
    <w:rsid w:val="00862655"/>
    <w:rsid w:val="00865648"/>
    <w:rsid w:val="00865A13"/>
    <w:rsid w:val="0086656B"/>
    <w:rsid w:val="0086780A"/>
    <w:rsid w:val="0087002E"/>
    <w:rsid w:val="00871F0D"/>
    <w:rsid w:val="008729EF"/>
    <w:rsid w:val="00872CE4"/>
    <w:rsid w:val="00873209"/>
    <w:rsid w:val="00876D8C"/>
    <w:rsid w:val="00876ECC"/>
    <w:rsid w:val="00877014"/>
    <w:rsid w:val="00877F50"/>
    <w:rsid w:val="008802A8"/>
    <w:rsid w:val="008840A4"/>
    <w:rsid w:val="00884AAF"/>
    <w:rsid w:val="008862A9"/>
    <w:rsid w:val="00886994"/>
    <w:rsid w:val="0089158A"/>
    <w:rsid w:val="00891E16"/>
    <w:rsid w:val="00895D7C"/>
    <w:rsid w:val="0089778A"/>
    <w:rsid w:val="008A007A"/>
    <w:rsid w:val="008A125A"/>
    <w:rsid w:val="008A1AEA"/>
    <w:rsid w:val="008A5DF8"/>
    <w:rsid w:val="008A620C"/>
    <w:rsid w:val="008A6DF5"/>
    <w:rsid w:val="008B2721"/>
    <w:rsid w:val="008B2AD4"/>
    <w:rsid w:val="008B3C12"/>
    <w:rsid w:val="008B3DB8"/>
    <w:rsid w:val="008B7360"/>
    <w:rsid w:val="008C0F19"/>
    <w:rsid w:val="008C10D8"/>
    <w:rsid w:val="008C1443"/>
    <w:rsid w:val="008C521A"/>
    <w:rsid w:val="008C638D"/>
    <w:rsid w:val="008C6459"/>
    <w:rsid w:val="008C66E1"/>
    <w:rsid w:val="008C7C0C"/>
    <w:rsid w:val="008D06E5"/>
    <w:rsid w:val="008D1FAB"/>
    <w:rsid w:val="008D3087"/>
    <w:rsid w:val="008D3E67"/>
    <w:rsid w:val="008D5B63"/>
    <w:rsid w:val="008D6723"/>
    <w:rsid w:val="008E326A"/>
    <w:rsid w:val="008E32DD"/>
    <w:rsid w:val="008E4821"/>
    <w:rsid w:val="008E4E9F"/>
    <w:rsid w:val="008E7E5C"/>
    <w:rsid w:val="008F0692"/>
    <w:rsid w:val="008F25FB"/>
    <w:rsid w:val="008F564A"/>
    <w:rsid w:val="008F78C0"/>
    <w:rsid w:val="009015DA"/>
    <w:rsid w:val="00903DAF"/>
    <w:rsid w:val="00903F45"/>
    <w:rsid w:val="00904579"/>
    <w:rsid w:val="009047B5"/>
    <w:rsid w:val="00906887"/>
    <w:rsid w:val="009074C8"/>
    <w:rsid w:val="009075CC"/>
    <w:rsid w:val="00911FCE"/>
    <w:rsid w:val="009127A0"/>
    <w:rsid w:val="0091285B"/>
    <w:rsid w:val="00913B3E"/>
    <w:rsid w:val="009143EF"/>
    <w:rsid w:val="0091541D"/>
    <w:rsid w:val="009239BA"/>
    <w:rsid w:val="00926E72"/>
    <w:rsid w:val="00931D0B"/>
    <w:rsid w:val="009327E4"/>
    <w:rsid w:val="00933244"/>
    <w:rsid w:val="00934070"/>
    <w:rsid w:val="00935D5E"/>
    <w:rsid w:val="009372B6"/>
    <w:rsid w:val="0093772F"/>
    <w:rsid w:val="00937F69"/>
    <w:rsid w:val="00941743"/>
    <w:rsid w:val="00943D69"/>
    <w:rsid w:val="00944A6C"/>
    <w:rsid w:val="0094603D"/>
    <w:rsid w:val="00946830"/>
    <w:rsid w:val="00947EA8"/>
    <w:rsid w:val="00951730"/>
    <w:rsid w:val="00951C9B"/>
    <w:rsid w:val="0095244B"/>
    <w:rsid w:val="00953C6B"/>
    <w:rsid w:val="009546F3"/>
    <w:rsid w:val="009569A6"/>
    <w:rsid w:val="00961063"/>
    <w:rsid w:val="00961082"/>
    <w:rsid w:val="009625F6"/>
    <w:rsid w:val="00962657"/>
    <w:rsid w:val="009635EA"/>
    <w:rsid w:val="009658C6"/>
    <w:rsid w:val="00965B84"/>
    <w:rsid w:val="009673DE"/>
    <w:rsid w:val="00967E25"/>
    <w:rsid w:val="00967EFE"/>
    <w:rsid w:val="0097012D"/>
    <w:rsid w:val="009719EE"/>
    <w:rsid w:val="009723CF"/>
    <w:rsid w:val="009748EE"/>
    <w:rsid w:val="00975B7E"/>
    <w:rsid w:val="0098013C"/>
    <w:rsid w:val="00981E0F"/>
    <w:rsid w:val="0098284A"/>
    <w:rsid w:val="009866B3"/>
    <w:rsid w:val="00986950"/>
    <w:rsid w:val="009900CE"/>
    <w:rsid w:val="009918AF"/>
    <w:rsid w:val="00992F52"/>
    <w:rsid w:val="009958A8"/>
    <w:rsid w:val="009A0358"/>
    <w:rsid w:val="009A0920"/>
    <w:rsid w:val="009A1E6A"/>
    <w:rsid w:val="009A204A"/>
    <w:rsid w:val="009A38C5"/>
    <w:rsid w:val="009A60B1"/>
    <w:rsid w:val="009A6B2D"/>
    <w:rsid w:val="009B26A1"/>
    <w:rsid w:val="009B3CE2"/>
    <w:rsid w:val="009B4660"/>
    <w:rsid w:val="009B4BC5"/>
    <w:rsid w:val="009B58DF"/>
    <w:rsid w:val="009B5B63"/>
    <w:rsid w:val="009B5F3F"/>
    <w:rsid w:val="009C1FF5"/>
    <w:rsid w:val="009C3A09"/>
    <w:rsid w:val="009C4E2F"/>
    <w:rsid w:val="009D3100"/>
    <w:rsid w:val="009D3136"/>
    <w:rsid w:val="009D4D3A"/>
    <w:rsid w:val="009D50B2"/>
    <w:rsid w:val="009D5AD4"/>
    <w:rsid w:val="009E1728"/>
    <w:rsid w:val="009E32D4"/>
    <w:rsid w:val="009E5F01"/>
    <w:rsid w:val="009E6532"/>
    <w:rsid w:val="009E67E3"/>
    <w:rsid w:val="009F045E"/>
    <w:rsid w:val="009F0646"/>
    <w:rsid w:val="009F1E63"/>
    <w:rsid w:val="009F25C3"/>
    <w:rsid w:val="009F3F36"/>
    <w:rsid w:val="009F4BED"/>
    <w:rsid w:val="009F4C1D"/>
    <w:rsid w:val="009F52B3"/>
    <w:rsid w:val="009F6CD4"/>
    <w:rsid w:val="009F6F58"/>
    <w:rsid w:val="00A01DD4"/>
    <w:rsid w:val="00A02F6E"/>
    <w:rsid w:val="00A065B6"/>
    <w:rsid w:val="00A06A8D"/>
    <w:rsid w:val="00A07CDE"/>
    <w:rsid w:val="00A07FE8"/>
    <w:rsid w:val="00A10406"/>
    <w:rsid w:val="00A1299F"/>
    <w:rsid w:val="00A12A93"/>
    <w:rsid w:val="00A12D9E"/>
    <w:rsid w:val="00A13937"/>
    <w:rsid w:val="00A13D4A"/>
    <w:rsid w:val="00A151FF"/>
    <w:rsid w:val="00A16A5A"/>
    <w:rsid w:val="00A16BEA"/>
    <w:rsid w:val="00A22CFD"/>
    <w:rsid w:val="00A24635"/>
    <w:rsid w:val="00A2523B"/>
    <w:rsid w:val="00A25A00"/>
    <w:rsid w:val="00A25FB5"/>
    <w:rsid w:val="00A2725D"/>
    <w:rsid w:val="00A314DD"/>
    <w:rsid w:val="00A32483"/>
    <w:rsid w:val="00A337AA"/>
    <w:rsid w:val="00A357F3"/>
    <w:rsid w:val="00A40332"/>
    <w:rsid w:val="00A411F1"/>
    <w:rsid w:val="00A4272C"/>
    <w:rsid w:val="00A46F2B"/>
    <w:rsid w:val="00A4796E"/>
    <w:rsid w:val="00A564A3"/>
    <w:rsid w:val="00A56AB2"/>
    <w:rsid w:val="00A56BEA"/>
    <w:rsid w:val="00A56E7D"/>
    <w:rsid w:val="00A57FCD"/>
    <w:rsid w:val="00A60AF1"/>
    <w:rsid w:val="00A6210C"/>
    <w:rsid w:val="00A63666"/>
    <w:rsid w:val="00A65DB2"/>
    <w:rsid w:val="00A67081"/>
    <w:rsid w:val="00A70409"/>
    <w:rsid w:val="00A756E2"/>
    <w:rsid w:val="00A7578E"/>
    <w:rsid w:val="00A76D35"/>
    <w:rsid w:val="00A808F1"/>
    <w:rsid w:val="00A8259D"/>
    <w:rsid w:val="00A839F2"/>
    <w:rsid w:val="00A844D8"/>
    <w:rsid w:val="00A8452A"/>
    <w:rsid w:val="00A850F7"/>
    <w:rsid w:val="00A851A3"/>
    <w:rsid w:val="00A85DC1"/>
    <w:rsid w:val="00A86603"/>
    <w:rsid w:val="00A86F59"/>
    <w:rsid w:val="00A927B5"/>
    <w:rsid w:val="00A94EE2"/>
    <w:rsid w:val="00A96ED2"/>
    <w:rsid w:val="00AA1DFF"/>
    <w:rsid w:val="00AA1F44"/>
    <w:rsid w:val="00AA5549"/>
    <w:rsid w:val="00AA60B5"/>
    <w:rsid w:val="00AA7634"/>
    <w:rsid w:val="00AA7FD6"/>
    <w:rsid w:val="00AB34FF"/>
    <w:rsid w:val="00AB3AA7"/>
    <w:rsid w:val="00AB43B0"/>
    <w:rsid w:val="00AB62AB"/>
    <w:rsid w:val="00AB7B69"/>
    <w:rsid w:val="00AC1582"/>
    <w:rsid w:val="00AC2420"/>
    <w:rsid w:val="00AC4C1F"/>
    <w:rsid w:val="00AC5812"/>
    <w:rsid w:val="00AD2444"/>
    <w:rsid w:val="00AD253C"/>
    <w:rsid w:val="00AD3BEA"/>
    <w:rsid w:val="00AD5FD7"/>
    <w:rsid w:val="00AD65E5"/>
    <w:rsid w:val="00AD6DFC"/>
    <w:rsid w:val="00AD7CA1"/>
    <w:rsid w:val="00AE0C0E"/>
    <w:rsid w:val="00AE1716"/>
    <w:rsid w:val="00AE199D"/>
    <w:rsid w:val="00AE1AE0"/>
    <w:rsid w:val="00AE2753"/>
    <w:rsid w:val="00AE444E"/>
    <w:rsid w:val="00AE748E"/>
    <w:rsid w:val="00AE7A40"/>
    <w:rsid w:val="00AF30FC"/>
    <w:rsid w:val="00AF67F1"/>
    <w:rsid w:val="00B01BB2"/>
    <w:rsid w:val="00B01D2D"/>
    <w:rsid w:val="00B0427E"/>
    <w:rsid w:val="00B05115"/>
    <w:rsid w:val="00B069FC"/>
    <w:rsid w:val="00B06B6C"/>
    <w:rsid w:val="00B100E2"/>
    <w:rsid w:val="00B101F2"/>
    <w:rsid w:val="00B10929"/>
    <w:rsid w:val="00B1094D"/>
    <w:rsid w:val="00B120CE"/>
    <w:rsid w:val="00B13252"/>
    <w:rsid w:val="00B13EAD"/>
    <w:rsid w:val="00B21A4C"/>
    <w:rsid w:val="00B264C9"/>
    <w:rsid w:val="00B268CA"/>
    <w:rsid w:val="00B2700D"/>
    <w:rsid w:val="00B27E75"/>
    <w:rsid w:val="00B3035C"/>
    <w:rsid w:val="00B31570"/>
    <w:rsid w:val="00B31CD6"/>
    <w:rsid w:val="00B32266"/>
    <w:rsid w:val="00B33EEB"/>
    <w:rsid w:val="00B350D8"/>
    <w:rsid w:val="00B35649"/>
    <w:rsid w:val="00B36559"/>
    <w:rsid w:val="00B3712A"/>
    <w:rsid w:val="00B41AA6"/>
    <w:rsid w:val="00B41B05"/>
    <w:rsid w:val="00B45BB9"/>
    <w:rsid w:val="00B463D6"/>
    <w:rsid w:val="00B50526"/>
    <w:rsid w:val="00B52024"/>
    <w:rsid w:val="00B547A1"/>
    <w:rsid w:val="00B54D9E"/>
    <w:rsid w:val="00B551BD"/>
    <w:rsid w:val="00B551E9"/>
    <w:rsid w:val="00B552D1"/>
    <w:rsid w:val="00B55443"/>
    <w:rsid w:val="00B568AB"/>
    <w:rsid w:val="00B573FD"/>
    <w:rsid w:val="00B57F0C"/>
    <w:rsid w:val="00B60159"/>
    <w:rsid w:val="00B6034E"/>
    <w:rsid w:val="00B60BE7"/>
    <w:rsid w:val="00B614E6"/>
    <w:rsid w:val="00B6189E"/>
    <w:rsid w:val="00B618A5"/>
    <w:rsid w:val="00B63F55"/>
    <w:rsid w:val="00B6680C"/>
    <w:rsid w:val="00B66A24"/>
    <w:rsid w:val="00B67B24"/>
    <w:rsid w:val="00B70FA0"/>
    <w:rsid w:val="00B710A9"/>
    <w:rsid w:val="00B73281"/>
    <w:rsid w:val="00B74492"/>
    <w:rsid w:val="00B751F6"/>
    <w:rsid w:val="00B75803"/>
    <w:rsid w:val="00B75B9C"/>
    <w:rsid w:val="00B76C7A"/>
    <w:rsid w:val="00B81015"/>
    <w:rsid w:val="00B8116E"/>
    <w:rsid w:val="00B844EF"/>
    <w:rsid w:val="00B8595C"/>
    <w:rsid w:val="00B86541"/>
    <w:rsid w:val="00B867CC"/>
    <w:rsid w:val="00B90FC9"/>
    <w:rsid w:val="00B915C5"/>
    <w:rsid w:val="00B91F5B"/>
    <w:rsid w:val="00B92912"/>
    <w:rsid w:val="00B94195"/>
    <w:rsid w:val="00B95CB7"/>
    <w:rsid w:val="00BA07C1"/>
    <w:rsid w:val="00BA1396"/>
    <w:rsid w:val="00BA16A9"/>
    <w:rsid w:val="00BA27E9"/>
    <w:rsid w:val="00BA3026"/>
    <w:rsid w:val="00BA4730"/>
    <w:rsid w:val="00BA6F1B"/>
    <w:rsid w:val="00BB182C"/>
    <w:rsid w:val="00BB231A"/>
    <w:rsid w:val="00BB4EA0"/>
    <w:rsid w:val="00BB7809"/>
    <w:rsid w:val="00BC0539"/>
    <w:rsid w:val="00BC0B50"/>
    <w:rsid w:val="00BC25B8"/>
    <w:rsid w:val="00BC4625"/>
    <w:rsid w:val="00BC6D6A"/>
    <w:rsid w:val="00BC7E37"/>
    <w:rsid w:val="00BD1A5A"/>
    <w:rsid w:val="00BD2032"/>
    <w:rsid w:val="00BD20F8"/>
    <w:rsid w:val="00BD5ABE"/>
    <w:rsid w:val="00BD731B"/>
    <w:rsid w:val="00BE157A"/>
    <w:rsid w:val="00BE232F"/>
    <w:rsid w:val="00BE2901"/>
    <w:rsid w:val="00BE2D8A"/>
    <w:rsid w:val="00BE4BB2"/>
    <w:rsid w:val="00BE4BB7"/>
    <w:rsid w:val="00BE4ED3"/>
    <w:rsid w:val="00BE527A"/>
    <w:rsid w:val="00BE5C05"/>
    <w:rsid w:val="00BE6FB5"/>
    <w:rsid w:val="00BF3A32"/>
    <w:rsid w:val="00BF5A35"/>
    <w:rsid w:val="00BF70FD"/>
    <w:rsid w:val="00C00AD8"/>
    <w:rsid w:val="00C012EC"/>
    <w:rsid w:val="00C044BD"/>
    <w:rsid w:val="00C04609"/>
    <w:rsid w:val="00C04D09"/>
    <w:rsid w:val="00C078C6"/>
    <w:rsid w:val="00C07D47"/>
    <w:rsid w:val="00C104A7"/>
    <w:rsid w:val="00C15594"/>
    <w:rsid w:val="00C16B07"/>
    <w:rsid w:val="00C17653"/>
    <w:rsid w:val="00C20EC1"/>
    <w:rsid w:val="00C24EC0"/>
    <w:rsid w:val="00C2542B"/>
    <w:rsid w:val="00C26951"/>
    <w:rsid w:val="00C310FB"/>
    <w:rsid w:val="00C3201D"/>
    <w:rsid w:val="00C32E49"/>
    <w:rsid w:val="00C35C47"/>
    <w:rsid w:val="00C37BB8"/>
    <w:rsid w:val="00C4017E"/>
    <w:rsid w:val="00C41DCA"/>
    <w:rsid w:val="00C42052"/>
    <w:rsid w:val="00C43114"/>
    <w:rsid w:val="00C43347"/>
    <w:rsid w:val="00C44C1F"/>
    <w:rsid w:val="00C52051"/>
    <w:rsid w:val="00C5395F"/>
    <w:rsid w:val="00C53A3F"/>
    <w:rsid w:val="00C554F8"/>
    <w:rsid w:val="00C5562F"/>
    <w:rsid w:val="00C56382"/>
    <w:rsid w:val="00C5789B"/>
    <w:rsid w:val="00C6127D"/>
    <w:rsid w:val="00C61A35"/>
    <w:rsid w:val="00C623BB"/>
    <w:rsid w:val="00C635B4"/>
    <w:rsid w:val="00C64815"/>
    <w:rsid w:val="00C73741"/>
    <w:rsid w:val="00C7525D"/>
    <w:rsid w:val="00C77FCC"/>
    <w:rsid w:val="00C805EF"/>
    <w:rsid w:val="00C80E94"/>
    <w:rsid w:val="00C80FC5"/>
    <w:rsid w:val="00C82B33"/>
    <w:rsid w:val="00C83193"/>
    <w:rsid w:val="00C85C24"/>
    <w:rsid w:val="00C86626"/>
    <w:rsid w:val="00C87B78"/>
    <w:rsid w:val="00C90419"/>
    <w:rsid w:val="00C91C1F"/>
    <w:rsid w:val="00C921B5"/>
    <w:rsid w:val="00C929EB"/>
    <w:rsid w:val="00C93582"/>
    <w:rsid w:val="00C944DC"/>
    <w:rsid w:val="00C955DD"/>
    <w:rsid w:val="00C969DA"/>
    <w:rsid w:val="00CA017A"/>
    <w:rsid w:val="00CA2B6F"/>
    <w:rsid w:val="00CA2DBD"/>
    <w:rsid w:val="00CB04B2"/>
    <w:rsid w:val="00CB0DE6"/>
    <w:rsid w:val="00CB11BC"/>
    <w:rsid w:val="00CB1E25"/>
    <w:rsid w:val="00CB2BD9"/>
    <w:rsid w:val="00CB2D1F"/>
    <w:rsid w:val="00CB3C50"/>
    <w:rsid w:val="00CB4491"/>
    <w:rsid w:val="00CB4501"/>
    <w:rsid w:val="00CB524C"/>
    <w:rsid w:val="00CB685C"/>
    <w:rsid w:val="00CC148D"/>
    <w:rsid w:val="00CC314A"/>
    <w:rsid w:val="00CC42A9"/>
    <w:rsid w:val="00CC5296"/>
    <w:rsid w:val="00CC5D27"/>
    <w:rsid w:val="00CC6071"/>
    <w:rsid w:val="00CC60FC"/>
    <w:rsid w:val="00CC6A52"/>
    <w:rsid w:val="00CD0265"/>
    <w:rsid w:val="00CD1513"/>
    <w:rsid w:val="00CD2139"/>
    <w:rsid w:val="00CD50AF"/>
    <w:rsid w:val="00CD62A5"/>
    <w:rsid w:val="00CE09DA"/>
    <w:rsid w:val="00CE0A78"/>
    <w:rsid w:val="00CE23DE"/>
    <w:rsid w:val="00CE3698"/>
    <w:rsid w:val="00CF0D75"/>
    <w:rsid w:val="00CF1095"/>
    <w:rsid w:val="00CF1512"/>
    <w:rsid w:val="00CF16FF"/>
    <w:rsid w:val="00CF63A2"/>
    <w:rsid w:val="00CF76DA"/>
    <w:rsid w:val="00CF7A8A"/>
    <w:rsid w:val="00D00770"/>
    <w:rsid w:val="00D0583A"/>
    <w:rsid w:val="00D074B7"/>
    <w:rsid w:val="00D07CD7"/>
    <w:rsid w:val="00D104E5"/>
    <w:rsid w:val="00D1340C"/>
    <w:rsid w:val="00D15350"/>
    <w:rsid w:val="00D15858"/>
    <w:rsid w:val="00D16176"/>
    <w:rsid w:val="00D16749"/>
    <w:rsid w:val="00D201D6"/>
    <w:rsid w:val="00D22FFB"/>
    <w:rsid w:val="00D23AEB"/>
    <w:rsid w:val="00D26AE6"/>
    <w:rsid w:val="00D27553"/>
    <w:rsid w:val="00D30337"/>
    <w:rsid w:val="00D3166D"/>
    <w:rsid w:val="00D3318F"/>
    <w:rsid w:val="00D34B56"/>
    <w:rsid w:val="00D34DBD"/>
    <w:rsid w:val="00D34FEC"/>
    <w:rsid w:val="00D354BC"/>
    <w:rsid w:val="00D36C94"/>
    <w:rsid w:val="00D41511"/>
    <w:rsid w:val="00D41909"/>
    <w:rsid w:val="00D41EB7"/>
    <w:rsid w:val="00D42AC7"/>
    <w:rsid w:val="00D51708"/>
    <w:rsid w:val="00D54307"/>
    <w:rsid w:val="00D56075"/>
    <w:rsid w:val="00D575BD"/>
    <w:rsid w:val="00D64210"/>
    <w:rsid w:val="00D67884"/>
    <w:rsid w:val="00D67AD3"/>
    <w:rsid w:val="00D72950"/>
    <w:rsid w:val="00D738A1"/>
    <w:rsid w:val="00D75F39"/>
    <w:rsid w:val="00D760EA"/>
    <w:rsid w:val="00D83ADC"/>
    <w:rsid w:val="00D83E5A"/>
    <w:rsid w:val="00D85386"/>
    <w:rsid w:val="00D85B15"/>
    <w:rsid w:val="00D85D3B"/>
    <w:rsid w:val="00D932D9"/>
    <w:rsid w:val="00D93E98"/>
    <w:rsid w:val="00D943BF"/>
    <w:rsid w:val="00D952C0"/>
    <w:rsid w:val="00D95EE0"/>
    <w:rsid w:val="00D9763B"/>
    <w:rsid w:val="00D97A41"/>
    <w:rsid w:val="00DA0138"/>
    <w:rsid w:val="00DA0A68"/>
    <w:rsid w:val="00DA23DD"/>
    <w:rsid w:val="00DA45FF"/>
    <w:rsid w:val="00DA7178"/>
    <w:rsid w:val="00DA7E74"/>
    <w:rsid w:val="00DB05D1"/>
    <w:rsid w:val="00DB0A7B"/>
    <w:rsid w:val="00DB24D8"/>
    <w:rsid w:val="00DB2641"/>
    <w:rsid w:val="00DB51CC"/>
    <w:rsid w:val="00DB5F7D"/>
    <w:rsid w:val="00DB6CF3"/>
    <w:rsid w:val="00DB794E"/>
    <w:rsid w:val="00DB7E4D"/>
    <w:rsid w:val="00DC04DF"/>
    <w:rsid w:val="00DC14A8"/>
    <w:rsid w:val="00DC17AE"/>
    <w:rsid w:val="00DC23FA"/>
    <w:rsid w:val="00DC2883"/>
    <w:rsid w:val="00DC463B"/>
    <w:rsid w:val="00DC51D9"/>
    <w:rsid w:val="00DC69F8"/>
    <w:rsid w:val="00DD02EF"/>
    <w:rsid w:val="00DD08DC"/>
    <w:rsid w:val="00DD27C7"/>
    <w:rsid w:val="00DD2F11"/>
    <w:rsid w:val="00DD3188"/>
    <w:rsid w:val="00DD406E"/>
    <w:rsid w:val="00DD436D"/>
    <w:rsid w:val="00DD7227"/>
    <w:rsid w:val="00DE0A7A"/>
    <w:rsid w:val="00DE38EC"/>
    <w:rsid w:val="00DE7D24"/>
    <w:rsid w:val="00DE7DCF"/>
    <w:rsid w:val="00DF2776"/>
    <w:rsid w:val="00DF2928"/>
    <w:rsid w:val="00DF3879"/>
    <w:rsid w:val="00DF4068"/>
    <w:rsid w:val="00DF5559"/>
    <w:rsid w:val="00DF6240"/>
    <w:rsid w:val="00DF7381"/>
    <w:rsid w:val="00E00552"/>
    <w:rsid w:val="00E01378"/>
    <w:rsid w:val="00E02EE2"/>
    <w:rsid w:val="00E03E81"/>
    <w:rsid w:val="00E053B0"/>
    <w:rsid w:val="00E05B01"/>
    <w:rsid w:val="00E06CBF"/>
    <w:rsid w:val="00E108B9"/>
    <w:rsid w:val="00E1101C"/>
    <w:rsid w:val="00E1214D"/>
    <w:rsid w:val="00E1553F"/>
    <w:rsid w:val="00E163F8"/>
    <w:rsid w:val="00E16A07"/>
    <w:rsid w:val="00E1772E"/>
    <w:rsid w:val="00E2009B"/>
    <w:rsid w:val="00E21263"/>
    <w:rsid w:val="00E21FB0"/>
    <w:rsid w:val="00E237E4"/>
    <w:rsid w:val="00E2610C"/>
    <w:rsid w:val="00E32E0D"/>
    <w:rsid w:val="00E36761"/>
    <w:rsid w:val="00E36E1F"/>
    <w:rsid w:val="00E40E92"/>
    <w:rsid w:val="00E41B73"/>
    <w:rsid w:val="00E43801"/>
    <w:rsid w:val="00E4623B"/>
    <w:rsid w:val="00E46579"/>
    <w:rsid w:val="00E47C68"/>
    <w:rsid w:val="00E52384"/>
    <w:rsid w:val="00E5542D"/>
    <w:rsid w:val="00E60572"/>
    <w:rsid w:val="00E60AFF"/>
    <w:rsid w:val="00E65D2C"/>
    <w:rsid w:val="00E660EC"/>
    <w:rsid w:val="00E66D3F"/>
    <w:rsid w:val="00E7154D"/>
    <w:rsid w:val="00E71983"/>
    <w:rsid w:val="00E71D57"/>
    <w:rsid w:val="00E738A4"/>
    <w:rsid w:val="00E7466E"/>
    <w:rsid w:val="00E76951"/>
    <w:rsid w:val="00E779C7"/>
    <w:rsid w:val="00E77B0B"/>
    <w:rsid w:val="00E819CC"/>
    <w:rsid w:val="00E82023"/>
    <w:rsid w:val="00E8270D"/>
    <w:rsid w:val="00E85765"/>
    <w:rsid w:val="00E858DC"/>
    <w:rsid w:val="00E8610C"/>
    <w:rsid w:val="00E90317"/>
    <w:rsid w:val="00E94DAA"/>
    <w:rsid w:val="00E94F43"/>
    <w:rsid w:val="00E96037"/>
    <w:rsid w:val="00E96126"/>
    <w:rsid w:val="00E96652"/>
    <w:rsid w:val="00EA0ABD"/>
    <w:rsid w:val="00EA0CF9"/>
    <w:rsid w:val="00EA41A1"/>
    <w:rsid w:val="00EA6E9D"/>
    <w:rsid w:val="00EA788F"/>
    <w:rsid w:val="00EA7DAA"/>
    <w:rsid w:val="00EB0DE8"/>
    <w:rsid w:val="00EB1C36"/>
    <w:rsid w:val="00EB1E44"/>
    <w:rsid w:val="00EB21D1"/>
    <w:rsid w:val="00EB42A7"/>
    <w:rsid w:val="00EB60DF"/>
    <w:rsid w:val="00EC3538"/>
    <w:rsid w:val="00EC37BB"/>
    <w:rsid w:val="00EC6F59"/>
    <w:rsid w:val="00EC7373"/>
    <w:rsid w:val="00EC74C7"/>
    <w:rsid w:val="00EC7A01"/>
    <w:rsid w:val="00EC7AE3"/>
    <w:rsid w:val="00ED05B9"/>
    <w:rsid w:val="00ED0D0B"/>
    <w:rsid w:val="00ED23B3"/>
    <w:rsid w:val="00ED29DE"/>
    <w:rsid w:val="00ED384B"/>
    <w:rsid w:val="00ED3B12"/>
    <w:rsid w:val="00ED5241"/>
    <w:rsid w:val="00ED673D"/>
    <w:rsid w:val="00ED7097"/>
    <w:rsid w:val="00ED73E6"/>
    <w:rsid w:val="00ED764E"/>
    <w:rsid w:val="00ED7A79"/>
    <w:rsid w:val="00ED7DF9"/>
    <w:rsid w:val="00EE08E6"/>
    <w:rsid w:val="00EE1C5A"/>
    <w:rsid w:val="00EE23EE"/>
    <w:rsid w:val="00EE2701"/>
    <w:rsid w:val="00EE45D2"/>
    <w:rsid w:val="00EE4CC5"/>
    <w:rsid w:val="00EE51B0"/>
    <w:rsid w:val="00EE59C0"/>
    <w:rsid w:val="00EE639C"/>
    <w:rsid w:val="00EE7EBC"/>
    <w:rsid w:val="00EF053B"/>
    <w:rsid w:val="00EF0A70"/>
    <w:rsid w:val="00EF2EAF"/>
    <w:rsid w:val="00EF3B48"/>
    <w:rsid w:val="00EF4286"/>
    <w:rsid w:val="00EF4A5F"/>
    <w:rsid w:val="00EF5680"/>
    <w:rsid w:val="00EF5DD8"/>
    <w:rsid w:val="00EF6738"/>
    <w:rsid w:val="00EF7433"/>
    <w:rsid w:val="00EF77A4"/>
    <w:rsid w:val="00F01979"/>
    <w:rsid w:val="00F03261"/>
    <w:rsid w:val="00F074BD"/>
    <w:rsid w:val="00F074D4"/>
    <w:rsid w:val="00F079B0"/>
    <w:rsid w:val="00F1010D"/>
    <w:rsid w:val="00F106DA"/>
    <w:rsid w:val="00F113B7"/>
    <w:rsid w:val="00F11575"/>
    <w:rsid w:val="00F11DAE"/>
    <w:rsid w:val="00F155B4"/>
    <w:rsid w:val="00F21FD9"/>
    <w:rsid w:val="00F225AF"/>
    <w:rsid w:val="00F2323B"/>
    <w:rsid w:val="00F25FA9"/>
    <w:rsid w:val="00F26A6C"/>
    <w:rsid w:val="00F27626"/>
    <w:rsid w:val="00F30F69"/>
    <w:rsid w:val="00F31840"/>
    <w:rsid w:val="00F324F2"/>
    <w:rsid w:val="00F32700"/>
    <w:rsid w:val="00F41479"/>
    <w:rsid w:val="00F41823"/>
    <w:rsid w:val="00F42440"/>
    <w:rsid w:val="00F42B18"/>
    <w:rsid w:val="00F4402C"/>
    <w:rsid w:val="00F45305"/>
    <w:rsid w:val="00F45519"/>
    <w:rsid w:val="00F4798C"/>
    <w:rsid w:val="00F510F0"/>
    <w:rsid w:val="00F51C72"/>
    <w:rsid w:val="00F51F5E"/>
    <w:rsid w:val="00F52846"/>
    <w:rsid w:val="00F52C09"/>
    <w:rsid w:val="00F537DC"/>
    <w:rsid w:val="00F57E2E"/>
    <w:rsid w:val="00F60990"/>
    <w:rsid w:val="00F615C0"/>
    <w:rsid w:val="00F629FF"/>
    <w:rsid w:val="00F63C01"/>
    <w:rsid w:val="00F65D76"/>
    <w:rsid w:val="00F66910"/>
    <w:rsid w:val="00F6723D"/>
    <w:rsid w:val="00F70031"/>
    <w:rsid w:val="00F728E1"/>
    <w:rsid w:val="00F73AD1"/>
    <w:rsid w:val="00F82157"/>
    <w:rsid w:val="00F82CF6"/>
    <w:rsid w:val="00F8564D"/>
    <w:rsid w:val="00F87DB4"/>
    <w:rsid w:val="00F901ED"/>
    <w:rsid w:val="00F90687"/>
    <w:rsid w:val="00F90C67"/>
    <w:rsid w:val="00F91F2D"/>
    <w:rsid w:val="00F926A8"/>
    <w:rsid w:val="00F933CA"/>
    <w:rsid w:val="00F97F4C"/>
    <w:rsid w:val="00FA0F02"/>
    <w:rsid w:val="00FA33DC"/>
    <w:rsid w:val="00FA4E91"/>
    <w:rsid w:val="00FA53DC"/>
    <w:rsid w:val="00FA695B"/>
    <w:rsid w:val="00FA7D2E"/>
    <w:rsid w:val="00FB0F59"/>
    <w:rsid w:val="00FB2451"/>
    <w:rsid w:val="00FB3976"/>
    <w:rsid w:val="00FB69B5"/>
    <w:rsid w:val="00FB7C9F"/>
    <w:rsid w:val="00FC0385"/>
    <w:rsid w:val="00FC0E58"/>
    <w:rsid w:val="00FC0F12"/>
    <w:rsid w:val="00FC1362"/>
    <w:rsid w:val="00FC66C2"/>
    <w:rsid w:val="00FD0902"/>
    <w:rsid w:val="00FD0E8F"/>
    <w:rsid w:val="00FD262A"/>
    <w:rsid w:val="00FD5405"/>
    <w:rsid w:val="00FD5B01"/>
    <w:rsid w:val="00FE0269"/>
    <w:rsid w:val="00FE098B"/>
    <w:rsid w:val="00FE161A"/>
    <w:rsid w:val="00FE2443"/>
    <w:rsid w:val="00FE2BAF"/>
    <w:rsid w:val="00FE3823"/>
    <w:rsid w:val="00FE38F9"/>
    <w:rsid w:val="00FE5A25"/>
    <w:rsid w:val="00FF0E65"/>
    <w:rsid w:val="00FF125E"/>
    <w:rsid w:val="00FF1AD9"/>
    <w:rsid w:val="00FF25E0"/>
    <w:rsid w:val="00FF2F58"/>
    <w:rsid w:val="00FF339F"/>
    <w:rsid w:val="00FF4876"/>
    <w:rsid w:val="00FF4B9B"/>
    <w:rsid w:val="00FF4E10"/>
    <w:rsid w:val="00FF557A"/>
    <w:rsid w:val="00FF695C"/>
    <w:rsid w:val="00FF72E0"/>
    <w:rsid w:val="661C7D18"/>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semiHidden="0"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qFormat="1" w:unhideWhenUsed="0" w:uiPriority="34" w:semiHidden="0" w:name="List Paragraph"/>
  </w:latentStyles>
  <w:style w:type="paragraph" w:default="1" w:styleId="1">
    <w:name w:val="Normal"/>
    <w:qFormat/>
    <w:uiPriority w:val="0"/>
    <w:pPr>
      <w:spacing w:after="0" w:line="360" w:lineRule="auto"/>
      <w:ind w:firstLine="709"/>
      <w:jc w:val="both"/>
    </w:pPr>
    <w:rPr>
      <w:rFonts w:ascii="Times New Roman" w:hAnsi="Times New Roman" w:eastAsiaTheme="minorHAnsi" w:cstheme="minorBidi"/>
      <w:sz w:val="28"/>
      <w:szCs w:val="22"/>
      <w:lang w:val="uk-UA" w:eastAsia="en-US" w:bidi="ar-SA"/>
    </w:rPr>
  </w:style>
  <w:style w:type="paragraph" w:styleId="2">
    <w:name w:val="heading 1"/>
    <w:basedOn w:val="1"/>
    <w:next w:val="1"/>
    <w:link w:val="25"/>
    <w:qFormat/>
    <w:uiPriority w:val="0"/>
    <w:pPr>
      <w:keepNext/>
      <w:keepLines/>
      <w:ind w:firstLine="0"/>
      <w:jc w:val="center"/>
      <w:outlineLvl w:val="0"/>
    </w:pPr>
    <w:rPr>
      <w:rFonts w:eastAsiaTheme="majorEastAsia" w:cstheme="majorBidi"/>
      <w:b/>
      <w:szCs w:val="32"/>
      <w:lang w:val="ru-RU" w:eastAsia="ru-RU"/>
    </w:rPr>
  </w:style>
  <w:style w:type="paragraph" w:styleId="3">
    <w:name w:val="heading 2"/>
    <w:basedOn w:val="1"/>
    <w:next w:val="1"/>
    <w:link w:val="26"/>
    <w:unhideWhenUsed/>
    <w:qFormat/>
    <w:uiPriority w:val="9"/>
    <w:pPr>
      <w:keepNext/>
      <w:keepLines/>
      <w:outlineLvl w:val="1"/>
    </w:pPr>
    <w:rPr>
      <w:rFonts w:eastAsiaTheme="majorEastAsia" w:cstheme="majorBidi"/>
      <w:b/>
      <w:szCs w:val="26"/>
    </w:rPr>
  </w:style>
  <w:style w:type="paragraph" w:styleId="4">
    <w:name w:val="heading 3"/>
    <w:basedOn w:val="1"/>
    <w:next w:val="1"/>
    <w:link w:val="27"/>
    <w:unhideWhenUsed/>
    <w:qFormat/>
    <w:uiPriority w:val="9"/>
    <w:pPr>
      <w:keepNext/>
      <w:keepLines/>
      <w:spacing w:before="40"/>
      <w:outlineLvl w:val="2"/>
    </w:pPr>
    <w:rPr>
      <w:rFonts w:asciiTheme="majorHAnsi" w:hAnsiTheme="majorHAnsi" w:eastAsiaTheme="majorEastAsia" w:cstheme="majorBidi"/>
      <w:color w:val="1E4D78" w:themeColor="accent1" w:themeShade="7F"/>
      <w:sz w:val="24"/>
      <w:szCs w:val="24"/>
    </w:rPr>
  </w:style>
  <w:style w:type="paragraph" w:styleId="5">
    <w:name w:val="heading 4"/>
    <w:basedOn w:val="1"/>
    <w:next w:val="1"/>
    <w:link w:val="28"/>
    <w:unhideWhenUsed/>
    <w:qFormat/>
    <w:uiPriority w:val="9"/>
    <w:pPr>
      <w:keepNext/>
      <w:keepLines/>
      <w:spacing w:before="40" w:line="259" w:lineRule="auto"/>
      <w:ind w:firstLine="0"/>
      <w:jc w:val="left"/>
      <w:outlineLvl w:val="3"/>
    </w:pPr>
    <w:rPr>
      <w:rFonts w:asciiTheme="majorHAnsi" w:hAnsiTheme="majorHAnsi" w:eastAsiaTheme="majorEastAsia" w:cstheme="majorBidi"/>
      <w:i/>
      <w:iCs/>
      <w:color w:val="2E75B5" w:themeColor="accent1" w:themeShade="BF"/>
      <w:sz w:val="22"/>
      <w:lang w:val="en-US"/>
    </w:rPr>
  </w:style>
  <w:style w:type="paragraph" w:styleId="6">
    <w:name w:val="heading 5"/>
    <w:basedOn w:val="1"/>
    <w:next w:val="1"/>
    <w:link w:val="29"/>
    <w:unhideWhenUsed/>
    <w:qFormat/>
    <w:uiPriority w:val="9"/>
    <w:pPr>
      <w:keepNext/>
      <w:keepLines/>
      <w:spacing w:before="40" w:line="259" w:lineRule="auto"/>
      <w:ind w:firstLine="0"/>
      <w:jc w:val="left"/>
      <w:outlineLvl w:val="4"/>
    </w:pPr>
    <w:rPr>
      <w:rFonts w:asciiTheme="majorHAnsi" w:hAnsiTheme="majorHAnsi" w:eastAsiaTheme="majorEastAsia" w:cstheme="majorBidi"/>
      <w:color w:val="2E75B5" w:themeColor="accent1" w:themeShade="BF"/>
      <w:sz w:val="22"/>
      <w:lang w:val="ru-RU"/>
    </w:rPr>
  </w:style>
  <w:style w:type="character" w:default="1" w:styleId="7">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character" w:styleId="9">
    <w:name w:val="annotation reference"/>
    <w:basedOn w:val="7"/>
    <w:semiHidden/>
    <w:unhideWhenUsed/>
    <w:qFormat/>
    <w:uiPriority w:val="99"/>
    <w:rPr>
      <w:sz w:val="16"/>
      <w:szCs w:val="16"/>
    </w:rPr>
  </w:style>
  <w:style w:type="character" w:styleId="10">
    <w:name w:val="Emphasis"/>
    <w:qFormat/>
    <w:uiPriority w:val="20"/>
    <w:rPr>
      <w:i/>
      <w:iCs/>
    </w:rPr>
  </w:style>
  <w:style w:type="character" w:styleId="11">
    <w:name w:val="Hyperlink"/>
    <w:basedOn w:val="7"/>
    <w:unhideWhenUsed/>
    <w:qFormat/>
    <w:uiPriority w:val="99"/>
    <w:rPr>
      <w:color w:val="0563C1" w:themeColor="hyperlink"/>
      <w:u w:val="single"/>
    </w:rPr>
  </w:style>
  <w:style w:type="character" w:styleId="12">
    <w:name w:val="Strong"/>
    <w:qFormat/>
    <w:uiPriority w:val="22"/>
    <w:rPr>
      <w:b/>
      <w:bCs/>
    </w:rPr>
  </w:style>
  <w:style w:type="character" w:styleId="13">
    <w:name w:val="HTML Cite"/>
    <w:basedOn w:val="7"/>
    <w:semiHidden/>
    <w:unhideWhenUsed/>
    <w:uiPriority w:val="99"/>
    <w:rPr>
      <w:i/>
      <w:iCs/>
    </w:rPr>
  </w:style>
  <w:style w:type="paragraph" w:styleId="14">
    <w:name w:val="Balloon Text"/>
    <w:basedOn w:val="1"/>
    <w:link w:val="35"/>
    <w:semiHidden/>
    <w:unhideWhenUsed/>
    <w:uiPriority w:val="99"/>
    <w:pPr>
      <w:spacing w:line="240" w:lineRule="auto"/>
    </w:pPr>
    <w:rPr>
      <w:rFonts w:ascii="Segoe UI" w:hAnsi="Segoe UI" w:cs="Segoe UI"/>
      <w:sz w:val="18"/>
      <w:szCs w:val="18"/>
    </w:rPr>
  </w:style>
  <w:style w:type="paragraph" w:styleId="15">
    <w:name w:val="Body Text 2"/>
    <w:basedOn w:val="1"/>
    <w:link w:val="30"/>
    <w:semiHidden/>
    <w:unhideWhenUsed/>
    <w:qFormat/>
    <w:uiPriority w:val="99"/>
    <w:pPr>
      <w:spacing w:after="120" w:line="480" w:lineRule="auto"/>
    </w:pPr>
  </w:style>
  <w:style w:type="paragraph" w:styleId="16">
    <w:name w:val="annotation text"/>
    <w:basedOn w:val="1"/>
    <w:link w:val="33"/>
    <w:unhideWhenUsed/>
    <w:uiPriority w:val="99"/>
    <w:pPr>
      <w:spacing w:line="240" w:lineRule="auto"/>
    </w:pPr>
    <w:rPr>
      <w:sz w:val="20"/>
      <w:szCs w:val="20"/>
    </w:rPr>
  </w:style>
  <w:style w:type="paragraph" w:styleId="17">
    <w:name w:val="annotation subject"/>
    <w:basedOn w:val="16"/>
    <w:next w:val="16"/>
    <w:link w:val="34"/>
    <w:semiHidden/>
    <w:unhideWhenUsed/>
    <w:uiPriority w:val="99"/>
    <w:rPr>
      <w:b/>
      <w:bCs/>
    </w:rPr>
  </w:style>
  <w:style w:type="paragraph" w:styleId="18">
    <w:name w:val="header"/>
    <w:basedOn w:val="1"/>
    <w:link w:val="31"/>
    <w:unhideWhenUsed/>
    <w:qFormat/>
    <w:uiPriority w:val="99"/>
    <w:pPr>
      <w:tabs>
        <w:tab w:val="center" w:pos="4677"/>
        <w:tab w:val="right" w:pos="9355"/>
      </w:tabs>
      <w:spacing w:line="240" w:lineRule="auto"/>
    </w:pPr>
  </w:style>
  <w:style w:type="paragraph" w:styleId="19">
    <w:name w:val="Body Text"/>
    <w:basedOn w:val="1"/>
    <w:link w:val="38"/>
    <w:unhideWhenUsed/>
    <w:qFormat/>
    <w:uiPriority w:val="99"/>
    <w:pPr>
      <w:spacing w:after="120"/>
    </w:pPr>
  </w:style>
  <w:style w:type="paragraph" w:styleId="20">
    <w:name w:val="toc 1"/>
    <w:basedOn w:val="1"/>
    <w:next w:val="1"/>
    <w:autoRedefine/>
    <w:unhideWhenUsed/>
    <w:qFormat/>
    <w:uiPriority w:val="39"/>
    <w:pPr>
      <w:widowControl w:val="0"/>
      <w:tabs>
        <w:tab w:val="right" w:leader="dot" w:pos="9345"/>
      </w:tabs>
      <w:autoSpaceDE w:val="0"/>
      <w:autoSpaceDN w:val="0"/>
      <w:ind w:firstLine="0"/>
    </w:pPr>
    <w:rPr>
      <w:rFonts w:eastAsia="Calibri" w:cs="Times New Roman"/>
      <w:b/>
      <w:bCs/>
      <w:lang w:eastAsia="uk-UA"/>
    </w:rPr>
  </w:style>
  <w:style w:type="paragraph" w:styleId="21">
    <w:name w:val="toc 2"/>
    <w:basedOn w:val="1"/>
    <w:next w:val="1"/>
    <w:autoRedefine/>
    <w:unhideWhenUsed/>
    <w:qFormat/>
    <w:uiPriority w:val="39"/>
    <w:pPr>
      <w:tabs>
        <w:tab w:val="right" w:leader="dot" w:pos="9345"/>
      </w:tabs>
      <w:spacing w:after="100"/>
    </w:pPr>
  </w:style>
  <w:style w:type="paragraph" w:styleId="22">
    <w:name w:val="footer"/>
    <w:basedOn w:val="1"/>
    <w:link w:val="32"/>
    <w:unhideWhenUsed/>
    <w:uiPriority w:val="99"/>
    <w:pPr>
      <w:tabs>
        <w:tab w:val="center" w:pos="4677"/>
        <w:tab w:val="right" w:pos="9355"/>
      </w:tabs>
      <w:spacing w:line="240" w:lineRule="auto"/>
    </w:pPr>
  </w:style>
  <w:style w:type="paragraph" w:styleId="23">
    <w:name w:val="Normal (Web)"/>
    <w:basedOn w:val="1"/>
    <w:unhideWhenUsed/>
    <w:uiPriority w:val="99"/>
    <w:pPr>
      <w:spacing w:before="100" w:beforeAutospacing="1" w:after="100" w:afterAutospacing="1" w:line="240" w:lineRule="auto"/>
      <w:ind w:firstLine="0"/>
      <w:jc w:val="left"/>
    </w:pPr>
    <w:rPr>
      <w:rFonts w:eastAsia="Times New Roman" w:cs="Times New Roman"/>
      <w:sz w:val="24"/>
      <w:szCs w:val="24"/>
      <w:lang w:eastAsia="uk-UA"/>
    </w:rPr>
  </w:style>
  <w:style w:type="table" w:styleId="24">
    <w:name w:val="Table Grid"/>
    <w:basedOn w:val="8"/>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25">
    <w:name w:val="Заголовок 1 Знак"/>
    <w:basedOn w:val="7"/>
    <w:link w:val="2"/>
    <w:qFormat/>
    <w:uiPriority w:val="0"/>
    <w:rPr>
      <w:rFonts w:ascii="Times New Roman" w:hAnsi="Times New Roman" w:eastAsiaTheme="majorEastAsia" w:cstheme="majorBidi"/>
      <w:b/>
      <w:sz w:val="28"/>
      <w:szCs w:val="32"/>
      <w:lang w:val="ru-RU" w:eastAsia="ru-RU"/>
    </w:rPr>
  </w:style>
  <w:style w:type="character" w:customStyle="1" w:styleId="26">
    <w:name w:val="Заголовок 2 Знак"/>
    <w:basedOn w:val="7"/>
    <w:link w:val="3"/>
    <w:qFormat/>
    <w:uiPriority w:val="9"/>
    <w:rPr>
      <w:rFonts w:ascii="Times New Roman" w:hAnsi="Times New Roman" w:eastAsiaTheme="majorEastAsia" w:cstheme="majorBidi"/>
      <w:b/>
      <w:sz w:val="28"/>
      <w:szCs w:val="26"/>
    </w:rPr>
  </w:style>
  <w:style w:type="character" w:customStyle="1" w:styleId="27">
    <w:name w:val="Заголовок 3 Знак"/>
    <w:basedOn w:val="7"/>
    <w:link w:val="4"/>
    <w:qFormat/>
    <w:uiPriority w:val="9"/>
    <w:rPr>
      <w:rFonts w:asciiTheme="majorHAnsi" w:hAnsiTheme="majorHAnsi" w:eastAsiaTheme="majorEastAsia" w:cstheme="majorBidi"/>
      <w:color w:val="1E4D78" w:themeColor="accent1" w:themeShade="7F"/>
      <w:sz w:val="24"/>
      <w:szCs w:val="24"/>
    </w:rPr>
  </w:style>
  <w:style w:type="character" w:customStyle="1" w:styleId="28">
    <w:name w:val="Заголовок 4 Знак"/>
    <w:basedOn w:val="7"/>
    <w:link w:val="5"/>
    <w:qFormat/>
    <w:uiPriority w:val="9"/>
    <w:rPr>
      <w:rFonts w:asciiTheme="majorHAnsi" w:hAnsiTheme="majorHAnsi" w:eastAsiaTheme="majorEastAsia" w:cstheme="majorBidi"/>
      <w:i/>
      <w:iCs/>
      <w:color w:val="2E75B5" w:themeColor="accent1" w:themeShade="BF"/>
      <w:lang w:val="en-US"/>
    </w:rPr>
  </w:style>
  <w:style w:type="character" w:customStyle="1" w:styleId="29">
    <w:name w:val="Заголовок 5 Знак"/>
    <w:basedOn w:val="7"/>
    <w:link w:val="6"/>
    <w:qFormat/>
    <w:uiPriority w:val="9"/>
    <w:rPr>
      <w:rFonts w:asciiTheme="majorHAnsi" w:hAnsiTheme="majorHAnsi" w:eastAsiaTheme="majorEastAsia" w:cstheme="majorBidi"/>
      <w:color w:val="2E75B5" w:themeColor="accent1" w:themeShade="BF"/>
      <w:lang w:val="ru-RU"/>
    </w:rPr>
  </w:style>
  <w:style w:type="character" w:customStyle="1" w:styleId="30">
    <w:name w:val="Основной текст 2 Знак"/>
    <w:basedOn w:val="7"/>
    <w:link w:val="15"/>
    <w:semiHidden/>
    <w:uiPriority w:val="99"/>
    <w:rPr>
      <w:rFonts w:ascii="Times New Roman" w:hAnsi="Times New Roman" w:eastAsia="Calibri" w:cs="Times New Roman"/>
      <w:sz w:val="28"/>
      <w:lang w:eastAsia="uk-UA"/>
    </w:rPr>
  </w:style>
  <w:style w:type="character" w:customStyle="1" w:styleId="31">
    <w:name w:val="Верхний колонтитул Знак"/>
    <w:basedOn w:val="7"/>
    <w:link w:val="18"/>
    <w:qFormat/>
    <w:uiPriority w:val="99"/>
    <w:rPr>
      <w:rFonts w:ascii="Times New Roman" w:hAnsi="Times New Roman"/>
      <w:sz w:val="28"/>
    </w:rPr>
  </w:style>
  <w:style w:type="character" w:customStyle="1" w:styleId="32">
    <w:name w:val="Нижний колонтитул Знак"/>
    <w:basedOn w:val="7"/>
    <w:link w:val="22"/>
    <w:qFormat/>
    <w:uiPriority w:val="99"/>
    <w:rPr>
      <w:rFonts w:ascii="Times New Roman" w:hAnsi="Times New Roman"/>
      <w:sz w:val="28"/>
    </w:rPr>
  </w:style>
  <w:style w:type="character" w:customStyle="1" w:styleId="33">
    <w:name w:val="Текст примечания Знак"/>
    <w:basedOn w:val="7"/>
    <w:link w:val="16"/>
    <w:uiPriority w:val="99"/>
    <w:rPr>
      <w:rFonts w:ascii="Times New Roman" w:hAnsi="Times New Roman"/>
      <w:sz w:val="20"/>
      <w:szCs w:val="20"/>
    </w:rPr>
  </w:style>
  <w:style w:type="character" w:customStyle="1" w:styleId="34">
    <w:name w:val="Тема примечания Знак"/>
    <w:basedOn w:val="33"/>
    <w:link w:val="17"/>
    <w:semiHidden/>
    <w:uiPriority w:val="99"/>
    <w:rPr>
      <w:rFonts w:ascii="Times New Roman" w:hAnsi="Times New Roman"/>
      <w:b/>
      <w:bCs/>
      <w:sz w:val="20"/>
      <w:szCs w:val="20"/>
    </w:rPr>
  </w:style>
  <w:style w:type="character" w:customStyle="1" w:styleId="35">
    <w:name w:val="Текст выноски Знак"/>
    <w:basedOn w:val="7"/>
    <w:link w:val="14"/>
    <w:semiHidden/>
    <w:uiPriority w:val="99"/>
    <w:rPr>
      <w:rFonts w:ascii="Segoe UI" w:hAnsi="Segoe UI" w:cs="Segoe UI"/>
      <w:sz w:val="18"/>
      <w:szCs w:val="18"/>
    </w:rPr>
  </w:style>
  <w:style w:type="character" w:customStyle="1" w:styleId="36">
    <w:name w:val="Незакрита згадка1"/>
    <w:basedOn w:val="7"/>
    <w:semiHidden/>
    <w:unhideWhenUsed/>
    <w:uiPriority w:val="99"/>
    <w:rPr>
      <w:color w:val="605E5C"/>
      <w:shd w:val="clear" w:color="auto" w:fill="E1DFDD"/>
    </w:rPr>
  </w:style>
  <w:style w:type="paragraph" w:customStyle="1" w:styleId="37">
    <w:name w:val="Default"/>
    <w:uiPriority w:val="0"/>
    <w:pPr>
      <w:autoSpaceDE w:val="0"/>
      <w:autoSpaceDN w:val="0"/>
      <w:adjustRightInd w:val="0"/>
      <w:spacing w:after="0" w:line="240" w:lineRule="auto"/>
    </w:pPr>
    <w:rPr>
      <w:rFonts w:ascii="Times New Roman" w:hAnsi="Times New Roman" w:eastAsia="Times New Roman" w:cs="Times New Roman"/>
      <w:color w:val="000000"/>
      <w:sz w:val="24"/>
      <w:szCs w:val="24"/>
      <w:lang w:val="ru-RU" w:eastAsia="ru-RU" w:bidi="ar-SA"/>
    </w:rPr>
  </w:style>
  <w:style w:type="character" w:customStyle="1" w:styleId="38">
    <w:name w:val="Основной текст Знак"/>
    <w:basedOn w:val="7"/>
    <w:link w:val="19"/>
    <w:uiPriority w:val="99"/>
    <w:rPr>
      <w:rFonts w:ascii="Times New Roman" w:hAnsi="Times New Roman"/>
      <w:sz w:val="28"/>
    </w:rPr>
  </w:style>
  <w:style w:type="character" w:customStyle="1" w:styleId="39">
    <w:name w:val="access-icon"/>
    <w:uiPriority w:val="0"/>
  </w:style>
  <w:style w:type="paragraph" w:styleId="40">
    <w:name w:val="List Paragraph"/>
    <w:basedOn w:val="1"/>
    <w:qFormat/>
    <w:uiPriority w:val="34"/>
    <w:pPr>
      <w:spacing w:after="160" w:line="259" w:lineRule="auto"/>
      <w:ind w:left="720" w:firstLine="0"/>
      <w:contextualSpacing/>
      <w:jc w:val="left"/>
    </w:pPr>
    <w:rPr>
      <w:rFonts w:ascii="Calibri" w:hAnsi="Calibri" w:eastAsia="Calibri" w:cs="Times New Roman"/>
      <w:sz w:val="22"/>
      <w:lang w:val="en-US"/>
    </w:rPr>
  </w:style>
  <w:style w:type="character" w:customStyle="1" w:styleId="41">
    <w:name w:val="Основной текст_"/>
    <w:basedOn w:val="7"/>
    <w:link w:val="42"/>
    <w:uiPriority w:val="0"/>
    <w:rPr>
      <w:rFonts w:ascii="Times New Roman" w:hAnsi="Times New Roman" w:eastAsia="Times New Roman"/>
      <w:sz w:val="12"/>
      <w:szCs w:val="12"/>
    </w:rPr>
  </w:style>
  <w:style w:type="paragraph" w:customStyle="1" w:styleId="42">
    <w:name w:val="Основной текст1"/>
    <w:basedOn w:val="1"/>
    <w:link w:val="41"/>
    <w:uiPriority w:val="0"/>
    <w:pPr>
      <w:widowControl w:val="0"/>
      <w:spacing w:line="254" w:lineRule="auto"/>
      <w:ind w:firstLine="200"/>
      <w:jc w:val="left"/>
    </w:pPr>
    <w:rPr>
      <w:rFonts w:eastAsia="Times New Roman"/>
      <w:sz w:val="12"/>
      <w:szCs w:val="12"/>
    </w:rPr>
  </w:style>
  <w:style w:type="table" w:customStyle="1" w:styleId="43">
    <w:name w:val="Мой стиль"/>
    <w:basedOn w:val="44"/>
    <w:uiPriority w:val="99"/>
    <w:rPr>
      <w:rFonts w:ascii="Times New Roman" w:hAnsi="Times New Roman"/>
      <w:sz w:val="28"/>
      <w:szCs w:val="20"/>
      <w:lang w:val="en-US" w:eastAsia="uk-UA"/>
    </w:rPr>
    <w:tblPr>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
    <w:tblStylePr w:type="firstRow">
      <w:rPr>
        <w:rFonts w:ascii="Times New Roman" w:hAnsi="Times New Roman"/>
        <w:b/>
        <w:bCs/>
        <w:sz w:val="28"/>
      </w:rPr>
      <w:tcPr>
        <w:tcBorders>
          <w:bottom w:val="single" w:color="666666" w:themeColor="text1" w:themeTint="99" w:sz="12" w:space="0"/>
        </w:tcBorders>
      </w:tcPr>
    </w:tblStylePr>
    <w:tblStylePr w:type="lastRow">
      <w:rPr>
        <w:b/>
        <w:bCs/>
      </w:rPr>
      <w:tcPr>
        <w:tcBorders>
          <w:top w:val="double" w:color="666666" w:themeColor="text1" w:themeTint="99" w:sz="2" w:space="0"/>
        </w:tcBorders>
      </w:tcPr>
    </w:tblStylePr>
    <w:tblStylePr w:type="firstCol">
      <w:rPr>
        <w:rFonts w:ascii="Times New Roman" w:hAnsi="Times New Roman"/>
        <w:b w:val="0"/>
        <w:bCs/>
        <w:i/>
        <w:sz w:val="28"/>
      </w:rPr>
    </w:tblStylePr>
    <w:tblStylePr w:type="lastCol">
      <w:rPr>
        <w:b/>
        <w:bCs/>
      </w:rPr>
    </w:tblStylePr>
  </w:style>
  <w:style w:type="table" w:customStyle="1" w:styleId="44">
    <w:name w:val="Таблиця-сітка 1 (світла)1"/>
    <w:basedOn w:val="8"/>
    <w:uiPriority w:val="46"/>
    <w:pPr>
      <w:spacing w:after="0" w:line="240" w:lineRule="auto"/>
    </w:pPr>
    <w:tblPr>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
    <w:tblStylePr w:type="firstRow">
      <w:rPr>
        <w:b/>
        <w:bCs/>
      </w:rPr>
      <w:tcPr>
        <w:tcBorders>
          <w:bottom w:val="single" w:color="666666" w:themeColor="text1" w:themeTint="99" w:sz="12" w:space="0"/>
        </w:tcBorders>
      </w:tcPr>
    </w:tblStylePr>
    <w:tblStylePr w:type="lastRow">
      <w:rPr>
        <w:b/>
        <w:bCs/>
      </w:rPr>
      <w:tcPr>
        <w:tcBorders>
          <w:top w:val="double" w:color="666666" w:themeColor="text1" w:themeTint="99" w:sz="2" w:space="0"/>
        </w:tcBorders>
      </w:tcPr>
    </w:tblStylePr>
    <w:tblStylePr w:type="firstCol">
      <w:rPr>
        <w:b/>
        <w:bCs/>
      </w:rPr>
    </w:tblStylePr>
    <w:tblStylePr w:type="lastCol">
      <w:rPr>
        <w:b/>
        <w:bCs/>
      </w:rPr>
    </w:tblStylePr>
  </w:style>
  <w:style w:type="table" w:customStyle="1" w:styleId="45">
    <w:name w:val="Мій стиль"/>
    <w:basedOn w:val="8"/>
    <w:uiPriority w:val="99"/>
    <w:pPr>
      <w:spacing w:after="0" w:line="240" w:lineRule="auto"/>
    </w:pPr>
    <w:rPr>
      <w:rFonts w:ascii="Times New Roman" w:hAnsi="Times New Roman"/>
      <w:sz w:val="28"/>
    </w:rPr>
    <w:tblPr>
      <w:tblBorders>
        <w:top w:val="single" w:color="A5A5A5" w:themeColor="background1" w:themeShade="A6" w:sz="4" w:space="0"/>
        <w:left w:val="single" w:color="A5A5A5" w:themeColor="background1" w:themeShade="A6" w:sz="4" w:space="0"/>
        <w:bottom w:val="single" w:color="A5A5A5" w:themeColor="background1" w:themeShade="A6" w:sz="4" w:space="0"/>
        <w:right w:val="single" w:color="A5A5A5" w:themeColor="background1" w:themeShade="A6" w:sz="4" w:space="0"/>
        <w:insideH w:val="single" w:color="A5A5A5" w:themeColor="background1" w:themeShade="A6" w:sz="4" w:space="0"/>
        <w:insideV w:val="single" w:color="A5A5A5" w:themeColor="background1" w:themeShade="A6" w:sz="4" w:space="0"/>
      </w:tblBorders>
      <w:tblCellMar>
        <w:top w:w="0" w:type="dxa"/>
        <w:left w:w="108" w:type="dxa"/>
        <w:bottom w:w="0" w:type="dxa"/>
        <w:right w:w="108" w:type="dxa"/>
      </w:tblCellMar>
    </w:tblPr>
    <w:tblStylePr w:type="firstRow">
      <w:rPr>
        <w:rFonts w:ascii="Times New Roman" w:hAnsi="Times New Roman"/>
        <w:b/>
        <w:sz w:val="28"/>
      </w:rPr>
      <w:tcPr>
        <w:tcBorders>
          <w:top w:val="single" w:color="auto" w:sz="4" w:space="0"/>
          <w:bottom w:val="single" w:color="auto" w:sz="4" w:space="0"/>
        </w:tcBorders>
      </w:tcPr>
    </w:tblStylePr>
    <w:tblStylePr w:type="lastRow">
      <w:rPr>
        <w:rFonts w:ascii="Times New Roman" w:hAnsi="Times New Roman"/>
        <w:sz w:val="28"/>
      </w:rPr>
      <w:tcPr>
        <w:tcBorders>
          <w:bottom w:val="single" w:color="auto" w:sz="4" w:space="0"/>
        </w:tcBorders>
      </w:tcPr>
    </w:tblStylePr>
    <w:tblStylePr w:type="firstCol">
      <w:rPr>
        <w:rFonts w:ascii="Times New Roman" w:hAnsi="Times New Roman"/>
        <w:i/>
        <w:sz w:val="28"/>
      </w:rPr>
    </w:tblStylePr>
  </w:style>
  <w:style w:type="paragraph" w:customStyle="1" w:styleId="46">
    <w:name w:val="Общий текст"/>
    <w:basedOn w:val="1"/>
    <w:link w:val="47"/>
    <w:qFormat/>
    <w:uiPriority w:val="0"/>
    <w:pPr>
      <w:widowControl w:val="0"/>
      <w:suppressAutoHyphens/>
    </w:pPr>
    <w:rPr>
      <w:rFonts w:eastAsia="Arial Unicode MS" w:cs="Arial Unicode MS"/>
      <w:kern w:val="1"/>
      <w:szCs w:val="28"/>
      <w:lang w:eastAsia="hi-IN" w:bidi="hi-IN"/>
    </w:rPr>
  </w:style>
  <w:style w:type="character" w:customStyle="1" w:styleId="47">
    <w:name w:val="Общий текст Знак"/>
    <w:basedOn w:val="7"/>
    <w:link w:val="46"/>
    <w:uiPriority w:val="0"/>
    <w:rPr>
      <w:rFonts w:ascii="Times New Roman" w:hAnsi="Times New Roman" w:eastAsia="Arial Unicode MS" w:cs="Arial Unicode MS"/>
      <w:kern w:val="1"/>
      <w:sz w:val="28"/>
      <w:szCs w:val="28"/>
      <w:lang w:eastAsia="hi-IN" w:bidi="hi-IN"/>
    </w:rPr>
  </w:style>
  <w:style w:type="character" w:customStyle="1" w:styleId="48">
    <w:name w:val="ref-title"/>
    <w:basedOn w:val="7"/>
    <w:uiPriority w:val="0"/>
  </w:style>
  <w:style w:type="character" w:customStyle="1" w:styleId="49">
    <w:name w:val="ref-journal"/>
    <w:basedOn w:val="7"/>
    <w:uiPriority w:val="0"/>
  </w:style>
  <w:style w:type="character" w:customStyle="1" w:styleId="50">
    <w:name w:val="ref-vol"/>
    <w:basedOn w:val="7"/>
    <w:uiPriority w:val="0"/>
  </w:style>
  <w:style w:type="character" w:customStyle="1" w:styleId="51">
    <w:name w:val="html-italic"/>
    <w:basedOn w:val="7"/>
    <w:uiPriority w:val="0"/>
  </w:style>
  <w:style w:type="character" w:customStyle="1" w:styleId="52">
    <w:name w:val="article-header__doi__label"/>
    <w:basedOn w:val="7"/>
    <w:uiPriority w:val="0"/>
  </w:style>
  <w:style w:type="character" w:customStyle="1" w:styleId="53">
    <w:name w:val="id-label"/>
    <w:basedOn w:val="7"/>
    <w:uiPriority w:val="0"/>
  </w:style>
  <w:style w:type="character" w:customStyle="1" w:styleId="54">
    <w:name w:val="comma-separator"/>
    <w:basedOn w:val="7"/>
    <w:uiPriority w:val="0"/>
  </w:style>
  <w:style w:type="character" w:customStyle="1" w:styleId="55">
    <w:name w:val="val"/>
    <w:basedOn w:val="7"/>
    <w:uiPriority w:val="0"/>
  </w:style>
  <w:style w:type="character" w:customStyle="1" w:styleId="56">
    <w:name w:val="author"/>
    <w:basedOn w:val="7"/>
    <w:uiPriority w:val="0"/>
  </w:style>
  <w:style w:type="character" w:customStyle="1" w:styleId="57">
    <w:name w:val="articletitle"/>
    <w:basedOn w:val="7"/>
    <w:uiPriority w:val="0"/>
  </w:style>
  <w:style w:type="character" w:customStyle="1" w:styleId="58">
    <w:name w:val="pubyear"/>
    <w:basedOn w:val="7"/>
    <w:uiPriority w:val="0"/>
  </w:style>
  <w:style w:type="character" w:customStyle="1" w:styleId="59">
    <w:name w:val="vol"/>
    <w:basedOn w:val="7"/>
    <w:uiPriority w:val="0"/>
  </w:style>
  <w:style w:type="character" w:customStyle="1" w:styleId="60">
    <w:name w:val="pagefirst"/>
    <w:basedOn w:val="7"/>
    <w:uiPriority w:val="0"/>
  </w:style>
  <w:style w:type="character" w:customStyle="1" w:styleId="61">
    <w:name w:val="pagelast"/>
    <w:basedOn w:val="7"/>
    <w:uiPriority w:val="0"/>
  </w:style>
  <w:style w:type="character" w:customStyle="1" w:styleId="62">
    <w:name w:val="citedissue"/>
    <w:basedOn w:val="7"/>
    <w:uiPriority w:val="0"/>
  </w:style>
  <w:style w:type="character" w:customStyle="1" w:styleId="63">
    <w:name w:val="ref-iss"/>
    <w:basedOn w:val="7"/>
    <w:uiPriority w:val="0"/>
  </w:style>
  <w:style w:type="character" w:customStyle="1" w:styleId="64">
    <w:name w:val="accordion-tabbed__tab-mobile"/>
    <w:basedOn w:val="7"/>
    <w:uiPriority w:val="0"/>
  </w:style>
  <w:style w:type="character" w:customStyle="1" w:styleId="65">
    <w:name w:val="identifier"/>
    <w:basedOn w:val="7"/>
    <w:uiPriority w:val="0"/>
  </w:style>
  <w:style w:type="character" w:customStyle="1" w:styleId="66">
    <w:name w:val="groupname"/>
    <w:basedOn w:val="7"/>
    <w:uiPriority w:val="0"/>
  </w:style>
  <w:style w:type="character" w:customStyle="1" w:styleId="67">
    <w:name w:val="othertitle"/>
    <w:basedOn w:val="7"/>
    <w:uiPriority w:val="0"/>
  </w:style>
  <w:style w:type="character" w:customStyle="1" w:styleId="68">
    <w:name w:val="epub-date"/>
    <w:basedOn w:val="7"/>
    <w:uiPriority w:val="0"/>
  </w:style>
  <w:style w:type="character" w:customStyle="1" w:styleId="69">
    <w:name w:val="booktitle"/>
    <w:basedOn w:val="7"/>
    <w:uiPriority w:val="0"/>
  </w:style>
  <w:style w:type="character" w:customStyle="1" w:styleId="70">
    <w:name w:val="publisherlocation"/>
    <w:basedOn w:val="7"/>
    <w:uiPriority w:val="0"/>
  </w:style>
  <w:style w:type="character" w:customStyle="1" w:styleId="71">
    <w:name w:val="bullet"/>
    <w:basedOn w:val="7"/>
    <w:uiPriority w:val="0"/>
  </w:style>
  <w:style w:type="character" w:customStyle="1" w:styleId="72">
    <w:name w:val="highwire-citation-authors"/>
    <w:basedOn w:val="7"/>
    <w:uiPriority w:val="0"/>
  </w:style>
  <w:style w:type="character" w:customStyle="1" w:styleId="73">
    <w:name w:val="highwire-citation-author"/>
    <w:basedOn w:val="7"/>
    <w:uiPriority w:val="0"/>
  </w:style>
  <w:style w:type="character" w:customStyle="1" w:styleId="74">
    <w:name w:val="highwire-cite-metadata-journal"/>
    <w:basedOn w:val="7"/>
    <w:uiPriority w:val="0"/>
  </w:style>
  <w:style w:type="character" w:customStyle="1" w:styleId="75">
    <w:name w:val="highwire-cite-metadata-date"/>
    <w:basedOn w:val="7"/>
    <w:uiPriority w:val="0"/>
  </w:style>
  <w:style w:type="character" w:customStyle="1" w:styleId="76">
    <w:name w:val="highwire-cite-metadata-volume"/>
    <w:basedOn w:val="7"/>
    <w:uiPriority w:val="0"/>
  </w:style>
  <w:style w:type="character" w:customStyle="1" w:styleId="77">
    <w:name w:val="highwire-cite-metadata-issue"/>
    <w:basedOn w:val="7"/>
    <w:uiPriority w:val="0"/>
  </w:style>
  <w:style w:type="character" w:customStyle="1" w:styleId="78">
    <w:name w:val="highwire-cite-metadata-pages"/>
    <w:basedOn w:val="7"/>
    <w:uiPriority w:val="0"/>
  </w:style>
  <w:style w:type="character" w:customStyle="1" w:styleId="79">
    <w:name w:val="highwire-cite-metadata-doi"/>
    <w:basedOn w:val="7"/>
    <w:uiPriority w:val="0"/>
  </w:style>
  <w:style w:type="character" w:customStyle="1" w:styleId="80">
    <w:name w:val="boxed-text-label"/>
    <w:basedOn w:val="7"/>
    <w:uiPriority w:val="0"/>
  </w:style>
  <w:style w:type="character" w:customStyle="1" w:styleId="81">
    <w:name w:val="fn-label"/>
    <w:basedOn w:val="7"/>
    <w:uiPriority w:val="0"/>
  </w:style>
  <w:style w:type="character" w:customStyle="1" w:styleId="82">
    <w:name w:val="fm-vol-iss-date"/>
    <w:basedOn w:val="7"/>
    <w:uiPriority w:val="0"/>
  </w:style>
  <w:style w:type="character" w:customStyle="1" w:styleId="83">
    <w:name w:val="doi"/>
    <w:basedOn w:val="7"/>
    <w:uiPriority w:val="0"/>
  </w:style>
  <w:style w:type="character" w:customStyle="1" w:styleId="84">
    <w:name w:val="cit-auth"/>
    <w:basedOn w:val="7"/>
    <w:uiPriority w:val="0"/>
  </w:style>
  <w:style w:type="character" w:customStyle="1" w:styleId="85">
    <w:name w:val="cit-name-surname"/>
    <w:basedOn w:val="7"/>
    <w:uiPriority w:val="0"/>
  </w:style>
  <w:style w:type="character" w:customStyle="1" w:styleId="86">
    <w:name w:val="cit-name-given-names"/>
    <w:basedOn w:val="7"/>
    <w:uiPriority w:val="0"/>
  </w:style>
  <w:style w:type="character" w:customStyle="1" w:styleId="87">
    <w:name w:val="cit-etal"/>
    <w:basedOn w:val="7"/>
    <w:uiPriority w:val="0"/>
  </w:style>
  <w:style w:type="character" w:customStyle="1" w:styleId="88">
    <w:name w:val="cit-article-title"/>
    <w:basedOn w:val="7"/>
    <w:uiPriority w:val="0"/>
  </w:style>
  <w:style w:type="character" w:customStyle="1" w:styleId="89">
    <w:name w:val="cit-pub-date"/>
    <w:basedOn w:val="7"/>
    <w:uiPriority w:val="0"/>
  </w:style>
  <w:style w:type="character" w:customStyle="1" w:styleId="90">
    <w:name w:val="cit-pub-id-sep"/>
    <w:basedOn w:val="7"/>
    <w:uiPriority w:val="0"/>
  </w:style>
  <w:style w:type="character" w:customStyle="1" w:styleId="91">
    <w:name w:val="cit-pub-id-scheme"/>
    <w:basedOn w:val="7"/>
    <w:uiPriority w:val="0"/>
  </w:style>
  <w:style w:type="character" w:customStyle="1" w:styleId="92">
    <w:name w:val="cit-pub-id"/>
    <w:basedOn w:val="7"/>
    <w:uiPriority w:val="0"/>
  </w:style>
  <w:style w:type="character" w:customStyle="1" w:styleId="93">
    <w:name w:val="cit-month"/>
    <w:basedOn w:val="7"/>
    <w:uiPriority w:val="0"/>
  </w:style>
  <w:style w:type="character" w:customStyle="1" w:styleId="94">
    <w:name w:val="cit-day"/>
    <w:basedOn w:val="7"/>
    <w:uiPriority w:val="0"/>
  </w:style>
  <w:style w:type="paragraph" w:customStyle="1" w:styleId="95">
    <w:name w:val="c-article-references__text"/>
    <w:basedOn w:val="1"/>
    <w:uiPriority w:val="0"/>
    <w:pPr>
      <w:spacing w:before="100" w:beforeAutospacing="1" w:after="100" w:afterAutospacing="1" w:line="240" w:lineRule="auto"/>
      <w:ind w:firstLine="0"/>
      <w:jc w:val="left"/>
    </w:pPr>
    <w:rPr>
      <w:rFonts w:eastAsia="Times New Roman" w:cs="Times New Roman"/>
      <w:sz w:val="24"/>
      <w:szCs w:val="24"/>
      <w:lang w:val="ru-RU" w:eastAsia="ru-RU"/>
    </w:rPr>
  </w:style>
  <w:style w:type="paragraph" w:customStyle="1" w:styleId="96">
    <w:name w:val="c-article-references__links"/>
    <w:basedOn w:val="1"/>
    <w:uiPriority w:val="0"/>
    <w:pPr>
      <w:spacing w:before="100" w:beforeAutospacing="1" w:after="100" w:afterAutospacing="1" w:line="240" w:lineRule="auto"/>
      <w:ind w:firstLine="0"/>
      <w:jc w:val="left"/>
    </w:pPr>
    <w:rPr>
      <w:rFonts w:eastAsia="Times New Roman" w:cs="Times New Roman"/>
      <w:sz w:val="24"/>
      <w:szCs w:val="24"/>
      <w:lang w:val="ru-RU" w:eastAsia="ru-RU"/>
    </w:rPr>
  </w:style>
  <w:style w:type="character" w:customStyle="1" w:styleId="97">
    <w:name w:val="text"/>
    <w:basedOn w:val="7"/>
    <w:uiPriority w:val="0"/>
  </w:style>
  <w:style w:type="character" w:customStyle="1" w:styleId="98">
    <w:name w:val="anchor-text"/>
    <w:basedOn w:val="7"/>
    <w:uiPriority w:val="0"/>
  </w:style>
  <w:style w:type="paragraph" w:customStyle="1" w:styleId="99">
    <w:name w:val="p"/>
    <w:basedOn w:val="1"/>
    <w:uiPriority w:val="0"/>
    <w:pPr>
      <w:spacing w:before="100" w:beforeAutospacing="1" w:after="100" w:afterAutospacing="1" w:line="240" w:lineRule="auto"/>
      <w:ind w:firstLine="0"/>
      <w:jc w:val="left"/>
    </w:pPr>
    <w:rPr>
      <w:rFonts w:eastAsia="Times New Roman" w:cs="Times New Roman"/>
      <w:sz w:val="24"/>
      <w:szCs w:val="24"/>
      <w:lang w:val="ru-RU" w:eastAsia="ru-RU"/>
    </w:rPr>
  </w:style>
  <w:style w:type="character" w:customStyle="1" w:styleId="100">
    <w:name w:val="figpopup-sensitive-area"/>
    <w:basedOn w:val="7"/>
    <w:uiPriority w:val="0"/>
  </w:style>
  <w:style w:type="paragraph" w:customStyle="1" w:styleId="101">
    <w:name w:val="chapter-para"/>
    <w:basedOn w:val="1"/>
    <w:uiPriority w:val="0"/>
    <w:pPr>
      <w:spacing w:before="100" w:beforeAutospacing="1" w:after="100" w:afterAutospacing="1" w:line="240" w:lineRule="auto"/>
      <w:ind w:firstLine="0"/>
      <w:jc w:val="left"/>
    </w:pPr>
    <w:rPr>
      <w:rFonts w:eastAsia="Times New Roman" w:cs="Times New Roman"/>
      <w:sz w:val="24"/>
      <w:szCs w:val="24"/>
      <w:lang w:val="ru-RU" w:eastAsia="ru-RU"/>
    </w:rPr>
  </w:style>
  <w:style w:type="character" w:customStyle="1" w:styleId="102">
    <w:name w:val="name"/>
    <w:basedOn w:val="7"/>
    <w:uiPriority w:val="0"/>
  </w:style>
  <w:style w:type="paragraph" w:customStyle="1" w:styleId="103">
    <w:name w:val="Table Paragraph"/>
    <w:basedOn w:val="1"/>
    <w:qFormat/>
    <w:uiPriority w:val="1"/>
    <w:pPr>
      <w:widowControl w:val="0"/>
      <w:autoSpaceDE w:val="0"/>
      <w:autoSpaceDN w:val="0"/>
      <w:spacing w:line="240" w:lineRule="auto"/>
      <w:ind w:firstLine="0"/>
      <w:jc w:val="left"/>
    </w:pPr>
    <w:rPr>
      <w:rFonts w:eastAsia="Times New Roman" w:cs="Times New Roman"/>
      <w:sz w:val="22"/>
    </w:rPr>
  </w:style>
  <w:style w:type="character" w:customStyle="1" w:styleId="104">
    <w:name w:val="hps"/>
    <w:basedOn w:val="7"/>
    <w:uiPriority w:val="0"/>
  </w:style>
  <w:style w:type="character" w:customStyle="1" w:styleId="105">
    <w:name w:val="cf01"/>
    <w:basedOn w:val="7"/>
    <w:uiPriority w:val="0"/>
    <w:rPr>
      <w:rFonts w:hint="default" w:ascii="Segoe UI" w:hAnsi="Segoe UI" w:cs="Segoe UI"/>
      <w:sz w:val="18"/>
      <w:szCs w:val="18"/>
    </w:rPr>
  </w:style>
  <w:style w:type="character" w:customStyle="1" w:styleId="106">
    <w:name w:val="cf11"/>
    <w:basedOn w:val="7"/>
    <w:uiPriority w:val="0"/>
    <w:rPr>
      <w:rFonts w:hint="default" w:ascii="Segoe UI" w:hAnsi="Segoe UI" w:cs="Segoe UI"/>
      <w:sz w:val="18"/>
      <w:szCs w:val="18"/>
    </w:rPr>
  </w:style>
  <w:style w:type="character" w:customStyle="1" w:styleId="107">
    <w:name w:val="Незакрита згадка2"/>
    <w:basedOn w:val="7"/>
    <w:semiHidden/>
    <w:unhideWhenUsed/>
    <w:uiPriority w:val="99"/>
    <w:rPr>
      <w:color w:val="605E5C"/>
      <w:shd w:val="clear" w:color="auto" w:fill="E1DFDD"/>
    </w:rPr>
  </w:style>
  <w:style w:type="character" w:customStyle="1" w:styleId="108">
    <w:name w:val="docdata"/>
    <w:basedOn w:val="7"/>
    <w:uiPriority w:val="0"/>
  </w:style>
  <w:style w:type="character" w:customStyle="1" w:styleId="109">
    <w:name w:val="Unresolved Mention"/>
    <w:basedOn w:val="7"/>
    <w:semiHidden/>
    <w:unhideWhenUsed/>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emf"/><Relationship Id="rId7" Type="http://schemas.openxmlformats.org/officeDocument/2006/relationships/oleObject" Target="embeddings/oleObject1.bin"/><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numbering" Target="numbering.xml"/><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F95E69-74C7-4962-A019-8E5E9D466597}">
  <ds:schemaRefs/>
</ds:datastoreItem>
</file>

<file path=docProps/app.xml><?xml version="1.0" encoding="utf-8"?>
<Properties xmlns="http://schemas.openxmlformats.org/officeDocument/2006/extended-properties" xmlns:vt="http://schemas.openxmlformats.org/officeDocument/2006/docPropsVTypes">
  <Template>Normal</Template>
  <Pages>172</Pages>
  <Words>46372</Words>
  <Characters>264327</Characters>
  <Lines>2202</Lines>
  <Paragraphs>620</Paragraphs>
  <TotalTime>3464</TotalTime>
  <ScaleCrop>false</ScaleCrop>
  <LinksUpToDate>false</LinksUpToDate>
  <CharactersWithSpaces>310079</CharactersWithSpaces>
  <Application>WPS Office_12.2.0.18911_F1E327BC-269C-435d-A152-05C5408002CA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2023-12-07T13:37:00Z</dcterms:created>
  <dc:creator>Windows User</dc:creator>
  <dc:description>5 версія+ переклад анотації.
- скорочені анотації
- перевірені помилки
- внесені зміни.</dc:description>
  <cp:lastModifiedBy>Anatoliy Gavrylov</cp:lastModifiedBy>
  <dcterms:modified xsi:type="dcterms:W3CDTF">2024-11-29T19:45:52Z</dcterms:modified>
  <cp:revision>839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1049-12.2.0.18911</vt:lpwstr>
  </property>
  <property fmtid="{D5CDD505-2E9C-101B-9397-08002B2CF9AE}" pid="3" name="ICV">
    <vt:lpwstr>313B2D7A2B6B4F3AA67F53726ABF93BB_12</vt:lpwstr>
  </property>
</Properties>
</file>