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800" w:rsidRDefault="008A5B77" w:rsidP="00D353D3">
      <w:pPr>
        <w:pStyle w:val="NoSpacing"/>
        <w:jc w:val="center"/>
        <w:rPr>
          <w:rFonts w:ascii="Times New Roman" w:hAnsi="Times New Roman" w:cs="Times New Roman"/>
          <w:sz w:val="28"/>
          <w:szCs w:val="28"/>
        </w:rPr>
      </w:pPr>
      <w:r w:rsidRPr="00372DBA">
        <w:rPr>
          <w:rFonts w:ascii="Times New Roman" w:hAnsi="Times New Roman" w:cs="Times New Roman"/>
          <w:sz w:val="28"/>
          <w:szCs w:val="28"/>
        </w:rPr>
        <w:t>ЛЬВІВСЬКИЙ НАЦІОНАЛЬНИЙ МЕДИЧНИЙ УНІВЕРСИТЕТ ІМЕНІ ДАНИЛА ГАЛИЦЬКОГО</w:t>
      </w:r>
    </w:p>
    <w:p w:rsidR="008A5B77" w:rsidRPr="00372DBA" w:rsidRDefault="008A5B77" w:rsidP="008A5B77">
      <w:pPr>
        <w:pStyle w:val="NoSpacing"/>
        <w:jc w:val="center"/>
        <w:rPr>
          <w:rFonts w:ascii="Times New Roman" w:hAnsi="Times New Roman" w:cs="Times New Roman"/>
          <w:sz w:val="28"/>
          <w:szCs w:val="28"/>
        </w:rPr>
      </w:pPr>
      <w:r w:rsidRPr="00372DBA">
        <w:rPr>
          <w:rFonts w:ascii="Times New Roman" w:hAnsi="Times New Roman" w:cs="Times New Roman"/>
          <w:sz w:val="28"/>
          <w:szCs w:val="28"/>
        </w:rPr>
        <w:t>МІНІСТЕРСТВО ОХОРОНИ ЗДОРОВ’Я УКРАЇНИ</w:t>
      </w:r>
    </w:p>
    <w:p w:rsidR="008A5B77" w:rsidRDefault="008A5B77" w:rsidP="008A5B77">
      <w:pPr>
        <w:pStyle w:val="NoSpacing"/>
        <w:jc w:val="center"/>
        <w:rPr>
          <w:rFonts w:ascii="Times New Roman" w:hAnsi="Times New Roman" w:cs="Times New Roman"/>
          <w:sz w:val="28"/>
          <w:szCs w:val="28"/>
        </w:rPr>
      </w:pPr>
    </w:p>
    <w:p w:rsidR="008A5B77" w:rsidRDefault="008A5B77" w:rsidP="008A5B77">
      <w:pPr>
        <w:pStyle w:val="NoSpacing"/>
        <w:jc w:val="center"/>
        <w:rPr>
          <w:rFonts w:ascii="Times New Roman" w:hAnsi="Times New Roman" w:cs="Times New Roman"/>
          <w:sz w:val="28"/>
          <w:szCs w:val="28"/>
        </w:rPr>
      </w:pPr>
      <w:r w:rsidRPr="00372DBA">
        <w:rPr>
          <w:rFonts w:ascii="Times New Roman" w:hAnsi="Times New Roman" w:cs="Times New Roman"/>
          <w:sz w:val="28"/>
          <w:szCs w:val="28"/>
        </w:rPr>
        <w:t>ХАРКІВСЬКИЙ НАЦІОНАЛЬНИЙ МЕДИЧНИЙ УНІВЕРСИТЕТ</w:t>
      </w:r>
    </w:p>
    <w:p w:rsidR="00E9692A" w:rsidRPr="00372DBA" w:rsidRDefault="00E9692A" w:rsidP="00D353D3">
      <w:pPr>
        <w:pStyle w:val="NoSpacing"/>
        <w:jc w:val="center"/>
        <w:rPr>
          <w:rFonts w:ascii="Times New Roman" w:hAnsi="Times New Roman" w:cs="Times New Roman"/>
          <w:sz w:val="28"/>
          <w:szCs w:val="28"/>
        </w:rPr>
      </w:pPr>
      <w:r w:rsidRPr="00372DBA">
        <w:rPr>
          <w:rFonts w:ascii="Times New Roman" w:hAnsi="Times New Roman" w:cs="Times New Roman"/>
          <w:sz w:val="28"/>
          <w:szCs w:val="28"/>
        </w:rPr>
        <w:t>МІНІСТЕРСТВО ОХОРОНИ ЗДОРОВ’Я УКРАЇНИ</w:t>
      </w:r>
    </w:p>
    <w:p w:rsidR="006A084E" w:rsidRPr="00372DBA" w:rsidRDefault="006A084E" w:rsidP="00694567">
      <w:pPr>
        <w:pStyle w:val="NoSpacing"/>
        <w:jc w:val="center"/>
        <w:rPr>
          <w:rFonts w:ascii="Times New Roman" w:hAnsi="Times New Roman" w:cs="Times New Roman"/>
          <w:sz w:val="28"/>
          <w:szCs w:val="28"/>
        </w:rPr>
      </w:pPr>
    </w:p>
    <w:p w:rsidR="000612E6" w:rsidRPr="00372DBA" w:rsidRDefault="000612E6">
      <w:pPr>
        <w:rPr>
          <w:rFonts w:ascii="Times New Roman" w:hAnsi="Times New Roman" w:cs="Times New Roman"/>
          <w:sz w:val="28"/>
          <w:szCs w:val="28"/>
        </w:rPr>
      </w:pPr>
    </w:p>
    <w:p w:rsidR="006A084E" w:rsidRPr="00372DBA" w:rsidRDefault="006A084E" w:rsidP="008A5B77">
      <w:pPr>
        <w:pStyle w:val="NoSpacing"/>
        <w:spacing w:line="360" w:lineRule="auto"/>
        <w:ind w:firstLine="6096"/>
        <w:rPr>
          <w:rFonts w:ascii="Times New Roman" w:hAnsi="Times New Roman" w:cs="Times New Roman"/>
          <w:sz w:val="28"/>
          <w:szCs w:val="28"/>
        </w:rPr>
      </w:pPr>
      <w:r w:rsidRPr="00372DBA">
        <w:rPr>
          <w:rFonts w:ascii="Times New Roman" w:hAnsi="Times New Roman" w:cs="Times New Roman"/>
          <w:sz w:val="28"/>
          <w:szCs w:val="28"/>
        </w:rPr>
        <w:t>Кваліфікаційна наукова</w:t>
      </w:r>
    </w:p>
    <w:p w:rsidR="000612E6" w:rsidRPr="00372DBA" w:rsidRDefault="006A084E" w:rsidP="008A5B77">
      <w:pPr>
        <w:pStyle w:val="NoSpacing"/>
        <w:spacing w:line="360" w:lineRule="auto"/>
        <w:ind w:firstLine="6096"/>
        <w:rPr>
          <w:rFonts w:ascii="Times New Roman" w:hAnsi="Times New Roman" w:cs="Times New Roman"/>
          <w:sz w:val="28"/>
          <w:szCs w:val="28"/>
        </w:rPr>
      </w:pPr>
      <w:r w:rsidRPr="00372DBA">
        <w:rPr>
          <w:rFonts w:ascii="Times New Roman" w:hAnsi="Times New Roman" w:cs="Times New Roman"/>
          <w:sz w:val="28"/>
          <w:szCs w:val="28"/>
        </w:rPr>
        <w:t>праця н</w:t>
      </w:r>
      <w:r w:rsidR="000612E6" w:rsidRPr="00372DBA">
        <w:rPr>
          <w:rFonts w:ascii="Times New Roman" w:hAnsi="Times New Roman" w:cs="Times New Roman"/>
          <w:sz w:val="28"/>
          <w:szCs w:val="28"/>
        </w:rPr>
        <w:t>а правах рукопису</w:t>
      </w:r>
    </w:p>
    <w:p w:rsidR="00D353D3" w:rsidRPr="00372DBA" w:rsidRDefault="00D353D3">
      <w:pPr>
        <w:rPr>
          <w:rFonts w:ascii="Times New Roman" w:hAnsi="Times New Roman" w:cs="Times New Roman"/>
          <w:sz w:val="28"/>
          <w:szCs w:val="28"/>
        </w:rPr>
      </w:pPr>
    </w:p>
    <w:p w:rsidR="000612E6" w:rsidRPr="008A5B77" w:rsidRDefault="008A5B77" w:rsidP="00694567">
      <w:pPr>
        <w:jc w:val="center"/>
        <w:rPr>
          <w:rFonts w:ascii="Times New Roman" w:hAnsi="Times New Roman" w:cs="Times New Roman"/>
          <w:sz w:val="28"/>
          <w:szCs w:val="28"/>
        </w:rPr>
      </w:pPr>
      <w:r w:rsidRPr="008A5B77">
        <w:rPr>
          <w:rFonts w:ascii="Times New Roman" w:hAnsi="Times New Roman" w:cs="Times New Roman"/>
          <w:sz w:val="28"/>
          <w:szCs w:val="28"/>
        </w:rPr>
        <w:t>МИЦИК ЮЛІАН ОЛЕГОВИЧ</w:t>
      </w:r>
    </w:p>
    <w:p w:rsidR="008A5B77" w:rsidRDefault="008A5B77" w:rsidP="008A5B77">
      <w:pPr>
        <w:rPr>
          <w:rFonts w:ascii="Times New Roman" w:hAnsi="Times New Roman" w:cs="Times New Roman"/>
          <w:sz w:val="28"/>
          <w:szCs w:val="28"/>
        </w:rPr>
      </w:pPr>
    </w:p>
    <w:p w:rsidR="00FC0C90" w:rsidRPr="00372DBA" w:rsidRDefault="00FC0C90" w:rsidP="00D353D3">
      <w:pPr>
        <w:jc w:val="right"/>
        <w:rPr>
          <w:rFonts w:ascii="Times New Roman" w:hAnsi="Times New Roman" w:cs="Times New Roman"/>
          <w:sz w:val="28"/>
          <w:szCs w:val="28"/>
        </w:rPr>
      </w:pPr>
      <w:r w:rsidRPr="00372DBA">
        <w:rPr>
          <w:rFonts w:ascii="Times New Roman" w:hAnsi="Times New Roman" w:cs="Times New Roman"/>
          <w:sz w:val="28"/>
          <w:szCs w:val="28"/>
        </w:rPr>
        <w:t>УДК: 616.61-006.6-073.75-076-08-036.8-037</w:t>
      </w:r>
    </w:p>
    <w:p w:rsidR="00FC0C90" w:rsidRPr="00372DBA" w:rsidRDefault="00FC0C90">
      <w:pPr>
        <w:rPr>
          <w:rFonts w:ascii="Times New Roman" w:hAnsi="Times New Roman" w:cs="Times New Roman"/>
          <w:b/>
          <w:sz w:val="28"/>
          <w:szCs w:val="28"/>
        </w:rPr>
      </w:pPr>
    </w:p>
    <w:p w:rsidR="008A5B77" w:rsidRPr="00372DBA" w:rsidRDefault="00694567" w:rsidP="008A5B77">
      <w:pPr>
        <w:jc w:val="center"/>
        <w:rPr>
          <w:rFonts w:ascii="Times New Roman" w:hAnsi="Times New Roman" w:cs="Times New Roman"/>
          <w:b/>
          <w:sz w:val="28"/>
          <w:szCs w:val="28"/>
        </w:rPr>
      </w:pPr>
      <w:r w:rsidRPr="00372DBA">
        <w:rPr>
          <w:rFonts w:ascii="Times New Roman" w:hAnsi="Times New Roman" w:cs="Times New Roman"/>
          <w:b/>
          <w:sz w:val="28"/>
          <w:szCs w:val="28"/>
        </w:rPr>
        <w:t>ДИСЕРТАЦІЯ</w:t>
      </w:r>
    </w:p>
    <w:p w:rsidR="008A5B77" w:rsidRPr="008A5B77" w:rsidRDefault="009820DA" w:rsidP="008A5B77">
      <w:pPr>
        <w:spacing w:line="360" w:lineRule="auto"/>
        <w:jc w:val="center"/>
        <w:rPr>
          <w:rFonts w:ascii="Times New Roman" w:hAnsi="Times New Roman" w:cs="Times New Roman"/>
          <w:sz w:val="28"/>
          <w:szCs w:val="28"/>
        </w:rPr>
      </w:pPr>
      <w:r w:rsidRPr="008A5B77">
        <w:rPr>
          <w:rFonts w:ascii="Times New Roman" w:hAnsi="Times New Roman" w:cs="Times New Roman"/>
          <w:sz w:val="28"/>
          <w:szCs w:val="28"/>
        </w:rPr>
        <w:t xml:space="preserve">ЗАСТОСУВАННЯ ПРОМЕНЕВИХ ТА МОЛЕКУЛЯРНИХ БІОМАРКЕРІВ У ДІАГНОСТИЦІ, ОЦІНЦІ ЕФЕКТИВНОСТІ ЛІКУВАННЯ ТА ПРОГНОЗУВАННІ ВИЖИВАНОСТІ У ХВОРИХ ІЗ РАКОМ </w:t>
      </w:r>
      <w:r w:rsidR="00D567F1" w:rsidRPr="008A5B77">
        <w:rPr>
          <w:rFonts w:ascii="Times New Roman" w:hAnsi="Times New Roman" w:cs="Times New Roman"/>
          <w:sz w:val="28"/>
          <w:szCs w:val="28"/>
        </w:rPr>
        <w:t>НИРКИ</w:t>
      </w:r>
    </w:p>
    <w:p w:rsidR="008A5B77" w:rsidRDefault="008A5B77" w:rsidP="008A5B77">
      <w:pPr>
        <w:pStyle w:val="NoSpacing"/>
        <w:spacing w:line="360" w:lineRule="auto"/>
        <w:jc w:val="center"/>
        <w:rPr>
          <w:rFonts w:ascii="Times New Roman" w:hAnsi="Times New Roman" w:cs="Times New Roman"/>
          <w:sz w:val="28"/>
          <w:szCs w:val="28"/>
        </w:rPr>
      </w:pPr>
    </w:p>
    <w:p w:rsidR="009820DA" w:rsidRDefault="00D739E1" w:rsidP="008A5B77">
      <w:pPr>
        <w:pStyle w:val="NoSpacing"/>
        <w:spacing w:line="360" w:lineRule="auto"/>
        <w:jc w:val="center"/>
        <w:rPr>
          <w:rFonts w:ascii="Times New Roman" w:hAnsi="Times New Roman" w:cs="Times New Roman"/>
          <w:sz w:val="28"/>
          <w:szCs w:val="28"/>
        </w:rPr>
      </w:pPr>
      <w:r w:rsidRPr="00372DBA">
        <w:rPr>
          <w:rFonts w:ascii="Times New Roman" w:hAnsi="Times New Roman" w:cs="Times New Roman"/>
          <w:sz w:val="28"/>
          <w:szCs w:val="28"/>
        </w:rPr>
        <w:t>14.01.06 – урологія</w:t>
      </w:r>
    </w:p>
    <w:p w:rsidR="008A5B77" w:rsidRPr="008A5B77" w:rsidRDefault="008A5B77" w:rsidP="008A5B77">
      <w:pPr>
        <w:suppressAutoHyphens/>
        <w:spacing w:line="360" w:lineRule="auto"/>
        <w:jc w:val="center"/>
        <w:rPr>
          <w:rFonts w:ascii="Times New Roman" w:hAnsi="Times New Roman" w:cs="Times New Roman"/>
          <w:sz w:val="28"/>
          <w:szCs w:val="20"/>
        </w:rPr>
      </w:pPr>
      <w:r w:rsidRPr="008A5B77">
        <w:rPr>
          <w:rFonts w:ascii="Times New Roman" w:hAnsi="Times New Roman" w:cs="Times New Roman"/>
          <w:sz w:val="28"/>
          <w:szCs w:val="20"/>
        </w:rPr>
        <w:t>222 – медицина</w:t>
      </w:r>
    </w:p>
    <w:p w:rsidR="00E32DB2" w:rsidRPr="00372DBA" w:rsidRDefault="00E32DB2" w:rsidP="00D353D3">
      <w:pPr>
        <w:pStyle w:val="NoSpacing"/>
        <w:rPr>
          <w:rFonts w:ascii="Times New Roman" w:hAnsi="Times New Roman" w:cs="Times New Roman"/>
          <w:sz w:val="28"/>
          <w:szCs w:val="28"/>
        </w:rPr>
      </w:pPr>
    </w:p>
    <w:p w:rsidR="00694567" w:rsidRPr="00372DBA" w:rsidRDefault="00694567" w:rsidP="00D353D3">
      <w:pPr>
        <w:pStyle w:val="NoSpacing"/>
        <w:rPr>
          <w:rFonts w:ascii="Times New Roman" w:hAnsi="Times New Roman" w:cs="Times New Roman"/>
          <w:sz w:val="28"/>
          <w:szCs w:val="28"/>
        </w:rPr>
      </w:pPr>
      <w:r w:rsidRPr="00372DBA">
        <w:rPr>
          <w:rFonts w:ascii="Times New Roman" w:hAnsi="Times New Roman" w:cs="Times New Roman"/>
          <w:sz w:val="28"/>
          <w:szCs w:val="28"/>
        </w:rPr>
        <w:t>Подається на здобуття наукового ступеня доктора медичних наук</w:t>
      </w:r>
      <w:r w:rsidR="008A5B77">
        <w:rPr>
          <w:rFonts w:ascii="Times New Roman" w:hAnsi="Times New Roman" w:cs="Times New Roman"/>
          <w:sz w:val="28"/>
          <w:szCs w:val="28"/>
        </w:rPr>
        <w:t>.</w:t>
      </w:r>
    </w:p>
    <w:p w:rsidR="00E32DB2" w:rsidRPr="00372DBA" w:rsidRDefault="00E32DB2" w:rsidP="00D353D3">
      <w:pPr>
        <w:pStyle w:val="NoSpacing"/>
        <w:rPr>
          <w:rFonts w:ascii="Times New Roman" w:hAnsi="Times New Roman" w:cs="Times New Roman"/>
          <w:sz w:val="28"/>
          <w:szCs w:val="28"/>
        </w:rPr>
      </w:pPr>
    </w:p>
    <w:p w:rsidR="00694567" w:rsidRPr="00372DBA" w:rsidRDefault="00694567" w:rsidP="009820DA">
      <w:pPr>
        <w:pStyle w:val="NoSpacing"/>
        <w:ind w:left="6096"/>
        <w:rPr>
          <w:rFonts w:ascii="Times New Roman" w:hAnsi="Times New Roman" w:cs="Times New Roman"/>
          <w:sz w:val="28"/>
          <w:szCs w:val="28"/>
        </w:rPr>
      </w:pPr>
    </w:p>
    <w:p w:rsidR="00694567" w:rsidRPr="008A5B77" w:rsidRDefault="00694567" w:rsidP="008A5B77">
      <w:pPr>
        <w:spacing w:after="0" w:line="360" w:lineRule="auto"/>
        <w:ind w:right="140"/>
        <w:jc w:val="both"/>
        <w:rPr>
          <w:rFonts w:ascii="Times New Roman" w:hAnsi="Times New Roman" w:cs="Times New Roman"/>
          <w:sz w:val="20"/>
          <w:szCs w:val="20"/>
        </w:rPr>
      </w:pPr>
      <w:r w:rsidRPr="00372DBA">
        <w:rPr>
          <w:rFonts w:ascii="Times New Roman" w:hAnsi="Times New Roman" w:cs="Times New Roman"/>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8A5B77">
        <w:rPr>
          <w:rFonts w:ascii="Times New Roman" w:hAnsi="Times New Roman" w:cs="Times New Roman"/>
          <w:sz w:val="28"/>
          <w:szCs w:val="28"/>
        </w:rPr>
        <w:t>.</w:t>
      </w:r>
      <w:r w:rsidRPr="00372DBA">
        <w:rPr>
          <w:rFonts w:ascii="Times New Roman" w:hAnsi="Times New Roman" w:cs="Times New Roman"/>
          <w:sz w:val="28"/>
          <w:szCs w:val="28"/>
        </w:rPr>
        <w:t xml:space="preserve"> </w:t>
      </w:r>
    </w:p>
    <w:p w:rsidR="00694567" w:rsidRPr="00372DBA" w:rsidRDefault="00D353D3" w:rsidP="008A5B77">
      <w:pPr>
        <w:spacing w:after="0" w:line="360" w:lineRule="auto"/>
        <w:ind w:right="140"/>
        <w:rPr>
          <w:rFonts w:ascii="Times New Roman" w:hAnsi="Times New Roman" w:cs="Times New Roman"/>
        </w:rPr>
      </w:pPr>
      <w:r w:rsidRPr="00372DBA">
        <w:rPr>
          <w:rFonts w:ascii="Times New Roman" w:hAnsi="Times New Roman" w:cs="Times New Roman"/>
          <w:sz w:val="28"/>
          <w:szCs w:val="28"/>
        </w:rPr>
        <w:t>______________</w:t>
      </w:r>
      <w:r w:rsidR="001A158B" w:rsidRPr="00372DBA">
        <w:rPr>
          <w:rFonts w:ascii="Times New Roman" w:hAnsi="Times New Roman" w:cs="Times New Roman"/>
          <w:sz w:val="28"/>
          <w:szCs w:val="28"/>
        </w:rPr>
        <w:t xml:space="preserve"> </w:t>
      </w:r>
      <w:r w:rsidRPr="00372DBA">
        <w:rPr>
          <w:rFonts w:ascii="Times New Roman" w:hAnsi="Times New Roman" w:cs="Times New Roman"/>
          <w:sz w:val="28"/>
          <w:szCs w:val="28"/>
        </w:rPr>
        <w:t xml:space="preserve">Мицик </w:t>
      </w:r>
      <w:r w:rsidR="008A5B77" w:rsidRPr="00372DBA">
        <w:rPr>
          <w:rFonts w:ascii="Times New Roman" w:hAnsi="Times New Roman" w:cs="Times New Roman"/>
          <w:sz w:val="28"/>
          <w:szCs w:val="28"/>
        </w:rPr>
        <w:t>Ю.О.</w:t>
      </w:r>
    </w:p>
    <w:p w:rsidR="00694567" w:rsidRPr="00372DBA" w:rsidRDefault="00694567" w:rsidP="009820DA">
      <w:pPr>
        <w:pStyle w:val="NoSpacing"/>
        <w:ind w:left="6096"/>
        <w:rPr>
          <w:rFonts w:ascii="Times New Roman" w:hAnsi="Times New Roman" w:cs="Times New Roman"/>
          <w:sz w:val="28"/>
          <w:szCs w:val="28"/>
        </w:rPr>
      </w:pPr>
    </w:p>
    <w:p w:rsidR="00D353D3" w:rsidRPr="008A5B77" w:rsidRDefault="00D353D3" w:rsidP="008A5B77">
      <w:pPr>
        <w:pStyle w:val="NoSpacing"/>
        <w:jc w:val="both"/>
        <w:rPr>
          <w:rFonts w:ascii="Times New Roman" w:hAnsi="Times New Roman" w:cs="Times New Roman"/>
          <w:sz w:val="28"/>
          <w:szCs w:val="28"/>
        </w:rPr>
      </w:pPr>
      <w:r w:rsidRPr="00372DBA">
        <w:rPr>
          <w:rFonts w:ascii="Times New Roman" w:hAnsi="Times New Roman" w:cs="Times New Roman"/>
          <w:sz w:val="28"/>
          <w:szCs w:val="28"/>
        </w:rPr>
        <w:t>Науковий консультант –</w:t>
      </w:r>
      <w:r w:rsidR="001A158B" w:rsidRPr="00372DBA">
        <w:rPr>
          <w:rFonts w:ascii="Times New Roman" w:hAnsi="Times New Roman" w:cs="Times New Roman"/>
          <w:sz w:val="28"/>
          <w:szCs w:val="28"/>
        </w:rPr>
        <w:t xml:space="preserve"> </w:t>
      </w:r>
      <w:r w:rsidRPr="00372DBA">
        <w:rPr>
          <w:rFonts w:ascii="Times New Roman" w:hAnsi="Times New Roman" w:cs="Times New Roman"/>
          <w:sz w:val="28"/>
          <w:szCs w:val="28"/>
        </w:rPr>
        <w:t>Борис</w:t>
      </w:r>
      <w:r w:rsidR="001A158B" w:rsidRPr="00372DBA">
        <w:rPr>
          <w:rFonts w:ascii="Times New Roman" w:hAnsi="Times New Roman" w:cs="Times New Roman"/>
          <w:sz w:val="28"/>
          <w:szCs w:val="28"/>
        </w:rPr>
        <w:t xml:space="preserve"> Юрій Богданович, </w:t>
      </w:r>
      <w:r w:rsidR="009820DA" w:rsidRPr="00372DBA">
        <w:rPr>
          <w:rFonts w:ascii="Times New Roman" w:hAnsi="Times New Roman" w:cs="Times New Roman"/>
          <w:sz w:val="28"/>
          <w:szCs w:val="28"/>
        </w:rPr>
        <w:t>доктор медичних наук,</w:t>
      </w:r>
      <w:r w:rsidR="00694567" w:rsidRPr="00372DBA">
        <w:rPr>
          <w:rFonts w:ascii="Times New Roman" w:hAnsi="Times New Roman" w:cs="Times New Roman"/>
          <w:sz w:val="28"/>
          <w:szCs w:val="28"/>
        </w:rPr>
        <w:t xml:space="preserve"> </w:t>
      </w:r>
      <w:r w:rsidR="009820DA" w:rsidRPr="00372DBA">
        <w:rPr>
          <w:rFonts w:ascii="Times New Roman" w:hAnsi="Times New Roman" w:cs="Times New Roman"/>
          <w:sz w:val="28"/>
          <w:szCs w:val="28"/>
        </w:rPr>
        <w:t xml:space="preserve">професор </w:t>
      </w:r>
    </w:p>
    <w:p w:rsidR="008A5B77" w:rsidRDefault="008A5B77" w:rsidP="00694567">
      <w:pPr>
        <w:pStyle w:val="NoSpacing"/>
        <w:jc w:val="center"/>
        <w:rPr>
          <w:rFonts w:ascii="Times New Roman" w:hAnsi="Times New Roman" w:cs="Times New Roman"/>
          <w:sz w:val="28"/>
          <w:szCs w:val="28"/>
        </w:rPr>
      </w:pPr>
    </w:p>
    <w:p w:rsidR="008A5B77" w:rsidRPr="008A5B77" w:rsidRDefault="00D739E1" w:rsidP="008A5B77">
      <w:pPr>
        <w:pStyle w:val="NoSpacing"/>
        <w:jc w:val="center"/>
        <w:rPr>
          <w:rStyle w:val="rvts15"/>
          <w:rFonts w:ascii="Times New Roman" w:hAnsi="Times New Roman"/>
          <w:sz w:val="28"/>
          <w:szCs w:val="28"/>
        </w:rPr>
      </w:pPr>
      <w:r w:rsidRPr="00372DBA">
        <w:rPr>
          <w:rFonts w:ascii="Times New Roman" w:hAnsi="Times New Roman" w:cs="Times New Roman"/>
          <w:sz w:val="28"/>
          <w:szCs w:val="28"/>
        </w:rPr>
        <w:t>Харків</w:t>
      </w:r>
      <w:r w:rsidR="00E32DB2" w:rsidRPr="00372DBA">
        <w:rPr>
          <w:rFonts w:ascii="Times New Roman" w:hAnsi="Times New Roman" w:cs="Times New Roman"/>
          <w:sz w:val="28"/>
          <w:szCs w:val="28"/>
        </w:rPr>
        <w:t xml:space="preserve"> – 2018</w:t>
      </w:r>
    </w:p>
    <w:p w:rsidR="00372DBA" w:rsidRPr="00372DBA" w:rsidRDefault="00372DBA" w:rsidP="00372DBA">
      <w:pPr>
        <w:pStyle w:val="rvps7"/>
        <w:spacing w:before="0" w:beforeAutospacing="0" w:after="0" w:afterAutospacing="0" w:line="360" w:lineRule="auto"/>
        <w:jc w:val="center"/>
        <w:rPr>
          <w:rStyle w:val="rvts15"/>
          <w:b/>
          <w:sz w:val="28"/>
          <w:szCs w:val="28"/>
          <w:lang w:val="uk-UA"/>
        </w:rPr>
      </w:pPr>
      <w:r w:rsidRPr="00372DBA">
        <w:rPr>
          <w:rStyle w:val="rvts15"/>
          <w:b/>
          <w:sz w:val="28"/>
          <w:szCs w:val="28"/>
          <w:lang w:val="uk-UA"/>
        </w:rPr>
        <w:lastRenderedPageBreak/>
        <w:t>АНОТАЦІЯ</w:t>
      </w:r>
    </w:p>
    <w:p w:rsidR="00372DBA" w:rsidRPr="00372DBA" w:rsidRDefault="00372DBA" w:rsidP="00372DBA">
      <w:pPr>
        <w:pStyle w:val="rvps7"/>
        <w:spacing w:before="0" w:beforeAutospacing="0" w:after="0" w:afterAutospacing="0" w:line="360" w:lineRule="auto"/>
        <w:jc w:val="center"/>
        <w:rPr>
          <w:sz w:val="28"/>
          <w:szCs w:val="28"/>
          <w:lang w:val="uk-UA"/>
        </w:rPr>
      </w:pPr>
    </w:p>
    <w:p w:rsidR="00372DBA" w:rsidRPr="00372DBA" w:rsidRDefault="007F2534" w:rsidP="00372DBA">
      <w:pPr>
        <w:spacing w:line="360" w:lineRule="auto"/>
        <w:jc w:val="both"/>
        <w:rPr>
          <w:rFonts w:ascii="Times New Roman" w:hAnsi="Times New Roman" w:cs="Times New Roman"/>
          <w:sz w:val="28"/>
          <w:szCs w:val="28"/>
        </w:rPr>
      </w:pPr>
      <w:bookmarkStart w:id="0" w:name="n92"/>
      <w:bookmarkEnd w:id="0"/>
      <w:r>
        <w:rPr>
          <w:rFonts w:ascii="Times New Roman" w:hAnsi="Times New Roman" w:cs="Times New Roman"/>
          <w:i/>
          <w:sz w:val="28"/>
          <w:szCs w:val="28"/>
        </w:rPr>
        <w:tab/>
        <w:t>Мицик Ю.О.</w:t>
      </w:r>
      <w:r w:rsidR="00372DBA" w:rsidRPr="00372DBA">
        <w:rPr>
          <w:rFonts w:ascii="Times New Roman" w:hAnsi="Times New Roman" w:cs="Times New Roman"/>
          <w:sz w:val="28"/>
          <w:szCs w:val="28"/>
        </w:rPr>
        <w:t xml:space="preserve"> Застосування променевих та молекулярних біомаркерів у діагностиці, оцінці ефективності лікування та прогнозуванні виживаності у хворих із раком нирки. – Кваліфікаційна наукова праця на правах рукопису.</w:t>
      </w:r>
    </w:p>
    <w:p w:rsidR="00372DBA" w:rsidRPr="00372DBA" w:rsidRDefault="00372DBA" w:rsidP="00372DBA">
      <w:pPr>
        <w:pStyle w:val="NoSpacing"/>
        <w:spacing w:line="360" w:lineRule="auto"/>
        <w:jc w:val="both"/>
        <w:rPr>
          <w:rFonts w:ascii="Times New Roman" w:hAnsi="Times New Roman" w:cs="Times New Roman"/>
          <w:sz w:val="28"/>
          <w:szCs w:val="28"/>
        </w:rPr>
      </w:pPr>
      <w:bookmarkStart w:id="1" w:name="n93"/>
      <w:bookmarkEnd w:id="1"/>
      <w:r w:rsidRPr="00372DBA">
        <w:rPr>
          <w:rFonts w:ascii="Times New Roman" w:hAnsi="Times New Roman" w:cs="Times New Roman"/>
          <w:sz w:val="28"/>
          <w:szCs w:val="28"/>
        </w:rPr>
        <w:tab/>
        <w:t>Дисертація на здобуття наукового ступеня доктора медичних на</w:t>
      </w:r>
      <w:r w:rsidR="008A5B77">
        <w:rPr>
          <w:rFonts w:ascii="Times New Roman" w:hAnsi="Times New Roman" w:cs="Times New Roman"/>
          <w:sz w:val="28"/>
          <w:szCs w:val="28"/>
        </w:rPr>
        <w:t xml:space="preserve">ук за спеціальністю 14.01.06 «Урологія» (222 – медицина). </w:t>
      </w:r>
      <w:r w:rsidR="00EF4743">
        <w:rPr>
          <w:rFonts w:ascii="Times New Roman" w:hAnsi="Times New Roman" w:cs="Times New Roman"/>
          <w:sz w:val="28"/>
          <w:szCs w:val="28"/>
        </w:rPr>
        <w:t xml:space="preserve">– Львівський національний медичний університет ім. Данила Галицького, Львів. </w:t>
      </w:r>
      <w:r w:rsidR="008A5B77">
        <w:rPr>
          <w:rFonts w:ascii="Times New Roman" w:hAnsi="Times New Roman" w:cs="Times New Roman"/>
          <w:sz w:val="28"/>
          <w:szCs w:val="28"/>
        </w:rPr>
        <w:t xml:space="preserve">– </w:t>
      </w:r>
      <w:r w:rsidRPr="00372DBA">
        <w:rPr>
          <w:rFonts w:ascii="Times New Roman" w:hAnsi="Times New Roman" w:cs="Times New Roman"/>
          <w:sz w:val="28"/>
          <w:szCs w:val="28"/>
        </w:rPr>
        <w:t>Харківський національний ме</w:t>
      </w:r>
      <w:r w:rsidR="008A5B77">
        <w:rPr>
          <w:rFonts w:ascii="Times New Roman" w:hAnsi="Times New Roman" w:cs="Times New Roman"/>
          <w:sz w:val="28"/>
          <w:szCs w:val="28"/>
        </w:rPr>
        <w:t>дичний університет, Харків, 2018</w:t>
      </w:r>
      <w:r w:rsidRPr="00372DBA">
        <w:rPr>
          <w:rFonts w:ascii="Times New Roman" w:hAnsi="Times New Roman" w:cs="Times New Roman"/>
          <w:sz w:val="28"/>
          <w:szCs w:val="28"/>
        </w:rPr>
        <w:t>.</w:t>
      </w:r>
    </w:p>
    <w:p w:rsidR="00372DBA" w:rsidRPr="00372DBA" w:rsidRDefault="00372DBA" w:rsidP="00372DBA">
      <w:pPr>
        <w:pStyle w:val="NoSpacing"/>
        <w:spacing w:line="360" w:lineRule="auto"/>
        <w:jc w:val="both"/>
        <w:rPr>
          <w:rFonts w:ascii="Times New Roman" w:hAnsi="Times New Roman" w:cs="Times New Roman"/>
          <w:sz w:val="28"/>
          <w:szCs w:val="28"/>
        </w:rPr>
      </w:pPr>
    </w:p>
    <w:p w:rsidR="00372DBA" w:rsidRPr="00372DBA" w:rsidRDefault="00372DBA" w:rsidP="00372DBA">
      <w:pPr>
        <w:spacing w:line="360" w:lineRule="auto"/>
        <w:rPr>
          <w:rFonts w:ascii="Times New Roman" w:hAnsi="Times New Roman" w:cs="Times New Roman"/>
        </w:rPr>
      </w:pPr>
    </w:p>
    <w:p w:rsidR="00372DBA" w:rsidRPr="00372DBA" w:rsidRDefault="00372DBA" w:rsidP="0098774B">
      <w:pPr>
        <w:spacing w:line="360" w:lineRule="auto"/>
        <w:jc w:val="both"/>
        <w:rPr>
          <w:rFonts w:ascii="Times New Roman" w:hAnsi="Times New Roman" w:cs="Times New Roman"/>
          <w:sz w:val="28"/>
          <w:szCs w:val="28"/>
        </w:rPr>
      </w:pPr>
      <w:r w:rsidRPr="00372DBA">
        <w:rPr>
          <w:rFonts w:ascii="Times New Roman" w:hAnsi="Times New Roman" w:cs="Times New Roman"/>
        </w:rPr>
        <w:tab/>
      </w:r>
      <w:r w:rsidRPr="00372DBA">
        <w:rPr>
          <w:rFonts w:ascii="Times New Roman" w:hAnsi="Times New Roman" w:cs="Times New Roman"/>
          <w:sz w:val="28"/>
          <w:szCs w:val="28"/>
        </w:rPr>
        <w:t>Дисертація присвячена поліпшенню результатів діагностики та лікування пацієнтів із нирково-клітинним раком шляхом застосування променевих та молекулярних біомаркерів у диференціації, моніторингу післяопераційного періоду, оцінці ефективності селективної емболізації</w:t>
      </w:r>
      <w:r w:rsidR="001D5525" w:rsidRPr="001D5525">
        <w:rPr>
          <w:rFonts w:ascii="Times New Roman" w:hAnsi="Times New Roman" w:cs="Times New Roman"/>
          <w:sz w:val="28"/>
          <w:szCs w:val="28"/>
        </w:rPr>
        <w:t xml:space="preserve"> ниркових ар</w:t>
      </w:r>
      <w:r w:rsidR="001D5525">
        <w:rPr>
          <w:rFonts w:ascii="Times New Roman" w:hAnsi="Times New Roman" w:cs="Times New Roman"/>
          <w:sz w:val="28"/>
          <w:szCs w:val="28"/>
        </w:rPr>
        <w:t>терій та системної терапії, виявленні</w:t>
      </w:r>
      <w:r w:rsidRPr="00372DBA">
        <w:rPr>
          <w:rFonts w:ascii="Times New Roman" w:hAnsi="Times New Roman" w:cs="Times New Roman"/>
          <w:sz w:val="28"/>
          <w:szCs w:val="28"/>
        </w:rPr>
        <w:t xml:space="preserve"> локального рецидиву та прогнозування ви</w:t>
      </w:r>
      <w:r w:rsidR="0098774B">
        <w:rPr>
          <w:rFonts w:ascii="Times New Roman" w:hAnsi="Times New Roman" w:cs="Times New Roman"/>
          <w:sz w:val="28"/>
          <w:szCs w:val="28"/>
        </w:rPr>
        <w:t xml:space="preserve">живаності при даній патології. </w:t>
      </w:r>
      <w:r w:rsidRPr="00372DBA">
        <w:rPr>
          <w:rFonts w:ascii="Times New Roman" w:hAnsi="Times New Roman" w:cs="Times New Roman"/>
          <w:sz w:val="28"/>
          <w:szCs w:val="28"/>
        </w:rPr>
        <w:t>Для досягнення поставленої мети</w:t>
      </w:r>
      <w:r w:rsidRPr="009E6C7E">
        <w:rPr>
          <w:rFonts w:ascii="Times New Roman" w:hAnsi="Times New Roman" w:cs="Times New Roman"/>
          <w:sz w:val="28"/>
          <w:szCs w:val="28"/>
        </w:rPr>
        <w:t xml:space="preserve">, </w:t>
      </w:r>
      <w:r w:rsidRPr="00372DBA">
        <w:rPr>
          <w:rFonts w:ascii="Times New Roman" w:hAnsi="Times New Roman" w:cs="Times New Roman"/>
          <w:sz w:val="28"/>
          <w:szCs w:val="28"/>
        </w:rPr>
        <w:t>впродовж</w:t>
      </w:r>
      <w:r w:rsidRPr="009E6C7E">
        <w:rPr>
          <w:rFonts w:ascii="Times New Roman" w:hAnsi="Times New Roman" w:cs="Times New Roman"/>
          <w:sz w:val="28"/>
          <w:szCs w:val="28"/>
        </w:rPr>
        <w:t xml:space="preserve"> 2013-2018</w:t>
      </w:r>
      <w:r w:rsidRPr="00372DBA">
        <w:rPr>
          <w:rFonts w:ascii="Times New Roman" w:hAnsi="Times New Roman" w:cs="Times New Roman"/>
          <w:sz w:val="28"/>
          <w:szCs w:val="28"/>
        </w:rPr>
        <w:t xml:space="preserve"> рр. було проведено дослідження на основі опрацювання даних обстежень, результатів лікування та архівних історій хворіб (архівні дані з 2008 по 2018 рр.) 423 хворих з солідним НКР, 45 пацієнтів із ПКК ниркової миски, 87 з солідними доброякісними пухлинами нирок, 142 пацієнтів з кістозним НКР, 166 хворих із доброякісними нирковими кістами, 60 осіб без ниркової патології, та крім цього, 64 парафінізованих тканинних зразків НКР та 15 неураженої ниркової паренхіми.</w:t>
      </w:r>
    </w:p>
    <w:p w:rsidR="00372DBA" w:rsidRDefault="00372DBA" w:rsidP="00E25739">
      <w:pPr>
        <w:autoSpaceDE w:val="0"/>
        <w:autoSpaceDN w:val="0"/>
        <w:adjustRightInd w:val="0"/>
        <w:spacing w:line="360" w:lineRule="auto"/>
        <w:ind w:firstLine="708"/>
        <w:jc w:val="both"/>
        <w:rPr>
          <w:rFonts w:ascii="Times New Roman" w:hAnsi="Times New Roman" w:cs="Times New Roman"/>
          <w:sz w:val="28"/>
          <w:szCs w:val="28"/>
        </w:rPr>
      </w:pPr>
      <w:r w:rsidRPr="00372DBA">
        <w:rPr>
          <w:rFonts w:ascii="Times New Roman" w:hAnsi="Times New Roman" w:cs="Times New Roman"/>
          <w:sz w:val="28"/>
          <w:szCs w:val="28"/>
        </w:rPr>
        <w:t xml:space="preserve">На основі результатів дисперсійного та класифікаційного </w:t>
      </w:r>
      <w:r w:rsidRPr="00372DBA">
        <w:rPr>
          <w:rFonts w:ascii="Times New Roman" w:hAnsi="Times New Roman" w:cs="Times New Roman"/>
          <w:sz w:val="28"/>
        </w:rPr>
        <w:t>аналізів</w:t>
      </w:r>
      <w:r w:rsidRPr="00372DBA">
        <w:rPr>
          <w:rFonts w:ascii="Times New Roman" w:hAnsi="Times New Roman" w:cs="Times New Roman"/>
          <w:sz w:val="28"/>
          <w:szCs w:val="28"/>
        </w:rPr>
        <w:t xml:space="preserve"> доведено, що із вивчених променевих біомаркерів на основі КТ (інтенсивність сигналу, відношення променевої щільності сигналу пухлини до нормальної ниркової паренхіми) та МРТ (інтенсивність сигналу дифузійно-зважених зображень, вимірюваний коефіцієнт дифузії), при диференційній діагностиці </w:t>
      </w:r>
      <w:r w:rsidRPr="00372DBA">
        <w:rPr>
          <w:rFonts w:ascii="Times New Roman" w:hAnsi="Times New Roman" w:cs="Times New Roman"/>
          <w:sz w:val="28"/>
          <w:szCs w:val="28"/>
        </w:rPr>
        <w:lastRenderedPageBreak/>
        <w:t xml:space="preserve">солідного нирково-клітинного раку та доброякісних пухлин нирок, найвищі показники чутливості та специфічності були отримані при застосуванні вимірюваного коефіцієнта дифузії дифузійно-зважених зображень МРТ із пороговим значенням </w:t>
      </w:r>
      <w:r w:rsidRPr="00372DBA">
        <w:rPr>
          <w:rFonts w:ascii="Times New Roman" w:hAnsi="Times New Roman" w:cs="Times New Roman"/>
          <w:color w:val="000000" w:themeColor="text1"/>
          <w:sz w:val="28"/>
          <w:szCs w:val="28"/>
        </w:rPr>
        <w:t>2,0</w:t>
      </w:r>
      <w:r w:rsidRPr="00372DBA">
        <w:rPr>
          <w:rFonts w:ascii="Times New Roman" w:hAnsi="Times New Roman" w:cs="Times New Roman"/>
          <w:sz w:val="28"/>
          <w:szCs w:val="28"/>
        </w:rPr>
        <w:t>×10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мм</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 xml:space="preserve">/с і які становили відповідно </w:t>
      </w:r>
      <w:r w:rsidR="00771851">
        <w:rPr>
          <w:rFonts w:ascii="Times New Roman" w:hAnsi="Times New Roman" w:cs="Times New Roman"/>
          <w:sz w:val="28"/>
          <w:szCs w:val="28"/>
        </w:rPr>
        <w:t xml:space="preserve">100% та 81,8%, а площа під кривою – </w:t>
      </w:r>
      <w:r w:rsidR="00771851">
        <w:rPr>
          <w:rFonts w:ascii="Times New Roman" w:hAnsi="Times New Roman" w:cs="Times New Roman"/>
          <w:sz w:val="28"/>
          <w:szCs w:val="28"/>
          <w:lang w:val="en-US"/>
        </w:rPr>
        <w:t>area</w:t>
      </w:r>
      <w:r w:rsidR="00771851" w:rsidRPr="00771851">
        <w:rPr>
          <w:rFonts w:ascii="Times New Roman" w:hAnsi="Times New Roman" w:cs="Times New Roman"/>
          <w:sz w:val="28"/>
          <w:szCs w:val="28"/>
        </w:rPr>
        <w:t xml:space="preserve"> </w:t>
      </w:r>
      <w:r w:rsidR="00771851">
        <w:rPr>
          <w:rFonts w:ascii="Times New Roman" w:hAnsi="Times New Roman" w:cs="Times New Roman"/>
          <w:sz w:val="28"/>
          <w:szCs w:val="28"/>
          <w:lang w:val="en-US"/>
        </w:rPr>
        <w:t>under</w:t>
      </w:r>
      <w:r w:rsidR="00771851" w:rsidRPr="00771851">
        <w:rPr>
          <w:rFonts w:ascii="Times New Roman" w:hAnsi="Times New Roman" w:cs="Times New Roman"/>
          <w:sz w:val="28"/>
          <w:szCs w:val="28"/>
        </w:rPr>
        <w:t xml:space="preserve"> </w:t>
      </w:r>
      <w:r w:rsidR="00771851">
        <w:rPr>
          <w:rFonts w:ascii="Times New Roman" w:hAnsi="Times New Roman" w:cs="Times New Roman"/>
          <w:sz w:val="28"/>
          <w:szCs w:val="28"/>
          <w:lang w:val="en-US"/>
        </w:rPr>
        <w:t>the</w:t>
      </w:r>
      <w:r w:rsidR="00771851" w:rsidRPr="00771851">
        <w:rPr>
          <w:rFonts w:ascii="Times New Roman" w:hAnsi="Times New Roman" w:cs="Times New Roman"/>
          <w:sz w:val="28"/>
          <w:szCs w:val="28"/>
        </w:rPr>
        <w:t xml:space="preserve"> </w:t>
      </w:r>
      <w:r w:rsidR="00771851">
        <w:rPr>
          <w:rFonts w:ascii="Times New Roman" w:hAnsi="Times New Roman" w:cs="Times New Roman"/>
          <w:sz w:val="28"/>
          <w:szCs w:val="28"/>
          <w:lang w:val="en-US"/>
        </w:rPr>
        <w:t>curve</w:t>
      </w:r>
      <w:r w:rsidR="00771851">
        <w:rPr>
          <w:rFonts w:ascii="Times New Roman" w:hAnsi="Times New Roman" w:cs="Times New Roman"/>
          <w:sz w:val="28"/>
          <w:szCs w:val="28"/>
        </w:rPr>
        <w:t xml:space="preserve">  </w:t>
      </w:r>
      <w:r w:rsidR="00771851" w:rsidRPr="00771851">
        <w:rPr>
          <w:rFonts w:ascii="Times New Roman" w:hAnsi="Times New Roman" w:cs="Times New Roman"/>
          <w:sz w:val="28"/>
          <w:szCs w:val="28"/>
        </w:rPr>
        <w:t>(</w:t>
      </w:r>
      <w:r w:rsidRPr="00372DBA">
        <w:rPr>
          <w:rFonts w:ascii="Times New Roman" w:hAnsi="Times New Roman" w:cs="Times New Roman"/>
          <w:sz w:val="28"/>
          <w:szCs w:val="28"/>
        </w:rPr>
        <w:t>AUC</w:t>
      </w:r>
      <w:r w:rsidR="00771851" w:rsidRPr="00771851">
        <w:rPr>
          <w:rFonts w:ascii="Times New Roman" w:hAnsi="Times New Roman" w:cs="Times New Roman"/>
          <w:sz w:val="28"/>
          <w:szCs w:val="28"/>
        </w:rPr>
        <w:t xml:space="preserve">) </w:t>
      </w:r>
      <w:r w:rsidR="00771851">
        <w:rPr>
          <w:rFonts w:ascii="Times New Roman" w:hAnsi="Times New Roman" w:cs="Times New Roman"/>
          <w:sz w:val="28"/>
          <w:szCs w:val="28"/>
        </w:rPr>
        <w:t xml:space="preserve">складала  </w:t>
      </w:r>
      <w:r w:rsidR="00771851">
        <w:rPr>
          <w:rFonts w:ascii="Times New Roman" w:hAnsi="Times New Roman" w:cs="Times New Roman"/>
          <w:color w:val="000000" w:themeColor="text1"/>
          <w:sz w:val="28"/>
          <w:szCs w:val="28"/>
        </w:rPr>
        <w:t>0,993</w:t>
      </w:r>
      <w:r w:rsidRPr="00372DBA">
        <w:rPr>
          <w:rFonts w:ascii="Times New Roman" w:hAnsi="Times New Roman" w:cs="Times New Roman"/>
          <w:color w:val="000000" w:themeColor="text1"/>
          <w:sz w:val="28"/>
          <w:szCs w:val="28"/>
        </w:rPr>
        <w:t xml:space="preserve"> </w:t>
      </w:r>
      <w:r w:rsidR="00771851">
        <w:rPr>
          <w:rFonts w:ascii="Times New Roman" w:hAnsi="Times New Roman" w:cs="Times New Roman"/>
          <w:color w:val="000000" w:themeColor="text1"/>
          <w:sz w:val="28"/>
          <w:szCs w:val="28"/>
        </w:rPr>
        <w:t>(</w:t>
      </w:r>
      <w:r w:rsidRPr="00372DBA">
        <w:rPr>
          <w:rFonts w:ascii="Times New Roman" w:hAnsi="Times New Roman" w:cs="Times New Roman"/>
          <w:color w:val="000000" w:themeColor="text1"/>
          <w:sz w:val="28"/>
          <w:szCs w:val="28"/>
        </w:rPr>
        <w:t>р</w:t>
      </w:r>
      <w:r w:rsidRPr="00372DBA">
        <w:rPr>
          <w:rFonts w:ascii="Times New Roman" w:hAnsi="Times New Roman" w:cs="Times New Roman"/>
          <w:sz w:val="28"/>
          <w:szCs w:val="28"/>
        </w:rPr>
        <w:t>&lt;0,001), при відсутності променевого навантаження на хворого. Використання вимірюваного коефіцієнта дифузії дозволяло диференціювати гістологічні підтипи нирково-клітинного раку: світлоклітинний від несвітлоклітинного із чутливістю та специфічністю відповідно 93,4% та 96,7% (AUC=</w:t>
      </w:r>
      <w:r w:rsidRPr="00372DBA">
        <w:rPr>
          <w:rFonts w:ascii="Times New Roman" w:hAnsi="Times New Roman" w:cs="Times New Roman"/>
          <w:color w:val="000000" w:themeColor="text1"/>
          <w:sz w:val="28"/>
          <w:szCs w:val="28"/>
        </w:rPr>
        <w:t>0,981, р</w:t>
      </w:r>
      <w:r w:rsidRPr="00372DBA">
        <w:rPr>
          <w:rFonts w:ascii="Times New Roman" w:hAnsi="Times New Roman" w:cs="Times New Roman"/>
          <w:sz w:val="28"/>
          <w:szCs w:val="28"/>
        </w:rPr>
        <w:t xml:space="preserve">&lt;0,001) та граничною величиною </w:t>
      </w:r>
      <w:r w:rsidRPr="00372DBA">
        <w:rPr>
          <w:rFonts w:ascii="Times New Roman" w:hAnsi="Times New Roman" w:cs="Times New Roman"/>
          <w:color w:val="000000" w:themeColor="text1"/>
          <w:sz w:val="28"/>
          <w:szCs w:val="28"/>
        </w:rPr>
        <w:t>1,66</w:t>
      </w:r>
      <w:r w:rsidRPr="00372DBA">
        <w:rPr>
          <w:rFonts w:ascii="Times New Roman" w:hAnsi="Times New Roman" w:cs="Times New Roman"/>
          <w:sz w:val="28"/>
          <w:szCs w:val="28"/>
        </w:rPr>
        <w:t>×10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мм</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 xml:space="preserve">/с; папілярний від хромофобного із чутливістю та специфічністю відповідно </w:t>
      </w:r>
      <w:r w:rsidRPr="00372DBA">
        <w:rPr>
          <w:rFonts w:ascii="Times New Roman" w:hAnsi="Times New Roman" w:cs="Times New Roman"/>
          <w:color w:val="000000" w:themeColor="text1"/>
          <w:sz w:val="28"/>
          <w:szCs w:val="28"/>
        </w:rPr>
        <w:t>93,4% та 86,7% (AUC=0,956, р</w:t>
      </w:r>
      <w:r w:rsidRPr="00372DBA">
        <w:rPr>
          <w:rFonts w:ascii="Times New Roman" w:hAnsi="Times New Roman" w:cs="Times New Roman"/>
          <w:sz w:val="28"/>
          <w:szCs w:val="28"/>
        </w:rPr>
        <w:t xml:space="preserve">&lt;0,001) при пороговому значенні </w:t>
      </w:r>
      <w:r w:rsidRPr="00372DBA">
        <w:rPr>
          <w:rFonts w:ascii="Times New Roman" w:hAnsi="Times New Roman" w:cs="Times New Roman"/>
          <w:color w:val="000000" w:themeColor="text1"/>
          <w:sz w:val="28"/>
          <w:szCs w:val="28"/>
        </w:rPr>
        <w:t>1,48</w:t>
      </w:r>
      <w:r w:rsidRPr="00372DBA">
        <w:rPr>
          <w:rFonts w:ascii="Times New Roman" w:hAnsi="Times New Roman" w:cs="Times New Roman"/>
          <w:sz w:val="28"/>
          <w:szCs w:val="28"/>
        </w:rPr>
        <w:t>×10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мм</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 xml:space="preserve">/с. Диференціація </w:t>
      </w:r>
      <w:r w:rsidRPr="00372DBA">
        <w:rPr>
          <w:rFonts w:ascii="Times New Roman" w:hAnsi="Times New Roman" w:cs="Times New Roman"/>
          <w:color w:val="000000" w:themeColor="text1"/>
          <w:sz w:val="28"/>
          <w:szCs w:val="28"/>
        </w:rPr>
        <w:t xml:space="preserve">світлоклітинного нирково-клітинного раку низького від високого </w:t>
      </w:r>
      <w:r w:rsidR="00B02037">
        <w:rPr>
          <w:rFonts w:ascii="Times New Roman" w:hAnsi="Times New Roman" w:cs="Times New Roman"/>
          <w:color w:val="000000" w:themeColor="text1"/>
          <w:sz w:val="28"/>
          <w:szCs w:val="28"/>
        </w:rPr>
        <w:t>ступеня</w:t>
      </w:r>
      <w:r w:rsidRPr="00372DBA">
        <w:rPr>
          <w:rFonts w:ascii="Times New Roman" w:hAnsi="Times New Roman" w:cs="Times New Roman"/>
          <w:color w:val="000000" w:themeColor="text1"/>
          <w:sz w:val="28"/>
          <w:szCs w:val="28"/>
        </w:rPr>
        <w:t xml:space="preserve"> за Fuhrman на основі </w:t>
      </w:r>
      <w:r w:rsidRPr="00372DBA">
        <w:rPr>
          <w:rFonts w:ascii="Times New Roman" w:hAnsi="Times New Roman" w:cs="Times New Roman"/>
          <w:sz w:val="28"/>
          <w:szCs w:val="28"/>
        </w:rPr>
        <w:t xml:space="preserve">вимірюваного коефіцієнта дифузії, </w:t>
      </w:r>
      <w:r w:rsidRPr="00372DBA">
        <w:rPr>
          <w:rFonts w:ascii="Times New Roman" w:hAnsi="Times New Roman" w:cs="Times New Roman"/>
          <w:color w:val="000000" w:themeColor="text1"/>
          <w:sz w:val="28"/>
          <w:szCs w:val="28"/>
        </w:rPr>
        <w:t>була можливою з чутливістю та специфічністю відповідно 93,3% та 85,2% (AUC=0,881, р</w:t>
      </w:r>
      <w:r w:rsidRPr="00372DBA">
        <w:rPr>
          <w:rFonts w:ascii="Times New Roman" w:hAnsi="Times New Roman" w:cs="Times New Roman"/>
          <w:sz w:val="28"/>
          <w:szCs w:val="28"/>
        </w:rPr>
        <w:t xml:space="preserve">&lt;0,001) при пороговому значенні </w:t>
      </w:r>
      <w:r w:rsidRPr="00372DBA">
        <w:rPr>
          <w:rFonts w:ascii="Times New Roman" w:hAnsi="Times New Roman" w:cs="Times New Roman"/>
          <w:color w:val="000000" w:themeColor="text1"/>
          <w:sz w:val="28"/>
          <w:szCs w:val="28"/>
        </w:rPr>
        <w:t>1,77</w:t>
      </w:r>
      <w:r w:rsidRPr="00372DBA">
        <w:rPr>
          <w:rFonts w:ascii="Times New Roman" w:hAnsi="Times New Roman" w:cs="Times New Roman"/>
          <w:sz w:val="28"/>
          <w:szCs w:val="28"/>
        </w:rPr>
        <w:t>×10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мм</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/с. Чутливість та специфічність при диференціації кістозного нирково-клітинного раку при кістах ІІ</w:t>
      </w:r>
      <w:r w:rsidRPr="00372DBA">
        <w:rPr>
          <w:rFonts w:ascii="Times New Roman" w:hAnsi="Times New Roman" w:cs="Times New Roman"/>
          <w:sz w:val="28"/>
          <w:szCs w:val="28"/>
          <w:lang w:val="en-US"/>
        </w:rPr>
        <w:t>F</w:t>
      </w:r>
      <w:r w:rsidRPr="00372DBA">
        <w:rPr>
          <w:rFonts w:ascii="Times New Roman" w:hAnsi="Times New Roman" w:cs="Times New Roman"/>
          <w:sz w:val="28"/>
          <w:szCs w:val="28"/>
        </w:rPr>
        <w:t xml:space="preserve"> класу за Bosniak при застосуванні вимірюваного коефіцієнта дифузії із граничним значенніям 3,03</w:t>
      </w:r>
      <w:r w:rsidRPr="00372DBA">
        <w:rPr>
          <w:rFonts w:ascii="Times New Roman" w:hAnsi="Times New Roman" w:cs="Times New Roman"/>
          <w:bCs/>
          <w:sz w:val="28"/>
          <w:szCs w:val="28"/>
        </w:rPr>
        <w:t>×10</w:t>
      </w:r>
      <w:r w:rsidRPr="00372DBA">
        <w:rPr>
          <w:rFonts w:ascii="Times New Roman" w:hAnsi="Times New Roman" w:cs="Times New Roman"/>
          <w:bCs/>
          <w:sz w:val="28"/>
          <w:szCs w:val="28"/>
          <w:vertAlign w:val="superscript"/>
        </w:rPr>
        <w:t>−3</w:t>
      </w:r>
      <w:r w:rsidRPr="00372DBA">
        <w:rPr>
          <w:rFonts w:ascii="Times New Roman" w:hAnsi="Times New Roman" w:cs="Times New Roman"/>
          <w:bCs/>
          <w:sz w:val="28"/>
          <w:szCs w:val="28"/>
        </w:rPr>
        <w:t xml:space="preserve"> мм</w:t>
      </w:r>
      <w:r w:rsidRPr="00372DBA">
        <w:rPr>
          <w:rFonts w:ascii="Times New Roman" w:hAnsi="Times New Roman" w:cs="Times New Roman"/>
          <w:bCs/>
          <w:sz w:val="28"/>
          <w:szCs w:val="28"/>
          <w:vertAlign w:val="superscript"/>
        </w:rPr>
        <w:t>2</w:t>
      </w:r>
      <w:r w:rsidRPr="00372DBA">
        <w:rPr>
          <w:rFonts w:ascii="Times New Roman" w:hAnsi="Times New Roman" w:cs="Times New Roman"/>
          <w:bCs/>
          <w:sz w:val="28"/>
          <w:szCs w:val="28"/>
        </w:rPr>
        <w:t xml:space="preserve">/с, </w:t>
      </w:r>
      <w:r w:rsidRPr="00372DBA">
        <w:rPr>
          <w:rFonts w:ascii="Times New Roman" w:hAnsi="Times New Roman" w:cs="Times New Roman"/>
          <w:sz w:val="28"/>
          <w:szCs w:val="28"/>
        </w:rPr>
        <w:t>становили відповідно 93,0%</w:t>
      </w:r>
      <w:r w:rsidR="00E25739">
        <w:rPr>
          <w:rFonts w:ascii="Times New Roman" w:hAnsi="Times New Roman" w:cs="Times New Roman"/>
          <w:sz w:val="28"/>
          <w:szCs w:val="28"/>
        </w:rPr>
        <w:t xml:space="preserve"> та 80,0% (AUC=0,867, р=0,002). </w:t>
      </w:r>
      <w:r w:rsidRPr="00372DBA">
        <w:rPr>
          <w:rFonts w:ascii="Times New Roman" w:hAnsi="Times New Roman" w:cs="Times New Roman"/>
          <w:sz w:val="28"/>
          <w:szCs w:val="28"/>
        </w:rPr>
        <w:t>Враховуючи отримані результати, вимірюваний коефіцієнт дифузії дифузійно-зважених зображень МРТ може бути використаний у якості променевого біомаркеру при диференціації солідного і кістозного нирково-клітинного раку, відіграючи роль «променевої біопсії», і на відміну від КТ дозволяє уникати значного променевого навантаження на хворого.</w:t>
      </w:r>
    </w:p>
    <w:p w:rsidR="0098774B" w:rsidRPr="00372DBA" w:rsidRDefault="0098774B" w:rsidP="0098774B">
      <w:pPr>
        <w:spacing w:line="360" w:lineRule="auto"/>
        <w:ind w:firstLine="708"/>
        <w:jc w:val="both"/>
        <w:rPr>
          <w:rFonts w:ascii="Times New Roman" w:hAnsi="Times New Roman" w:cs="Times New Roman"/>
          <w:sz w:val="28"/>
          <w:szCs w:val="28"/>
        </w:rPr>
      </w:pPr>
      <w:r w:rsidRPr="00372DBA">
        <w:rPr>
          <w:rFonts w:ascii="Times New Roman" w:hAnsi="Times New Roman" w:cs="Times New Roman"/>
          <w:sz w:val="28"/>
          <w:szCs w:val="28"/>
        </w:rPr>
        <w:t>Було доведено, що</w:t>
      </w:r>
      <w:r w:rsidRPr="009E6C7E">
        <w:rPr>
          <w:rFonts w:ascii="Times New Roman" w:hAnsi="Times New Roman" w:cs="Times New Roman"/>
          <w:sz w:val="28"/>
          <w:szCs w:val="28"/>
        </w:rPr>
        <w:t xml:space="preserve"> </w:t>
      </w:r>
      <w:r w:rsidRPr="00372DBA">
        <w:rPr>
          <w:rFonts w:ascii="Times New Roman" w:hAnsi="Times New Roman" w:cs="Times New Roman"/>
          <w:sz w:val="28"/>
          <w:szCs w:val="28"/>
        </w:rPr>
        <w:t>застосування ВКД з пороговою величиною 1,28×10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мм</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/с  дозволяло диферен</w:t>
      </w:r>
      <w:r w:rsidR="00360283">
        <w:rPr>
          <w:rFonts w:ascii="Times New Roman" w:hAnsi="Times New Roman" w:cs="Times New Roman"/>
          <w:sz w:val="28"/>
          <w:szCs w:val="28"/>
        </w:rPr>
        <w:t>ціювати локальний рецидив нирков</w:t>
      </w:r>
      <w:r w:rsidRPr="00372DBA">
        <w:rPr>
          <w:rFonts w:ascii="Times New Roman" w:hAnsi="Times New Roman" w:cs="Times New Roman"/>
          <w:sz w:val="28"/>
          <w:szCs w:val="28"/>
        </w:rPr>
        <w:t xml:space="preserve">о-клітинного раку від фібротичних післяопераційних змін паренхіми нирки із 100% чутливістю, 80% специфічністю та високою точністю: </w:t>
      </w:r>
      <w:r w:rsidRPr="00372DBA">
        <w:rPr>
          <w:rFonts w:ascii="Times New Roman" w:hAnsi="Times New Roman" w:cs="Times New Roman"/>
          <w:sz w:val="28"/>
          <w:szCs w:val="28"/>
          <w:lang w:val="en-US"/>
        </w:rPr>
        <w:t>AUC</w:t>
      </w:r>
      <w:r w:rsidRPr="009E6C7E">
        <w:rPr>
          <w:rFonts w:ascii="Times New Roman" w:hAnsi="Times New Roman" w:cs="Times New Roman"/>
          <w:sz w:val="28"/>
          <w:szCs w:val="28"/>
        </w:rPr>
        <w:t>=</w:t>
      </w:r>
      <w:r w:rsidRPr="00372DBA">
        <w:rPr>
          <w:rFonts w:ascii="Times New Roman" w:hAnsi="Times New Roman" w:cs="Times New Roman"/>
          <w:sz w:val="28"/>
          <w:szCs w:val="28"/>
        </w:rPr>
        <w:t xml:space="preserve">0,980 (95% </w:t>
      </w:r>
      <w:r w:rsidRPr="00372DBA">
        <w:rPr>
          <w:rFonts w:ascii="Times New Roman" w:hAnsi="Times New Roman" w:cs="Times New Roman"/>
          <w:sz w:val="28"/>
          <w:szCs w:val="28"/>
        </w:rPr>
        <w:lastRenderedPageBreak/>
        <w:t>ДІ</w:t>
      </w:r>
      <w:r w:rsidRPr="009E6C7E">
        <w:rPr>
          <w:rFonts w:ascii="Times New Roman" w:hAnsi="Times New Roman" w:cs="Times New Roman"/>
          <w:sz w:val="28"/>
          <w:szCs w:val="28"/>
        </w:rPr>
        <w:t>=0</w:t>
      </w:r>
      <w:r w:rsidRPr="00372DBA">
        <w:rPr>
          <w:rFonts w:ascii="Times New Roman" w:hAnsi="Times New Roman" w:cs="Times New Roman"/>
          <w:sz w:val="28"/>
          <w:szCs w:val="28"/>
        </w:rPr>
        <w:t xml:space="preserve">,945-0,998, </w:t>
      </w:r>
      <w:r w:rsidRPr="009E6C7E">
        <w:rPr>
          <w:rFonts w:ascii="Times New Roman" w:hAnsi="Times New Roman" w:cs="Times New Roman"/>
          <w:sz w:val="28"/>
          <w:szCs w:val="28"/>
        </w:rPr>
        <w:t>р&lt;</w:t>
      </w:r>
      <w:r w:rsidRPr="00372DBA">
        <w:rPr>
          <w:rFonts w:ascii="Times New Roman" w:hAnsi="Times New Roman" w:cs="Times New Roman"/>
          <w:sz w:val="28"/>
          <w:szCs w:val="28"/>
        </w:rPr>
        <w:t>0,001) та при відсутності проме</w:t>
      </w:r>
      <w:r>
        <w:rPr>
          <w:rFonts w:ascii="Times New Roman" w:hAnsi="Times New Roman" w:cs="Times New Roman"/>
          <w:sz w:val="28"/>
          <w:szCs w:val="28"/>
        </w:rPr>
        <w:t>невого навантаження на хворого.</w:t>
      </w:r>
    </w:p>
    <w:p w:rsidR="00372DBA" w:rsidRPr="00372DBA" w:rsidRDefault="00096E8F" w:rsidP="00372DBA">
      <w:pPr>
        <w:spacing w:line="360" w:lineRule="auto"/>
        <w:ind w:firstLine="708"/>
        <w:jc w:val="both"/>
        <w:rPr>
          <w:rFonts w:ascii="Times New Roman" w:hAnsi="Times New Roman" w:cs="Times New Roman"/>
          <w:sz w:val="28"/>
          <w:szCs w:val="28"/>
          <w:lang w:bidi="he-IL"/>
        </w:rPr>
      </w:pPr>
      <w:r>
        <w:rPr>
          <w:rFonts w:ascii="Times New Roman" w:hAnsi="Times New Roman" w:cs="Times New Roman"/>
          <w:sz w:val="28"/>
          <w:szCs w:val="28"/>
        </w:rPr>
        <w:t>Д</w:t>
      </w:r>
      <w:r w:rsidR="00372DBA" w:rsidRPr="00372DBA">
        <w:rPr>
          <w:rFonts w:ascii="Times New Roman" w:hAnsi="Times New Roman" w:cs="Times New Roman"/>
          <w:sz w:val="28"/>
          <w:szCs w:val="28"/>
        </w:rPr>
        <w:t xml:space="preserve">оведено існування достовірної різниці між середнім рівнем експресії мікроРНК-15а у хворих з нирково-клітинним раком, </w:t>
      </w:r>
      <w:r w:rsidR="00372DBA" w:rsidRPr="00372DBA">
        <w:rPr>
          <w:rFonts w:ascii="Times New Roman" w:eastAsia="Times New Roman" w:hAnsi="Times New Roman" w:cs="Times New Roman"/>
          <w:sz w:val="28"/>
          <w:szCs w:val="28"/>
          <w:lang w:eastAsia="uk-UA"/>
        </w:rPr>
        <w:t>пацієнтів із доброякісними п</w:t>
      </w:r>
      <w:r>
        <w:rPr>
          <w:rFonts w:ascii="Times New Roman" w:eastAsia="Times New Roman" w:hAnsi="Times New Roman" w:cs="Times New Roman"/>
          <w:sz w:val="28"/>
          <w:szCs w:val="28"/>
          <w:lang w:eastAsia="uk-UA"/>
        </w:rPr>
        <w:t xml:space="preserve">ухлинами нирок та здорових осіб </w:t>
      </w:r>
      <w:r w:rsidR="00372DBA" w:rsidRPr="009E6C7E">
        <w:rPr>
          <w:rFonts w:ascii="Times New Roman" w:eastAsia="Times New Roman" w:hAnsi="Times New Roman" w:cs="Times New Roman"/>
          <w:sz w:val="28"/>
          <w:szCs w:val="28"/>
          <w:lang w:eastAsia="uk-UA"/>
        </w:rPr>
        <w:t>(</w:t>
      </w:r>
      <w:r w:rsidR="00372DBA" w:rsidRPr="00372DBA">
        <w:rPr>
          <w:rFonts w:ascii="Times New Roman" w:hAnsi="Times New Roman" w:cs="Times New Roman"/>
          <w:sz w:val="28"/>
          <w:szCs w:val="28"/>
        </w:rPr>
        <w:t>р</w:t>
      </w:r>
      <w:r w:rsidR="00372DBA" w:rsidRPr="00372DBA">
        <w:rPr>
          <w:rFonts w:ascii="Times New Roman" w:eastAsia="Times New Roman" w:hAnsi="Times New Roman" w:cs="Times New Roman"/>
          <w:sz w:val="28"/>
          <w:szCs w:val="28"/>
          <w:lang w:eastAsia="uk-UA"/>
        </w:rPr>
        <w:t xml:space="preserve">&lt;0,001). </w:t>
      </w:r>
      <w:r w:rsidR="00372DBA" w:rsidRPr="00372DBA">
        <w:rPr>
          <w:rFonts w:ascii="Times New Roman" w:hAnsi="Times New Roman" w:cs="Times New Roman"/>
          <w:color w:val="000000" w:themeColor="text1"/>
          <w:sz w:val="28"/>
          <w:szCs w:val="28"/>
        </w:rPr>
        <w:t>При диференційній діагностиці даної патології та доброякісних пухлин нирки</w:t>
      </w:r>
      <w:r w:rsidR="00372DBA" w:rsidRPr="00372DBA">
        <w:rPr>
          <w:rFonts w:ascii="Times New Roman" w:hAnsi="Times New Roman" w:cs="Times New Roman"/>
          <w:sz w:val="28"/>
          <w:szCs w:val="28"/>
        </w:rPr>
        <w:t xml:space="preserve">, чутливість та специфічність при пороговому значенні експресії </w:t>
      </w:r>
      <w:r w:rsidR="00372DBA" w:rsidRPr="00372DBA">
        <w:rPr>
          <w:rFonts w:ascii="Times New Roman" w:eastAsia="Times New Roman" w:hAnsi="Times New Roman" w:cs="Times New Roman"/>
          <w:color w:val="000000"/>
          <w:sz w:val="28"/>
          <w:szCs w:val="28"/>
          <w:lang w:eastAsia="uk-UA"/>
        </w:rPr>
        <w:t>5,00E-06</w:t>
      </w:r>
      <w:r w:rsidR="00372DBA" w:rsidRPr="009E6C7E">
        <w:rPr>
          <w:rFonts w:ascii="Times New Roman" w:eastAsia="Times New Roman" w:hAnsi="Times New Roman" w:cs="Times New Roman"/>
          <w:color w:val="000000"/>
          <w:lang w:eastAsia="uk-UA"/>
        </w:rPr>
        <w:t xml:space="preserve"> </w:t>
      </w:r>
      <w:r w:rsidR="00372DBA" w:rsidRPr="00372DBA">
        <w:rPr>
          <w:rFonts w:ascii="Times New Roman" w:eastAsia="Times New Roman" w:hAnsi="Times New Roman" w:cs="Times New Roman"/>
          <w:sz w:val="28"/>
          <w:szCs w:val="28"/>
          <w:lang w:eastAsia="uk-UA"/>
        </w:rPr>
        <w:t xml:space="preserve">УО становили </w:t>
      </w:r>
      <w:r w:rsidR="00372DBA" w:rsidRPr="00372DBA">
        <w:rPr>
          <w:rFonts w:ascii="Times New Roman" w:eastAsia="Times New Roman" w:hAnsi="Times New Roman" w:cs="Times New Roman"/>
          <w:color w:val="000000"/>
          <w:sz w:val="28"/>
          <w:szCs w:val="28"/>
          <w:lang w:eastAsia="uk-UA"/>
        </w:rPr>
        <w:t>відповідно 98,1% та 100% (</w:t>
      </w:r>
      <w:r w:rsidR="00372DBA" w:rsidRPr="00372DBA">
        <w:rPr>
          <w:rFonts w:ascii="Times New Roman" w:eastAsia="Times New Roman" w:hAnsi="Times New Roman" w:cs="Times New Roman"/>
          <w:color w:val="000000"/>
          <w:sz w:val="28"/>
          <w:szCs w:val="28"/>
          <w:lang w:val="en-US" w:eastAsia="uk-UA"/>
        </w:rPr>
        <w:t>AUC</w:t>
      </w:r>
      <w:r w:rsidR="00372DBA" w:rsidRPr="00372DBA">
        <w:rPr>
          <w:rFonts w:ascii="Times New Roman" w:eastAsia="Times New Roman" w:hAnsi="Times New Roman" w:cs="Times New Roman"/>
          <w:color w:val="000000"/>
          <w:sz w:val="28"/>
          <w:szCs w:val="28"/>
          <w:lang w:eastAsia="uk-UA"/>
        </w:rPr>
        <w:t>=0,955, р</w:t>
      </w:r>
      <w:r w:rsidR="00372DBA" w:rsidRPr="009E6C7E">
        <w:rPr>
          <w:rFonts w:ascii="Times New Roman" w:eastAsia="Times New Roman" w:hAnsi="Times New Roman" w:cs="Times New Roman"/>
          <w:color w:val="000000"/>
          <w:sz w:val="28"/>
          <w:szCs w:val="28"/>
          <w:lang w:eastAsia="uk-UA"/>
        </w:rPr>
        <w:t>&lt;</w:t>
      </w:r>
      <w:r w:rsidR="00372DBA" w:rsidRPr="00372DBA">
        <w:rPr>
          <w:rFonts w:ascii="Times New Roman" w:eastAsia="Times New Roman" w:hAnsi="Times New Roman" w:cs="Times New Roman"/>
          <w:color w:val="000000"/>
          <w:sz w:val="28"/>
          <w:szCs w:val="28"/>
          <w:lang w:eastAsia="uk-UA"/>
        </w:rPr>
        <w:t>0,001).</w:t>
      </w:r>
      <w:r w:rsidR="00372DBA" w:rsidRPr="00372DBA">
        <w:rPr>
          <w:rFonts w:ascii="Times New Roman" w:hAnsi="Times New Roman" w:cs="Times New Roman"/>
          <w:sz w:val="28"/>
          <w:szCs w:val="28"/>
        </w:rPr>
        <w:t xml:space="preserve"> </w:t>
      </w:r>
      <w:r w:rsidR="00372DBA" w:rsidRPr="00372DBA">
        <w:rPr>
          <w:rFonts w:ascii="Times New Roman" w:hAnsi="Times New Roman" w:cs="Times New Roman"/>
          <w:color w:val="000000" w:themeColor="text1"/>
          <w:sz w:val="28"/>
          <w:szCs w:val="28"/>
        </w:rPr>
        <w:t xml:space="preserve">На 8-й день після оперативного втручання було отримано статистично достовірне  </w:t>
      </w:r>
      <w:r w:rsidR="00372DBA" w:rsidRPr="00372DBA">
        <w:rPr>
          <w:rFonts w:ascii="Times New Roman" w:hAnsi="Times New Roman" w:cs="Times New Roman"/>
          <w:sz w:val="28"/>
          <w:szCs w:val="28"/>
        </w:rPr>
        <w:t>(р</w:t>
      </w:r>
      <w:r w:rsidR="00372DBA" w:rsidRPr="00372DBA">
        <w:rPr>
          <w:rFonts w:ascii="Times New Roman" w:eastAsia="Times New Roman" w:hAnsi="Times New Roman" w:cs="Times New Roman"/>
          <w:sz w:val="28"/>
          <w:szCs w:val="28"/>
          <w:lang w:eastAsia="uk-UA"/>
        </w:rPr>
        <w:t>&lt;0,001</w:t>
      </w:r>
      <w:r w:rsidR="00372DBA" w:rsidRPr="00372DBA">
        <w:rPr>
          <w:rFonts w:ascii="Times New Roman" w:hAnsi="Times New Roman" w:cs="Times New Roman"/>
          <w:sz w:val="28"/>
          <w:szCs w:val="28"/>
        </w:rPr>
        <w:t xml:space="preserve">) зниження експресії міР-15а в середньому на </w:t>
      </w:r>
      <w:r w:rsidR="00372DBA" w:rsidRPr="00372DBA">
        <w:rPr>
          <w:rFonts w:ascii="Times New Roman" w:eastAsia="Times New Roman" w:hAnsi="Times New Roman" w:cs="Times New Roman"/>
          <w:color w:val="000000" w:themeColor="text1"/>
          <w:sz w:val="28"/>
          <w:szCs w:val="28"/>
          <w:lang w:eastAsia="uk-UA"/>
        </w:rPr>
        <w:t xml:space="preserve">99,53% (з </w:t>
      </w:r>
      <w:r w:rsidR="00372DBA" w:rsidRPr="00372DBA">
        <w:rPr>
          <w:rFonts w:ascii="Times New Roman" w:eastAsia="Times New Roman" w:hAnsi="Times New Roman" w:cs="Times New Roman"/>
          <w:sz w:val="28"/>
          <w:szCs w:val="28"/>
          <w:lang w:eastAsia="uk-UA"/>
        </w:rPr>
        <w:t>2,50E-01±2,72E-01 УО до 1,18E-03±5,36E-04 УО</w:t>
      </w:r>
      <w:r w:rsidR="00372DBA" w:rsidRPr="00372DBA">
        <w:rPr>
          <w:rFonts w:ascii="Times New Roman" w:eastAsia="Times New Roman" w:hAnsi="Times New Roman" w:cs="Times New Roman"/>
          <w:color w:val="000000" w:themeColor="text1"/>
          <w:sz w:val="28"/>
          <w:szCs w:val="28"/>
          <w:lang w:eastAsia="uk-UA"/>
        </w:rPr>
        <w:t>)</w:t>
      </w:r>
      <w:r w:rsidR="00372DBA" w:rsidRPr="00372DBA">
        <w:rPr>
          <w:rFonts w:ascii="Times New Roman" w:hAnsi="Times New Roman" w:cs="Times New Roman"/>
          <w:sz w:val="28"/>
          <w:szCs w:val="28"/>
        </w:rPr>
        <w:t xml:space="preserve">, що має потенціал використання для оцінки радикальності проведеного лікування та моніторингу післяопераційного перебігу. При пороговому значенні вільної тотальної РНК 1641,24 </w:t>
      </w:r>
      <w:r w:rsidR="00372DBA" w:rsidRPr="00372DBA">
        <w:rPr>
          <w:rFonts w:ascii="Times New Roman" w:hAnsi="Times New Roman" w:cs="Times New Roman"/>
          <w:sz w:val="28"/>
          <w:szCs w:val="28"/>
          <w:lang w:bidi="he-IL"/>
        </w:rPr>
        <w:t>нг/мкл, спектроскопічно виміряної в сечі, диференціація наявності мікроскопічної інвазії чашко-мискової системи від її відсутності, при нирково-клітинному раку, були можливими із чутливістю та специфічністю 100%. Таким чином, експресія міР-15а може застосовуватись як чутливий молекулярний біомаркер для діагностики та скринінгу даної патології.</w:t>
      </w:r>
    </w:p>
    <w:p w:rsidR="00372DBA" w:rsidRPr="00372DBA" w:rsidRDefault="00372DBA" w:rsidP="00372DBA">
      <w:pPr>
        <w:spacing w:line="360" w:lineRule="auto"/>
        <w:ind w:firstLine="708"/>
        <w:jc w:val="both"/>
        <w:rPr>
          <w:rFonts w:ascii="Times New Roman" w:hAnsi="Times New Roman" w:cs="Times New Roman"/>
          <w:sz w:val="28"/>
          <w:szCs w:val="28"/>
        </w:rPr>
      </w:pPr>
      <w:r w:rsidRPr="00372DBA">
        <w:rPr>
          <w:rFonts w:ascii="Times New Roman" w:hAnsi="Times New Roman" w:cs="Times New Roman"/>
          <w:sz w:val="28"/>
          <w:szCs w:val="28"/>
          <w:lang w:bidi="he-IL"/>
        </w:rPr>
        <w:t xml:space="preserve">Було виявлено, що індекс резистентності допплер-УЗД достовірно відображує динаміку реноваскулярної резистентності </w:t>
      </w:r>
      <w:r w:rsidRPr="009E6C7E">
        <w:rPr>
          <w:rFonts w:ascii="Times New Roman" w:hAnsi="Times New Roman" w:cs="Times New Roman"/>
          <w:sz w:val="28"/>
          <w:szCs w:val="28"/>
          <w:lang w:bidi="he-IL"/>
        </w:rPr>
        <w:t>у</w:t>
      </w:r>
      <w:r w:rsidRPr="00372DBA">
        <w:rPr>
          <w:rFonts w:ascii="Times New Roman" w:hAnsi="Times New Roman" w:cs="Times New Roman"/>
          <w:sz w:val="28"/>
          <w:szCs w:val="28"/>
          <w:lang w:bidi="he-IL"/>
        </w:rPr>
        <w:t xml:space="preserve"> хворих із нирково-клітинним раком до та після  </w:t>
      </w:r>
      <w:r w:rsidRPr="00372DBA">
        <w:rPr>
          <w:rFonts w:ascii="Times New Roman" w:hAnsi="Times New Roman" w:cs="Times New Roman"/>
          <w:sz w:val="28"/>
          <w:szCs w:val="28"/>
        </w:rPr>
        <w:t xml:space="preserve">селективної емболізації ниркових артерій. У хворих із підвищенням індексом резистентності після емболізації у порівнянні із вихідним значенням </w:t>
      </w:r>
      <w:r w:rsidRPr="009E6C7E">
        <w:rPr>
          <w:rFonts w:ascii="Times New Roman" w:hAnsi="Times New Roman" w:cs="Times New Roman"/>
          <w:sz w:val="28"/>
          <w:szCs w:val="28"/>
        </w:rPr>
        <w:t>&gt;</w:t>
      </w:r>
      <w:r w:rsidRPr="00372DBA">
        <w:rPr>
          <w:rFonts w:ascii="Times New Roman" w:hAnsi="Times New Roman" w:cs="Times New Roman"/>
          <w:sz w:val="28"/>
          <w:szCs w:val="28"/>
        </w:rPr>
        <w:t xml:space="preserve">38,71% прогнозований об’єм оціночної інтраопераційної крововтрати був </w:t>
      </w:r>
      <w:r w:rsidRPr="009E6C7E">
        <w:rPr>
          <w:rFonts w:ascii="Times New Roman" w:hAnsi="Times New Roman" w:cs="Times New Roman"/>
          <w:sz w:val="28"/>
          <w:szCs w:val="28"/>
        </w:rPr>
        <w:t>&lt;</w:t>
      </w:r>
      <w:r w:rsidRPr="00372DBA">
        <w:rPr>
          <w:rFonts w:ascii="Times New Roman" w:hAnsi="Times New Roman" w:cs="Times New Roman"/>
          <w:sz w:val="28"/>
          <w:szCs w:val="28"/>
        </w:rPr>
        <w:t xml:space="preserve">250 мл, при зростанні на 20,98%-38,70% прогнозований об’єм крововтрати </w:t>
      </w:r>
      <w:r w:rsidRPr="009E6C7E">
        <w:rPr>
          <w:rFonts w:ascii="Times New Roman" w:hAnsi="Times New Roman" w:cs="Times New Roman"/>
          <w:sz w:val="28"/>
          <w:szCs w:val="28"/>
        </w:rPr>
        <w:t>&lt;</w:t>
      </w:r>
      <w:r w:rsidRPr="00372DBA">
        <w:rPr>
          <w:rFonts w:ascii="Times New Roman" w:hAnsi="Times New Roman" w:cs="Times New Roman"/>
          <w:sz w:val="28"/>
          <w:szCs w:val="28"/>
        </w:rPr>
        <w:t xml:space="preserve">500 мл, при підвищенні </w:t>
      </w:r>
      <w:r w:rsidRPr="009E6C7E">
        <w:rPr>
          <w:rFonts w:ascii="Times New Roman" w:hAnsi="Times New Roman" w:cs="Times New Roman"/>
          <w:sz w:val="28"/>
          <w:szCs w:val="28"/>
        </w:rPr>
        <w:t>&lt;</w:t>
      </w:r>
      <w:r w:rsidRPr="00372DBA">
        <w:rPr>
          <w:rFonts w:ascii="Times New Roman" w:hAnsi="Times New Roman" w:cs="Times New Roman"/>
          <w:sz w:val="28"/>
          <w:szCs w:val="28"/>
        </w:rPr>
        <w:t>20,97%  існує високий ризик значної інтраопераці</w:t>
      </w:r>
      <w:r w:rsidR="00BF4FF9">
        <w:rPr>
          <w:rFonts w:ascii="Times New Roman" w:hAnsi="Times New Roman" w:cs="Times New Roman"/>
          <w:sz w:val="28"/>
          <w:szCs w:val="28"/>
        </w:rPr>
        <w:t>й</w:t>
      </w:r>
      <w:r w:rsidRPr="00372DBA">
        <w:rPr>
          <w:rFonts w:ascii="Times New Roman" w:hAnsi="Times New Roman" w:cs="Times New Roman"/>
          <w:sz w:val="28"/>
          <w:szCs w:val="28"/>
        </w:rPr>
        <w:t>ної крововтрати (</w:t>
      </w:r>
      <w:r w:rsidRPr="009E6C7E">
        <w:rPr>
          <w:rFonts w:ascii="Times New Roman" w:hAnsi="Times New Roman" w:cs="Times New Roman"/>
          <w:sz w:val="28"/>
          <w:szCs w:val="28"/>
        </w:rPr>
        <w:t>&gt;</w:t>
      </w:r>
      <w:r w:rsidRPr="00372DBA">
        <w:rPr>
          <w:rFonts w:ascii="Times New Roman" w:hAnsi="Times New Roman" w:cs="Times New Roman"/>
          <w:sz w:val="28"/>
          <w:szCs w:val="28"/>
        </w:rPr>
        <w:t xml:space="preserve">500 мл). Підвищення індексу резистентності після емболізації </w:t>
      </w:r>
      <w:r w:rsidRPr="009E6C7E">
        <w:rPr>
          <w:rFonts w:ascii="Times New Roman" w:hAnsi="Times New Roman" w:cs="Times New Roman"/>
          <w:sz w:val="28"/>
          <w:szCs w:val="28"/>
        </w:rPr>
        <w:t>≤</w:t>
      </w:r>
      <w:r w:rsidRPr="00372DBA">
        <w:rPr>
          <w:rFonts w:ascii="Times New Roman" w:hAnsi="Times New Roman" w:cs="Times New Roman"/>
          <w:sz w:val="28"/>
          <w:szCs w:val="28"/>
        </w:rPr>
        <w:t>4% у порівнянні з початковим значенням, може розглядатись як її неефективність та показ до ре-емболізації ниркових артерій.</w:t>
      </w:r>
    </w:p>
    <w:p w:rsidR="00372DBA" w:rsidRPr="00372DBA" w:rsidRDefault="00372DBA" w:rsidP="00372DBA">
      <w:pPr>
        <w:autoSpaceDE w:val="0"/>
        <w:autoSpaceDN w:val="0"/>
        <w:adjustRightInd w:val="0"/>
        <w:spacing w:line="360" w:lineRule="auto"/>
        <w:ind w:firstLine="708"/>
        <w:jc w:val="both"/>
        <w:rPr>
          <w:rFonts w:ascii="Times New Roman" w:hAnsi="Times New Roman" w:cs="Times New Roman"/>
          <w:sz w:val="28"/>
          <w:szCs w:val="28"/>
        </w:rPr>
      </w:pPr>
      <w:r w:rsidRPr="00372DBA">
        <w:rPr>
          <w:rFonts w:ascii="Times New Roman" w:hAnsi="Times New Roman" w:cs="Times New Roman"/>
          <w:sz w:val="28"/>
          <w:szCs w:val="28"/>
        </w:rPr>
        <w:lastRenderedPageBreak/>
        <w:t>Застосування порогового значення вимірюваного коефіцієнта дифузії ↓1,73% (через 1 місяць після початку лікування пазопанібом у порівнянні із вихідною величиною), для диференціації хворих із прогресом захворювання та без, дозволило отримати показники чутливості та специфічності відповідно 100% та 81,8% (AUC=0,927, р&lt;0,001).</w:t>
      </w:r>
    </w:p>
    <w:p w:rsidR="00372DBA" w:rsidRPr="009E6C7E" w:rsidRDefault="00372DBA" w:rsidP="00372DBA">
      <w:pPr>
        <w:spacing w:line="360" w:lineRule="auto"/>
        <w:ind w:firstLine="708"/>
        <w:jc w:val="both"/>
        <w:rPr>
          <w:rFonts w:ascii="Times New Roman" w:hAnsi="Times New Roman" w:cs="Times New Roman"/>
          <w:sz w:val="28"/>
          <w:szCs w:val="28"/>
          <w:lang w:val="ru-RU"/>
        </w:rPr>
      </w:pPr>
      <w:r w:rsidRPr="00372DBA">
        <w:rPr>
          <w:rFonts w:ascii="Times New Roman" w:hAnsi="Times New Roman" w:cs="Times New Roman"/>
          <w:color w:val="000000" w:themeColor="text1"/>
          <w:sz w:val="28"/>
          <w:szCs w:val="28"/>
        </w:rPr>
        <w:t>Аналіз виживаності довів, що раково-специфічне виживання у хворих із нирково-клітинним раком та рівнем тканинної</w:t>
      </w:r>
      <w:r w:rsidRPr="009E6C7E">
        <w:rPr>
          <w:rFonts w:ascii="Times New Roman" w:hAnsi="Times New Roman" w:cs="Times New Roman"/>
          <w:color w:val="000000" w:themeColor="text1"/>
          <w:sz w:val="28"/>
          <w:szCs w:val="28"/>
        </w:rPr>
        <w:t xml:space="preserve"> </w:t>
      </w:r>
      <w:r w:rsidRPr="00372DBA">
        <w:rPr>
          <w:rFonts w:ascii="Times New Roman" w:hAnsi="Times New Roman" w:cs="Times New Roman"/>
          <w:color w:val="000000" w:themeColor="text1"/>
          <w:sz w:val="28"/>
          <w:szCs w:val="28"/>
        </w:rPr>
        <w:t>експресії мі</w:t>
      </w:r>
      <w:r w:rsidR="007D7DC9">
        <w:rPr>
          <w:rFonts w:ascii="Times New Roman" w:hAnsi="Times New Roman" w:cs="Times New Roman"/>
          <w:color w:val="000000" w:themeColor="text1"/>
          <w:sz w:val="28"/>
          <w:szCs w:val="28"/>
        </w:rPr>
        <w:t>кро</w:t>
      </w:r>
      <w:r w:rsidRPr="00372DBA">
        <w:rPr>
          <w:rFonts w:ascii="Times New Roman" w:hAnsi="Times New Roman" w:cs="Times New Roman"/>
          <w:color w:val="000000" w:themeColor="text1"/>
          <w:sz w:val="28"/>
          <w:szCs w:val="28"/>
        </w:rPr>
        <w:t>РНК-15а</w:t>
      </w:r>
      <w:r w:rsidR="007D7DC9">
        <w:rPr>
          <w:rFonts w:ascii="Times New Roman" w:hAnsi="Times New Roman" w:cs="Times New Roman"/>
          <w:color w:val="000000" w:themeColor="text1"/>
          <w:sz w:val="28"/>
          <w:szCs w:val="28"/>
        </w:rPr>
        <w:t xml:space="preserve"> (міР-15а)</w:t>
      </w:r>
      <w:r w:rsidRPr="00372DBA">
        <w:rPr>
          <w:rFonts w:ascii="Times New Roman" w:hAnsi="Times New Roman" w:cs="Times New Roman"/>
          <w:color w:val="000000" w:themeColor="text1"/>
          <w:sz w:val="28"/>
          <w:szCs w:val="28"/>
        </w:rPr>
        <w:t xml:space="preserve"> ≤0,10 УО, 5-річне CSS становило 92,31% а середня тривалість виживання складала 59,88</w:t>
      </w:r>
      <w:r w:rsidRPr="00372DBA">
        <w:rPr>
          <w:rFonts w:ascii="Times New Roman" w:eastAsia="Times New Roman" w:hAnsi="Times New Roman" w:cs="Times New Roman"/>
          <w:sz w:val="28"/>
          <w:szCs w:val="28"/>
          <w:lang w:eastAsia="uk-UA"/>
        </w:rPr>
        <w:t>±0,12</w:t>
      </w:r>
      <w:r w:rsidRPr="00372DBA">
        <w:rPr>
          <w:rFonts w:ascii="Times New Roman" w:hAnsi="Times New Roman" w:cs="Times New Roman"/>
          <w:color w:val="000000" w:themeColor="text1"/>
          <w:sz w:val="28"/>
          <w:szCs w:val="28"/>
        </w:rPr>
        <w:t xml:space="preserve"> місяців, в той час коли 5-річне раково-специфічне виживання у підгру</w:t>
      </w:r>
      <w:r w:rsidR="007D7DC9">
        <w:rPr>
          <w:rFonts w:ascii="Times New Roman" w:hAnsi="Times New Roman" w:cs="Times New Roman"/>
          <w:color w:val="000000" w:themeColor="text1"/>
          <w:sz w:val="28"/>
          <w:szCs w:val="28"/>
        </w:rPr>
        <w:t>пі пацієнтів із експресією міР</w:t>
      </w:r>
      <w:r w:rsidRPr="00372DBA">
        <w:rPr>
          <w:rFonts w:ascii="Times New Roman" w:hAnsi="Times New Roman" w:cs="Times New Roman"/>
          <w:color w:val="000000" w:themeColor="text1"/>
          <w:sz w:val="28"/>
          <w:szCs w:val="28"/>
        </w:rPr>
        <w:t>-15</w:t>
      </w:r>
      <w:r w:rsidR="007D7DC9">
        <w:rPr>
          <w:rFonts w:ascii="Times New Roman" w:hAnsi="Times New Roman" w:cs="Times New Roman"/>
          <w:color w:val="000000" w:themeColor="text1"/>
          <w:sz w:val="28"/>
          <w:szCs w:val="28"/>
        </w:rPr>
        <w:t>а</w:t>
      </w:r>
      <w:r w:rsidRPr="00372DBA">
        <w:rPr>
          <w:rFonts w:ascii="Times New Roman" w:hAnsi="Times New Roman" w:cs="Times New Roman"/>
          <w:color w:val="000000" w:themeColor="text1"/>
          <w:sz w:val="28"/>
          <w:szCs w:val="28"/>
        </w:rPr>
        <w:t>&gt;0,10 УО значно відрізнялось і становило всього 54,8%, а середня тривалість виживання складала 49,74</w:t>
      </w:r>
      <w:r w:rsidRPr="00372DBA">
        <w:rPr>
          <w:rFonts w:ascii="Times New Roman" w:eastAsia="Times New Roman" w:hAnsi="Times New Roman" w:cs="Times New Roman"/>
          <w:sz w:val="28"/>
          <w:szCs w:val="28"/>
          <w:lang w:eastAsia="uk-UA"/>
        </w:rPr>
        <w:t>±2,16 місяців (</w:t>
      </w:r>
      <w:r w:rsidRPr="00372DBA">
        <w:rPr>
          <w:rFonts w:ascii="Times New Roman" w:hAnsi="Times New Roman" w:cs="Times New Roman"/>
          <w:sz w:val="28"/>
          <w:szCs w:val="28"/>
        </w:rPr>
        <w:t>р&lt;0,001)</w:t>
      </w:r>
      <w:r w:rsidRPr="00372DBA">
        <w:rPr>
          <w:rFonts w:ascii="Times New Roman" w:eastAsia="Times New Roman" w:hAnsi="Times New Roman" w:cs="Times New Roman"/>
          <w:sz w:val="28"/>
          <w:szCs w:val="28"/>
          <w:lang w:eastAsia="uk-UA"/>
        </w:rPr>
        <w:t xml:space="preserve">. Такі дані доводять практичну цінність </w:t>
      </w:r>
      <w:r w:rsidRPr="00372DBA">
        <w:rPr>
          <w:rFonts w:ascii="Times New Roman" w:hAnsi="Times New Roman" w:cs="Times New Roman"/>
          <w:color w:val="000000" w:themeColor="text1"/>
          <w:sz w:val="28"/>
          <w:szCs w:val="28"/>
        </w:rPr>
        <w:t>експресії міРНК-15а у якості прогностичного біомаркеру.</w:t>
      </w:r>
    </w:p>
    <w:p w:rsidR="00372DBA" w:rsidRPr="00372DBA" w:rsidRDefault="00372DBA" w:rsidP="00372DBA">
      <w:pPr>
        <w:spacing w:line="360" w:lineRule="auto"/>
        <w:ind w:firstLine="708"/>
        <w:jc w:val="both"/>
        <w:rPr>
          <w:rFonts w:ascii="Times New Roman" w:hAnsi="Times New Roman" w:cs="Times New Roman"/>
          <w:color w:val="000000" w:themeColor="text1"/>
          <w:sz w:val="28"/>
          <w:szCs w:val="28"/>
        </w:rPr>
      </w:pPr>
      <w:r w:rsidRPr="00372DBA">
        <w:rPr>
          <w:rFonts w:ascii="Times New Roman" w:hAnsi="Times New Roman" w:cs="Times New Roman"/>
          <w:sz w:val="28"/>
          <w:szCs w:val="28"/>
        </w:rPr>
        <w:t xml:space="preserve">За допомогою радіогенетичного аналізу було доведено, що комбінація шести променевих характеристик нирково-клітинного раку дозволяє достовірно передбачати рівень тканинної експресії міРНК-15а (скорегований </w:t>
      </w:r>
      <w:r w:rsidRPr="00372DBA">
        <w:rPr>
          <w:rFonts w:ascii="Times New Roman" w:hAnsi="Times New Roman" w:cs="Times New Roman"/>
          <w:sz w:val="28"/>
          <w:szCs w:val="28"/>
          <w:lang w:val="en-US"/>
        </w:rPr>
        <w:t>R</w:t>
      </w:r>
      <w:r w:rsidRPr="009E6C7E">
        <w:rPr>
          <w:rFonts w:ascii="Times New Roman" w:hAnsi="Times New Roman" w:cs="Times New Roman"/>
          <w:sz w:val="28"/>
          <w:szCs w:val="28"/>
          <w:vertAlign w:val="superscript"/>
          <w:lang w:val="ru-RU"/>
        </w:rPr>
        <w:t>2</w:t>
      </w:r>
      <w:r w:rsidRPr="00372DBA">
        <w:rPr>
          <w:rFonts w:ascii="Times New Roman" w:hAnsi="Times New Roman" w:cs="Times New Roman"/>
          <w:sz w:val="28"/>
          <w:szCs w:val="28"/>
        </w:rPr>
        <w:t>=0,8336, р</w:t>
      </w:r>
      <w:r w:rsidRPr="009E6C7E">
        <w:rPr>
          <w:rFonts w:ascii="Times New Roman" w:hAnsi="Times New Roman" w:cs="Times New Roman"/>
          <w:sz w:val="28"/>
          <w:szCs w:val="28"/>
          <w:lang w:val="ru-RU"/>
        </w:rPr>
        <w:t>&lt;0,001</w:t>
      </w:r>
      <w:r w:rsidRPr="00372DBA">
        <w:rPr>
          <w:rFonts w:ascii="Times New Roman" w:hAnsi="Times New Roman" w:cs="Times New Roman"/>
          <w:sz w:val="28"/>
          <w:szCs w:val="28"/>
        </w:rPr>
        <w:t>), що може бути використано у випадку недоступності методів дослідження для прогнозування перебігу даного захворювання, а розроблена поліноміальна модель – як сурогат експресії міР-15а у якості прогностичного біомаркеру.</w:t>
      </w:r>
    </w:p>
    <w:p w:rsidR="00096E8F" w:rsidRDefault="00372DBA" w:rsidP="00372DBA">
      <w:pPr>
        <w:autoSpaceDE w:val="0"/>
        <w:autoSpaceDN w:val="0"/>
        <w:adjustRightInd w:val="0"/>
        <w:spacing w:line="360" w:lineRule="auto"/>
        <w:ind w:firstLine="708"/>
        <w:jc w:val="both"/>
        <w:rPr>
          <w:rFonts w:ascii="Times New Roman" w:hAnsi="Times New Roman" w:cs="Times New Roman"/>
          <w:sz w:val="28"/>
          <w:szCs w:val="28"/>
        </w:rPr>
      </w:pPr>
      <w:r w:rsidRPr="00372DBA">
        <w:rPr>
          <w:rFonts w:ascii="Times New Roman" w:hAnsi="Times New Roman" w:cs="Times New Roman"/>
          <w:sz w:val="28"/>
          <w:szCs w:val="28"/>
        </w:rPr>
        <w:t>На основі отриманих даних було розроблено алгоритм діагностики та лікування хворих із нирково-клітинним раком із застосуванням новітніх променевих та молекулярних біомаркерів, а також удосконалено інтегровану прогностичну систему UISS д</w:t>
      </w:r>
      <w:r w:rsidR="00096E8F">
        <w:rPr>
          <w:rFonts w:ascii="Times New Roman" w:hAnsi="Times New Roman" w:cs="Times New Roman"/>
          <w:sz w:val="28"/>
          <w:szCs w:val="28"/>
        </w:rPr>
        <w:t>ля локалізованого захворювання.</w:t>
      </w:r>
    </w:p>
    <w:p w:rsidR="008A5B77" w:rsidRPr="00EF4743" w:rsidRDefault="00372DBA" w:rsidP="00EF4743">
      <w:pPr>
        <w:autoSpaceDE w:val="0"/>
        <w:autoSpaceDN w:val="0"/>
        <w:adjustRightInd w:val="0"/>
        <w:spacing w:line="360" w:lineRule="auto"/>
        <w:ind w:firstLine="708"/>
        <w:jc w:val="both"/>
        <w:rPr>
          <w:rFonts w:ascii="Times New Roman" w:hAnsi="Times New Roman" w:cs="Times New Roman"/>
          <w:sz w:val="28"/>
          <w:szCs w:val="28"/>
        </w:rPr>
      </w:pPr>
      <w:r w:rsidRPr="00372DBA">
        <w:rPr>
          <w:rFonts w:ascii="Times New Roman" w:hAnsi="Times New Roman" w:cs="Times New Roman"/>
          <w:b/>
          <w:kern w:val="1"/>
          <w:sz w:val="28"/>
          <w:szCs w:val="28"/>
          <w:lang w:eastAsia="ko-KR"/>
        </w:rPr>
        <w:t xml:space="preserve">Ключові слова: </w:t>
      </w:r>
      <w:r w:rsidRPr="00372DBA">
        <w:rPr>
          <w:rFonts w:ascii="Times New Roman" w:hAnsi="Times New Roman" w:cs="Times New Roman"/>
          <w:kern w:val="1"/>
          <w:sz w:val="28"/>
          <w:szCs w:val="28"/>
          <w:lang w:eastAsia="ko-KR"/>
        </w:rPr>
        <w:t>н</w:t>
      </w:r>
      <w:r w:rsidR="00F71B81">
        <w:rPr>
          <w:rFonts w:ascii="Times New Roman" w:hAnsi="Times New Roman" w:cs="Times New Roman"/>
          <w:kern w:val="1"/>
          <w:sz w:val="28"/>
          <w:szCs w:val="28"/>
          <w:lang w:eastAsia="ko-KR"/>
        </w:rPr>
        <w:t>ирково-клітинний рак, біомаркер</w:t>
      </w:r>
      <w:r w:rsidRPr="00372DBA">
        <w:rPr>
          <w:rFonts w:ascii="Times New Roman" w:hAnsi="Times New Roman" w:cs="Times New Roman"/>
          <w:kern w:val="1"/>
          <w:sz w:val="28"/>
          <w:szCs w:val="28"/>
          <w:lang w:eastAsia="ko-KR"/>
        </w:rPr>
        <w:t>, променева щільність, дифузійно-зважені зображення, вимірюваний коефіцієнт дифузії, нефректомія, селективна емб</w:t>
      </w:r>
      <w:r w:rsidR="007D7DC9">
        <w:rPr>
          <w:rFonts w:ascii="Times New Roman" w:hAnsi="Times New Roman" w:cs="Times New Roman"/>
          <w:kern w:val="1"/>
          <w:sz w:val="28"/>
          <w:szCs w:val="28"/>
          <w:lang w:eastAsia="ko-KR"/>
        </w:rPr>
        <w:t>олізація ниркових артерій, мі</w:t>
      </w:r>
      <w:r w:rsidRPr="00372DBA">
        <w:rPr>
          <w:rFonts w:ascii="Times New Roman" w:hAnsi="Times New Roman" w:cs="Times New Roman"/>
          <w:kern w:val="1"/>
          <w:sz w:val="28"/>
          <w:szCs w:val="28"/>
          <w:lang w:eastAsia="ko-KR"/>
        </w:rPr>
        <w:t>РНК-15а, загальна РНК, таргетна терапія, прогнозування, виживання, радіогеноміка</w:t>
      </w:r>
    </w:p>
    <w:p w:rsidR="005F34B5" w:rsidRPr="005F34B5" w:rsidRDefault="005F34B5" w:rsidP="005F34B5">
      <w:pPr>
        <w:jc w:val="center"/>
        <w:rPr>
          <w:rFonts w:ascii="Times New Roman" w:hAnsi="Times New Roman" w:cs="Times New Roman"/>
          <w:b/>
          <w:sz w:val="28"/>
          <w:szCs w:val="28"/>
        </w:rPr>
      </w:pPr>
      <w:r w:rsidRPr="005F34B5">
        <w:rPr>
          <w:rFonts w:ascii="Times New Roman" w:hAnsi="Times New Roman" w:cs="Times New Roman"/>
          <w:b/>
          <w:sz w:val="28"/>
          <w:szCs w:val="28"/>
        </w:rPr>
        <w:lastRenderedPageBreak/>
        <w:t>ANNOTATION</w:t>
      </w:r>
    </w:p>
    <w:p w:rsidR="00372DBA" w:rsidRPr="00372DBA" w:rsidRDefault="00372DBA" w:rsidP="00372DBA">
      <w:pPr>
        <w:spacing w:line="360" w:lineRule="auto"/>
        <w:ind w:firstLine="708"/>
        <w:jc w:val="both"/>
        <w:rPr>
          <w:rFonts w:ascii="Times New Roman" w:hAnsi="Times New Roman" w:cs="Times New Roman"/>
          <w:sz w:val="28"/>
          <w:szCs w:val="28"/>
          <w:lang w:val="en-US"/>
        </w:rPr>
      </w:pPr>
      <w:r w:rsidRPr="00372DBA">
        <w:rPr>
          <w:rFonts w:ascii="Times New Roman" w:hAnsi="Times New Roman" w:cs="Times New Roman"/>
          <w:i/>
          <w:sz w:val="28"/>
          <w:szCs w:val="28"/>
          <w:lang w:val="en-US"/>
        </w:rPr>
        <w:t>Mytsyk</w:t>
      </w:r>
      <w:r w:rsidRPr="00372DBA">
        <w:rPr>
          <w:rFonts w:ascii="Times New Roman" w:hAnsi="Times New Roman" w:cs="Times New Roman"/>
          <w:sz w:val="28"/>
          <w:szCs w:val="28"/>
          <w:lang w:val="en-US"/>
        </w:rPr>
        <w:t xml:space="preserve"> </w:t>
      </w:r>
      <w:r w:rsidR="007F2534" w:rsidRPr="00372DBA">
        <w:rPr>
          <w:rFonts w:ascii="Times New Roman" w:hAnsi="Times New Roman" w:cs="Times New Roman"/>
          <w:i/>
          <w:sz w:val="28"/>
          <w:szCs w:val="28"/>
          <w:lang w:val="en-US"/>
        </w:rPr>
        <w:t>Y.O</w:t>
      </w:r>
      <w:r w:rsidR="007F2534">
        <w:rPr>
          <w:rFonts w:ascii="Times New Roman" w:hAnsi="Times New Roman" w:cs="Times New Roman"/>
          <w:i/>
          <w:sz w:val="28"/>
          <w:szCs w:val="28"/>
          <w:lang w:val="en-US"/>
        </w:rPr>
        <w:t>.</w:t>
      </w:r>
      <w:r w:rsidR="007F2534" w:rsidRPr="00372DBA">
        <w:rPr>
          <w:rFonts w:ascii="Times New Roman" w:hAnsi="Times New Roman" w:cs="Times New Roman"/>
          <w:sz w:val="28"/>
          <w:szCs w:val="28"/>
          <w:lang w:val="en-US"/>
        </w:rPr>
        <w:t xml:space="preserve"> </w:t>
      </w:r>
      <w:r w:rsidRPr="00372DBA">
        <w:rPr>
          <w:rFonts w:ascii="Times New Roman" w:hAnsi="Times New Roman" w:cs="Times New Roman"/>
          <w:sz w:val="28"/>
          <w:szCs w:val="28"/>
          <w:lang w:val="en-US"/>
        </w:rPr>
        <w:t xml:space="preserve">Application of the imaging and molecular biomarkers in diagnostics, evaluation of the treatment efficiency and in prognostication of the survival in patients with the renal cell carcinoma. – Qualified scientific paper. Manuscript. </w:t>
      </w:r>
    </w:p>
    <w:p w:rsidR="00372DBA" w:rsidRPr="00372DBA" w:rsidRDefault="00372DBA" w:rsidP="00372DBA">
      <w:pPr>
        <w:pStyle w:val="rvps2"/>
        <w:spacing w:before="0" w:beforeAutospacing="0" w:after="0" w:afterAutospacing="0" w:line="360" w:lineRule="auto"/>
        <w:jc w:val="both"/>
        <w:rPr>
          <w:sz w:val="28"/>
          <w:szCs w:val="28"/>
          <w:lang w:val="en-US"/>
        </w:rPr>
      </w:pPr>
      <w:r w:rsidRPr="00372DBA">
        <w:rPr>
          <w:rFonts w:eastAsia="Times New Roman"/>
          <w:sz w:val="28"/>
          <w:szCs w:val="28"/>
          <w:lang w:val="en-US"/>
        </w:rPr>
        <w:tab/>
        <w:t xml:space="preserve">Thesis for a doctorate degree </w:t>
      </w:r>
      <w:r w:rsidR="008A5B77">
        <w:rPr>
          <w:rFonts w:eastAsia="Times New Roman"/>
          <w:sz w:val="28"/>
          <w:szCs w:val="28"/>
          <w:lang w:val="en-US"/>
        </w:rPr>
        <w:t>in</w:t>
      </w:r>
      <w:r w:rsidRPr="00372DBA">
        <w:rPr>
          <w:rFonts w:eastAsia="Times New Roman"/>
          <w:sz w:val="28"/>
          <w:szCs w:val="28"/>
          <w:lang w:val="en-US"/>
        </w:rPr>
        <w:t xml:space="preserve"> medical sciences on specialty </w:t>
      </w:r>
      <w:r w:rsidRPr="00372DBA">
        <w:rPr>
          <w:sz w:val="28"/>
          <w:szCs w:val="28"/>
          <w:lang w:val="en-US"/>
        </w:rPr>
        <w:t>14.01.06 «Urology»</w:t>
      </w:r>
      <w:r w:rsidR="008A5B77">
        <w:rPr>
          <w:sz w:val="28"/>
          <w:szCs w:val="28"/>
          <w:lang w:val="en-US"/>
        </w:rPr>
        <w:t xml:space="preserve"> (222 – medicine)</w:t>
      </w:r>
      <w:r w:rsidRPr="00372DBA">
        <w:rPr>
          <w:sz w:val="28"/>
          <w:szCs w:val="28"/>
          <w:lang w:val="en-US"/>
        </w:rPr>
        <w:t xml:space="preserve">. </w:t>
      </w:r>
      <w:r w:rsidR="00EF4743">
        <w:rPr>
          <w:sz w:val="28"/>
          <w:szCs w:val="28"/>
          <w:lang w:val="en-US"/>
        </w:rPr>
        <w:t xml:space="preserve">– Lviv national medical university n.a. Danylo Halytsky. </w:t>
      </w:r>
      <w:r w:rsidRPr="00372DBA">
        <w:rPr>
          <w:sz w:val="28"/>
          <w:szCs w:val="28"/>
          <w:lang w:val="en-US"/>
        </w:rPr>
        <w:t>–</w:t>
      </w:r>
      <w:r w:rsidR="008A5B77">
        <w:rPr>
          <w:sz w:val="28"/>
          <w:szCs w:val="28"/>
          <w:lang w:val="en-US"/>
        </w:rPr>
        <w:t xml:space="preserve"> </w:t>
      </w:r>
      <w:r w:rsidRPr="00372DBA">
        <w:rPr>
          <w:sz w:val="28"/>
          <w:szCs w:val="28"/>
          <w:lang w:val="en-US"/>
        </w:rPr>
        <w:t>Kharkiv National M</w:t>
      </w:r>
      <w:r w:rsidR="00EF4743">
        <w:rPr>
          <w:sz w:val="28"/>
          <w:szCs w:val="28"/>
          <w:lang w:val="en-US"/>
        </w:rPr>
        <w:t>edical University, Kharkiv, 2018</w:t>
      </w:r>
      <w:r w:rsidRPr="00372DBA">
        <w:rPr>
          <w:sz w:val="28"/>
          <w:szCs w:val="28"/>
          <w:lang w:val="en-US"/>
        </w:rPr>
        <w:t>.</w:t>
      </w:r>
    </w:p>
    <w:p w:rsidR="00372DBA" w:rsidRPr="00372DBA" w:rsidRDefault="00372DBA" w:rsidP="00372DBA">
      <w:pPr>
        <w:spacing w:line="360" w:lineRule="auto"/>
        <w:ind w:firstLine="708"/>
        <w:jc w:val="both"/>
        <w:rPr>
          <w:rFonts w:ascii="Times New Roman" w:hAnsi="Times New Roman" w:cs="Times New Roman"/>
          <w:sz w:val="28"/>
          <w:szCs w:val="28"/>
          <w:lang w:val="en-US"/>
        </w:rPr>
      </w:pPr>
    </w:p>
    <w:p w:rsidR="00372DBA" w:rsidRPr="00372DBA" w:rsidRDefault="00372DBA" w:rsidP="0098774B">
      <w:pPr>
        <w:spacing w:line="360" w:lineRule="auto"/>
        <w:ind w:firstLine="708"/>
        <w:jc w:val="both"/>
        <w:rPr>
          <w:rFonts w:ascii="Times New Roman" w:hAnsi="Times New Roman" w:cs="Times New Roman"/>
          <w:sz w:val="28"/>
          <w:szCs w:val="28"/>
          <w:lang w:val="en-US"/>
        </w:rPr>
      </w:pPr>
      <w:r w:rsidRPr="00372DBA">
        <w:rPr>
          <w:rFonts w:ascii="Times New Roman" w:hAnsi="Times New Roman" w:cs="Times New Roman"/>
          <w:sz w:val="28"/>
          <w:szCs w:val="28"/>
          <w:lang w:val="en-US"/>
        </w:rPr>
        <w:t>The thesis is dedicated to improvement of diagnosis and treatment of patients with the renal cell carcinoma by means of application of the novel imaging and molecular biomarkers in differentiation, post-operative period monitoring, assessment of the effectiveness of the selective embolization of the renal arteries and systemic therapy, local relapse detection and pr</w:t>
      </w:r>
      <w:r w:rsidR="0098774B">
        <w:rPr>
          <w:rFonts w:ascii="Times New Roman" w:hAnsi="Times New Roman" w:cs="Times New Roman"/>
          <w:sz w:val="28"/>
          <w:szCs w:val="28"/>
          <w:lang w:val="en-US"/>
        </w:rPr>
        <w:t xml:space="preserve">ognostication of the survival. </w:t>
      </w:r>
      <w:r w:rsidRPr="00372DBA">
        <w:rPr>
          <w:rFonts w:ascii="Times New Roman" w:hAnsi="Times New Roman" w:cs="Times New Roman"/>
          <w:sz w:val="28"/>
          <w:szCs w:val="28"/>
          <w:lang w:val="en-US"/>
        </w:rPr>
        <w:t>In order to address the defined goal, during 2013-2018 the study based on diagnostic data, treatment results and archive medical records processing (archive data from 2008 till 2018) of 425 patients with solid renal cell carcinoma, 45 patients with transitional cell carcinoma of renal pelvis, 87 patients with solid benign renal tumors, 142 patients with cystic renal cell carcinoma, 166 patients with benign renal cysts and 60 healthy persons was performed. In addition of 64 paraffinized renal cell carcinoma and 15 normal renal parenchyma tissue samples were enrolled into study.</w:t>
      </w:r>
    </w:p>
    <w:p w:rsidR="00372DBA" w:rsidRDefault="00372DBA" w:rsidP="00E25739">
      <w:pPr>
        <w:spacing w:line="360" w:lineRule="auto"/>
        <w:ind w:firstLine="708"/>
        <w:jc w:val="both"/>
        <w:rPr>
          <w:rFonts w:ascii="Times New Roman" w:hAnsi="Times New Roman" w:cs="Times New Roman"/>
          <w:sz w:val="28"/>
          <w:szCs w:val="28"/>
          <w:lang w:val="en-US"/>
        </w:rPr>
      </w:pPr>
      <w:r w:rsidRPr="00372DBA">
        <w:rPr>
          <w:rFonts w:ascii="Times New Roman" w:hAnsi="Times New Roman" w:cs="Times New Roman"/>
          <w:sz w:val="28"/>
          <w:szCs w:val="28"/>
          <w:lang w:val="en-US"/>
        </w:rPr>
        <w:t xml:space="preserve">Based on the analysis of variance and ROC-analysis we found, that among all investigated imaging biomarkers based on CT (signal intensity, tumor radiodensity to normal renal parenchyma radiodensity ratio) and MRI (signal intensity of the diffusion-weighted images, apparent diffusion coefficient) data, superior sensitivity and specificity in differentiation of solid renal cell carcinoma from benign renal tumors were achieved while using apparent diffusion coefficient of diffusion-weighted images of MRI, with threshold of </w:t>
      </w:r>
      <w:r w:rsidRPr="00372DBA">
        <w:rPr>
          <w:rFonts w:ascii="Times New Roman" w:hAnsi="Times New Roman" w:cs="Times New Roman"/>
          <w:color w:val="000000" w:themeColor="text1"/>
          <w:sz w:val="28"/>
          <w:szCs w:val="28"/>
        </w:rPr>
        <w:t>2,0</w:t>
      </w:r>
      <w:r w:rsidRPr="00372DBA">
        <w:rPr>
          <w:rFonts w:ascii="Times New Roman" w:hAnsi="Times New Roman" w:cs="Times New Roman"/>
          <w:sz w:val="28"/>
          <w:szCs w:val="28"/>
        </w:rPr>
        <w:t>×10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mm</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 xml:space="preserve">/s: respectively 100% </w:t>
      </w:r>
      <w:r w:rsidRPr="00372DBA">
        <w:rPr>
          <w:rFonts w:ascii="Times New Roman" w:hAnsi="Times New Roman" w:cs="Times New Roman"/>
          <w:sz w:val="28"/>
          <w:szCs w:val="28"/>
          <w:lang w:val="en-US"/>
        </w:rPr>
        <w:t>and</w:t>
      </w:r>
      <w:r w:rsidRPr="00372DBA">
        <w:rPr>
          <w:rFonts w:ascii="Times New Roman" w:hAnsi="Times New Roman" w:cs="Times New Roman"/>
          <w:sz w:val="28"/>
          <w:szCs w:val="28"/>
        </w:rPr>
        <w:t xml:space="preserve"> 81,8% (AUC=</w:t>
      </w:r>
      <w:r w:rsidRPr="00372DBA">
        <w:rPr>
          <w:rFonts w:ascii="Times New Roman" w:hAnsi="Times New Roman" w:cs="Times New Roman"/>
          <w:color w:val="000000" w:themeColor="text1"/>
          <w:sz w:val="28"/>
          <w:szCs w:val="28"/>
        </w:rPr>
        <w:t>0,993, р</w:t>
      </w:r>
      <w:r w:rsidRPr="00372DBA">
        <w:rPr>
          <w:rFonts w:ascii="Times New Roman" w:hAnsi="Times New Roman" w:cs="Times New Roman"/>
          <w:sz w:val="28"/>
          <w:szCs w:val="28"/>
        </w:rPr>
        <w:t xml:space="preserve">&lt;0,001), </w:t>
      </w:r>
      <w:r w:rsidRPr="00372DBA">
        <w:rPr>
          <w:rFonts w:ascii="Times New Roman" w:hAnsi="Times New Roman" w:cs="Times New Roman"/>
          <w:sz w:val="28"/>
          <w:szCs w:val="28"/>
          <w:lang w:val="en-US"/>
        </w:rPr>
        <w:t xml:space="preserve">simultaneously without radiation exposure of the </w:t>
      </w:r>
      <w:r w:rsidRPr="00372DBA">
        <w:rPr>
          <w:rFonts w:ascii="Times New Roman" w:hAnsi="Times New Roman" w:cs="Times New Roman"/>
          <w:sz w:val="28"/>
          <w:szCs w:val="28"/>
          <w:lang w:val="en-US"/>
        </w:rPr>
        <w:lastRenderedPageBreak/>
        <w:t xml:space="preserve">patient.  The use of the same biomarker allowed to differentiate histologic subtypes if the renal cell carcinoma: conventional from non-conventional with sensitivity and specificity respectively </w:t>
      </w:r>
      <w:r w:rsidRPr="00372DBA">
        <w:rPr>
          <w:rFonts w:ascii="Times New Roman" w:hAnsi="Times New Roman" w:cs="Times New Roman"/>
          <w:sz w:val="28"/>
          <w:szCs w:val="28"/>
        </w:rPr>
        <w:t xml:space="preserve">93,4% </w:t>
      </w:r>
      <w:r w:rsidRPr="00372DBA">
        <w:rPr>
          <w:rFonts w:ascii="Times New Roman" w:hAnsi="Times New Roman" w:cs="Times New Roman"/>
          <w:sz w:val="28"/>
          <w:szCs w:val="28"/>
          <w:lang w:val="en-US"/>
        </w:rPr>
        <w:t>and</w:t>
      </w:r>
      <w:r w:rsidRPr="00372DBA">
        <w:rPr>
          <w:rFonts w:ascii="Times New Roman" w:hAnsi="Times New Roman" w:cs="Times New Roman"/>
          <w:sz w:val="28"/>
          <w:szCs w:val="28"/>
        </w:rPr>
        <w:t xml:space="preserve"> 96,7% (AUC=</w:t>
      </w:r>
      <w:r w:rsidRPr="00372DBA">
        <w:rPr>
          <w:rFonts w:ascii="Times New Roman" w:hAnsi="Times New Roman" w:cs="Times New Roman"/>
          <w:color w:val="000000" w:themeColor="text1"/>
          <w:sz w:val="28"/>
          <w:szCs w:val="28"/>
        </w:rPr>
        <w:t>0,981, р</w:t>
      </w:r>
      <w:r w:rsidRPr="00372DBA">
        <w:rPr>
          <w:rFonts w:ascii="Times New Roman" w:hAnsi="Times New Roman" w:cs="Times New Roman"/>
          <w:sz w:val="28"/>
          <w:szCs w:val="28"/>
        </w:rPr>
        <w:t xml:space="preserve">&lt;0,001) </w:t>
      </w:r>
      <w:r w:rsidRPr="00372DBA">
        <w:rPr>
          <w:rFonts w:ascii="Times New Roman" w:hAnsi="Times New Roman" w:cs="Times New Roman"/>
          <w:sz w:val="28"/>
          <w:szCs w:val="28"/>
          <w:lang w:val="en-US"/>
        </w:rPr>
        <w:t>with threshold value of</w:t>
      </w:r>
      <w:r w:rsidRPr="00372DBA">
        <w:rPr>
          <w:rFonts w:ascii="Times New Roman" w:hAnsi="Times New Roman" w:cs="Times New Roman"/>
          <w:sz w:val="28"/>
          <w:szCs w:val="28"/>
        </w:rPr>
        <w:t xml:space="preserve"> </w:t>
      </w:r>
      <w:r w:rsidRPr="00372DBA">
        <w:rPr>
          <w:rFonts w:ascii="Times New Roman" w:hAnsi="Times New Roman" w:cs="Times New Roman"/>
          <w:color w:val="000000" w:themeColor="text1"/>
          <w:sz w:val="28"/>
          <w:szCs w:val="28"/>
        </w:rPr>
        <w:t>1,66</w:t>
      </w:r>
      <w:r w:rsidRPr="00372DBA">
        <w:rPr>
          <w:rFonts w:ascii="Times New Roman" w:hAnsi="Times New Roman" w:cs="Times New Roman"/>
          <w:sz w:val="28"/>
          <w:szCs w:val="28"/>
        </w:rPr>
        <w:t>×10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mm</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/s;</w:t>
      </w:r>
      <w:r w:rsidRPr="00372DBA">
        <w:rPr>
          <w:rFonts w:ascii="Times New Roman" w:hAnsi="Times New Roman" w:cs="Times New Roman"/>
          <w:sz w:val="28"/>
          <w:szCs w:val="28"/>
          <w:lang w:val="en-US"/>
        </w:rPr>
        <w:t xml:space="preserve"> papillary from chromophobe with sensitivity and specificity respectively </w:t>
      </w:r>
      <w:r w:rsidRPr="00372DBA">
        <w:rPr>
          <w:rFonts w:ascii="Times New Roman" w:hAnsi="Times New Roman" w:cs="Times New Roman"/>
          <w:color w:val="000000" w:themeColor="text1"/>
          <w:sz w:val="28"/>
          <w:szCs w:val="28"/>
        </w:rPr>
        <w:t xml:space="preserve">93,4% </w:t>
      </w:r>
      <w:r w:rsidRPr="00372DBA">
        <w:rPr>
          <w:rFonts w:ascii="Times New Roman" w:hAnsi="Times New Roman" w:cs="Times New Roman"/>
          <w:color w:val="000000" w:themeColor="text1"/>
          <w:sz w:val="28"/>
          <w:szCs w:val="28"/>
          <w:lang w:val="en-US"/>
        </w:rPr>
        <w:t>and</w:t>
      </w:r>
      <w:r w:rsidRPr="00372DBA">
        <w:rPr>
          <w:rFonts w:ascii="Times New Roman" w:hAnsi="Times New Roman" w:cs="Times New Roman"/>
          <w:color w:val="000000" w:themeColor="text1"/>
          <w:sz w:val="28"/>
          <w:szCs w:val="28"/>
        </w:rPr>
        <w:t xml:space="preserve"> 86,7% (AUC=0,956, р</w:t>
      </w:r>
      <w:r w:rsidRPr="00372DBA">
        <w:rPr>
          <w:rFonts w:ascii="Times New Roman" w:hAnsi="Times New Roman" w:cs="Times New Roman"/>
          <w:sz w:val="28"/>
          <w:szCs w:val="28"/>
        </w:rPr>
        <w:t>&lt;0,001)</w:t>
      </w:r>
      <w:r w:rsidRPr="00372DBA">
        <w:rPr>
          <w:rFonts w:ascii="Times New Roman" w:hAnsi="Times New Roman" w:cs="Times New Roman"/>
          <w:sz w:val="28"/>
          <w:szCs w:val="28"/>
          <w:lang w:val="en-US"/>
        </w:rPr>
        <w:t xml:space="preserve"> using threshold value </w:t>
      </w:r>
      <w:r w:rsidRPr="00372DBA">
        <w:rPr>
          <w:rFonts w:ascii="Times New Roman" w:hAnsi="Times New Roman" w:cs="Times New Roman"/>
          <w:color w:val="000000" w:themeColor="text1"/>
          <w:sz w:val="28"/>
          <w:szCs w:val="28"/>
        </w:rPr>
        <w:t>1,48</w:t>
      </w:r>
      <w:r w:rsidRPr="00372DBA">
        <w:rPr>
          <w:rFonts w:ascii="Times New Roman" w:hAnsi="Times New Roman" w:cs="Times New Roman"/>
          <w:sz w:val="28"/>
          <w:szCs w:val="28"/>
        </w:rPr>
        <w:t>×10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mm</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/s</w:t>
      </w:r>
      <w:r w:rsidRPr="00372DBA">
        <w:rPr>
          <w:rFonts w:ascii="Times New Roman" w:hAnsi="Times New Roman" w:cs="Times New Roman"/>
          <w:sz w:val="28"/>
          <w:szCs w:val="28"/>
          <w:lang w:val="en-US"/>
        </w:rPr>
        <w:t xml:space="preserve">. Differentiation of the clear cell renal cell carcinoma of low and high Fuhrman grades was possible using  with threshold value of apparent diffusion coefficient </w:t>
      </w:r>
      <w:r w:rsidRPr="00372DBA">
        <w:rPr>
          <w:rFonts w:ascii="Times New Roman" w:hAnsi="Times New Roman" w:cs="Times New Roman"/>
          <w:color w:val="000000" w:themeColor="text1"/>
          <w:sz w:val="28"/>
          <w:szCs w:val="28"/>
        </w:rPr>
        <w:t>1,77</w:t>
      </w:r>
      <w:r w:rsidRPr="00372DBA">
        <w:rPr>
          <w:rFonts w:ascii="Times New Roman" w:hAnsi="Times New Roman" w:cs="Times New Roman"/>
          <w:sz w:val="28"/>
          <w:szCs w:val="28"/>
        </w:rPr>
        <w:t>×10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vertAlign w:val="superscript"/>
          <w:lang w:val="en-US"/>
        </w:rPr>
        <w:t xml:space="preserve"> </w:t>
      </w:r>
      <w:r w:rsidRPr="00372DBA">
        <w:rPr>
          <w:rFonts w:ascii="Times New Roman" w:hAnsi="Times New Roman" w:cs="Times New Roman"/>
          <w:sz w:val="28"/>
          <w:szCs w:val="28"/>
        </w:rPr>
        <w:t>mm</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/s</w:t>
      </w:r>
      <w:r w:rsidRPr="00372DBA">
        <w:rPr>
          <w:rFonts w:ascii="Times New Roman" w:hAnsi="Times New Roman" w:cs="Times New Roman"/>
          <w:sz w:val="28"/>
          <w:szCs w:val="28"/>
          <w:lang w:val="en-US"/>
        </w:rPr>
        <w:t xml:space="preserve"> with sensitivity and specificity respectively </w:t>
      </w:r>
      <w:r w:rsidRPr="00372DBA">
        <w:rPr>
          <w:rFonts w:ascii="Times New Roman" w:hAnsi="Times New Roman" w:cs="Times New Roman"/>
          <w:color w:val="000000" w:themeColor="text1"/>
          <w:sz w:val="28"/>
          <w:szCs w:val="28"/>
        </w:rPr>
        <w:t xml:space="preserve">93,3% </w:t>
      </w:r>
      <w:r w:rsidRPr="00372DBA">
        <w:rPr>
          <w:rFonts w:ascii="Times New Roman" w:hAnsi="Times New Roman" w:cs="Times New Roman"/>
          <w:color w:val="000000" w:themeColor="text1"/>
          <w:sz w:val="28"/>
          <w:szCs w:val="28"/>
          <w:lang w:val="en-US"/>
        </w:rPr>
        <w:t>and</w:t>
      </w:r>
      <w:r w:rsidRPr="00372DBA">
        <w:rPr>
          <w:rFonts w:ascii="Times New Roman" w:hAnsi="Times New Roman" w:cs="Times New Roman"/>
          <w:color w:val="000000" w:themeColor="text1"/>
          <w:sz w:val="28"/>
          <w:szCs w:val="28"/>
        </w:rPr>
        <w:t xml:space="preserve"> 85,2% (AUC=0,881, р</w:t>
      </w:r>
      <w:r w:rsidRPr="00372DBA">
        <w:rPr>
          <w:rFonts w:ascii="Times New Roman" w:hAnsi="Times New Roman" w:cs="Times New Roman"/>
          <w:sz w:val="28"/>
          <w:szCs w:val="28"/>
        </w:rPr>
        <w:t>&lt;0,001)</w:t>
      </w:r>
      <w:r w:rsidRPr="00372DBA">
        <w:rPr>
          <w:rFonts w:ascii="Times New Roman" w:hAnsi="Times New Roman" w:cs="Times New Roman"/>
          <w:sz w:val="28"/>
          <w:szCs w:val="28"/>
          <w:lang w:val="en-US"/>
        </w:rPr>
        <w:t xml:space="preserve">. Sensitivity and specificity in differentiation of cystic renal cell carcinoma in setting of </w:t>
      </w:r>
      <w:r w:rsidRPr="00372DBA">
        <w:rPr>
          <w:rFonts w:ascii="Times New Roman" w:hAnsi="Times New Roman" w:cs="Times New Roman"/>
          <w:sz w:val="28"/>
          <w:szCs w:val="28"/>
        </w:rPr>
        <w:t>Bosniak</w:t>
      </w:r>
      <w:r w:rsidRPr="00372DBA">
        <w:rPr>
          <w:rFonts w:ascii="Times New Roman" w:hAnsi="Times New Roman" w:cs="Times New Roman"/>
          <w:sz w:val="28"/>
          <w:szCs w:val="28"/>
          <w:lang w:val="en-US"/>
        </w:rPr>
        <w:t xml:space="preserve"> </w:t>
      </w:r>
      <w:r w:rsidRPr="00372DBA">
        <w:rPr>
          <w:rFonts w:ascii="Times New Roman" w:hAnsi="Times New Roman" w:cs="Times New Roman"/>
          <w:sz w:val="28"/>
          <w:szCs w:val="28"/>
        </w:rPr>
        <w:t>ІІ</w:t>
      </w:r>
      <w:r w:rsidRPr="00372DBA">
        <w:rPr>
          <w:rFonts w:ascii="Times New Roman" w:hAnsi="Times New Roman" w:cs="Times New Roman"/>
          <w:sz w:val="28"/>
          <w:szCs w:val="28"/>
          <w:lang w:val="en-US"/>
        </w:rPr>
        <w:t xml:space="preserve">F cysts, using apparent diffusion coefficient with threshold value of </w:t>
      </w:r>
      <w:r w:rsidRPr="00372DBA">
        <w:rPr>
          <w:rFonts w:ascii="Times New Roman" w:hAnsi="Times New Roman" w:cs="Times New Roman"/>
          <w:sz w:val="28"/>
          <w:szCs w:val="28"/>
        </w:rPr>
        <w:t>3,03</w:t>
      </w:r>
      <w:r w:rsidRPr="00372DBA">
        <w:rPr>
          <w:rFonts w:ascii="Times New Roman" w:hAnsi="Times New Roman" w:cs="Times New Roman"/>
          <w:bCs/>
          <w:sz w:val="28"/>
          <w:szCs w:val="28"/>
        </w:rPr>
        <w:t>×10</w:t>
      </w:r>
      <w:r w:rsidRPr="00372DBA">
        <w:rPr>
          <w:rFonts w:ascii="Times New Roman" w:hAnsi="Times New Roman" w:cs="Times New Roman"/>
          <w:bCs/>
          <w:sz w:val="28"/>
          <w:szCs w:val="28"/>
          <w:vertAlign w:val="superscript"/>
        </w:rPr>
        <w:t>−3</w:t>
      </w:r>
      <w:r w:rsidRPr="00372DBA">
        <w:rPr>
          <w:rFonts w:ascii="Times New Roman" w:hAnsi="Times New Roman" w:cs="Times New Roman"/>
          <w:sz w:val="28"/>
          <w:szCs w:val="28"/>
        </w:rPr>
        <w:t xml:space="preserve"> mm</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/s</w:t>
      </w:r>
      <w:r w:rsidRPr="00372DBA">
        <w:rPr>
          <w:rFonts w:ascii="Times New Roman" w:hAnsi="Times New Roman" w:cs="Times New Roman"/>
          <w:sz w:val="28"/>
          <w:szCs w:val="28"/>
          <w:lang w:val="en-US"/>
        </w:rPr>
        <w:t xml:space="preserve">, were respectively </w:t>
      </w:r>
      <w:r w:rsidRPr="00372DBA">
        <w:rPr>
          <w:rFonts w:ascii="Times New Roman" w:hAnsi="Times New Roman" w:cs="Times New Roman"/>
          <w:sz w:val="28"/>
          <w:szCs w:val="28"/>
        </w:rPr>
        <w:t xml:space="preserve">93,0% </w:t>
      </w:r>
      <w:r w:rsidRPr="00372DBA">
        <w:rPr>
          <w:rFonts w:ascii="Times New Roman" w:hAnsi="Times New Roman" w:cs="Times New Roman"/>
          <w:sz w:val="28"/>
          <w:szCs w:val="28"/>
          <w:lang w:val="en-US"/>
        </w:rPr>
        <w:t xml:space="preserve">and </w:t>
      </w:r>
      <w:r w:rsidRPr="00372DBA">
        <w:rPr>
          <w:rFonts w:ascii="Times New Roman" w:hAnsi="Times New Roman" w:cs="Times New Roman"/>
          <w:sz w:val="28"/>
          <w:szCs w:val="28"/>
        </w:rPr>
        <w:t>80,0% (AUC=0,867, р=0,002).</w:t>
      </w:r>
      <w:r w:rsidR="00E25739">
        <w:rPr>
          <w:rFonts w:ascii="Times New Roman" w:hAnsi="Times New Roman" w:cs="Times New Roman"/>
          <w:sz w:val="28"/>
          <w:szCs w:val="28"/>
        </w:rPr>
        <w:t xml:space="preserve"> </w:t>
      </w:r>
      <w:r w:rsidRPr="00372DBA">
        <w:rPr>
          <w:rFonts w:ascii="Times New Roman" w:hAnsi="Times New Roman" w:cs="Times New Roman"/>
          <w:sz w:val="28"/>
          <w:szCs w:val="28"/>
          <w:lang w:val="en-US"/>
        </w:rPr>
        <w:t>Taking into consideration up-mentioned results, apparent diffusion coefficient of the diffusion-weighted images of MRI can be used as imaging biomarker for differentiation of solid and cystic renal cell carcinoma, playing role as “imaging biopsy”, and unlike the CT, allowing to avoid radiation exposure of the patient.</w:t>
      </w:r>
    </w:p>
    <w:p w:rsidR="00096E8F" w:rsidRPr="00372DBA" w:rsidRDefault="00096E8F" w:rsidP="00096E8F">
      <w:pPr>
        <w:spacing w:line="360" w:lineRule="auto"/>
        <w:ind w:firstLine="708"/>
        <w:jc w:val="both"/>
        <w:rPr>
          <w:rFonts w:ascii="Times New Roman" w:hAnsi="Times New Roman" w:cs="Times New Roman"/>
          <w:sz w:val="28"/>
          <w:szCs w:val="28"/>
          <w:lang w:val="en-US"/>
        </w:rPr>
      </w:pPr>
      <w:r w:rsidRPr="00372DBA">
        <w:rPr>
          <w:rFonts w:ascii="Times New Roman" w:hAnsi="Times New Roman" w:cs="Times New Roman"/>
          <w:sz w:val="28"/>
          <w:szCs w:val="28"/>
          <w:lang w:val="en-US"/>
        </w:rPr>
        <w:t xml:space="preserve">Based on analysis of variance and ROC-analysis we proved that application of apparent diffusion coefficient of the diffusion-weighted MRI for differentiation of the local renal cell carcinoma relapse and post-operative fibrotic changes allows to achieve </w:t>
      </w:r>
      <w:r w:rsidRPr="00372DBA">
        <w:rPr>
          <w:rFonts w:ascii="Times New Roman" w:hAnsi="Times New Roman" w:cs="Times New Roman"/>
          <w:color w:val="000000" w:themeColor="text1"/>
          <w:sz w:val="28"/>
          <w:szCs w:val="28"/>
          <w:lang w:val="en-US"/>
        </w:rPr>
        <w:t xml:space="preserve">sensitivity and specificity respectively </w:t>
      </w:r>
      <w:r w:rsidRPr="00372DBA">
        <w:rPr>
          <w:rFonts w:ascii="Times New Roman" w:hAnsi="Times New Roman" w:cs="Times New Roman"/>
          <w:sz w:val="28"/>
          <w:szCs w:val="28"/>
        </w:rPr>
        <w:t xml:space="preserve">100% </w:t>
      </w:r>
      <w:r w:rsidRPr="00372DBA">
        <w:rPr>
          <w:rFonts w:ascii="Times New Roman" w:hAnsi="Times New Roman" w:cs="Times New Roman"/>
          <w:sz w:val="28"/>
          <w:szCs w:val="28"/>
          <w:lang w:val="en-US"/>
        </w:rPr>
        <w:t>and</w:t>
      </w:r>
      <w:r w:rsidRPr="00372DBA">
        <w:rPr>
          <w:rFonts w:ascii="Times New Roman" w:hAnsi="Times New Roman" w:cs="Times New Roman"/>
          <w:sz w:val="28"/>
          <w:szCs w:val="28"/>
        </w:rPr>
        <w:t xml:space="preserve"> 80%</w:t>
      </w:r>
      <w:r w:rsidRPr="00372DBA">
        <w:rPr>
          <w:rFonts w:ascii="Times New Roman" w:hAnsi="Times New Roman" w:cs="Times New Roman"/>
          <w:sz w:val="28"/>
          <w:szCs w:val="28"/>
          <w:lang w:val="en-US"/>
        </w:rPr>
        <w:t xml:space="preserve"> using threshold value </w:t>
      </w:r>
      <w:r w:rsidRPr="00372DBA">
        <w:rPr>
          <w:rFonts w:ascii="Times New Roman" w:hAnsi="Times New Roman" w:cs="Times New Roman"/>
          <w:sz w:val="28"/>
          <w:szCs w:val="28"/>
        </w:rPr>
        <w:t>1,28×10</w:t>
      </w:r>
      <w:r w:rsidRPr="00372DBA">
        <w:rPr>
          <w:rFonts w:ascii="Times New Roman" w:hAnsi="Times New Roman" w:cs="Times New Roman"/>
          <w:sz w:val="28"/>
          <w:szCs w:val="28"/>
          <w:vertAlign w:val="superscript"/>
        </w:rPr>
        <w:t>-3</w:t>
      </w:r>
      <w:r w:rsidRPr="00372DBA">
        <w:rPr>
          <w:rFonts w:ascii="Times New Roman" w:hAnsi="Times New Roman" w:cs="Times New Roman"/>
          <w:sz w:val="28"/>
          <w:szCs w:val="28"/>
        </w:rPr>
        <w:t xml:space="preserve"> mm</w:t>
      </w:r>
      <w:r w:rsidRPr="00372DBA">
        <w:rPr>
          <w:rFonts w:ascii="Times New Roman" w:hAnsi="Times New Roman" w:cs="Times New Roman"/>
          <w:sz w:val="28"/>
          <w:szCs w:val="28"/>
          <w:vertAlign w:val="superscript"/>
        </w:rPr>
        <w:t>2</w:t>
      </w:r>
      <w:r w:rsidRPr="00372DBA">
        <w:rPr>
          <w:rFonts w:ascii="Times New Roman" w:hAnsi="Times New Roman" w:cs="Times New Roman"/>
          <w:sz w:val="28"/>
          <w:szCs w:val="28"/>
        </w:rPr>
        <w:t>/s (95% ДІ</w:t>
      </w:r>
      <w:r w:rsidRPr="00372DBA">
        <w:rPr>
          <w:rFonts w:ascii="Times New Roman" w:hAnsi="Times New Roman" w:cs="Times New Roman"/>
          <w:sz w:val="28"/>
          <w:szCs w:val="28"/>
          <w:lang w:val="en-US"/>
        </w:rPr>
        <w:t>=0</w:t>
      </w:r>
      <w:r w:rsidRPr="00372DBA">
        <w:rPr>
          <w:rFonts w:ascii="Times New Roman" w:hAnsi="Times New Roman" w:cs="Times New Roman"/>
          <w:sz w:val="28"/>
          <w:szCs w:val="28"/>
        </w:rPr>
        <w:t xml:space="preserve">,945-0,998, </w:t>
      </w:r>
      <w:r w:rsidRPr="00372DBA">
        <w:rPr>
          <w:rFonts w:ascii="Times New Roman" w:hAnsi="Times New Roman" w:cs="Times New Roman"/>
          <w:sz w:val="28"/>
          <w:szCs w:val="28"/>
          <w:lang w:val="en-US"/>
        </w:rPr>
        <w:t>р&lt;</w:t>
      </w:r>
      <w:r w:rsidRPr="00372DBA">
        <w:rPr>
          <w:rFonts w:ascii="Times New Roman" w:hAnsi="Times New Roman" w:cs="Times New Roman"/>
          <w:sz w:val="28"/>
          <w:szCs w:val="28"/>
        </w:rPr>
        <w:t>0,001)</w:t>
      </w:r>
      <w:r w:rsidRPr="00372DBA">
        <w:rPr>
          <w:rFonts w:ascii="Times New Roman" w:hAnsi="Times New Roman" w:cs="Times New Roman"/>
          <w:sz w:val="28"/>
          <w:szCs w:val="28"/>
          <w:lang w:val="en-US"/>
        </w:rPr>
        <w:t xml:space="preserve"> and to avoid rad</w:t>
      </w:r>
      <w:r>
        <w:rPr>
          <w:rFonts w:ascii="Times New Roman" w:hAnsi="Times New Roman" w:cs="Times New Roman"/>
          <w:sz w:val="28"/>
          <w:szCs w:val="28"/>
          <w:lang w:val="en-US"/>
        </w:rPr>
        <w:t>iation exposure of the patient.</w:t>
      </w:r>
    </w:p>
    <w:p w:rsidR="00372DBA" w:rsidRPr="00372DBA" w:rsidRDefault="00096E8F" w:rsidP="00372DB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S</w:t>
      </w:r>
      <w:r w:rsidR="00372DBA" w:rsidRPr="00372DBA">
        <w:rPr>
          <w:rFonts w:ascii="Times New Roman" w:hAnsi="Times New Roman" w:cs="Times New Roman"/>
          <w:sz w:val="28"/>
          <w:szCs w:val="28"/>
          <w:lang w:val="en-US"/>
        </w:rPr>
        <w:t>tatistically significant difference in expression values om miRNA-15a in urine samples of patients with renal cell carcinoma, benign renal tumors and of healthy volunteers</w:t>
      </w:r>
      <w:r>
        <w:rPr>
          <w:rFonts w:ascii="Times New Roman" w:hAnsi="Times New Roman" w:cs="Times New Roman"/>
          <w:sz w:val="28"/>
          <w:szCs w:val="28"/>
          <w:lang w:val="en-US"/>
        </w:rPr>
        <w:t xml:space="preserve"> was found </w:t>
      </w:r>
      <w:r w:rsidR="00372DBA" w:rsidRPr="00372DBA">
        <w:rPr>
          <w:rFonts w:ascii="Times New Roman" w:eastAsia="Times New Roman" w:hAnsi="Times New Roman" w:cs="Times New Roman"/>
          <w:sz w:val="28"/>
          <w:szCs w:val="28"/>
          <w:lang w:eastAsia="uk-UA"/>
        </w:rPr>
        <w:t>(</w:t>
      </w:r>
      <w:r w:rsidR="00372DBA" w:rsidRPr="00372DBA">
        <w:rPr>
          <w:rFonts w:ascii="Times New Roman" w:hAnsi="Times New Roman" w:cs="Times New Roman"/>
          <w:sz w:val="28"/>
          <w:szCs w:val="28"/>
        </w:rPr>
        <w:t>р</w:t>
      </w:r>
      <w:r w:rsidR="00372DBA" w:rsidRPr="00372DBA">
        <w:rPr>
          <w:rFonts w:ascii="Times New Roman" w:eastAsia="Times New Roman" w:hAnsi="Times New Roman" w:cs="Times New Roman"/>
          <w:sz w:val="28"/>
          <w:szCs w:val="28"/>
          <w:lang w:eastAsia="uk-UA"/>
        </w:rPr>
        <w:t>&lt;0,001).</w:t>
      </w:r>
      <w:r w:rsidR="00372DBA" w:rsidRPr="00372DBA">
        <w:rPr>
          <w:rFonts w:ascii="Times New Roman" w:eastAsia="Times New Roman" w:hAnsi="Times New Roman" w:cs="Times New Roman"/>
          <w:sz w:val="28"/>
          <w:szCs w:val="28"/>
          <w:lang w:val="en-US" w:eastAsia="uk-UA"/>
        </w:rPr>
        <w:t xml:space="preserve"> </w:t>
      </w:r>
      <w:r w:rsidR="00372DBA" w:rsidRPr="00372DBA">
        <w:rPr>
          <w:rFonts w:ascii="Times New Roman" w:hAnsi="Times New Roman" w:cs="Times New Roman"/>
          <w:color w:val="000000" w:themeColor="text1"/>
          <w:sz w:val="28"/>
          <w:szCs w:val="28"/>
          <w:lang w:val="en-US"/>
        </w:rPr>
        <w:t xml:space="preserve">Differentiation of this pathology and benign renal tumors was possible with sensitivity and specificity respectively </w:t>
      </w:r>
      <w:r w:rsidR="00372DBA" w:rsidRPr="00372DBA">
        <w:rPr>
          <w:rFonts w:ascii="Times New Roman" w:eastAsia="Times New Roman" w:hAnsi="Times New Roman" w:cs="Times New Roman"/>
          <w:color w:val="000000"/>
          <w:sz w:val="28"/>
          <w:szCs w:val="28"/>
          <w:lang w:eastAsia="uk-UA"/>
        </w:rPr>
        <w:t xml:space="preserve">98,1% </w:t>
      </w:r>
      <w:r w:rsidR="00372DBA" w:rsidRPr="00372DBA">
        <w:rPr>
          <w:rFonts w:ascii="Times New Roman" w:eastAsia="Times New Roman" w:hAnsi="Times New Roman" w:cs="Times New Roman"/>
          <w:color w:val="000000"/>
          <w:sz w:val="28"/>
          <w:szCs w:val="28"/>
          <w:lang w:val="en-US" w:eastAsia="uk-UA"/>
        </w:rPr>
        <w:t>and</w:t>
      </w:r>
      <w:r w:rsidR="00372DBA" w:rsidRPr="00372DBA">
        <w:rPr>
          <w:rFonts w:ascii="Times New Roman" w:eastAsia="Times New Roman" w:hAnsi="Times New Roman" w:cs="Times New Roman"/>
          <w:color w:val="000000"/>
          <w:sz w:val="28"/>
          <w:szCs w:val="28"/>
          <w:lang w:eastAsia="uk-UA"/>
        </w:rPr>
        <w:t xml:space="preserve"> 100% (</w:t>
      </w:r>
      <w:r w:rsidR="00372DBA" w:rsidRPr="00372DBA">
        <w:rPr>
          <w:rFonts w:ascii="Times New Roman" w:eastAsia="Times New Roman" w:hAnsi="Times New Roman" w:cs="Times New Roman"/>
          <w:color w:val="000000"/>
          <w:sz w:val="28"/>
          <w:szCs w:val="28"/>
          <w:lang w:val="en-US" w:eastAsia="uk-UA"/>
        </w:rPr>
        <w:t>AUC</w:t>
      </w:r>
      <w:r w:rsidR="00372DBA" w:rsidRPr="00372DBA">
        <w:rPr>
          <w:rFonts w:ascii="Times New Roman" w:eastAsia="Times New Roman" w:hAnsi="Times New Roman" w:cs="Times New Roman"/>
          <w:color w:val="000000"/>
          <w:sz w:val="28"/>
          <w:szCs w:val="28"/>
          <w:lang w:eastAsia="uk-UA"/>
        </w:rPr>
        <w:t>=0,955, р</w:t>
      </w:r>
      <w:r w:rsidR="00372DBA" w:rsidRPr="00372DBA">
        <w:rPr>
          <w:rFonts w:ascii="Times New Roman" w:eastAsia="Times New Roman" w:hAnsi="Times New Roman" w:cs="Times New Roman"/>
          <w:color w:val="000000"/>
          <w:sz w:val="28"/>
          <w:szCs w:val="28"/>
          <w:lang w:val="en-US" w:eastAsia="uk-UA"/>
        </w:rPr>
        <w:t>&lt;</w:t>
      </w:r>
      <w:r w:rsidR="00372DBA" w:rsidRPr="00372DBA">
        <w:rPr>
          <w:rFonts w:ascii="Times New Roman" w:eastAsia="Times New Roman" w:hAnsi="Times New Roman" w:cs="Times New Roman"/>
          <w:color w:val="000000"/>
          <w:sz w:val="28"/>
          <w:szCs w:val="28"/>
          <w:lang w:eastAsia="uk-UA"/>
        </w:rPr>
        <w:t xml:space="preserve">0,001), </w:t>
      </w:r>
      <w:r w:rsidR="00372DBA" w:rsidRPr="00372DBA">
        <w:rPr>
          <w:rFonts w:ascii="Times New Roman" w:eastAsia="Times New Roman" w:hAnsi="Times New Roman" w:cs="Times New Roman"/>
          <w:color w:val="000000"/>
          <w:sz w:val="28"/>
          <w:szCs w:val="28"/>
          <w:lang w:val="en-US" w:eastAsia="uk-UA"/>
        </w:rPr>
        <w:t xml:space="preserve">using expression threshold value of </w:t>
      </w:r>
      <w:r w:rsidR="00372DBA" w:rsidRPr="00372DBA">
        <w:rPr>
          <w:rFonts w:ascii="Times New Roman" w:eastAsia="Times New Roman" w:hAnsi="Times New Roman" w:cs="Times New Roman"/>
          <w:color w:val="000000"/>
          <w:sz w:val="28"/>
          <w:szCs w:val="28"/>
          <w:lang w:eastAsia="uk-UA"/>
        </w:rPr>
        <w:t>5,00E-06</w:t>
      </w:r>
      <w:r w:rsidR="00372DBA" w:rsidRPr="00372DBA">
        <w:rPr>
          <w:rFonts w:ascii="Times New Roman" w:eastAsia="Times New Roman" w:hAnsi="Times New Roman" w:cs="Times New Roman"/>
          <w:color w:val="000000"/>
          <w:lang w:val="en-US" w:eastAsia="uk-UA"/>
        </w:rPr>
        <w:t xml:space="preserve"> </w:t>
      </w:r>
      <w:r w:rsidR="00372DBA" w:rsidRPr="00372DBA">
        <w:rPr>
          <w:rFonts w:ascii="Times New Roman" w:eastAsia="Times New Roman" w:hAnsi="Times New Roman" w:cs="Times New Roman"/>
          <w:sz w:val="28"/>
          <w:szCs w:val="28"/>
          <w:lang w:val="en-US" w:eastAsia="uk-UA"/>
        </w:rPr>
        <w:t xml:space="preserve">RFU. On 8-th day after nephrectomy we achieved significant decrease in mean miR-15a expression value on </w:t>
      </w:r>
      <w:r w:rsidR="00372DBA" w:rsidRPr="00372DBA">
        <w:rPr>
          <w:rFonts w:ascii="Times New Roman" w:eastAsia="Times New Roman" w:hAnsi="Times New Roman" w:cs="Times New Roman"/>
          <w:color w:val="000000" w:themeColor="text1"/>
          <w:sz w:val="28"/>
          <w:szCs w:val="28"/>
          <w:lang w:eastAsia="uk-UA"/>
        </w:rPr>
        <w:t>99,53% (</w:t>
      </w:r>
      <w:r w:rsidR="00372DBA" w:rsidRPr="00372DBA">
        <w:rPr>
          <w:rFonts w:ascii="Times New Roman" w:eastAsia="Times New Roman" w:hAnsi="Times New Roman" w:cs="Times New Roman"/>
          <w:color w:val="000000" w:themeColor="text1"/>
          <w:sz w:val="28"/>
          <w:szCs w:val="28"/>
          <w:lang w:val="en-US" w:eastAsia="uk-UA"/>
        </w:rPr>
        <w:t>from</w:t>
      </w:r>
      <w:r w:rsidR="00372DBA" w:rsidRPr="00372DBA">
        <w:rPr>
          <w:rFonts w:ascii="Times New Roman" w:eastAsia="Times New Roman" w:hAnsi="Times New Roman" w:cs="Times New Roman"/>
          <w:color w:val="000000" w:themeColor="text1"/>
          <w:sz w:val="28"/>
          <w:szCs w:val="28"/>
          <w:lang w:eastAsia="uk-UA"/>
        </w:rPr>
        <w:t xml:space="preserve"> </w:t>
      </w:r>
      <w:r w:rsidR="00372DBA" w:rsidRPr="00372DBA">
        <w:rPr>
          <w:rFonts w:ascii="Times New Roman" w:eastAsia="Times New Roman" w:hAnsi="Times New Roman" w:cs="Times New Roman"/>
          <w:sz w:val="28"/>
          <w:szCs w:val="28"/>
          <w:lang w:eastAsia="uk-UA"/>
        </w:rPr>
        <w:t xml:space="preserve">2,50E-01±2,72E-01 </w:t>
      </w:r>
      <w:r w:rsidR="00372DBA" w:rsidRPr="00372DBA">
        <w:rPr>
          <w:rFonts w:ascii="Times New Roman" w:eastAsia="Times New Roman" w:hAnsi="Times New Roman" w:cs="Times New Roman"/>
          <w:sz w:val="28"/>
          <w:szCs w:val="28"/>
          <w:lang w:val="en-US" w:eastAsia="uk-UA"/>
        </w:rPr>
        <w:t>RFU</w:t>
      </w:r>
      <w:r w:rsidR="00372DBA" w:rsidRPr="00372DBA">
        <w:rPr>
          <w:rFonts w:ascii="Times New Roman" w:eastAsia="Times New Roman" w:hAnsi="Times New Roman" w:cs="Times New Roman"/>
          <w:sz w:val="28"/>
          <w:szCs w:val="28"/>
          <w:lang w:eastAsia="uk-UA"/>
        </w:rPr>
        <w:t xml:space="preserve"> </w:t>
      </w:r>
      <w:r w:rsidR="00372DBA" w:rsidRPr="00372DBA">
        <w:rPr>
          <w:rFonts w:ascii="Times New Roman" w:eastAsia="Times New Roman" w:hAnsi="Times New Roman" w:cs="Times New Roman"/>
          <w:sz w:val="28"/>
          <w:szCs w:val="28"/>
          <w:lang w:val="en-US" w:eastAsia="uk-UA"/>
        </w:rPr>
        <w:t>to</w:t>
      </w:r>
      <w:r w:rsidR="00372DBA" w:rsidRPr="00372DBA">
        <w:rPr>
          <w:rFonts w:ascii="Times New Roman" w:eastAsia="Times New Roman" w:hAnsi="Times New Roman" w:cs="Times New Roman"/>
          <w:sz w:val="28"/>
          <w:szCs w:val="28"/>
          <w:lang w:eastAsia="uk-UA"/>
        </w:rPr>
        <w:t xml:space="preserve"> 1,18E-</w:t>
      </w:r>
      <w:r w:rsidR="00372DBA" w:rsidRPr="00372DBA">
        <w:rPr>
          <w:rFonts w:ascii="Times New Roman" w:eastAsia="Times New Roman" w:hAnsi="Times New Roman" w:cs="Times New Roman"/>
          <w:sz w:val="28"/>
          <w:szCs w:val="28"/>
          <w:lang w:eastAsia="uk-UA"/>
        </w:rPr>
        <w:lastRenderedPageBreak/>
        <w:t xml:space="preserve">03±5,36E-04 </w:t>
      </w:r>
      <w:r w:rsidR="00372DBA" w:rsidRPr="00372DBA">
        <w:rPr>
          <w:rFonts w:ascii="Times New Roman" w:eastAsia="Times New Roman" w:hAnsi="Times New Roman" w:cs="Times New Roman"/>
          <w:sz w:val="28"/>
          <w:szCs w:val="28"/>
          <w:lang w:val="en-US" w:eastAsia="uk-UA"/>
        </w:rPr>
        <w:t>RFU</w:t>
      </w:r>
      <w:r w:rsidR="00372DBA" w:rsidRPr="00372DBA">
        <w:rPr>
          <w:rFonts w:ascii="Times New Roman" w:eastAsia="Times New Roman" w:hAnsi="Times New Roman" w:cs="Times New Roman"/>
          <w:color w:val="000000" w:themeColor="text1"/>
          <w:sz w:val="28"/>
          <w:szCs w:val="28"/>
          <w:lang w:eastAsia="uk-UA"/>
        </w:rPr>
        <w:t>)</w:t>
      </w:r>
      <w:r w:rsidR="00372DBA" w:rsidRPr="00372DBA">
        <w:rPr>
          <w:rFonts w:ascii="Times New Roman" w:hAnsi="Times New Roman" w:cs="Times New Roman"/>
          <w:sz w:val="28"/>
          <w:szCs w:val="28"/>
        </w:rPr>
        <w:t>,</w:t>
      </w:r>
      <w:r w:rsidR="00372DBA" w:rsidRPr="00372DBA">
        <w:rPr>
          <w:rFonts w:ascii="Times New Roman" w:hAnsi="Times New Roman" w:cs="Times New Roman"/>
          <w:sz w:val="28"/>
          <w:szCs w:val="28"/>
          <w:lang w:val="en-US"/>
        </w:rPr>
        <w:t xml:space="preserve"> such data may have a potential for assessment of completeness of the surgical excision and post-operative period monitoring. Using threshold value of total RNA of </w:t>
      </w:r>
      <w:r w:rsidR="00372DBA" w:rsidRPr="00372DBA">
        <w:rPr>
          <w:rFonts w:ascii="Times New Roman" w:hAnsi="Times New Roman" w:cs="Times New Roman"/>
          <w:sz w:val="28"/>
          <w:szCs w:val="28"/>
        </w:rPr>
        <w:t xml:space="preserve">1641,24 </w:t>
      </w:r>
      <w:r w:rsidR="00372DBA" w:rsidRPr="00372DBA">
        <w:rPr>
          <w:rFonts w:ascii="Times New Roman" w:hAnsi="Times New Roman" w:cs="Times New Roman"/>
          <w:sz w:val="28"/>
          <w:szCs w:val="28"/>
          <w:lang w:val="en-US" w:bidi="he-IL"/>
        </w:rPr>
        <w:t>ng</w:t>
      </w:r>
      <w:r w:rsidR="00372DBA" w:rsidRPr="00372DBA">
        <w:rPr>
          <w:rFonts w:ascii="Times New Roman" w:hAnsi="Times New Roman" w:cs="Times New Roman"/>
          <w:sz w:val="28"/>
          <w:szCs w:val="28"/>
          <w:lang w:bidi="he-IL"/>
        </w:rPr>
        <w:t>/</w:t>
      </w:r>
      <w:r w:rsidR="00372DBA" w:rsidRPr="00372DBA">
        <w:rPr>
          <w:rFonts w:ascii="Times New Roman" w:hAnsi="Times New Roman" w:cs="Times New Roman"/>
          <w:sz w:val="28"/>
          <w:szCs w:val="28"/>
          <w:lang w:val="en-US" w:bidi="he-IL"/>
        </w:rPr>
        <w:t xml:space="preserve">mkl, spectroscopically measured in urine of patients with renal cell carcinoma, </w:t>
      </w:r>
      <w:r w:rsidR="00372DBA" w:rsidRPr="00372DBA">
        <w:rPr>
          <w:rFonts w:ascii="Times New Roman" w:hAnsi="Times New Roman" w:cs="Times New Roman"/>
          <w:color w:val="000000" w:themeColor="text1"/>
          <w:sz w:val="28"/>
          <w:szCs w:val="28"/>
          <w:lang w:val="en-US"/>
        </w:rPr>
        <w:t>sensitivity and specificity in detecting microscopic invasion of renal pelvis were both 100%. Thus, miR-15a expression can be used as accurate molecular biomarker for diagnostic and screening of current pathology.</w:t>
      </w:r>
    </w:p>
    <w:p w:rsidR="00372DBA" w:rsidRPr="00372DBA" w:rsidRDefault="00372DBA" w:rsidP="00372DBA">
      <w:pPr>
        <w:spacing w:line="360" w:lineRule="auto"/>
        <w:ind w:firstLine="708"/>
        <w:jc w:val="both"/>
        <w:rPr>
          <w:rFonts w:ascii="Times New Roman" w:hAnsi="Times New Roman" w:cs="Times New Roman"/>
          <w:sz w:val="28"/>
          <w:szCs w:val="28"/>
          <w:lang w:val="en-US"/>
        </w:rPr>
      </w:pPr>
      <w:r w:rsidRPr="00372DBA">
        <w:rPr>
          <w:rFonts w:ascii="Times New Roman" w:hAnsi="Times New Roman" w:cs="Times New Roman"/>
          <w:sz w:val="28"/>
          <w:szCs w:val="28"/>
          <w:lang w:val="en-US"/>
        </w:rPr>
        <w:t>We have found that resistance index of Doppler-USG reliably reflects dynamics of renovascular resistance</w:t>
      </w:r>
      <w:r w:rsidRPr="00372DBA">
        <w:rPr>
          <w:rFonts w:ascii="Times New Roman" w:hAnsi="Times New Roman" w:cs="Times New Roman"/>
          <w:sz w:val="28"/>
          <w:szCs w:val="28"/>
        </w:rPr>
        <w:t xml:space="preserve"> </w:t>
      </w:r>
      <w:r w:rsidRPr="00372DBA">
        <w:rPr>
          <w:rFonts w:ascii="Times New Roman" w:hAnsi="Times New Roman" w:cs="Times New Roman"/>
          <w:sz w:val="28"/>
          <w:szCs w:val="28"/>
          <w:lang w:val="en-US"/>
        </w:rPr>
        <w:t>in patients with renal cell carcinoma prior and post selective embolization of renal arteries. In patients with resistance index increase after embolization in comparison with initial value &gt;</w:t>
      </w:r>
      <w:r w:rsidRPr="00372DBA">
        <w:rPr>
          <w:rFonts w:ascii="Times New Roman" w:hAnsi="Times New Roman" w:cs="Times New Roman"/>
          <w:sz w:val="28"/>
          <w:szCs w:val="28"/>
        </w:rPr>
        <w:t>38,71%</w:t>
      </w:r>
      <w:r w:rsidRPr="00372DBA">
        <w:rPr>
          <w:rFonts w:ascii="Times New Roman" w:hAnsi="Times New Roman" w:cs="Times New Roman"/>
          <w:sz w:val="28"/>
          <w:szCs w:val="28"/>
          <w:lang w:val="en-US"/>
        </w:rPr>
        <w:t xml:space="preserve"> prognoses intraoperative blood loss was &lt;</w:t>
      </w:r>
      <w:r w:rsidRPr="00372DBA">
        <w:rPr>
          <w:rFonts w:ascii="Times New Roman" w:hAnsi="Times New Roman" w:cs="Times New Roman"/>
          <w:sz w:val="28"/>
          <w:szCs w:val="28"/>
        </w:rPr>
        <w:t>250</w:t>
      </w:r>
      <w:r w:rsidRPr="00372DBA">
        <w:rPr>
          <w:rFonts w:ascii="Times New Roman" w:hAnsi="Times New Roman" w:cs="Times New Roman"/>
          <w:sz w:val="28"/>
          <w:szCs w:val="28"/>
          <w:lang w:val="en-US"/>
        </w:rPr>
        <w:t xml:space="preserve"> ml; resistance index increase by </w:t>
      </w:r>
      <w:r w:rsidRPr="00372DBA">
        <w:rPr>
          <w:rFonts w:ascii="Times New Roman" w:hAnsi="Times New Roman" w:cs="Times New Roman"/>
          <w:sz w:val="28"/>
          <w:szCs w:val="28"/>
        </w:rPr>
        <w:t>20,98%-38,70%</w:t>
      </w:r>
      <w:r w:rsidRPr="00372DBA">
        <w:rPr>
          <w:rFonts w:ascii="Times New Roman" w:hAnsi="Times New Roman" w:cs="Times New Roman"/>
          <w:sz w:val="28"/>
          <w:szCs w:val="28"/>
          <w:lang w:val="en-US"/>
        </w:rPr>
        <w:t xml:space="preserve"> prognoses intraoperative blood loss &lt;</w:t>
      </w:r>
      <w:r w:rsidRPr="00372DBA">
        <w:rPr>
          <w:rFonts w:ascii="Times New Roman" w:hAnsi="Times New Roman" w:cs="Times New Roman"/>
          <w:sz w:val="28"/>
          <w:szCs w:val="28"/>
        </w:rPr>
        <w:t>500</w:t>
      </w:r>
      <w:r w:rsidRPr="00372DBA">
        <w:rPr>
          <w:rFonts w:ascii="Times New Roman" w:hAnsi="Times New Roman" w:cs="Times New Roman"/>
          <w:sz w:val="28"/>
          <w:szCs w:val="28"/>
          <w:lang w:val="en-US"/>
        </w:rPr>
        <w:t xml:space="preserve"> ml; resistance index increase &lt;</w:t>
      </w:r>
      <w:r w:rsidRPr="00372DBA">
        <w:rPr>
          <w:rFonts w:ascii="Times New Roman" w:hAnsi="Times New Roman" w:cs="Times New Roman"/>
          <w:sz w:val="28"/>
          <w:szCs w:val="28"/>
        </w:rPr>
        <w:t xml:space="preserve">20,97% </w:t>
      </w:r>
      <w:r w:rsidRPr="00372DBA">
        <w:rPr>
          <w:rFonts w:ascii="Times New Roman" w:hAnsi="Times New Roman" w:cs="Times New Roman"/>
          <w:sz w:val="28"/>
          <w:szCs w:val="28"/>
          <w:lang w:val="en-US"/>
        </w:rPr>
        <w:t xml:space="preserve">prognoses significant intraoperative blood loss </w:t>
      </w:r>
      <w:r w:rsidRPr="00372DBA">
        <w:rPr>
          <w:rFonts w:ascii="Times New Roman" w:hAnsi="Times New Roman" w:cs="Times New Roman"/>
          <w:sz w:val="28"/>
          <w:szCs w:val="28"/>
        </w:rPr>
        <w:t>(</w:t>
      </w:r>
      <w:r w:rsidRPr="00372DBA">
        <w:rPr>
          <w:rFonts w:ascii="Times New Roman" w:hAnsi="Times New Roman" w:cs="Times New Roman"/>
          <w:sz w:val="28"/>
          <w:szCs w:val="28"/>
          <w:lang w:val="en-US"/>
        </w:rPr>
        <w:t>&gt;</w:t>
      </w:r>
      <w:r w:rsidRPr="00372DBA">
        <w:rPr>
          <w:rFonts w:ascii="Times New Roman" w:hAnsi="Times New Roman" w:cs="Times New Roman"/>
          <w:sz w:val="28"/>
          <w:szCs w:val="28"/>
        </w:rPr>
        <w:t>500 ml).</w:t>
      </w:r>
      <w:r w:rsidRPr="00372DBA">
        <w:rPr>
          <w:rFonts w:ascii="Times New Roman" w:hAnsi="Times New Roman" w:cs="Times New Roman"/>
          <w:sz w:val="28"/>
          <w:szCs w:val="28"/>
          <w:lang w:val="en-US"/>
        </w:rPr>
        <w:t xml:space="preserve"> Resistance index increase after embolization in comparison with initial value ≤</w:t>
      </w:r>
      <w:r w:rsidRPr="00372DBA">
        <w:rPr>
          <w:rFonts w:ascii="Times New Roman" w:hAnsi="Times New Roman" w:cs="Times New Roman"/>
          <w:sz w:val="28"/>
          <w:szCs w:val="28"/>
        </w:rPr>
        <w:t>4%</w:t>
      </w:r>
      <w:r w:rsidRPr="00372DBA">
        <w:rPr>
          <w:rFonts w:ascii="Times New Roman" w:hAnsi="Times New Roman" w:cs="Times New Roman"/>
          <w:sz w:val="28"/>
          <w:szCs w:val="28"/>
          <w:lang w:val="en-US"/>
        </w:rPr>
        <w:t xml:space="preserve"> can be defined as clinical failure and can stand as a rationale for re-embolization. </w:t>
      </w:r>
    </w:p>
    <w:p w:rsidR="00372DBA" w:rsidRPr="00372DBA" w:rsidRDefault="00372DBA" w:rsidP="00372DBA">
      <w:pPr>
        <w:autoSpaceDE w:val="0"/>
        <w:autoSpaceDN w:val="0"/>
        <w:adjustRightInd w:val="0"/>
        <w:spacing w:line="360" w:lineRule="auto"/>
        <w:ind w:firstLine="708"/>
        <w:jc w:val="both"/>
        <w:rPr>
          <w:rFonts w:ascii="Times New Roman" w:hAnsi="Times New Roman" w:cs="Times New Roman"/>
          <w:sz w:val="28"/>
          <w:szCs w:val="28"/>
        </w:rPr>
      </w:pPr>
      <w:r w:rsidRPr="00372DBA">
        <w:rPr>
          <w:rFonts w:ascii="Times New Roman" w:hAnsi="Times New Roman" w:cs="Times New Roman"/>
          <w:sz w:val="28"/>
          <w:szCs w:val="28"/>
          <w:lang w:val="en-US"/>
        </w:rPr>
        <w:t xml:space="preserve">Application of apparent diffusion coefficient threshold value of </w:t>
      </w:r>
      <w:r w:rsidRPr="00372DBA">
        <w:rPr>
          <w:rFonts w:ascii="Times New Roman" w:hAnsi="Times New Roman" w:cs="Times New Roman"/>
          <w:sz w:val="28"/>
          <w:szCs w:val="28"/>
        </w:rPr>
        <w:t>↓1,73%</w:t>
      </w:r>
      <w:r w:rsidRPr="00372DBA">
        <w:rPr>
          <w:rFonts w:ascii="Times New Roman" w:hAnsi="Times New Roman" w:cs="Times New Roman"/>
          <w:sz w:val="28"/>
          <w:szCs w:val="28"/>
          <w:lang w:val="en-US"/>
        </w:rPr>
        <w:t xml:space="preserve"> (1 month after initiation of systemic treatment in comparison with initial value) for differentiation of patients with and without disease prognosis allowed to get </w:t>
      </w:r>
      <w:r w:rsidRPr="00372DBA">
        <w:rPr>
          <w:rFonts w:ascii="Times New Roman" w:hAnsi="Times New Roman" w:cs="Times New Roman"/>
          <w:color w:val="000000" w:themeColor="text1"/>
          <w:sz w:val="28"/>
          <w:szCs w:val="28"/>
          <w:lang w:val="en-US"/>
        </w:rPr>
        <w:t xml:space="preserve">sensitivity and specificity respectively </w:t>
      </w:r>
      <w:r w:rsidRPr="00372DBA">
        <w:rPr>
          <w:rFonts w:ascii="Times New Roman" w:hAnsi="Times New Roman" w:cs="Times New Roman"/>
          <w:sz w:val="28"/>
          <w:szCs w:val="28"/>
        </w:rPr>
        <w:t xml:space="preserve">100% </w:t>
      </w:r>
      <w:r w:rsidRPr="00372DBA">
        <w:rPr>
          <w:rFonts w:ascii="Times New Roman" w:hAnsi="Times New Roman" w:cs="Times New Roman"/>
          <w:sz w:val="28"/>
          <w:szCs w:val="28"/>
          <w:lang w:val="en-US"/>
        </w:rPr>
        <w:t>and</w:t>
      </w:r>
      <w:r w:rsidRPr="00372DBA">
        <w:rPr>
          <w:rFonts w:ascii="Times New Roman" w:hAnsi="Times New Roman" w:cs="Times New Roman"/>
          <w:sz w:val="28"/>
          <w:szCs w:val="28"/>
        </w:rPr>
        <w:t xml:space="preserve"> 81,8% (AUC=0,927, р&lt;0,001).</w:t>
      </w:r>
    </w:p>
    <w:p w:rsidR="00096E8F" w:rsidRDefault="00372DBA" w:rsidP="00372DBA">
      <w:pPr>
        <w:spacing w:line="360" w:lineRule="auto"/>
        <w:jc w:val="both"/>
        <w:rPr>
          <w:rFonts w:ascii="Times New Roman" w:hAnsi="Times New Roman" w:cs="Times New Roman"/>
          <w:sz w:val="28"/>
          <w:szCs w:val="28"/>
        </w:rPr>
      </w:pPr>
      <w:r w:rsidRPr="00372DBA">
        <w:rPr>
          <w:rFonts w:ascii="Times New Roman" w:hAnsi="Times New Roman" w:cs="Times New Roman"/>
          <w:sz w:val="28"/>
          <w:szCs w:val="28"/>
          <w:lang w:val="en-US"/>
        </w:rPr>
        <w:tab/>
        <w:t xml:space="preserve">Survival analysis proved, that 5-year cancer-specific survival in patients with renal cell carcinoma and tissue expression of miR-15a </w:t>
      </w:r>
      <w:r w:rsidRPr="00372DBA">
        <w:rPr>
          <w:rFonts w:ascii="Times New Roman" w:hAnsi="Times New Roman" w:cs="Times New Roman"/>
          <w:color w:val="000000" w:themeColor="text1"/>
          <w:sz w:val="28"/>
          <w:szCs w:val="28"/>
        </w:rPr>
        <w:t>≤0,10</w:t>
      </w:r>
      <w:r w:rsidRPr="00372DBA">
        <w:rPr>
          <w:rFonts w:ascii="Times New Roman" w:hAnsi="Times New Roman" w:cs="Times New Roman"/>
          <w:color w:val="000000" w:themeColor="text1"/>
          <w:sz w:val="28"/>
          <w:szCs w:val="28"/>
          <w:lang w:val="en-US"/>
        </w:rPr>
        <w:t xml:space="preserve"> RFU was </w:t>
      </w:r>
      <w:r w:rsidRPr="00372DBA">
        <w:rPr>
          <w:rFonts w:ascii="Times New Roman" w:hAnsi="Times New Roman" w:cs="Times New Roman"/>
          <w:color w:val="000000" w:themeColor="text1"/>
          <w:sz w:val="28"/>
          <w:szCs w:val="28"/>
        </w:rPr>
        <w:t>92,31%</w:t>
      </w:r>
      <w:r w:rsidRPr="00372DBA">
        <w:rPr>
          <w:rFonts w:ascii="Times New Roman" w:hAnsi="Times New Roman" w:cs="Times New Roman"/>
          <w:color w:val="000000" w:themeColor="text1"/>
          <w:sz w:val="28"/>
          <w:szCs w:val="28"/>
          <w:lang w:val="en-US"/>
        </w:rPr>
        <w:t xml:space="preserve"> and mean duration of survival was </w:t>
      </w:r>
      <w:r w:rsidRPr="00372DBA">
        <w:rPr>
          <w:rFonts w:ascii="Times New Roman" w:hAnsi="Times New Roman" w:cs="Times New Roman"/>
          <w:color w:val="000000" w:themeColor="text1"/>
          <w:sz w:val="28"/>
          <w:szCs w:val="28"/>
        </w:rPr>
        <w:t>59,88</w:t>
      </w:r>
      <w:r w:rsidRPr="00372DBA">
        <w:rPr>
          <w:rFonts w:ascii="Times New Roman" w:eastAsia="Times New Roman" w:hAnsi="Times New Roman" w:cs="Times New Roman"/>
          <w:sz w:val="28"/>
          <w:szCs w:val="28"/>
          <w:lang w:eastAsia="uk-UA"/>
        </w:rPr>
        <w:t>±0,12</w:t>
      </w:r>
      <w:r w:rsidRPr="00372DBA">
        <w:rPr>
          <w:rFonts w:ascii="Times New Roman" w:eastAsia="Times New Roman" w:hAnsi="Times New Roman" w:cs="Times New Roman"/>
          <w:sz w:val="28"/>
          <w:szCs w:val="28"/>
          <w:lang w:val="en-US" w:eastAsia="uk-UA"/>
        </w:rPr>
        <w:t xml:space="preserve"> months, while in patients with expression </w:t>
      </w:r>
      <w:r w:rsidRPr="00372DBA">
        <w:rPr>
          <w:rFonts w:ascii="Times New Roman" w:hAnsi="Times New Roman" w:cs="Times New Roman"/>
          <w:color w:val="000000" w:themeColor="text1"/>
          <w:sz w:val="28"/>
          <w:szCs w:val="28"/>
        </w:rPr>
        <w:t>&gt;0,10</w:t>
      </w:r>
      <w:r w:rsidRPr="00372DBA">
        <w:rPr>
          <w:rFonts w:ascii="Times New Roman" w:hAnsi="Times New Roman" w:cs="Times New Roman"/>
          <w:color w:val="000000" w:themeColor="text1"/>
          <w:sz w:val="28"/>
          <w:szCs w:val="28"/>
          <w:lang w:val="en-US"/>
        </w:rPr>
        <w:t xml:space="preserve"> RFU </w:t>
      </w:r>
      <w:r w:rsidRPr="00372DBA">
        <w:rPr>
          <w:rFonts w:ascii="Times New Roman" w:hAnsi="Times New Roman" w:cs="Times New Roman"/>
          <w:sz w:val="28"/>
          <w:szCs w:val="28"/>
          <w:lang w:val="en-US"/>
        </w:rPr>
        <w:t xml:space="preserve">5-year cancer-specific survival was </w:t>
      </w:r>
      <w:r w:rsidRPr="00372DBA">
        <w:rPr>
          <w:rFonts w:ascii="Times New Roman" w:hAnsi="Times New Roman" w:cs="Times New Roman"/>
          <w:color w:val="000000" w:themeColor="text1"/>
          <w:sz w:val="28"/>
          <w:szCs w:val="28"/>
        </w:rPr>
        <w:t xml:space="preserve">54,8% </w:t>
      </w:r>
      <w:r w:rsidRPr="00372DBA">
        <w:rPr>
          <w:rFonts w:ascii="Times New Roman" w:hAnsi="Times New Roman" w:cs="Times New Roman"/>
          <w:color w:val="000000" w:themeColor="text1"/>
          <w:sz w:val="28"/>
          <w:szCs w:val="28"/>
          <w:lang w:val="en-US"/>
        </w:rPr>
        <w:t>and</w:t>
      </w:r>
      <w:r w:rsidRPr="00372DBA">
        <w:rPr>
          <w:rFonts w:ascii="Times New Roman" w:hAnsi="Times New Roman" w:cs="Times New Roman"/>
          <w:color w:val="000000" w:themeColor="text1"/>
          <w:sz w:val="28"/>
          <w:szCs w:val="28"/>
        </w:rPr>
        <w:t xml:space="preserve"> </w:t>
      </w:r>
      <w:r w:rsidRPr="00372DBA">
        <w:rPr>
          <w:rFonts w:ascii="Times New Roman" w:hAnsi="Times New Roman" w:cs="Times New Roman"/>
          <w:color w:val="000000" w:themeColor="text1"/>
          <w:sz w:val="28"/>
          <w:szCs w:val="28"/>
          <w:lang w:val="en-US"/>
        </w:rPr>
        <w:t xml:space="preserve">mean duration of survival was </w:t>
      </w:r>
      <w:r w:rsidRPr="00372DBA">
        <w:rPr>
          <w:rFonts w:ascii="Times New Roman" w:hAnsi="Times New Roman" w:cs="Times New Roman"/>
          <w:color w:val="000000" w:themeColor="text1"/>
          <w:sz w:val="28"/>
          <w:szCs w:val="28"/>
        </w:rPr>
        <w:t>49,74</w:t>
      </w:r>
      <w:r w:rsidRPr="00372DBA">
        <w:rPr>
          <w:rFonts w:ascii="Times New Roman" w:eastAsia="Times New Roman" w:hAnsi="Times New Roman" w:cs="Times New Roman"/>
          <w:sz w:val="28"/>
          <w:szCs w:val="28"/>
          <w:lang w:eastAsia="uk-UA"/>
        </w:rPr>
        <w:t>±2,16</w:t>
      </w:r>
      <w:r w:rsidRPr="00372DBA">
        <w:rPr>
          <w:rFonts w:ascii="Times New Roman" w:eastAsia="Times New Roman" w:hAnsi="Times New Roman" w:cs="Times New Roman"/>
          <w:sz w:val="28"/>
          <w:szCs w:val="28"/>
          <w:lang w:val="en-US" w:eastAsia="uk-UA"/>
        </w:rPr>
        <w:t xml:space="preserve"> months </w:t>
      </w:r>
      <w:r w:rsidRPr="00372DBA">
        <w:rPr>
          <w:rFonts w:ascii="Times New Roman" w:eastAsia="Times New Roman" w:hAnsi="Times New Roman" w:cs="Times New Roman"/>
          <w:sz w:val="28"/>
          <w:szCs w:val="28"/>
          <w:lang w:eastAsia="uk-UA"/>
        </w:rPr>
        <w:t>(</w:t>
      </w:r>
      <w:r w:rsidRPr="00372DBA">
        <w:rPr>
          <w:rFonts w:ascii="Times New Roman" w:hAnsi="Times New Roman" w:cs="Times New Roman"/>
          <w:sz w:val="28"/>
          <w:szCs w:val="28"/>
        </w:rPr>
        <w:t>р&lt;0,001)</w:t>
      </w:r>
      <w:r w:rsidRPr="00372DBA">
        <w:rPr>
          <w:rFonts w:ascii="Times New Roman" w:eastAsia="Times New Roman" w:hAnsi="Times New Roman" w:cs="Times New Roman"/>
          <w:sz w:val="28"/>
          <w:szCs w:val="28"/>
          <w:lang w:eastAsia="uk-UA"/>
        </w:rPr>
        <w:t xml:space="preserve">. </w:t>
      </w:r>
      <w:r w:rsidRPr="00372DBA">
        <w:rPr>
          <w:rFonts w:ascii="Times New Roman" w:eastAsia="Times New Roman" w:hAnsi="Times New Roman" w:cs="Times New Roman"/>
          <w:sz w:val="28"/>
          <w:szCs w:val="28"/>
          <w:lang w:val="en-US" w:eastAsia="uk-UA"/>
        </w:rPr>
        <w:t>Such data mirrors practical value of miR-15 expression as a prognostic biomarker.</w:t>
      </w:r>
      <w:r w:rsidR="00207AD7">
        <w:rPr>
          <w:rFonts w:ascii="Times New Roman" w:hAnsi="Times New Roman" w:cs="Times New Roman"/>
          <w:sz w:val="28"/>
          <w:szCs w:val="28"/>
        </w:rPr>
        <w:t xml:space="preserve"> </w:t>
      </w:r>
    </w:p>
    <w:p w:rsidR="00372DBA" w:rsidRPr="00372DBA" w:rsidRDefault="00372DBA" w:rsidP="00096E8F">
      <w:pPr>
        <w:spacing w:line="360" w:lineRule="auto"/>
        <w:ind w:firstLine="708"/>
        <w:jc w:val="both"/>
        <w:rPr>
          <w:rFonts w:ascii="Times New Roman" w:hAnsi="Times New Roman" w:cs="Times New Roman"/>
          <w:sz w:val="28"/>
          <w:szCs w:val="28"/>
          <w:lang w:val="en-US"/>
        </w:rPr>
      </w:pPr>
      <w:r w:rsidRPr="00372DBA">
        <w:rPr>
          <w:rFonts w:ascii="Times New Roman" w:hAnsi="Times New Roman" w:cs="Times New Roman"/>
          <w:sz w:val="28"/>
          <w:szCs w:val="28"/>
          <w:lang w:val="en-US"/>
        </w:rPr>
        <w:t xml:space="preserve">Using radiogenomic analysis we found that combination of six imaging features of renal cell carcinoma allows reliably predict tissue expression level of </w:t>
      </w:r>
      <w:r w:rsidRPr="00372DBA">
        <w:rPr>
          <w:rFonts w:ascii="Times New Roman" w:hAnsi="Times New Roman" w:cs="Times New Roman"/>
          <w:sz w:val="28"/>
          <w:szCs w:val="28"/>
          <w:lang w:val="en-US"/>
        </w:rPr>
        <w:lastRenderedPageBreak/>
        <w:t xml:space="preserve">miR-15a </w:t>
      </w:r>
      <w:r w:rsidRPr="00372DBA">
        <w:rPr>
          <w:rFonts w:ascii="Times New Roman" w:hAnsi="Times New Roman" w:cs="Times New Roman"/>
          <w:sz w:val="28"/>
          <w:szCs w:val="28"/>
        </w:rPr>
        <w:t>(</w:t>
      </w:r>
      <w:r w:rsidRPr="00372DBA">
        <w:rPr>
          <w:rFonts w:ascii="Times New Roman" w:hAnsi="Times New Roman" w:cs="Times New Roman"/>
          <w:sz w:val="28"/>
          <w:szCs w:val="28"/>
          <w:lang w:val="en-US"/>
        </w:rPr>
        <w:t>adjusted</w:t>
      </w:r>
      <w:r w:rsidRPr="00372DBA">
        <w:rPr>
          <w:rFonts w:ascii="Times New Roman" w:hAnsi="Times New Roman" w:cs="Times New Roman"/>
          <w:sz w:val="28"/>
          <w:szCs w:val="28"/>
        </w:rPr>
        <w:t xml:space="preserve"> </w:t>
      </w:r>
      <w:r w:rsidRPr="00372DBA">
        <w:rPr>
          <w:rFonts w:ascii="Times New Roman" w:hAnsi="Times New Roman" w:cs="Times New Roman"/>
          <w:sz w:val="28"/>
          <w:szCs w:val="28"/>
          <w:lang w:val="en-US"/>
        </w:rPr>
        <w:t>R</w:t>
      </w:r>
      <w:r w:rsidRPr="00372DBA">
        <w:rPr>
          <w:rFonts w:ascii="Times New Roman" w:hAnsi="Times New Roman" w:cs="Times New Roman"/>
          <w:sz w:val="28"/>
          <w:szCs w:val="28"/>
          <w:vertAlign w:val="superscript"/>
          <w:lang w:val="en-US"/>
        </w:rPr>
        <w:t>2</w:t>
      </w:r>
      <w:r w:rsidRPr="00372DBA">
        <w:rPr>
          <w:rFonts w:ascii="Times New Roman" w:hAnsi="Times New Roman" w:cs="Times New Roman"/>
          <w:sz w:val="28"/>
          <w:szCs w:val="28"/>
        </w:rPr>
        <w:t>=0,8336, р</w:t>
      </w:r>
      <w:r w:rsidRPr="00372DBA">
        <w:rPr>
          <w:rFonts w:ascii="Times New Roman" w:hAnsi="Times New Roman" w:cs="Times New Roman"/>
          <w:sz w:val="28"/>
          <w:szCs w:val="28"/>
          <w:lang w:val="en-US"/>
        </w:rPr>
        <w:t>&lt;0,001</w:t>
      </w:r>
      <w:r w:rsidRPr="00372DBA">
        <w:rPr>
          <w:rFonts w:ascii="Times New Roman" w:hAnsi="Times New Roman" w:cs="Times New Roman"/>
          <w:sz w:val="28"/>
          <w:szCs w:val="28"/>
        </w:rPr>
        <w:t xml:space="preserve">), </w:t>
      </w:r>
      <w:r w:rsidRPr="00372DBA">
        <w:rPr>
          <w:rFonts w:ascii="Times New Roman" w:hAnsi="Times New Roman" w:cs="Times New Roman"/>
          <w:sz w:val="28"/>
          <w:szCs w:val="28"/>
          <w:lang w:val="en-US"/>
        </w:rPr>
        <w:t xml:space="preserve">which can be used in case of inaccessibility to molecular diagnostic methods as a surrogate prognostic biomarker. </w:t>
      </w:r>
    </w:p>
    <w:p w:rsidR="00372DBA" w:rsidRPr="00372DBA" w:rsidRDefault="00372DBA" w:rsidP="00372DBA">
      <w:pPr>
        <w:spacing w:line="360" w:lineRule="auto"/>
        <w:ind w:firstLine="708"/>
        <w:jc w:val="both"/>
        <w:rPr>
          <w:rFonts w:ascii="Times New Roman" w:hAnsi="Times New Roman" w:cs="Times New Roman"/>
          <w:sz w:val="28"/>
          <w:szCs w:val="28"/>
          <w:lang w:val="en-US"/>
        </w:rPr>
      </w:pPr>
      <w:r w:rsidRPr="00372DBA">
        <w:rPr>
          <w:rFonts w:ascii="Times New Roman" w:hAnsi="Times New Roman" w:cs="Times New Roman"/>
          <w:sz w:val="28"/>
          <w:szCs w:val="28"/>
          <w:lang w:val="en-US"/>
        </w:rPr>
        <w:t xml:space="preserve">Based on the acquired results of the study, we developed an algorithm of the renal cell carcinoma diagnostics and treatment with novel imaging and molecular biomarkers included. Also integrated prognostic system </w:t>
      </w:r>
      <w:r w:rsidRPr="00372DBA">
        <w:rPr>
          <w:rFonts w:ascii="Times New Roman" w:hAnsi="Times New Roman" w:cs="Times New Roman"/>
          <w:sz w:val="28"/>
          <w:szCs w:val="28"/>
        </w:rPr>
        <w:t>UISS</w:t>
      </w:r>
      <w:r w:rsidRPr="00372DBA">
        <w:rPr>
          <w:rFonts w:ascii="Times New Roman" w:hAnsi="Times New Roman" w:cs="Times New Roman"/>
          <w:sz w:val="28"/>
          <w:szCs w:val="28"/>
          <w:lang w:val="en-US"/>
        </w:rPr>
        <w:t xml:space="preserve"> for</w:t>
      </w:r>
      <w:r w:rsidR="00096E8F">
        <w:rPr>
          <w:rFonts w:ascii="Times New Roman" w:hAnsi="Times New Roman" w:cs="Times New Roman"/>
          <w:sz w:val="28"/>
          <w:szCs w:val="28"/>
          <w:lang w:val="en-US"/>
        </w:rPr>
        <w:t xml:space="preserve"> localized disease was improved.</w:t>
      </w:r>
      <w:r w:rsidRPr="00372DBA">
        <w:rPr>
          <w:rFonts w:ascii="Times New Roman" w:hAnsi="Times New Roman" w:cs="Times New Roman"/>
          <w:sz w:val="28"/>
          <w:szCs w:val="28"/>
          <w:lang w:val="en-US"/>
        </w:rPr>
        <w:t xml:space="preserve"> </w:t>
      </w:r>
    </w:p>
    <w:p w:rsidR="001F0C51" w:rsidRPr="00207AD7" w:rsidRDefault="00372DBA" w:rsidP="00207AD7">
      <w:pPr>
        <w:spacing w:line="360" w:lineRule="auto"/>
        <w:ind w:firstLine="708"/>
        <w:jc w:val="both"/>
        <w:rPr>
          <w:rFonts w:ascii="Times New Roman" w:hAnsi="Times New Roman" w:cs="Times New Roman"/>
          <w:sz w:val="28"/>
          <w:szCs w:val="28"/>
          <w:lang w:val="en-US"/>
        </w:rPr>
      </w:pPr>
      <w:r w:rsidRPr="00372DBA">
        <w:rPr>
          <w:rFonts w:ascii="Times New Roman" w:hAnsi="Times New Roman" w:cs="Times New Roman"/>
          <w:b/>
          <w:sz w:val="28"/>
          <w:szCs w:val="28"/>
          <w:lang w:val="en-US"/>
        </w:rPr>
        <w:t>Keywords</w:t>
      </w:r>
      <w:r w:rsidRPr="00372DBA">
        <w:rPr>
          <w:rFonts w:ascii="Times New Roman" w:hAnsi="Times New Roman" w:cs="Times New Roman"/>
          <w:sz w:val="28"/>
          <w:szCs w:val="28"/>
          <w:lang w:val="en-US"/>
        </w:rPr>
        <w:t xml:space="preserve">: </w:t>
      </w:r>
      <w:r w:rsidR="00F71B81">
        <w:rPr>
          <w:rFonts w:ascii="Times New Roman" w:hAnsi="Times New Roman" w:cs="Times New Roman"/>
          <w:sz w:val="28"/>
          <w:szCs w:val="28"/>
          <w:lang w:val="en-US"/>
        </w:rPr>
        <w:t>renal cell carcinoma, biomarker</w:t>
      </w:r>
      <w:r w:rsidRPr="00372DBA">
        <w:rPr>
          <w:rFonts w:ascii="Times New Roman" w:hAnsi="Times New Roman" w:cs="Times New Roman"/>
          <w:sz w:val="28"/>
          <w:szCs w:val="28"/>
          <w:lang w:val="en-US"/>
        </w:rPr>
        <w:t>, radiodensity, diffusion-weighted imaging, apparent diffusion coefficient, nephrectomy, selective embolization, microRNA-15a, total RNA, targeted therapy, prognosis, survival, radiogenomic</w:t>
      </w: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096E8F" w:rsidRDefault="00096E8F" w:rsidP="00CD3EE5">
      <w:pPr>
        <w:spacing w:line="360" w:lineRule="auto"/>
        <w:jc w:val="center"/>
        <w:rPr>
          <w:rFonts w:ascii="Times New Roman" w:eastAsia="Times New Roman" w:hAnsi="Times New Roman" w:cs="Times New Roman"/>
          <w:b/>
          <w:bCs/>
          <w:sz w:val="28"/>
          <w:szCs w:val="28"/>
          <w:lang w:eastAsia="ru-RU"/>
        </w:rPr>
      </w:pPr>
    </w:p>
    <w:p w:rsidR="005E1A24" w:rsidRDefault="005E1A24" w:rsidP="00CD3EE5">
      <w:pPr>
        <w:spacing w:line="360" w:lineRule="auto"/>
        <w:jc w:val="center"/>
        <w:rPr>
          <w:rFonts w:ascii="Times New Roman" w:eastAsia="Times New Roman" w:hAnsi="Times New Roman" w:cs="Times New Roman"/>
          <w:b/>
          <w:bCs/>
          <w:sz w:val="28"/>
          <w:szCs w:val="28"/>
          <w:lang w:eastAsia="ru-RU"/>
        </w:rPr>
      </w:pPr>
    </w:p>
    <w:p w:rsidR="00CD3EE5" w:rsidRPr="00372DBA" w:rsidRDefault="00CD3EE5" w:rsidP="00CD3EE5">
      <w:pPr>
        <w:spacing w:line="360" w:lineRule="auto"/>
        <w:jc w:val="center"/>
        <w:rPr>
          <w:rFonts w:ascii="Times New Roman" w:eastAsia="Times New Roman" w:hAnsi="Times New Roman" w:cs="Times New Roman"/>
          <w:b/>
          <w:bCs/>
          <w:sz w:val="28"/>
          <w:szCs w:val="28"/>
          <w:lang w:eastAsia="ru-RU"/>
        </w:rPr>
      </w:pPr>
      <w:r w:rsidRPr="00372DBA">
        <w:rPr>
          <w:rFonts w:ascii="Times New Roman" w:eastAsia="Times New Roman" w:hAnsi="Times New Roman" w:cs="Times New Roman"/>
          <w:b/>
          <w:bCs/>
          <w:sz w:val="28"/>
          <w:szCs w:val="28"/>
          <w:lang w:eastAsia="ru-RU"/>
        </w:rPr>
        <w:lastRenderedPageBreak/>
        <w:t>СПИСОК ПРАЦЬ, ОПУБЛІКОВАНИХ ЗА ТЕМОЮ ДИСЕРТАЦІЇ</w:t>
      </w:r>
    </w:p>
    <w:p w:rsidR="00CD3EE5" w:rsidRPr="007B5A1D" w:rsidRDefault="007B5A1D" w:rsidP="007B5A1D">
      <w:pPr>
        <w:spacing w:line="360" w:lineRule="auto"/>
        <w:contextualSpacing/>
        <w:jc w:val="both"/>
        <w:rPr>
          <w:rFonts w:ascii="Times New Roman" w:hAnsi="Times New Roman" w:cs="Times New Roman"/>
          <w:sz w:val="28"/>
          <w:szCs w:val="28"/>
        </w:rPr>
      </w:pPr>
      <w:r w:rsidRPr="007B5A1D">
        <w:rPr>
          <w:rFonts w:ascii="Times New Roman" w:hAnsi="Times New Roman" w:cs="Times New Roman"/>
          <w:sz w:val="28"/>
          <w:szCs w:val="28"/>
        </w:rPr>
        <w:t>Наукові праці, в яких опубліковані основні наукові результати дисертації:</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Борис ЮБ, Комнацька ІМ, Дутка ІЮ, Шатинська-Мицик ІС. Значення дифузійно-зважених зображень магнітно-резонансної томографії у диференційній діагностиці злоякісних новоутворів нирок. </w:t>
      </w:r>
      <w:r w:rsidRPr="00372DBA">
        <w:rPr>
          <w:rFonts w:ascii="Times New Roman" w:hAnsi="Times New Roman" w:cs="Times New Roman"/>
          <w:color w:val="000000"/>
          <w:sz w:val="28"/>
          <w:szCs w:val="28"/>
        </w:rPr>
        <w:t>Експериментальна та клінічна фізіологія і біохімія. 2014 Вер 23;   67(3/1): 32-35</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1F0C51">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Динаміка показників захворюваності та смертності на рак нирки в Україні сучасний стан проблеми. </w:t>
      </w:r>
      <w:r w:rsidRPr="00372DBA">
        <w:rPr>
          <w:rFonts w:ascii="Times New Roman" w:hAnsi="Times New Roman" w:cs="Times New Roman"/>
          <w:color w:val="000000"/>
          <w:sz w:val="28"/>
          <w:szCs w:val="28"/>
        </w:rPr>
        <w:t>Шпитальна Хірургія. Шпитальна Хірургія. 2015 Трав 14; 2: 77-82</w:t>
      </w:r>
      <w:r w:rsidRPr="001F0C51">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Борис ЮБ, Дутка ІЮ, Комнацька ІМ, Лозинський РМ, Шатинська-Мицик ІС. Застосування дифузійно-зважених зображень МРТ для діагностики світлоклітинного раку нирки різного </w:t>
      </w:r>
      <w:r>
        <w:rPr>
          <w:rFonts w:ascii="Times New Roman" w:hAnsi="Times New Roman" w:cs="Times New Roman"/>
          <w:sz w:val="28"/>
          <w:szCs w:val="28"/>
        </w:rPr>
        <w:t>ступеня</w:t>
      </w:r>
      <w:r w:rsidRPr="00372DBA">
        <w:rPr>
          <w:rFonts w:ascii="Times New Roman" w:hAnsi="Times New Roman" w:cs="Times New Roman"/>
          <w:sz w:val="28"/>
          <w:szCs w:val="28"/>
        </w:rPr>
        <w:t xml:space="preserve"> диференціації. </w:t>
      </w:r>
      <w:r w:rsidRPr="00372DBA">
        <w:rPr>
          <w:rFonts w:ascii="Times New Roman" w:hAnsi="Times New Roman" w:cs="Times New Roman"/>
          <w:color w:val="000000"/>
          <w:sz w:val="28"/>
          <w:szCs w:val="28"/>
        </w:rPr>
        <w:t>Урологія. 2014 Груд 12; 71(4): 23-29</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1F0C51">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rPr>
        <w:t xml:space="preserve">. The role of the diffusion-weighted MRI in the differential diagnostics of the clear cell renal cell carcinoma of different Fuhrman grades. </w:t>
      </w:r>
      <w:r w:rsidRPr="00372DBA">
        <w:rPr>
          <w:rFonts w:ascii="Times New Roman" w:hAnsi="Times New Roman" w:cs="Times New Roman"/>
          <w:color w:val="000000"/>
          <w:sz w:val="28"/>
          <w:szCs w:val="28"/>
        </w:rPr>
        <w:t>Медицина транспорту України. 2015 Бер 01; 53(1): 9-14</w:t>
      </w:r>
      <w:r w:rsidRPr="001F0C51">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rPr>
        <w:t xml:space="preserve">. </w:t>
      </w:r>
      <w:r w:rsidRPr="00372DBA">
        <w:rPr>
          <w:rFonts w:ascii="Times New Roman" w:hAnsi="Times New Roman" w:cs="Times New Roman"/>
          <w:color w:val="000000"/>
          <w:sz w:val="28"/>
          <w:szCs w:val="28"/>
        </w:rPr>
        <w:t>The morbidity and mortality rates in patients with renal cell carcinoma in Ukraine. Експериментальна та клінічна фізіологія і біохімія. 2015 Сер 23; 71(3): 67-71</w:t>
      </w:r>
      <w:r w:rsidRPr="001F0C51">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 Дутка ІЮ, Борис ЮБ, Дац І</w:t>
      </w:r>
      <w:r>
        <w:rPr>
          <w:rFonts w:ascii="Times New Roman" w:hAnsi="Times New Roman" w:cs="Times New Roman"/>
          <w:sz w:val="28"/>
          <w:szCs w:val="28"/>
        </w:rPr>
        <w:t xml:space="preserve">В, Сало ВМ, Комнацька ІМ. </w:t>
      </w:r>
      <w:r w:rsidRPr="00372DBA">
        <w:rPr>
          <w:rFonts w:ascii="Times New Roman" w:hAnsi="Times New Roman" w:cs="Times New Roman"/>
          <w:sz w:val="28"/>
          <w:szCs w:val="28"/>
        </w:rPr>
        <w:t xml:space="preserve">Застосування  променевих біомаркерів МРТ для передбачення інтраопераційної крововтрати при виконанні радикальної нефректомії у хворих із нирково-клітинним раком після селективної емболізації. </w:t>
      </w:r>
      <w:r w:rsidRPr="00372DBA">
        <w:rPr>
          <w:rFonts w:ascii="Times New Roman" w:hAnsi="Times New Roman" w:cs="Times New Roman"/>
          <w:color w:val="000000"/>
          <w:sz w:val="28"/>
          <w:szCs w:val="28"/>
        </w:rPr>
        <w:t>Експериментальна та клінічна фізіологія і біохімія. 2016 Лют 10; 76(4): 53-</w:t>
      </w:r>
      <w:r w:rsidRPr="00372DBA">
        <w:rPr>
          <w:rFonts w:ascii="Times New Roman" w:hAnsi="Times New Roman" w:cs="Times New Roman"/>
          <w:color w:val="000000"/>
          <w:sz w:val="28"/>
          <w:szCs w:val="28"/>
        </w:rPr>
        <w:lastRenderedPageBreak/>
        <w:t>59</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 Досенко ВЄ, Борис ЮБ, Дац ІВ, Ільчишин ОС, Чернова НВ</w:t>
      </w:r>
      <w:r>
        <w:rPr>
          <w:rFonts w:ascii="Times New Roman" w:hAnsi="Times New Roman" w:cs="Times New Roman"/>
          <w:sz w:val="28"/>
          <w:szCs w:val="28"/>
        </w:rPr>
        <w:t>.</w:t>
      </w:r>
      <w:r w:rsidRPr="00372DBA">
        <w:rPr>
          <w:rFonts w:ascii="Times New Roman" w:hAnsi="Times New Roman" w:cs="Times New Roman"/>
          <w:sz w:val="28"/>
          <w:szCs w:val="28"/>
        </w:rPr>
        <w:t xml:space="preserve"> Можливість застосування мікроРНК-15а, визначеної у сечі, для діагностики нирково-клітинного раку. </w:t>
      </w:r>
      <w:r w:rsidRPr="00372DBA">
        <w:rPr>
          <w:rFonts w:ascii="Times New Roman" w:hAnsi="Times New Roman" w:cs="Times New Roman"/>
          <w:color w:val="000000"/>
          <w:sz w:val="28"/>
          <w:szCs w:val="28"/>
        </w:rPr>
        <w:t>Експериментальна та клінічна фізіологія і біохімія. 2017 Лют 16; 77(1): 49-53</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Використання дифузійно-зваженої МРТ у діагностиці раку нирки. </w:t>
      </w:r>
      <w:r w:rsidRPr="00372DBA">
        <w:rPr>
          <w:rFonts w:ascii="Times New Roman" w:hAnsi="Times New Roman" w:cs="Times New Roman"/>
          <w:color w:val="000000"/>
          <w:sz w:val="28"/>
          <w:szCs w:val="28"/>
        </w:rPr>
        <w:t>Шпитальна Хірургія. 2015 Бер 23; 1: 82-85</w:t>
      </w:r>
      <w:r w:rsidRPr="001F0C51">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Досенко ВЄ, Борис ЮБ, Іллюк ПО, Максимович ІР, Чернова НВ. Застосування експресії мікроРНК-15а визначеної в тканинах пухлини у якості прогностичного біомаркеру нирково-клітинного раку. </w:t>
      </w:r>
      <w:r w:rsidRPr="00372DBA">
        <w:rPr>
          <w:rFonts w:ascii="Times New Roman" w:hAnsi="Times New Roman" w:cs="Times New Roman"/>
          <w:bCs/>
          <w:sz w:val="28"/>
          <w:szCs w:val="28"/>
          <w:lang w:eastAsia="uk-UA"/>
        </w:rPr>
        <w:t>Урологія. 2017 Вер 12; 21(3): 39-48</w:t>
      </w:r>
      <w:r>
        <w:rPr>
          <w:rFonts w:ascii="Times New Roman" w:hAnsi="Times New Roman" w:cs="Times New Roman"/>
          <w:bCs/>
          <w:sz w:val="28"/>
          <w:szCs w:val="28"/>
          <w:lang w:eastAsia="uk-UA"/>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bCs/>
          <w:sz w:val="28"/>
          <w:szCs w:val="28"/>
          <w:lang w:eastAsia="uk-UA"/>
        </w:rPr>
        <w:t>.</w:t>
      </w:r>
    </w:p>
    <w:p w:rsidR="00C9739D" w:rsidRPr="00372DBA" w:rsidRDefault="00C9739D" w:rsidP="00C9739D">
      <w:pPr>
        <w:pStyle w:val="NoSpacing"/>
        <w:numPr>
          <w:ilvl w:val="0"/>
          <w:numId w:val="16"/>
        </w:numPr>
        <w:spacing w:after="160"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w:t>
      </w:r>
      <w:r w:rsidRPr="00372DBA">
        <w:rPr>
          <w:rFonts w:ascii="Times New Roman" w:eastAsia="Newton-Regular" w:hAnsi="Times New Roman" w:cs="Times New Roman"/>
          <w:sz w:val="28"/>
          <w:szCs w:val="28"/>
        </w:rPr>
        <w:t xml:space="preserve">Дутка ІЮ, Борис ЮБ,  Комнацька ІМ, Шатинська-Мицик ІС, Лозинський РМ. </w:t>
      </w:r>
      <w:r w:rsidRPr="00372DBA">
        <w:rPr>
          <w:rFonts w:ascii="Times New Roman" w:hAnsi="Times New Roman" w:cs="Times New Roman"/>
          <w:bCs/>
          <w:sz w:val="28"/>
          <w:szCs w:val="28"/>
        </w:rPr>
        <w:t xml:space="preserve">Використання дифузійно-зважених зображень МРТ у діагностиці солідних ниркових новоутворів. </w:t>
      </w:r>
      <w:r w:rsidRPr="00372DBA">
        <w:rPr>
          <w:rFonts w:ascii="Times New Roman" w:hAnsi="Times New Roman" w:cs="Times New Roman"/>
          <w:sz w:val="28"/>
          <w:szCs w:val="28"/>
        </w:rPr>
        <w:t>Клиничесская онкология. 2015 Бер 21; 1(17): 1-4</w:t>
      </w:r>
      <w:r>
        <w:rPr>
          <w:rFonts w:ascii="Times New Roman" w:hAnsi="Times New Roman" w:cs="Times New Roman"/>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Досенко ВЄ, Борис ЮБ, Древицька ТІ. Роль МікроРНК-15а у діагностиці нирково-клітинного раку. </w:t>
      </w:r>
      <w:r w:rsidRPr="00372DBA">
        <w:rPr>
          <w:rFonts w:ascii="Times New Roman" w:hAnsi="Times New Roman" w:cs="Times New Roman"/>
          <w:color w:val="000000"/>
          <w:sz w:val="28"/>
          <w:szCs w:val="28"/>
        </w:rPr>
        <w:t>Експериментальна та клінічна фізіологія і біохімія. 2017 Бер 21; 78(2/1): 53-59</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 Дутка ІЮ, Борис ЮБ, Дац ІВ,</w:t>
      </w:r>
      <w:r w:rsidRPr="00372DBA">
        <w:rPr>
          <w:rFonts w:ascii="Times New Roman" w:hAnsi="Times New Roman" w:cs="Times New Roman"/>
          <w:color w:val="000000"/>
          <w:sz w:val="28"/>
          <w:szCs w:val="28"/>
        </w:rPr>
        <w:t xml:space="preserve"> </w:t>
      </w:r>
      <w:r w:rsidRPr="00372DBA">
        <w:rPr>
          <w:rFonts w:ascii="Times New Roman" w:hAnsi="Times New Roman" w:cs="Times New Roman"/>
          <w:sz w:val="28"/>
          <w:szCs w:val="28"/>
        </w:rPr>
        <w:t xml:space="preserve">Комнацька ІМ, Шатинська-Мицик ІС. Особливості використання вимірюваного коефіцієнта дифузії дифузійно-зважених зображень МРТ у діагностиці світлоклітинного раку нирки різних ступенів ядерної атипії за Fuhrman. </w:t>
      </w:r>
      <w:r w:rsidRPr="00372DBA">
        <w:rPr>
          <w:rFonts w:ascii="Times New Roman" w:hAnsi="Times New Roman" w:cs="Times New Roman"/>
          <w:color w:val="000000"/>
          <w:sz w:val="28"/>
          <w:szCs w:val="28"/>
        </w:rPr>
        <w:t xml:space="preserve">Експериментальна та </w:t>
      </w:r>
      <w:r w:rsidRPr="00372DBA">
        <w:rPr>
          <w:rFonts w:ascii="Times New Roman" w:hAnsi="Times New Roman" w:cs="Times New Roman"/>
          <w:color w:val="000000"/>
          <w:sz w:val="28"/>
          <w:szCs w:val="28"/>
        </w:rPr>
        <w:lastRenderedPageBreak/>
        <w:t>клінічна фізіологія і біохімія. 2015 Трав 12; 70 (2): 106-110</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shd w:val="clear" w:color="auto" w:fill="FFFFFF"/>
          <w:lang w:val="en-US"/>
        </w:rPr>
        <w:t>Mytsyk</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YO</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Borys Y</w:t>
      </w:r>
      <w:r w:rsidRPr="00372DBA">
        <w:rPr>
          <w:rFonts w:ascii="Times New Roman" w:hAnsi="Times New Roman" w:cs="Times New Roman"/>
          <w:sz w:val="28"/>
          <w:szCs w:val="28"/>
          <w:shd w:val="clear" w:color="auto" w:fill="FFFFFF"/>
          <w:lang w:val="en-US"/>
        </w:rPr>
        <w:t>B</w:t>
      </w:r>
      <w:r w:rsidRPr="00372DBA">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lang w:val="en-US"/>
        </w:rPr>
        <w:t>Dosenko</w:t>
      </w:r>
      <w:r w:rsidRPr="009E6C7E">
        <w:rPr>
          <w:rFonts w:ascii="Times New Roman" w:hAnsi="Times New Roman" w:cs="Times New Roman"/>
          <w:sz w:val="28"/>
          <w:szCs w:val="28"/>
        </w:rPr>
        <w:t xml:space="preserve"> </w:t>
      </w:r>
      <w:r w:rsidRPr="00372DBA">
        <w:rPr>
          <w:rFonts w:ascii="Times New Roman" w:hAnsi="Times New Roman" w:cs="Times New Roman"/>
          <w:sz w:val="28"/>
          <w:szCs w:val="28"/>
          <w:lang w:val="en-US"/>
        </w:rPr>
        <w:t>VE</w:t>
      </w:r>
      <w:r w:rsidRPr="009E6C7E">
        <w:rPr>
          <w:rFonts w:ascii="Times New Roman" w:hAnsi="Times New Roman" w:cs="Times New Roman"/>
          <w:sz w:val="28"/>
          <w:szCs w:val="28"/>
        </w:rPr>
        <w:t>,</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 xml:space="preserve">Diychuk </w:t>
      </w:r>
      <w:r w:rsidRPr="00372DBA">
        <w:rPr>
          <w:rFonts w:ascii="Times New Roman" w:hAnsi="Times New Roman" w:cs="Times New Roman"/>
          <w:sz w:val="28"/>
          <w:szCs w:val="28"/>
          <w:shd w:val="clear" w:color="auto" w:fill="FFFFFF"/>
          <w:lang w:val="en-US"/>
        </w:rPr>
        <w:t>YP</w:t>
      </w:r>
      <w:r w:rsidRPr="00372DBA">
        <w:rPr>
          <w:rFonts w:ascii="Times New Roman" w:hAnsi="Times New Roman" w:cs="Times New Roman"/>
          <w:sz w:val="28"/>
          <w:szCs w:val="28"/>
          <w:shd w:val="clear" w:color="auto" w:fill="FFFFFF"/>
        </w:rPr>
        <w:t>,</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 xml:space="preserve">Kowalskyy </w:t>
      </w:r>
      <w:r w:rsidRPr="00372DBA">
        <w:rPr>
          <w:rFonts w:ascii="Times New Roman" w:hAnsi="Times New Roman" w:cs="Times New Roman"/>
          <w:sz w:val="28"/>
          <w:szCs w:val="28"/>
          <w:shd w:val="clear" w:color="auto" w:fill="FFFFFF"/>
          <w:lang w:val="en-US"/>
        </w:rPr>
        <w:t>VV</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Pasichnyk</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SM</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color w:val="000000"/>
          <w:sz w:val="28"/>
          <w:szCs w:val="28"/>
          <w:lang w:val="en-US"/>
        </w:rPr>
        <w:t xml:space="preserve">A role of microRNAs in pathogenesis of renal cell carcinoma. </w:t>
      </w:r>
      <w:r w:rsidRPr="00372DBA">
        <w:rPr>
          <w:rFonts w:ascii="Times New Roman" w:hAnsi="Times New Roman" w:cs="Times New Roman"/>
          <w:color w:val="000000"/>
          <w:sz w:val="28"/>
          <w:szCs w:val="28"/>
        </w:rPr>
        <w:t>Експериментальна та клінічна фізіологія і біохімія</w:t>
      </w:r>
      <w:r w:rsidRPr="00372DBA">
        <w:rPr>
          <w:rFonts w:ascii="Times New Roman" w:hAnsi="Times New Roman" w:cs="Times New Roman"/>
          <w:color w:val="000000"/>
          <w:sz w:val="28"/>
          <w:szCs w:val="28"/>
          <w:lang w:val="en-US"/>
        </w:rPr>
        <w:t xml:space="preserve">. 2017 </w:t>
      </w:r>
      <w:r w:rsidRPr="00372DBA">
        <w:rPr>
          <w:rFonts w:ascii="Times New Roman" w:hAnsi="Times New Roman" w:cs="Times New Roman"/>
          <w:color w:val="000000"/>
          <w:sz w:val="28"/>
          <w:szCs w:val="28"/>
        </w:rPr>
        <w:t xml:space="preserve">Вер 12; 79(3): </w:t>
      </w:r>
      <w:r w:rsidRPr="00372DBA">
        <w:rPr>
          <w:rFonts w:ascii="Times New Roman" w:hAnsi="Times New Roman" w:cs="Times New Roman"/>
          <w:sz w:val="28"/>
          <w:szCs w:val="28"/>
        </w:rPr>
        <w:t>5</w:t>
      </w:r>
      <w:r w:rsidRPr="009E6C7E">
        <w:rPr>
          <w:rFonts w:ascii="Times New Roman" w:hAnsi="Times New Roman" w:cs="Times New Roman"/>
          <w:sz w:val="28"/>
          <w:szCs w:val="28"/>
          <w:lang w:val="en-US"/>
        </w:rPr>
        <w:t>0</w:t>
      </w:r>
      <w:r w:rsidRPr="00372DBA">
        <w:rPr>
          <w:rFonts w:ascii="Times New Roman" w:hAnsi="Times New Roman" w:cs="Times New Roman"/>
          <w:sz w:val="28"/>
          <w:szCs w:val="28"/>
        </w:rPr>
        <w:t>-53</w:t>
      </w:r>
      <w:r>
        <w:rPr>
          <w:rFonts w:ascii="Times New Roman" w:hAnsi="Times New Roman" w:cs="Times New Roman"/>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 Дутка ІЮ, Борис ЮБ, Комнацька ІМ, Дац ІВ, Чернова НВ, Воробець ДЗ. Диференційна діагностика малих ниркових новоутворів ефективність застосування вимірюваного коефіцієнта дифузії дифузійно-зважених зображень МРТ у якості променевого біомаркеру нирково-клітинного раку.</w:t>
      </w:r>
      <w:r w:rsidRPr="00372DBA">
        <w:rPr>
          <w:rFonts w:ascii="Times New Roman" w:hAnsi="Times New Roman" w:cs="Times New Roman"/>
          <w:color w:val="000000"/>
          <w:sz w:val="28"/>
          <w:szCs w:val="28"/>
        </w:rPr>
        <w:t xml:space="preserve"> Здоровье Мужчины. 2016 Груд 23; 4(59): 105-110</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Досенко ВЄ, Борис ЮБ, Древицька ТІ. Роль микроРНК-15а в диагностике почечно-клеточного рака. </w:t>
      </w:r>
      <w:r w:rsidRPr="00372DBA">
        <w:rPr>
          <w:rFonts w:ascii="Times New Roman" w:hAnsi="Times New Roman" w:cs="Times New Roman"/>
          <w:color w:val="000000"/>
          <w:sz w:val="28"/>
          <w:szCs w:val="28"/>
        </w:rPr>
        <w:t>Здоровье Мужчины. 2017 Вер 12; 3(62): 110-115</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Борис ЮБ, Дац ІВ, Манюк ЛВ, </w:t>
      </w:r>
      <w:r>
        <w:rPr>
          <w:rFonts w:ascii="Times New Roman" w:hAnsi="Times New Roman" w:cs="Times New Roman"/>
          <w:sz w:val="28"/>
          <w:szCs w:val="28"/>
        </w:rPr>
        <w:t>Ільчишин ОС, Солдатенко ОЯ</w:t>
      </w:r>
      <w:r w:rsidRPr="00372DBA">
        <w:rPr>
          <w:rFonts w:ascii="Times New Roman" w:hAnsi="Times New Roman" w:cs="Times New Roman"/>
          <w:sz w:val="28"/>
          <w:szCs w:val="28"/>
        </w:rPr>
        <w:t xml:space="preserve">. Сучасний погляд на дію іонізуючого випромінювання на хворих при діагностиці нирково-клітинного раку та шляхи його уникнення. </w:t>
      </w:r>
      <w:r w:rsidRPr="00372DBA">
        <w:rPr>
          <w:rFonts w:ascii="Times New Roman" w:hAnsi="Times New Roman" w:cs="Times New Roman"/>
          <w:color w:val="000000"/>
          <w:sz w:val="28"/>
          <w:szCs w:val="28"/>
        </w:rPr>
        <w:t>Проблеми радіаційної медицини та радіобіології. 2017 Січ 23; 22: 69-78</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w:t>
      </w:r>
      <w:r>
        <w:rPr>
          <w:rFonts w:ascii="Times New Roman" w:hAnsi="Times New Roman" w:cs="Times New Roman"/>
          <w:sz w:val="28"/>
          <w:szCs w:val="28"/>
        </w:rPr>
        <w:t xml:space="preserve"> </w:t>
      </w:r>
      <w:r w:rsidRPr="001F0C51">
        <w:rPr>
          <w:rFonts w:ascii="Times New Roman" w:hAnsi="Times New Roman" w:cs="Times New Roman"/>
          <w:sz w:val="28"/>
          <w:szCs w:val="28"/>
        </w:rPr>
        <w:t>та підготовлений текст статті)</w:t>
      </w:r>
      <w:r w:rsidRPr="001F0C51">
        <w:rPr>
          <w:rFonts w:ascii="Times New Roman" w:hAnsi="Times New Roman" w:cs="Times New Roman"/>
          <w:color w:val="000000"/>
          <w:sz w:val="28"/>
          <w:szCs w:val="28"/>
        </w:rPr>
        <w:t>.</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Mytsyk YO, Borys YB, Dutka IY,</w:t>
      </w:r>
      <w:r w:rsidRPr="00372DBA">
        <w:rPr>
          <w:rFonts w:ascii="Times New Roman" w:hAnsi="Times New Roman" w:cs="Times New Roman"/>
          <w:color w:val="000000"/>
          <w:sz w:val="28"/>
          <w:szCs w:val="28"/>
        </w:rPr>
        <w:t xml:space="preserve"> </w:t>
      </w:r>
      <w:r w:rsidRPr="00372DBA">
        <w:rPr>
          <w:rFonts w:ascii="Times New Roman" w:hAnsi="Times New Roman" w:cs="Times New Roman"/>
          <w:sz w:val="28"/>
          <w:szCs w:val="28"/>
        </w:rPr>
        <w:t>Datz IV, Motrynets NP, Kucher AR</w:t>
      </w:r>
      <w:r w:rsidRPr="00372DBA">
        <w:rPr>
          <w:rFonts w:ascii="Times New Roman" w:hAnsi="Times New Roman" w:cs="Times New Roman"/>
          <w:sz w:val="28"/>
          <w:szCs w:val="28"/>
          <w:lang w:val="en-US"/>
        </w:rPr>
        <w:t>.</w:t>
      </w:r>
      <w:r w:rsidRPr="00372DBA">
        <w:rPr>
          <w:rFonts w:ascii="Times New Roman" w:hAnsi="Times New Roman" w:cs="Times New Roman"/>
          <w:sz w:val="28"/>
          <w:szCs w:val="28"/>
        </w:rPr>
        <w:t xml:space="preserve"> </w:t>
      </w:r>
      <w:r w:rsidRPr="00372DBA">
        <w:rPr>
          <w:rFonts w:ascii="Times New Roman" w:hAnsi="Times New Roman" w:cs="Times New Roman"/>
          <w:sz w:val="28"/>
          <w:szCs w:val="28"/>
          <w:lang w:val="en-US"/>
        </w:rPr>
        <w:t>Application of the diffusion-weighted MRI for prediction of the intraoperative blood loss during the nephrectomy in patients with renal cell carcinoma after embolization of renal artery</w:t>
      </w:r>
      <w:r w:rsidRPr="00372DBA">
        <w:rPr>
          <w:rFonts w:ascii="Times New Roman" w:hAnsi="Times New Roman" w:cs="Times New Roman"/>
          <w:sz w:val="28"/>
          <w:szCs w:val="28"/>
        </w:rPr>
        <w:t xml:space="preserve">. </w:t>
      </w:r>
      <w:r w:rsidRPr="00372DBA">
        <w:rPr>
          <w:rFonts w:ascii="Times New Roman" w:hAnsi="Times New Roman" w:cs="Times New Roman"/>
          <w:color w:val="000000"/>
          <w:sz w:val="28"/>
          <w:szCs w:val="28"/>
          <w:lang w:val="en-US"/>
        </w:rPr>
        <w:t>Inter</w:t>
      </w:r>
      <w:r w:rsidRPr="009E6C7E">
        <w:rPr>
          <w:rFonts w:ascii="Times New Roman" w:hAnsi="Times New Roman" w:cs="Times New Roman"/>
          <w:color w:val="000000"/>
          <w:sz w:val="28"/>
          <w:szCs w:val="28"/>
        </w:rPr>
        <w:t xml:space="preserve"> </w:t>
      </w:r>
      <w:r w:rsidRPr="00372DBA">
        <w:rPr>
          <w:rFonts w:ascii="Times New Roman" w:hAnsi="Times New Roman" w:cs="Times New Roman"/>
          <w:color w:val="000000"/>
          <w:sz w:val="28"/>
          <w:szCs w:val="28"/>
          <w:lang w:val="en-US"/>
        </w:rPr>
        <w:t>Collegas</w:t>
      </w:r>
      <w:r w:rsidRPr="00372DBA">
        <w:rPr>
          <w:rFonts w:ascii="Times New Roman" w:hAnsi="Times New Roman" w:cs="Times New Roman"/>
          <w:color w:val="000000"/>
          <w:sz w:val="28"/>
          <w:szCs w:val="28"/>
        </w:rPr>
        <w:t>. 2017 Гру 23; 4(4): 158-163</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lastRenderedPageBreak/>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Mytsyk YO, Borys YB, </w:t>
      </w:r>
      <w:r w:rsidRPr="00372DBA">
        <w:rPr>
          <w:rFonts w:ascii="Times New Roman" w:hAnsi="Times New Roman" w:cs="Times New Roman"/>
          <w:sz w:val="28"/>
          <w:szCs w:val="28"/>
          <w:lang w:val="en-US"/>
        </w:rPr>
        <w:t>Dosenko</w:t>
      </w:r>
      <w:r w:rsidRPr="009E6C7E">
        <w:rPr>
          <w:rFonts w:ascii="Times New Roman" w:hAnsi="Times New Roman" w:cs="Times New Roman"/>
          <w:sz w:val="28"/>
          <w:szCs w:val="28"/>
        </w:rPr>
        <w:t xml:space="preserve"> </w:t>
      </w:r>
      <w:r w:rsidRPr="00372DBA">
        <w:rPr>
          <w:rFonts w:ascii="Times New Roman" w:hAnsi="Times New Roman" w:cs="Times New Roman"/>
          <w:sz w:val="28"/>
          <w:szCs w:val="28"/>
          <w:lang w:val="en-US"/>
        </w:rPr>
        <w:t>VE</w:t>
      </w:r>
      <w:r w:rsidRPr="009E6C7E">
        <w:rPr>
          <w:rFonts w:ascii="Times New Roman" w:hAnsi="Times New Roman" w:cs="Times New Roman"/>
          <w:sz w:val="28"/>
          <w:szCs w:val="28"/>
        </w:rPr>
        <w:t>,</w:t>
      </w:r>
      <w:r w:rsidRPr="009E6C7E">
        <w:rPr>
          <w:rFonts w:ascii="Times New Roman" w:hAnsi="Times New Roman" w:cs="Times New Roman"/>
          <w:color w:val="000000"/>
          <w:sz w:val="28"/>
          <w:szCs w:val="28"/>
        </w:rPr>
        <w:t xml:space="preserve"> </w:t>
      </w:r>
      <w:r w:rsidRPr="00372DBA">
        <w:rPr>
          <w:rFonts w:ascii="Times New Roman" w:hAnsi="Times New Roman" w:cs="Times New Roman"/>
          <w:sz w:val="28"/>
          <w:szCs w:val="28"/>
        </w:rPr>
        <w:t xml:space="preserve">Datz IV, </w:t>
      </w:r>
      <w:r w:rsidRPr="00372DBA">
        <w:rPr>
          <w:rFonts w:ascii="Times New Roman" w:hAnsi="Times New Roman" w:cs="Times New Roman"/>
          <w:sz w:val="28"/>
          <w:szCs w:val="28"/>
          <w:shd w:val="clear" w:color="auto" w:fill="FFFFFF"/>
        </w:rPr>
        <w:t xml:space="preserve">Diychuk </w:t>
      </w:r>
      <w:r w:rsidRPr="00372DBA">
        <w:rPr>
          <w:rFonts w:ascii="Times New Roman" w:hAnsi="Times New Roman" w:cs="Times New Roman"/>
          <w:sz w:val="28"/>
          <w:szCs w:val="28"/>
          <w:shd w:val="clear" w:color="auto" w:fill="FFFFFF"/>
          <w:lang w:val="en-US"/>
        </w:rPr>
        <w:t>YP</w:t>
      </w:r>
      <w:r w:rsidRPr="00372DBA">
        <w:rPr>
          <w:rFonts w:ascii="Times New Roman" w:hAnsi="Times New Roman" w:cs="Times New Roman"/>
          <w:sz w:val="28"/>
          <w:szCs w:val="28"/>
          <w:shd w:val="clear" w:color="auto" w:fill="FFFFFF"/>
        </w:rPr>
        <w:t>,</w:t>
      </w:r>
      <w:r w:rsidRPr="009E6C7E">
        <w:rPr>
          <w:rFonts w:ascii="Times New Roman" w:hAnsi="Times New Roman" w:cs="Times New Roman"/>
          <w:color w:val="000000"/>
          <w:sz w:val="28"/>
          <w:szCs w:val="28"/>
        </w:rPr>
        <w:t xml:space="preserve"> </w:t>
      </w:r>
      <w:r w:rsidRPr="00372DBA">
        <w:rPr>
          <w:rFonts w:ascii="Times New Roman" w:hAnsi="Times New Roman" w:cs="Times New Roman"/>
          <w:sz w:val="28"/>
          <w:szCs w:val="28"/>
          <w:shd w:val="clear" w:color="auto" w:fill="FFFFFF"/>
        </w:rPr>
        <w:t xml:space="preserve">Kowalskyy </w:t>
      </w:r>
      <w:r w:rsidRPr="00372DBA">
        <w:rPr>
          <w:rFonts w:ascii="Times New Roman" w:hAnsi="Times New Roman" w:cs="Times New Roman"/>
          <w:sz w:val="28"/>
          <w:szCs w:val="28"/>
          <w:shd w:val="clear" w:color="auto" w:fill="FFFFFF"/>
          <w:lang w:val="en-US"/>
        </w:rPr>
        <w:t>VV</w:t>
      </w:r>
      <w:r w:rsidRPr="009E6C7E">
        <w:rPr>
          <w:rFonts w:ascii="Times New Roman" w:hAnsi="Times New Roman" w:cs="Times New Roman"/>
          <w:sz w:val="28"/>
          <w:szCs w:val="28"/>
          <w:shd w:val="clear" w:color="auto" w:fill="FFFFFF"/>
        </w:rPr>
        <w:t>.</w:t>
      </w:r>
      <w:r w:rsidRPr="00372DBA">
        <w:rPr>
          <w:rFonts w:ascii="Times New Roman" w:hAnsi="Times New Roman" w:cs="Times New Roman"/>
          <w:color w:val="000000"/>
          <w:sz w:val="28"/>
          <w:szCs w:val="28"/>
        </w:rPr>
        <w:t xml:space="preserve"> </w:t>
      </w:r>
      <w:r w:rsidRPr="00372DBA">
        <w:rPr>
          <w:rFonts w:ascii="Times New Roman" w:hAnsi="Times New Roman" w:cs="Times New Roman"/>
          <w:sz w:val="28"/>
          <w:szCs w:val="28"/>
          <w:lang w:val="en-US"/>
        </w:rPr>
        <w:t>Radiogenomics of renal cell carcinoma: our clinical experience</w:t>
      </w:r>
      <w:r w:rsidRPr="00372DBA">
        <w:rPr>
          <w:rFonts w:ascii="Times New Roman" w:hAnsi="Times New Roman" w:cs="Times New Roman"/>
          <w:sz w:val="28"/>
          <w:szCs w:val="28"/>
        </w:rPr>
        <w:t>.</w:t>
      </w:r>
      <w:r w:rsidRPr="00372DBA">
        <w:rPr>
          <w:rFonts w:ascii="Times New Roman" w:hAnsi="Times New Roman" w:cs="Times New Roman"/>
          <w:color w:val="000000"/>
          <w:sz w:val="28"/>
          <w:szCs w:val="28"/>
        </w:rPr>
        <w:t xml:space="preserve"> Експериментальна та клінічна фізіологія і біохімія.</w:t>
      </w:r>
      <w:r w:rsidRPr="00372DBA">
        <w:rPr>
          <w:rFonts w:ascii="Times New Roman" w:hAnsi="Times New Roman" w:cs="Times New Roman"/>
          <w:color w:val="000000"/>
          <w:sz w:val="28"/>
          <w:szCs w:val="28"/>
          <w:lang w:val="en-US"/>
        </w:rPr>
        <w:t xml:space="preserve"> </w:t>
      </w:r>
      <w:r w:rsidRPr="009E6C7E">
        <w:rPr>
          <w:rFonts w:ascii="Times New Roman" w:hAnsi="Times New Roman" w:cs="Times New Roman"/>
          <w:color w:val="000000"/>
          <w:sz w:val="28"/>
          <w:szCs w:val="28"/>
          <w:lang w:val="ru-RU"/>
        </w:rPr>
        <w:t xml:space="preserve">2017 </w:t>
      </w:r>
      <w:r w:rsidRPr="00372DBA">
        <w:rPr>
          <w:rFonts w:ascii="Times New Roman" w:hAnsi="Times New Roman" w:cs="Times New Roman"/>
          <w:color w:val="000000"/>
          <w:sz w:val="28"/>
          <w:szCs w:val="28"/>
        </w:rPr>
        <w:t xml:space="preserve">Лют 23; 80(4): </w:t>
      </w:r>
      <w:r w:rsidRPr="00372DBA">
        <w:rPr>
          <w:rFonts w:ascii="Times New Roman" w:hAnsi="Times New Roman" w:cs="Times New Roman"/>
          <w:sz w:val="28"/>
          <w:szCs w:val="28"/>
        </w:rPr>
        <w:t>5</w:t>
      </w:r>
      <w:r w:rsidRPr="00372DBA">
        <w:rPr>
          <w:rFonts w:ascii="Times New Roman" w:hAnsi="Times New Roman" w:cs="Times New Roman"/>
          <w:sz w:val="28"/>
          <w:szCs w:val="28"/>
          <w:lang w:val="ru-RU"/>
        </w:rPr>
        <w:t>0</w:t>
      </w:r>
      <w:r w:rsidRPr="00372DBA">
        <w:rPr>
          <w:rFonts w:ascii="Times New Roman" w:hAnsi="Times New Roman" w:cs="Times New Roman"/>
          <w:sz w:val="28"/>
          <w:szCs w:val="28"/>
        </w:rPr>
        <w:t>-53</w:t>
      </w:r>
      <w:r>
        <w:rPr>
          <w:rFonts w:ascii="Times New Roman" w:hAnsi="Times New Roman" w:cs="Times New Roman"/>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w:t>
      </w:r>
      <w:r w:rsidRPr="00372DBA">
        <w:rPr>
          <w:rFonts w:ascii="Times New Roman" w:eastAsia="Newton-Regular" w:hAnsi="Times New Roman" w:cs="Times New Roman"/>
          <w:sz w:val="28"/>
          <w:szCs w:val="28"/>
        </w:rPr>
        <w:t xml:space="preserve"> Іллюк ПО, Чернова НВ, Мицик ОІ. </w:t>
      </w:r>
      <w:r w:rsidRPr="00372DBA">
        <w:rPr>
          <w:rFonts w:ascii="Times New Roman" w:hAnsi="Times New Roman" w:cs="Times New Roman"/>
          <w:bCs/>
          <w:sz w:val="28"/>
          <w:szCs w:val="28"/>
        </w:rPr>
        <w:t xml:space="preserve">Рак нирки в україні: аналіз основних показників захворюваності та смертності. </w:t>
      </w:r>
      <w:r w:rsidRPr="00372DBA">
        <w:rPr>
          <w:rFonts w:ascii="Times New Roman" w:hAnsi="Times New Roman" w:cs="Times New Roman"/>
          <w:sz w:val="28"/>
          <w:szCs w:val="28"/>
        </w:rPr>
        <w:t>Медичний форум. 2016 Вер 10; 9(9): 42-44</w:t>
      </w:r>
      <w:r>
        <w:rPr>
          <w:rFonts w:ascii="Times New Roman" w:hAnsi="Times New Roman" w:cs="Times New Roman"/>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w:t>
      </w:r>
      <w:r>
        <w:rPr>
          <w:rFonts w:ascii="Times New Roman" w:hAnsi="Times New Roman" w:cs="Times New Roman"/>
          <w:sz w:val="28"/>
          <w:szCs w:val="28"/>
        </w:rPr>
        <w:t xml:space="preserve"> </w:t>
      </w:r>
      <w:r w:rsidRPr="001F0C51">
        <w:rPr>
          <w:rFonts w:ascii="Times New Roman" w:hAnsi="Times New Roman" w:cs="Times New Roman"/>
          <w:sz w:val="28"/>
          <w:szCs w:val="28"/>
        </w:rPr>
        <w:t>та підготовлений текст статті)</w:t>
      </w:r>
      <w:r w:rsidRPr="001F0C51">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color w:val="000000"/>
          <w:sz w:val="28"/>
          <w:szCs w:val="28"/>
        </w:rPr>
        <w:t xml:space="preserve">Мицик ЮО. </w:t>
      </w:r>
      <w:r w:rsidRPr="00372DBA">
        <w:rPr>
          <w:rFonts w:ascii="Times New Roman" w:hAnsi="Times New Roman" w:cs="Times New Roman"/>
          <w:sz w:val="28"/>
          <w:szCs w:val="28"/>
          <w:shd w:val="clear" w:color="auto" w:fill="FFFFFF"/>
        </w:rPr>
        <w:t>Роль диффузно-взвешенной визуализации магнитно-резонансной томографии в дифференци</w:t>
      </w:r>
      <w:r>
        <w:rPr>
          <w:rFonts w:ascii="Times New Roman" w:hAnsi="Times New Roman" w:cs="Times New Roman"/>
          <w:sz w:val="28"/>
          <w:szCs w:val="28"/>
          <w:shd w:val="clear" w:color="auto" w:fill="FFFFFF"/>
        </w:rPr>
        <w:t>альной диагностике злокачественных ново</w:t>
      </w:r>
      <w:r w:rsidRPr="00372DBA">
        <w:rPr>
          <w:rFonts w:ascii="Times New Roman" w:hAnsi="Times New Roman" w:cs="Times New Roman"/>
          <w:sz w:val="28"/>
          <w:szCs w:val="28"/>
          <w:shd w:val="clear" w:color="auto" w:fill="FFFFFF"/>
        </w:rPr>
        <w:t>образований почки. Наука молодых. 2014 Ноя 12; 4: 121-127.</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w:t>
      </w:r>
      <w:r w:rsidRPr="00372DBA">
        <w:rPr>
          <w:rFonts w:ascii="Times New Roman" w:hAnsi="Times New Roman" w:cs="Times New Roman"/>
          <w:sz w:val="28"/>
          <w:szCs w:val="28"/>
          <w:shd w:val="clear" w:color="auto" w:fill="FFFFFF"/>
          <w:lang w:val="en-US"/>
        </w:rPr>
        <w:t>Borys YB, Komnatska IM, Dutka IY, Shatynska-Mytsyk IS. Value of the diffusion-weighted MRI in the differential diagnostics of malignant and benign kidney neoplasms–our clinical experience. Pol J Radiol. 2014 Sep 1; 79:290-5</w:t>
      </w:r>
      <w:r>
        <w:rPr>
          <w:rFonts w:ascii="Times New Roman" w:hAnsi="Times New Roman" w:cs="Times New Roman"/>
          <w:sz w:val="28"/>
          <w:szCs w:val="28"/>
          <w:shd w:val="clear" w:color="auto" w:fill="FFFFFF"/>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1F0C51">
        <w:rPr>
          <w:rFonts w:ascii="Times New Roman" w:hAnsi="Times New Roman" w:cs="Times New Roman"/>
          <w:color w:val="000000"/>
          <w:sz w:val="28"/>
          <w:szCs w:val="28"/>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w:t>
      </w:r>
      <w:r w:rsidRPr="00372DBA">
        <w:rPr>
          <w:rFonts w:ascii="Times New Roman" w:hAnsi="Times New Roman" w:cs="Times New Roman"/>
          <w:sz w:val="28"/>
          <w:szCs w:val="28"/>
          <w:shd w:val="clear" w:color="auto" w:fill="FFFFFF"/>
          <w:lang w:val="en-US"/>
        </w:rPr>
        <w:t>Dutka IY, Komnatska IM, Górecki A, Borys YB, Shatynska -Mytsyk IS. Diffusion-weighted MRI of kidney in the diagnosis of clear cell renal cell carcinoma of various grades of differentiation. Journal of Pre-Clinical and Clinical Research. 2015 Jun 18: 9(1):30-35</w:t>
      </w:r>
      <w:r>
        <w:rPr>
          <w:rFonts w:ascii="Times New Roman" w:hAnsi="Times New Roman" w:cs="Times New Roman"/>
          <w:sz w:val="28"/>
          <w:szCs w:val="28"/>
          <w:shd w:val="clear" w:color="auto" w:fill="FFFFFF"/>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shd w:val="clear" w:color="auto" w:fill="FFFFFF"/>
          <w:lang w:val="en-US"/>
        </w:rPr>
        <w:t xml:space="preserve">. </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shd w:val="clear" w:color="auto" w:fill="FFFFFF"/>
          <w:lang w:val="en-US"/>
        </w:rPr>
        <w:t xml:space="preserve"> Dutka IY, Borys YB, Komnatska IM, Shatynska-Mytsyk IM, Farrooqi AA. Using the diffusion-weighted MRI for differentiation of the malignant and benign renal neoplasms. Advances in Urological Practice. 2016 </w:t>
      </w:r>
      <w:r w:rsidRPr="00372DBA">
        <w:rPr>
          <w:rFonts w:ascii="Times New Roman" w:hAnsi="Times New Roman" w:cs="Times New Roman"/>
          <w:sz w:val="28"/>
          <w:szCs w:val="28"/>
          <w:shd w:val="clear" w:color="auto" w:fill="FFFFFF"/>
          <w:lang w:val="en-US"/>
        </w:rPr>
        <w:lastRenderedPageBreak/>
        <w:t>Mar 13; 1: 23-32</w:t>
      </w:r>
      <w:r>
        <w:rPr>
          <w:rFonts w:ascii="Times New Roman" w:hAnsi="Times New Roman" w:cs="Times New Roman"/>
          <w:sz w:val="28"/>
          <w:szCs w:val="28"/>
          <w:shd w:val="clear" w:color="auto" w:fill="FFFFFF"/>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shd w:val="clear" w:color="auto" w:fill="FFFFFF"/>
          <w:lang w:val="en-US"/>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shd w:val="clear" w:color="auto" w:fill="FFFFFF"/>
          <w:lang w:val="en-US"/>
        </w:rPr>
        <w:t xml:space="preserve"> Dutka IY, Borys YB, Komnatska IM, Shatyns</w:t>
      </w:r>
      <w:r>
        <w:rPr>
          <w:rFonts w:ascii="Times New Roman" w:hAnsi="Times New Roman" w:cs="Times New Roman"/>
          <w:sz w:val="28"/>
          <w:szCs w:val="28"/>
          <w:shd w:val="clear" w:color="auto" w:fill="FFFFFF"/>
          <w:lang w:val="en-US"/>
        </w:rPr>
        <w:t>ka-Mytsyk IM, Farrooqi AA</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bCs/>
          <w:sz w:val="28"/>
          <w:szCs w:val="28"/>
          <w:shd w:val="clear" w:color="auto" w:fill="FFFFFF"/>
          <w:lang w:val="en-US" w:eastAsia="x-none"/>
        </w:rPr>
        <w:t>Renal cell carcinoma: applicability of the apparent coefficient of the diffusion‑weighted estimated by MRI for improving their</w:t>
      </w:r>
      <w:r w:rsidRPr="00372DBA">
        <w:rPr>
          <w:rFonts w:ascii="Times New Roman" w:hAnsi="Times New Roman" w:cs="Times New Roman"/>
          <w:color w:val="000000"/>
          <w:sz w:val="28"/>
          <w:szCs w:val="28"/>
          <w:lang w:val="en-US"/>
        </w:rPr>
        <w:t xml:space="preserve"> </w:t>
      </w:r>
      <w:r w:rsidRPr="00372DBA">
        <w:rPr>
          <w:rFonts w:ascii="Times New Roman" w:hAnsi="Times New Roman" w:cs="Times New Roman"/>
          <w:bCs/>
          <w:sz w:val="28"/>
          <w:szCs w:val="28"/>
          <w:shd w:val="clear" w:color="auto" w:fill="FFFFFF"/>
          <w:lang w:val="en-US" w:eastAsia="x-none"/>
        </w:rPr>
        <w:t>differential diagnosis, histologic subtyping, and differentiation grade.</w:t>
      </w:r>
      <w:r w:rsidRPr="00372DBA">
        <w:rPr>
          <w:rFonts w:ascii="Times New Roman" w:hAnsi="Times New Roman" w:cs="Times New Roman"/>
          <w:color w:val="000000"/>
          <w:sz w:val="28"/>
          <w:szCs w:val="28"/>
          <w:lang w:val="en-US"/>
        </w:rPr>
        <w:t xml:space="preserve"> </w:t>
      </w:r>
      <w:r w:rsidRPr="00372DBA">
        <w:rPr>
          <w:rFonts w:ascii="Times New Roman" w:hAnsi="Times New Roman" w:cs="Times New Roman"/>
          <w:sz w:val="28"/>
          <w:szCs w:val="28"/>
          <w:shd w:val="clear" w:color="auto" w:fill="FFFFFF"/>
        </w:rPr>
        <w:t>Int Urol Nephrol</w:t>
      </w:r>
      <w:r w:rsidRPr="00372DBA">
        <w:rPr>
          <w:rFonts w:ascii="Times New Roman" w:hAnsi="Times New Roman" w:cs="Times New Roman"/>
          <w:sz w:val="28"/>
          <w:szCs w:val="28"/>
          <w:shd w:val="clear" w:color="auto" w:fill="FFFFFF"/>
          <w:lang w:val="en-US"/>
        </w:rPr>
        <w:t>. 2017 Feb 12; 49(2):215-224</w:t>
      </w:r>
      <w:r>
        <w:rPr>
          <w:rFonts w:ascii="Times New Roman" w:hAnsi="Times New Roman" w:cs="Times New Roman"/>
          <w:sz w:val="28"/>
          <w:szCs w:val="28"/>
          <w:shd w:val="clear" w:color="auto" w:fill="FFFFFF"/>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shd w:val="clear" w:color="auto" w:fill="FFFFFF"/>
          <w:lang w:val="en-US"/>
        </w:rPr>
        <w:t>.</w:t>
      </w:r>
    </w:p>
    <w:p w:rsidR="00C9739D" w:rsidRPr="007876C9" w:rsidRDefault="00C9739D" w:rsidP="00C9739D">
      <w:pPr>
        <w:pStyle w:val="ListParagraph"/>
        <w:numPr>
          <w:ilvl w:val="0"/>
          <w:numId w:val="16"/>
        </w:numPr>
        <w:spacing w:after="0" w:line="360" w:lineRule="auto"/>
        <w:ind w:right="96"/>
        <w:jc w:val="both"/>
        <w:rPr>
          <w:rFonts w:ascii="Times New Roman" w:eastAsia="Times New Roman" w:hAnsi="Times New Roman" w:cs="Times New Roman"/>
          <w:sz w:val="28"/>
          <w:szCs w:val="28"/>
          <w:lang w:eastAsia="uk-UA"/>
        </w:rPr>
      </w:pPr>
      <w:r w:rsidRPr="007876C9">
        <w:rPr>
          <w:rFonts w:ascii="Times New Roman" w:eastAsia="Times New Roman" w:hAnsi="Times New Roman" w:cs="Times New Roman"/>
          <w:sz w:val="28"/>
          <w:szCs w:val="28"/>
          <w:lang w:eastAsia="uk-UA"/>
        </w:rPr>
        <w:t xml:space="preserve">Mytsyk Y, Dosenko V, Borys Y, Kucher A, </w:t>
      </w:r>
      <w:r>
        <w:rPr>
          <w:rFonts w:ascii="Times New Roman" w:eastAsia="Times New Roman" w:hAnsi="Times New Roman" w:cs="Times New Roman"/>
          <w:sz w:val="28"/>
          <w:szCs w:val="28"/>
          <w:lang w:eastAsia="uk-UA"/>
        </w:rPr>
        <w:t>Gazdikova K, Busselberg D</w:t>
      </w:r>
      <w:r w:rsidRPr="007876C9">
        <w:rPr>
          <w:rFonts w:ascii="Times New Roman" w:eastAsia="Times New Roman" w:hAnsi="Times New Roman" w:cs="Times New Roman"/>
          <w:sz w:val="28"/>
          <w:szCs w:val="28"/>
          <w:lang w:eastAsia="uk-UA"/>
        </w:rPr>
        <w:t>. MicroRNA-15a expression measured in urine samples as a potential biomarker of renal cell carcinoma. Int Urol Nephrol. 2018 Mar 16;1–9</w:t>
      </w:r>
      <w:r>
        <w:rPr>
          <w:rFonts w:ascii="Times New Roman" w:eastAsia="Times New Roman" w:hAnsi="Times New Roman" w:cs="Times New Roman"/>
          <w:sz w:val="28"/>
          <w:szCs w:val="28"/>
          <w:lang w:eastAsia="uk-UA"/>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lang w:eastAsia="uk-UA"/>
        </w:rPr>
        <w:t>.</w:t>
      </w:r>
    </w:p>
    <w:p w:rsidR="00C9739D" w:rsidRPr="00372DBA" w:rsidRDefault="00C9739D" w:rsidP="00C9739D">
      <w:pPr>
        <w:pStyle w:val="NoSpacing"/>
        <w:numPr>
          <w:ilvl w:val="0"/>
          <w:numId w:val="16"/>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w:t>
      </w:r>
      <w:r w:rsidRPr="00DC3BAE">
        <w:rPr>
          <w:rFonts w:ascii="Times New Roman" w:hAnsi="Times New Roman" w:cs="Times New Roman"/>
          <w:sz w:val="28"/>
          <w:szCs w:val="28"/>
        </w:rPr>
        <w:t xml:space="preserve"> </w:t>
      </w:r>
      <w:r w:rsidRPr="00372DBA">
        <w:rPr>
          <w:rFonts w:ascii="Times New Roman" w:hAnsi="Times New Roman" w:cs="Times New Roman"/>
          <w:sz w:val="28"/>
          <w:szCs w:val="28"/>
          <w:lang w:val="en-US"/>
        </w:rPr>
        <w:t>YO</w:t>
      </w:r>
      <w:r w:rsidRPr="00DC3BAE">
        <w:rPr>
          <w:rFonts w:ascii="Times New Roman" w:hAnsi="Times New Roman" w:cs="Times New Roman"/>
          <w:sz w:val="28"/>
          <w:szCs w:val="28"/>
        </w:rPr>
        <w:t>,</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Dutka</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IY</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Borys</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YB</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 xml:space="preserve">Diychuk </w:t>
      </w:r>
      <w:r w:rsidRPr="00372DBA">
        <w:rPr>
          <w:rFonts w:ascii="Times New Roman" w:hAnsi="Times New Roman" w:cs="Times New Roman"/>
          <w:sz w:val="28"/>
          <w:szCs w:val="28"/>
          <w:shd w:val="clear" w:color="auto" w:fill="FFFFFF"/>
          <w:lang w:val="en-US"/>
        </w:rPr>
        <w:t>YP</w:t>
      </w:r>
      <w:r w:rsidRPr="00372DBA">
        <w:rPr>
          <w:rFonts w:ascii="Times New Roman" w:hAnsi="Times New Roman" w:cs="Times New Roman"/>
          <w:sz w:val="28"/>
          <w:szCs w:val="28"/>
          <w:shd w:val="clear" w:color="auto" w:fill="FFFFFF"/>
        </w:rPr>
        <w:t>,</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 xml:space="preserve">Kowalskyy </w:t>
      </w:r>
      <w:r>
        <w:rPr>
          <w:rFonts w:ascii="Times New Roman" w:hAnsi="Times New Roman" w:cs="Times New Roman"/>
          <w:sz w:val="28"/>
          <w:szCs w:val="28"/>
          <w:shd w:val="clear" w:color="auto" w:fill="FFFFFF"/>
          <w:lang w:val="en-US"/>
        </w:rPr>
        <w:t>VV</w:t>
      </w:r>
      <w:r w:rsidRPr="00DC3BA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Pasichnyk</w:t>
      </w:r>
      <w:r w:rsidRPr="00DC3BA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SM</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color w:val="000000"/>
          <w:sz w:val="28"/>
          <w:szCs w:val="28"/>
          <w:shd w:val="clear" w:color="auto" w:fill="FFFFFF"/>
          <w:lang w:val="en-US"/>
        </w:rPr>
        <w:t xml:space="preserve">Potential of application of the apparent diffusion coefficient as the imaging biomarker of the clear cell renal cell carcinoma of various grades of differentiation. </w:t>
      </w:r>
      <w:r w:rsidRPr="00372DBA">
        <w:rPr>
          <w:rFonts w:ascii="Times New Roman" w:eastAsia="Times New Roman" w:hAnsi="Times New Roman" w:cs="Times New Roman"/>
          <w:color w:val="000000"/>
          <w:sz w:val="28"/>
          <w:szCs w:val="28"/>
          <w:lang w:eastAsia="uk-UA"/>
        </w:rPr>
        <w:t>European Journal of Medical Technologies</w:t>
      </w:r>
      <w:r w:rsidRPr="00372DBA">
        <w:rPr>
          <w:rFonts w:ascii="Times New Roman" w:eastAsia="Times New Roman" w:hAnsi="Times New Roman" w:cs="Times New Roman"/>
          <w:color w:val="000000"/>
          <w:sz w:val="28"/>
          <w:szCs w:val="28"/>
          <w:lang w:val="en-US" w:eastAsia="uk-UA"/>
        </w:rPr>
        <w:t xml:space="preserve">. 2017 Sept 21; </w:t>
      </w:r>
      <w:r w:rsidRPr="00372DBA">
        <w:rPr>
          <w:rFonts w:ascii="Times New Roman" w:eastAsia="Times New Roman" w:hAnsi="Times New Roman" w:cs="Times New Roman"/>
          <w:color w:val="000000"/>
          <w:sz w:val="28"/>
          <w:szCs w:val="28"/>
          <w:lang w:eastAsia="uk-UA"/>
        </w:rPr>
        <w:t>3(16): 52-57</w:t>
      </w:r>
      <w:r>
        <w:rPr>
          <w:rFonts w:ascii="Times New Roman" w:eastAsia="Times New Roman" w:hAnsi="Times New Roman" w:cs="Times New Roman"/>
          <w:color w:val="000000"/>
          <w:sz w:val="28"/>
          <w:szCs w:val="28"/>
          <w:lang w:eastAsia="uk-UA"/>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eastAsia="Times New Roman" w:hAnsi="Times New Roman" w:cs="Times New Roman"/>
          <w:color w:val="000000"/>
          <w:sz w:val="28"/>
          <w:szCs w:val="28"/>
          <w:lang w:eastAsia="uk-UA"/>
        </w:rPr>
        <w:t>.</w:t>
      </w:r>
    </w:p>
    <w:p w:rsidR="007B5A1D" w:rsidRPr="007B5A1D" w:rsidRDefault="00C9739D" w:rsidP="007B5A1D">
      <w:pPr>
        <w:pStyle w:val="NoSpacing"/>
        <w:numPr>
          <w:ilvl w:val="0"/>
          <w:numId w:val="16"/>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sz w:val="28"/>
          <w:szCs w:val="28"/>
          <w:shd w:val="clear" w:color="auto" w:fill="FFFFFF"/>
        </w:rPr>
        <w:t xml:space="preserve">Dutka IY, Borys YB, </w:t>
      </w:r>
      <w:r w:rsidRPr="00372DBA">
        <w:rPr>
          <w:rFonts w:ascii="Times New Roman" w:hAnsi="Times New Roman" w:cs="Times New Roman"/>
          <w:sz w:val="28"/>
          <w:szCs w:val="28"/>
          <w:shd w:val="clear" w:color="auto" w:fill="FFFFFF"/>
          <w:lang w:val="en-US"/>
        </w:rPr>
        <w:t>Maksymovych</w:t>
      </w:r>
      <w:r w:rsidRPr="00372DBA">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I</w:t>
      </w:r>
      <w:r w:rsidRPr="00372DBA">
        <w:rPr>
          <w:rFonts w:ascii="Times New Roman" w:hAnsi="Times New Roman" w:cs="Times New Roman"/>
          <w:sz w:val="28"/>
          <w:szCs w:val="28"/>
          <w:shd w:val="clear" w:color="auto" w:fill="FFFFFF"/>
        </w:rPr>
        <w:t>R,</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sz w:val="28"/>
          <w:szCs w:val="28"/>
          <w:shd w:val="clear" w:color="auto" w:fill="FFFFFF"/>
        </w:rPr>
        <w:t xml:space="preserve">Caprnda </w:t>
      </w:r>
      <w:r w:rsidRPr="00372DBA">
        <w:rPr>
          <w:rFonts w:ascii="Times New Roman" w:hAnsi="Times New Roman" w:cs="Times New Roman"/>
          <w:sz w:val="28"/>
          <w:szCs w:val="28"/>
          <w:shd w:val="clear" w:color="auto" w:fill="FFFFFF"/>
          <w:lang w:val="en-US"/>
        </w:rPr>
        <w:t>M</w:t>
      </w:r>
      <w:r w:rsidRPr="00372DBA">
        <w:rPr>
          <w:rFonts w:ascii="Times New Roman" w:hAnsi="Times New Roman" w:cs="Times New Roman"/>
          <w:sz w:val="28"/>
          <w:szCs w:val="28"/>
          <w:shd w:val="clear" w:color="auto" w:fill="FFFFFF"/>
        </w:rPr>
        <w:t>,</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sz w:val="28"/>
          <w:szCs w:val="28"/>
          <w:shd w:val="clear" w:color="auto" w:fill="FFFFFF"/>
        </w:rPr>
        <w:t>Gazdikova</w:t>
      </w:r>
      <w:r>
        <w:rPr>
          <w:rFonts w:ascii="Times New Roman" w:hAnsi="Times New Roman" w:cs="Times New Roman"/>
          <w:sz w:val="28"/>
          <w:szCs w:val="28"/>
          <w:shd w:val="clear" w:color="auto" w:fill="FFFFFF"/>
          <w:lang w:val="en-US"/>
        </w:rPr>
        <w:t xml:space="preserve"> K</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color w:val="000000"/>
          <w:sz w:val="28"/>
          <w:szCs w:val="28"/>
          <w:shd w:val="clear" w:color="auto" w:fill="FFFFFF"/>
          <w:lang w:val="en-US"/>
        </w:rPr>
        <w:t>Differential diagnosis of the small renal masses: role of the apparent diffusion coefficient of the diffusion-weighted MRI.</w:t>
      </w:r>
      <w:r w:rsidRPr="00372DBA">
        <w:rPr>
          <w:rFonts w:ascii="Times New Roman" w:hAnsi="Times New Roman" w:cs="Times New Roman"/>
          <w:sz w:val="28"/>
          <w:szCs w:val="28"/>
          <w:lang w:eastAsia="uk-UA"/>
        </w:rPr>
        <w:t xml:space="preserve"> Int Urol Nephrol. 2018 Feb</w:t>
      </w:r>
      <w:r w:rsidRPr="009E6C7E">
        <w:rPr>
          <w:rFonts w:ascii="Times New Roman" w:hAnsi="Times New Roman" w:cs="Times New Roman"/>
          <w:sz w:val="28"/>
          <w:szCs w:val="28"/>
          <w:lang w:eastAsia="uk-UA"/>
        </w:rPr>
        <w:t xml:space="preserve"> 1</w:t>
      </w:r>
      <w:r w:rsidRPr="00372DBA">
        <w:rPr>
          <w:rFonts w:ascii="Times New Roman" w:hAnsi="Times New Roman" w:cs="Times New Roman"/>
          <w:sz w:val="28"/>
          <w:szCs w:val="28"/>
          <w:lang w:eastAsia="uk-UA"/>
        </w:rPr>
        <w:t>;50(2):197-204</w:t>
      </w:r>
      <w:r>
        <w:rPr>
          <w:rFonts w:ascii="Times New Roman" w:hAnsi="Times New Roman" w:cs="Times New Roman"/>
          <w:sz w:val="28"/>
          <w:szCs w:val="28"/>
          <w:lang w:eastAsia="uk-UA"/>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lang w:eastAsia="uk-UA"/>
        </w:rPr>
        <w:t>.</w:t>
      </w:r>
    </w:p>
    <w:p w:rsidR="007B5A1D" w:rsidRPr="007B5A1D" w:rsidRDefault="007B5A1D" w:rsidP="007B5A1D">
      <w:pPr>
        <w:tabs>
          <w:tab w:val="left" w:pos="1080"/>
        </w:tabs>
        <w:spacing w:line="360" w:lineRule="auto"/>
        <w:jc w:val="both"/>
        <w:rPr>
          <w:rFonts w:ascii="Times New Roman" w:hAnsi="Times New Roman" w:cs="Times New Roman"/>
          <w:sz w:val="28"/>
          <w:szCs w:val="28"/>
        </w:rPr>
      </w:pPr>
      <w:r w:rsidRPr="007B5A1D">
        <w:rPr>
          <w:rFonts w:ascii="Times New Roman" w:hAnsi="Times New Roman" w:cs="Times New Roman"/>
          <w:sz w:val="28"/>
          <w:szCs w:val="28"/>
        </w:rPr>
        <w:t>Наукові праці, які засвідчують апробацію матеріалів дисертації:</w:t>
      </w:r>
    </w:p>
    <w:p w:rsidR="00C9739D" w:rsidRPr="009E6C7E" w:rsidRDefault="00C9739D" w:rsidP="007B5A1D">
      <w:pPr>
        <w:pStyle w:val="NoSpacing"/>
        <w:numPr>
          <w:ilvl w:val="0"/>
          <w:numId w:val="20"/>
        </w:numPr>
        <w:spacing w:line="360" w:lineRule="auto"/>
        <w:jc w:val="both"/>
        <w:rPr>
          <w:rFonts w:ascii="Times New Roman" w:hAnsi="Times New Roman" w:cs="Times New Roman"/>
          <w:color w:val="000000"/>
          <w:sz w:val="28"/>
          <w:szCs w:val="28"/>
          <w:lang w:val="ru-RU"/>
        </w:rPr>
      </w:pPr>
      <w:r w:rsidRPr="007B5A1D">
        <w:rPr>
          <w:rFonts w:ascii="Times New Roman" w:hAnsi="Times New Roman" w:cs="Times New Roman"/>
          <w:sz w:val="28"/>
          <w:szCs w:val="28"/>
        </w:rPr>
        <w:t xml:space="preserve">Мицик ЮО, Ільчишин ОС, Дац ІВ, Мицик ОІ, Чернова НВ. </w:t>
      </w:r>
      <w:r w:rsidRPr="00372DBA">
        <w:rPr>
          <w:rFonts w:ascii="Times New Roman" w:hAnsi="Times New Roman" w:cs="Times New Roman"/>
          <w:bCs/>
          <w:sz w:val="28"/>
          <w:szCs w:val="28"/>
          <w:lang w:val="ru-RU"/>
        </w:rPr>
        <w:t xml:space="preserve">Использование диффузно-взвешенной визуализации магнитно-резонансной томографии для диагностики почечно-клеточного рака. </w:t>
      </w:r>
      <w:r w:rsidRPr="00372DBA">
        <w:rPr>
          <w:rFonts w:ascii="Times New Roman" w:eastAsia="TimesNewRomanPS-BoldMT" w:hAnsi="Times New Roman" w:cs="Times New Roman"/>
          <w:bCs/>
          <w:sz w:val="28"/>
          <w:szCs w:val="28"/>
          <w:lang w:val="ru-RU"/>
        </w:rPr>
        <w:t>Сборник научных статей Республиканской научно-практической конференции посвященной 25-</w:t>
      </w:r>
      <w:r w:rsidRPr="00372DBA">
        <w:rPr>
          <w:rFonts w:ascii="Times New Roman" w:eastAsia="TimesNewRomanPS-BoldMT" w:hAnsi="Times New Roman" w:cs="Times New Roman"/>
          <w:bCs/>
          <w:sz w:val="28"/>
          <w:szCs w:val="28"/>
          <w:lang w:val="ru-RU"/>
        </w:rPr>
        <w:lastRenderedPageBreak/>
        <w:t>летию основания учреждения образования «Гомельский государственный медицинский университет»; 2015</w:t>
      </w:r>
      <w:r w:rsidRPr="009E6C7E">
        <w:rPr>
          <w:rFonts w:ascii="Times New Roman" w:eastAsia="TimesNewRomanPS-BoldMT" w:hAnsi="Times New Roman" w:cs="Times New Roman"/>
          <w:bCs/>
          <w:sz w:val="28"/>
          <w:szCs w:val="28"/>
          <w:lang w:val="ru-RU"/>
        </w:rPr>
        <w:t xml:space="preserve"> </w:t>
      </w:r>
      <w:r w:rsidRPr="00372DBA">
        <w:rPr>
          <w:rFonts w:ascii="Times New Roman" w:eastAsia="TimesNewRomanPS-BoldMT" w:hAnsi="Times New Roman" w:cs="Times New Roman"/>
          <w:bCs/>
          <w:sz w:val="28"/>
          <w:szCs w:val="28"/>
        </w:rPr>
        <w:t xml:space="preserve">Ноя </w:t>
      </w:r>
      <w:r w:rsidRPr="009E6C7E">
        <w:rPr>
          <w:rFonts w:ascii="Times New Roman" w:eastAsia="TimesNewRomanPS-BoldMT" w:hAnsi="Times New Roman" w:cs="Times New Roman"/>
          <w:bCs/>
          <w:sz w:val="28"/>
          <w:szCs w:val="28"/>
          <w:lang w:val="ru-RU"/>
        </w:rPr>
        <w:t xml:space="preserve">5-6 </w:t>
      </w:r>
      <w:r w:rsidRPr="00372DBA">
        <w:rPr>
          <w:rFonts w:ascii="Times New Roman" w:eastAsia="TimesNewRomanPS-BoldMT" w:hAnsi="Times New Roman" w:cs="Times New Roman"/>
          <w:bCs/>
          <w:sz w:val="28"/>
          <w:szCs w:val="28"/>
          <w:lang w:val="ru-RU"/>
        </w:rPr>
        <w:t>; Гомель, Беларусь; с.699-700.</w:t>
      </w:r>
    </w:p>
    <w:p w:rsidR="00C9739D" w:rsidRPr="00372DBA" w:rsidRDefault="00C9739D" w:rsidP="007B5A1D">
      <w:pPr>
        <w:pStyle w:val="NoSpacing"/>
        <w:numPr>
          <w:ilvl w:val="0"/>
          <w:numId w:val="20"/>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w:t>
      </w:r>
      <w:r w:rsidRPr="009E6C7E">
        <w:rPr>
          <w:rFonts w:ascii="Times New Roman" w:hAnsi="Times New Roman" w:cs="Times New Roman"/>
          <w:sz w:val="28"/>
          <w:szCs w:val="28"/>
          <w:lang w:val="ru-RU"/>
        </w:rPr>
        <w:t xml:space="preserve"> </w:t>
      </w:r>
      <w:r w:rsidRPr="00372DBA">
        <w:rPr>
          <w:rFonts w:ascii="Times New Roman" w:hAnsi="Times New Roman" w:cs="Times New Roman"/>
          <w:sz w:val="28"/>
          <w:szCs w:val="28"/>
          <w:lang w:val="en-US"/>
        </w:rPr>
        <w:t>YO</w:t>
      </w:r>
      <w:r w:rsidRPr="009E6C7E">
        <w:rPr>
          <w:rFonts w:ascii="Times New Roman" w:hAnsi="Times New Roman" w:cs="Times New Roman"/>
          <w:sz w:val="28"/>
          <w:szCs w:val="28"/>
          <w:lang w:val="ru-RU"/>
        </w:rPr>
        <w:t xml:space="preserve">, </w:t>
      </w:r>
      <w:r w:rsidRPr="00372DBA">
        <w:rPr>
          <w:rFonts w:ascii="Times New Roman" w:hAnsi="Times New Roman" w:cs="Times New Roman"/>
          <w:sz w:val="28"/>
          <w:szCs w:val="28"/>
          <w:shd w:val="clear" w:color="auto" w:fill="FFFFFF"/>
          <w:lang w:val="en-US"/>
        </w:rPr>
        <w:t>Borys</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YB</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Dutka</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IY</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Komnatska</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IM</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Datz</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IV</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Shatynska</w:t>
      </w:r>
      <w:r w:rsidRPr="009E6C7E">
        <w:rPr>
          <w:rFonts w:ascii="Times New Roman" w:hAnsi="Times New Roman" w:cs="Times New Roman"/>
          <w:sz w:val="28"/>
          <w:szCs w:val="28"/>
          <w:shd w:val="clear" w:color="auto" w:fill="FFFFFF"/>
          <w:lang w:val="ru-RU"/>
        </w:rPr>
        <w:t>-</w:t>
      </w:r>
      <w:r w:rsidRPr="00372DBA">
        <w:rPr>
          <w:rFonts w:ascii="Times New Roman" w:hAnsi="Times New Roman" w:cs="Times New Roman"/>
          <w:sz w:val="28"/>
          <w:szCs w:val="28"/>
          <w:shd w:val="clear" w:color="auto" w:fill="FFFFFF"/>
          <w:lang w:val="en-US"/>
        </w:rPr>
        <w:t>Mytsyk</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IS</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Diffusion-weighted imaging of the renal cell carcinoma: applicability and limitations of the apparent diffusion coefficient in differential diagnostics of the malignant renal lesions. Insights into Imaging Supplement 6(1). Materials of European Congress of Radiology 2015 Mar 4-8; Vienna, Austria; 2015; p.304.</w:t>
      </w:r>
    </w:p>
    <w:p w:rsidR="00C9739D" w:rsidRPr="00372DBA" w:rsidRDefault="00C9739D" w:rsidP="007B5A1D">
      <w:pPr>
        <w:pStyle w:val="NoSpacing"/>
        <w:numPr>
          <w:ilvl w:val="0"/>
          <w:numId w:val="20"/>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w:t>
      </w:r>
      <w:r w:rsidRPr="00372DBA">
        <w:rPr>
          <w:rFonts w:ascii="Times New Roman" w:hAnsi="Times New Roman" w:cs="Times New Roman"/>
          <w:sz w:val="28"/>
          <w:szCs w:val="28"/>
          <w:shd w:val="clear" w:color="auto" w:fill="FFFFFF"/>
          <w:lang w:val="en-US"/>
        </w:rPr>
        <w:t>Borys YB, Dutka IY, Komnatska IM, Dat</w:t>
      </w:r>
      <w:r>
        <w:rPr>
          <w:rFonts w:ascii="Times New Roman" w:hAnsi="Times New Roman" w:cs="Times New Roman"/>
          <w:sz w:val="28"/>
          <w:szCs w:val="28"/>
          <w:shd w:val="clear" w:color="auto" w:fill="FFFFFF"/>
          <w:lang w:val="en-US"/>
        </w:rPr>
        <w:t>z IV, Shatynska-Mytsyk IS</w:t>
      </w:r>
      <w:r w:rsidRPr="00372DBA">
        <w:rPr>
          <w:rFonts w:ascii="Times New Roman" w:hAnsi="Times New Roman" w:cs="Times New Roman"/>
          <w:sz w:val="28"/>
          <w:szCs w:val="28"/>
          <w:shd w:val="clear" w:color="auto" w:fill="FFFFFF"/>
          <w:lang w:val="en-US"/>
        </w:rPr>
        <w:t>. The application of the diffusion-weighted MRI and the apparent diffusion coefficient in differential diagnostics of the renal masses: the possibilities and the limitations in prediction of the histologic subtype and grade. European Urology Supplements 14(2). Materials of Congress of European Association of Urology 2015 Mar 20-24; Madrid, Spain; p. 419.</w:t>
      </w:r>
    </w:p>
    <w:p w:rsidR="00C9739D" w:rsidRPr="00372DBA" w:rsidRDefault="00C9739D" w:rsidP="007B5A1D">
      <w:pPr>
        <w:pStyle w:val="NoSpacing"/>
        <w:numPr>
          <w:ilvl w:val="0"/>
          <w:numId w:val="20"/>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w:t>
      </w:r>
      <w:r w:rsidRPr="00372DBA">
        <w:rPr>
          <w:rFonts w:ascii="Times New Roman" w:hAnsi="Times New Roman" w:cs="Times New Roman"/>
          <w:sz w:val="28"/>
          <w:szCs w:val="28"/>
          <w:shd w:val="clear" w:color="auto" w:fill="FFFFFF"/>
          <w:lang w:val="en-US"/>
        </w:rPr>
        <w:t>Borys YB, Dutka IY, Komnatska IM,</w:t>
      </w:r>
      <w:r w:rsidRPr="00372DBA">
        <w:rPr>
          <w:rFonts w:ascii="Times New Roman" w:hAnsi="Times New Roman" w:cs="Times New Roman"/>
          <w:sz w:val="28"/>
          <w:szCs w:val="28"/>
          <w:lang w:val="en-US"/>
        </w:rPr>
        <w:t xml:space="preserve"> Mytsyk OI, </w:t>
      </w:r>
      <w:r w:rsidRPr="00372DBA">
        <w:rPr>
          <w:rFonts w:ascii="Times New Roman" w:hAnsi="Times New Roman" w:cs="Times New Roman"/>
          <w:sz w:val="28"/>
          <w:szCs w:val="28"/>
          <w:shd w:val="clear" w:color="auto" w:fill="FFFFFF"/>
          <w:lang w:val="en-US"/>
        </w:rPr>
        <w:t xml:space="preserve">Chernova NV. </w:t>
      </w:r>
      <w:r w:rsidRPr="00372DBA">
        <w:rPr>
          <w:rFonts w:ascii="Times New Roman" w:eastAsia="Times New Roman" w:hAnsi="Times New Roman" w:cs="Times New Roman"/>
          <w:bCs/>
          <w:sz w:val="28"/>
          <w:szCs w:val="28"/>
          <w:shd w:val="clear" w:color="auto" w:fill="FFFFFF"/>
          <w:lang w:val="en-US" w:eastAsia="x-none"/>
        </w:rPr>
        <w:t xml:space="preserve">Investigation of the renal lesions using the diffusion-weighted magnetic resonance imaging and the apparent diffusion coefficient. </w:t>
      </w:r>
      <w:r w:rsidRPr="00372DBA">
        <w:rPr>
          <w:rFonts w:ascii="Times New Roman" w:hAnsi="Times New Roman" w:cs="Times New Roman"/>
          <w:sz w:val="28"/>
          <w:szCs w:val="28"/>
          <w:shd w:val="clear" w:color="auto" w:fill="FFFFFF"/>
          <w:lang w:val="en-US"/>
        </w:rPr>
        <w:t xml:space="preserve">Central European Journal of Urology Supplement 1. </w:t>
      </w:r>
      <w:r w:rsidRPr="00372DBA">
        <w:rPr>
          <w:rFonts w:ascii="Times New Roman" w:eastAsia="Times New Roman" w:hAnsi="Times New Roman" w:cs="Times New Roman"/>
          <w:bCs/>
          <w:sz w:val="28"/>
          <w:szCs w:val="28"/>
          <w:shd w:val="clear" w:color="auto" w:fill="FFFFFF"/>
          <w:lang w:val="en-US" w:eastAsia="x-none"/>
        </w:rPr>
        <w:t xml:space="preserve">Materials of the 46-th Scientific Congress of the Polish Urological Association; 2016 Jun 22-24; </w:t>
      </w:r>
      <w:r w:rsidRPr="00372DBA">
        <w:rPr>
          <w:rFonts w:ascii="Times New Roman" w:hAnsi="Times New Roman" w:cs="Times New Roman"/>
          <w:sz w:val="28"/>
          <w:szCs w:val="28"/>
          <w:lang w:val="en-US" w:eastAsia="uk-UA"/>
        </w:rPr>
        <w:t>Katowice, Poland; p. 20.</w:t>
      </w:r>
    </w:p>
    <w:p w:rsidR="00C9739D" w:rsidRPr="00372DBA" w:rsidRDefault="00C9739D" w:rsidP="007B5A1D">
      <w:pPr>
        <w:pStyle w:val="NoSpacing"/>
        <w:numPr>
          <w:ilvl w:val="0"/>
          <w:numId w:val="20"/>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Dosenko VE, Borys YB, </w:t>
      </w:r>
      <w:r w:rsidRPr="00372DBA">
        <w:rPr>
          <w:rFonts w:ascii="Times New Roman" w:hAnsi="Times New Roman" w:cs="Times New Roman"/>
          <w:color w:val="000000"/>
          <w:sz w:val="28"/>
          <w:szCs w:val="28"/>
          <w:lang w:val="en-US"/>
        </w:rPr>
        <w:t>Datz IV,</w:t>
      </w:r>
      <w:r w:rsidRPr="00372DBA">
        <w:rPr>
          <w:rFonts w:ascii="Times New Roman" w:hAnsi="Times New Roman" w:cs="Times New Roman"/>
          <w:sz w:val="28"/>
          <w:szCs w:val="28"/>
          <w:lang w:val="en-US"/>
        </w:rPr>
        <w:t xml:space="preserve"> Pasichnyk SM. </w:t>
      </w:r>
      <w:r w:rsidRPr="00372DBA">
        <w:rPr>
          <w:rFonts w:ascii="Times New Roman" w:hAnsi="Times New Roman" w:cs="Times New Roman"/>
          <w:bCs/>
          <w:sz w:val="28"/>
          <w:szCs w:val="28"/>
          <w:lang w:val="en-US" w:eastAsia="uk-UA"/>
        </w:rPr>
        <w:t>Diagnostic value of measured in urine MicroRNA-15a in patients with the renal cell carcinoma.</w:t>
      </w:r>
      <w:r w:rsidRPr="00372DBA">
        <w:rPr>
          <w:rFonts w:ascii="Times New Roman" w:hAnsi="Times New Roman" w:cs="Times New Roman"/>
          <w:sz w:val="28"/>
          <w:szCs w:val="28"/>
          <w:lang w:val="en-US" w:eastAsia="uk-UA"/>
        </w:rPr>
        <w:t xml:space="preserve"> Materials of the 47 Congress of Polish Society of Urology; 2017 Jun 21; Katowice; p. 77.</w:t>
      </w:r>
    </w:p>
    <w:p w:rsidR="00C9739D" w:rsidRPr="009E6C7E" w:rsidRDefault="00C9739D" w:rsidP="007B5A1D">
      <w:pPr>
        <w:pStyle w:val="NoSpacing"/>
        <w:numPr>
          <w:ilvl w:val="0"/>
          <w:numId w:val="20"/>
        </w:numPr>
        <w:spacing w:line="360" w:lineRule="auto"/>
        <w:jc w:val="both"/>
        <w:rPr>
          <w:rFonts w:ascii="Times New Roman" w:hAnsi="Times New Roman" w:cs="Times New Roman"/>
          <w:color w:val="000000"/>
          <w:sz w:val="28"/>
          <w:szCs w:val="28"/>
          <w:lang w:val="ru-RU"/>
        </w:rPr>
      </w:pPr>
      <w:r w:rsidRPr="00372DBA">
        <w:rPr>
          <w:rFonts w:ascii="Times New Roman" w:hAnsi="Times New Roman" w:cs="Times New Roman"/>
          <w:sz w:val="28"/>
          <w:szCs w:val="28"/>
        </w:rPr>
        <w:t>Мицик ЮО, Дутка ІЮ, Борис ЮБ, Комнаць</w:t>
      </w:r>
      <w:r>
        <w:rPr>
          <w:rFonts w:ascii="Times New Roman" w:hAnsi="Times New Roman" w:cs="Times New Roman"/>
          <w:sz w:val="28"/>
          <w:szCs w:val="28"/>
        </w:rPr>
        <w:t>ка ІМ, Іллюк ПО, Мицик ОІ</w:t>
      </w:r>
      <w:r w:rsidRPr="00372DBA">
        <w:rPr>
          <w:rFonts w:ascii="Times New Roman" w:hAnsi="Times New Roman" w:cs="Times New Roman"/>
          <w:sz w:val="28"/>
          <w:szCs w:val="28"/>
        </w:rPr>
        <w:t xml:space="preserve">. Застосування променевих біомаркерів МРТ для діагностики локального рецидиву при локалізованому чи локально-розповсюдженому нирково-клітинному раку після нефректомії. </w:t>
      </w:r>
      <w:r w:rsidRPr="00372DBA">
        <w:rPr>
          <w:rFonts w:ascii="Times New Roman" w:hAnsi="Times New Roman" w:cs="Times New Roman"/>
          <w:sz w:val="28"/>
          <w:szCs w:val="28"/>
          <w:shd w:val="clear" w:color="auto" w:fill="FFFFFF"/>
        </w:rPr>
        <w:t xml:space="preserve">Матеріали </w:t>
      </w:r>
      <w:r w:rsidRPr="00372DBA">
        <w:rPr>
          <w:rFonts w:ascii="Times New Roman" w:hAnsi="Times New Roman" w:cs="Times New Roman"/>
          <w:sz w:val="28"/>
          <w:szCs w:val="28"/>
          <w:shd w:val="clear" w:color="auto" w:fill="FFFFFF"/>
          <w:lang w:val="en-US"/>
        </w:rPr>
        <w:t>XVI</w:t>
      </w:r>
      <w:r w:rsidRPr="00372DBA">
        <w:rPr>
          <w:rFonts w:ascii="Times New Roman" w:hAnsi="Times New Roman" w:cs="Times New Roman"/>
          <w:sz w:val="28"/>
          <w:szCs w:val="28"/>
          <w:shd w:val="clear" w:color="auto" w:fill="FFFFFF"/>
        </w:rPr>
        <w:t xml:space="preserve"> З’їзду Всеукраїнського лікарського товариства; 2017 Вер 28; Кам’янець-Подільський; с.165-166.</w:t>
      </w:r>
    </w:p>
    <w:p w:rsidR="00C9739D" w:rsidRPr="00372DBA" w:rsidRDefault="00C9739D" w:rsidP="007B5A1D">
      <w:pPr>
        <w:pStyle w:val="NoSpacing"/>
        <w:numPr>
          <w:ilvl w:val="0"/>
          <w:numId w:val="20"/>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 xml:space="preserve">Мицик ЮО. Тканинна експресія мікроРНК-15: новітній прогностичний молекулярний біомаркер нирково-клітинного раку. </w:t>
      </w:r>
      <w:r w:rsidRPr="00372DBA">
        <w:rPr>
          <w:rFonts w:ascii="Times New Roman" w:hAnsi="Times New Roman" w:cs="Times New Roman"/>
          <w:sz w:val="28"/>
          <w:szCs w:val="28"/>
          <w:shd w:val="clear" w:color="auto" w:fill="FFFFFF"/>
        </w:rPr>
        <w:t xml:space="preserve">Матеріали </w:t>
      </w:r>
      <w:r w:rsidRPr="00372DBA">
        <w:rPr>
          <w:rFonts w:ascii="Times New Roman" w:hAnsi="Times New Roman" w:cs="Times New Roman"/>
          <w:sz w:val="28"/>
          <w:szCs w:val="28"/>
          <w:shd w:val="clear" w:color="auto" w:fill="FFFFFF"/>
          <w:lang w:val="en-US"/>
        </w:rPr>
        <w:t>VI</w:t>
      </w:r>
      <w:r w:rsidRPr="00372DBA">
        <w:rPr>
          <w:rFonts w:ascii="Times New Roman" w:hAnsi="Times New Roman" w:cs="Times New Roman"/>
          <w:sz w:val="28"/>
          <w:szCs w:val="28"/>
          <w:shd w:val="clear" w:color="auto" w:fill="FFFFFF"/>
        </w:rPr>
        <w:t xml:space="preserve"> Всеукраїнської науково-практичної конференції «Наукові дослідження: </w:t>
      </w:r>
      <w:r w:rsidRPr="00372DBA">
        <w:rPr>
          <w:rFonts w:ascii="Times New Roman" w:hAnsi="Times New Roman" w:cs="Times New Roman"/>
          <w:sz w:val="28"/>
          <w:szCs w:val="28"/>
          <w:shd w:val="clear" w:color="auto" w:fill="FFFFFF"/>
        </w:rPr>
        <w:lastRenderedPageBreak/>
        <w:t>перспективи інновацій у суспільстві і розвитку технологій». 2017 Лист 24-25; Харків; с.42-45.</w:t>
      </w:r>
    </w:p>
    <w:p w:rsidR="00C9739D" w:rsidRPr="009E6C7E" w:rsidRDefault="00C9739D" w:rsidP="007B5A1D">
      <w:pPr>
        <w:pStyle w:val="NoSpacing"/>
        <w:numPr>
          <w:ilvl w:val="0"/>
          <w:numId w:val="20"/>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Роль променевих біомаркерів у передбаченні ефективності проведеної селективної емболізації ниркових артерій у хворих із нирково-клітинним раком. </w:t>
      </w:r>
      <w:r w:rsidRPr="00372DBA">
        <w:rPr>
          <w:rFonts w:ascii="Times New Roman" w:hAnsi="Times New Roman" w:cs="Times New Roman"/>
          <w:sz w:val="28"/>
          <w:szCs w:val="28"/>
          <w:shd w:val="clear" w:color="auto" w:fill="FFFFFF"/>
        </w:rPr>
        <w:t>Матеріали ІІ міжнародної наукової конференції студентів та молодих вчених пам’яті професора І.І.Мітюка. 2017 Гру 08; Вінниця. с.5-6.</w:t>
      </w:r>
    </w:p>
    <w:p w:rsidR="00C9739D" w:rsidRPr="009E6C7E" w:rsidRDefault="00C9739D" w:rsidP="007B5A1D">
      <w:pPr>
        <w:pStyle w:val="NoSpacing"/>
        <w:numPr>
          <w:ilvl w:val="0"/>
          <w:numId w:val="20"/>
        </w:numPr>
        <w:spacing w:line="360" w:lineRule="auto"/>
        <w:jc w:val="both"/>
        <w:rPr>
          <w:rFonts w:ascii="Times New Roman" w:hAnsi="Times New Roman" w:cs="Times New Roman"/>
          <w:color w:val="000000"/>
          <w:sz w:val="28"/>
          <w:szCs w:val="28"/>
          <w:lang w:val="ru-RU"/>
        </w:rPr>
      </w:pPr>
      <w:r w:rsidRPr="00372DBA">
        <w:rPr>
          <w:rFonts w:ascii="Times New Roman" w:hAnsi="Times New Roman" w:cs="Times New Roman"/>
          <w:sz w:val="28"/>
          <w:szCs w:val="28"/>
        </w:rPr>
        <w:t xml:space="preserve">Мицик ЮО. Використання мікроРНК-15а у якості діагностичного біомаркеру нирково-клітинного раку. </w:t>
      </w:r>
      <w:r w:rsidRPr="00372DBA">
        <w:rPr>
          <w:rFonts w:ascii="Times New Roman" w:hAnsi="Times New Roman" w:cs="Times New Roman"/>
          <w:color w:val="000000"/>
          <w:sz w:val="28"/>
          <w:szCs w:val="28"/>
        </w:rPr>
        <w:t>Альманах науки 9(1). Матеріали міжнародної науково-практичної конференції «Наука та майбутнє»; 2017 Лист 29-30; Київ с. 29-34.</w:t>
      </w:r>
    </w:p>
    <w:p w:rsidR="007B5A1D" w:rsidRPr="007B5A1D" w:rsidRDefault="00C9739D" w:rsidP="007B5A1D">
      <w:pPr>
        <w:pStyle w:val="NoSpacing"/>
        <w:numPr>
          <w:ilvl w:val="0"/>
          <w:numId w:val="20"/>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Дутка ІЮ, Комнацька ІМ, Мотринець НП, Борис ЮБ. Променеві біомаркери на </w:t>
      </w:r>
      <w:r>
        <w:rPr>
          <w:rFonts w:ascii="Times New Roman" w:hAnsi="Times New Roman" w:cs="Times New Roman"/>
          <w:sz w:val="28"/>
          <w:szCs w:val="28"/>
        </w:rPr>
        <w:t>підставі</w:t>
      </w:r>
      <w:r w:rsidRPr="00372DBA">
        <w:rPr>
          <w:rFonts w:ascii="Times New Roman" w:hAnsi="Times New Roman" w:cs="Times New Roman"/>
          <w:sz w:val="28"/>
          <w:szCs w:val="28"/>
        </w:rPr>
        <w:t xml:space="preserve"> даних мультифазної КТ у диференціації нирково-клітинного раку. </w:t>
      </w:r>
      <w:r w:rsidRPr="00372DBA">
        <w:rPr>
          <w:rFonts w:ascii="Times New Roman" w:hAnsi="Times New Roman" w:cs="Times New Roman"/>
          <w:color w:val="000000"/>
          <w:sz w:val="28"/>
          <w:szCs w:val="28"/>
        </w:rPr>
        <w:t xml:space="preserve">Матеріали </w:t>
      </w:r>
      <w:r w:rsidRPr="00372DBA">
        <w:rPr>
          <w:rFonts w:ascii="Times New Roman" w:hAnsi="Times New Roman" w:cs="Times New Roman"/>
          <w:sz w:val="28"/>
          <w:szCs w:val="28"/>
        </w:rPr>
        <w:t>6-го національного конгресу з міжнародною участю «Радіологія в Україні». 2018 Бер 28-30; Ірпінь</w:t>
      </w:r>
      <w:r>
        <w:rPr>
          <w:rFonts w:ascii="Times New Roman" w:hAnsi="Times New Roman" w:cs="Times New Roman"/>
          <w:sz w:val="28"/>
          <w:szCs w:val="28"/>
        </w:rPr>
        <w:t>. с.77</w:t>
      </w:r>
      <w:r w:rsidRPr="00372DBA">
        <w:rPr>
          <w:rFonts w:ascii="Times New Roman" w:hAnsi="Times New Roman" w:cs="Times New Roman"/>
          <w:sz w:val="28"/>
          <w:szCs w:val="28"/>
        </w:rPr>
        <w:t>.</w:t>
      </w:r>
    </w:p>
    <w:p w:rsidR="007B5A1D" w:rsidRPr="007B5A1D" w:rsidRDefault="007B5A1D" w:rsidP="007B5A1D">
      <w:pPr>
        <w:tabs>
          <w:tab w:val="left" w:pos="1080"/>
        </w:tabs>
        <w:spacing w:line="360" w:lineRule="auto"/>
        <w:jc w:val="both"/>
        <w:rPr>
          <w:rFonts w:ascii="Times New Roman" w:hAnsi="Times New Roman" w:cs="Times New Roman"/>
          <w:sz w:val="28"/>
          <w:szCs w:val="28"/>
        </w:rPr>
      </w:pPr>
      <w:r w:rsidRPr="007B5A1D">
        <w:rPr>
          <w:rFonts w:ascii="Times New Roman" w:hAnsi="Times New Roman" w:cs="Times New Roman"/>
          <w:sz w:val="28"/>
          <w:szCs w:val="28"/>
        </w:rPr>
        <w:t>Наукові праці, які додатково відображають наукові результати дисертації:</w:t>
      </w:r>
    </w:p>
    <w:p w:rsidR="007B5A1D" w:rsidRPr="007B5A1D" w:rsidRDefault="007B5A1D" w:rsidP="007B5A1D">
      <w:pPr>
        <w:pStyle w:val="NoSpacing"/>
        <w:numPr>
          <w:ilvl w:val="0"/>
          <w:numId w:val="19"/>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 YO. The differential diagnostics of the malignant renal lesions: the Application of the diffusion-weighted imaging of the renal cell carcinoma [Internet]. Medtube;</w:t>
      </w:r>
      <w:r w:rsidRPr="00372DBA">
        <w:rPr>
          <w:rFonts w:ascii="Times New Roman" w:hAnsi="Times New Roman" w:cs="Times New Roman"/>
          <w:color w:val="000000"/>
          <w:sz w:val="28"/>
          <w:szCs w:val="28"/>
          <w:lang w:val="en-US"/>
        </w:rPr>
        <w:t xml:space="preserve"> 2015 [updated 2015 June 12; cited 2015 June 12]. Available from: </w:t>
      </w:r>
      <w:r w:rsidRPr="001F0C51">
        <w:rPr>
          <w:rFonts w:ascii="Times New Roman" w:hAnsi="Times New Roman" w:cs="Times New Roman"/>
          <w:sz w:val="28"/>
          <w:szCs w:val="28"/>
        </w:rPr>
        <w:t>https://medtube.net/urology/medical-documents/17039-the-differential-diagnostics-of-the-malignant-renal-lesions-the-application-of-the-diffusion-weighted-imaging-of-the-renal-cell-carcinoma</w:t>
      </w:r>
      <w:r w:rsidRPr="001F0C51">
        <w:rPr>
          <w:rFonts w:ascii="Times New Roman" w:hAnsi="Times New Roman" w:cs="Times New Roman"/>
          <w:color w:val="000000"/>
          <w:sz w:val="28"/>
          <w:szCs w:val="28"/>
        </w:rPr>
        <w:t>.</w:t>
      </w:r>
    </w:p>
    <w:p w:rsidR="00C9739D" w:rsidRPr="00372DBA" w:rsidRDefault="00C9739D" w:rsidP="007B5A1D">
      <w:pPr>
        <w:pStyle w:val="NoSpacing"/>
        <w:numPr>
          <w:ilvl w:val="0"/>
          <w:numId w:val="19"/>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Мицик ЮО,  Дутка ІЮ, Борис ЮБ, К</w:t>
      </w:r>
      <w:r>
        <w:rPr>
          <w:rFonts w:ascii="Times New Roman" w:hAnsi="Times New Roman" w:cs="Times New Roman"/>
          <w:sz w:val="28"/>
          <w:szCs w:val="28"/>
        </w:rPr>
        <w:t>омнацька ІМ, Шатинська-Мицик ІС</w:t>
      </w:r>
      <w:r w:rsidRPr="00372DBA">
        <w:rPr>
          <w:rFonts w:ascii="Times New Roman" w:hAnsi="Times New Roman" w:cs="Times New Roman"/>
          <w:sz w:val="28"/>
          <w:szCs w:val="28"/>
        </w:rPr>
        <w:t xml:space="preserve">; Львівський національний медичний університет ім. Данила Галицького, патентовласник. </w:t>
      </w:r>
      <w:r w:rsidRPr="00372DBA">
        <w:rPr>
          <w:rFonts w:ascii="Times New Roman" w:hAnsi="Times New Roman" w:cs="Times New Roman"/>
          <w:bCs/>
          <w:sz w:val="28"/>
          <w:szCs w:val="28"/>
        </w:rPr>
        <w:t xml:space="preserve">Спосіб диференційної діагностики нирково-клітинного раку за допомогою променевих біомаркерів. </w:t>
      </w:r>
      <w:r w:rsidRPr="00372DBA">
        <w:rPr>
          <w:rFonts w:ascii="Times New Roman" w:hAnsi="Times New Roman" w:cs="Times New Roman"/>
          <w:sz w:val="28"/>
          <w:szCs w:val="28"/>
        </w:rPr>
        <w:t xml:space="preserve">Патент України на корисну модель №106661. 2016 Квіт 25. </w:t>
      </w:r>
    </w:p>
    <w:p w:rsidR="00C9739D" w:rsidRPr="00372DBA" w:rsidRDefault="00C9739D" w:rsidP="007B5A1D">
      <w:pPr>
        <w:pStyle w:val="NoSpacing"/>
        <w:numPr>
          <w:ilvl w:val="0"/>
          <w:numId w:val="19"/>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Мицик ЮО,  Досенко ВЄ,</w:t>
      </w:r>
      <w:r>
        <w:rPr>
          <w:rFonts w:ascii="Times New Roman" w:hAnsi="Times New Roman" w:cs="Times New Roman"/>
          <w:sz w:val="28"/>
          <w:szCs w:val="28"/>
        </w:rPr>
        <w:t xml:space="preserve"> Борис ЮБ, Чернова НВ, Мицик ОІ</w:t>
      </w:r>
      <w:r w:rsidRPr="00372DBA">
        <w:rPr>
          <w:rFonts w:ascii="Times New Roman" w:hAnsi="Times New Roman" w:cs="Times New Roman"/>
          <w:sz w:val="28"/>
          <w:szCs w:val="28"/>
        </w:rPr>
        <w:t xml:space="preserve">; Львівський національний медичний університет ім. Данила Галицького, </w:t>
      </w:r>
      <w:r w:rsidRPr="00372DBA">
        <w:rPr>
          <w:rFonts w:ascii="Times New Roman" w:hAnsi="Times New Roman" w:cs="Times New Roman"/>
          <w:sz w:val="28"/>
          <w:szCs w:val="28"/>
        </w:rPr>
        <w:lastRenderedPageBreak/>
        <w:t>патентовласник. Спосіб діагностики нирково-клітинного раку за допомогою молекулярного біомаркеру мікроРНК-15а в сечі. Патент України на корисну модель №</w:t>
      </w:r>
      <w:r w:rsidRPr="00372DBA">
        <w:rPr>
          <w:rFonts w:ascii="Times New Roman" w:hAnsi="Times New Roman" w:cs="Times New Roman"/>
          <w:sz w:val="28"/>
          <w:szCs w:val="28"/>
          <w:lang w:eastAsia="uk-UA"/>
        </w:rPr>
        <w:t>120859</w:t>
      </w:r>
      <w:r w:rsidRPr="00372DBA">
        <w:rPr>
          <w:rFonts w:ascii="Times New Roman" w:hAnsi="Times New Roman" w:cs="Times New Roman"/>
          <w:sz w:val="28"/>
          <w:szCs w:val="28"/>
        </w:rPr>
        <w:t xml:space="preserve">. 2017 Лист 27. </w:t>
      </w:r>
    </w:p>
    <w:p w:rsidR="00C9739D" w:rsidRPr="00372DBA" w:rsidRDefault="00C9739D" w:rsidP="007B5A1D">
      <w:pPr>
        <w:pStyle w:val="NoSpacing"/>
        <w:numPr>
          <w:ilvl w:val="0"/>
          <w:numId w:val="19"/>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Мицик ЮО,  Борис ЮБ, Дутка ІЮ, Комнацька ІМ,</w:t>
      </w:r>
      <w:r>
        <w:rPr>
          <w:rFonts w:ascii="Times New Roman" w:hAnsi="Times New Roman" w:cs="Times New Roman"/>
          <w:sz w:val="28"/>
          <w:szCs w:val="28"/>
        </w:rPr>
        <w:t xml:space="preserve"> Сало ВМ, Дац ІВ, Мацькевич В.М</w:t>
      </w:r>
      <w:r w:rsidRPr="00372DBA">
        <w:rPr>
          <w:rFonts w:ascii="Times New Roman" w:hAnsi="Times New Roman" w:cs="Times New Roman"/>
          <w:sz w:val="28"/>
          <w:szCs w:val="28"/>
        </w:rPr>
        <w:t xml:space="preserve">; Львівський національний медичний університет ім. Данила Галицького, патентовласник. Спосіб </w:t>
      </w:r>
      <w:r w:rsidRPr="00372DBA">
        <w:rPr>
          <w:rFonts w:ascii="Times New Roman" w:hAnsi="Times New Roman" w:cs="Times New Roman"/>
          <w:color w:val="000000"/>
          <w:sz w:val="28"/>
          <w:szCs w:val="28"/>
        </w:rPr>
        <w:t xml:space="preserve">прогнозування інтраопераційної крововтрати при радикальній нефректомії у хворих з нирково-клітинним раком після емболізації ниркових артерій за допомогою променевих біомаркерів. </w:t>
      </w:r>
      <w:r w:rsidRPr="00372DBA">
        <w:rPr>
          <w:rFonts w:ascii="Times New Roman" w:hAnsi="Times New Roman" w:cs="Times New Roman"/>
          <w:sz w:val="28"/>
          <w:szCs w:val="28"/>
        </w:rPr>
        <w:t xml:space="preserve">Патент України на корисну модель №120856. 2017 Лист 27. </w:t>
      </w:r>
    </w:p>
    <w:p w:rsidR="00C9739D" w:rsidRPr="004D33E1" w:rsidRDefault="00C9739D" w:rsidP="007B5A1D">
      <w:pPr>
        <w:pStyle w:val="NoSpacing"/>
        <w:numPr>
          <w:ilvl w:val="0"/>
          <w:numId w:val="19"/>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Мицик ЮО,  Досенко ВЄ,</w:t>
      </w:r>
      <w:r>
        <w:rPr>
          <w:rFonts w:ascii="Times New Roman" w:hAnsi="Times New Roman" w:cs="Times New Roman"/>
          <w:sz w:val="28"/>
          <w:szCs w:val="28"/>
        </w:rPr>
        <w:t xml:space="preserve"> Борис ЮБ, Чернова НВ, Мицик ОІ</w:t>
      </w:r>
      <w:r w:rsidRPr="00372DBA">
        <w:rPr>
          <w:rFonts w:ascii="Times New Roman" w:hAnsi="Times New Roman" w:cs="Times New Roman"/>
          <w:sz w:val="28"/>
          <w:szCs w:val="28"/>
        </w:rPr>
        <w:t>; Львівський національний медичний університет ім. Данила Галицького, патентовласник. Спосіб прогнозування канцер-специфічного виживання після проведення нефректомії у хворих із нирково-клітинним раком за допомогою молекулярного біомаркеру</w:t>
      </w:r>
      <w:r w:rsidRPr="00372DBA">
        <w:rPr>
          <w:rFonts w:ascii="Times New Roman" w:hAnsi="Times New Roman" w:cs="Times New Roman"/>
          <w:color w:val="000000"/>
          <w:sz w:val="28"/>
          <w:szCs w:val="28"/>
        </w:rPr>
        <w:t xml:space="preserve"> мікроРНК-15а </w:t>
      </w:r>
      <w:r w:rsidRPr="00372DBA">
        <w:rPr>
          <w:rFonts w:ascii="Times New Roman" w:hAnsi="Times New Roman" w:cs="Times New Roman"/>
          <w:sz w:val="28"/>
          <w:szCs w:val="28"/>
        </w:rPr>
        <w:t xml:space="preserve"> в тканинах пухлини. Патент України на корисну модель №120883. 2017 Лист 27.</w:t>
      </w:r>
    </w:p>
    <w:p w:rsidR="00CD3EE5" w:rsidRDefault="00CD3EE5" w:rsidP="00CD3EE5">
      <w:pPr>
        <w:pStyle w:val="NoSpacing"/>
        <w:spacing w:line="360" w:lineRule="auto"/>
        <w:rPr>
          <w:rFonts w:ascii="Times New Roman" w:hAnsi="Times New Roman" w:cs="Times New Roman"/>
          <w:sz w:val="28"/>
          <w:szCs w:val="28"/>
        </w:rPr>
      </w:pPr>
    </w:p>
    <w:p w:rsidR="00C9739D" w:rsidRDefault="00C9739D" w:rsidP="00CD3EE5">
      <w:pPr>
        <w:pStyle w:val="NoSpacing"/>
        <w:spacing w:line="360" w:lineRule="auto"/>
        <w:rPr>
          <w:rFonts w:ascii="Times New Roman" w:hAnsi="Times New Roman" w:cs="Times New Roman"/>
          <w:sz w:val="28"/>
          <w:szCs w:val="28"/>
        </w:rPr>
      </w:pPr>
    </w:p>
    <w:p w:rsidR="00C9739D" w:rsidRDefault="00C9739D" w:rsidP="00CD3EE5">
      <w:pPr>
        <w:pStyle w:val="NoSpacing"/>
        <w:spacing w:line="360" w:lineRule="auto"/>
        <w:rPr>
          <w:rFonts w:ascii="Times New Roman" w:hAnsi="Times New Roman" w:cs="Times New Roman"/>
          <w:sz w:val="28"/>
          <w:szCs w:val="28"/>
        </w:rPr>
      </w:pPr>
    </w:p>
    <w:p w:rsidR="00C9739D" w:rsidRDefault="00C9739D" w:rsidP="00CD3EE5">
      <w:pPr>
        <w:pStyle w:val="NoSpacing"/>
        <w:spacing w:line="360" w:lineRule="auto"/>
        <w:rPr>
          <w:rFonts w:ascii="Times New Roman" w:hAnsi="Times New Roman" w:cs="Times New Roman"/>
          <w:sz w:val="28"/>
          <w:szCs w:val="28"/>
        </w:rPr>
      </w:pPr>
    </w:p>
    <w:p w:rsidR="00C9739D" w:rsidRDefault="00C9739D" w:rsidP="00CD3EE5">
      <w:pPr>
        <w:pStyle w:val="NoSpacing"/>
        <w:spacing w:line="360" w:lineRule="auto"/>
        <w:rPr>
          <w:rFonts w:ascii="Times New Roman" w:hAnsi="Times New Roman" w:cs="Times New Roman"/>
          <w:sz w:val="28"/>
          <w:szCs w:val="28"/>
        </w:rPr>
      </w:pPr>
    </w:p>
    <w:p w:rsidR="00C9739D" w:rsidRDefault="00C9739D" w:rsidP="00CD3EE5">
      <w:pPr>
        <w:pStyle w:val="NoSpacing"/>
        <w:spacing w:line="360" w:lineRule="auto"/>
        <w:rPr>
          <w:rFonts w:ascii="Times New Roman" w:hAnsi="Times New Roman" w:cs="Times New Roman"/>
          <w:sz w:val="28"/>
          <w:szCs w:val="28"/>
        </w:rPr>
      </w:pPr>
    </w:p>
    <w:p w:rsidR="00C9739D" w:rsidRDefault="00C9739D" w:rsidP="00CD3EE5">
      <w:pPr>
        <w:pStyle w:val="NoSpacing"/>
        <w:spacing w:line="360" w:lineRule="auto"/>
        <w:rPr>
          <w:rFonts w:ascii="Times New Roman" w:hAnsi="Times New Roman" w:cs="Times New Roman"/>
          <w:sz w:val="28"/>
          <w:szCs w:val="28"/>
        </w:rPr>
      </w:pPr>
    </w:p>
    <w:p w:rsidR="00C9739D" w:rsidRPr="00372DBA" w:rsidRDefault="00C9739D" w:rsidP="00CD3EE5">
      <w:pPr>
        <w:pStyle w:val="NoSpacing"/>
        <w:spacing w:line="360" w:lineRule="auto"/>
        <w:rPr>
          <w:rFonts w:ascii="Times New Roman" w:hAnsi="Times New Roman" w:cs="Times New Roman"/>
          <w:sz w:val="28"/>
          <w:szCs w:val="28"/>
        </w:rPr>
      </w:pPr>
    </w:p>
    <w:p w:rsidR="00CD3EE5" w:rsidRDefault="00CD3EE5" w:rsidP="00694567">
      <w:pPr>
        <w:pStyle w:val="NoSpacing"/>
        <w:jc w:val="center"/>
        <w:rPr>
          <w:rFonts w:ascii="Times New Roman" w:hAnsi="Times New Roman" w:cs="Times New Roman"/>
          <w:sz w:val="28"/>
          <w:szCs w:val="28"/>
        </w:rPr>
      </w:pPr>
    </w:p>
    <w:p w:rsidR="00372DBA" w:rsidRDefault="00372DBA" w:rsidP="00694567">
      <w:pPr>
        <w:pStyle w:val="NoSpacing"/>
        <w:jc w:val="center"/>
        <w:rPr>
          <w:rFonts w:ascii="Times New Roman" w:hAnsi="Times New Roman" w:cs="Times New Roman"/>
          <w:sz w:val="28"/>
          <w:szCs w:val="28"/>
        </w:rPr>
      </w:pPr>
    </w:p>
    <w:p w:rsidR="00372DBA" w:rsidRDefault="00372DBA" w:rsidP="00694567">
      <w:pPr>
        <w:pStyle w:val="NoSpacing"/>
        <w:jc w:val="center"/>
        <w:rPr>
          <w:rFonts w:ascii="Times New Roman" w:hAnsi="Times New Roman" w:cs="Times New Roman"/>
          <w:sz w:val="28"/>
          <w:szCs w:val="28"/>
        </w:rPr>
      </w:pPr>
    </w:p>
    <w:p w:rsidR="00372DBA" w:rsidRDefault="00372DBA" w:rsidP="00694567">
      <w:pPr>
        <w:pStyle w:val="NoSpacing"/>
        <w:jc w:val="center"/>
        <w:rPr>
          <w:rFonts w:ascii="Times New Roman" w:hAnsi="Times New Roman" w:cs="Times New Roman"/>
          <w:sz w:val="28"/>
          <w:szCs w:val="28"/>
        </w:rPr>
      </w:pPr>
    </w:p>
    <w:p w:rsidR="00372DBA" w:rsidRDefault="00372DBA" w:rsidP="00694567">
      <w:pPr>
        <w:pStyle w:val="NoSpacing"/>
        <w:jc w:val="center"/>
        <w:rPr>
          <w:rFonts w:ascii="Times New Roman" w:hAnsi="Times New Roman" w:cs="Times New Roman"/>
          <w:sz w:val="28"/>
          <w:szCs w:val="28"/>
        </w:rPr>
      </w:pPr>
    </w:p>
    <w:p w:rsidR="00372DBA" w:rsidRDefault="00372DBA" w:rsidP="00694567">
      <w:pPr>
        <w:pStyle w:val="NoSpacing"/>
        <w:jc w:val="center"/>
        <w:rPr>
          <w:rFonts w:ascii="Times New Roman" w:hAnsi="Times New Roman" w:cs="Times New Roman"/>
          <w:sz w:val="28"/>
          <w:szCs w:val="28"/>
        </w:rPr>
      </w:pPr>
    </w:p>
    <w:p w:rsidR="00372DBA" w:rsidRDefault="00372DBA" w:rsidP="0028256A">
      <w:pPr>
        <w:pStyle w:val="NoSpacing"/>
        <w:rPr>
          <w:rFonts w:ascii="Times New Roman" w:hAnsi="Times New Roman" w:cs="Times New Roman"/>
          <w:sz w:val="28"/>
          <w:szCs w:val="28"/>
        </w:rPr>
      </w:pPr>
    </w:p>
    <w:p w:rsidR="00372DBA" w:rsidRDefault="00372DBA" w:rsidP="007B5A1D">
      <w:pPr>
        <w:pStyle w:val="NoSpacing"/>
        <w:rPr>
          <w:rFonts w:ascii="Times New Roman" w:hAnsi="Times New Roman" w:cs="Times New Roman"/>
          <w:sz w:val="28"/>
          <w:szCs w:val="28"/>
        </w:rPr>
      </w:pPr>
    </w:p>
    <w:p w:rsidR="00372DBA" w:rsidRDefault="00372DBA" w:rsidP="00372DBA">
      <w:pPr>
        <w:spacing w:line="360" w:lineRule="auto"/>
        <w:contextualSpacing/>
        <w:jc w:val="center"/>
        <w:rPr>
          <w:rFonts w:ascii="Times New Roman" w:hAnsi="Times New Roman" w:cs="Times New Roman"/>
          <w:b/>
          <w:sz w:val="28"/>
          <w:szCs w:val="28"/>
        </w:rPr>
      </w:pPr>
      <w:r w:rsidRPr="00755243">
        <w:rPr>
          <w:rFonts w:ascii="Times New Roman" w:hAnsi="Times New Roman" w:cs="Times New Roman"/>
          <w:b/>
          <w:sz w:val="28"/>
          <w:szCs w:val="28"/>
        </w:rPr>
        <w:lastRenderedPageBreak/>
        <w:t>ЗМІСТ</w:t>
      </w:r>
    </w:p>
    <w:tbl>
      <w:tblPr>
        <w:tblStyle w:val="TableGrid"/>
        <w:tblW w:w="9645" w:type="dxa"/>
        <w:tblInd w:w="-2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7229"/>
        <w:gridCol w:w="856"/>
      </w:tblGrid>
      <w:tr w:rsidR="00A109C2" w:rsidTr="00090CE2">
        <w:tc>
          <w:tcPr>
            <w:tcW w:w="1560" w:type="dxa"/>
          </w:tcPr>
          <w:p w:rsidR="002A1381" w:rsidRDefault="002A1381" w:rsidP="00372DBA">
            <w:pPr>
              <w:spacing w:line="360" w:lineRule="auto"/>
              <w:contextualSpacing/>
              <w:jc w:val="center"/>
              <w:rPr>
                <w:rFonts w:ascii="Times New Roman" w:hAnsi="Times New Roman" w:cs="Times New Roman"/>
                <w:b/>
                <w:sz w:val="28"/>
                <w:szCs w:val="28"/>
              </w:rPr>
            </w:pPr>
          </w:p>
        </w:tc>
        <w:tc>
          <w:tcPr>
            <w:tcW w:w="7229" w:type="dxa"/>
          </w:tcPr>
          <w:p w:rsidR="002A1381" w:rsidRDefault="002A1381" w:rsidP="00372DBA">
            <w:pPr>
              <w:spacing w:line="360" w:lineRule="auto"/>
              <w:contextualSpacing/>
              <w:jc w:val="center"/>
              <w:rPr>
                <w:rFonts w:ascii="Times New Roman" w:hAnsi="Times New Roman" w:cs="Times New Roman"/>
                <w:b/>
                <w:sz w:val="28"/>
                <w:szCs w:val="28"/>
              </w:rPr>
            </w:pPr>
          </w:p>
        </w:tc>
        <w:tc>
          <w:tcPr>
            <w:tcW w:w="856" w:type="dxa"/>
          </w:tcPr>
          <w:p w:rsidR="002A1381" w:rsidRPr="0091004F" w:rsidRDefault="002A1381" w:rsidP="00372DBA">
            <w:pPr>
              <w:spacing w:line="360" w:lineRule="auto"/>
              <w:contextualSpacing/>
              <w:jc w:val="center"/>
              <w:rPr>
                <w:rFonts w:ascii="Times New Roman" w:hAnsi="Times New Roman" w:cs="Times New Roman"/>
                <w:sz w:val="28"/>
                <w:szCs w:val="28"/>
              </w:rPr>
            </w:pPr>
            <w:r w:rsidRPr="0091004F">
              <w:rPr>
                <w:rFonts w:ascii="Times New Roman" w:hAnsi="Times New Roman" w:cs="Times New Roman"/>
                <w:sz w:val="28"/>
                <w:szCs w:val="28"/>
              </w:rPr>
              <w:t>стор.</w:t>
            </w:r>
          </w:p>
        </w:tc>
      </w:tr>
      <w:tr w:rsidR="002A1381" w:rsidTr="00090CE2">
        <w:tc>
          <w:tcPr>
            <w:tcW w:w="8789" w:type="dxa"/>
            <w:gridSpan w:val="2"/>
          </w:tcPr>
          <w:p w:rsidR="002A1381" w:rsidRPr="002A1381" w:rsidRDefault="002A1381" w:rsidP="002A1381">
            <w:pPr>
              <w:spacing w:line="360" w:lineRule="auto"/>
              <w:contextualSpacing/>
              <w:rPr>
                <w:rFonts w:ascii="Times New Roman" w:hAnsi="Times New Roman" w:cs="Times New Roman"/>
                <w:sz w:val="28"/>
                <w:szCs w:val="28"/>
              </w:rPr>
            </w:pPr>
            <w:r>
              <w:rPr>
                <w:rFonts w:ascii="Times New Roman" w:hAnsi="Times New Roman" w:cs="Times New Roman"/>
                <w:sz w:val="28"/>
                <w:szCs w:val="28"/>
              </w:rPr>
              <w:t>АНОТАЦІЯ………………………………………………………………</w:t>
            </w:r>
            <w:r w:rsidR="00A109C2">
              <w:rPr>
                <w:rFonts w:ascii="Times New Roman" w:hAnsi="Times New Roman" w:cs="Times New Roman"/>
                <w:sz w:val="28"/>
                <w:szCs w:val="28"/>
              </w:rPr>
              <w:t>.</w:t>
            </w:r>
          </w:p>
        </w:tc>
        <w:tc>
          <w:tcPr>
            <w:tcW w:w="856" w:type="dxa"/>
          </w:tcPr>
          <w:p w:rsidR="002A1381" w:rsidRPr="00090CE2" w:rsidRDefault="00090CE2"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r>
      <w:tr w:rsidR="002A1381" w:rsidTr="00090CE2">
        <w:tc>
          <w:tcPr>
            <w:tcW w:w="8789" w:type="dxa"/>
            <w:gridSpan w:val="2"/>
          </w:tcPr>
          <w:p w:rsidR="002A1381" w:rsidRPr="002A1381" w:rsidRDefault="002A1381" w:rsidP="002A1381">
            <w:pPr>
              <w:spacing w:line="360" w:lineRule="auto"/>
              <w:rPr>
                <w:rFonts w:ascii="Times New Roman" w:hAnsi="Times New Roman" w:cs="Times New Roman"/>
                <w:sz w:val="28"/>
                <w:szCs w:val="28"/>
              </w:rPr>
            </w:pPr>
            <w:r w:rsidRPr="00755243">
              <w:rPr>
                <w:rFonts w:ascii="Times New Roman" w:hAnsi="Times New Roman" w:cs="Times New Roman"/>
                <w:bCs/>
                <w:sz w:val="28"/>
                <w:szCs w:val="28"/>
              </w:rPr>
              <w:t>СПИСОК ПРАЦЬ, ОПУБЛІКОВАНИХ ЗА ТЕМОЮ ДИСЕРТАЦІЇ</w:t>
            </w:r>
            <w:r w:rsidR="00A109C2">
              <w:rPr>
                <w:rFonts w:ascii="Times New Roman" w:hAnsi="Times New Roman" w:cs="Times New Roman"/>
                <w:sz w:val="28"/>
                <w:szCs w:val="28"/>
              </w:rPr>
              <w:t>…</w:t>
            </w:r>
          </w:p>
        </w:tc>
        <w:tc>
          <w:tcPr>
            <w:tcW w:w="856" w:type="dxa"/>
          </w:tcPr>
          <w:p w:rsidR="002A1381" w:rsidRPr="00090CE2" w:rsidRDefault="00090CE2"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r>
      <w:tr w:rsidR="002A1381" w:rsidTr="00090CE2">
        <w:tc>
          <w:tcPr>
            <w:tcW w:w="8789" w:type="dxa"/>
            <w:gridSpan w:val="2"/>
          </w:tcPr>
          <w:p w:rsidR="002A1381" w:rsidRPr="002A1381" w:rsidRDefault="002A1381" w:rsidP="002A1381">
            <w:pPr>
              <w:spacing w:line="360" w:lineRule="auto"/>
              <w:contextualSpacing/>
              <w:rPr>
                <w:rFonts w:ascii="Times New Roman" w:hAnsi="Times New Roman" w:cs="Times New Roman"/>
                <w:sz w:val="28"/>
                <w:szCs w:val="28"/>
              </w:rPr>
            </w:pPr>
            <w:r>
              <w:rPr>
                <w:rFonts w:ascii="Times New Roman" w:hAnsi="Times New Roman" w:cs="Times New Roman"/>
                <w:sz w:val="28"/>
                <w:szCs w:val="28"/>
              </w:rPr>
              <w:t>ПЕРЕЛІК УМОВНИХ СКОРОЧЕНЬ…………………………………..</w:t>
            </w:r>
            <w:r w:rsidR="00A109C2">
              <w:rPr>
                <w:rFonts w:ascii="Times New Roman" w:hAnsi="Times New Roman" w:cs="Times New Roman"/>
                <w:sz w:val="28"/>
                <w:szCs w:val="28"/>
              </w:rPr>
              <w:t>.</w:t>
            </w:r>
          </w:p>
        </w:tc>
        <w:tc>
          <w:tcPr>
            <w:tcW w:w="856" w:type="dxa"/>
          </w:tcPr>
          <w:p w:rsidR="002A1381" w:rsidRPr="00090CE2" w:rsidRDefault="00E22E00"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20</w:t>
            </w:r>
          </w:p>
        </w:tc>
      </w:tr>
      <w:tr w:rsidR="002A1381" w:rsidTr="00090CE2">
        <w:tc>
          <w:tcPr>
            <w:tcW w:w="8789" w:type="dxa"/>
            <w:gridSpan w:val="2"/>
          </w:tcPr>
          <w:p w:rsidR="002A1381" w:rsidRPr="002A1381" w:rsidRDefault="002A1381" w:rsidP="002A1381">
            <w:pPr>
              <w:spacing w:line="360" w:lineRule="auto"/>
              <w:contextualSpacing/>
              <w:rPr>
                <w:rFonts w:ascii="Times New Roman" w:hAnsi="Times New Roman" w:cs="Times New Roman"/>
                <w:sz w:val="28"/>
                <w:szCs w:val="28"/>
              </w:rPr>
            </w:pPr>
            <w:r>
              <w:rPr>
                <w:rFonts w:ascii="Times New Roman" w:hAnsi="Times New Roman" w:cs="Times New Roman"/>
                <w:sz w:val="28"/>
                <w:szCs w:val="28"/>
              </w:rPr>
              <w:t>ВСТУП……………………………………………………………………</w:t>
            </w:r>
            <w:r w:rsidR="00A109C2">
              <w:rPr>
                <w:rFonts w:ascii="Times New Roman" w:hAnsi="Times New Roman" w:cs="Times New Roman"/>
                <w:sz w:val="28"/>
                <w:szCs w:val="28"/>
              </w:rPr>
              <w:t>.</w:t>
            </w:r>
          </w:p>
        </w:tc>
        <w:tc>
          <w:tcPr>
            <w:tcW w:w="856" w:type="dxa"/>
          </w:tcPr>
          <w:p w:rsidR="002A1381" w:rsidRPr="00090CE2" w:rsidRDefault="00E22E00"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22</w:t>
            </w:r>
          </w:p>
        </w:tc>
      </w:tr>
      <w:tr w:rsidR="00A109C2" w:rsidTr="00090CE2">
        <w:tc>
          <w:tcPr>
            <w:tcW w:w="1560" w:type="dxa"/>
          </w:tcPr>
          <w:p w:rsidR="002A1381" w:rsidRDefault="002A1381" w:rsidP="002A1381">
            <w:pPr>
              <w:spacing w:line="360" w:lineRule="auto"/>
              <w:contextualSpacing/>
              <w:rPr>
                <w:rFonts w:ascii="Times New Roman" w:hAnsi="Times New Roman" w:cs="Times New Roman"/>
                <w:b/>
                <w:sz w:val="28"/>
                <w:szCs w:val="28"/>
              </w:rPr>
            </w:pPr>
            <w:r w:rsidRPr="00755243">
              <w:rPr>
                <w:rFonts w:ascii="Times New Roman" w:hAnsi="Times New Roman" w:cs="Times New Roman"/>
                <w:sz w:val="28"/>
                <w:szCs w:val="28"/>
              </w:rPr>
              <w:t>РОЗДІЛ 1.</w:t>
            </w:r>
          </w:p>
        </w:tc>
        <w:tc>
          <w:tcPr>
            <w:tcW w:w="7229" w:type="dxa"/>
          </w:tcPr>
          <w:p w:rsidR="002A1381" w:rsidRDefault="002A1381" w:rsidP="002A1381">
            <w:pPr>
              <w:spacing w:line="360" w:lineRule="auto"/>
              <w:contextualSpacing/>
              <w:rPr>
                <w:rFonts w:ascii="Times New Roman" w:hAnsi="Times New Roman" w:cs="Times New Roman"/>
                <w:sz w:val="28"/>
              </w:rPr>
            </w:pPr>
            <w:r>
              <w:rPr>
                <w:rFonts w:ascii="Times New Roman" w:hAnsi="Times New Roman" w:cs="Times New Roman"/>
                <w:sz w:val="28"/>
                <w:szCs w:val="28"/>
              </w:rPr>
              <w:t>СУЧАСНИЙ ПОГЛЯД НА ПРОБЛЕМУ</w:t>
            </w:r>
            <w:r w:rsidR="00A47854">
              <w:rPr>
                <w:rFonts w:ascii="Times New Roman" w:hAnsi="Times New Roman" w:cs="Times New Roman"/>
                <w:sz w:val="28"/>
                <w:szCs w:val="28"/>
              </w:rPr>
              <w:t xml:space="preserve"> </w:t>
            </w:r>
            <w:r>
              <w:rPr>
                <w:rFonts w:ascii="Times New Roman" w:hAnsi="Times New Roman" w:cs="Times New Roman"/>
                <w:sz w:val="28"/>
                <w:szCs w:val="28"/>
              </w:rPr>
              <w:t xml:space="preserve">ДІАГНОСТИКИ І ЛІКУВАННЯ </w:t>
            </w:r>
            <w:r>
              <w:rPr>
                <w:rFonts w:ascii="Times New Roman" w:hAnsi="Times New Roman" w:cs="Times New Roman"/>
                <w:sz w:val="28"/>
              </w:rPr>
              <w:t xml:space="preserve">НИРКОВО-КЛІТИННОГО РАКУ </w:t>
            </w:r>
          </w:p>
          <w:p w:rsidR="002A1381" w:rsidRPr="002A1381" w:rsidRDefault="002A1381" w:rsidP="002A1381">
            <w:pPr>
              <w:spacing w:line="360" w:lineRule="auto"/>
              <w:contextualSpacing/>
              <w:rPr>
                <w:rFonts w:ascii="Times New Roman" w:hAnsi="Times New Roman" w:cs="Times New Roman"/>
                <w:sz w:val="28"/>
              </w:rPr>
            </w:pPr>
            <w:r>
              <w:rPr>
                <w:rFonts w:ascii="Times New Roman" w:hAnsi="Times New Roman" w:cs="Times New Roman"/>
                <w:sz w:val="28"/>
              </w:rPr>
              <w:t>(ОГЛЯД ЛІТЕРАТУРИ)…………………………………</w:t>
            </w:r>
            <w:r w:rsidR="0091004F">
              <w:rPr>
                <w:rFonts w:ascii="Times New Roman" w:hAnsi="Times New Roman" w:cs="Times New Roman"/>
                <w:sz w:val="28"/>
              </w:rPr>
              <w:t>…</w:t>
            </w:r>
          </w:p>
        </w:tc>
        <w:tc>
          <w:tcPr>
            <w:tcW w:w="856" w:type="dxa"/>
          </w:tcPr>
          <w:p w:rsidR="0091004F" w:rsidRPr="00090CE2" w:rsidRDefault="0091004F" w:rsidP="00372DBA">
            <w:pPr>
              <w:spacing w:line="360" w:lineRule="auto"/>
              <w:contextualSpacing/>
              <w:jc w:val="center"/>
              <w:rPr>
                <w:rFonts w:ascii="Times New Roman" w:hAnsi="Times New Roman" w:cs="Times New Roman"/>
                <w:sz w:val="28"/>
                <w:szCs w:val="28"/>
                <w:lang w:val="en-US"/>
              </w:rPr>
            </w:pPr>
          </w:p>
          <w:p w:rsidR="0091004F" w:rsidRDefault="0091004F" w:rsidP="00372DBA">
            <w:pPr>
              <w:spacing w:line="360" w:lineRule="auto"/>
              <w:contextualSpacing/>
              <w:jc w:val="center"/>
              <w:rPr>
                <w:rFonts w:ascii="Times New Roman" w:hAnsi="Times New Roman" w:cs="Times New Roman"/>
                <w:sz w:val="28"/>
                <w:szCs w:val="28"/>
              </w:rPr>
            </w:pPr>
          </w:p>
          <w:p w:rsidR="002A1381" w:rsidRPr="00090CE2" w:rsidRDefault="00E22E00" w:rsidP="00090CE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34</w:t>
            </w:r>
          </w:p>
        </w:tc>
      </w:tr>
      <w:tr w:rsidR="00A109C2" w:rsidTr="00090CE2">
        <w:tc>
          <w:tcPr>
            <w:tcW w:w="1560" w:type="dxa"/>
          </w:tcPr>
          <w:p w:rsidR="002A1381" w:rsidRPr="002A1381" w:rsidRDefault="002A1381" w:rsidP="002A1381">
            <w:pPr>
              <w:spacing w:line="360" w:lineRule="auto"/>
              <w:contextualSpacing/>
              <w:jc w:val="right"/>
              <w:rPr>
                <w:rFonts w:ascii="Times New Roman" w:hAnsi="Times New Roman" w:cs="Times New Roman"/>
                <w:sz w:val="28"/>
                <w:szCs w:val="28"/>
              </w:rPr>
            </w:pPr>
            <w:r w:rsidRPr="002A1381">
              <w:rPr>
                <w:rFonts w:ascii="Times New Roman" w:hAnsi="Times New Roman" w:cs="Times New Roman"/>
                <w:sz w:val="28"/>
                <w:szCs w:val="28"/>
              </w:rPr>
              <w:t>1.1.</w:t>
            </w:r>
          </w:p>
        </w:tc>
        <w:tc>
          <w:tcPr>
            <w:tcW w:w="7229" w:type="dxa"/>
          </w:tcPr>
          <w:p w:rsidR="002A1381" w:rsidRDefault="002A1381" w:rsidP="002A1381">
            <w:pPr>
              <w:spacing w:line="360" w:lineRule="auto"/>
              <w:contextualSpacing/>
              <w:rPr>
                <w:rFonts w:ascii="Times New Roman" w:hAnsi="Times New Roman" w:cs="Times New Roman"/>
                <w:b/>
                <w:sz w:val="28"/>
                <w:szCs w:val="28"/>
              </w:rPr>
            </w:pPr>
            <w:r w:rsidRPr="00A5333A">
              <w:rPr>
                <w:rFonts w:ascii="Times New Roman" w:hAnsi="Times New Roman" w:cs="Times New Roman"/>
                <w:sz w:val="28"/>
                <w:szCs w:val="28"/>
              </w:rPr>
              <w:t>Епідеміологія та демографія нирково-клітинного раку</w:t>
            </w:r>
            <w:r>
              <w:rPr>
                <w:rFonts w:ascii="Times New Roman" w:hAnsi="Times New Roman" w:cs="Times New Roman"/>
                <w:sz w:val="28"/>
                <w:szCs w:val="28"/>
              </w:rPr>
              <w:t>..</w:t>
            </w:r>
            <w:r w:rsidR="00A109C2">
              <w:rPr>
                <w:rFonts w:ascii="Times New Roman" w:hAnsi="Times New Roman" w:cs="Times New Roman"/>
                <w:sz w:val="28"/>
                <w:szCs w:val="28"/>
              </w:rPr>
              <w:t>..</w:t>
            </w:r>
          </w:p>
        </w:tc>
        <w:tc>
          <w:tcPr>
            <w:tcW w:w="856" w:type="dxa"/>
          </w:tcPr>
          <w:p w:rsidR="002A1381" w:rsidRPr="00090CE2" w:rsidRDefault="00090CE2" w:rsidP="00372DBA">
            <w:pPr>
              <w:spacing w:line="360" w:lineRule="auto"/>
              <w:contextualSpacing/>
              <w:jc w:val="center"/>
              <w:rPr>
                <w:rFonts w:ascii="Times New Roman" w:hAnsi="Times New Roman" w:cs="Times New Roman"/>
                <w:sz w:val="28"/>
                <w:szCs w:val="28"/>
                <w:lang w:val="ru-RU"/>
              </w:rPr>
            </w:pPr>
            <w:r w:rsidRPr="00090CE2">
              <w:rPr>
                <w:rFonts w:ascii="Times New Roman" w:hAnsi="Times New Roman" w:cs="Times New Roman"/>
                <w:sz w:val="28"/>
                <w:szCs w:val="28"/>
                <w:lang w:val="ru-RU"/>
              </w:rPr>
              <w:t>3</w:t>
            </w:r>
            <w:r w:rsidR="00E22E00">
              <w:rPr>
                <w:rFonts w:ascii="Times New Roman" w:hAnsi="Times New Roman" w:cs="Times New Roman"/>
                <w:sz w:val="28"/>
                <w:szCs w:val="28"/>
                <w:lang w:val="ru-RU"/>
              </w:rPr>
              <w:t>4</w:t>
            </w:r>
          </w:p>
        </w:tc>
      </w:tr>
      <w:tr w:rsidR="004B2750" w:rsidTr="00090CE2">
        <w:tc>
          <w:tcPr>
            <w:tcW w:w="1560" w:type="dxa"/>
          </w:tcPr>
          <w:p w:rsidR="002A1381" w:rsidRPr="002A1381" w:rsidRDefault="00A47854"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1.2</w:t>
            </w:r>
            <w:r w:rsidR="002A1381">
              <w:rPr>
                <w:rFonts w:ascii="Times New Roman" w:hAnsi="Times New Roman" w:cs="Times New Roman"/>
                <w:sz w:val="28"/>
                <w:szCs w:val="28"/>
              </w:rPr>
              <w:t>.</w:t>
            </w:r>
          </w:p>
        </w:tc>
        <w:tc>
          <w:tcPr>
            <w:tcW w:w="7229" w:type="dxa"/>
          </w:tcPr>
          <w:p w:rsidR="002A1381" w:rsidRDefault="002A1381" w:rsidP="002A1381">
            <w:pPr>
              <w:spacing w:line="360" w:lineRule="auto"/>
              <w:contextualSpacing/>
              <w:rPr>
                <w:rFonts w:ascii="Times New Roman" w:hAnsi="Times New Roman" w:cs="Times New Roman"/>
                <w:b/>
                <w:sz w:val="28"/>
                <w:szCs w:val="28"/>
              </w:rPr>
            </w:pPr>
            <w:r w:rsidRPr="00A5333A">
              <w:rPr>
                <w:rFonts w:ascii="Times New Roman" w:hAnsi="Times New Roman" w:cs="Times New Roman"/>
                <w:sz w:val="28"/>
              </w:rPr>
              <w:t>Сучасний погляд на біомаркери та прогностичні фактори перебігу НКР</w:t>
            </w:r>
            <w:r>
              <w:rPr>
                <w:rFonts w:ascii="Times New Roman" w:hAnsi="Times New Roman" w:cs="Times New Roman"/>
                <w:sz w:val="28"/>
              </w:rPr>
              <w:t>……………………………………</w:t>
            </w:r>
            <w:r w:rsidR="00A47854">
              <w:rPr>
                <w:rFonts w:ascii="Times New Roman" w:hAnsi="Times New Roman" w:cs="Times New Roman"/>
                <w:sz w:val="28"/>
              </w:rPr>
              <w:t>……………</w:t>
            </w:r>
          </w:p>
        </w:tc>
        <w:tc>
          <w:tcPr>
            <w:tcW w:w="856" w:type="dxa"/>
          </w:tcPr>
          <w:p w:rsidR="002A1381" w:rsidRDefault="002A1381" w:rsidP="00372DBA">
            <w:pPr>
              <w:spacing w:line="360" w:lineRule="auto"/>
              <w:contextualSpacing/>
              <w:jc w:val="center"/>
              <w:rPr>
                <w:rFonts w:ascii="Times New Roman" w:hAnsi="Times New Roman" w:cs="Times New Roman"/>
                <w:sz w:val="28"/>
                <w:szCs w:val="28"/>
              </w:rPr>
            </w:pPr>
          </w:p>
          <w:p w:rsidR="0091004F" w:rsidRPr="00090CE2" w:rsidRDefault="00E22E00"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35</w:t>
            </w:r>
          </w:p>
        </w:tc>
      </w:tr>
      <w:tr w:rsidR="004B2750" w:rsidTr="00090CE2">
        <w:tc>
          <w:tcPr>
            <w:tcW w:w="1560" w:type="dxa"/>
          </w:tcPr>
          <w:p w:rsidR="002A1381" w:rsidRPr="002A1381" w:rsidRDefault="00A47854"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1.3</w:t>
            </w:r>
            <w:r w:rsidR="002A1381">
              <w:rPr>
                <w:rFonts w:ascii="Times New Roman" w:hAnsi="Times New Roman" w:cs="Times New Roman"/>
                <w:sz w:val="28"/>
                <w:szCs w:val="28"/>
              </w:rPr>
              <w:t>.</w:t>
            </w:r>
          </w:p>
        </w:tc>
        <w:tc>
          <w:tcPr>
            <w:tcW w:w="7229" w:type="dxa"/>
          </w:tcPr>
          <w:p w:rsidR="002A1381" w:rsidRDefault="00A47854" w:rsidP="00A47854">
            <w:pPr>
              <w:spacing w:line="360" w:lineRule="auto"/>
              <w:contextualSpacing/>
              <w:rPr>
                <w:rFonts w:ascii="Times New Roman" w:hAnsi="Times New Roman" w:cs="Times New Roman"/>
                <w:b/>
                <w:sz w:val="28"/>
                <w:szCs w:val="28"/>
              </w:rPr>
            </w:pPr>
            <w:r w:rsidRPr="00A47854">
              <w:rPr>
                <w:rFonts w:ascii="Times New Roman" w:hAnsi="Times New Roman" w:cs="Times New Roman"/>
                <w:sz w:val="28"/>
              </w:rPr>
              <w:t>Підходи до застосування променевих і молекулярних біомаркерів</w:t>
            </w:r>
            <w:r>
              <w:rPr>
                <w:rFonts w:ascii="Times New Roman" w:hAnsi="Times New Roman" w:cs="Times New Roman"/>
                <w:sz w:val="28"/>
              </w:rPr>
              <w:t xml:space="preserve"> у</w:t>
            </w:r>
            <w:r w:rsidRPr="00A47854">
              <w:rPr>
                <w:rFonts w:ascii="Times New Roman" w:hAnsi="Times New Roman" w:cs="Times New Roman"/>
                <w:sz w:val="28"/>
              </w:rPr>
              <w:t xml:space="preserve"> діагностиці та лікуванні НКР</w:t>
            </w:r>
            <w:r>
              <w:rPr>
                <w:rFonts w:ascii="Times New Roman" w:hAnsi="Times New Roman" w:cs="Times New Roman"/>
                <w:sz w:val="28"/>
              </w:rPr>
              <w:t xml:space="preserve"> </w:t>
            </w:r>
            <w:r w:rsidR="002A1381">
              <w:rPr>
                <w:rFonts w:ascii="Times New Roman" w:hAnsi="Times New Roman" w:cs="Times New Roman"/>
                <w:sz w:val="28"/>
              </w:rPr>
              <w:t>……………</w:t>
            </w:r>
            <w:r>
              <w:rPr>
                <w:rFonts w:ascii="Times New Roman" w:hAnsi="Times New Roman" w:cs="Times New Roman"/>
                <w:sz w:val="28"/>
              </w:rPr>
              <w:t>…</w:t>
            </w:r>
          </w:p>
        </w:tc>
        <w:tc>
          <w:tcPr>
            <w:tcW w:w="856" w:type="dxa"/>
          </w:tcPr>
          <w:p w:rsidR="002A1381" w:rsidRDefault="002A1381" w:rsidP="00372DBA">
            <w:pPr>
              <w:spacing w:line="360" w:lineRule="auto"/>
              <w:contextualSpacing/>
              <w:jc w:val="center"/>
              <w:rPr>
                <w:rFonts w:ascii="Times New Roman" w:hAnsi="Times New Roman" w:cs="Times New Roman"/>
                <w:sz w:val="28"/>
                <w:szCs w:val="28"/>
              </w:rPr>
            </w:pPr>
          </w:p>
          <w:p w:rsidR="0091004F" w:rsidRPr="00090CE2" w:rsidRDefault="00805D5E"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39</w:t>
            </w:r>
          </w:p>
        </w:tc>
      </w:tr>
      <w:tr w:rsidR="004B2750" w:rsidTr="00090CE2">
        <w:tc>
          <w:tcPr>
            <w:tcW w:w="1560" w:type="dxa"/>
          </w:tcPr>
          <w:p w:rsidR="002A1381" w:rsidRPr="002A1381" w:rsidRDefault="002A1381" w:rsidP="002A1381">
            <w:pPr>
              <w:spacing w:line="360" w:lineRule="auto"/>
              <w:contextualSpacing/>
              <w:jc w:val="right"/>
              <w:rPr>
                <w:rFonts w:ascii="Times New Roman" w:hAnsi="Times New Roman" w:cs="Times New Roman"/>
                <w:sz w:val="28"/>
                <w:szCs w:val="28"/>
              </w:rPr>
            </w:pPr>
            <w:r w:rsidRPr="00755243">
              <w:rPr>
                <w:rFonts w:ascii="Times New Roman" w:hAnsi="Times New Roman" w:cs="Times New Roman"/>
                <w:sz w:val="28"/>
                <w:szCs w:val="28"/>
              </w:rPr>
              <w:t>РОЗДІЛ 2.</w:t>
            </w:r>
          </w:p>
        </w:tc>
        <w:tc>
          <w:tcPr>
            <w:tcW w:w="7229" w:type="dxa"/>
          </w:tcPr>
          <w:p w:rsidR="002A1381" w:rsidRPr="002A1381" w:rsidRDefault="002A1381" w:rsidP="002A1381">
            <w:pPr>
              <w:spacing w:line="360" w:lineRule="auto"/>
              <w:contextualSpacing/>
              <w:rPr>
                <w:rFonts w:ascii="Times New Roman" w:hAnsi="Times New Roman" w:cs="Times New Roman"/>
                <w:sz w:val="28"/>
                <w:szCs w:val="28"/>
              </w:rPr>
            </w:pPr>
            <w:r w:rsidRPr="00E856C2">
              <w:rPr>
                <w:rFonts w:ascii="Times New Roman" w:hAnsi="Times New Roman" w:cs="Times New Roman"/>
                <w:sz w:val="28"/>
                <w:szCs w:val="28"/>
              </w:rPr>
              <w:t>МАТЕРІАЛИ ТА МЕТОДИ ДОСЛІДЖЕННЯ</w:t>
            </w:r>
            <w:r>
              <w:rPr>
                <w:rFonts w:ascii="Times New Roman" w:hAnsi="Times New Roman" w:cs="Times New Roman"/>
                <w:sz w:val="28"/>
                <w:szCs w:val="28"/>
              </w:rPr>
              <w:t>………….</w:t>
            </w:r>
            <w:r w:rsidR="00A109C2">
              <w:rPr>
                <w:rFonts w:ascii="Times New Roman" w:hAnsi="Times New Roman" w:cs="Times New Roman"/>
                <w:sz w:val="28"/>
                <w:szCs w:val="28"/>
              </w:rPr>
              <w:t>.</w:t>
            </w:r>
          </w:p>
        </w:tc>
        <w:tc>
          <w:tcPr>
            <w:tcW w:w="856" w:type="dxa"/>
          </w:tcPr>
          <w:p w:rsidR="002A1381" w:rsidRPr="00090CE2" w:rsidRDefault="00996EB8"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62</w:t>
            </w:r>
          </w:p>
        </w:tc>
      </w:tr>
      <w:tr w:rsidR="004B2750" w:rsidTr="00090CE2">
        <w:tc>
          <w:tcPr>
            <w:tcW w:w="1560" w:type="dxa"/>
          </w:tcPr>
          <w:p w:rsidR="002A1381" w:rsidRPr="002A1381" w:rsidRDefault="002A1381"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2.1.</w:t>
            </w:r>
          </w:p>
        </w:tc>
        <w:tc>
          <w:tcPr>
            <w:tcW w:w="7229" w:type="dxa"/>
          </w:tcPr>
          <w:p w:rsidR="002A1381" w:rsidRDefault="002A1381" w:rsidP="002A1381">
            <w:pPr>
              <w:spacing w:line="360" w:lineRule="auto"/>
              <w:contextualSpacing/>
              <w:rPr>
                <w:rFonts w:ascii="Times New Roman" w:hAnsi="Times New Roman" w:cs="Times New Roman"/>
                <w:b/>
                <w:sz w:val="28"/>
                <w:szCs w:val="28"/>
              </w:rPr>
            </w:pPr>
            <w:r w:rsidRPr="00755243">
              <w:rPr>
                <w:rFonts w:ascii="Times New Roman" w:hAnsi="Times New Roman"/>
                <w:sz w:val="28"/>
                <w:szCs w:val="28"/>
              </w:rPr>
              <w:t>Загальна характеристика матеріалу</w:t>
            </w:r>
            <w:r>
              <w:rPr>
                <w:rFonts w:ascii="Times New Roman" w:hAnsi="Times New Roman"/>
                <w:sz w:val="28"/>
                <w:szCs w:val="28"/>
              </w:rPr>
              <w:t>……………………...</w:t>
            </w:r>
            <w:r w:rsidR="00A109C2">
              <w:rPr>
                <w:rFonts w:ascii="Times New Roman" w:hAnsi="Times New Roman"/>
                <w:sz w:val="28"/>
                <w:szCs w:val="28"/>
              </w:rPr>
              <w:t>.</w:t>
            </w:r>
          </w:p>
        </w:tc>
        <w:tc>
          <w:tcPr>
            <w:tcW w:w="856" w:type="dxa"/>
          </w:tcPr>
          <w:p w:rsidR="002A1381" w:rsidRPr="00090CE2" w:rsidRDefault="00996EB8"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64</w:t>
            </w:r>
          </w:p>
        </w:tc>
      </w:tr>
      <w:tr w:rsidR="004B2750" w:rsidTr="00090CE2">
        <w:tc>
          <w:tcPr>
            <w:tcW w:w="1560" w:type="dxa"/>
          </w:tcPr>
          <w:p w:rsidR="002A1381" w:rsidRPr="002A1381" w:rsidRDefault="002A1381"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2.2.</w:t>
            </w:r>
          </w:p>
        </w:tc>
        <w:tc>
          <w:tcPr>
            <w:tcW w:w="7229" w:type="dxa"/>
          </w:tcPr>
          <w:p w:rsidR="002A1381" w:rsidRDefault="002A1381" w:rsidP="002A1381">
            <w:pPr>
              <w:spacing w:line="360" w:lineRule="auto"/>
              <w:contextualSpacing/>
              <w:rPr>
                <w:rFonts w:ascii="Times New Roman" w:hAnsi="Times New Roman" w:cs="Times New Roman"/>
                <w:b/>
                <w:sz w:val="28"/>
                <w:szCs w:val="28"/>
              </w:rPr>
            </w:pPr>
            <w:r>
              <w:rPr>
                <w:rFonts w:ascii="Times New Roman" w:hAnsi="Times New Roman" w:cs="Times New Roman"/>
                <w:sz w:val="28"/>
              </w:rPr>
              <w:t>Характеристика методів</w:t>
            </w:r>
            <w:r w:rsidRPr="00755243">
              <w:rPr>
                <w:rFonts w:ascii="Times New Roman" w:hAnsi="Times New Roman" w:cs="Times New Roman"/>
                <w:sz w:val="28"/>
              </w:rPr>
              <w:t xml:space="preserve"> обстеження досліджуваних хворих</w:t>
            </w:r>
            <w:r>
              <w:rPr>
                <w:rFonts w:ascii="Times New Roman" w:hAnsi="Times New Roman" w:cs="Times New Roman"/>
                <w:sz w:val="28"/>
              </w:rPr>
              <w:t>……………………………………………………...</w:t>
            </w:r>
            <w:r w:rsidR="00A109C2">
              <w:rPr>
                <w:rFonts w:ascii="Times New Roman" w:hAnsi="Times New Roman" w:cs="Times New Roman"/>
                <w:sz w:val="28"/>
              </w:rPr>
              <w:t>.</w:t>
            </w:r>
          </w:p>
        </w:tc>
        <w:tc>
          <w:tcPr>
            <w:tcW w:w="856" w:type="dxa"/>
          </w:tcPr>
          <w:p w:rsidR="00090CE2" w:rsidRPr="00AF4B0A" w:rsidRDefault="00090CE2" w:rsidP="00372DBA">
            <w:pPr>
              <w:spacing w:line="360" w:lineRule="auto"/>
              <w:contextualSpacing/>
              <w:jc w:val="center"/>
              <w:rPr>
                <w:rFonts w:ascii="Times New Roman" w:hAnsi="Times New Roman" w:cs="Times New Roman"/>
                <w:sz w:val="28"/>
                <w:szCs w:val="28"/>
                <w:lang w:val="ru-RU"/>
              </w:rPr>
            </w:pPr>
          </w:p>
          <w:p w:rsidR="0091004F" w:rsidRPr="00090CE2" w:rsidRDefault="00996EB8"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65</w:t>
            </w:r>
          </w:p>
        </w:tc>
      </w:tr>
      <w:tr w:rsidR="004B2750"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2.3.</w:t>
            </w:r>
          </w:p>
        </w:tc>
        <w:tc>
          <w:tcPr>
            <w:tcW w:w="7229" w:type="dxa"/>
          </w:tcPr>
          <w:p w:rsidR="002A1381" w:rsidRDefault="00A109C2" w:rsidP="002A1381">
            <w:pPr>
              <w:spacing w:line="360" w:lineRule="auto"/>
              <w:contextualSpacing/>
              <w:rPr>
                <w:rFonts w:ascii="Times New Roman" w:hAnsi="Times New Roman" w:cs="Times New Roman"/>
                <w:b/>
                <w:sz w:val="28"/>
                <w:szCs w:val="28"/>
              </w:rPr>
            </w:pPr>
            <w:r>
              <w:rPr>
                <w:rFonts w:ascii="Times New Roman" w:hAnsi="Times New Roman" w:cs="Times New Roman"/>
                <w:sz w:val="28"/>
              </w:rPr>
              <w:t>Характеристика методів</w:t>
            </w:r>
            <w:r w:rsidRPr="00755243">
              <w:rPr>
                <w:rFonts w:ascii="Times New Roman" w:hAnsi="Times New Roman" w:cs="Times New Roman"/>
                <w:sz w:val="28"/>
              </w:rPr>
              <w:t xml:space="preserve"> </w:t>
            </w:r>
            <w:r>
              <w:rPr>
                <w:rFonts w:ascii="Times New Roman" w:hAnsi="Times New Roman" w:cs="Times New Roman"/>
                <w:sz w:val="28"/>
              </w:rPr>
              <w:t>лікування досліджуваних хворих……………………………………………………….</w:t>
            </w:r>
          </w:p>
        </w:tc>
        <w:tc>
          <w:tcPr>
            <w:tcW w:w="856" w:type="dxa"/>
          </w:tcPr>
          <w:p w:rsidR="00090CE2" w:rsidRPr="00AF4B0A" w:rsidRDefault="00090CE2" w:rsidP="00372DBA">
            <w:pPr>
              <w:spacing w:line="360" w:lineRule="auto"/>
              <w:contextualSpacing/>
              <w:jc w:val="center"/>
              <w:rPr>
                <w:rFonts w:ascii="Times New Roman" w:hAnsi="Times New Roman" w:cs="Times New Roman"/>
                <w:sz w:val="28"/>
                <w:szCs w:val="28"/>
                <w:lang w:val="ru-RU"/>
              </w:rPr>
            </w:pPr>
          </w:p>
          <w:p w:rsidR="0091004F" w:rsidRPr="00090CE2" w:rsidRDefault="00996EB8"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76</w:t>
            </w:r>
          </w:p>
        </w:tc>
      </w:tr>
      <w:tr w:rsidR="004B2750"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2.4.</w:t>
            </w:r>
          </w:p>
        </w:tc>
        <w:tc>
          <w:tcPr>
            <w:tcW w:w="7229" w:type="dxa"/>
          </w:tcPr>
          <w:p w:rsidR="00DC7B0B" w:rsidRPr="00090CE2" w:rsidRDefault="00A109C2" w:rsidP="002A1381">
            <w:pPr>
              <w:spacing w:line="360" w:lineRule="auto"/>
              <w:contextualSpacing/>
              <w:rPr>
                <w:rFonts w:ascii="Times New Roman" w:hAnsi="Times New Roman" w:cs="Times New Roman"/>
                <w:sz w:val="28"/>
              </w:rPr>
            </w:pPr>
            <w:r w:rsidRPr="00755243">
              <w:rPr>
                <w:rFonts w:ascii="Times New Roman" w:hAnsi="Times New Roman" w:cs="Times New Roman"/>
                <w:sz w:val="28"/>
              </w:rPr>
              <w:t>Методи статистичної обробки отриманих результатів</w:t>
            </w:r>
            <w:r>
              <w:rPr>
                <w:rFonts w:ascii="Times New Roman" w:hAnsi="Times New Roman" w:cs="Times New Roman"/>
                <w:sz w:val="28"/>
              </w:rPr>
              <w:t>….</w:t>
            </w:r>
          </w:p>
        </w:tc>
        <w:tc>
          <w:tcPr>
            <w:tcW w:w="856" w:type="dxa"/>
          </w:tcPr>
          <w:p w:rsidR="002A1381" w:rsidRPr="00E22E00" w:rsidRDefault="00996EB8"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79</w:t>
            </w:r>
          </w:p>
        </w:tc>
      </w:tr>
      <w:tr w:rsidR="004B2750" w:rsidTr="00090CE2">
        <w:tc>
          <w:tcPr>
            <w:tcW w:w="1560" w:type="dxa"/>
          </w:tcPr>
          <w:p w:rsidR="002A1381" w:rsidRPr="002A1381" w:rsidRDefault="00A109C2" w:rsidP="00A109C2">
            <w:pPr>
              <w:spacing w:line="360" w:lineRule="auto"/>
              <w:contextualSpacing/>
              <w:rPr>
                <w:rFonts w:ascii="Times New Roman" w:hAnsi="Times New Roman" w:cs="Times New Roman"/>
                <w:sz w:val="28"/>
                <w:szCs w:val="28"/>
              </w:rPr>
            </w:pPr>
            <w:r>
              <w:rPr>
                <w:rFonts w:ascii="Times New Roman" w:hAnsi="Times New Roman" w:cs="Times New Roman"/>
                <w:sz w:val="28"/>
                <w:szCs w:val="28"/>
              </w:rPr>
              <w:t>РОЗДІЛ 3.</w:t>
            </w:r>
          </w:p>
        </w:tc>
        <w:tc>
          <w:tcPr>
            <w:tcW w:w="7229" w:type="dxa"/>
          </w:tcPr>
          <w:p w:rsidR="002A1381" w:rsidRPr="00E22E00" w:rsidRDefault="00A109C2" w:rsidP="002A1381">
            <w:pPr>
              <w:spacing w:line="360" w:lineRule="auto"/>
              <w:contextualSpacing/>
              <w:rPr>
                <w:rFonts w:ascii="Times New Roman" w:hAnsi="Times New Roman" w:cs="Times New Roman"/>
                <w:sz w:val="28"/>
                <w:szCs w:val="28"/>
                <w:lang w:val="ru-RU"/>
              </w:rPr>
            </w:pPr>
            <w:r w:rsidRPr="00755243">
              <w:rPr>
                <w:rFonts w:ascii="Times New Roman" w:hAnsi="Times New Roman" w:cs="Times New Roman"/>
                <w:sz w:val="28"/>
                <w:szCs w:val="28"/>
              </w:rPr>
              <w:t>ПРОМЕНЕВІ БІОМАРКЕРИ В ІННОВАЦІЙНИХ ПІДХОДАХ ДО ПРОБЛЕМИ ДІАГНОСТИКИ НИРКОВО-КЛІТИННОГО РАКУ</w:t>
            </w:r>
            <w:r>
              <w:rPr>
                <w:rFonts w:ascii="Times New Roman" w:hAnsi="Times New Roman" w:cs="Times New Roman"/>
                <w:sz w:val="28"/>
                <w:szCs w:val="28"/>
              </w:rPr>
              <w:t>………………………</w:t>
            </w:r>
            <w:r w:rsidR="00E22E00" w:rsidRPr="00E22E00">
              <w:rPr>
                <w:rFonts w:ascii="Times New Roman" w:hAnsi="Times New Roman" w:cs="Times New Roman"/>
                <w:sz w:val="28"/>
                <w:szCs w:val="28"/>
                <w:lang w:val="ru-RU"/>
              </w:rPr>
              <w:t>..</w:t>
            </w:r>
          </w:p>
        </w:tc>
        <w:tc>
          <w:tcPr>
            <w:tcW w:w="856" w:type="dxa"/>
          </w:tcPr>
          <w:p w:rsidR="0091004F" w:rsidRDefault="0091004F" w:rsidP="00372DBA">
            <w:pPr>
              <w:spacing w:line="360" w:lineRule="auto"/>
              <w:contextualSpacing/>
              <w:jc w:val="center"/>
              <w:rPr>
                <w:rFonts w:ascii="Times New Roman" w:hAnsi="Times New Roman" w:cs="Times New Roman"/>
                <w:sz w:val="28"/>
                <w:szCs w:val="28"/>
              </w:rPr>
            </w:pPr>
          </w:p>
          <w:p w:rsidR="00E22E00" w:rsidRDefault="00E22E00" w:rsidP="00372DBA">
            <w:pPr>
              <w:spacing w:line="360" w:lineRule="auto"/>
              <w:contextualSpacing/>
              <w:jc w:val="center"/>
              <w:rPr>
                <w:rFonts w:ascii="Times New Roman" w:hAnsi="Times New Roman" w:cs="Times New Roman"/>
                <w:sz w:val="28"/>
                <w:szCs w:val="28"/>
              </w:rPr>
            </w:pPr>
          </w:p>
          <w:p w:rsidR="00E22E00" w:rsidRPr="00E22E00" w:rsidRDefault="00996EB8"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81</w:t>
            </w:r>
          </w:p>
        </w:tc>
      </w:tr>
      <w:tr w:rsidR="004B2750"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3.1.</w:t>
            </w:r>
          </w:p>
        </w:tc>
        <w:tc>
          <w:tcPr>
            <w:tcW w:w="7229" w:type="dxa"/>
          </w:tcPr>
          <w:p w:rsidR="002A1381" w:rsidRPr="00E22E00" w:rsidRDefault="00A109C2" w:rsidP="00A109C2">
            <w:pPr>
              <w:spacing w:line="360" w:lineRule="auto"/>
              <w:contextualSpacing/>
              <w:rPr>
                <w:rFonts w:ascii="Times New Roman" w:hAnsi="Times New Roman" w:cs="Times New Roman"/>
                <w:sz w:val="28"/>
                <w:szCs w:val="28"/>
                <w:lang w:val="ru-RU"/>
              </w:rPr>
            </w:pPr>
            <w:r>
              <w:rPr>
                <w:rFonts w:ascii="Times New Roman" w:hAnsi="Times New Roman" w:cs="Times New Roman"/>
                <w:sz w:val="28"/>
                <w:szCs w:val="28"/>
              </w:rPr>
              <w:t>Диференційна діагностика малих ниркових новоутворів.</w:t>
            </w:r>
            <w:r w:rsidR="00E22E00" w:rsidRPr="00E22E00">
              <w:rPr>
                <w:rFonts w:ascii="Times New Roman" w:hAnsi="Times New Roman" w:cs="Times New Roman"/>
                <w:sz w:val="28"/>
                <w:szCs w:val="28"/>
                <w:lang w:val="ru-RU"/>
              </w:rPr>
              <w:t>.</w:t>
            </w:r>
          </w:p>
        </w:tc>
        <w:tc>
          <w:tcPr>
            <w:tcW w:w="856" w:type="dxa"/>
          </w:tcPr>
          <w:p w:rsidR="002A1381" w:rsidRPr="00E22E00" w:rsidRDefault="00996EB8"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82</w:t>
            </w:r>
          </w:p>
        </w:tc>
      </w:tr>
      <w:tr w:rsidR="004B2750"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3.2.</w:t>
            </w:r>
          </w:p>
        </w:tc>
        <w:tc>
          <w:tcPr>
            <w:tcW w:w="7229" w:type="dxa"/>
          </w:tcPr>
          <w:p w:rsidR="002A1381" w:rsidRDefault="00A109C2" w:rsidP="002A1381">
            <w:pPr>
              <w:spacing w:line="360" w:lineRule="auto"/>
              <w:contextualSpacing/>
              <w:rPr>
                <w:rFonts w:ascii="Times New Roman" w:hAnsi="Times New Roman" w:cs="Times New Roman"/>
                <w:sz w:val="28"/>
                <w:szCs w:val="28"/>
              </w:rPr>
            </w:pPr>
            <w:r w:rsidRPr="00BA1BF3">
              <w:rPr>
                <w:rFonts w:ascii="Times New Roman" w:hAnsi="Times New Roman" w:cs="Times New Roman"/>
                <w:sz w:val="28"/>
                <w:szCs w:val="28"/>
              </w:rPr>
              <w:t>Диференційна діагностика НКР розміром понад 4 см</w:t>
            </w:r>
            <w:r>
              <w:rPr>
                <w:rFonts w:ascii="Times New Roman" w:hAnsi="Times New Roman" w:cs="Times New Roman"/>
                <w:sz w:val="28"/>
                <w:szCs w:val="28"/>
              </w:rPr>
              <w:t>…..</w:t>
            </w:r>
          </w:p>
          <w:p w:rsidR="00090CE2" w:rsidRDefault="00090CE2" w:rsidP="002A1381">
            <w:pPr>
              <w:spacing w:line="360" w:lineRule="auto"/>
              <w:contextualSpacing/>
              <w:rPr>
                <w:rFonts w:ascii="Times New Roman" w:hAnsi="Times New Roman" w:cs="Times New Roman"/>
                <w:sz w:val="28"/>
                <w:szCs w:val="28"/>
              </w:rPr>
            </w:pPr>
          </w:p>
          <w:p w:rsidR="00090CE2" w:rsidRDefault="00090CE2" w:rsidP="002A1381">
            <w:pPr>
              <w:spacing w:line="360" w:lineRule="auto"/>
              <w:contextualSpacing/>
              <w:rPr>
                <w:rFonts w:ascii="Times New Roman" w:hAnsi="Times New Roman" w:cs="Times New Roman"/>
                <w:b/>
                <w:sz w:val="28"/>
                <w:szCs w:val="28"/>
              </w:rPr>
            </w:pPr>
          </w:p>
        </w:tc>
        <w:tc>
          <w:tcPr>
            <w:tcW w:w="856" w:type="dxa"/>
          </w:tcPr>
          <w:p w:rsidR="002A1381" w:rsidRPr="00E22E00" w:rsidRDefault="00996EB8" w:rsidP="00372DBA">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136</w:t>
            </w:r>
          </w:p>
        </w:tc>
      </w:tr>
      <w:tr w:rsidR="004B2750" w:rsidTr="00090CE2">
        <w:tc>
          <w:tcPr>
            <w:tcW w:w="1560" w:type="dxa"/>
          </w:tcPr>
          <w:p w:rsidR="002A1381" w:rsidRPr="002A1381" w:rsidRDefault="00A109C2" w:rsidP="00090CE2">
            <w:pPr>
              <w:spacing w:line="360" w:lineRule="auto"/>
              <w:contextualSpacing/>
              <w:rPr>
                <w:rFonts w:ascii="Times New Roman" w:hAnsi="Times New Roman" w:cs="Times New Roman"/>
                <w:sz w:val="28"/>
                <w:szCs w:val="28"/>
              </w:rPr>
            </w:pPr>
            <w:r w:rsidRPr="00755243">
              <w:rPr>
                <w:rFonts w:ascii="Times New Roman" w:hAnsi="Times New Roman" w:cs="Times New Roman"/>
                <w:sz w:val="28"/>
                <w:szCs w:val="28"/>
              </w:rPr>
              <w:lastRenderedPageBreak/>
              <w:t>РОЗДІЛ 4.</w:t>
            </w:r>
          </w:p>
        </w:tc>
        <w:tc>
          <w:tcPr>
            <w:tcW w:w="7229" w:type="dxa"/>
          </w:tcPr>
          <w:p w:rsidR="002A1381" w:rsidRPr="00A109C2" w:rsidRDefault="00A109C2" w:rsidP="00582BAD">
            <w:pPr>
              <w:spacing w:line="360" w:lineRule="auto"/>
              <w:contextualSpacing/>
              <w:rPr>
                <w:rFonts w:ascii="Times New Roman" w:hAnsi="Times New Roman" w:cs="Times New Roman"/>
                <w:sz w:val="28"/>
                <w:szCs w:val="28"/>
              </w:rPr>
            </w:pPr>
            <w:r w:rsidRPr="00755243">
              <w:rPr>
                <w:rFonts w:ascii="Times New Roman" w:hAnsi="Times New Roman" w:cs="Times New Roman"/>
                <w:sz w:val="28"/>
                <w:szCs w:val="28"/>
              </w:rPr>
              <w:t xml:space="preserve">МОЛЕКУЛЯРНІ БІОМАРКЕРИ У ДІАГНОСТИЦІ ТА </w:t>
            </w:r>
            <w:r w:rsidR="00582BAD">
              <w:rPr>
                <w:rFonts w:ascii="Times New Roman" w:hAnsi="Times New Roman" w:cs="Times New Roman"/>
                <w:sz w:val="28"/>
                <w:szCs w:val="28"/>
              </w:rPr>
              <w:t>СКРИНІНГУ</w:t>
            </w:r>
            <w:r w:rsidRPr="00755243">
              <w:rPr>
                <w:rFonts w:ascii="Times New Roman" w:hAnsi="Times New Roman" w:cs="Times New Roman"/>
                <w:sz w:val="28"/>
                <w:szCs w:val="28"/>
              </w:rPr>
              <w:t xml:space="preserve"> ПІСЛЯОПЕРАЦІЙНОГО ПЕРІОДУ ХВОРИХ ІЗ </w:t>
            </w:r>
            <w:r w:rsidR="00E22E00" w:rsidRPr="00E22E00">
              <w:rPr>
                <w:rFonts w:ascii="Times New Roman" w:hAnsi="Times New Roman" w:cs="Times New Roman"/>
                <w:sz w:val="28"/>
                <w:szCs w:val="28"/>
              </w:rPr>
              <w:t>НКР</w:t>
            </w:r>
            <w:r>
              <w:rPr>
                <w:rFonts w:ascii="Times New Roman" w:hAnsi="Times New Roman" w:cs="Times New Roman"/>
                <w:sz w:val="28"/>
                <w:szCs w:val="28"/>
              </w:rPr>
              <w:t>………………………</w:t>
            </w:r>
            <w:r w:rsidR="00E22E00">
              <w:rPr>
                <w:rFonts w:ascii="Times New Roman" w:hAnsi="Times New Roman" w:cs="Times New Roman"/>
                <w:sz w:val="28"/>
                <w:szCs w:val="28"/>
              </w:rPr>
              <w:t>…………………….</w:t>
            </w:r>
          </w:p>
        </w:tc>
        <w:tc>
          <w:tcPr>
            <w:tcW w:w="856" w:type="dxa"/>
          </w:tcPr>
          <w:p w:rsidR="00E22E00" w:rsidRDefault="00E22E00" w:rsidP="00372DBA">
            <w:pPr>
              <w:spacing w:line="360" w:lineRule="auto"/>
              <w:contextualSpacing/>
              <w:jc w:val="center"/>
              <w:rPr>
                <w:rFonts w:ascii="Times New Roman" w:hAnsi="Times New Roman" w:cs="Times New Roman"/>
                <w:sz w:val="28"/>
                <w:szCs w:val="28"/>
              </w:rPr>
            </w:pPr>
          </w:p>
          <w:p w:rsidR="00E22E00" w:rsidRDefault="00E22E00" w:rsidP="00372DBA">
            <w:pPr>
              <w:spacing w:line="360" w:lineRule="auto"/>
              <w:contextualSpacing/>
              <w:jc w:val="center"/>
              <w:rPr>
                <w:rFonts w:ascii="Times New Roman" w:hAnsi="Times New Roman" w:cs="Times New Roman"/>
                <w:sz w:val="28"/>
                <w:szCs w:val="28"/>
              </w:rPr>
            </w:pPr>
          </w:p>
          <w:p w:rsidR="0091004F"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187</w:t>
            </w:r>
          </w:p>
        </w:tc>
      </w:tr>
      <w:tr w:rsidR="004B2750"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4.1.</w:t>
            </w:r>
          </w:p>
        </w:tc>
        <w:tc>
          <w:tcPr>
            <w:tcW w:w="7229" w:type="dxa"/>
          </w:tcPr>
          <w:p w:rsidR="002A1381" w:rsidRDefault="00A109C2" w:rsidP="00582BAD">
            <w:pPr>
              <w:spacing w:line="360" w:lineRule="auto"/>
              <w:contextualSpacing/>
              <w:rPr>
                <w:rFonts w:ascii="Times New Roman" w:hAnsi="Times New Roman" w:cs="Times New Roman"/>
                <w:b/>
                <w:sz w:val="28"/>
                <w:szCs w:val="28"/>
              </w:rPr>
            </w:pPr>
            <w:r>
              <w:rPr>
                <w:rFonts w:ascii="Times New Roman" w:hAnsi="Times New Roman" w:cs="Times New Roman"/>
                <w:sz w:val="28"/>
              </w:rPr>
              <w:t xml:space="preserve">Діагностика </w:t>
            </w:r>
            <w:r w:rsidRPr="00755243">
              <w:rPr>
                <w:rFonts w:ascii="Times New Roman" w:hAnsi="Times New Roman" w:cs="Times New Roman"/>
                <w:sz w:val="28"/>
              </w:rPr>
              <w:t>НКР</w:t>
            </w:r>
            <w:r w:rsidRPr="009E6C7E">
              <w:rPr>
                <w:rFonts w:ascii="Times New Roman" w:hAnsi="Times New Roman" w:cs="Times New Roman"/>
                <w:sz w:val="28"/>
                <w:lang w:val="ru-RU"/>
              </w:rPr>
              <w:t xml:space="preserve"> </w:t>
            </w:r>
            <w:r>
              <w:rPr>
                <w:rFonts w:ascii="Times New Roman" w:hAnsi="Times New Roman" w:cs="Times New Roman"/>
                <w:sz w:val="28"/>
              </w:rPr>
              <w:t xml:space="preserve">та </w:t>
            </w:r>
            <w:r w:rsidR="00582BAD">
              <w:rPr>
                <w:rFonts w:ascii="Times New Roman" w:hAnsi="Times New Roman" w:cs="Times New Roman"/>
                <w:sz w:val="28"/>
              </w:rPr>
              <w:t>скринінг</w:t>
            </w:r>
            <w:r>
              <w:rPr>
                <w:rFonts w:ascii="Times New Roman" w:hAnsi="Times New Roman" w:cs="Times New Roman"/>
                <w:sz w:val="28"/>
              </w:rPr>
              <w:t xml:space="preserve"> післяопераційного періоду</w:t>
            </w:r>
            <w:r w:rsidRPr="00755243">
              <w:rPr>
                <w:rFonts w:ascii="Times New Roman" w:hAnsi="Times New Roman" w:cs="Times New Roman"/>
                <w:sz w:val="28"/>
              </w:rPr>
              <w:t xml:space="preserve"> </w:t>
            </w:r>
            <w:r>
              <w:rPr>
                <w:rFonts w:ascii="Times New Roman" w:hAnsi="Times New Roman" w:cs="Times New Roman"/>
                <w:sz w:val="28"/>
              </w:rPr>
              <w:t>на основі</w:t>
            </w:r>
            <w:r w:rsidRPr="00755243">
              <w:rPr>
                <w:rFonts w:ascii="Times New Roman" w:hAnsi="Times New Roman" w:cs="Times New Roman"/>
                <w:sz w:val="28"/>
              </w:rPr>
              <w:t xml:space="preserve"> </w:t>
            </w:r>
            <w:r>
              <w:rPr>
                <w:rFonts w:ascii="Times New Roman" w:hAnsi="Times New Roman" w:cs="Times New Roman"/>
                <w:sz w:val="28"/>
              </w:rPr>
              <w:t xml:space="preserve">визначення </w:t>
            </w:r>
            <w:r w:rsidRPr="00755243">
              <w:rPr>
                <w:rFonts w:ascii="Times New Roman" w:hAnsi="Times New Roman" w:cs="Times New Roman"/>
                <w:sz w:val="28"/>
              </w:rPr>
              <w:t xml:space="preserve">експресії </w:t>
            </w:r>
            <w:r w:rsidR="00E22E00">
              <w:rPr>
                <w:rFonts w:ascii="Times New Roman" w:hAnsi="Times New Roman" w:cs="Times New Roman"/>
                <w:sz w:val="28"/>
                <w:lang w:val="en-US"/>
              </w:rPr>
              <w:t>miR</w:t>
            </w:r>
            <w:r>
              <w:rPr>
                <w:rFonts w:ascii="Times New Roman" w:hAnsi="Times New Roman" w:cs="Times New Roman"/>
                <w:sz w:val="28"/>
              </w:rPr>
              <w:t>-15а</w:t>
            </w:r>
            <w:r w:rsidRPr="00755243">
              <w:rPr>
                <w:rFonts w:ascii="Times New Roman" w:hAnsi="Times New Roman" w:cs="Times New Roman"/>
                <w:sz w:val="28"/>
              </w:rPr>
              <w:t xml:space="preserve"> </w:t>
            </w:r>
            <w:r>
              <w:rPr>
                <w:rFonts w:ascii="Times New Roman" w:hAnsi="Times New Roman" w:cs="Times New Roman"/>
                <w:sz w:val="28"/>
              </w:rPr>
              <w:t>в сечі</w:t>
            </w:r>
            <w:r w:rsidR="00E22E00">
              <w:rPr>
                <w:rFonts w:ascii="Times New Roman" w:hAnsi="Times New Roman" w:cs="Times New Roman"/>
                <w:sz w:val="28"/>
              </w:rPr>
              <w:t>…...</w:t>
            </w:r>
          </w:p>
        </w:tc>
        <w:tc>
          <w:tcPr>
            <w:tcW w:w="856" w:type="dxa"/>
          </w:tcPr>
          <w:p w:rsidR="0091004F" w:rsidRDefault="0091004F" w:rsidP="0091004F">
            <w:pPr>
              <w:spacing w:line="360" w:lineRule="auto"/>
              <w:contextualSpacing/>
              <w:jc w:val="center"/>
              <w:rPr>
                <w:rFonts w:ascii="Times New Roman" w:hAnsi="Times New Roman" w:cs="Times New Roman"/>
                <w:sz w:val="28"/>
                <w:szCs w:val="28"/>
              </w:rPr>
            </w:pPr>
          </w:p>
          <w:p w:rsidR="00E22E00" w:rsidRPr="0091004F" w:rsidRDefault="00996EB8" w:rsidP="0091004F">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187</w:t>
            </w:r>
          </w:p>
        </w:tc>
      </w:tr>
      <w:tr w:rsidR="004B2750"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4.2.</w:t>
            </w:r>
          </w:p>
        </w:tc>
        <w:tc>
          <w:tcPr>
            <w:tcW w:w="7229" w:type="dxa"/>
          </w:tcPr>
          <w:p w:rsidR="002A1381" w:rsidRDefault="00A109C2" w:rsidP="002A1381">
            <w:pPr>
              <w:spacing w:line="360" w:lineRule="auto"/>
              <w:contextualSpacing/>
              <w:rPr>
                <w:rFonts w:ascii="Times New Roman" w:hAnsi="Times New Roman" w:cs="Times New Roman"/>
                <w:b/>
                <w:sz w:val="28"/>
                <w:szCs w:val="28"/>
              </w:rPr>
            </w:pPr>
            <w:r w:rsidRPr="00755243">
              <w:rPr>
                <w:rFonts w:ascii="Times New Roman" w:hAnsi="Times New Roman" w:cs="Times New Roman"/>
                <w:sz w:val="28"/>
                <w:szCs w:val="28"/>
              </w:rPr>
              <w:t xml:space="preserve">Дослідження </w:t>
            </w:r>
            <w:r>
              <w:rPr>
                <w:rFonts w:ascii="Times New Roman" w:hAnsi="Times New Roman" w:cs="Times New Roman"/>
                <w:sz w:val="28"/>
                <w:szCs w:val="28"/>
              </w:rPr>
              <w:t>загальної</w:t>
            </w:r>
            <w:r w:rsidRPr="00755243">
              <w:rPr>
                <w:rFonts w:ascii="Times New Roman" w:hAnsi="Times New Roman" w:cs="Times New Roman"/>
                <w:sz w:val="28"/>
                <w:szCs w:val="28"/>
              </w:rPr>
              <w:t xml:space="preserve"> РНК у сечі хворих із НКР</w:t>
            </w:r>
            <w:r>
              <w:rPr>
                <w:rFonts w:ascii="Times New Roman" w:hAnsi="Times New Roman" w:cs="Times New Roman"/>
                <w:sz w:val="28"/>
                <w:szCs w:val="28"/>
              </w:rPr>
              <w:t>……….</w:t>
            </w:r>
            <w:r w:rsidR="00E22E00">
              <w:rPr>
                <w:rFonts w:ascii="Times New Roman" w:hAnsi="Times New Roman" w:cs="Times New Roman"/>
                <w:sz w:val="28"/>
                <w:szCs w:val="28"/>
              </w:rPr>
              <w:t>.</w:t>
            </w:r>
          </w:p>
        </w:tc>
        <w:tc>
          <w:tcPr>
            <w:tcW w:w="856" w:type="dxa"/>
          </w:tcPr>
          <w:p w:rsidR="002A1381"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195</w:t>
            </w:r>
          </w:p>
        </w:tc>
      </w:tr>
      <w:tr w:rsidR="004B2750" w:rsidTr="00090CE2">
        <w:tc>
          <w:tcPr>
            <w:tcW w:w="1560" w:type="dxa"/>
          </w:tcPr>
          <w:p w:rsidR="00A109C2" w:rsidRPr="00755243" w:rsidRDefault="00A109C2" w:rsidP="00A109C2">
            <w:pPr>
              <w:spacing w:line="360" w:lineRule="auto"/>
              <w:contextualSpacing/>
              <w:rPr>
                <w:rFonts w:ascii="Times New Roman" w:hAnsi="Times New Roman" w:cs="Times New Roman"/>
                <w:sz w:val="28"/>
                <w:szCs w:val="28"/>
              </w:rPr>
            </w:pPr>
            <w:r>
              <w:rPr>
                <w:rFonts w:ascii="Times New Roman" w:hAnsi="Times New Roman" w:cs="Times New Roman"/>
                <w:sz w:val="28"/>
                <w:szCs w:val="28"/>
              </w:rPr>
              <w:t>РОЗДІЛ 5</w:t>
            </w:r>
            <w:r w:rsidRPr="00755243">
              <w:rPr>
                <w:rFonts w:ascii="Times New Roman" w:hAnsi="Times New Roman" w:cs="Times New Roman"/>
                <w:sz w:val="28"/>
                <w:szCs w:val="28"/>
              </w:rPr>
              <w:t xml:space="preserve">. </w:t>
            </w:r>
          </w:p>
          <w:p w:rsidR="002A1381" w:rsidRPr="002A1381" w:rsidRDefault="002A1381" w:rsidP="002A1381">
            <w:pPr>
              <w:spacing w:line="360" w:lineRule="auto"/>
              <w:contextualSpacing/>
              <w:jc w:val="right"/>
              <w:rPr>
                <w:rFonts w:ascii="Times New Roman" w:hAnsi="Times New Roman" w:cs="Times New Roman"/>
                <w:sz w:val="28"/>
                <w:szCs w:val="28"/>
              </w:rPr>
            </w:pPr>
          </w:p>
        </w:tc>
        <w:tc>
          <w:tcPr>
            <w:tcW w:w="7229" w:type="dxa"/>
          </w:tcPr>
          <w:p w:rsidR="002A1381" w:rsidRDefault="00A109C2" w:rsidP="00582BAD">
            <w:pPr>
              <w:spacing w:line="360" w:lineRule="auto"/>
              <w:contextualSpacing/>
              <w:rPr>
                <w:rFonts w:ascii="Times New Roman" w:hAnsi="Times New Roman" w:cs="Times New Roman"/>
                <w:b/>
                <w:sz w:val="28"/>
                <w:szCs w:val="28"/>
              </w:rPr>
            </w:pPr>
            <w:r w:rsidRPr="00755243">
              <w:rPr>
                <w:rFonts w:ascii="Times New Roman" w:hAnsi="Times New Roman" w:cs="Times New Roman"/>
                <w:sz w:val="28"/>
                <w:szCs w:val="28"/>
              </w:rPr>
              <w:t xml:space="preserve">ЗАСТОСУВАННЯ ПРОМЕНЕВИХ БІОМАРКЕРІВ ДЛЯ </w:t>
            </w:r>
            <w:r w:rsidR="00582BAD">
              <w:rPr>
                <w:rFonts w:ascii="Times New Roman" w:hAnsi="Times New Roman" w:cs="Times New Roman"/>
                <w:sz w:val="28"/>
                <w:szCs w:val="28"/>
              </w:rPr>
              <w:t>ПРОГНОЗУВАННЯ</w:t>
            </w:r>
            <w:r w:rsidRPr="00755243">
              <w:rPr>
                <w:rFonts w:ascii="Times New Roman" w:hAnsi="Times New Roman" w:cs="Times New Roman"/>
                <w:sz w:val="28"/>
                <w:szCs w:val="28"/>
              </w:rPr>
              <w:t xml:space="preserve"> ЕФЕКТИВНОСТІ ЛІКУВАННЯ ЛОКАЛЬНИХ </w:t>
            </w:r>
            <w:r>
              <w:rPr>
                <w:rFonts w:ascii="Times New Roman" w:hAnsi="Times New Roman" w:cs="Times New Roman"/>
                <w:sz w:val="28"/>
                <w:szCs w:val="28"/>
              </w:rPr>
              <w:t>І</w:t>
            </w:r>
            <w:r w:rsidRPr="00755243">
              <w:rPr>
                <w:rFonts w:ascii="Times New Roman" w:hAnsi="Times New Roman" w:cs="Times New Roman"/>
                <w:sz w:val="28"/>
                <w:szCs w:val="28"/>
              </w:rPr>
              <w:t xml:space="preserve"> РОЗПОВСЮДЖЕНИХ ФОРМ </w:t>
            </w:r>
            <w:r>
              <w:rPr>
                <w:rFonts w:ascii="Times New Roman" w:hAnsi="Times New Roman" w:cs="Times New Roman"/>
                <w:sz w:val="28"/>
                <w:szCs w:val="28"/>
              </w:rPr>
              <w:t>НКР</w:t>
            </w:r>
            <w:r w:rsidRPr="00755243">
              <w:rPr>
                <w:rFonts w:ascii="Times New Roman" w:hAnsi="Times New Roman" w:cs="Times New Roman"/>
                <w:sz w:val="28"/>
                <w:szCs w:val="28"/>
              </w:rPr>
              <w:t xml:space="preserve"> ТА ДІАГНОСТИКИ ЙОГО </w:t>
            </w:r>
            <w:r>
              <w:rPr>
                <w:rFonts w:ascii="Times New Roman" w:hAnsi="Times New Roman" w:cs="Times New Roman"/>
                <w:sz w:val="28"/>
                <w:szCs w:val="28"/>
              </w:rPr>
              <w:t xml:space="preserve">ЛОКАЛЬНОГО </w:t>
            </w:r>
            <w:r w:rsidRPr="00755243">
              <w:rPr>
                <w:rFonts w:ascii="Times New Roman" w:hAnsi="Times New Roman" w:cs="Times New Roman"/>
                <w:sz w:val="28"/>
                <w:szCs w:val="28"/>
              </w:rPr>
              <w:t>РЕЦИДИВУ</w:t>
            </w:r>
            <w:r>
              <w:rPr>
                <w:rFonts w:ascii="Times New Roman" w:hAnsi="Times New Roman" w:cs="Times New Roman"/>
                <w:sz w:val="28"/>
                <w:szCs w:val="28"/>
              </w:rPr>
              <w:t>…..</w:t>
            </w:r>
          </w:p>
        </w:tc>
        <w:tc>
          <w:tcPr>
            <w:tcW w:w="856" w:type="dxa"/>
          </w:tcPr>
          <w:p w:rsidR="0091004F" w:rsidRDefault="0091004F" w:rsidP="00372DBA">
            <w:pPr>
              <w:spacing w:line="360" w:lineRule="auto"/>
              <w:contextualSpacing/>
              <w:jc w:val="center"/>
              <w:rPr>
                <w:rFonts w:ascii="Times New Roman" w:hAnsi="Times New Roman" w:cs="Times New Roman"/>
                <w:sz w:val="28"/>
                <w:szCs w:val="28"/>
              </w:rPr>
            </w:pPr>
          </w:p>
          <w:p w:rsidR="00E22E00" w:rsidRDefault="00E22E00" w:rsidP="00372DBA">
            <w:pPr>
              <w:spacing w:line="360" w:lineRule="auto"/>
              <w:contextualSpacing/>
              <w:jc w:val="center"/>
              <w:rPr>
                <w:rFonts w:ascii="Times New Roman" w:hAnsi="Times New Roman" w:cs="Times New Roman"/>
                <w:sz w:val="28"/>
                <w:szCs w:val="28"/>
              </w:rPr>
            </w:pPr>
          </w:p>
          <w:p w:rsidR="00E22E00" w:rsidRDefault="00E22E00" w:rsidP="00372DBA">
            <w:pPr>
              <w:spacing w:line="360" w:lineRule="auto"/>
              <w:contextualSpacing/>
              <w:jc w:val="center"/>
              <w:rPr>
                <w:rFonts w:ascii="Times New Roman" w:hAnsi="Times New Roman" w:cs="Times New Roman"/>
                <w:sz w:val="28"/>
                <w:szCs w:val="28"/>
              </w:rPr>
            </w:pPr>
          </w:p>
          <w:p w:rsidR="00E22E0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198</w:t>
            </w:r>
          </w:p>
        </w:tc>
      </w:tr>
      <w:tr w:rsidR="004B2750"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5.1.</w:t>
            </w:r>
          </w:p>
        </w:tc>
        <w:tc>
          <w:tcPr>
            <w:tcW w:w="7229" w:type="dxa"/>
          </w:tcPr>
          <w:p w:rsidR="002A1381" w:rsidRDefault="00582BAD" w:rsidP="002A1381">
            <w:pPr>
              <w:spacing w:line="360" w:lineRule="auto"/>
              <w:contextualSpacing/>
              <w:rPr>
                <w:rFonts w:ascii="Times New Roman" w:hAnsi="Times New Roman" w:cs="Times New Roman"/>
                <w:b/>
                <w:sz w:val="28"/>
                <w:szCs w:val="28"/>
              </w:rPr>
            </w:pPr>
            <w:r>
              <w:rPr>
                <w:rFonts w:ascii="Times New Roman" w:hAnsi="Times New Roman" w:cs="Times New Roman"/>
                <w:sz w:val="28"/>
                <w:szCs w:val="28"/>
              </w:rPr>
              <w:t>Прогнозування</w:t>
            </w:r>
            <w:r w:rsidR="00A109C2" w:rsidRPr="00755243">
              <w:rPr>
                <w:rFonts w:ascii="Times New Roman" w:hAnsi="Times New Roman" w:cs="Times New Roman"/>
                <w:sz w:val="28"/>
                <w:szCs w:val="28"/>
              </w:rPr>
              <w:t xml:space="preserve"> ефективності селективної емболізації ниркових артерій у хворих із локалізованим НКР</w:t>
            </w:r>
            <w:r w:rsidR="00A109C2">
              <w:rPr>
                <w:rFonts w:ascii="Times New Roman" w:hAnsi="Times New Roman" w:cs="Times New Roman"/>
                <w:sz w:val="28"/>
                <w:szCs w:val="28"/>
              </w:rPr>
              <w:t>……….</w:t>
            </w:r>
          </w:p>
        </w:tc>
        <w:tc>
          <w:tcPr>
            <w:tcW w:w="856" w:type="dxa"/>
          </w:tcPr>
          <w:p w:rsidR="00ED644E" w:rsidRDefault="00ED644E" w:rsidP="00372DBA">
            <w:pPr>
              <w:spacing w:line="360" w:lineRule="auto"/>
              <w:contextualSpacing/>
              <w:jc w:val="center"/>
              <w:rPr>
                <w:rFonts w:ascii="Times New Roman" w:hAnsi="Times New Roman" w:cs="Times New Roman"/>
                <w:sz w:val="28"/>
                <w:szCs w:val="28"/>
              </w:rPr>
            </w:pPr>
          </w:p>
          <w:p w:rsidR="00E22E00" w:rsidRPr="0091004F" w:rsidRDefault="00034E9D"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198</w:t>
            </w:r>
          </w:p>
        </w:tc>
      </w:tr>
      <w:tr w:rsidR="00A109C2"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5.2.</w:t>
            </w:r>
          </w:p>
        </w:tc>
        <w:tc>
          <w:tcPr>
            <w:tcW w:w="7229" w:type="dxa"/>
          </w:tcPr>
          <w:p w:rsidR="002A1381" w:rsidRDefault="00A109C2" w:rsidP="002A1381">
            <w:pPr>
              <w:spacing w:line="360" w:lineRule="auto"/>
              <w:contextualSpacing/>
              <w:rPr>
                <w:rFonts w:ascii="Times New Roman" w:hAnsi="Times New Roman" w:cs="Times New Roman"/>
                <w:b/>
                <w:sz w:val="28"/>
                <w:szCs w:val="28"/>
              </w:rPr>
            </w:pPr>
            <w:r w:rsidRPr="00755243">
              <w:rPr>
                <w:rFonts w:ascii="Times New Roman" w:hAnsi="Times New Roman" w:cs="Times New Roman"/>
                <w:sz w:val="28"/>
                <w:szCs w:val="28"/>
              </w:rPr>
              <w:t>Діагностика локального рецидиву після оперативного лікування НКР</w:t>
            </w:r>
            <w:r>
              <w:rPr>
                <w:rFonts w:ascii="Times New Roman" w:hAnsi="Times New Roman" w:cs="Times New Roman"/>
                <w:sz w:val="28"/>
                <w:szCs w:val="28"/>
              </w:rPr>
              <w:t>………………………………………………</w:t>
            </w:r>
          </w:p>
        </w:tc>
        <w:tc>
          <w:tcPr>
            <w:tcW w:w="856" w:type="dxa"/>
          </w:tcPr>
          <w:p w:rsidR="00ED644E" w:rsidRDefault="00ED644E" w:rsidP="00372DBA">
            <w:pPr>
              <w:spacing w:line="360" w:lineRule="auto"/>
              <w:contextualSpacing/>
              <w:jc w:val="center"/>
              <w:rPr>
                <w:rFonts w:ascii="Times New Roman" w:hAnsi="Times New Roman" w:cs="Times New Roman"/>
                <w:sz w:val="28"/>
                <w:szCs w:val="28"/>
              </w:rPr>
            </w:pPr>
          </w:p>
          <w:p w:rsidR="00E22E0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206</w:t>
            </w:r>
          </w:p>
        </w:tc>
      </w:tr>
      <w:tr w:rsidR="004B2750" w:rsidTr="00090CE2">
        <w:tc>
          <w:tcPr>
            <w:tcW w:w="1560" w:type="dxa"/>
          </w:tcPr>
          <w:p w:rsidR="002A1381" w:rsidRPr="002A1381"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5.3.</w:t>
            </w:r>
          </w:p>
        </w:tc>
        <w:tc>
          <w:tcPr>
            <w:tcW w:w="7229" w:type="dxa"/>
          </w:tcPr>
          <w:p w:rsidR="002A1381" w:rsidRDefault="00A109C2" w:rsidP="00582BAD">
            <w:pPr>
              <w:spacing w:line="360" w:lineRule="auto"/>
              <w:contextualSpacing/>
              <w:rPr>
                <w:rFonts w:ascii="Times New Roman" w:hAnsi="Times New Roman" w:cs="Times New Roman"/>
                <w:b/>
                <w:sz w:val="28"/>
                <w:szCs w:val="28"/>
              </w:rPr>
            </w:pPr>
            <w:r>
              <w:rPr>
                <w:rFonts w:ascii="Times New Roman" w:hAnsi="Times New Roman" w:cs="Times New Roman"/>
                <w:sz w:val="28"/>
                <w:szCs w:val="28"/>
              </w:rPr>
              <w:t>Оцінка</w:t>
            </w:r>
            <w:r w:rsidRPr="00755243">
              <w:rPr>
                <w:rFonts w:ascii="Times New Roman" w:hAnsi="Times New Roman" w:cs="Times New Roman"/>
                <w:sz w:val="28"/>
                <w:szCs w:val="28"/>
              </w:rPr>
              <w:t xml:space="preserve"> ранньої </w:t>
            </w:r>
            <w:r w:rsidR="00582BAD">
              <w:rPr>
                <w:rFonts w:ascii="Times New Roman" w:hAnsi="Times New Roman" w:cs="Times New Roman"/>
                <w:sz w:val="28"/>
                <w:szCs w:val="28"/>
              </w:rPr>
              <w:t>тканинної</w:t>
            </w:r>
            <w:r w:rsidRPr="00755243">
              <w:rPr>
                <w:rFonts w:ascii="Times New Roman" w:hAnsi="Times New Roman" w:cs="Times New Roman"/>
                <w:sz w:val="28"/>
                <w:szCs w:val="28"/>
              </w:rPr>
              <w:t xml:space="preserve"> відповіді при </w:t>
            </w:r>
            <w:r w:rsidR="00582BAD">
              <w:rPr>
                <w:rFonts w:ascii="Times New Roman" w:hAnsi="Times New Roman" w:cs="Times New Roman"/>
                <w:sz w:val="28"/>
                <w:szCs w:val="28"/>
              </w:rPr>
              <w:t>медикаментозній</w:t>
            </w:r>
            <w:r w:rsidRPr="00755243">
              <w:rPr>
                <w:rFonts w:ascii="Times New Roman" w:hAnsi="Times New Roman" w:cs="Times New Roman"/>
                <w:sz w:val="28"/>
                <w:szCs w:val="28"/>
              </w:rPr>
              <w:t xml:space="preserve"> терапії розповсюдженого НКР</w:t>
            </w:r>
            <w:r>
              <w:rPr>
                <w:rFonts w:ascii="Times New Roman" w:hAnsi="Times New Roman" w:cs="Times New Roman"/>
                <w:sz w:val="28"/>
                <w:szCs w:val="28"/>
              </w:rPr>
              <w:t>…………………………….</w:t>
            </w:r>
          </w:p>
        </w:tc>
        <w:tc>
          <w:tcPr>
            <w:tcW w:w="856" w:type="dxa"/>
          </w:tcPr>
          <w:p w:rsidR="00ED644E" w:rsidRDefault="00ED644E" w:rsidP="00372DBA">
            <w:pPr>
              <w:spacing w:line="360" w:lineRule="auto"/>
              <w:contextualSpacing/>
              <w:jc w:val="center"/>
              <w:rPr>
                <w:rFonts w:ascii="Times New Roman" w:hAnsi="Times New Roman" w:cs="Times New Roman"/>
                <w:sz w:val="28"/>
                <w:szCs w:val="28"/>
              </w:rPr>
            </w:pPr>
          </w:p>
          <w:p w:rsidR="00E22E0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212</w:t>
            </w:r>
          </w:p>
        </w:tc>
      </w:tr>
      <w:tr w:rsidR="00A109C2" w:rsidTr="00090CE2">
        <w:tc>
          <w:tcPr>
            <w:tcW w:w="1560" w:type="dxa"/>
          </w:tcPr>
          <w:p w:rsidR="00A109C2"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РОЗДІЛ 6</w:t>
            </w:r>
            <w:r w:rsidRPr="00755243">
              <w:rPr>
                <w:rFonts w:ascii="Times New Roman" w:hAnsi="Times New Roman" w:cs="Times New Roman"/>
                <w:sz w:val="28"/>
                <w:szCs w:val="28"/>
              </w:rPr>
              <w:t>.</w:t>
            </w:r>
          </w:p>
        </w:tc>
        <w:tc>
          <w:tcPr>
            <w:tcW w:w="7229" w:type="dxa"/>
          </w:tcPr>
          <w:p w:rsidR="00A109C2" w:rsidRDefault="00A109C2" w:rsidP="002A1381">
            <w:pPr>
              <w:spacing w:line="360" w:lineRule="auto"/>
              <w:contextualSpacing/>
              <w:rPr>
                <w:rFonts w:ascii="Times New Roman" w:hAnsi="Times New Roman" w:cs="Times New Roman"/>
                <w:sz w:val="28"/>
                <w:szCs w:val="28"/>
              </w:rPr>
            </w:pPr>
            <w:r w:rsidRPr="00755243">
              <w:rPr>
                <w:rFonts w:ascii="Times New Roman" w:hAnsi="Times New Roman" w:cs="Times New Roman"/>
                <w:sz w:val="28"/>
                <w:szCs w:val="28"/>
              </w:rPr>
              <w:t>ЗАСТО</w:t>
            </w:r>
            <w:r>
              <w:rPr>
                <w:rFonts w:ascii="Times New Roman" w:hAnsi="Times New Roman" w:cs="Times New Roman"/>
                <w:sz w:val="28"/>
                <w:szCs w:val="28"/>
              </w:rPr>
              <w:t>СУВАННЯ ТКАНИННОЇ ЕКСПРЕСІЇ</w:t>
            </w:r>
            <w:r w:rsidRPr="00755243">
              <w:rPr>
                <w:rFonts w:ascii="Times New Roman" w:hAnsi="Times New Roman" w:cs="Times New Roman"/>
                <w:sz w:val="28"/>
                <w:szCs w:val="28"/>
              </w:rPr>
              <w:t xml:space="preserve"> </w:t>
            </w:r>
            <w:r>
              <w:rPr>
                <w:rFonts w:ascii="Times New Roman" w:hAnsi="Times New Roman" w:cs="Times New Roman"/>
                <w:sz w:val="28"/>
              </w:rPr>
              <w:t>МІКРОРНК-15А</w:t>
            </w:r>
            <w:r w:rsidRPr="00755243">
              <w:rPr>
                <w:rFonts w:ascii="Times New Roman" w:hAnsi="Times New Roman" w:cs="Times New Roman"/>
                <w:sz w:val="28"/>
              </w:rPr>
              <w:t xml:space="preserve"> </w:t>
            </w:r>
            <w:r w:rsidRPr="00755243">
              <w:rPr>
                <w:rFonts w:ascii="Times New Roman" w:hAnsi="Times New Roman" w:cs="Times New Roman"/>
                <w:sz w:val="28"/>
                <w:szCs w:val="28"/>
              </w:rPr>
              <w:t>У ПРОГНОЗУВАННІ ВИЖИВАНОСТІ ХВ</w:t>
            </w:r>
            <w:r>
              <w:rPr>
                <w:rFonts w:ascii="Times New Roman" w:hAnsi="Times New Roman" w:cs="Times New Roman"/>
                <w:sz w:val="28"/>
                <w:szCs w:val="28"/>
              </w:rPr>
              <w:t>ОРИХ ІЗ НИРКОВО-КЛІТИННИМ РАКОМ……………………………………………………...</w:t>
            </w:r>
          </w:p>
        </w:tc>
        <w:tc>
          <w:tcPr>
            <w:tcW w:w="856" w:type="dxa"/>
          </w:tcPr>
          <w:p w:rsidR="00ED644E" w:rsidRDefault="00ED644E" w:rsidP="00372DBA">
            <w:pPr>
              <w:spacing w:line="360" w:lineRule="auto"/>
              <w:contextualSpacing/>
              <w:jc w:val="center"/>
              <w:rPr>
                <w:rFonts w:ascii="Times New Roman" w:hAnsi="Times New Roman" w:cs="Times New Roman"/>
                <w:sz w:val="28"/>
                <w:szCs w:val="28"/>
              </w:rPr>
            </w:pPr>
          </w:p>
          <w:p w:rsidR="00E22E00" w:rsidRDefault="00E22E00" w:rsidP="00372DBA">
            <w:pPr>
              <w:spacing w:line="360" w:lineRule="auto"/>
              <w:contextualSpacing/>
              <w:jc w:val="center"/>
              <w:rPr>
                <w:rFonts w:ascii="Times New Roman" w:hAnsi="Times New Roman" w:cs="Times New Roman"/>
                <w:sz w:val="28"/>
                <w:szCs w:val="28"/>
              </w:rPr>
            </w:pPr>
          </w:p>
          <w:p w:rsidR="00E22E00" w:rsidRDefault="00E22E00" w:rsidP="00372DBA">
            <w:pPr>
              <w:spacing w:line="360" w:lineRule="auto"/>
              <w:contextualSpacing/>
              <w:jc w:val="center"/>
              <w:rPr>
                <w:rFonts w:ascii="Times New Roman" w:hAnsi="Times New Roman" w:cs="Times New Roman"/>
                <w:sz w:val="28"/>
                <w:szCs w:val="28"/>
              </w:rPr>
            </w:pPr>
          </w:p>
          <w:p w:rsidR="00E22E0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222</w:t>
            </w:r>
          </w:p>
        </w:tc>
      </w:tr>
      <w:tr w:rsidR="00A109C2" w:rsidTr="00090CE2">
        <w:tc>
          <w:tcPr>
            <w:tcW w:w="1560" w:type="dxa"/>
          </w:tcPr>
          <w:p w:rsidR="00A109C2" w:rsidRDefault="00A109C2"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РОЗДІЛ 7</w:t>
            </w:r>
            <w:r w:rsidRPr="00755243">
              <w:rPr>
                <w:rFonts w:ascii="Times New Roman" w:hAnsi="Times New Roman" w:cs="Times New Roman"/>
                <w:sz w:val="28"/>
                <w:szCs w:val="28"/>
              </w:rPr>
              <w:t>.</w:t>
            </w:r>
          </w:p>
        </w:tc>
        <w:tc>
          <w:tcPr>
            <w:tcW w:w="7229" w:type="dxa"/>
          </w:tcPr>
          <w:p w:rsidR="00A109C2" w:rsidRDefault="00A109C2" w:rsidP="002A1381">
            <w:pPr>
              <w:spacing w:line="360" w:lineRule="auto"/>
              <w:contextualSpacing/>
              <w:rPr>
                <w:rFonts w:ascii="Times New Roman" w:hAnsi="Times New Roman" w:cs="Times New Roman"/>
                <w:sz w:val="28"/>
                <w:szCs w:val="28"/>
              </w:rPr>
            </w:pPr>
            <w:r w:rsidRPr="00755243">
              <w:rPr>
                <w:rFonts w:ascii="Times New Roman" w:hAnsi="Times New Roman" w:cs="Times New Roman"/>
                <w:sz w:val="28"/>
                <w:szCs w:val="28"/>
              </w:rPr>
              <w:t>РАДІОГЕНЕТИЧНИЙ АНАЛІЗ ПРИ ПЕРСОНАЛІЗОВАНОМУ ПІДХОДІ ДО ВЕДЕННЯ ХВ</w:t>
            </w:r>
            <w:r>
              <w:rPr>
                <w:rFonts w:ascii="Times New Roman" w:hAnsi="Times New Roman" w:cs="Times New Roman"/>
                <w:sz w:val="28"/>
                <w:szCs w:val="28"/>
              </w:rPr>
              <w:t>ОРИХ ІЗ НИРКОВО-КЛІТИННИМ РАКОМ………...</w:t>
            </w:r>
          </w:p>
        </w:tc>
        <w:tc>
          <w:tcPr>
            <w:tcW w:w="856" w:type="dxa"/>
          </w:tcPr>
          <w:p w:rsidR="00ED644E" w:rsidRDefault="00ED644E" w:rsidP="00ED644E">
            <w:pPr>
              <w:spacing w:line="360" w:lineRule="auto"/>
              <w:contextualSpacing/>
              <w:jc w:val="center"/>
              <w:rPr>
                <w:rFonts w:ascii="Times New Roman" w:hAnsi="Times New Roman" w:cs="Times New Roman"/>
                <w:sz w:val="28"/>
                <w:szCs w:val="28"/>
              </w:rPr>
            </w:pPr>
          </w:p>
          <w:p w:rsidR="00E22E00" w:rsidRDefault="00E22E00" w:rsidP="00ED644E">
            <w:pPr>
              <w:spacing w:line="360" w:lineRule="auto"/>
              <w:contextualSpacing/>
              <w:jc w:val="center"/>
              <w:rPr>
                <w:rFonts w:ascii="Times New Roman" w:hAnsi="Times New Roman" w:cs="Times New Roman"/>
                <w:sz w:val="28"/>
                <w:szCs w:val="28"/>
              </w:rPr>
            </w:pPr>
          </w:p>
          <w:p w:rsidR="00E22E00" w:rsidRPr="0091004F" w:rsidRDefault="00996EB8" w:rsidP="00ED644E">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231</w:t>
            </w:r>
          </w:p>
        </w:tc>
      </w:tr>
      <w:tr w:rsidR="00CB4995" w:rsidTr="00090CE2">
        <w:tc>
          <w:tcPr>
            <w:tcW w:w="1560" w:type="dxa"/>
          </w:tcPr>
          <w:p w:rsidR="00CB4995" w:rsidRDefault="00CB4995" w:rsidP="002A1381">
            <w:pPr>
              <w:spacing w:line="360" w:lineRule="auto"/>
              <w:contextualSpacing/>
              <w:jc w:val="right"/>
              <w:rPr>
                <w:rFonts w:ascii="Times New Roman" w:hAnsi="Times New Roman" w:cs="Times New Roman"/>
                <w:sz w:val="28"/>
                <w:szCs w:val="28"/>
              </w:rPr>
            </w:pPr>
            <w:r>
              <w:rPr>
                <w:rFonts w:ascii="Times New Roman" w:hAnsi="Times New Roman" w:cs="Times New Roman"/>
                <w:sz w:val="28"/>
                <w:szCs w:val="28"/>
              </w:rPr>
              <w:t>РОЗДІЛ 8</w:t>
            </w:r>
            <w:r w:rsidRPr="00755243">
              <w:rPr>
                <w:rFonts w:ascii="Times New Roman" w:hAnsi="Times New Roman" w:cs="Times New Roman"/>
                <w:sz w:val="28"/>
                <w:szCs w:val="28"/>
              </w:rPr>
              <w:t>.</w:t>
            </w:r>
          </w:p>
        </w:tc>
        <w:tc>
          <w:tcPr>
            <w:tcW w:w="7229" w:type="dxa"/>
          </w:tcPr>
          <w:p w:rsidR="00CB4995" w:rsidRPr="00755243" w:rsidRDefault="00CB4995" w:rsidP="002A1381">
            <w:pPr>
              <w:spacing w:line="360" w:lineRule="auto"/>
              <w:contextualSpacing/>
              <w:rPr>
                <w:rFonts w:ascii="Times New Roman" w:hAnsi="Times New Roman" w:cs="Times New Roman"/>
                <w:sz w:val="28"/>
                <w:szCs w:val="28"/>
              </w:rPr>
            </w:pPr>
            <w:r w:rsidRPr="00A379F1">
              <w:rPr>
                <w:rFonts w:ascii="Times New Roman" w:hAnsi="Times New Roman" w:cs="Times New Roman"/>
                <w:sz w:val="28"/>
                <w:szCs w:val="28"/>
              </w:rPr>
              <w:t>АНАЛІЗ І УЗАГАЛЬНЕННЯ ОТРИМАНИХ РЕЗУЛЬТАТІВ</w:t>
            </w:r>
            <w:r>
              <w:rPr>
                <w:rFonts w:ascii="Times New Roman" w:hAnsi="Times New Roman" w:cs="Times New Roman"/>
                <w:sz w:val="28"/>
                <w:szCs w:val="28"/>
              </w:rPr>
              <w:t>……………………………………………...</w:t>
            </w:r>
          </w:p>
        </w:tc>
        <w:tc>
          <w:tcPr>
            <w:tcW w:w="856" w:type="dxa"/>
          </w:tcPr>
          <w:p w:rsidR="00ED644E" w:rsidRDefault="00ED644E" w:rsidP="00372DBA">
            <w:pPr>
              <w:spacing w:line="360" w:lineRule="auto"/>
              <w:contextualSpacing/>
              <w:jc w:val="center"/>
              <w:rPr>
                <w:rFonts w:ascii="Times New Roman" w:hAnsi="Times New Roman" w:cs="Times New Roman"/>
                <w:sz w:val="28"/>
                <w:szCs w:val="28"/>
              </w:rPr>
            </w:pPr>
          </w:p>
          <w:p w:rsidR="00E22E0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237</w:t>
            </w:r>
          </w:p>
        </w:tc>
      </w:tr>
      <w:tr w:rsidR="004B2750" w:rsidTr="00090CE2">
        <w:tc>
          <w:tcPr>
            <w:tcW w:w="8789" w:type="dxa"/>
            <w:gridSpan w:val="2"/>
          </w:tcPr>
          <w:p w:rsidR="004B2750" w:rsidRDefault="004B2750" w:rsidP="002A1381">
            <w:pPr>
              <w:spacing w:line="360" w:lineRule="auto"/>
              <w:contextualSpacing/>
              <w:rPr>
                <w:rFonts w:ascii="Times New Roman" w:hAnsi="Times New Roman" w:cs="Times New Roman"/>
                <w:sz w:val="28"/>
                <w:szCs w:val="28"/>
              </w:rPr>
            </w:pPr>
            <w:r w:rsidRPr="00755243">
              <w:rPr>
                <w:rFonts w:ascii="Times New Roman" w:hAnsi="Times New Roman" w:cs="Times New Roman"/>
                <w:sz w:val="28"/>
                <w:szCs w:val="28"/>
              </w:rPr>
              <w:t>ВИСНОВКИ</w:t>
            </w:r>
            <w:r>
              <w:rPr>
                <w:rFonts w:ascii="Times New Roman" w:hAnsi="Times New Roman" w:cs="Times New Roman"/>
                <w:sz w:val="28"/>
                <w:szCs w:val="28"/>
              </w:rPr>
              <w:t>………………………………………………………………</w:t>
            </w:r>
          </w:p>
        </w:tc>
        <w:tc>
          <w:tcPr>
            <w:tcW w:w="856" w:type="dxa"/>
          </w:tcPr>
          <w:p w:rsidR="004B275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272</w:t>
            </w:r>
          </w:p>
        </w:tc>
      </w:tr>
      <w:tr w:rsidR="004B2750" w:rsidTr="00090CE2">
        <w:tc>
          <w:tcPr>
            <w:tcW w:w="8789" w:type="dxa"/>
            <w:gridSpan w:val="2"/>
          </w:tcPr>
          <w:p w:rsidR="004B2750" w:rsidRDefault="004B2750" w:rsidP="002A1381">
            <w:pPr>
              <w:spacing w:line="360" w:lineRule="auto"/>
              <w:contextualSpacing/>
              <w:rPr>
                <w:rFonts w:ascii="Times New Roman" w:hAnsi="Times New Roman" w:cs="Times New Roman"/>
                <w:sz w:val="28"/>
                <w:szCs w:val="28"/>
              </w:rPr>
            </w:pPr>
            <w:r>
              <w:rPr>
                <w:rFonts w:ascii="Times New Roman" w:hAnsi="Times New Roman" w:cs="Times New Roman"/>
                <w:sz w:val="28"/>
                <w:szCs w:val="28"/>
              </w:rPr>
              <w:t>ПРАКТИЧНІ РЕКОМЕНДАЦІЇ…………………………………………</w:t>
            </w:r>
          </w:p>
        </w:tc>
        <w:tc>
          <w:tcPr>
            <w:tcW w:w="856" w:type="dxa"/>
          </w:tcPr>
          <w:p w:rsidR="004B275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275</w:t>
            </w:r>
          </w:p>
        </w:tc>
      </w:tr>
      <w:tr w:rsidR="004B2750" w:rsidTr="00090CE2">
        <w:tc>
          <w:tcPr>
            <w:tcW w:w="8789" w:type="dxa"/>
            <w:gridSpan w:val="2"/>
          </w:tcPr>
          <w:p w:rsidR="004B2750" w:rsidRDefault="004B2750" w:rsidP="002A1381">
            <w:pPr>
              <w:spacing w:line="360" w:lineRule="auto"/>
              <w:contextualSpacing/>
              <w:rPr>
                <w:rFonts w:ascii="Times New Roman" w:hAnsi="Times New Roman" w:cs="Times New Roman"/>
                <w:sz w:val="28"/>
                <w:szCs w:val="28"/>
              </w:rPr>
            </w:pPr>
            <w:r w:rsidRPr="00755243">
              <w:rPr>
                <w:rFonts w:ascii="Times New Roman" w:hAnsi="Times New Roman" w:cs="Times New Roman"/>
                <w:sz w:val="28"/>
                <w:szCs w:val="28"/>
              </w:rPr>
              <w:t>СПИСОК ВИКОРИСТАНИХ ДЖЕРЕЛ</w:t>
            </w:r>
            <w:r>
              <w:rPr>
                <w:rFonts w:ascii="Times New Roman" w:hAnsi="Times New Roman" w:cs="Times New Roman"/>
                <w:sz w:val="28"/>
                <w:szCs w:val="28"/>
              </w:rPr>
              <w:t>………………………………...</w:t>
            </w:r>
          </w:p>
        </w:tc>
        <w:tc>
          <w:tcPr>
            <w:tcW w:w="856" w:type="dxa"/>
          </w:tcPr>
          <w:p w:rsidR="004B275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278</w:t>
            </w:r>
          </w:p>
        </w:tc>
      </w:tr>
      <w:tr w:rsidR="004B2750" w:rsidTr="00090CE2">
        <w:tc>
          <w:tcPr>
            <w:tcW w:w="8789" w:type="dxa"/>
            <w:gridSpan w:val="2"/>
          </w:tcPr>
          <w:p w:rsidR="004B2750" w:rsidRDefault="004B2750" w:rsidP="002A1381">
            <w:pPr>
              <w:spacing w:line="360" w:lineRule="auto"/>
              <w:contextualSpacing/>
              <w:rPr>
                <w:rFonts w:ascii="Times New Roman" w:hAnsi="Times New Roman" w:cs="Times New Roman"/>
                <w:sz w:val="28"/>
                <w:szCs w:val="28"/>
              </w:rPr>
            </w:pPr>
            <w:r>
              <w:rPr>
                <w:rFonts w:ascii="Times New Roman" w:hAnsi="Times New Roman" w:cs="Times New Roman"/>
                <w:sz w:val="28"/>
                <w:szCs w:val="28"/>
              </w:rPr>
              <w:t>ДОДАТКИ………………………………………………………………...</w:t>
            </w:r>
          </w:p>
        </w:tc>
        <w:tc>
          <w:tcPr>
            <w:tcW w:w="856" w:type="dxa"/>
          </w:tcPr>
          <w:p w:rsidR="004B2750" w:rsidRPr="0091004F" w:rsidRDefault="00996EB8" w:rsidP="00372DBA">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335</w:t>
            </w:r>
          </w:p>
        </w:tc>
      </w:tr>
    </w:tbl>
    <w:p w:rsidR="002A1381" w:rsidRDefault="002A1381" w:rsidP="00372DBA">
      <w:pPr>
        <w:spacing w:line="360" w:lineRule="auto"/>
        <w:contextualSpacing/>
        <w:jc w:val="center"/>
        <w:rPr>
          <w:rFonts w:ascii="Times New Roman" w:hAnsi="Times New Roman" w:cs="Times New Roman"/>
          <w:b/>
          <w:sz w:val="28"/>
          <w:szCs w:val="28"/>
        </w:rPr>
      </w:pPr>
    </w:p>
    <w:p w:rsidR="00372DBA" w:rsidRPr="004D7DFC" w:rsidRDefault="00372DBA" w:rsidP="00372DBA">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lastRenderedPageBreak/>
        <w:t>СПИСОК</w:t>
      </w:r>
      <w:r w:rsidRPr="004D7DFC">
        <w:rPr>
          <w:rFonts w:ascii="Times New Roman" w:hAnsi="Times New Roman" w:cs="Times New Roman"/>
          <w:b/>
          <w:sz w:val="28"/>
          <w:szCs w:val="28"/>
        </w:rPr>
        <w:t xml:space="preserve"> УМОВНИХ СКОРОЧЕНЬ</w:t>
      </w:r>
    </w:p>
    <w:p w:rsidR="00372DBA" w:rsidRPr="00E22E00" w:rsidRDefault="00372DBA" w:rsidP="00372DBA">
      <w:pPr>
        <w:rPr>
          <w:rFonts w:ascii="Times New Roman" w:hAnsi="Times New Roman" w:cs="Times New Roman"/>
          <w:sz w:val="28"/>
          <w:szCs w:val="28"/>
        </w:rPr>
      </w:pPr>
    </w:p>
    <w:p w:rsidR="00372DBA" w:rsidRDefault="00372DBA" w:rsidP="00372DBA">
      <w:p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АМЛ – ангіоміоліпома</w:t>
      </w:r>
    </w:p>
    <w:p w:rsidR="00372DBA" w:rsidRDefault="00AF4B0A" w:rsidP="00372DBA">
      <w:pPr>
        <w:rPr>
          <w:rFonts w:ascii="Times New Roman" w:hAnsi="Times New Roman" w:cs="Times New Roman"/>
          <w:sz w:val="28"/>
        </w:rPr>
      </w:pPr>
      <w:r>
        <w:rPr>
          <w:rFonts w:ascii="Times New Roman" w:hAnsi="Times New Roman" w:cs="Times New Roman"/>
          <w:sz w:val="28"/>
          <w:szCs w:val="28"/>
        </w:rPr>
        <w:t>АС</w:t>
      </w:r>
      <w:r w:rsidR="00372DBA">
        <w:rPr>
          <w:rFonts w:ascii="Times New Roman" w:hAnsi="Times New Roman" w:cs="Times New Roman"/>
          <w:sz w:val="28"/>
        </w:rPr>
        <w:t xml:space="preserve"> – активне спостереження</w:t>
      </w:r>
    </w:p>
    <w:p w:rsidR="00372DBA" w:rsidRDefault="00372DBA" w:rsidP="00372DBA">
      <w:pPr>
        <w:rPr>
          <w:rFonts w:ascii="Times New Roman" w:hAnsi="Times New Roman" w:cs="Times New Roman"/>
          <w:sz w:val="28"/>
          <w:szCs w:val="28"/>
        </w:rPr>
      </w:pPr>
      <w:r w:rsidRPr="00625487">
        <w:rPr>
          <w:rFonts w:ascii="Times New Roman" w:hAnsi="Times New Roman" w:cs="Times New Roman"/>
          <w:sz w:val="28"/>
        </w:rPr>
        <w:t>ВКД</w:t>
      </w:r>
      <w:r>
        <w:rPr>
          <w:rFonts w:ascii="Times New Roman" w:hAnsi="Times New Roman" w:cs="Times New Roman"/>
          <w:sz w:val="28"/>
        </w:rPr>
        <w:t xml:space="preserve"> – </w:t>
      </w:r>
      <w:r>
        <w:rPr>
          <w:rFonts w:ascii="Times New Roman" w:hAnsi="Times New Roman" w:cs="Times New Roman"/>
          <w:sz w:val="28"/>
          <w:szCs w:val="28"/>
        </w:rPr>
        <w:t>вимірюваний коефіцієнт дифузії</w:t>
      </w:r>
    </w:p>
    <w:p w:rsidR="00372DBA" w:rsidRDefault="00372DBA" w:rsidP="00372DBA">
      <w:pPr>
        <w:rPr>
          <w:rFonts w:ascii="Times New Roman" w:hAnsi="Times New Roman" w:cs="Times New Roman"/>
          <w:sz w:val="28"/>
        </w:rPr>
      </w:pPr>
      <w:r>
        <w:rPr>
          <w:rFonts w:ascii="Times New Roman" w:hAnsi="Times New Roman" w:cs="Times New Roman"/>
          <w:sz w:val="28"/>
        </w:rPr>
        <w:t>ВПЩ – відношення променевої щільності</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ВР – відносний ризик</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ДЗЗ – дифузійно-зважені зображення</w:t>
      </w:r>
    </w:p>
    <w:p w:rsidR="00372DBA" w:rsidRDefault="00372DBA" w:rsidP="00372DBA">
      <w:pPr>
        <w:rPr>
          <w:rFonts w:ascii="Times New Roman" w:hAnsi="Times New Roman" w:cs="Times New Roman"/>
          <w:sz w:val="28"/>
        </w:rPr>
      </w:pPr>
      <w:r>
        <w:rPr>
          <w:rFonts w:ascii="Times New Roman" w:hAnsi="Times New Roman" w:cs="Times New Roman"/>
          <w:sz w:val="28"/>
        </w:rPr>
        <w:t>ЕФ – екскреторна фаза</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ЗН – злоякісні новоутворення</w:t>
      </w:r>
    </w:p>
    <w:p w:rsidR="00372DBA" w:rsidRDefault="00372DBA" w:rsidP="00372DBA">
      <w:pPr>
        <w:rPr>
          <w:rFonts w:ascii="Times New Roman" w:hAnsi="Times New Roman" w:cs="Times New Roman"/>
          <w:sz w:val="28"/>
        </w:rPr>
      </w:pPr>
      <w:r>
        <w:rPr>
          <w:rFonts w:ascii="Times New Roman" w:hAnsi="Times New Roman" w:cs="Times New Roman"/>
          <w:sz w:val="28"/>
          <w:szCs w:val="28"/>
        </w:rPr>
        <w:t>ІР – індекс резистентності</w:t>
      </w:r>
    </w:p>
    <w:p w:rsidR="00372DBA" w:rsidRDefault="00372DBA" w:rsidP="00372DBA">
      <w:pPr>
        <w:rPr>
          <w:rFonts w:ascii="Times New Roman" w:hAnsi="Times New Roman" w:cs="Times New Roman"/>
          <w:sz w:val="28"/>
        </w:rPr>
      </w:pPr>
      <w:r>
        <w:rPr>
          <w:rFonts w:ascii="Times New Roman" w:hAnsi="Times New Roman" w:cs="Times New Roman"/>
          <w:sz w:val="28"/>
        </w:rPr>
        <w:t>ІС – інтенсивність сигналу</w:t>
      </w:r>
    </w:p>
    <w:p w:rsidR="00372DBA" w:rsidRDefault="00372DBA" w:rsidP="00372DBA">
      <w:p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КМФ – кортикомедулярна фаза</w:t>
      </w:r>
    </w:p>
    <w:p w:rsidR="00372DBA" w:rsidRPr="00A115C3" w:rsidRDefault="00372DBA" w:rsidP="00372DBA">
      <w:pPr>
        <w:rPr>
          <w:rFonts w:ascii="Times New Roman" w:hAnsi="Times New Roman" w:cs="Times New Roman"/>
          <w:sz w:val="28"/>
          <w:szCs w:val="28"/>
        </w:rPr>
      </w:pPr>
      <w:r>
        <w:rPr>
          <w:rFonts w:ascii="Times New Roman" w:hAnsi="Times New Roman" w:cs="Times New Roman"/>
          <w:sz w:val="28"/>
          <w:szCs w:val="28"/>
        </w:rPr>
        <w:t>ЛР – локальний рецидив</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 xml:space="preserve">міР, міРНК– </w:t>
      </w:r>
      <w:r>
        <w:rPr>
          <w:rFonts w:ascii="Times New Roman" w:hAnsi="Times New Roman" w:cs="Times New Roman"/>
          <w:sz w:val="28"/>
        </w:rPr>
        <w:t>мікроРНК</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мНКР – метастатичний</w:t>
      </w:r>
      <w:r w:rsidRPr="007353B2">
        <w:rPr>
          <w:rFonts w:ascii="Times New Roman" w:hAnsi="Times New Roman" w:cs="Times New Roman"/>
          <w:sz w:val="28"/>
          <w:szCs w:val="28"/>
        </w:rPr>
        <w:t xml:space="preserve"> НКР</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НКР – нирково-клітинний рак</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НФ – нефрографічна фаза</w:t>
      </w:r>
    </w:p>
    <w:p w:rsidR="00372DBA" w:rsidRDefault="00372DBA" w:rsidP="00372DBA">
      <w:pPr>
        <w:rPr>
          <w:rFonts w:ascii="Times New Roman" w:hAnsi="Times New Roman" w:cs="Times New Roman"/>
          <w:sz w:val="28"/>
        </w:rPr>
      </w:pPr>
      <w:r>
        <w:rPr>
          <w:rFonts w:ascii="Times New Roman" w:hAnsi="Times New Roman" w:cs="Times New Roman"/>
          <w:sz w:val="28"/>
        </w:rPr>
        <w:t>ОЗ – область зацікавлення</w:t>
      </w:r>
    </w:p>
    <w:p w:rsidR="00372DBA" w:rsidRDefault="00372DBA" w:rsidP="00372DBA">
      <w:pPr>
        <w:rPr>
          <w:rFonts w:ascii="Times New Roman" w:hAnsi="Times New Roman"/>
          <w:sz w:val="28"/>
          <w:szCs w:val="28"/>
          <w:shd w:val="clear" w:color="auto" w:fill="FFFFFF"/>
        </w:rPr>
      </w:pPr>
      <w:r w:rsidRPr="0093264F">
        <w:rPr>
          <w:rFonts w:ascii="Times New Roman" w:eastAsia="Times New Roman" w:hAnsi="Times New Roman"/>
          <w:sz w:val="28"/>
          <w:szCs w:val="28"/>
          <w:lang w:eastAsia="uk-UA"/>
        </w:rPr>
        <w:t>ОІК</w:t>
      </w:r>
      <w:r>
        <w:rPr>
          <w:rFonts w:ascii="Times New Roman" w:eastAsia="Times New Roman" w:hAnsi="Times New Roman"/>
          <w:sz w:val="28"/>
          <w:szCs w:val="28"/>
          <w:lang w:eastAsia="uk-UA"/>
        </w:rPr>
        <w:t xml:space="preserve"> – </w:t>
      </w:r>
      <w:r w:rsidRPr="0093264F">
        <w:rPr>
          <w:rFonts w:ascii="Times New Roman" w:hAnsi="Times New Roman"/>
          <w:sz w:val="28"/>
          <w:szCs w:val="28"/>
          <w:shd w:val="clear" w:color="auto" w:fill="FFFFFF"/>
        </w:rPr>
        <w:t>оціночна інтраопераційна</w:t>
      </w:r>
      <w:r w:rsidRPr="0093264F">
        <w:rPr>
          <w:rFonts w:ascii="Arial" w:hAnsi="Arial" w:cs="Arial"/>
          <w:sz w:val="20"/>
          <w:szCs w:val="20"/>
          <w:shd w:val="clear" w:color="auto" w:fill="FFFFFF"/>
        </w:rPr>
        <w:t xml:space="preserve"> </w:t>
      </w:r>
      <w:r w:rsidRPr="0093264F">
        <w:rPr>
          <w:rFonts w:ascii="Times New Roman" w:hAnsi="Times New Roman"/>
          <w:sz w:val="28"/>
          <w:szCs w:val="28"/>
          <w:shd w:val="clear" w:color="auto" w:fill="FFFFFF"/>
        </w:rPr>
        <w:t>крововтрата</w:t>
      </w:r>
    </w:p>
    <w:p w:rsidR="00372DBA" w:rsidRDefault="00372DBA" w:rsidP="00372DBA">
      <w:pPr>
        <w:rPr>
          <w:rFonts w:ascii="Times New Roman" w:hAnsi="Times New Roman" w:cs="Times New Roman"/>
          <w:sz w:val="28"/>
        </w:rPr>
      </w:pPr>
      <w:r>
        <w:rPr>
          <w:rFonts w:ascii="Times New Roman" w:hAnsi="Times New Roman" w:cs="Times New Roman"/>
          <w:sz w:val="28"/>
        </w:rPr>
        <w:t>ОЦ – онкоцитома</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ПА – папілярна аденома</w:t>
      </w:r>
    </w:p>
    <w:p w:rsidR="00372DBA" w:rsidRDefault="00372DBA" w:rsidP="00372DBA">
      <w:pPr>
        <w:rPr>
          <w:rFonts w:ascii="Times New Roman" w:hAnsi="Times New Roman" w:cs="Times New Roman"/>
          <w:sz w:val="28"/>
        </w:rPr>
      </w:pPr>
      <w:r>
        <w:rPr>
          <w:rFonts w:ascii="Times New Roman" w:hAnsi="Times New Roman" w:cs="Times New Roman"/>
          <w:sz w:val="28"/>
        </w:rPr>
        <w:t>ПКЗ – пре-контрастне зображення</w:t>
      </w:r>
    </w:p>
    <w:p w:rsidR="00372DBA" w:rsidRPr="001A2C5A" w:rsidRDefault="00372DBA" w:rsidP="00372DBA">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ПКК – перехідно-клітинна карцинома ниркової миски</w:t>
      </w:r>
    </w:p>
    <w:p w:rsidR="00372DBA" w:rsidRPr="00523ABE" w:rsidRDefault="00372DBA" w:rsidP="00372DBA">
      <w:pPr>
        <w:rPr>
          <w:rFonts w:ascii="Times New Roman" w:hAnsi="Times New Roman" w:cs="Times New Roman"/>
          <w:sz w:val="28"/>
        </w:rPr>
      </w:pPr>
      <w:r>
        <w:rPr>
          <w:rFonts w:ascii="Times New Roman" w:hAnsi="Times New Roman" w:cs="Times New Roman"/>
          <w:color w:val="231F20"/>
          <w:sz w:val="28"/>
          <w:szCs w:val="28"/>
        </w:rPr>
        <w:t xml:space="preserve">ПЛР – </w:t>
      </w:r>
      <w:r w:rsidRPr="00C2579B">
        <w:rPr>
          <w:rFonts w:ascii="Times New Roman" w:hAnsi="Times New Roman" w:cs="Times New Roman"/>
          <w:color w:val="231F20"/>
          <w:sz w:val="28"/>
          <w:szCs w:val="28"/>
        </w:rPr>
        <w:t>п</w:t>
      </w:r>
      <w:r>
        <w:rPr>
          <w:rFonts w:ascii="Times New Roman" w:hAnsi="Times New Roman" w:cs="Times New Roman"/>
          <w:color w:val="231F20"/>
          <w:sz w:val="28"/>
          <w:szCs w:val="28"/>
        </w:rPr>
        <w:t>олімеразна ланцюгова реакція</w:t>
      </w:r>
      <w:r w:rsidRPr="00C2579B">
        <w:rPr>
          <w:rFonts w:ascii="Times New Roman" w:hAnsi="Times New Roman" w:cs="Times New Roman"/>
          <w:color w:val="231F20"/>
          <w:sz w:val="28"/>
          <w:szCs w:val="28"/>
        </w:rPr>
        <w:t xml:space="preserve"> </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пНКР – папілярний нирково-клітинний рак</w:t>
      </w:r>
    </w:p>
    <w:p w:rsidR="00372DBA" w:rsidRDefault="00372DBA" w:rsidP="00372DBA">
      <w:pPr>
        <w:rPr>
          <w:rFonts w:ascii="Times New Roman" w:hAnsi="Times New Roman" w:cs="Times New Roman"/>
          <w:color w:val="000000"/>
          <w:sz w:val="28"/>
          <w:szCs w:val="28"/>
        </w:rPr>
      </w:pPr>
      <w:r>
        <w:rPr>
          <w:rFonts w:ascii="Times New Roman" w:hAnsi="Times New Roman" w:cs="Times New Roman"/>
          <w:color w:val="000000"/>
          <w:sz w:val="28"/>
          <w:szCs w:val="28"/>
        </w:rPr>
        <w:t>СЕНА – селективна емболізація ниркових артерій</w:t>
      </w:r>
    </w:p>
    <w:p w:rsidR="00372DBA" w:rsidRDefault="00372DBA" w:rsidP="00372DBA">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скНКР – світлоклітинний </w:t>
      </w:r>
      <w:r>
        <w:rPr>
          <w:rFonts w:ascii="Times New Roman" w:hAnsi="Times New Roman" w:cs="Times New Roman"/>
          <w:sz w:val="28"/>
          <w:szCs w:val="28"/>
        </w:rPr>
        <w:t>нирково-клітинний рак</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lastRenderedPageBreak/>
        <w:t>хрНКР – хромофобний нирково-клітинний рак</w:t>
      </w:r>
    </w:p>
    <w:p w:rsidR="00372DBA" w:rsidRDefault="00372DBA" w:rsidP="00372DBA">
      <w:pPr>
        <w:rPr>
          <w:rFonts w:ascii="Times New Roman" w:hAnsi="Times New Roman" w:cs="Times New Roman"/>
          <w:sz w:val="28"/>
        </w:rPr>
      </w:pPr>
      <w:r>
        <w:rPr>
          <w:rFonts w:ascii="Times New Roman" w:hAnsi="Times New Roman" w:cs="Times New Roman"/>
          <w:sz w:val="28"/>
        </w:rPr>
        <w:t>ЧПБ - черезшкірна пункційна біопсія</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lang w:val="en-US"/>
        </w:rPr>
        <w:t xml:space="preserve">ANOVA, </w:t>
      </w:r>
      <w:r w:rsidRPr="001256BF">
        <w:rPr>
          <w:rFonts w:ascii="Times New Roman" w:hAnsi="Times New Roman" w:cs="Times New Roman"/>
          <w:sz w:val="28"/>
          <w:szCs w:val="28"/>
          <w:lang w:val="en-US"/>
        </w:rPr>
        <w:t>analysis of variance</w:t>
      </w:r>
      <w:r>
        <w:rPr>
          <w:rFonts w:ascii="Times New Roman" w:hAnsi="Times New Roman" w:cs="Times New Roman"/>
          <w:sz w:val="28"/>
          <w:szCs w:val="28"/>
          <w:lang w:val="en-US"/>
        </w:rPr>
        <w:t xml:space="preserve"> – </w:t>
      </w:r>
      <w:r>
        <w:rPr>
          <w:rFonts w:ascii="Times New Roman" w:hAnsi="Times New Roman" w:cs="Times New Roman"/>
          <w:sz w:val="28"/>
          <w:szCs w:val="28"/>
        </w:rPr>
        <w:t>дисперсійний аналіз</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lang w:val="en-US"/>
        </w:rPr>
        <w:t>AUC</w:t>
      </w:r>
      <w:r>
        <w:rPr>
          <w:rFonts w:ascii="Times New Roman" w:hAnsi="Times New Roman" w:cs="Times New Roman"/>
          <w:sz w:val="28"/>
          <w:szCs w:val="28"/>
        </w:rPr>
        <w:t xml:space="preserve">, </w:t>
      </w:r>
      <w:r>
        <w:rPr>
          <w:rFonts w:ascii="Times New Roman" w:hAnsi="Times New Roman" w:cs="Times New Roman"/>
          <w:sz w:val="28"/>
          <w:szCs w:val="28"/>
          <w:lang w:val="en-US"/>
        </w:rPr>
        <w:t>area</w:t>
      </w:r>
      <w:r w:rsidRPr="00EA63D3">
        <w:rPr>
          <w:rFonts w:ascii="Times New Roman" w:hAnsi="Times New Roman" w:cs="Times New Roman"/>
          <w:sz w:val="28"/>
          <w:szCs w:val="28"/>
        </w:rPr>
        <w:t xml:space="preserve"> </w:t>
      </w:r>
      <w:r>
        <w:rPr>
          <w:rFonts w:ascii="Times New Roman" w:hAnsi="Times New Roman" w:cs="Times New Roman"/>
          <w:sz w:val="28"/>
          <w:szCs w:val="28"/>
          <w:lang w:val="en-US"/>
        </w:rPr>
        <w:t>under</w:t>
      </w:r>
      <w:r w:rsidRPr="00EA63D3">
        <w:rPr>
          <w:rFonts w:ascii="Times New Roman" w:hAnsi="Times New Roman" w:cs="Times New Roman"/>
          <w:sz w:val="28"/>
          <w:szCs w:val="28"/>
        </w:rPr>
        <w:t xml:space="preserve"> </w:t>
      </w:r>
      <w:r>
        <w:rPr>
          <w:rFonts w:ascii="Times New Roman" w:hAnsi="Times New Roman" w:cs="Times New Roman"/>
          <w:sz w:val="28"/>
          <w:szCs w:val="28"/>
          <w:lang w:val="en-US"/>
        </w:rPr>
        <w:t>the</w:t>
      </w:r>
      <w:r w:rsidRPr="00EA63D3">
        <w:rPr>
          <w:rFonts w:ascii="Times New Roman" w:hAnsi="Times New Roman" w:cs="Times New Roman"/>
          <w:sz w:val="28"/>
          <w:szCs w:val="28"/>
        </w:rPr>
        <w:t xml:space="preserve"> </w:t>
      </w:r>
      <w:r>
        <w:rPr>
          <w:rFonts w:ascii="Times New Roman" w:hAnsi="Times New Roman" w:cs="Times New Roman"/>
          <w:sz w:val="28"/>
          <w:szCs w:val="28"/>
          <w:lang w:val="en-US"/>
        </w:rPr>
        <w:t>curve</w:t>
      </w:r>
      <w:r>
        <w:rPr>
          <w:rFonts w:ascii="Times New Roman" w:hAnsi="Times New Roman" w:cs="Times New Roman"/>
          <w:sz w:val="28"/>
          <w:szCs w:val="28"/>
        </w:rPr>
        <w:t xml:space="preserve"> – площа під кривою</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lang w:val="en-US"/>
        </w:rPr>
        <w:t>CSS, cancer</w:t>
      </w:r>
      <w:r w:rsidRPr="009960D8">
        <w:rPr>
          <w:rFonts w:ascii="Times New Roman" w:hAnsi="Times New Roman" w:cs="Times New Roman"/>
          <w:sz w:val="28"/>
          <w:szCs w:val="28"/>
        </w:rPr>
        <w:t xml:space="preserve"> </w:t>
      </w:r>
      <w:r>
        <w:rPr>
          <w:rFonts w:ascii="Times New Roman" w:hAnsi="Times New Roman" w:cs="Times New Roman"/>
          <w:sz w:val="28"/>
          <w:szCs w:val="28"/>
          <w:lang w:val="en-US"/>
        </w:rPr>
        <w:t>specific</w:t>
      </w:r>
      <w:r w:rsidRPr="009960D8">
        <w:rPr>
          <w:rFonts w:ascii="Times New Roman" w:hAnsi="Times New Roman" w:cs="Times New Roman"/>
          <w:sz w:val="28"/>
          <w:szCs w:val="28"/>
        </w:rPr>
        <w:t xml:space="preserve"> </w:t>
      </w:r>
      <w:r>
        <w:rPr>
          <w:rFonts w:ascii="Times New Roman" w:hAnsi="Times New Roman" w:cs="Times New Roman"/>
          <w:sz w:val="28"/>
          <w:szCs w:val="28"/>
          <w:lang w:val="en-US"/>
        </w:rPr>
        <w:t xml:space="preserve">survival – </w:t>
      </w:r>
      <w:r>
        <w:rPr>
          <w:rFonts w:ascii="Times New Roman" w:hAnsi="Times New Roman" w:cs="Times New Roman"/>
          <w:sz w:val="28"/>
          <w:szCs w:val="28"/>
        </w:rPr>
        <w:t>канцер-специфічне виживання</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lang w:val="en-US"/>
        </w:rPr>
        <w:t>DFS</w:t>
      </w:r>
      <w:r w:rsidRPr="00E224CB">
        <w:rPr>
          <w:rFonts w:ascii="Times New Roman" w:hAnsi="Times New Roman" w:cs="Times New Roman"/>
          <w:sz w:val="28"/>
          <w:szCs w:val="28"/>
        </w:rPr>
        <w:t xml:space="preserve">, </w:t>
      </w:r>
      <w:r>
        <w:rPr>
          <w:rFonts w:ascii="Times New Roman" w:hAnsi="Times New Roman" w:cs="Times New Roman"/>
          <w:sz w:val="28"/>
          <w:szCs w:val="28"/>
          <w:lang w:val="en-US"/>
        </w:rPr>
        <w:t>disease</w:t>
      </w:r>
      <w:r w:rsidRPr="003B5CC7">
        <w:rPr>
          <w:rFonts w:ascii="Times New Roman" w:hAnsi="Times New Roman" w:cs="Times New Roman"/>
          <w:sz w:val="28"/>
          <w:szCs w:val="28"/>
        </w:rPr>
        <w:t xml:space="preserve"> </w:t>
      </w:r>
      <w:r>
        <w:rPr>
          <w:rFonts w:ascii="Times New Roman" w:hAnsi="Times New Roman" w:cs="Times New Roman"/>
          <w:sz w:val="28"/>
          <w:szCs w:val="28"/>
          <w:lang w:val="en-US"/>
        </w:rPr>
        <w:t>free</w:t>
      </w:r>
      <w:r w:rsidRPr="003B5CC7">
        <w:rPr>
          <w:rFonts w:ascii="Times New Roman" w:hAnsi="Times New Roman" w:cs="Times New Roman"/>
          <w:sz w:val="28"/>
          <w:szCs w:val="28"/>
        </w:rPr>
        <w:t xml:space="preserve"> </w:t>
      </w:r>
      <w:r>
        <w:rPr>
          <w:rFonts w:ascii="Times New Roman" w:hAnsi="Times New Roman" w:cs="Times New Roman"/>
          <w:sz w:val="28"/>
          <w:szCs w:val="28"/>
          <w:lang w:val="en-US"/>
        </w:rPr>
        <w:t>survival</w:t>
      </w:r>
      <w:r w:rsidRPr="00E224CB">
        <w:rPr>
          <w:rFonts w:ascii="Times New Roman" w:hAnsi="Times New Roman" w:cs="Times New Roman"/>
          <w:sz w:val="28"/>
          <w:szCs w:val="28"/>
        </w:rPr>
        <w:t xml:space="preserve"> – </w:t>
      </w:r>
      <w:r>
        <w:rPr>
          <w:rFonts w:ascii="Times New Roman" w:hAnsi="Times New Roman" w:cs="Times New Roman"/>
          <w:sz w:val="28"/>
          <w:szCs w:val="28"/>
        </w:rPr>
        <w:t>виживання без ознак захворювання</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lang w:val="en-US"/>
        </w:rPr>
        <w:t>OS</w:t>
      </w:r>
      <w:r w:rsidRPr="009A4618">
        <w:rPr>
          <w:rFonts w:ascii="Times New Roman" w:hAnsi="Times New Roman" w:cs="Times New Roman"/>
          <w:sz w:val="28"/>
          <w:szCs w:val="28"/>
        </w:rPr>
        <w:t xml:space="preserve">, </w:t>
      </w:r>
      <w:r>
        <w:rPr>
          <w:rFonts w:ascii="Times New Roman" w:hAnsi="Times New Roman" w:cs="Times New Roman"/>
          <w:sz w:val="28"/>
          <w:szCs w:val="28"/>
          <w:lang w:val="en-US"/>
        </w:rPr>
        <w:t>overall</w:t>
      </w:r>
      <w:r w:rsidRPr="00823217">
        <w:rPr>
          <w:rFonts w:ascii="Times New Roman" w:hAnsi="Times New Roman" w:cs="Times New Roman"/>
          <w:sz w:val="28"/>
          <w:szCs w:val="28"/>
        </w:rPr>
        <w:t xml:space="preserve"> </w:t>
      </w:r>
      <w:r>
        <w:rPr>
          <w:rFonts w:ascii="Times New Roman" w:hAnsi="Times New Roman" w:cs="Times New Roman"/>
          <w:sz w:val="28"/>
          <w:szCs w:val="28"/>
          <w:lang w:val="en-US"/>
        </w:rPr>
        <w:t>survival</w:t>
      </w:r>
      <w:r w:rsidRPr="009A4618">
        <w:rPr>
          <w:rFonts w:ascii="Times New Roman" w:hAnsi="Times New Roman" w:cs="Times New Roman"/>
          <w:sz w:val="28"/>
          <w:szCs w:val="28"/>
        </w:rPr>
        <w:t xml:space="preserve"> – </w:t>
      </w:r>
      <w:r>
        <w:rPr>
          <w:rFonts w:ascii="Times New Roman" w:hAnsi="Times New Roman" w:cs="Times New Roman"/>
          <w:sz w:val="28"/>
          <w:szCs w:val="28"/>
        </w:rPr>
        <w:t>загальне виживання</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lang w:val="en-US"/>
        </w:rPr>
        <w:t>PFS</w:t>
      </w:r>
      <w:r w:rsidRPr="007E62E3">
        <w:rPr>
          <w:rFonts w:ascii="Times New Roman" w:hAnsi="Times New Roman" w:cs="Times New Roman"/>
          <w:sz w:val="28"/>
          <w:szCs w:val="28"/>
        </w:rPr>
        <w:t xml:space="preserve">, </w:t>
      </w:r>
      <w:r>
        <w:rPr>
          <w:rFonts w:ascii="Times New Roman" w:hAnsi="Times New Roman" w:cs="Times New Roman"/>
          <w:sz w:val="28"/>
          <w:szCs w:val="28"/>
          <w:lang w:val="en-US"/>
        </w:rPr>
        <w:t>progress</w:t>
      </w:r>
      <w:r w:rsidRPr="005E0C79">
        <w:rPr>
          <w:rFonts w:ascii="Times New Roman" w:hAnsi="Times New Roman" w:cs="Times New Roman"/>
          <w:sz w:val="28"/>
          <w:szCs w:val="28"/>
        </w:rPr>
        <w:t xml:space="preserve"> </w:t>
      </w:r>
      <w:r>
        <w:rPr>
          <w:rFonts w:ascii="Times New Roman" w:hAnsi="Times New Roman" w:cs="Times New Roman"/>
          <w:sz w:val="28"/>
          <w:szCs w:val="28"/>
          <w:lang w:val="en-US"/>
        </w:rPr>
        <w:t>free</w:t>
      </w:r>
      <w:r w:rsidRPr="005E0C79">
        <w:rPr>
          <w:rFonts w:ascii="Times New Roman" w:hAnsi="Times New Roman" w:cs="Times New Roman"/>
          <w:sz w:val="28"/>
          <w:szCs w:val="28"/>
        </w:rPr>
        <w:t xml:space="preserve"> </w:t>
      </w:r>
      <w:r>
        <w:rPr>
          <w:rFonts w:ascii="Times New Roman" w:hAnsi="Times New Roman" w:cs="Times New Roman"/>
          <w:sz w:val="28"/>
          <w:szCs w:val="28"/>
          <w:lang w:val="en-US"/>
        </w:rPr>
        <w:t>survival</w:t>
      </w:r>
      <w:r w:rsidRPr="007E62E3">
        <w:rPr>
          <w:rFonts w:ascii="Times New Roman" w:hAnsi="Times New Roman" w:cs="Times New Roman"/>
          <w:sz w:val="28"/>
          <w:szCs w:val="28"/>
        </w:rPr>
        <w:t xml:space="preserve"> – </w:t>
      </w:r>
      <w:r w:rsidRPr="005E0C79">
        <w:rPr>
          <w:rFonts w:ascii="Times New Roman" w:hAnsi="Times New Roman" w:cs="Times New Roman"/>
          <w:sz w:val="28"/>
          <w:szCs w:val="28"/>
        </w:rPr>
        <w:t>виживаність</w:t>
      </w:r>
      <w:r>
        <w:rPr>
          <w:rFonts w:ascii="Times New Roman" w:hAnsi="Times New Roman" w:cs="Times New Roman"/>
          <w:sz w:val="28"/>
          <w:szCs w:val="28"/>
        </w:rPr>
        <w:t xml:space="preserve"> </w:t>
      </w:r>
      <w:r w:rsidRPr="005E0C79">
        <w:rPr>
          <w:rFonts w:ascii="Times New Roman" w:hAnsi="Times New Roman" w:cs="Times New Roman"/>
          <w:sz w:val="28"/>
          <w:szCs w:val="28"/>
        </w:rPr>
        <w:t>без прогресування</w:t>
      </w:r>
    </w:p>
    <w:p w:rsidR="00372DBA" w:rsidRDefault="00372DBA" w:rsidP="00B42B4B">
      <w:pPr>
        <w:spacing w:line="360" w:lineRule="auto"/>
        <w:rPr>
          <w:rFonts w:ascii="Times New Roman" w:hAnsi="Times New Roman" w:cs="Times New Roman"/>
          <w:color w:val="000000"/>
          <w:sz w:val="28"/>
          <w:szCs w:val="28"/>
          <w:shd w:val="clear" w:color="auto" w:fill="FFFFFF"/>
        </w:rPr>
      </w:pPr>
      <w:r w:rsidRPr="00AB1823">
        <w:rPr>
          <w:rFonts w:ascii="Times New Roman" w:hAnsi="Times New Roman" w:cs="Times New Roman"/>
          <w:color w:val="000000"/>
          <w:sz w:val="28"/>
          <w:szCs w:val="28"/>
          <w:shd w:val="clear" w:color="auto" w:fill="FFFFFF"/>
        </w:rPr>
        <w:t>RECIST</w:t>
      </w:r>
      <w:r>
        <w:rPr>
          <w:rFonts w:ascii="Times New Roman" w:hAnsi="Times New Roman" w:cs="Times New Roman"/>
          <w:color w:val="000000"/>
          <w:sz w:val="28"/>
          <w:szCs w:val="28"/>
          <w:shd w:val="clear" w:color="auto" w:fill="FFFFFF"/>
        </w:rPr>
        <w:t xml:space="preserve">, </w:t>
      </w:r>
      <w:r w:rsidRPr="00AB1823">
        <w:rPr>
          <w:rFonts w:ascii="Times New Roman" w:hAnsi="Times New Roman" w:cs="Times New Roman"/>
          <w:color w:val="000000"/>
          <w:sz w:val="28"/>
          <w:szCs w:val="28"/>
          <w:shd w:val="clear" w:color="auto" w:fill="FFFFFF"/>
          <w:lang w:val="en-US"/>
        </w:rPr>
        <w:t>Response Evaluation Criteria In Solid Tumors</w:t>
      </w:r>
      <w:r>
        <w:rPr>
          <w:rFonts w:ascii="Times New Roman" w:hAnsi="Times New Roman" w:cs="Times New Roman"/>
          <w:color w:val="000000"/>
          <w:sz w:val="28"/>
          <w:szCs w:val="28"/>
          <w:shd w:val="clear" w:color="auto" w:fill="FFFFFF"/>
        </w:rPr>
        <w:t xml:space="preserve"> – критерії оцінки відповіді при солідних пухлинах</w:t>
      </w:r>
    </w:p>
    <w:p w:rsidR="00372DBA" w:rsidRDefault="00372DBA" w:rsidP="00B42B4B">
      <w:pPr>
        <w:spacing w:line="360" w:lineRule="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en-US"/>
        </w:rPr>
        <w:t>RFS</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relapse</w:t>
      </w:r>
      <w:r w:rsidRPr="004B004F">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free</w:t>
      </w:r>
      <w:r w:rsidRPr="004B004F">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survival</w:t>
      </w:r>
      <w:r>
        <w:rPr>
          <w:rFonts w:ascii="Times New Roman" w:hAnsi="Times New Roman" w:cs="Times New Roman"/>
          <w:color w:val="000000"/>
          <w:sz w:val="28"/>
          <w:szCs w:val="28"/>
          <w:shd w:val="clear" w:color="auto" w:fill="FFFFFF"/>
        </w:rPr>
        <w:t xml:space="preserve"> – виживання без рецидиву</w:t>
      </w:r>
    </w:p>
    <w:p w:rsidR="00372DBA" w:rsidRPr="001942B0" w:rsidRDefault="00372DBA" w:rsidP="00372DBA">
      <w:pPr>
        <w:rPr>
          <w:rFonts w:ascii="Times New Roman" w:hAnsi="Times New Roman" w:cs="Times New Roman"/>
          <w:sz w:val="28"/>
        </w:rPr>
      </w:pPr>
      <w:r>
        <w:rPr>
          <w:rFonts w:ascii="Times New Roman" w:hAnsi="Times New Roman" w:cs="Times New Roman"/>
          <w:sz w:val="28"/>
          <w:lang w:val="en-US"/>
        </w:rPr>
        <w:t>ROC</w:t>
      </w:r>
      <w:r>
        <w:rPr>
          <w:rFonts w:ascii="Times New Roman" w:hAnsi="Times New Roman" w:cs="Times New Roman"/>
          <w:sz w:val="28"/>
        </w:rPr>
        <w:t xml:space="preserve">, </w:t>
      </w:r>
      <w:r>
        <w:rPr>
          <w:rFonts w:ascii="Times New Roman" w:hAnsi="Times New Roman" w:cs="Times New Roman"/>
          <w:sz w:val="28"/>
          <w:lang w:val="en-US"/>
        </w:rPr>
        <w:t xml:space="preserve">receiver operating characteristic – </w:t>
      </w:r>
      <w:r>
        <w:rPr>
          <w:rFonts w:ascii="Times New Roman" w:hAnsi="Times New Roman" w:cs="Times New Roman"/>
          <w:sz w:val="28"/>
        </w:rPr>
        <w:t>робоча характеристика приймача</w:t>
      </w:r>
    </w:p>
    <w:p w:rsidR="00372DBA" w:rsidRDefault="00372DBA" w:rsidP="00372DBA">
      <w:pPr>
        <w:rPr>
          <w:rFonts w:ascii="Times New Roman" w:hAnsi="Times New Roman" w:cs="Times New Roman"/>
          <w:sz w:val="28"/>
        </w:rPr>
      </w:pPr>
      <w:r>
        <w:rPr>
          <w:rFonts w:ascii="Times New Roman" w:hAnsi="Times New Roman" w:cs="Times New Roman"/>
          <w:sz w:val="28"/>
          <w:lang w:val="en-US"/>
        </w:rPr>
        <w:t>SRM</w:t>
      </w:r>
      <w:r w:rsidRPr="0032722C">
        <w:rPr>
          <w:rFonts w:ascii="Times New Roman" w:hAnsi="Times New Roman" w:cs="Times New Roman"/>
          <w:sz w:val="28"/>
        </w:rPr>
        <w:t xml:space="preserve">, </w:t>
      </w:r>
      <w:r>
        <w:rPr>
          <w:rFonts w:ascii="Times New Roman" w:hAnsi="Times New Roman" w:cs="Times New Roman"/>
          <w:sz w:val="28"/>
          <w:lang w:val="en-US"/>
        </w:rPr>
        <w:t>small</w:t>
      </w:r>
      <w:r w:rsidRPr="007036B6">
        <w:rPr>
          <w:rFonts w:ascii="Times New Roman" w:hAnsi="Times New Roman" w:cs="Times New Roman"/>
          <w:sz w:val="28"/>
        </w:rPr>
        <w:t xml:space="preserve"> </w:t>
      </w:r>
      <w:r>
        <w:rPr>
          <w:rFonts w:ascii="Times New Roman" w:hAnsi="Times New Roman" w:cs="Times New Roman"/>
          <w:sz w:val="28"/>
          <w:lang w:val="en-US"/>
        </w:rPr>
        <w:t>renal</w:t>
      </w:r>
      <w:r w:rsidRPr="007036B6">
        <w:rPr>
          <w:rFonts w:ascii="Times New Roman" w:hAnsi="Times New Roman" w:cs="Times New Roman"/>
          <w:sz w:val="28"/>
        </w:rPr>
        <w:t xml:space="preserve"> </w:t>
      </w:r>
      <w:r>
        <w:rPr>
          <w:rFonts w:ascii="Times New Roman" w:hAnsi="Times New Roman" w:cs="Times New Roman"/>
          <w:sz w:val="28"/>
          <w:lang w:val="en-US"/>
        </w:rPr>
        <w:t>masses</w:t>
      </w:r>
      <w:r w:rsidRPr="0032722C">
        <w:rPr>
          <w:rFonts w:ascii="Times New Roman" w:hAnsi="Times New Roman" w:cs="Times New Roman"/>
          <w:sz w:val="28"/>
        </w:rPr>
        <w:t xml:space="preserve"> </w:t>
      </w:r>
      <w:r>
        <w:rPr>
          <w:rFonts w:ascii="Times New Roman" w:hAnsi="Times New Roman" w:cs="Times New Roman"/>
          <w:sz w:val="28"/>
        </w:rPr>
        <w:t>–</w:t>
      </w:r>
      <w:r w:rsidRPr="0032722C">
        <w:rPr>
          <w:rFonts w:ascii="Times New Roman" w:hAnsi="Times New Roman" w:cs="Times New Roman"/>
          <w:sz w:val="28"/>
        </w:rPr>
        <w:t xml:space="preserve"> </w:t>
      </w:r>
      <w:r>
        <w:rPr>
          <w:rFonts w:ascii="Times New Roman" w:hAnsi="Times New Roman" w:cs="Times New Roman"/>
          <w:sz w:val="28"/>
        </w:rPr>
        <w:t>малі ниркові новоутвори</w:t>
      </w:r>
    </w:p>
    <w:p w:rsidR="00372DBA" w:rsidRDefault="00372DBA" w:rsidP="00372DBA">
      <w:pPr>
        <w:rPr>
          <w:rFonts w:ascii="Times New Roman" w:hAnsi="Times New Roman" w:cs="Times New Roman"/>
          <w:sz w:val="28"/>
          <w:szCs w:val="28"/>
        </w:rPr>
      </w:pPr>
      <w:r w:rsidRPr="00A76388">
        <w:rPr>
          <w:rFonts w:ascii="Times New Roman" w:hAnsi="Times New Roman" w:cs="Times New Roman"/>
          <w:sz w:val="28"/>
          <w:szCs w:val="28"/>
          <w:lang w:val="en-US"/>
        </w:rPr>
        <w:t>T</w:t>
      </w:r>
      <w:r w:rsidRPr="00A76388">
        <w:rPr>
          <w:rFonts w:ascii="Times New Roman" w:hAnsi="Times New Roman" w:cs="Times New Roman"/>
          <w:sz w:val="28"/>
          <w:szCs w:val="28"/>
        </w:rPr>
        <w:t>1</w:t>
      </w:r>
      <w:r>
        <w:rPr>
          <w:rFonts w:ascii="Times New Roman" w:hAnsi="Times New Roman" w:cs="Times New Roman"/>
          <w:sz w:val="28"/>
          <w:szCs w:val="28"/>
        </w:rPr>
        <w:t>-</w:t>
      </w:r>
      <w:r w:rsidRPr="00A76388">
        <w:rPr>
          <w:rFonts w:ascii="Times New Roman" w:hAnsi="Times New Roman" w:cs="Times New Roman"/>
          <w:sz w:val="28"/>
          <w:szCs w:val="28"/>
        </w:rPr>
        <w:t>ЗЗ</w:t>
      </w:r>
      <w:r>
        <w:rPr>
          <w:rFonts w:ascii="Times New Roman" w:hAnsi="Times New Roman" w:cs="Times New Roman"/>
          <w:sz w:val="28"/>
          <w:szCs w:val="28"/>
        </w:rPr>
        <w:t xml:space="preserve"> – Т1-зважені зображення</w:t>
      </w:r>
    </w:p>
    <w:p w:rsidR="00372DBA" w:rsidRDefault="00372DBA" w:rsidP="00372DBA">
      <w:pPr>
        <w:rPr>
          <w:rFonts w:ascii="Times New Roman" w:hAnsi="Times New Roman" w:cs="Times New Roman"/>
          <w:sz w:val="28"/>
          <w:szCs w:val="28"/>
        </w:rPr>
      </w:pPr>
      <w:r w:rsidRPr="00A76388">
        <w:rPr>
          <w:rFonts w:ascii="Times New Roman" w:hAnsi="Times New Roman" w:cs="Times New Roman"/>
          <w:sz w:val="28"/>
          <w:szCs w:val="28"/>
          <w:lang w:val="en-US"/>
        </w:rPr>
        <w:t>T</w:t>
      </w:r>
      <w:r>
        <w:rPr>
          <w:rFonts w:ascii="Times New Roman" w:hAnsi="Times New Roman" w:cs="Times New Roman"/>
          <w:sz w:val="28"/>
          <w:szCs w:val="28"/>
        </w:rPr>
        <w:t>2-</w:t>
      </w:r>
      <w:r w:rsidRPr="00A76388">
        <w:rPr>
          <w:rFonts w:ascii="Times New Roman" w:hAnsi="Times New Roman" w:cs="Times New Roman"/>
          <w:sz w:val="28"/>
          <w:szCs w:val="28"/>
        </w:rPr>
        <w:t>ЗЗ</w:t>
      </w:r>
      <w:r>
        <w:rPr>
          <w:rFonts w:ascii="Times New Roman" w:hAnsi="Times New Roman" w:cs="Times New Roman"/>
          <w:sz w:val="28"/>
          <w:szCs w:val="28"/>
        </w:rPr>
        <w:t xml:space="preserve"> – Т2-зважені зображення</w:t>
      </w:r>
    </w:p>
    <w:p w:rsidR="00372DBA" w:rsidRDefault="00372DBA" w:rsidP="00372DBA">
      <w:pPr>
        <w:rPr>
          <w:rFonts w:ascii="Times New Roman" w:hAnsi="Times New Roman" w:cs="Times New Roman"/>
          <w:sz w:val="28"/>
        </w:rPr>
      </w:pPr>
      <w:r>
        <w:rPr>
          <w:rFonts w:ascii="Times New Roman" w:hAnsi="Times New Roman" w:cs="Times New Roman"/>
          <w:sz w:val="28"/>
          <w:lang w:val="en-US"/>
        </w:rPr>
        <w:t>TIK</w:t>
      </w:r>
      <w:r>
        <w:rPr>
          <w:rFonts w:ascii="Times New Roman" w:hAnsi="Times New Roman" w:cs="Times New Roman"/>
          <w:sz w:val="28"/>
        </w:rPr>
        <w:t>,</w:t>
      </w:r>
      <w:r w:rsidRPr="00D945B3">
        <w:rPr>
          <w:rFonts w:ascii="Times New Roman" w:hAnsi="Times New Roman" w:cs="Times New Roman"/>
          <w:sz w:val="28"/>
        </w:rPr>
        <w:t xml:space="preserve"> </w:t>
      </w:r>
      <w:r>
        <w:rPr>
          <w:rFonts w:ascii="Times New Roman" w:hAnsi="Times New Roman" w:cs="Times New Roman"/>
          <w:sz w:val="28"/>
          <w:lang w:val="en-US"/>
        </w:rPr>
        <w:t>time</w:t>
      </w:r>
      <w:r w:rsidRPr="00C70688">
        <w:rPr>
          <w:rFonts w:ascii="Times New Roman" w:hAnsi="Times New Roman" w:cs="Times New Roman"/>
          <w:sz w:val="28"/>
        </w:rPr>
        <w:t>-</w:t>
      </w:r>
      <w:r>
        <w:rPr>
          <w:rFonts w:ascii="Times New Roman" w:hAnsi="Times New Roman" w:cs="Times New Roman"/>
          <w:sz w:val="28"/>
          <w:lang w:val="en-US"/>
        </w:rPr>
        <w:t>intensity</w:t>
      </w:r>
      <w:r w:rsidRPr="00C70688">
        <w:rPr>
          <w:rFonts w:ascii="Times New Roman" w:hAnsi="Times New Roman" w:cs="Times New Roman"/>
          <w:sz w:val="28"/>
        </w:rPr>
        <w:t xml:space="preserve"> </w:t>
      </w:r>
      <w:r>
        <w:rPr>
          <w:rFonts w:ascii="Times New Roman" w:hAnsi="Times New Roman" w:cs="Times New Roman"/>
          <w:sz w:val="28"/>
          <w:lang w:val="en-US"/>
        </w:rPr>
        <w:t>curve</w:t>
      </w:r>
      <w:r w:rsidRPr="00D945B3">
        <w:rPr>
          <w:rFonts w:ascii="Times New Roman" w:hAnsi="Times New Roman" w:cs="Times New Roman"/>
          <w:sz w:val="28"/>
        </w:rPr>
        <w:t xml:space="preserve"> </w:t>
      </w:r>
      <w:r>
        <w:rPr>
          <w:rFonts w:ascii="Times New Roman" w:hAnsi="Times New Roman" w:cs="Times New Roman"/>
          <w:sz w:val="28"/>
        </w:rPr>
        <w:t>– часова крива інтенсивності</w:t>
      </w:r>
    </w:p>
    <w:p w:rsidR="00372DBA" w:rsidRDefault="00372DBA" w:rsidP="00372DBA">
      <w:pPr>
        <w:rPr>
          <w:rFonts w:ascii="Times New Roman" w:hAnsi="Times New Roman" w:cs="Times New Roman"/>
          <w:sz w:val="28"/>
        </w:rPr>
      </w:pPr>
      <w:r w:rsidRPr="00523ABE">
        <w:rPr>
          <w:rFonts w:ascii="Times New Roman" w:hAnsi="Times New Roman" w:cs="Times New Roman"/>
          <w:sz w:val="28"/>
        </w:rPr>
        <w:t>TTP</w:t>
      </w:r>
      <w:r>
        <w:rPr>
          <w:rFonts w:ascii="Times New Roman" w:hAnsi="Times New Roman" w:cs="Times New Roman"/>
          <w:sz w:val="28"/>
          <w:lang w:val="en-US"/>
        </w:rPr>
        <w:t xml:space="preserve">, time to progression – </w:t>
      </w:r>
      <w:r>
        <w:rPr>
          <w:rFonts w:ascii="Times New Roman" w:hAnsi="Times New Roman" w:cs="Times New Roman"/>
          <w:sz w:val="28"/>
          <w:lang w:val="ru-RU"/>
        </w:rPr>
        <w:t>ч</w:t>
      </w:r>
      <w:r>
        <w:rPr>
          <w:rFonts w:ascii="Times New Roman" w:hAnsi="Times New Roman" w:cs="Times New Roman"/>
          <w:sz w:val="28"/>
        </w:rPr>
        <w:t>ас до прогресу</w:t>
      </w:r>
    </w:p>
    <w:p w:rsidR="00372DBA" w:rsidRDefault="00372DBA" w:rsidP="00372DBA">
      <w:pPr>
        <w:rPr>
          <w:rFonts w:ascii="Times New Roman" w:hAnsi="Times New Roman" w:cs="Times New Roman"/>
          <w:sz w:val="28"/>
          <w:szCs w:val="28"/>
        </w:rPr>
      </w:pPr>
      <w:r>
        <w:rPr>
          <w:rFonts w:ascii="Times New Roman" w:hAnsi="Times New Roman" w:cs="Times New Roman"/>
          <w:sz w:val="28"/>
          <w:szCs w:val="28"/>
        </w:rPr>
        <w:t>VEGF</w:t>
      </w:r>
      <w:r>
        <w:rPr>
          <w:rFonts w:ascii="Times New Roman" w:hAnsi="Times New Roman" w:cs="Times New Roman"/>
          <w:sz w:val="28"/>
          <w:szCs w:val="28"/>
          <w:lang w:val="en-US"/>
        </w:rPr>
        <w:t xml:space="preserve">, </w:t>
      </w:r>
      <w:r w:rsidRPr="008255DB">
        <w:rPr>
          <w:rFonts w:ascii="Times New Roman" w:hAnsi="Times New Roman" w:cs="Times New Roman"/>
          <w:sz w:val="28"/>
          <w:szCs w:val="28"/>
          <w:lang w:val="en-US"/>
        </w:rPr>
        <w:t>vascular endothelial growth factor</w:t>
      </w:r>
      <w:r>
        <w:rPr>
          <w:rFonts w:ascii="Times New Roman" w:hAnsi="Times New Roman" w:cs="Times New Roman"/>
          <w:sz w:val="28"/>
          <w:szCs w:val="28"/>
        </w:rPr>
        <w:t xml:space="preserve"> – </w:t>
      </w:r>
      <w:r w:rsidRPr="008255DB">
        <w:rPr>
          <w:rFonts w:ascii="Times New Roman" w:hAnsi="Times New Roman" w:cs="Times New Roman"/>
          <w:sz w:val="28"/>
          <w:szCs w:val="28"/>
        </w:rPr>
        <w:t>фактор росту ендотелію судин</w:t>
      </w:r>
    </w:p>
    <w:p w:rsidR="00372DBA" w:rsidRDefault="00372DBA" w:rsidP="00372DBA">
      <w:pPr>
        <w:rPr>
          <w:rFonts w:ascii="Times New Roman" w:hAnsi="Times New Roman" w:cs="Times New Roman"/>
          <w:color w:val="000000" w:themeColor="text1"/>
          <w:sz w:val="28"/>
          <w:szCs w:val="28"/>
        </w:rPr>
      </w:pPr>
      <w:r>
        <w:rPr>
          <w:rFonts w:ascii="Times New Roman" w:hAnsi="Times New Roman" w:cs="Times New Roman"/>
          <w:sz w:val="28"/>
          <w:szCs w:val="28"/>
          <w:lang w:val="en-US"/>
        </w:rPr>
        <w:t>VHL</w:t>
      </w:r>
      <w:r w:rsidRPr="009A4618">
        <w:rPr>
          <w:rFonts w:ascii="Times New Roman" w:hAnsi="Times New Roman" w:cs="Times New Roman"/>
          <w:sz w:val="28"/>
          <w:szCs w:val="28"/>
        </w:rPr>
        <w:t xml:space="preserve">, </w:t>
      </w:r>
      <w:r w:rsidRPr="00BF204D">
        <w:rPr>
          <w:rFonts w:ascii="Times New Roman" w:hAnsi="Times New Roman" w:cs="Times New Roman"/>
          <w:color w:val="000000" w:themeColor="text1"/>
          <w:sz w:val="28"/>
          <w:szCs w:val="28"/>
          <w:lang w:val="en-US"/>
        </w:rPr>
        <w:t>von</w:t>
      </w:r>
      <w:r w:rsidRPr="00BF204D">
        <w:rPr>
          <w:rFonts w:ascii="Times New Roman" w:hAnsi="Times New Roman" w:cs="Times New Roman"/>
          <w:color w:val="000000" w:themeColor="text1"/>
          <w:sz w:val="28"/>
          <w:szCs w:val="28"/>
        </w:rPr>
        <w:t xml:space="preserve"> </w:t>
      </w:r>
      <w:r w:rsidRPr="00BF204D">
        <w:rPr>
          <w:rFonts w:ascii="Times New Roman" w:hAnsi="Times New Roman" w:cs="Times New Roman"/>
          <w:color w:val="000000" w:themeColor="text1"/>
          <w:sz w:val="28"/>
          <w:szCs w:val="28"/>
          <w:lang w:val="en-US"/>
        </w:rPr>
        <w:t>Hippel</w:t>
      </w:r>
      <w:r w:rsidRPr="00BF204D">
        <w:rPr>
          <w:rFonts w:ascii="Times New Roman" w:hAnsi="Times New Roman" w:cs="Times New Roman"/>
          <w:color w:val="000000" w:themeColor="text1"/>
          <w:sz w:val="28"/>
          <w:szCs w:val="28"/>
        </w:rPr>
        <w:t>-</w:t>
      </w:r>
      <w:r w:rsidRPr="00BF204D">
        <w:rPr>
          <w:rFonts w:ascii="Times New Roman" w:hAnsi="Times New Roman" w:cs="Times New Roman"/>
          <w:color w:val="000000" w:themeColor="text1"/>
          <w:sz w:val="28"/>
          <w:szCs w:val="28"/>
          <w:lang w:val="en-US"/>
        </w:rPr>
        <w:t>Lindau</w:t>
      </w:r>
      <w:r w:rsidRPr="009A4618">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фон Гіппель-Ліндау</w:t>
      </w:r>
    </w:p>
    <w:p w:rsidR="00372DBA" w:rsidRDefault="00372DBA" w:rsidP="00694567">
      <w:pPr>
        <w:pStyle w:val="NoSpacing"/>
        <w:jc w:val="center"/>
        <w:rPr>
          <w:rFonts w:ascii="Times New Roman" w:hAnsi="Times New Roman" w:cs="Times New Roman"/>
          <w:sz w:val="28"/>
          <w:szCs w:val="28"/>
        </w:rPr>
      </w:pPr>
    </w:p>
    <w:p w:rsidR="0028256A" w:rsidRDefault="0028256A" w:rsidP="00694567">
      <w:pPr>
        <w:pStyle w:val="NoSpacing"/>
        <w:jc w:val="center"/>
        <w:rPr>
          <w:rFonts w:ascii="Times New Roman" w:hAnsi="Times New Roman" w:cs="Times New Roman"/>
          <w:sz w:val="28"/>
          <w:szCs w:val="28"/>
        </w:rPr>
      </w:pPr>
    </w:p>
    <w:p w:rsidR="0028256A" w:rsidRDefault="0028256A" w:rsidP="00694567">
      <w:pPr>
        <w:pStyle w:val="NoSpacing"/>
        <w:jc w:val="center"/>
        <w:rPr>
          <w:rFonts w:ascii="Times New Roman" w:hAnsi="Times New Roman" w:cs="Times New Roman"/>
          <w:sz w:val="28"/>
          <w:szCs w:val="28"/>
        </w:rPr>
      </w:pPr>
    </w:p>
    <w:p w:rsidR="0028256A" w:rsidRDefault="0028256A" w:rsidP="00694567">
      <w:pPr>
        <w:pStyle w:val="NoSpacing"/>
        <w:jc w:val="center"/>
        <w:rPr>
          <w:rFonts w:ascii="Times New Roman" w:hAnsi="Times New Roman" w:cs="Times New Roman"/>
          <w:sz w:val="28"/>
          <w:szCs w:val="28"/>
        </w:rPr>
      </w:pPr>
    </w:p>
    <w:p w:rsidR="0028256A" w:rsidRDefault="0028256A" w:rsidP="00694567">
      <w:pPr>
        <w:pStyle w:val="NoSpacing"/>
        <w:jc w:val="center"/>
        <w:rPr>
          <w:rFonts w:ascii="Times New Roman" w:hAnsi="Times New Roman" w:cs="Times New Roman"/>
          <w:sz w:val="28"/>
          <w:szCs w:val="28"/>
        </w:rPr>
      </w:pPr>
    </w:p>
    <w:p w:rsidR="00D37CB3" w:rsidRDefault="00D37CB3" w:rsidP="00694567">
      <w:pPr>
        <w:pStyle w:val="NoSpacing"/>
        <w:jc w:val="center"/>
        <w:rPr>
          <w:rFonts w:ascii="Times New Roman" w:hAnsi="Times New Roman" w:cs="Times New Roman"/>
          <w:sz w:val="28"/>
          <w:szCs w:val="28"/>
        </w:rPr>
      </w:pPr>
    </w:p>
    <w:p w:rsidR="00D37CB3" w:rsidRDefault="00D37CB3" w:rsidP="00694567">
      <w:pPr>
        <w:pStyle w:val="NoSpacing"/>
        <w:jc w:val="center"/>
        <w:rPr>
          <w:rFonts w:ascii="Times New Roman" w:hAnsi="Times New Roman" w:cs="Times New Roman"/>
          <w:sz w:val="28"/>
          <w:szCs w:val="28"/>
        </w:rPr>
      </w:pPr>
    </w:p>
    <w:p w:rsidR="00D37CB3" w:rsidRDefault="00D37CB3" w:rsidP="00694567">
      <w:pPr>
        <w:pStyle w:val="NoSpacing"/>
        <w:jc w:val="center"/>
        <w:rPr>
          <w:rFonts w:ascii="Times New Roman" w:hAnsi="Times New Roman" w:cs="Times New Roman"/>
          <w:sz w:val="28"/>
          <w:szCs w:val="28"/>
        </w:rPr>
      </w:pPr>
    </w:p>
    <w:p w:rsidR="00D37CB3" w:rsidRDefault="00D37CB3" w:rsidP="00694567">
      <w:pPr>
        <w:pStyle w:val="NoSpacing"/>
        <w:jc w:val="center"/>
        <w:rPr>
          <w:rFonts w:ascii="Times New Roman" w:hAnsi="Times New Roman" w:cs="Times New Roman"/>
          <w:sz w:val="28"/>
          <w:szCs w:val="28"/>
        </w:rPr>
      </w:pPr>
    </w:p>
    <w:p w:rsidR="00D37CB3" w:rsidRDefault="00D37CB3" w:rsidP="00694567">
      <w:pPr>
        <w:pStyle w:val="NoSpacing"/>
        <w:jc w:val="center"/>
        <w:rPr>
          <w:rFonts w:ascii="Times New Roman" w:hAnsi="Times New Roman" w:cs="Times New Roman"/>
          <w:sz w:val="28"/>
          <w:szCs w:val="28"/>
        </w:rPr>
      </w:pPr>
    </w:p>
    <w:p w:rsidR="008C0D38" w:rsidRDefault="008C0D38" w:rsidP="00694567">
      <w:pPr>
        <w:pStyle w:val="NoSpacing"/>
        <w:jc w:val="center"/>
        <w:rPr>
          <w:rFonts w:ascii="Times New Roman" w:hAnsi="Times New Roman" w:cs="Times New Roman"/>
          <w:sz w:val="28"/>
          <w:szCs w:val="28"/>
        </w:rPr>
      </w:pPr>
    </w:p>
    <w:p w:rsidR="008C0D38" w:rsidRDefault="008C0D38" w:rsidP="00694567">
      <w:pPr>
        <w:pStyle w:val="NoSpacing"/>
        <w:jc w:val="center"/>
        <w:rPr>
          <w:rFonts w:ascii="Times New Roman" w:hAnsi="Times New Roman" w:cs="Times New Roman"/>
          <w:sz w:val="28"/>
          <w:szCs w:val="28"/>
        </w:rPr>
      </w:pPr>
    </w:p>
    <w:p w:rsidR="008C0D38" w:rsidRDefault="008C0D38" w:rsidP="00694567">
      <w:pPr>
        <w:pStyle w:val="NoSpacing"/>
        <w:jc w:val="center"/>
        <w:rPr>
          <w:rFonts w:ascii="Times New Roman" w:hAnsi="Times New Roman" w:cs="Times New Roman"/>
          <w:sz w:val="28"/>
          <w:szCs w:val="28"/>
        </w:rPr>
      </w:pPr>
    </w:p>
    <w:p w:rsidR="00D37CB3" w:rsidRDefault="00D37CB3" w:rsidP="00655F39">
      <w:pPr>
        <w:pStyle w:val="NoSpacing"/>
        <w:rPr>
          <w:rFonts w:ascii="Times New Roman" w:hAnsi="Times New Roman" w:cs="Times New Roman"/>
          <w:sz w:val="28"/>
          <w:szCs w:val="28"/>
        </w:rPr>
      </w:pPr>
    </w:p>
    <w:p w:rsidR="00D37CB3" w:rsidRDefault="00D37CB3" w:rsidP="00D37CB3">
      <w:pPr>
        <w:spacing w:line="360" w:lineRule="auto"/>
        <w:jc w:val="center"/>
        <w:rPr>
          <w:rFonts w:ascii="Times New Roman" w:hAnsi="Times New Roman" w:cs="Times New Roman"/>
          <w:b/>
          <w:sz w:val="28"/>
          <w:szCs w:val="28"/>
        </w:rPr>
      </w:pPr>
      <w:r w:rsidRPr="001B378C">
        <w:rPr>
          <w:rFonts w:ascii="Times New Roman" w:hAnsi="Times New Roman" w:cs="Times New Roman"/>
          <w:b/>
          <w:sz w:val="28"/>
          <w:szCs w:val="28"/>
        </w:rPr>
        <w:lastRenderedPageBreak/>
        <w:t>ВСТУП</w:t>
      </w:r>
    </w:p>
    <w:p w:rsidR="00D37CB3" w:rsidRPr="00A14E38" w:rsidRDefault="00D37CB3" w:rsidP="00D37CB3">
      <w:pPr>
        <w:spacing w:line="360" w:lineRule="auto"/>
        <w:jc w:val="center"/>
        <w:rPr>
          <w:rFonts w:ascii="Times New Roman" w:hAnsi="Times New Roman" w:cs="Times New Roman"/>
          <w:b/>
          <w:sz w:val="28"/>
          <w:szCs w:val="28"/>
        </w:rPr>
      </w:pPr>
    </w:p>
    <w:p w:rsidR="00D37CB3" w:rsidRDefault="00D37CB3" w:rsidP="008C0D38">
      <w:pPr>
        <w:spacing w:line="360" w:lineRule="auto"/>
        <w:ind w:firstLine="708"/>
        <w:jc w:val="both"/>
        <w:rPr>
          <w:rFonts w:ascii="Times New Roman" w:hAnsi="Times New Roman" w:cs="Times New Roman"/>
          <w:sz w:val="28"/>
          <w:szCs w:val="28"/>
        </w:rPr>
      </w:pPr>
      <w:r w:rsidRPr="0042294B">
        <w:rPr>
          <w:rFonts w:ascii="Times New Roman" w:hAnsi="Times New Roman" w:cs="Times New Roman"/>
          <w:b/>
          <w:color w:val="000000"/>
          <w:sz w:val="28"/>
          <w:szCs w:val="28"/>
        </w:rPr>
        <w:t>Обґрунтування вибору теми дослідження.</w:t>
      </w:r>
      <w:r>
        <w:rPr>
          <w:color w:val="000000"/>
        </w:rPr>
        <w:t xml:space="preserve"> </w:t>
      </w:r>
      <w:r>
        <w:rPr>
          <w:rFonts w:ascii="Times New Roman" w:hAnsi="Times New Roman" w:cs="Times New Roman"/>
          <w:sz w:val="28"/>
          <w:szCs w:val="28"/>
        </w:rPr>
        <w:t>Нирково-клітинний рак (НКР) є поширеною онкологічною патологією і знаходиться поміж десяти най</w:t>
      </w:r>
      <w:r w:rsidR="00176109">
        <w:rPr>
          <w:rFonts w:ascii="Times New Roman" w:hAnsi="Times New Roman" w:cs="Times New Roman"/>
          <w:sz w:val="28"/>
          <w:szCs w:val="28"/>
        </w:rPr>
        <w:t>більш розповсюджених ЗН у обох статей</w:t>
      </w:r>
      <w:r w:rsidR="005C6E03">
        <w:rPr>
          <w:rFonts w:ascii="Times New Roman" w:hAnsi="Times New Roman" w:cs="Times New Roman"/>
          <w:sz w:val="28"/>
          <w:szCs w:val="28"/>
        </w:rPr>
        <w:t>,</w:t>
      </w:r>
      <w:r>
        <w:rPr>
          <w:rFonts w:ascii="Times New Roman" w:hAnsi="Times New Roman" w:cs="Times New Roman"/>
          <w:sz w:val="28"/>
          <w:szCs w:val="28"/>
        </w:rPr>
        <w:t xml:space="preserve"> та на шостому місці по частоті виявлення у чоловіків. Захворюваність на НКР у світі щорічно зростає на 2%, при цьому дана патологія розвивається у 1 з 63 осіб впродовж їхнього життя. Щороку кількість вперше виявлених випадків НКР становить</w:t>
      </w:r>
      <w:r w:rsidRPr="002C7355">
        <w:rPr>
          <w:rFonts w:ascii="Times New Roman" w:hAnsi="Times New Roman" w:cs="Times New Roman"/>
          <w:sz w:val="28"/>
          <w:szCs w:val="28"/>
        </w:rPr>
        <w:t xml:space="preserve"> </w:t>
      </w:r>
      <w:r>
        <w:rPr>
          <w:rFonts w:ascii="Times New Roman" w:hAnsi="Times New Roman" w:cs="Times New Roman"/>
          <w:sz w:val="28"/>
          <w:szCs w:val="28"/>
        </w:rPr>
        <w:t>близько 271 000, а кількість смертей від цієї патології - 116 000 [</w:t>
      </w:r>
      <w:r w:rsidR="009A173C" w:rsidRPr="009E6C7E">
        <w:rPr>
          <w:rFonts w:ascii="Times New Roman" w:hAnsi="Times New Roman" w:cs="Times New Roman"/>
          <w:sz w:val="28"/>
          <w:szCs w:val="28"/>
          <w:lang w:val="ru-RU"/>
        </w:rPr>
        <w:t>190</w:t>
      </w:r>
      <w:r w:rsidRPr="009D656F">
        <w:rPr>
          <w:rFonts w:ascii="Times New Roman" w:hAnsi="Times New Roman" w:cs="Times New Roman"/>
          <w:sz w:val="28"/>
          <w:szCs w:val="28"/>
        </w:rPr>
        <w:t>]</w:t>
      </w:r>
      <w:r w:rsidRPr="008D668A">
        <w:rPr>
          <w:rFonts w:ascii="Times New Roman" w:hAnsi="Times New Roman" w:cs="Times New Roman"/>
          <w:sz w:val="28"/>
          <w:szCs w:val="28"/>
        </w:rPr>
        <w:t xml:space="preserve">. </w:t>
      </w:r>
      <w:r>
        <w:rPr>
          <w:rFonts w:ascii="Times New Roman" w:hAnsi="Times New Roman" w:cs="Times New Roman"/>
          <w:sz w:val="28"/>
          <w:szCs w:val="28"/>
        </w:rPr>
        <w:t>В Україні впродовж останніх 15 років показники захворюваності і смертності при НКР мають виражену тенденцію до зростання. Щороку кількість нових випадків НКР в нашій державі збільшується в середньому на 3%. Так, з 1999 до 2015 рр. стандартизований показник захворюваності зріс на 47% (з 8,1 до 11,9 на 100 тисяч населення), а стандартизований показник смертності - на 16% (з 4,3 д</w:t>
      </w:r>
      <w:r w:rsidR="008C0D38">
        <w:rPr>
          <w:rFonts w:ascii="Times New Roman" w:hAnsi="Times New Roman" w:cs="Times New Roman"/>
          <w:sz w:val="28"/>
          <w:szCs w:val="28"/>
        </w:rPr>
        <w:t xml:space="preserve">о 5,0 на 100 тисяч населення). </w:t>
      </w:r>
      <w:r>
        <w:rPr>
          <w:rFonts w:ascii="Times New Roman" w:hAnsi="Times New Roman" w:cs="Times New Roman"/>
          <w:sz w:val="28"/>
          <w:szCs w:val="28"/>
        </w:rPr>
        <w:t xml:space="preserve">Беручи до уваги наведені дані, в майбутньому очікується значний приріст захворюваності на НКР, як у світовому масштабі, так і в Україні, що зумовлює високу актуальність проблеми діагностики та лікування даної патології в світлі сучасної медицини. </w:t>
      </w:r>
    </w:p>
    <w:p w:rsidR="008C0D38" w:rsidRDefault="00D37CB3" w:rsidP="00E356C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Відомо, що біологічна поведінка НКР, особливості перебігу цього захворювання, ефективність хірургічного чи медикаментозного лікування, схильність до метастазування та тривалість виживання хворих детерміновані сукупністю факторів, серед яких виділяють анатомічні, гістологічні, клінічні та молекулярні. Слід зазначити, що не зважаючи на впровадження новітніх технологій променевої діагностики, в Україні за останнє десятиріччя  частка вперше виявленого НКР І-ІІ стадій зросла всього на 11% і не перевищує 57%, проте, у близько 23% хворих, дане захворювання виявляється на І</w:t>
      </w:r>
      <w:r>
        <w:rPr>
          <w:rFonts w:ascii="Times New Roman" w:hAnsi="Times New Roman" w:cs="Times New Roman"/>
          <w:sz w:val="28"/>
          <w:szCs w:val="28"/>
          <w:lang w:val="en-US"/>
        </w:rPr>
        <w:t>V</w:t>
      </w:r>
      <w:r w:rsidRPr="00C17ECB">
        <w:rPr>
          <w:rFonts w:ascii="Times New Roman" w:hAnsi="Times New Roman" w:cs="Times New Roman"/>
          <w:sz w:val="28"/>
          <w:szCs w:val="28"/>
        </w:rPr>
        <w:t xml:space="preserve"> </w:t>
      </w:r>
      <w:r>
        <w:rPr>
          <w:rFonts w:ascii="Times New Roman" w:hAnsi="Times New Roman" w:cs="Times New Roman"/>
          <w:sz w:val="28"/>
          <w:szCs w:val="28"/>
        </w:rPr>
        <w:t>стадії, при якій радикальне лікування вже не є ефективним</w:t>
      </w:r>
      <w:r w:rsidR="00E356C4">
        <w:rPr>
          <w:rFonts w:ascii="Times New Roman" w:hAnsi="Times New Roman" w:cs="Times New Roman"/>
          <w:sz w:val="28"/>
          <w:szCs w:val="28"/>
        </w:rPr>
        <w:t xml:space="preserve"> </w:t>
      </w:r>
      <w:r w:rsidR="00E356C4" w:rsidRPr="009E6C7E">
        <w:rPr>
          <w:rFonts w:ascii="Times New Roman" w:hAnsi="Times New Roman" w:cs="Times New Roman"/>
          <w:sz w:val="28"/>
          <w:szCs w:val="28"/>
        </w:rPr>
        <w:t>[</w:t>
      </w:r>
      <w:r w:rsidR="00E356C4">
        <w:rPr>
          <w:rFonts w:ascii="Times New Roman" w:hAnsi="Times New Roman" w:cs="Times New Roman"/>
          <w:sz w:val="28"/>
          <w:szCs w:val="28"/>
        </w:rPr>
        <w:t>70</w:t>
      </w:r>
      <w:r w:rsidR="00E356C4" w:rsidRPr="009E6C7E">
        <w:rPr>
          <w:rFonts w:ascii="Times New Roman" w:hAnsi="Times New Roman" w:cs="Times New Roman"/>
          <w:sz w:val="28"/>
          <w:szCs w:val="28"/>
        </w:rPr>
        <w:t>]</w:t>
      </w:r>
      <w:r>
        <w:rPr>
          <w:rFonts w:ascii="Times New Roman" w:hAnsi="Times New Roman" w:cs="Times New Roman"/>
          <w:sz w:val="28"/>
          <w:szCs w:val="28"/>
        </w:rPr>
        <w:t xml:space="preserve">. </w:t>
      </w:r>
    </w:p>
    <w:p w:rsidR="00D37CB3" w:rsidRDefault="00D37CB3" w:rsidP="00E356C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На сьогоднішній день</w:t>
      </w:r>
      <w:r w:rsidR="00E356C4">
        <w:rPr>
          <w:rFonts w:ascii="Times New Roman" w:hAnsi="Times New Roman" w:cs="Times New Roman"/>
          <w:sz w:val="28"/>
          <w:szCs w:val="28"/>
        </w:rPr>
        <w:t>,</w:t>
      </w:r>
      <w:r>
        <w:rPr>
          <w:rFonts w:ascii="Times New Roman" w:hAnsi="Times New Roman" w:cs="Times New Roman"/>
          <w:sz w:val="28"/>
          <w:szCs w:val="28"/>
        </w:rPr>
        <w:t xml:space="preserve"> єдиним методом, який дозволяє на доопераційному етапі діагностувати НКР одночасно отримуючи інформацію про гістологічний підтип і ступінь диференціації пухлини є черезшкірна пункційна біопсія (ЧПБ), яка рідко застосовується в реальних клінічних умовах. Даний метод є інвазійним, несе загрозу ускладнень та</w:t>
      </w:r>
      <w:r w:rsidRPr="00C2284D">
        <w:rPr>
          <w:rFonts w:ascii="Times New Roman" w:hAnsi="Times New Roman" w:cs="Times New Roman"/>
          <w:sz w:val="28"/>
          <w:szCs w:val="28"/>
        </w:rPr>
        <w:t xml:space="preserve"> </w:t>
      </w:r>
      <w:r>
        <w:rPr>
          <w:rFonts w:ascii="Times New Roman" w:hAnsi="Times New Roman" w:cs="Times New Roman"/>
          <w:sz w:val="28"/>
          <w:szCs w:val="28"/>
        </w:rPr>
        <w:t>вимагає значного часу на виконання, при цьому питання його ефективності є доволі контроверсійним, оскільки частка неінформативних біопсій досягає 40%, що зумовлює відмову від цієї маніпуляції у багатьох вітчизняних клініках [</w:t>
      </w:r>
      <w:r w:rsidR="00E356C4">
        <w:rPr>
          <w:rFonts w:ascii="Times New Roman" w:eastAsia="Times New Roman" w:hAnsi="Times New Roman" w:cs="Times New Roman"/>
          <w:color w:val="000000" w:themeColor="text1"/>
          <w:sz w:val="28"/>
          <w:szCs w:val="28"/>
          <w:lang w:eastAsia="uk-UA"/>
        </w:rPr>
        <w:t>90</w:t>
      </w:r>
      <w:r w:rsidRPr="00060B5D">
        <w:rPr>
          <w:rFonts w:ascii="Times New Roman" w:hAnsi="Times New Roman" w:cs="Times New Roman"/>
          <w:sz w:val="28"/>
          <w:szCs w:val="28"/>
        </w:rPr>
        <w:t>]</w:t>
      </w:r>
      <w:r>
        <w:rPr>
          <w:rFonts w:ascii="Times New Roman" w:hAnsi="Times New Roman" w:cs="Times New Roman"/>
          <w:sz w:val="28"/>
          <w:szCs w:val="28"/>
        </w:rPr>
        <w:t>. В цьому контексті важливо підкреслити, що в Україні частка гістологічно верифікованих діагнозів НКР до оп</w:t>
      </w:r>
      <w:r w:rsidR="00E356C4">
        <w:rPr>
          <w:rFonts w:ascii="Times New Roman" w:hAnsi="Times New Roman" w:cs="Times New Roman"/>
          <w:sz w:val="28"/>
          <w:szCs w:val="28"/>
        </w:rPr>
        <w:t>ерації не перевищує</w:t>
      </w:r>
      <w:r>
        <w:rPr>
          <w:rFonts w:ascii="Times New Roman" w:hAnsi="Times New Roman" w:cs="Times New Roman"/>
          <w:sz w:val="28"/>
          <w:szCs w:val="28"/>
        </w:rPr>
        <w:t xml:space="preserve"> 67%</w:t>
      </w:r>
      <w:r w:rsidR="00E356C4">
        <w:rPr>
          <w:rFonts w:ascii="Times New Roman" w:hAnsi="Times New Roman" w:cs="Times New Roman"/>
          <w:sz w:val="28"/>
          <w:szCs w:val="28"/>
        </w:rPr>
        <w:t xml:space="preserve"> </w:t>
      </w:r>
      <w:r w:rsidR="00E356C4" w:rsidRPr="009E6C7E">
        <w:rPr>
          <w:rFonts w:ascii="Times New Roman" w:hAnsi="Times New Roman" w:cs="Times New Roman"/>
          <w:sz w:val="28"/>
          <w:szCs w:val="28"/>
          <w:lang w:val="ru-RU"/>
        </w:rPr>
        <w:t>[70]</w:t>
      </w:r>
      <w:r>
        <w:rPr>
          <w:rFonts w:ascii="Times New Roman" w:hAnsi="Times New Roman" w:cs="Times New Roman"/>
          <w:sz w:val="28"/>
          <w:szCs w:val="28"/>
        </w:rPr>
        <w:t>.</w:t>
      </w:r>
    </w:p>
    <w:p w:rsidR="00D37CB3" w:rsidRDefault="00D37CB3" w:rsidP="00E356C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Водночас, усі доступні методи візуалізації в клініці дозволяють діагностувати НКР із чутливістю та специфічністю в межах 75-90%, а достовірно проводити диференційну діагностику із деякими доброякісними</w:t>
      </w:r>
      <w:r w:rsidR="003150DF">
        <w:rPr>
          <w:rFonts w:ascii="Times New Roman" w:hAnsi="Times New Roman" w:cs="Times New Roman"/>
          <w:sz w:val="28"/>
          <w:szCs w:val="28"/>
        </w:rPr>
        <w:t xml:space="preserve"> пухлинами нирки, такими, як ан</w:t>
      </w:r>
      <w:r>
        <w:rPr>
          <w:rFonts w:ascii="Times New Roman" w:hAnsi="Times New Roman" w:cs="Times New Roman"/>
          <w:sz w:val="28"/>
          <w:szCs w:val="28"/>
        </w:rPr>
        <w:t>гіоміоліпома з низьким вмістом жиру чи онкоцитома</w:t>
      </w:r>
      <w:r w:rsidR="007D7DC9">
        <w:rPr>
          <w:rFonts w:ascii="Times New Roman" w:hAnsi="Times New Roman" w:cs="Times New Roman"/>
          <w:sz w:val="28"/>
          <w:szCs w:val="28"/>
        </w:rPr>
        <w:t xml:space="preserve"> (ОЦ)</w:t>
      </w:r>
      <w:r>
        <w:rPr>
          <w:rFonts w:ascii="Times New Roman" w:hAnsi="Times New Roman" w:cs="Times New Roman"/>
          <w:sz w:val="28"/>
          <w:szCs w:val="28"/>
        </w:rPr>
        <w:t xml:space="preserve">, взагалі майже неможливо. Особливі труднощі виникають при дослідженні малих ниркових новоутворень – </w:t>
      </w:r>
      <w:r>
        <w:rPr>
          <w:rFonts w:ascii="Times New Roman" w:hAnsi="Times New Roman" w:cs="Times New Roman"/>
          <w:sz w:val="28"/>
          <w:szCs w:val="28"/>
          <w:lang w:val="en-US"/>
        </w:rPr>
        <w:t>small</w:t>
      </w:r>
      <w:r w:rsidRPr="007E7A40">
        <w:rPr>
          <w:rFonts w:ascii="Times New Roman" w:hAnsi="Times New Roman" w:cs="Times New Roman"/>
          <w:sz w:val="28"/>
          <w:szCs w:val="28"/>
        </w:rPr>
        <w:t xml:space="preserve"> </w:t>
      </w:r>
      <w:r>
        <w:rPr>
          <w:rFonts w:ascii="Times New Roman" w:hAnsi="Times New Roman" w:cs="Times New Roman"/>
          <w:sz w:val="28"/>
          <w:szCs w:val="28"/>
          <w:lang w:val="en-US"/>
        </w:rPr>
        <w:t>renal</w:t>
      </w:r>
      <w:r w:rsidRPr="007E7A40">
        <w:rPr>
          <w:rFonts w:ascii="Times New Roman" w:hAnsi="Times New Roman" w:cs="Times New Roman"/>
          <w:sz w:val="28"/>
          <w:szCs w:val="28"/>
        </w:rPr>
        <w:t xml:space="preserve"> </w:t>
      </w:r>
      <w:r>
        <w:rPr>
          <w:rFonts w:ascii="Times New Roman" w:hAnsi="Times New Roman" w:cs="Times New Roman"/>
          <w:sz w:val="28"/>
          <w:szCs w:val="28"/>
          <w:lang w:val="en-US"/>
        </w:rPr>
        <w:t>masses</w:t>
      </w:r>
      <w:r w:rsidRPr="007E7A40">
        <w:rPr>
          <w:rFonts w:ascii="Times New Roman" w:hAnsi="Times New Roman" w:cs="Times New Roman"/>
          <w:sz w:val="28"/>
          <w:szCs w:val="28"/>
        </w:rPr>
        <w:t xml:space="preserve"> (</w:t>
      </w:r>
      <w:r>
        <w:rPr>
          <w:rFonts w:ascii="Times New Roman" w:hAnsi="Times New Roman" w:cs="Times New Roman"/>
          <w:sz w:val="28"/>
          <w:szCs w:val="28"/>
          <w:lang w:val="en-US"/>
        </w:rPr>
        <w:t>SRM</w:t>
      </w:r>
      <w:r w:rsidRPr="007E7A40">
        <w:rPr>
          <w:rFonts w:ascii="Times New Roman" w:hAnsi="Times New Roman" w:cs="Times New Roman"/>
          <w:sz w:val="28"/>
          <w:szCs w:val="28"/>
        </w:rPr>
        <w:t>)</w:t>
      </w:r>
      <w:r>
        <w:rPr>
          <w:rFonts w:ascii="Times New Roman" w:hAnsi="Times New Roman" w:cs="Times New Roman"/>
          <w:sz w:val="28"/>
          <w:szCs w:val="28"/>
        </w:rPr>
        <w:t>, розміром до 4 см, оскільки чутливість та специфічність КТ та МРТ  при диференційній діагностиці НКР в такому разі не перевищують 79-85% та 33-44% відповідно. Враховуючи наведені дані, зрозумілими є причини надмірно великої частки хибно-позитивних результатів при діагностиці НКР: на даний момент до 34% нефректомій проводяться за наявності доброякісної пухлини нирки</w:t>
      </w:r>
      <w:r>
        <w:rPr>
          <w:rFonts w:ascii="Times New Roman" w:hAnsi="Times New Roman" w:cs="Times New Roman"/>
          <w:sz w:val="28"/>
          <w:szCs w:val="28"/>
          <w:lang w:val="ru-RU"/>
        </w:rPr>
        <w:t xml:space="preserve"> [</w:t>
      </w:r>
      <w:r w:rsidR="00E356C4">
        <w:rPr>
          <w:rFonts w:ascii="Times New Roman" w:eastAsia="Times New Roman" w:hAnsi="Times New Roman" w:cs="Times New Roman"/>
          <w:sz w:val="28"/>
          <w:szCs w:val="28"/>
          <w:lang w:eastAsia="uk-UA"/>
        </w:rPr>
        <w:t>149, 150</w:t>
      </w:r>
      <w:r w:rsidRPr="00060B5D">
        <w:rPr>
          <w:rFonts w:ascii="Times New Roman" w:hAnsi="Times New Roman" w:cs="Times New Roman"/>
          <w:sz w:val="28"/>
          <w:szCs w:val="28"/>
          <w:lang w:val="ru-RU"/>
        </w:rPr>
        <w:t>]</w:t>
      </w:r>
      <w:r>
        <w:rPr>
          <w:rFonts w:ascii="Times New Roman" w:hAnsi="Times New Roman" w:cs="Times New Roman"/>
          <w:sz w:val="28"/>
          <w:szCs w:val="28"/>
        </w:rPr>
        <w:t>.</w:t>
      </w:r>
      <w:r w:rsidRPr="00740867">
        <w:rPr>
          <w:rFonts w:ascii="Times New Roman" w:hAnsi="Times New Roman" w:cs="Times New Roman"/>
          <w:sz w:val="28"/>
          <w:szCs w:val="28"/>
        </w:rPr>
        <w:t xml:space="preserve"> </w:t>
      </w:r>
      <w:r>
        <w:rPr>
          <w:rFonts w:ascii="Times New Roman" w:hAnsi="Times New Roman" w:cs="Times New Roman"/>
          <w:sz w:val="28"/>
          <w:szCs w:val="28"/>
        </w:rPr>
        <w:t xml:space="preserve">В Україні частка морфологічно </w:t>
      </w:r>
      <w:r w:rsidR="00E356C4">
        <w:rPr>
          <w:rFonts w:ascii="Times New Roman" w:hAnsi="Times New Roman" w:cs="Times New Roman"/>
          <w:sz w:val="28"/>
          <w:szCs w:val="28"/>
        </w:rPr>
        <w:t>підтверджених діагнозів складає в середньому</w:t>
      </w:r>
      <w:r>
        <w:rPr>
          <w:rFonts w:ascii="Times New Roman" w:hAnsi="Times New Roman" w:cs="Times New Roman"/>
          <w:sz w:val="28"/>
          <w:szCs w:val="28"/>
        </w:rPr>
        <w:t xml:space="preserve"> всього 69%</w:t>
      </w:r>
      <w:r w:rsidR="00E356C4">
        <w:rPr>
          <w:rFonts w:ascii="Times New Roman" w:hAnsi="Times New Roman" w:cs="Times New Roman"/>
          <w:sz w:val="28"/>
          <w:szCs w:val="28"/>
        </w:rPr>
        <w:t xml:space="preserve"> </w:t>
      </w:r>
      <w:r w:rsidR="00E356C4" w:rsidRPr="009E6C7E">
        <w:rPr>
          <w:rFonts w:ascii="Times New Roman" w:hAnsi="Times New Roman" w:cs="Times New Roman"/>
          <w:sz w:val="28"/>
          <w:szCs w:val="28"/>
          <w:lang w:val="ru-RU"/>
        </w:rPr>
        <w:t>[70]</w:t>
      </w:r>
      <w:r>
        <w:rPr>
          <w:rFonts w:ascii="Times New Roman" w:hAnsi="Times New Roman" w:cs="Times New Roman"/>
          <w:sz w:val="28"/>
          <w:szCs w:val="28"/>
        </w:rPr>
        <w:t>.</w:t>
      </w:r>
    </w:p>
    <w:p w:rsidR="00D37CB3" w:rsidRPr="00A14E38" w:rsidRDefault="00D37CB3" w:rsidP="00D37CB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Із розвитком методів дослідження людського геному, відзначається високий потенціал молекулярних біомаркерів НКР для діагностики та прогнозування перебігу цього захворювання. </w:t>
      </w:r>
      <w:r w:rsidR="008C0D38">
        <w:rPr>
          <w:rFonts w:ascii="Times New Roman" w:hAnsi="Times New Roman" w:cs="Times New Roman"/>
          <w:sz w:val="28"/>
          <w:szCs w:val="28"/>
        </w:rPr>
        <w:t xml:space="preserve">Однак, </w:t>
      </w:r>
      <w:r>
        <w:rPr>
          <w:rFonts w:ascii="Times New Roman" w:hAnsi="Times New Roman" w:cs="Times New Roman"/>
          <w:sz w:val="28"/>
          <w:szCs w:val="28"/>
        </w:rPr>
        <w:t xml:space="preserve">згідно консенсусу Европейської Асоціації Урології, на сьогоднішній день ні один із </w:t>
      </w:r>
      <w:r w:rsidR="008C0D38">
        <w:rPr>
          <w:rFonts w:ascii="Times New Roman" w:hAnsi="Times New Roman" w:cs="Times New Roman"/>
          <w:sz w:val="28"/>
          <w:szCs w:val="28"/>
        </w:rPr>
        <w:t>них</w:t>
      </w:r>
      <w:r>
        <w:rPr>
          <w:rFonts w:ascii="Times New Roman" w:hAnsi="Times New Roman" w:cs="Times New Roman"/>
          <w:sz w:val="28"/>
          <w:szCs w:val="28"/>
        </w:rPr>
        <w:t xml:space="preserve"> не є рекомендований для діагностики чи прогнозування перебігу НКР у широкій клінічній практиці. В водночас з цим, існуючі прогностичні номограми </w:t>
      </w:r>
      <w:r>
        <w:rPr>
          <w:rFonts w:ascii="Times New Roman" w:hAnsi="Times New Roman" w:cs="Times New Roman"/>
          <w:sz w:val="28"/>
          <w:szCs w:val="28"/>
        </w:rPr>
        <w:lastRenderedPageBreak/>
        <w:t>характеризуються точністю до 86%, що не відповідає вимогам сучасної медицини,  а  номограм із точністю 95-100% практично не існує</w:t>
      </w:r>
      <w:r w:rsidR="005A1FC3">
        <w:rPr>
          <w:rFonts w:ascii="Times New Roman" w:hAnsi="Times New Roman" w:cs="Times New Roman"/>
          <w:sz w:val="28"/>
          <w:szCs w:val="28"/>
        </w:rPr>
        <w:t xml:space="preserve"> </w:t>
      </w:r>
      <w:r w:rsidR="005A1FC3" w:rsidRPr="00EC7E16">
        <w:rPr>
          <w:rFonts w:ascii="Times New Roman" w:hAnsi="Times New Roman" w:cs="Times New Roman"/>
          <w:sz w:val="28"/>
          <w:szCs w:val="28"/>
        </w:rPr>
        <w:t>[269]</w:t>
      </w:r>
      <w:r>
        <w:rPr>
          <w:rFonts w:ascii="Times New Roman" w:hAnsi="Times New Roman" w:cs="Times New Roman"/>
          <w:sz w:val="28"/>
          <w:szCs w:val="28"/>
        </w:rPr>
        <w:t>.</w:t>
      </w:r>
    </w:p>
    <w:p w:rsidR="00D37CB3" w:rsidRDefault="00D37CB3" w:rsidP="00D37CB3">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За умов великого розміру пухлини чи її гіперваскуляризації можливе застосування селективної емболізації ниркових артерій (СЕНА). </w:t>
      </w:r>
      <w:r>
        <w:rPr>
          <w:rFonts w:ascii="Times New Roman" w:hAnsi="Times New Roman" w:cs="Times New Roman"/>
          <w:color w:val="000000" w:themeColor="text1"/>
          <w:sz w:val="28"/>
          <w:szCs w:val="28"/>
        </w:rPr>
        <w:t>Проте, на даний момент, не існує жодного методу передбачення ефективності цієї маніпуляції, а також не існує критеріїв відбору хворих до повторної СЕНА, що в значній мірі обмежує клінічне застосування цього методу</w:t>
      </w:r>
      <w:r w:rsidR="005A1FC3" w:rsidRPr="009E6C7E">
        <w:rPr>
          <w:rFonts w:ascii="Times New Roman" w:hAnsi="Times New Roman" w:cs="Times New Roman"/>
          <w:color w:val="000000" w:themeColor="text1"/>
          <w:sz w:val="28"/>
          <w:szCs w:val="28"/>
        </w:rPr>
        <w:t xml:space="preserve"> [208, 298, 348]</w:t>
      </w:r>
      <w:r>
        <w:rPr>
          <w:rFonts w:ascii="Times New Roman" w:hAnsi="Times New Roman" w:cs="Times New Roman"/>
          <w:color w:val="000000" w:themeColor="text1"/>
          <w:sz w:val="28"/>
          <w:szCs w:val="28"/>
        </w:rPr>
        <w:t xml:space="preserve">. </w:t>
      </w:r>
    </w:p>
    <w:p w:rsidR="00D37CB3" w:rsidRDefault="00D37CB3" w:rsidP="00D37CB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Не зважаючи на значну кількість запропонованих науковцями алгоритмів післяопераційного спостереження хворих із НКР, на сьогодні не існує єдиного погляду на питання діагностики </w:t>
      </w:r>
      <w:r w:rsidR="008C0D38">
        <w:rPr>
          <w:rFonts w:ascii="Times New Roman" w:hAnsi="Times New Roman" w:cs="Times New Roman"/>
          <w:sz w:val="28"/>
          <w:szCs w:val="28"/>
        </w:rPr>
        <w:t>локального рецидиву (</w:t>
      </w:r>
      <w:r>
        <w:rPr>
          <w:rFonts w:ascii="Times New Roman" w:hAnsi="Times New Roman" w:cs="Times New Roman"/>
          <w:sz w:val="28"/>
          <w:szCs w:val="28"/>
        </w:rPr>
        <w:t>ЛР</w:t>
      </w:r>
      <w:r w:rsidR="008C0D38">
        <w:rPr>
          <w:rFonts w:ascii="Times New Roman" w:hAnsi="Times New Roman" w:cs="Times New Roman"/>
          <w:sz w:val="28"/>
          <w:szCs w:val="28"/>
        </w:rPr>
        <w:t>)</w:t>
      </w:r>
      <w:r>
        <w:rPr>
          <w:rFonts w:ascii="Times New Roman" w:hAnsi="Times New Roman" w:cs="Times New Roman"/>
          <w:sz w:val="28"/>
          <w:szCs w:val="28"/>
        </w:rPr>
        <w:t xml:space="preserve"> і віддалених метастазів після проведеної нефректомії у зв’язку із обмеженнями діагностичних методів, що використовуються</w:t>
      </w:r>
      <w:r w:rsidR="005A1FC3" w:rsidRPr="009E6C7E">
        <w:rPr>
          <w:rFonts w:ascii="Times New Roman" w:hAnsi="Times New Roman" w:cs="Times New Roman"/>
          <w:sz w:val="28"/>
          <w:szCs w:val="28"/>
        </w:rPr>
        <w:t xml:space="preserve"> [244, 379]</w:t>
      </w:r>
      <w:r>
        <w:rPr>
          <w:rFonts w:ascii="Times New Roman" w:hAnsi="Times New Roman" w:cs="Times New Roman"/>
          <w:sz w:val="28"/>
          <w:szCs w:val="28"/>
        </w:rPr>
        <w:t>. Важливим є те, що застосування променевих методів обстеження із використанням іонізуючого випромінювання, таких, як КТ, само по собі підвищує ризик виникнення злоякісних новоутворень</w:t>
      </w:r>
      <w:r w:rsidR="007D7DC9">
        <w:rPr>
          <w:rFonts w:ascii="Times New Roman" w:hAnsi="Times New Roman" w:cs="Times New Roman"/>
          <w:sz w:val="28"/>
          <w:szCs w:val="28"/>
        </w:rPr>
        <w:t xml:space="preserve"> (ЗН)</w:t>
      </w:r>
      <w:r>
        <w:rPr>
          <w:rFonts w:ascii="Times New Roman" w:hAnsi="Times New Roman" w:cs="Times New Roman"/>
          <w:sz w:val="28"/>
          <w:szCs w:val="28"/>
        </w:rPr>
        <w:t xml:space="preserve"> близько на 24% при середній дозі опромінення 4,5 мЗв (еквівалент 1 обстеження КТ), що зумовлює необхідність пошуку альтернативних шляхів післяопераційного спостереження</w:t>
      </w:r>
      <w:r w:rsidRPr="007466E9">
        <w:rPr>
          <w:rFonts w:ascii="Times New Roman" w:hAnsi="Times New Roman" w:cs="Times New Roman"/>
          <w:sz w:val="28"/>
          <w:szCs w:val="28"/>
        </w:rPr>
        <w:t xml:space="preserve"> </w:t>
      </w:r>
      <w:r w:rsidRPr="00D45D28">
        <w:rPr>
          <w:rFonts w:ascii="Times New Roman" w:hAnsi="Times New Roman" w:cs="Times New Roman"/>
          <w:sz w:val="28"/>
          <w:szCs w:val="28"/>
        </w:rPr>
        <w:t>[</w:t>
      </w:r>
      <w:r w:rsidR="005A1FC3" w:rsidRPr="009E6C7E">
        <w:rPr>
          <w:rFonts w:ascii="Times New Roman" w:eastAsia="Times New Roman" w:hAnsi="Times New Roman" w:cs="Times New Roman"/>
          <w:sz w:val="28"/>
          <w:szCs w:val="28"/>
          <w:lang w:eastAsia="uk-UA"/>
        </w:rPr>
        <w:t>282</w:t>
      </w:r>
      <w:r w:rsidRPr="00D45D28">
        <w:rPr>
          <w:rFonts w:ascii="Times New Roman" w:hAnsi="Times New Roman" w:cs="Times New Roman"/>
          <w:sz w:val="28"/>
          <w:szCs w:val="28"/>
        </w:rPr>
        <w:t>].</w:t>
      </w:r>
    </w:p>
    <w:p w:rsidR="00D37CB3" w:rsidRDefault="008C0D38" w:rsidP="00D37CB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засосуванні медикаментозної терапії для лікування розповсюдженого НКР </w:t>
      </w:r>
      <w:r w:rsidR="00D37CB3">
        <w:rPr>
          <w:rFonts w:ascii="Times New Roman" w:hAnsi="Times New Roman" w:cs="Times New Roman"/>
          <w:sz w:val="28"/>
          <w:szCs w:val="28"/>
        </w:rPr>
        <w:t>надважливим є моніторинг ступеня терапевтичної відповіді (</w:t>
      </w:r>
      <w:r>
        <w:rPr>
          <w:rFonts w:ascii="Times New Roman" w:hAnsi="Times New Roman" w:cs="Times New Roman"/>
          <w:sz w:val="28"/>
          <w:szCs w:val="28"/>
        </w:rPr>
        <w:t>остання</w:t>
      </w:r>
      <w:r w:rsidR="00D37CB3">
        <w:rPr>
          <w:rFonts w:ascii="Times New Roman" w:hAnsi="Times New Roman" w:cs="Times New Roman"/>
          <w:sz w:val="28"/>
          <w:szCs w:val="28"/>
        </w:rPr>
        <w:t xml:space="preserve"> варіюється в межах 3-31</w:t>
      </w:r>
      <w:r w:rsidR="00D37CB3" w:rsidRPr="000B325C">
        <w:rPr>
          <w:rFonts w:ascii="Times New Roman" w:hAnsi="Times New Roman" w:cs="Times New Roman"/>
          <w:sz w:val="28"/>
          <w:szCs w:val="28"/>
        </w:rPr>
        <w:t>%</w:t>
      </w:r>
      <w:r w:rsidR="00D37CB3">
        <w:rPr>
          <w:rFonts w:ascii="Times New Roman" w:hAnsi="Times New Roman" w:cs="Times New Roman"/>
          <w:sz w:val="28"/>
          <w:szCs w:val="28"/>
        </w:rPr>
        <w:t xml:space="preserve">), який сьогодні проводиться згідно Критеріїв оцінки відповіді солідних пухлин ВООЗ - </w:t>
      </w:r>
      <w:r w:rsidR="00D37CB3" w:rsidRPr="00794783">
        <w:rPr>
          <w:rFonts w:ascii="Times New Roman" w:hAnsi="Times New Roman" w:cs="Times New Roman"/>
          <w:sz w:val="28"/>
          <w:szCs w:val="28"/>
          <w:shd w:val="clear" w:color="auto" w:fill="FFFFFF"/>
        </w:rPr>
        <w:t>Response Evaluation Criteria in Solid Tumors (RECIST)</w:t>
      </w:r>
      <w:r w:rsidR="00D37CB3">
        <w:rPr>
          <w:rFonts w:ascii="Times New Roman" w:hAnsi="Times New Roman" w:cs="Times New Roman"/>
          <w:sz w:val="28"/>
          <w:szCs w:val="28"/>
          <w:shd w:val="clear" w:color="auto" w:fill="FFFFFF"/>
        </w:rPr>
        <w:t>.</w:t>
      </w:r>
      <w:r w:rsidR="00D37CB3">
        <w:rPr>
          <w:rFonts w:ascii="Times New Roman" w:hAnsi="Times New Roman" w:cs="Times New Roman"/>
          <w:sz w:val="28"/>
          <w:szCs w:val="28"/>
        </w:rPr>
        <w:t xml:space="preserve"> Багатьма дослідниками дані критерії визнані неповноцінними, у зв’язку з обмеженням променевої характеристики новоутворення лише до його поверхневих особливостей та відсутність інформації про глибокі метаболічні процеси, що відбуваються в пухлині під дією системного лікування, що в свою чергу унеможливлює проведення повноцінної та своєчасної оцінки терапевтичної відповіді, в тому числі ранньої, при системному лікуванні хворих на НКР</w:t>
      </w:r>
      <w:r w:rsidR="005A1FC3" w:rsidRPr="009E6C7E">
        <w:rPr>
          <w:rFonts w:ascii="Times New Roman" w:hAnsi="Times New Roman" w:cs="Times New Roman"/>
          <w:sz w:val="28"/>
          <w:szCs w:val="28"/>
        </w:rPr>
        <w:t xml:space="preserve"> [239, 359, 409]</w:t>
      </w:r>
      <w:r w:rsidR="00D37CB3">
        <w:rPr>
          <w:rFonts w:ascii="Times New Roman" w:hAnsi="Times New Roman" w:cs="Times New Roman"/>
          <w:sz w:val="28"/>
          <w:szCs w:val="28"/>
        </w:rPr>
        <w:t>.</w:t>
      </w:r>
    </w:p>
    <w:p w:rsidR="00D37CB3" w:rsidRPr="009D6690" w:rsidRDefault="00D37CB3" w:rsidP="00D37CB3">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lastRenderedPageBreak/>
        <w:t>В світлі розвитку новітніх променевих та молекулярних методів обстеження, відкриваються значні перспективи для дослідження взаємозв’язків між отриманими діагностичними даними та на їх основі виявлення відмінностей в біологічній поведінці НКР та у ефективності його лікування в залежності від радіо-генетичних фенотипів пухлини. Проте, на даний момент, радіогеноміка НКР є питанням, практично не вивченим і потребує значної уваги, що також зазнається рядом авторитетни</w:t>
      </w:r>
      <w:r w:rsidRPr="00D45D28">
        <w:rPr>
          <w:rFonts w:ascii="Times New Roman" w:hAnsi="Times New Roman" w:cs="Times New Roman"/>
          <w:sz w:val="28"/>
          <w:szCs w:val="28"/>
        </w:rPr>
        <w:t>х науковців</w:t>
      </w:r>
      <w:r w:rsidRPr="00D45D28">
        <w:rPr>
          <w:rFonts w:ascii="Times New Roman" w:hAnsi="Times New Roman" w:cs="Times New Roman"/>
          <w:sz w:val="28"/>
          <w:szCs w:val="28"/>
          <w:lang w:val="ru-RU"/>
        </w:rPr>
        <w:t xml:space="preserve"> [</w:t>
      </w:r>
      <w:r w:rsidR="005A1FC3" w:rsidRPr="009E6C7E">
        <w:rPr>
          <w:rFonts w:ascii="Times New Roman" w:hAnsi="Times New Roman" w:cs="Times New Roman"/>
          <w:sz w:val="28"/>
          <w:szCs w:val="28"/>
          <w:lang w:val="ru-RU"/>
        </w:rPr>
        <w:t xml:space="preserve">374, 427, </w:t>
      </w:r>
      <w:r w:rsidR="005A1FC3" w:rsidRPr="009E6C7E">
        <w:rPr>
          <w:rFonts w:ascii="Times New Roman" w:eastAsia="Times New Roman" w:hAnsi="Times New Roman" w:cs="Times New Roman"/>
          <w:sz w:val="28"/>
          <w:szCs w:val="28"/>
          <w:lang w:val="ru-RU" w:eastAsia="uk-UA"/>
        </w:rPr>
        <w:t>447</w:t>
      </w:r>
      <w:r w:rsidR="005A1FC3">
        <w:rPr>
          <w:rFonts w:ascii="Times New Roman" w:eastAsia="Times New Roman" w:hAnsi="Times New Roman" w:cs="Times New Roman"/>
          <w:sz w:val="28"/>
          <w:szCs w:val="28"/>
          <w:lang w:val="ru-RU" w:eastAsia="uk-UA"/>
        </w:rPr>
        <w:t>-</w:t>
      </w:r>
      <w:r w:rsidR="005A1FC3" w:rsidRPr="009E6C7E">
        <w:rPr>
          <w:rFonts w:ascii="Times New Roman" w:eastAsia="Times New Roman" w:hAnsi="Times New Roman" w:cs="Times New Roman"/>
          <w:sz w:val="28"/>
          <w:szCs w:val="28"/>
          <w:lang w:val="ru-RU" w:eastAsia="uk-UA"/>
        </w:rPr>
        <w:t>449</w:t>
      </w:r>
      <w:r w:rsidRPr="00D45D28">
        <w:rPr>
          <w:rFonts w:ascii="Times New Roman" w:hAnsi="Times New Roman" w:cs="Times New Roman"/>
          <w:sz w:val="28"/>
          <w:szCs w:val="28"/>
          <w:lang w:val="ru-RU"/>
        </w:rPr>
        <w:t>]</w:t>
      </w:r>
      <w:r w:rsidRPr="00D45D28">
        <w:rPr>
          <w:rFonts w:ascii="Times New Roman" w:hAnsi="Times New Roman" w:cs="Times New Roman"/>
          <w:sz w:val="28"/>
          <w:szCs w:val="28"/>
        </w:rPr>
        <w:t>.</w:t>
      </w:r>
    </w:p>
    <w:p w:rsidR="00D37CB3" w:rsidRDefault="00D37CB3" w:rsidP="00D37CB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значні недоліки у існуючій системі забезпечення якості та доступності діагностично-лікувального процесу та скринінгу нирково-клітинного раку в Україні детермінують необхідність її удосконалення та виведення на рівень світових стандартів онкоурології. В зв’язку з цим</w:t>
      </w:r>
      <w:r>
        <w:rPr>
          <w:rFonts w:ascii="Times New Roman" w:hAnsi="Times New Roman" w:cs="Times New Roman"/>
          <w:sz w:val="28"/>
          <w:szCs w:val="28"/>
          <w:lang w:val="ru-RU"/>
        </w:rPr>
        <w:t>,</w:t>
      </w:r>
      <w:r>
        <w:rPr>
          <w:rFonts w:ascii="Times New Roman" w:hAnsi="Times New Roman" w:cs="Times New Roman"/>
          <w:sz w:val="28"/>
          <w:szCs w:val="28"/>
        </w:rPr>
        <w:t xml:space="preserve"> є чимало </w:t>
      </w:r>
      <w:r w:rsidR="00AC6827">
        <w:rPr>
          <w:rFonts w:ascii="Times New Roman" w:hAnsi="Times New Roman" w:cs="Times New Roman"/>
          <w:sz w:val="28"/>
          <w:szCs w:val="28"/>
        </w:rPr>
        <w:t xml:space="preserve">висвітлених нижче </w:t>
      </w:r>
      <w:r>
        <w:rPr>
          <w:rFonts w:ascii="Times New Roman" w:hAnsi="Times New Roman" w:cs="Times New Roman"/>
          <w:sz w:val="28"/>
          <w:szCs w:val="28"/>
        </w:rPr>
        <w:t>п</w:t>
      </w:r>
      <w:r w:rsidR="00AC6827">
        <w:rPr>
          <w:rFonts w:ascii="Times New Roman" w:hAnsi="Times New Roman" w:cs="Times New Roman"/>
          <w:sz w:val="28"/>
          <w:szCs w:val="28"/>
        </w:rPr>
        <w:t>итань, які потребують вирішення.</w:t>
      </w:r>
      <w:r>
        <w:rPr>
          <w:rFonts w:ascii="Times New Roman" w:hAnsi="Times New Roman" w:cs="Times New Roman"/>
          <w:sz w:val="28"/>
          <w:szCs w:val="28"/>
        </w:rPr>
        <w:t xml:space="preserve"> </w:t>
      </w:r>
    </w:p>
    <w:p w:rsidR="00AC6827" w:rsidRDefault="00AC6827" w:rsidP="00AC6827">
      <w:pPr>
        <w:spacing w:line="360" w:lineRule="auto"/>
        <w:ind w:firstLine="708"/>
        <w:jc w:val="both"/>
        <w:rPr>
          <w:rFonts w:ascii="Times New Roman" w:hAnsi="Times New Roman"/>
          <w:sz w:val="28"/>
          <w:szCs w:val="28"/>
        </w:rPr>
      </w:pPr>
      <w:r>
        <w:rPr>
          <w:rFonts w:ascii="Times New Roman" w:hAnsi="Times New Roman"/>
          <w:sz w:val="28"/>
          <w:szCs w:val="28"/>
        </w:rPr>
        <w:t>І</w:t>
      </w:r>
      <w:r w:rsidRPr="00360F22">
        <w:rPr>
          <w:rFonts w:ascii="Times New Roman" w:hAnsi="Times New Roman"/>
          <w:sz w:val="28"/>
          <w:szCs w:val="28"/>
        </w:rPr>
        <w:t xml:space="preserve">снуючі алгоритми діагностики не дозволяють на доопераційному етапі з достатньою точністю проводити </w:t>
      </w:r>
      <w:r w:rsidRPr="00F13F65">
        <w:rPr>
          <w:rFonts w:ascii="Times New Roman" w:hAnsi="Times New Roman"/>
          <w:color w:val="000000"/>
          <w:sz w:val="28"/>
          <w:szCs w:val="28"/>
        </w:rPr>
        <w:t>вирізнення НКР</w:t>
      </w:r>
      <w:r w:rsidRPr="00360F22">
        <w:rPr>
          <w:rFonts w:ascii="Times New Roman" w:hAnsi="Times New Roman"/>
          <w:sz w:val="28"/>
          <w:szCs w:val="28"/>
        </w:rPr>
        <w:t xml:space="preserve">, визначати гістологічний підтип та </w:t>
      </w:r>
      <w:r w:rsidRPr="00F13F65">
        <w:rPr>
          <w:rFonts w:ascii="Times New Roman" w:hAnsi="Times New Roman"/>
          <w:color w:val="000000"/>
          <w:sz w:val="28"/>
          <w:szCs w:val="28"/>
        </w:rPr>
        <w:t>ступінь диференціації пухлини</w:t>
      </w:r>
      <w:r w:rsidRPr="00360F22">
        <w:rPr>
          <w:rFonts w:ascii="Times New Roman" w:hAnsi="Times New Roman"/>
          <w:sz w:val="28"/>
          <w:szCs w:val="28"/>
        </w:rPr>
        <w:t>, що унеможливлює вибір оптимальної тактики лікування чи активного спостереження та прог</w:t>
      </w:r>
      <w:r>
        <w:rPr>
          <w:rFonts w:ascii="Times New Roman" w:hAnsi="Times New Roman"/>
          <w:sz w:val="28"/>
          <w:szCs w:val="28"/>
        </w:rPr>
        <w:t xml:space="preserve">нозування перебігу захворювання. </w:t>
      </w:r>
      <w:r w:rsidRPr="00360F22">
        <w:rPr>
          <w:rFonts w:ascii="Times New Roman" w:hAnsi="Times New Roman"/>
          <w:sz w:val="28"/>
          <w:szCs w:val="28"/>
        </w:rPr>
        <w:t xml:space="preserve">Відсутність чутливих діагностичних біомаркерів НКР для диференціації з іншими </w:t>
      </w:r>
      <w:r w:rsidRPr="00360F22">
        <w:rPr>
          <w:rFonts w:ascii="Times New Roman" w:hAnsi="Times New Roman"/>
          <w:sz w:val="28"/>
          <w:szCs w:val="28"/>
          <w:lang w:val="en-US"/>
        </w:rPr>
        <w:t>SRM</w:t>
      </w:r>
      <w:r w:rsidRPr="00360F22">
        <w:rPr>
          <w:rFonts w:ascii="Times New Roman" w:hAnsi="Times New Roman"/>
          <w:sz w:val="28"/>
          <w:szCs w:val="28"/>
        </w:rPr>
        <w:t xml:space="preserve"> значно ускладнює діагностичний процес та не дозволяє сформувати уніфікований підхід до їх лікування наслідком чого є </w:t>
      </w:r>
      <w:r w:rsidRPr="00F13F65">
        <w:rPr>
          <w:rFonts w:ascii="Times New Roman" w:hAnsi="Times New Roman"/>
          <w:iCs/>
          <w:color w:val="000000"/>
          <w:sz w:val="28"/>
          <w:szCs w:val="28"/>
        </w:rPr>
        <w:t>невиправдано надмірний</w:t>
      </w:r>
      <w:r w:rsidRPr="00D311B9">
        <w:rPr>
          <w:rFonts w:ascii="Times New Roman" w:hAnsi="Times New Roman"/>
          <w:color w:val="9BBB59"/>
          <w:sz w:val="28"/>
          <w:szCs w:val="28"/>
        </w:rPr>
        <w:t xml:space="preserve"> </w:t>
      </w:r>
      <w:r w:rsidRPr="00360F22">
        <w:rPr>
          <w:rFonts w:ascii="Times New Roman" w:hAnsi="Times New Roman"/>
          <w:sz w:val="28"/>
          <w:szCs w:val="28"/>
        </w:rPr>
        <w:t>рівень оперативних втручань при наяв</w:t>
      </w:r>
      <w:r>
        <w:rPr>
          <w:rFonts w:ascii="Times New Roman" w:hAnsi="Times New Roman"/>
          <w:sz w:val="28"/>
          <w:szCs w:val="28"/>
        </w:rPr>
        <w:t xml:space="preserve">ності доброякісних пухлин нирки. </w:t>
      </w:r>
      <w:r w:rsidR="00750A0D">
        <w:rPr>
          <w:rFonts w:ascii="Times New Roman" w:hAnsi="Times New Roman"/>
          <w:color w:val="000000"/>
          <w:sz w:val="28"/>
          <w:szCs w:val="28"/>
        </w:rPr>
        <w:t>Недостатньо точною</w:t>
      </w:r>
      <w:r w:rsidRPr="00F13F65">
        <w:rPr>
          <w:rFonts w:ascii="Times New Roman" w:hAnsi="Times New Roman"/>
          <w:color w:val="000000"/>
          <w:sz w:val="28"/>
          <w:szCs w:val="28"/>
        </w:rPr>
        <w:t xml:space="preserve"> </w:t>
      </w:r>
      <w:r w:rsidR="00750A0D">
        <w:rPr>
          <w:rFonts w:ascii="Times New Roman" w:hAnsi="Times New Roman"/>
          <w:color w:val="000000"/>
          <w:sz w:val="28"/>
          <w:szCs w:val="28"/>
        </w:rPr>
        <w:t xml:space="preserve">є </w:t>
      </w:r>
      <w:r w:rsidRPr="00F13F65">
        <w:rPr>
          <w:rFonts w:ascii="Times New Roman" w:hAnsi="Times New Roman"/>
          <w:color w:val="000000"/>
          <w:sz w:val="28"/>
          <w:szCs w:val="28"/>
        </w:rPr>
        <w:t>діагностика локального рецидиву НКР та метастатично уражених реґіонарних л</w:t>
      </w:r>
      <w:r>
        <w:rPr>
          <w:rFonts w:ascii="Times New Roman" w:hAnsi="Times New Roman"/>
          <w:color w:val="000000"/>
          <w:sz w:val="28"/>
          <w:szCs w:val="28"/>
        </w:rPr>
        <w:t>імфатичних вузлів.</w:t>
      </w:r>
      <w:r>
        <w:rPr>
          <w:rFonts w:ascii="Times New Roman" w:hAnsi="Times New Roman"/>
          <w:sz w:val="28"/>
          <w:szCs w:val="28"/>
        </w:rPr>
        <w:t xml:space="preserve"> </w:t>
      </w:r>
    </w:p>
    <w:p w:rsidR="00AC6827" w:rsidRDefault="00AC6827" w:rsidP="00AC6827">
      <w:pPr>
        <w:spacing w:line="360" w:lineRule="auto"/>
        <w:ind w:firstLine="708"/>
        <w:jc w:val="both"/>
        <w:rPr>
          <w:rFonts w:ascii="Times New Roman" w:hAnsi="Times New Roman"/>
          <w:sz w:val="28"/>
          <w:szCs w:val="28"/>
        </w:rPr>
      </w:pPr>
      <w:r w:rsidRPr="00360F22">
        <w:rPr>
          <w:rFonts w:ascii="Times New Roman" w:hAnsi="Times New Roman"/>
          <w:sz w:val="28"/>
          <w:szCs w:val="28"/>
        </w:rPr>
        <w:t xml:space="preserve">Алгоритми діагностики (в тому числі ранньої), виявлення під час профілактичних оглядів та моніторингу післяопераційного перебігу НКР не відповідають потребам сучасної онкоурології внаслідок відсутності універсального діагностичного </w:t>
      </w:r>
      <w:r w:rsidRPr="00F13F65">
        <w:rPr>
          <w:rFonts w:ascii="Times New Roman" w:hAnsi="Times New Roman"/>
          <w:color w:val="000000"/>
          <w:sz w:val="28"/>
          <w:szCs w:val="28"/>
        </w:rPr>
        <w:t>біомаркеру</w:t>
      </w:r>
      <w:r w:rsidRPr="00360F22">
        <w:rPr>
          <w:rFonts w:ascii="Times New Roman" w:hAnsi="Times New Roman"/>
          <w:sz w:val="28"/>
          <w:szCs w:val="28"/>
        </w:rPr>
        <w:t>, який би визначався неінваз</w:t>
      </w:r>
      <w:r w:rsidRPr="00F13F65">
        <w:rPr>
          <w:rFonts w:ascii="Times New Roman" w:hAnsi="Times New Roman"/>
          <w:iCs/>
          <w:color w:val="000000"/>
          <w:sz w:val="28"/>
          <w:szCs w:val="28"/>
        </w:rPr>
        <w:t>ив</w:t>
      </w:r>
      <w:r w:rsidRPr="00360F22">
        <w:rPr>
          <w:rFonts w:ascii="Times New Roman" w:hAnsi="Times New Roman"/>
          <w:sz w:val="28"/>
          <w:szCs w:val="28"/>
        </w:rPr>
        <w:t>ним шляхом, без променевого навантаження на хворого поруч</w:t>
      </w:r>
      <w:r>
        <w:rPr>
          <w:rFonts w:ascii="Times New Roman" w:hAnsi="Times New Roman"/>
          <w:sz w:val="28"/>
          <w:szCs w:val="28"/>
        </w:rPr>
        <w:t xml:space="preserve"> з низькою економічною вартістю.</w:t>
      </w:r>
    </w:p>
    <w:p w:rsidR="00AC6827" w:rsidRDefault="00AC6827" w:rsidP="00AC6827">
      <w:pPr>
        <w:spacing w:line="360" w:lineRule="auto"/>
        <w:ind w:firstLine="708"/>
        <w:jc w:val="both"/>
        <w:rPr>
          <w:rFonts w:ascii="Times New Roman" w:hAnsi="Times New Roman"/>
          <w:sz w:val="28"/>
          <w:szCs w:val="28"/>
        </w:rPr>
      </w:pPr>
      <w:r w:rsidRPr="00360F22">
        <w:rPr>
          <w:rFonts w:ascii="Times New Roman" w:hAnsi="Times New Roman"/>
          <w:sz w:val="28"/>
          <w:szCs w:val="28"/>
        </w:rPr>
        <w:lastRenderedPageBreak/>
        <w:t xml:space="preserve">Неможливість передбачення ефективності селективної емболізації ниркових артерій перед проведенням нефректомії значно обмежує тактичні маневри при плануванні лікування пацієнтів </w:t>
      </w:r>
      <w:r w:rsidRPr="00F13F65">
        <w:rPr>
          <w:rFonts w:ascii="Times New Roman" w:hAnsi="Times New Roman"/>
          <w:color w:val="000000"/>
          <w:sz w:val="28"/>
          <w:szCs w:val="28"/>
        </w:rPr>
        <w:t>на</w:t>
      </w:r>
      <w:r w:rsidRPr="00360F22">
        <w:rPr>
          <w:rFonts w:ascii="Times New Roman" w:hAnsi="Times New Roman"/>
          <w:sz w:val="28"/>
          <w:szCs w:val="28"/>
        </w:rPr>
        <w:t xml:space="preserve"> НКР </w:t>
      </w:r>
      <w:r w:rsidRPr="00F13F65">
        <w:rPr>
          <w:rFonts w:ascii="Times New Roman" w:hAnsi="Times New Roman"/>
          <w:color w:val="000000"/>
          <w:sz w:val="28"/>
          <w:szCs w:val="28"/>
        </w:rPr>
        <w:t>із</w:t>
      </w:r>
      <w:r>
        <w:rPr>
          <w:rFonts w:ascii="Times New Roman" w:hAnsi="Times New Roman"/>
          <w:sz w:val="28"/>
          <w:szCs w:val="28"/>
        </w:rPr>
        <w:t xml:space="preserve"> </w:t>
      </w:r>
      <w:r w:rsidRPr="00360F22">
        <w:rPr>
          <w:rFonts w:ascii="Times New Roman" w:hAnsi="Times New Roman"/>
          <w:sz w:val="28"/>
          <w:szCs w:val="28"/>
        </w:rPr>
        <w:t>гіперваску</w:t>
      </w:r>
      <w:r>
        <w:rPr>
          <w:rFonts w:ascii="Times New Roman" w:hAnsi="Times New Roman"/>
          <w:sz w:val="28"/>
          <w:szCs w:val="28"/>
        </w:rPr>
        <w:t>ляризованими/великими пухлинами.</w:t>
      </w:r>
    </w:p>
    <w:p w:rsidR="00AC6827" w:rsidRDefault="00AC6827" w:rsidP="00AC6827">
      <w:pPr>
        <w:spacing w:line="360" w:lineRule="auto"/>
        <w:ind w:firstLine="708"/>
        <w:jc w:val="both"/>
        <w:rPr>
          <w:rFonts w:ascii="Times New Roman" w:hAnsi="Times New Roman"/>
          <w:sz w:val="28"/>
          <w:szCs w:val="28"/>
        </w:rPr>
      </w:pPr>
      <w:r>
        <w:rPr>
          <w:rFonts w:ascii="Times New Roman" w:hAnsi="Times New Roman"/>
          <w:sz w:val="28"/>
          <w:szCs w:val="28"/>
        </w:rPr>
        <w:t>Недосконалими є критерії</w:t>
      </w:r>
      <w:r w:rsidRPr="00360F22">
        <w:rPr>
          <w:rFonts w:ascii="Times New Roman" w:hAnsi="Times New Roman"/>
          <w:sz w:val="28"/>
          <w:szCs w:val="28"/>
        </w:rPr>
        <w:t xml:space="preserve"> оцінки </w:t>
      </w:r>
      <w:r>
        <w:rPr>
          <w:rFonts w:ascii="Times New Roman" w:hAnsi="Times New Roman"/>
          <w:sz w:val="28"/>
          <w:szCs w:val="28"/>
        </w:rPr>
        <w:t xml:space="preserve">тканинної </w:t>
      </w:r>
      <w:r w:rsidRPr="00F13F65">
        <w:rPr>
          <w:rFonts w:ascii="Times New Roman" w:hAnsi="Times New Roman"/>
          <w:color w:val="000000"/>
          <w:sz w:val="28"/>
          <w:szCs w:val="28"/>
        </w:rPr>
        <w:t>відповіді на медикаментозне лікування</w:t>
      </w:r>
      <w:r w:rsidRPr="00360F22">
        <w:rPr>
          <w:rFonts w:ascii="Times New Roman" w:hAnsi="Times New Roman"/>
          <w:sz w:val="28"/>
          <w:szCs w:val="28"/>
        </w:rPr>
        <w:t xml:space="preserve"> роз</w:t>
      </w:r>
      <w:r>
        <w:rPr>
          <w:rFonts w:ascii="Times New Roman" w:hAnsi="Times New Roman"/>
          <w:sz w:val="28"/>
          <w:szCs w:val="28"/>
        </w:rPr>
        <w:t>повсюдженого/метастатичного НКР.</w:t>
      </w:r>
    </w:p>
    <w:p w:rsidR="00AC6827" w:rsidRDefault="00AC6827" w:rsidP="00AC6827">
      <w:pPr>
        <w:spacing w:line="360" w:lineRule="auto"/>
        <w:ind w:firstLine="708"/>
        <w:jc w:val="both"/>
        <w:rPr>
          <w:rFonts w:ascii="Times New Roman" w:hAnsi="Times New Roman"/>
          <w:sz w:val="28"/>
          <w:szCs w:val="28"/>
        </w:rPr>
      </w:pPr>
      <w:r w:rsidRPr="00360F22">
        <w:rPr>
          <w:rFonts w:ascii="Times New Roman" w:hAnsi="Times New Roman"/>
          <w:sz w:val="28"/>
          <w:szCs w:val="28"/>
        </w:rPr>
        <w:t>Існуючі номограми не дозволяють із достатньою точністю прогнозувати виживання хворих із НКР</w:t>
      </w:r>
      <w:r>
        <w:rPr>
          <w:rFonts w:ascii="Times New Roman" w:hAnsi="Times New Roman"/>
          <w:sz w:val="28"/>
          <w:szCs w:val="28"/>
        </w:rPr>
        <w:t xml:space="preserve"> </w:t>
      </w:r>
      <w:r w:rsidRPr="00F13F65">
        <w:rPr>
          <w:rFonts w:ascii="Times New Roman" w:hAnsi="Times New Roman"/>
          <w:iCs/>
          <w:color w:val="000000"/>
          <w:sz w:val="28"/>
          <w:szCs w:val="28"/>
        </w:rPr>
        <w:t>після хірургічного лікування</w:t>
      </w:r>
      <w:r w:rsidRPr="00F13F65">
        <w:rPr>
          <w:rFonts w:ascii="Times New Roman" w:hAnsi="Times New Roman"/>
          <w:i/>
          <w:iCs/>
          <w:color w:val="000000"/>
          <w:sz w:val="28"/>
          <w:szCs w:val="28"/>
        </w:rPr>
        <w:t>,</w:t>
      </w:r>
      <w:r w:rsidRPr="00360F22">
        <w:rPr>
          <w:rFonts w:ascii="Times New Roman" w:hAnsi="Times New Roman"/>
          <w:sz w:val="28"/>
          <w:szCs w:val="28"/>
        </w:rPr>
        <w:t xml:space="preserve"> жоден із вивчених молекулярних біомаркерів не продемонстрував достатньої достовірності при прогнозуванні </w:t>
      </w:r>
      <w:r w:rsidRPr="00360F22">
        <w:rPr>
          <w:rFonts w:ascii="Times New Roman" w:hAnsi="Times New Roman"/>
          <w:sz w:val="28"/>
          <w:szCs w:val="28"/>
          <w:lang w:val="en-US"/>
        </w:rPr>
        <w:t>CSS</w:t>
      </w:r>
      <w:r>
        <w:rPr>
          <w:rFonts w:ascii="Times New Roman" w:hAnsi="Times New Roman"/>
          <w:sz w:val="28"/>
          <w:szCs w:val="28"/>
        </w:rPr>
        <w:t xml:space="preserve">. </w:t>
      </w:r>
      <w:r w:rsidRPr="00360F22">
        <w:rPr>
          <w:rFonts w:ascii="Times New Roman" w:hAnsi="Times New Roman"/>
          <w:sz w:val="28"/>
          <w:szCs w:val="28"/>
        </w:rPr>
        <w:t xml:space="preserve">Визначення радіо-генетичних фенотипів НКР та їх взаємозв’язку з </w:t>
      </w:r>
      <w:r w:rsidRPr="00F13F65">
        <w:rPr>
          <w:rFonts w:ascii="Times New Roman" w:hAnsi="Times New Roman"/>
          <w:color w:val="000000"/>
          <w:sz w:val="28"/>
          <w:szCs w:val="28"/>
        </w:rPr>
        <w:t>біологічною агресивністю</w:t>
      </w:r>
      <w:r w:rsidRPr="00360F22">
        <w:rPr>
          <w:rFonts w:ascii="Times New Roman" w:hAnsi="Times New Roman"/>
          <w:sz w:val="28"/>
          <w:szCs w:val="28"/>
        </w:rPr>
        <w:t xml:space="preserve"> пухлини є важл</w:t>
      </w:r>
      <w:r>
        <w:rPr>
          <w:rFonts w:ascii="Times New Roman" w:hAnsi="Times New Roman"/>
          <w:sz w:val="28"/>
          <w:szCs w:val="28"/>
        </w:rPr>
        <w:t>ивим, проте невивченим питанням.</w:t>
      </w:r>
    </w:p>
    <w:p w:rsidR="00AC6827" w:rsidRDefault="00AC6827" w:rsidP="00AC6827">
      <w:pPr>
        <w:spacing w:line="360" w:lineRule="auto"/>
        <w:ind w:firstLine="708"/>
        <w:jc w:val="both"/>
        <w:rPr>
          <w:rFonts w:ascii="Times New Roman" w:hAnsi="Times New Roman"/>
          <w:sz w:val="28"/>
          <w:szCs w:val="28"/>
        </w:rPr>
      </w:pPr>
      <w:r>
        <w:rPr>
          <w:rFonts w:ascii="Times New Roman" w:hAnsi="Times New Roman"/>
          <w:sz w:val="28"/>
          <w:szCs w:val="28"/>
        </w:rPr>
        <w:t>Алгоритми</w:t>
      </w:r>
      <w:r w:rsidRPr="00360F22">
        <w:rPr>
          <w:rFonts w:ascii="Times New Roman" w:hAnsi="Times New Roman"/>
          <w:sz w:val="28"/>
          <w:szCs w:val="28"/>
        </w:rPr>
        <w:t xml:space="preserve"> діагностики та </w:t>
      </w:r>
      <w:r>
        <w:rPr>
          <w:rFonts w:ascii="Times New Roman" w:hAnsi="Times New Roman"/>
          <w:sz w:val="28"/>
          <w:szCs w:val="28"/>
        </w:rPr>
        <w:t xml:space="preserve">лікування НКР </w:t>
      </w:r>
      <w:r>
        <w:rPr>
          <w:rFonts w:ascii="Times New Roman" w:hAnsi="Times New Roman"/>
          <w:iCs/>
          <w:color w:val="000000"/>
          <w:sz w:val="28"/>
          <w:szCs w:val="28"/>
        </w:rPr>
        <w:t>потребують</w:t>
      </w:r>
      <w:r w:rsidRPr="00F13F65">
        <w:rPr>
          <w:rFonts w:ascii="Times New Roman" w:hAnsi="Times New Roman"/>
          <w:iCs/>
          <w:color w:val="000000"/>
          <w:sz w:val="28"/>
          <w:szCs w:val="28"/>
        </w:rPr>
        <w:t xml:space="preserve"> удосконалення</w:t>
      </w:r>
      <w:r>
        <w:rPr>
          <w:rFonts w:ascii="Times New Roman" w:hAnsi="Times New Roman"/>
          <w:sz w:val="28"/>
          <w:szCs w:val="28"/>
        </w:rPr>
        <w:t xml:space="preserve"> із інтегруванням</w:t>
      </w:r>
      <w:r w:rsidRPr="00360F22">
        <w:rPr>
          <w:rFonts w:ascii="Times New Roman" w:hAnsi="Times New Roman"/>
          <w:sz w:val="28"/>
          <w:szCs w:val="28"/>
        </w:rPr>
        <w:t xml:space="preserve"> </w:t>
      </w:r>
      <w:r>
        <w:rPr>
          <w:rFonts w:ascii="Times New Roman" w:hAnsi="Times New Roman"/>
          <w:sz w:val="28"/>
          <w:szCs w:val="28"/>
        </w:rPr>
        <w:t>в них</w:t>
      </w:r>
      <w:r w:rsidRPr="00360F22">
        <w:rPr>
          <w:rFonts w:ascii="Times New Roman" w:hAnsi="Times New Roman"/>
          <w:sz w:val="28"/>
          <w:szCs w:val="28"/>
        </w:rPr>
        <w:t xml:space="preserve"> новітніх променевих та </w:t>
      </w:r>
      <w:r>
        <w:rPr>
          <w:rFonts w:ascii="Times New Roman" w:hAnsi="Times New Roman"/>
          <w:sz w:val="28"/>
          <w:szCs w:val="28"/>
        </w:rPr>
        <w:t>молекулярних</w:t>
      </w:r>
      <w:r w:rsidRPr="00360F22">
        <w:rPr>
          <w:rFonts w:ascii="Times New Roman" w:hAnsi="Times New Roman"/>
          <w:sz w:val="28"/>
          <w:szCs w:val="28"/>
        </w:rPr>
        <w:t xml:space="preserve"> </w:t>
      </w:r>
      <w:r w:rsidRPr="00F13F65">
        <w:rPr>
          <w:rFonts w:ascii="Times New Roman" w:hAnsi="Times New Roman"/>
          <w:color w:val="000000"/>
          <w:sz w:val="28"/>
          <w:szCs w:val="28"/>
        </w:rPr>
        <w:t>біомаркерів</w:t>
      </w:r>
      <w:r w:rsidRPr="00D311B9">
        <w:rPr>
          <w:rFonts w:ascii="Times New Roman" w:hAnsi="Times New Roman"/>
          <w:color w:val="4F81BD"/>
          <w:sz w:val="28"/>
          <w:szCs w:val="28"/>
        </w:rPr>
        <w:t>.</w:t>
      </w:r>
    </w:p>
    <w:p w:rsidR="00D37CB3" w:rsidRPr="00225294" w:rsidRDefault="006A74D3" w:rsidP="00AC6827">
      <w:pPr>
        <w:adjustRightInd w:val="0"/>
        <w:snapToGrid w:val="0"/>
        <w:spacing w:line="360" w:lineRule="auto"/>
        <w:ind w:firstLine="708"/>
        <w:jc w:val="both"/>
        <w:rPr>
          <w:sz w:val="28"/>
          <w:szCs w:val="28"/>
          <w:lang w:eastAsia="ru-RU"/>
        </w:rPr>
      </w:pPr>
      <w:r>
        <w:rPr>
          <w:rFonts w:ascii="Times New Roman" w:hAnsi="Times New Roman" w:cs="Times New Roman"/>
          <w:sz w:val="28"/>
          <w:szCs w:val="28"/>
        </w:rPr>
        <w:t>Наведені</w:t>
      </w:r>
      <w:r w:rsidR="00D37CB3">
        <w:rPr>
          <w:rFonts w:ascii="Times New Roman" w:hAnsi="Times New Roman" w:cs="Times New Roman"/>
          <w:sz w:val="28"/>
          <w:szCs w:val="28"/>
        </w:rPr>
        <w:t xml:space="preserve"> вище </w:t>
      </w:r>
      <w:r w:rsidR="00253E8E">
        <w:rPr>
          <w:rFonts w:ascii="Times New Roman" w:hAnsi="Times New Roman" w:cs="Times New Roman"/>
          <w:sz w:val="28"/>
          <w:szCs w:val="28"/>
        </w:rPr>
        <w:t>дані свідчать про</w:t>
      </w:r>
      <w:r w:rsidR="00D37CB3" w:rsidRPr="00225294">
        <w:rPr>
          <w:rFonts w:ascii="Times New Roman" w:hAnsi="Times New Roman" w:cs="Times New Roman"/>
          <w:sz w:val="28"/>
          <w:szCs w:val="28"/>
        </w:rPr>
        <w:t xml:space="preserve"> </w:t>
      </w:r>
      <w:r w:rsidR="00D37CB3" w:rsidRPr="00225294">
        <w:rPr>
          <w:rFonts w:ascii="Times New Roman" w:hAnsi="Times New Roman" w:cs="Times New Roman"/>
          <w:sz w:val="28"/>
          <w:szCs w:val="28"/>
          <w:lang w:eastAsia="ru-RU"/>
        </w:rPr>
        <w:t>актуальність і практичну зн</w:t>
      </w:r>
      <w:r w:rsidR="00253E8E">
        <w:rPr>
          <w:rFonts w:ascii="Times New Roman" w:hAnsi="Times New Roman" w:cs="Times New Roman"/>
          <w:sz w:val="28"/>
          <w:szCs w:val="28"/>
          <w:lang w:eastAsia="ru-RU"/>
        </w:rPr>
        <w:t>ачимість наукової роботи, що стало</w:t>
      </w:r>
      <w:r w:rsidR="00D37CB3" w:rsidRPr="00225294">
        <w:rPr>
          <w:rFonts w:ascii="Times New Roman" w:hAnsi="Times New Roman" w:cs="Times New Roman"/>
          <w:sz w:val="28"/>
          <w:szCs w:val="28"/>
          <w:lang w:eastAsia="ru-RU"/>
        </w:rPr>
        <w:t xml:space="preserve"> підґрунтям для проведення </w:t>
      </w:r>
      <w:r w:rsidR="00253E8E">
        <w:rPr>
          <w:rFonts w:ascii="Times New Roman" w:hAnsi="Times New Roman" w:cs="Times New Roman"/>
          <w:sz w:val="28"/>
          <w:szCs w:val="28"/>
          <w:lang w:eastAsia="ru-RU"/>
        </w:rPr>
        <w:t>цього</w:t>
      </w:r>
      <w:r w:rsidR="00D37CB3" w:rsidRPr="00225294">
        <w:rPr>
          <w:rFonts w:ascii="Times New Roman" w:hAnsi="Times New Roman" w:cs="Times New Roman"/>
          <w:sz w:val="28"/>
          <w:szCs w:val="28"/>
          <w:lang w:eastAsia="ru-RU"/>
        </w:rPr>
        <w:t xml:space="preserve"> дослідження.</w:t>
      </w:r>
    </w:p>
    <w:p w:rsidR="00D37CB3" w:rsidRPr="00225294" w:rsidRDefault="00D37CB3" w:rsidP="00D37CB3">
      <w:pPr>
        <w:spacing w:line="360" w:lineRule="auto"/>
        <w:ind w:firstLine="708"/>
        <w:jc w:val="both"/>
        <w:rPr>
          <w:rFonts w:ascii="Times New Roman" w:hAnsi="Times New Roman" w:cs="Times New Roman"/>
          <w:b/>
          <w:sz w:val="28"/>
          <w:szCs w:val="28"/>
        </w:rPr>
      </w:pPr>
      <w:r w:rsidRPr="005B6424">
        <w:rPr>
          <w:rFonts w:ascii="Times New Roman" w:hAnsi="Times New Roman" w:cs="Times New Roman"/>
          <w:b/>
          <w:sz w:val="28"/>
          <w:szCs w:val="28"/>
        </w:rPr>
        <w:t>Зв'язок з науковими програмами, планами, темами.</w:t>
      </w:r>
      <w:r>
        <w:rPr>
          <w:rFonts w:ascii="Times New Roman" w:hAnsi="Times New Roman" w:cs="Times New Roman"/>
          <w:b/>
          <w:sz w:val="28"/>
          <w:szCs w:val="28"/>
        </w:rPr>
        <w:t xml:space="preserve"> </w:t>
      </w:r>
      <w:r>
        <w:rPr>
          <w:rFonts w:ascii="Times New Roman" w:hAnsi="Times New Roman" w:cs="Times New Roman"/>
          <w:sz w:val="28"/>
          <w:szCs w:val="28"/>
        </w:rPr>
        <w:t xml:space="preserve">Робота є </w:t>
      </w:r>
      <w:r w:rsidRPr="0042294B">
        <w:rPr>
          <w:rFonts w:ascii="Times New Roman" w:hAnsi="Times New Roman" w:cs="Times New Roman"/>
          <w:bCs/>
          <w:sz w:val="28"/>
          <w:szCs w:val="28"/>
        </w:rPr>
        <w:t>частиною досліджень, що проводяться на кафедрі</w:t>
      </w:r>
      <w:r w:rsidRPr="00107EBA">
        <w:rPr>
          <w:bCs/>
          <w:sz w:val="28"/>
          <w:szCs w:val="28"/>
        </w:rPr>
        <w:t xml:space="preserve"> </w:t>
      </w:r>
      <w:r>
        <w:rPr>
          <w:rFonts w:ascii="Times New Roman" w:hAnsi="Times New Roman" w:cs="Times New Roman"/>
          <w:sz w:val="28"/>
          <w:szCs w:val="28"/>
        </w:rPr>
        <w:t>урології ФПДО, Львівського національного медичного університету ім. Данила Галицького, згідно з планом НДР і є фрагментом комплексної теми: «</w:t>
      </w:r>
      <w:r w:rsidRPr="00E25AC2">
        <w:rPr>
          <w:rFonts w:ascii="Times New Roman" w:hAnsi="Times New Roman" w:cs="Times New Roman"/>
          <w:sz w:val="28"/>
          <w:szCs w:val="28"/>
        </w:rPr>
        <w:t xml:space="preserve">Рентген-ендоурологічні та інші малоінвазивні методи лікування хворих із </w:t>
      </w:r>
      <w:r>
        <w:rPr>
          <w:rFonts w:ascii="Times New Roman" w:hAnsi="Times New Roman" w:cs="Times New Roman"/>
          <w:sz w:val="28"/>
          <w:szCs w:val="28"/>
        </w:rPr>
        <w:t>патологією сечостатевої системи</w:t>
      </w:r>
      <w:r>
        <w:rPr>
          <w:rFonts w:ascii="Times New Roman" w:hAnsi="Times New Roman" w:cs="Times New Roman"/>
          <w:color w:val="000000"/>
          <w:sz w:val="28"/>
          <w:szCs w:val="28"/>
        </w:rPr>
        <w:t xml:space="preserve">», ІН 40.02.0001.13, </w:t>
      </w:r>
      <w:r>
        <w:rPr>
          <w:rFonts w:ascii="Times New Roman" w:hAnsi="Times New Roman" w:cs="Times New Roman"/>
          <w:sz w:val="28"/>
          <w:szCs w:val="28"/>
        </w:rPr>
        <w:t>номер</w:t>
      </w:r>
      <w:r w:rsidRPr="00E25AC2">
        <w:rPr>
          <w:rFonts w:ascii="Times New Roman" w:hAnsi="Times New Roman" w:cs="Times New Roman"/>
          <w:caps/>
          <w:sz w:val="28"/>
          <w:szCs w:val="28"/>
        </w:rPr>
        <w:t xml:space="preserve"> </w:t>
      </w:r>
      <w:r w:rsidRPr="00E25AC2">
        <w:rPr>
          <w:rFonts w:ascii="Times New Roman" w:hAnsi="Times New Roman" w:cs="Times New Roman"/>
          <w:sz w:val="28"/>
          <w:szCs w:val="28"/>
        </w:rPr>
        <w:t>держреєстрації: 0113U004542.</w:t>
      </w:r>
    </w:p>
    <w:p w:rsidR="006A74D3" w:rsidRDefault="006A74D3" w:rsidP="006A74D3">
      <w:pPr>
        <w:spacing w:line="360" w:lineRule="auto"/>
        <w:ind w:firstLine="708"/>
        <w:jc w:val="both"/>
        <w:rPr>
          <w:rFonts w:ascii="Times New Roman" w:hAnsi="Times New Roman"/>
          <w:sz w:val="28"/>
          <w:szCs w:val="28"/>
        </w:rPr>
      </w:pPr>
      <w:r>
        <w:rPr>
          <w:rFonts w:ascii="Times New Roman" w:hAnsi="Times New Roman"/>
          <w:b/>
          <w:sz w:val="28"/>
          <w:szCs w:val="28"/>
        </w:rPr>
        <w:t>Мета дослідження:</w:t>
      </w:r>
      <w:r>
        <w:rPr>
          <w:rFonts w:ascii="Times New Roman" w:hAnsi="Times New Roman"/>
          <w:sz w:val="28"/>
          <w:szCs w:val="28"/>
        </w:rPr>
        <w:t xml:space="preserve"> </w:t>
      </w:r>
      <w:r w:rsidR="005E1A24" w:rsidRPr="00FD6037">
        <w:rPr>
          <w:rFonts w:ascii="Times New Roman" w:hAnsi="Times New Roman" w:cs="Times New Roman"/>
          <w:iCs/>
          <w:color w:val="000000"/>
          <w:sz w:val="28"/>
          <w:szCs w:val="28"/>
        </w:rPr>
        <w:t>підвищення ефективності лікування</w:t>
      </w:r>
      <w:r w:rsidR="005E1A24" w:rsidRPr="00FD6037">
        <w:rPr>
          <w:rFonts w:ascii="Times New Roman" w:hAnsi="Times New Roman" w:cs="Times New Roman"/>
          <w:iCs/>
          <w:color w:val="000000"/>
        </w:rPr>
        <w:t xml:space="preserve"> </w:t>
      </w:r>
      <w:r w:rsidR="005E1A24" w:rsidRPr="00FD6037">
        <w:rPr>
          <w:rFonts w:ascii="Times New Roman" w:hAnsi="Times New Roman" w:cs="Times New Roman"/>
          <w:iCs/>
          <w:color w:val="000000"/>
          <w:sz w:val="28"/>
          <w:szCs w:val="28"/>
        </w:rPr>
        <w:t>хворих на</w:t>
      </w:r>
      <w:r w:rsidR="005E1A24" w:rsidRPr="00FD6037">
        <w:rPr>
          <w:rFonts w:ascii="Times New Roman" w:hAnsi="Times New Roman" w:cs="Times New Roman"/>
          <w:iCs/>
          <w:color w:val="000000"/>
        </w:rPr>
        <w:t xml:space="preserve"> </w:t>
      </w:r>
      <w:r w:rsidR="005E1A24" w:rsidRPr="00FD6037">
        <w:rPr>
          <w:rFonts w:ascii="Times New Roman" w:hAnsi="Times New Roman" w:cs="Times New Roman"/>
          <w:iCs/>
          <w:color w:val="000000"/>
          <w:sz w:val="28"/>
          <w:szCs w:val="28"/>
        </w:rPr>
        <w:t xml:space="preserve">нирково-клітинний рак шляхом застосування розроблених алгоритмів діагностики і лікування на основі </w:t>
      </w:r>
      <w:r w:rsidR="005E1A24" w:rsidRPr="00DA2F3A">
        <w:rPr>
          <w:rFonts w:ascii="Times New Roman" w:hAnsi="Times New Roman" w:cs="Times New Roman"/>
          <w:iCs/>
          <w:color w:val="FF0000"/>
          <w:sz w:val="28"/>
          <w:szCs w:val="28"/>
        </w:rPr>
        <w:t xml:space="preserve"> </w:t>
      </w:r>
      <w:r w:rsidR="005B3FC2" w:rsidRPr="003072C2">
        <w:rPr>
          <w:rFonts w:ascii="Times New Roman" w:hAnsi="Times New Roman" w:cs="Times New Roman"/>
          <w:iCs/>
          <w:color w:val="000000" w:themeColor="text1"/>
          <w:sz w:val="28"/>
          <w:szCs w:val="28"/>
        </w:rPr>
        <w:t xml:space="preserve">запропонованих </w:t>
      </w:r>
      <w:r w:rsidR="005E1A24" w:rsidRPr="00FD6037">
        <w:rPr>
          <w:rFonts w:ascii="Times New Roman" w:hAnsi="Times New Roman" w:cs="Times New Roman"/>
          <w:iCs/>
          <w:color w:val="000000"/>
          <w:sz w:val="28"/>
          <w:szCs w:val="28"/>
        </w:rPr>
        <w:t>променевих і молекулярних діагностичних, прогностичних біомаркерів.</w:t>
      </w:r>
    </w:p>
    <w:p w:rsidR="00AC6827" w:rsidRDefault="00AC6827" w:rsidP="00D37CB3">
      <w:pPr>
        <w:pStyle w:val="ListParagraph"/>
        <w:adjustRightInd w:val="0"/>
        <w:snapToGrid w:val="0"/>
        <w:spacing w:line="360" w:lineRule="auto"/>
        <w:jc w:val="both"/>
        <w:rPr>
          <w:rFonts w:ascii="Times New Roman" w:hAnsi="Times New Roman" w:cs="Times New Roman"/>
          <w:b/>
          <w:sz w:val="28"/>
          <w:szCs w:val="28"/>
          <w:lang w:eastAsia="ru-RU"/>
        </w:rPr>
      </w:pPr>
    </w:p>
    <w:p w:rsidR="00AC6827" w:rsidRPr="00360F22" w:rsidRDefault="00AC6827" w:rsidP="00AC6827">
      <w:pPr>
        <w:spacing w:line="360" w:lineRule="auto"/>
        <w:jc w:val="both"/>
        <w:rPr>
          <w:rFonts w:ascii="Times New Roman" w:hAnsi="Times New Roman"/>
          <w:sz w:val="28"/>
          <w:szCs w:val="28"/>
        </w:rPr>
      </w:pPr>
      <w:r w:rsidRPr="00360F22">
        <w:rPr>
          <w:rFonts w:ascii="Times New Roman" w:hAnsi="Times New Roman"/>
          <w:b/>
          <w:sz w:val="28"/>
          <w:szCs w:val="28"/>
        </w:rPr>
        <w:lastRenderedPageBreak/>
        <w:t xml:space="preserve">Завдання дослідження: </w:t>
      </w:r>
    </w:p>
    <w:p w:rsidR="00AC6827" w:rsidRPr="008254CE" w:rsidRDefault="00AC6827" w:rsidP="00AC6827">
      <w:pPr>
        <w:numPr>
          <w:ilvl w:val="0"/>
          <w:numId w:val="3"/>
        </w:numPr>
        <w:spacing w:after="200" w:line="360" w:lineRule="auto"/>
        <w:jc w:val="both"/>
        <w:rPr>
          <w:rFonts w:ascii="Times New Roman" w:hAnsi="Times New Roman"/>
          <w:sz w:val="28"/>
          <w:szCs w:val="28"/>
        </w:rPr>
      </w:pPr>
      <w:r w:rsidRPr="00360F22">
        <w:rPr>
          <w:rFonts w:ascii="Times New Roman" w:hAnsi="Times New Roman"/>
          <w:sz w:val="28"/>
          <w:szCs w:val="28"/>
        </w:rPr>
        <w:t xml:space="preserve">Провести пошук </w:t>
      </w:r>
      <w:r w:rsidRPr="00F13F65">
        <w:rPr>
          <w:rFonts w:ascii="Times New Roman" w:hAnsi="Times New Roman"/>
          <w:color w:val="000000"/>
          <w:sz w:val="28"/>
          <w:szCs w:val="28"/>
        </w:rPr>
        <w:t>нових променевих біомаркерів</w:t>
      </w:r>
      <w:r w:rsidRPr="00360F22">
        <w:rPr>
          <w:rFonts w:ascii="Times New Roman" w:hAnsi="Times New Roman"/>
          <w:sz w:val="28"/>
          <w:szCs w:val="28"/>
        </w:rPr>
        <w:t xml:space="preserve">, які дозволяють </w:t>
      </w:r>
      <w:r w:rsidRPr="00DA731F">
        <w:rPr>
          <w:rFonts w:ascii="Times New Roman" w:hAnsi="Times New Roman"/>
          <w:color w:val="000000"/>
          <w:sz w:val="28"/>
          <w:szCs w:val="28"/>
        </w:rPr>
        <w:t>із достатнім рівнем достовірності</w:t>
      </w:r>
      <w:r w:rsidRPr="00360F22">
        <w:rPr>
          <w:rFonts w:ascii="Times New Roman" w:hAnsi="Times New Roman"/>
          <w:sz w:val="28"/>
          <w:szCs w:val="28"/>
        </w:rPr>
        <w:t xml:space="preserve"> диференціювати НКР</w:t>
      </w:r>
      <w:r>
        <w:rPr>
          <w:rFonts w:ascii="Times New Roman" w:hAnsi="Times New Roman"/>
          <w:sz w:val="28"/>
          <w:szCs w:val="28"/>
        </w:rPr>
        <w:t>,</w:t>
      </w:r>
      <w:r w:rsidRPr="00360F22">
        <w:rPr>
          <w:rFonts w:ascii="Times New Roman" w:hAnsi="Times New Roman"/>
          <w:sz w:val="28"/>
          <w:szCs w:val="28"/>
        </w:rPr>
        <w:t xml:space="preserve"> </w:t>
      </w:r>
      <w:r>
        <w:rPr>
          <w:rFonts w:ascii="Times New Roman" w:hAnsi="Times New Roman"/>
          <w:sz w:val="28"/>
          <w:szCs w:val="28"/>
        </w:rPr>
        <w:t>визначати</w:t>
      </w:r>
      <w:r w:rsidRPr="00360F22">
        <w:rPr>
          <w:rFonts w:ascii="Times New Roman" w:hAnsi="Times New Roman"/>
          <w:sz w:val="28"/>
          <w:szCs w:val="28"/>
        </w:rPr>
        <w:t xml:space="preserve"> </w:t>
      </w:r>
      <w:r>
        <w:rPr>
          <w:rFonts w:ascii="Times New Roman" w:hAnsi="Times New Roman"/>
          <w:sz w:val="28"/>
          <w:szCs w:val="28"/>
        </w:rPr>
        <w:t>гістологічний підтип та ступінь ядерної атипії</w:t>
      </w:r>
      <w:r w:rsidRPr="00360F22">
        <w:rPr>
          <w:rFonts w:ascii="Times New Roman" w:hAnsi="Times New Roman"/>
          <w:sz w:val="28"/>
          <w:szCs w:val="28"/>
        </w:rPr>
        <w:t xml:space="preserve"> пухлини при малих ниркових новоутворах</w:t>
      </w:r>
      <w:r>
        <w:rPr>
          <w:rFonts w:ascii="Times New Roman" w:hAnsi="Times New Roman"/>
          <w:sz w:val="28"/>
          <w:szCs w:val="28"/>
        </w:rPr>
        <w:t xml:space="preserve"> </w:t>
      </w:r>
      <w:r w:rsidRPr="00F13F65">
        <w:rPr>
          <w:rFonts w:ascii="Times New Roman" w:hAnsi="Times New Roman"/>
          <w:color w:val="000000"/>
          <w:sz w:val="28"/>
          <w:szCs w:val="28"/>
        </w:rPr>
        <w:t>(Т1а)</w:t>
      </w:r>
      <w:r w:rsidRPr="00360F22">
        <w:rPr>
          <w:rFonts w:ascii="Times New Roman" w:hAnsi="Times New Roman"/>
          <w:sz w:val="28"/>
          <w:szCs w:val="28"/>
        </w:rPr>
        <w:t xml:space="preserve"> та зменшити рад</w:t>
      </w:r>
      <w:r>
        <w:rPr>
          <w:rFonts w:ascii="Times New Roman" w:hAnsi="Times New Roman"/>
          <w:sz w:val="28"/>
          <w:szCs w:val="28"/>
        </w:rPr>
        <w:t xml:space="preserve">іаційне навантаження на хворого. </w:t>
      </w:r>
      <w:r w:rsidRPr="008254CE">
        <w:rPr>
          <w:rFonts w:ascii="Times New Roman" w:hAnsi="Times New Roman"/>
          <w:sz w:val="28"/>
          <w:szCs w:val="28"/>
        </w:rPr>
        <w:t>Виконати аналогічні дослідження при нирково-клітинному раку розміром понад 4 см (≥Т1</w:t>
      </w:r>
      <w:r w:rsidRPr="008254CE">
        <w:rPr>
          <w:rFonts w:ascii="Times New Roman" w:hAnsi="Times New Roman"/>
          <w:sz w:val="28"/>
          <w:szCs w:val="28"/>
          <w:lang w:val="ru-RU"/>
        </w:rPr>
        <w:t>b</w:t>
      </w:r>
      <w:r w:rsidRPr="008254CE">
        <w:rPr>
          <w:rFonts w:ascii="Times New Roman" w:hAnsi="Times New Roman"/>
          <w:sz w:val="28"/>
          <w:szCs w:val="28"/>
        </w:rPr>
        <w:t>)</w:t>
      </w:r>
      <w:r>
        <w:rPr>
          <w:rFonts w:ascii="Times New Roman" w:hAnsi="Times New Roman"/>
          <w:sz w:val="28"/>
          <w:szCs w:val="28"/>
        </w:rPr>
        <w:t>.</w:t>
      </w:r>
    </w:p>
    <w:p w:rsidR="00AC6827" w:rsidRPr="00F13F65" w:rsidRDefault="00AC6827" w:rsidP="00AC6827">
      <w:pPr>
        <w:numPr>
          <w:ilvl w:val="0"/>
          <w:numId w:val="3"/>
        </w:numPr>
        <w:spacing w:after="200" w:line="360" w:lineRule="auto"/>
        <w:jc w:val="both"/>
        <w:rPr>
          <w:rFonts w:ascii="Times New Roman" w:hAnsi="Times New Roman"/>
          <w:color w:val="000000"/>
          <w:sz w:val="28"/>
          <w:szCs w:val="28"/>
        </w:rPr>
      </w:pPr>
      <w:r w:rsidRPr="00F13F65">
        <w:rPr>
          <w:rFonts w:ascii="Times New Roman" w:hAnsi="Times New Roman"/>
          <w:color w:val="000000"/>
          <w:sz w:val="28"/>
          <w:szCs w:val="28"/>
        </w:rPr>
        <w:t>Вивчити клінічну інформативність вмісту в сечі мікроРНК-15а  і тотальної РНК як  молекулярних біомаркерів для діагностики та моніторингу післяопераційного перебігу НКР;</w:t>
      </w:r>
    </w:p>
    <w:p w:rsidR="00AC6827" w:rsidRPr="00360F22" w:rsidRDefault="00AC6827" w:rsidP="00AC6827">
      <w:pPr>
        <w:numPr>
          <w:ilvl w:val="0"/>
          <w:numId w:val="3"/>
        </w:numPr>
        <w:spacing w:after="200" w:line="360" w:lineRule="auto"/>
        <w:jc w:val="both"/>
        <w:rPr>
          <w:rFonts w:ascii="Times New Roman" w:hAnsi="Times New Roman"/>
          <w:sz w:val="28"/>
          <w:szCs w:val="28"/>
        </w:rPr>
      </w:pPr>
      <w:r w:rsidRPr="00360F22">
        <w:rPr>
          <w:rFonts w:ascii="Times New Roman" w:hAnsi="Times New Roman"/>
          <w:sz w:val="28"/>
          <w:szCs w:val="28"/>
        </w:rPr>
        <w:t xml:space="preserve">Розробити критерії </w:t>
      </w:r>
      <w:r w:rsidRPr="00F13F65">
        <w:rPr>
          <w:rFonts w:ascii="Times New Roman" w:hAnsi="Times New Roman"/>
          <w:color w:val="000000"/>
          <w:sz w:val="28"/>
          <w:szCs w:val="28"/>
        </w:rPr>
        <w:t>прогнозування</w:t>
      </w:r>
      <w:r w:rsidRPr="00360F22">
        <w:rPr>
          <w:rFonts w:ascii="Times New Roman" w:hAnsi="Times New Roman"/>
          <w:sz w:val="28"/>
          <w:szCs w:val="28"/>
        </w:rPr>
        <w:t xml:space="preserve"> ефективності селективної емболізації ниркових артерій</w:t>
      </w:r>
      <w:r>
        <w:rPr>
          <w:rFonts w:ascii="Times New Roman" w:hAnsi="Times New Roman"/>
          <w:sz w:val="28"/>
          <w:szCs w:val="28"/>
        </w:rPr>
        <w:t>,</w:t>
      </w:r>
      <w:r w:rsidRPr="00360F22">
        <w:rPr>
          <w:rFonts w:ascii="Times New Roman" w:hAnsi="Times New Roman"/>
          <w:sz w:val="28"/>
          <w:szCs w:val="28"/>
        </w:rPr>
        <w:t xml:space="preserve"> </w:t>
      </w:r>
      <w:r w:rsidRPr="00F13F65">
        <w:rPr>
          <w:rFonts w:ascii="Times New Roman" w:hAnsi="Times New Roman"/>
          <w:color w:val="000000"/>
          <w:sz w:val="28"/>
          <w:szCs w:val="28"/>
        </w:rPr>
        <w:t>передуюч</w:t>
      </w:r>
      <w:r w:rsidRPr="00584A40">
        <w:rPr>
          <w:rFonts w:ascii="Times New Roman" w:hAnsi="Times New Roman"/>
          <w:color w:val="000000" w:themeColor="text1"/>
          <w:sz w:val="28"/>
          <w:szCs w:val="28"/>
        </w:rPr>
        <w:t>ої</w:t>
      </w:r>
      <w:r w:rsidRPr="00360F22">
        <w:rPr>
          <w:rFonts w:ascii="Times New Roman" w:hAnsi="Times New Roman"/>
          <w:sz w:val="28"/>
          <w:szCs w:val="28"/>
        </w:rPr>
        <w:t xml:space="preserve"> нефректомі</w:t>
      </w:r>
      <w:r w:rsidRPr="00F13F65">
        <w:rPr>
          <w:rFonts w:ascii="Times New Roman" w:hAnsi="Times New Roman"/>
          <w:color w:val="000000"/>
          <w:sz w:val="28"/>
          <w:szCs w:val="28"/>
        </w:rPr>
        <w:t>ї</w:t>
      </w:r>
      <w:r w:rsidRPr="00360F22">
        <w:rPr>
          <w:rFonts w:ascii="Times New Roman" w:hAnsi="Times New Roman"/>
          <w:sz w:val="28"/>
          <w:szCs w:val="28"/>
        </w:rPr>
        <w:t xml:space="preserve"> у хворих із НКР, </w:t>
      </w:r>
      <w:r w:rsidRPr="00F13F65">
        <w:rPr>
          <w:rFonts w:ascii="Times New Roman" w:hAnsi="Times New Roman"/>
          <w:color w:val="000000"/>
          <w:sz w:val="28"/>
          <w:szCs w:val="28"/>
        </w:rPr>
        <w:t>на основі променевих біомаркерів</w:t>
      </w:r>
      <w:r w:rsidRPr="00360F22">
        <w:rPr>
          <w:rFonts w:ascii="Times New Roman" w:hAnsi="Times New Roman"/>
          <w:sz w:val="28"/>
          <w:szCs w:val="28"/>
        </w:rPr>
        <w:t xml:space="preserve">; </w:t>
      </w:r>
    </w:p>
    <w:p w:rsidR="00AC6827" w:rsidRPr="00F13F65" w:rsidRDefault="00AC6827" w:rsidP="00AC6827">
      <w:pPr>
        <w:numPr>
          <w:ilvl w:val="0"/>
          <w:numId w:val="3"/>
        </w:numPr>
        <w:spacing w:after="200" w:line="360" w:lineRule="auto"/>
        <w:jc w:val="both"/>
        <w:rPr>
          <w:rFonts w:ascii="Times New Roman" w:hAnsi="Times New Roman"/>
          <w:color w:val="000000"/>
          <w:sz w:val="28"/>
          <w:szCs w:val="28"/>
        </w:rPr>
      </w:pPr>
      <w:r w:rsidRPr="00F13F65">
        <w:rPr>
          <w:rFonts w:ascii="Times New Roman" w:hAnsi="Times New Roman"/>
          <w:iCs/>
          <w:color w:val="000000"/>
          <w:sz w:val="28"/>
          <w:szCs w:val="28"/>
        </w:rPr>
        <w:t>Визначити</w:t>
      </w:r>
      <w:r w:rsidRPr="00F13F65">
        <w:rPr>
          <w:rFonts w:ascii="Times New Roman" w:hAnsi="Times New Roman"/>
          <w:color w:val="000000"/>
          <w:sz w:val="28"/>
          <w:szCs w:val="28"/>
        </w:rPr>
        <w:t xml:space="preserve"> </w:t>
      </w:r>
      <w:r w:rsidRPr="00F13F65">
        <w:rPr>
          <w:rFonts w:ascii="Times New Roman" w:hAnsi="Times New Roman"/>
          <w:iCs/>
          <w:color w:val="000000"/>
          <w:sz w:val="28"/>
          <w:szCs w:val="28"/>
        </w:rPr>
        <w:t>оптимальний об’єм методів  післяопераційного скринінгу  для раннього виявлення</w:t>
      </w:r>
      <w:r w:rsidRPr="00F13F65">
        <w:rPr>
          <w:rFonts w:ascii="Times New Roman" w:hAnsi="Times New Roman"/>
          <w:color w:val="000000"/>
          <w:sz w:val="28"/>
          <w:szCs w:val="28"/>
        </w:rPr>
        <w:t xml:space="preserve"> локального рецидиву НКР, </w:t>
      </w:r>
      <w:r w:rsidRPr="00F13F65">
        <w:rPr>
          <w:rFonts w:ascii="Times New Roman" w:hAnsi="Times New Roman"/>
          <w:iCs/>
          <w:color w:val="000000"/>
          <w:sz w:val="28"/>
          <w:szCs w:val="28"/>
        </w:rPr>
        <w:t>із  зменшенням променевого</w:t>
      </w:r>
      <w:r w:rsidRPr="00F13F65">
        <w:rPr>
          <w:rFonts w:ascii="Times New Roman" w:hAnsi="Times New Roman"/>
          <w:color w:val="000000"/>
          <w:sz w:val="28"/>
          <w:szCs w:val="28"/>
        </w:rPr>
        <w:t xml:space="preserve"> навантаження на пацієнта; </w:t>
      </w:r>
    </w:p>
    <w:p w:rsidR="00AC6827" w:rsidRPr="00F13F65" w:rsidRDefault="00AC6827" w:rsidP="00AC6827">
      <w:pPr>
        <w:numPr>
          <w:ilvl w:val="0"/>
          <w:numId w:val="3"/>
        </w:numPr>
        <w:spacing w:after="200" w:line="360" w:lineRule="auto"/>
        <w:jc w:val="both"/>
        <w:rPr>
          <w:rFonts w:ascii="Times New Roman" w:hAnsi="Times New Roman"/>
          <w:color w:val="000000"/>
          <w:sz w:val="28"/>
          <w:szCs w:val="28"/>
        </w:rPr>
      </w:pPr>
      <w:r w:rsidRPr="00F13F65">
        <w:rPr>
          <w:rFonts w:ascii="Times New Roman" w:hAnsi="Times New Roman"/>
          <w:color w:val="000000"/>
          <w:sz w:val="28"/>
          <w:szCs w:val="28"/>
        </w:rPr>
        <w:t>Вивчити діагностичну цінність променевих</w:t>
      </w:r>
      <w:r w:rsidR="00486019">
        <w:rPr>
          <w:rFonts w:ascii="Times New Roman" w:hAnsi="Times New Roman"/>
          <w:color w:val="000000"/>
          <w:sz w:val="28"/>
          <w:szCs w:val="28"/>
        </w:rPr>
        <w:t xml:space="preserve"> маркерів при визначенні ступеня</w:t>
      </w:r>
      <w:r w:rsidRPr="00F13F65">
        <w:rPr>
          <w:rFonts w:ascii="Times New Roman" w:hAnsi="Times New Roman"/>
          <w:color w:val="000000"/>
          <w:sz w:val="28"/>
          <w:szCs w:val="28"/>
        </w:rPr>
        <w:t xml:space="preserve"> ранньої тканинної відповіді при медикаментозній терапії розповсюдженого/метастатичного НКР;</w:t>
      </w:r>
    </w:p>
    <w:p w:rsidR="00AC6827" w:rsidRPr="00360F22" w:rsidRDefault="00AC6827" w:rsidP="00AC6827">
      <w:pPr>
        <w:numPr>
          <w:ilvl w:val="0"/>
          <w:numId w:val="3"/>
        </w:numPr>
        <w:spacing w:after="200" w:line="360" w:lineRule="auto"/>
        <w:jc w:val="both"/>
        <w:rPr>
          <w:rFonts w:ascii="Times New Roman" w:hAnsi="Times New Roman"/>
          <w:sz w:val="28"/>
          <w:szCs w:val="28"/>
        </w:rPr>
      </w:pPr>
      <w:r w:rsidRPr="00360F22">
        <w:rPr>
          <w:rFonts w:ascii="Times New Roman" w:hAnsi="Times New Roman"/>
          <w:sz w:val="28"/>
          <w:szCs w:val="28"/>
        </w:rPr>
        <w:t xml:space="preserve">Вивчити </w:t>
      </w:r>
      <w:r w:rsidRPr="00F13F65">
        <w:rPr>
          <w:rFonts w:ascii="Times New Roman" w:hAnsi="Times New Roman"/>
          <w:iCs/>
          <w:color w:val="000000"/>
          <w:sz w:val="28"/>
          <w:szCs w:val="28"/>
        </w:rPr>
        <w:t>зв'язок</w:t>
      </w:r>
      <w:r w:rsidRPr="00F13F65">
        <w:rPr>
          <w:rFonts w:ascii="Times New Roman" w:hAnsi="Times New Roman"/>
          <w:color w:val="000000"/>
          <w:sz w:val="28"/>
          <w:szCs w:val="28"/>
        </w:rPr>
        <w:t xml:space="preserve"> експресії мікроРНК-15а </w:t>
      </w:r>
      <w:r w:rsidRPr="00F13F65">
        <w:rPr>
          <w:rFonts w:ascii="Times New Roman" w:hAnsi="Times New Roman"/>
          <w:iCs/>
          <w:color w:val="000000"/>
          <w:sz w:val="28"/>
          <w:szCs w:val="28"/>
        </w:rPr>
        <w:t>із рівнем</w:t>
      </w:r>
      <w:r>
        <w:rPr>
          <w:rFonts w:ascii="Times New Roman" w:hAnsi="Times New Roman"/>
          <w:sz w:val="28"/>
          <w:szCs w:val="28"/>
        </w:rPr>
        <w:t xml:space="preserve"> </w:t>
      </w:r>
      <w:r w:rsidRPr="00360F22">
        <w:rPr>
          <w:rFonts w:ascii="Times New Roman" w:hAnsi="Times New Roman"/>
          <w:sz w:val="28"/>
          <w:szCs w:val="28"/>
        </w:rPr>
        <w:t xml:space="preserve">виживаності хворих </w:t>
      </w:r>
      <w:r w:rsidRPr="00584A40">
        <w:rPr>
          <w:rFonts w:ascii="Times New Roman" w:hAnsi="Times New Roman"/>
          <w:color w:val="000000" w:themeColor="text1"/>
          <w:sz w:val="28"/>
          <w:szCs w:val="28"/>
        </w:rPr>
        <w:t>на</w:t>
      </w:r>
      <w:r>
        <w:rPr>
          <w:rFonts w:ascii="Times New Roman" w:hAnsi="Times New Roman"/>
          <w:sz w:val="28"/>
          <w:szCs w:val="28"/>
        </w:rPr>
        <w:t xml:space="preserve"> </w:t>
      </w:r>
      <w:r w:rsidRPr="00360F22">
        <w:rPr>
          <w:rFonts w:ascii="Times New Roman" w:hAnsi="Times New Roman"/>
          <w:sz w:val="28"/>
          <w:szCs w:val="28"/>
        </w:rPr>
        <w:t>НКР;</w:t>
      </w:r>
    </w:p>
    <w:p w:rsidR="00AC6827" w:rsidRPr="00360F22" w:rsidRDefault="00AC6827" w:rsidP="00AC6827">
      <w:pPr>
        <w:numPr>
          <w:ilvl w:val="0"/>
          <w:numId w:val="3"/>
        </w:numPr>
        <w:spacing w:after="200" w:line="360" w:lineRule="auto"/>
        <w:jc w:val="both"/>
        <w:rPr>
          <w:rFonts w:ascii="Times New Roman" w:hAnsi="Times New Roman"/>
          <w:sz w:val="28"/>
          <w:szCs w:val="28"/>
        </w:rPr>
      </w:pPr>
      <w:r w:rsidRPr="00360F22">
        <w:rPr>
          <w:rFonts w:ascii="Times New Roman" w:hAnsi="Times New Roman"/>
          <w:sz w:val="28"/>
          <w:szCs w:val="28"/>
        </w:rPr>
        <w:t xml:space="preserve">Визначити роль </w:t>
      </w:r>
      <w:r>
        <w:rPr>
          <w:rFonts w:ascii="Times New Roman" w:hAnsi="Times New Roman"/>
          <w:sz w:val="28"/>
          <w:szCs w:val="28"/>
        </w:rPr>
        <w:t>радіо</w:t>
      </w:r>
      <w:r w:rsidRPr="00360F22">
        <w:rPr>
          <w:rFonts w:ascii="Times New Roman" w:hAnsi="Times New Roman"/>
          <w:sz w:val="28"/>
          <w:szCs w:val="28"/>
        </w:rPr>
        <w:t xml:space="preserve">генетичного аналізу </w:t>
      </w:r>
      <w:r w:rsidRPr="00F13F65">
        <w:rPr>
          <w:rFonts w:ascii="Times New Roman" w:hAnsi="Times New Roman"/>
          <w:color w:val="000000"/>
          <w:sz w:val="28"/>
          <w:szCs w:val="28"/>
        </w:rPr>
        <w:t xml:space="preserve">у індивідуалізованому підході до діагностики та лікування </w:t>
      </w:r>
      <w:r w:rsidRPr="00360F22">
        <w:rPr>
          <w:rFonts w:ascii="Times New Roman" w:hAnsi="Times New Roman"/>
          <w:sz w:val="28"/>
          <w:szCs w:val="28"/>
        </w:rPr>
        <w:t>НКР;</w:t>
      </w:r>
    </w:p>
    <w:p w:rsidR="00AC6827" w:rsidRPr="00360F22" w:rsidRDefault="00AC6827" w:rsidP="00AC6827">
      <w:pPr>
        <w:numPr>
          <w:ilvl w:val="0"/>
          <w:numId w:val="3"/>
        </w:numPr>
        <w:spacing w:after="200" w:line="360" w:lineRule="auto"/>
        <w:jc w:val="both"/>
        <w:rPr>
          <w:rFonts w:ascii="Times New Roman" w:hAnsi="Times New Roman"/>
          <w:sz w:val="28"/>
          <w:szCs w:val="28"/>
        </w:rPr>
      </w:pPr>
      <w:r w:rsidRPr="00360F22">
        <w:rPr>
          <w:rFonts w:ascii="Times New Roman" w:hAnsi="Times New Roman"/>
          <w:sz w:val="28"/>
          <w:szCs w:val="28"/>
        </w:rPr>
        <w:t xml:space="preserve">Розробити алгоритм діагностики та лікування хворих із НКР із застосуванням променевих та молекулярних </w:t>
      </w:r>
      <w:r w:rsidRPr="00F13F65">
        <w:rPr>
          <w:rFonts w:ascii="Times New Roman" w:hAnsi="Times New Roman"/>
          <w:color w:val="000000"/>
          <w:sz w:val="28"/>
          <w:szCs w:val="28"/>
        </w:rPr>
        <w:t>біомаркерів</w:t>
      </w:r>
      <w:r w:rsidRPr="00360F22">
        <w:rPr>
          <w:rFonts w:ascii="Times New Roman" w:hAnsi="Times New Roman"/>
          <w:sz w:val="28"/>
          <w:szCs w:val="28"/>
        </w:rPr>
        <w:t>.</w:t>
      </w:r>
    </w:p>
    <w:p w:rsidR="00AC6827" w:rsidRDefault="00AC6827" w:rsidP="00AC6827">
      <w:pPr>
        <w:spacing w:line="360" w:lineRule="auto"/>
        <w:jc w:val="both"/>
        <w:rPr>
          <w:rFonts w:ascii="Times New Roman" w:hAnsi="Times New Roman" w:cs="Times New Roman"/>
          <w:i/>
          <w:sz w:val="28"/>
          <w:szCs w:val="28"/>
        </w:rPr>
      </w:pPr>
    </w:p>
    <w:p w:rsidR="00D37CB3" w:rsidRDefault="00D37CB3" w:rsidP="00D37CB3">
      <w:pPr>
        <w:spacing w:line="360" w:lineRule="auto"/>
        <w:ind w:firstLine="360"/>
        <w:jc w:val="both"/>
        <w:rPr>
          <w:rFonts w:ascii="Times New Roman" w:hAnsi="Times New Roman" w:cs="Times New Roman"/>
          <w:sz w:val="28"/>
          <w:szCs w:val="28"/>
        </w:rPr>
      </w:pPr>
      <w:r w:rsidRPr="002106D6">
        <w:rPr>
          <w:rFonts w:ascii="Times New Roman" w:hAnsi="Times New Roman" w:cs="Times New Roman"/>
          <w:i/>
          <w:sz w:val="28"/>
          <w:szCs w:val="28"/>
        </w:rPr>
        <w:lastRenderedPageBreak/>
        <w:t>Об’єкт дослідження</w:t>
      </w:r>
      <w:r w:rsidR="006A74D3">
        <w:rPr>
          <w:rFonts w:ascii="Times New Roman" w:hAnsi="Times New Roman" w:cs="Times New Roman"/>
          <w:sz w:val="28"/>
          <w:szCs w:val="28"/>
        </w:rPr>
        <w:t>: нирково-клітинний рак.</w:t>
      </w:r>
    </w:p>
    <w:p w:rsidR="00D37CB3" w:rsidRDefault="00D37CB3" w:rsidP="00D37CB3">
      <w:pPr>
        <w:spacing w:line="360" w:lineRule="auto"/>
        <w:ind w:firstLine="360"/>
        <w:jc w:val="both"/>
        <w:rPr>
          <w:rFonts w:ascii="Times New Roman" w:hAnsi="Times New Roman" w:cs="Times New Roman"/>
          <w:sz w:val="28"/>
          <w:szCs w:val="28"/>
        </w:rPr>
      </w:pPr>
      <w:r w:rsidRPr="002106D6">
        <w:rPr>
          <w:rFonts w:ascii="Times New Roman" w:hAnsi="Times New Roman" w:cs="Times New Roman"/>
          <w:i/>
          <w:sz w:val="28"/>
          <w:szCs w:val="28"/>
        </w:rPr>
        <w:t>Предмет дослідження:</w:t>
      </w:r>
      <w:r>
        <w:rPr>
          <w:rFonts w:ascii="Times New Roman" w:hAnsi="Times New Roman" w:cs="Times New Roman"/>
          <w:sz w:val="28"/>
          <w:szCs w:val="28"/>
        </w:rPr>
        <w:t xml:space="preserve"> </w:t>
      </w:r>
      <w:r w:rsidR="006A74D3">
        <w:rPr>
          <w:rFonts w:ascii="Times New Roman" w:hAnsi="Times New Roman"/>
          <w:color w:val="000000"/>
          <w:sz w:val="28"/>
          <w:szCs w:val="28"/>
        </w:rPr>
        <w:t>біомаркери</w:t>
      </w:r>
      <w:r w:rsidR="006A74D3">
        <w:rPr>
          <w:rFonts w:ascii="Times New Roman" w:hAnsi="Times New Roman"/>
          <w:color w:val="4F81BD"/>
          <w:sz w:val="28"/>
          <w:szCs w:val="28"/>
        </w:rPr>
        <w:t xml:space="preserve"> </w:t>
      </w:r>
      <w:r w:rsidR="006A74D3">
        <w:rPr>
          <w:rFonts w:ascii="Times New Roman" w:hAnsi="Times New Roman"/>
          <w:sz w:val="28"/>
          <w:szCs w:val="28"/>
        </w:rPr>
        <w:t>у комплексному підході до діагностики, оцінки ефективності лікування та прогнозування виживаності при нирково-клітинному раку</w:t>
      </w:r>
      <w:r>
        <w:rPr>
          <w:rFonts w:ascii="Times New Roman" w:hAnsi="Times New Roman" w:cs="Times New Roman"/>
          <w:sz w:val="28"/>
          <w:szCs w:val="28"/>
        </w:rPr>
        <w:t>.</w:t>
      </w:r>
    </w:p>
    <w:p w:rsidR="00D37CB3" w:rsidRPr="008C2F53" w:rsidRDefault="00D37CB3" w:rsidP="00D37CB3">
      <w:pPr>
        <w:spacing w:line="360" w:lineRule="auto"/>
        <w:ind w:firstLine="360"/>
        <w:jc w:val="both"/>
        <w:rPr>
          <w:rFonts w:ascii="Times New Roman" w:hAnsi="Times New Roman" w:cs="Times New Roman"/>
          <w:sz w:val="28"/>
          <w:szCs w:val="28"/>
        </w:rPr>
      </w:pPr>
      <w:r w:rsidRPr="002106D6">
        <w:rPr>
          <w:rFonts w:ascii="Times New Roman" w:hAnsi="Times New Roman" w:cs="Times New Roman"/>
          <w:i/>
          <w:iCs/>
          <w:sz w:val="28"/>
          <w:szCs w:val="28"/>
        </w:rPr>
        <w:t>Методи дослідження</w:t>
      </w:r>
      <w:r w:rsidRPr="002106D6">
        <w:rPr>
          <w:rFonts w:ascii="Times New Roman" w:hAnsi="Times New Roman" w:cs="Times New Roman"/>
          <w:sz w:val="28"/>
          <w:szCs w:val="28"/>
        </w:rPr>
        <w:t xml:space="preserve">: </w:t>
      </w:r>
      <w:r w:rsidRPr="002106D6">
        <w:rPr>
          <w:rFonts w:ascii="Times New Roman" w:hAnsi="Times New Roman" w:cs="Times New Roman"/>
          <w:bCs/>
          <w:spacing w:val="1"/>
          <w:sz w:val="28"/>
          <w:szCs w:val="28"/>
        </w:rPr>
        <w:t xml:space="preserve">загальноклінічні, біохімічні, морфологічні, імуногістохімічні, інструментальні, </w:t>
      </w:r>
      <w:r>
        <w:rPr>
          <w:rFonts w:ascii="Times New Roman" w:hAnsi="Times New Roman" w:cs="Times New Roman"/>
          <w:bCs/>
          <w:spacing w:val="1"/>
          <w:sz w:val="28"/>
          <w:szCs w:val="28"/>
        </w:rPr>
        <w:t>радіологічні</w:t>
      </w:r>
      <w:r w:rsidRPr="002106D6">
        <w:rPr>
          <w:rFonts w:ascii="Times New Roman" w:hAnsi="Times New Roman" w:cs="Times New Roman"/>
          <w:bCs/>
          <w:spacing w:val="1"/>
          <w:sz w:val="28"/>
          <w:szCs w:val="28"/>
        </w:rPr>
        <w:t xml:space="preserve">, </w:t>
      </w:r>
      <w:r w:rsidR="006A74D3">
        <w:rPr>
          <w:rFonts w:ascii="Times New Roman" w:hAnsi="Times New Roman" w:cs="Times New Roman"/>
          <w:bCs/>
          <w:spacing w:val="1"/>
          <w:sz w:val="28"/>
          <w:szCs w:val="28"/>
        </w:rPr>
        <w:t>молекулярні</w:t>
      </w:r>
      <w:r w:rsidRPr="002106D6">
        <w:rPr>
          <w:rFonts w:ascii="Times New Roman" w:hAnsi="Times New Roman" w:cs="Times New Roman"/>
          <w:bCs/>
          <w:spacing w:val="1"/>
          <w:sz w:val="28"/>
          <w:szCs w:val="28"/>
        </w:rPr>
        <w:t>, статистичні.</w:t>
      </w:r>
    </w:p>
    <w:p w:rsidR="00AC6827" w:rsidRDefault="00AC6827" w:rsidP="00AC6827">
      <w:pPr>
        <w:spacing w:line="360" w:lineRule="auto"/>
        <w:ind w:firstLine="708"/>
        <w:jc w:val="both"/>
        <w:rPr>
          <w:rFonts w:ascii="Times New Roman" w:hAnsi="Times New Roman"/>
          <w:b/>
          <w:sz w:val="28"/>
          <w:szCs w:val="28"/>
        </w:rPr>
      </w:pPr>
      <w:r>
        <w:rPr>
          <w:rFonts w:ascii="Times New Roman" w:hAnsi="Times New Roman"/>
          <w:b/>
          <w:sz w:val="28"/>
          <w:szCs w:val="28"/>
        </w:rPr>
        <w:t>Наукова новизна.</w:t>
      </w:r>
      <w:r w:rsidR="006A74D3">
        <w:rPr>
          <w:rFonts w:ascii="Times New Roman" w:hAnsi="Times New Roman"/>
          <w:b/>
          <w:sz w:val="28"/>
          <w:szCs w:val="28"/>
        </w:rPr>
        <w:t xml:space="preserve"> </w:t>
      </w:r>
    </w:p>
    <w:p w:rsidR="00AC6827" w:rsidRPr="00360F22" w:rsidRDefault="00AC6827" w:rsidP="00AC6827">
      <w:pPr>
        <w:spacing w:line="360" w:lineRule="auto"/>
        <w:ind w:firstLine="708"/>
        <w:jc w:val="both"/>
        <w:rPr>
          <w:rFonts w:ascii="Times New Roman" w:hAnsi="Times New Roman"/>
          <w:b/>
          <w:sz w:val="28"/>
          <w:szCs w:val="28"/>
        </w:rPr>
      </w:pPr>
      <w:r>
        <w:rPr>
          <w:rFonts w:ascii="Times New Roman" w:hAnsi="Times New Roman"/>
          <w:sz w:val="28"/>
          <w:szCs w:val="28"/>
        </w:rPr>
        <w:t>П</w:t>
      </w:r>
      <w:r w:rsidRPr="00360F22">
        <w:rPr>
          <w:rFonts w:ascii="Times New Roman" w:hAnsi="Times New Roman"/>
          <w:sz w:val="28"/>
          <w:szCs w:val="28"/>
        </w:rPr>
        <w:t xml:space="preserve">роведено оцінку інформативності променевих та молекулярних </w:t>
      </w:r>
      <w:r w:rsidRPr="00651AC8">
        <w:rPr>
          <w:rFonts w:ascii="Times New Roman" w:hAnsi="Times New Roman"/>
          <w:color w:val="000000" w:themeColor="text1"/>
          <w:sz w:val="28"/>
          <w:szCs w:val="28"/>
        </w:rPr>
        <w:t>біомаркерів в діагностиці</w:t>
      </w:r>
      <w:r>
        <w:rPr>
          <w:rFonts w:ascii="Times New Roman" w:hAnsi="Times New Roman"/>
          <w:color w:val="000000"/>
          <w:sz w:val="28"/>
          <w:szCs w:val="28"/>
        </w:rPr>
        <w:t xml:space="preserve"> </w:t>
      </w:r>
      <w:r w:rsidRPr="00360F22">
        <w:rPr>
          <w:rFonts w:ascii="Times New Roman" w:hAnsi="Times New Roman"/>
          <w:sz w:val="28"/>
          <w:szCs w:val="28"/>
        </w:rPr>
        <w:t>НКР.</w:t>
      </w:r>
      <w:r w:rsidRPr="00360F22">
        <w:rPr>
          <w:rFonts w:ascii="Times New Roman" w:hAnsi="Times New Roman"/>
          <w:b/>
          <w:sz w:val="28"/>
          <w:szCs w:val="28"/>
        </w:rPr>
        <w:t xml:space="preserve"> </w:t>
      </w:r>
    </w:p>
    <w:p w:rsidR="00AC6827" w:rsidRPr="00360F22" w:rsidRDefault="00AC6827" w:rsidP="00AC6827">
      <w:pPr>
        <w:spacing w:line="360" w:lineRule="auto"/>
        <w:ind w:firstLine="708"/>
        <w:jc w:val="both"/>
        <w:rPr>
          <w:rFonts w:ascii="Times New Roman" w:hAnsi="Times New Roman"/>
          <w:sz w:val="28"/>
          <w:szCs w:val="28"/>
        </w:rPr>
      </w:pPr>
      <w:r w:rsidRPr="00360F22">
        <w:rPr>
          <w:rFonts w:ascii="Times New Roman" w:hAnsi="Times New Roman"/>
          <w:sz w:val="28"/>
          <w:szCs w:val="28"/>
        </w:rPr>
        <w:t>На підставі даних дисперсійного аналізу</w:t>
      </w:r>
      <w:r w:rsidRPr="00360F22">
        <w:rPr>
          <w:rFonts w:ascii="Times New Roman" w:hAnsi="Times New Roman"/>
          <w:b/>
          <w:sz w:val="28"/>
          <w:szCs w:val="28"/>
        </w:rPr>
        <w:t xml:space="preserve"> </w:t>
      </w:r>
      <w:r w:rsidRPr="00360F22">
        <w:rPr>
          <w:rFonts w:ascii="Times New Roman" w:hAnsi="Times New Roman"/>
          <w:sz w:val="28"/>
          <w:szCs w:val="28"/>
        </w:rPr>
        <w:t xml:space="preserve">доведена </w:t>
      </w:r>
      <w:r w:rsidRPr="00F13F65">
        <w:rPr>
          <w:rFonts w:ascii="Times New Roman" w:hAnsi="Times New Roman"/>
          <w:iCs/>
          <w:color w:val="000000"/>
          <w:sz w:val="28"/>
          <w:szCs w:val="28"/>
        </w:rPr>
        <w:t>доцільність</w:t>
      </w:r>
      <w:r w:rsidRPr="00D311B9">
        <w:rPr>
          <w:rFonts w:ascii="Times New Roman" w:hAnsi="Times New Roman"/>
          <w:color w:val="9BBB59"/>
          <w:sz w:val="28"/>
          <w:szCs w:val="28"/>
        </w:rPr>
        <w:t xml:space="preserve"> </w:t>
      </w:r>
      <w:r w:rsidRPr="00360F22">
        <w:rPr>
          <w:rFonts w:ascii="Times New Roman" w:hAnsi="Times New Roman"/>
          <w:sz w:val="28"/>
          <w:szCs w:val="28"/>
        </w:rPr>
        <w:t>застосування дифузійно-зважених зображень (ДЗЗ) МРТ т</w:t>
      </w:r>
      <w:r w:rsidRPr="00F13F65">
        <w:rPr>
          <w:rFonts w:ascii="Times New Roman" w:hAnsi="Times New Roman"/>
          <w:color w:val="000000"/>
          <w:sz w:val="28"/>
          <w:szCs w:val="28"/>
        </w:rPr>
        <w:t>а вимірюваного</w:t>
      </w:r>
      <w:r w:rsidRPr="00D364A1">
        <w:rPr>
          <w:rFonts w:ascii="Times New Roman" w:hAnsi="Times New Roman"/>
          <w:color w:val="FF0000"/>
          <w:sz w:val="28"/>
          <w:szCs w:val="28"/>
        </w:rPr>
        <w:t>-</w:t>
      </w:r>
      <w:r w:rsidRPr="00F13F65">
        <w:rPr>
          <w:rFonts w:ascii="Times New Roman" w:hAnsi="Times New Roman"/>
          <w:color w:val="000000"/>
          <w:sz w:val="28"/>
          <w:szCs w:val="28"/>
        </w:rPr>
        <w:t>коефіцієнт</w:t>
      </w:r>
      <w:r w:rsidRPr="00651AC8">
        <w:rPr>
          <w:rFonts w:ascii="Times New Roman" w:hAnsi="Times New Roman"/>
          <w:color w:val="000000" w:themeColor="text1"/>
          <w:sz w:val="28"/>
          <w:szCs w:val="28"/>
        </w:rPr>
        <w:t>у</w:t>
      </w:r>
      <w:r w:rsidRPr="00F13F65">
        <w:rPr>
          <w:rFonts w:ascii="Times New Roman" w:hAnsi="Times New Roman"/>
          <w:color w:val="000000"/>
          <w:sz w:val="28"/>
          <w:szCs w:val="28"/>
        </w:rPr>
        <w:t xml:space="preserve"> </w:t>
      </w:r>
      <w:r w:rsidRPr="00360F22">
        <w:rPr>
          <w:rFonts w:ascii="Times New Roman" w:hAnsi="Times New Roman"/>
          <w:sz w:val="28"/>
          <w:szCs w:val="28"/>
        </w:rPr>
        <w:t>дифузії (</w:t>
      </w:r>
      <w:r w:rsidRPr="00F13F65">
        <w:rPr>
          <w:rFonts w:ascii="Times New Roman" w:hAnsi="Times New Roman"/>
          <w:iCs/>
          <w:color w:val="000000"/>
          <w:sz w:val="28"/>
          <w:szCs w:val="28"/>
        </w:rPr>
        <w:t>ВКД</w:t>
      </w:r>
      <w:r w:rsidRPr="00360F22">
        <w:rPr>
          <w:rFonts w:ascii="Times New Roman" w:hAnsi="Times New Roman"/>
          <w:sz w:val="28"/>
          <w:szCs w:val="28"/>
        </w:rPr>
        <w:t xml:space="preserve">) у якості діагностичних променевих </w:t>
      </w:r>
      <w:r w:rsidRPr="00F13F65">
        <w:rPr>
          <w:rFonts w:ascii="Times New Roman" w:hAnsi="Times New Roman"/>
          <w:color w:val="000000"/>
          <w:sz w:val="28"/>
          <w:szCs w:val="28"/>
        </w:rPr>
        <w:t>біомаркерів</w:t>
      </w:r>
      <w:r w:rsidRPr="00D311B9">
        <w:rPr>
          <w:rFonts w:ascii="Times New Roman" w:hAnsi="Times New Roman"/>
          <w:color w:val="4F81BD"/>
          <w:sz w:val="28"/>
          <w:szCs w:val="28"/>
        </w:rPr>
        <w:t xml:space="preserve"> </w:t>
      </w:r>
      <w:r w:rsidRPr="00360F22">
        <w:rPr>
          <w:rFonts w:ascii="Times New Roman" w:hAnsi="Times New Roman"/>
          <w:sz w:val="28"/>
          <w:szCs w:val="28"/>
        </w:rPr>
        <w:t xml:space="preserve">НКР. </w:t>
      </w:r>
      <w:r>
        <w:rPr>
          <w:rFonts w:ascii="Times New Roman" w:hAnsi="Times New Roman"/>
          <w:sz w:val="28"/>
          <w:szCs w:val="28"/>
        </w:rPr>
        <w:t>В</w:t>
      </w:r>
      <w:r w:rsidRPr="00360F22">
        <w:rPr>
          <w:rFonts w:ascii="Times New Roman" w:hAnsi="Times New Roman"/>
          <w:sz w:val="28"/>
          <w:szCs w:val="28"/>
        </w:rPr>
        <w:t xml:space="preserve">изначена ефективність променевих </w:t>
      </w:r>
      <w:r w:rsidRPr="00F13F65">
        <w:rPr>
          <w:rFonts w:ascii="Times New Roman" w:hAnsi="Times New Roman"/>
          <w:color w:val="000000"/>
          <w:sz w:val="28"/>
          <w:szCs w:val="28"/>
        </w:rPr>
        <w:t>маркерів</w:t>
      </w:r>
      <w:r w:rsidRPr="00360F22">
        <w:rPr>
          <w:rFonts w:ascii="Times New Roman" w:hAnsi="Times New Roman"/>
          <w:sz w:val="28"/>
          <w:szCs w:val="28"/>
        </w:rPr>
        <w:t xml:space="preserve"> із використанням КТ та МРТ при діагностиці </w:t>
      </w:r>
      <w:r w:rsidRPr="00360F22">
        <w:rPr>
          <w:rFonts w:ascii="Times New Roman" w:hAnsi="Times New Roman"/>
          <w:sz w:val="28"/>
          <w:szCs w:val="28"/>
          <w:lang w:val="en-US"/>
        </w:rPr>
        <w:t>SRM</w:t>
      </w:r>
      <w:r w:rsidRPr="00360F22">
        <w:rPr>
          <w:rFonts w:ascii="Times New Roman" w:hAnsi="Times New Roman"/>
          <w:sz w:val="28"/>
          <w:szCs w:val="28"/>
        </w:rPr>
        <w:t xml:space="preserve">. </w:t>
      </w:r>
    </w:p>
    <w:p w:rsidR="00AC6827" w:rsidRPr="00651AC8" w:rsidRDefault="00AC6827" w:rsidP="00AC6827">
      <w:pPr>
        <w:spacing w:line="360" w:lineRule="auto"/>
        <w:ind w:firstLine="708"/>
        <w:jc w:val="both"/>
        <w:rPr>
          <w:rFonts w:ascii="Times New Roman" w:hAnsi="Times New Roman"/>
          <w:color w:val="000000" w:themeColor="text1"/>
          <w:sz w:val="28"/>
          <w:szCs w:val="28"/>
        </w:rPr>
      </w:pPr>
      <w:r w:rsidRPr="00651AC8">
        <w:rPr>
          <w:rFonts w:ascii="Times New Roman" w:hAnsi="Times New Roman"/>
          <w:color w:val="000000" w:themeColor="text1"/>
          <w:sz w:val="28"/>
          <w:szCs w:val="28"/>
        </w:rPr>
        <w:t xml:space="preserve">Вивчено рівень експресії мікроРНК-15а та вільної РНК в сечі при діагностиці та скринінгу післяопераційного періоду НКР. </w:t>
      </w:r>
    </w:p>
    <w:p w:rsidR="00AC6827" w:rsidRPr="00F13F65" w:rsidRDefault="00AC6827" w:rsidP="00AC6827">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Д</w:t>
      </w:r>
      <w:r w:rsidRPr="00F13F65">
        <w:rPr>
          <w:rFonts w:ascii="Times New Roman" w:hAnsi="Times New Roman"/>
          <w:color w:val="000000"/>
          <w:sz w:val="28"/>
          <w:szCs w:val="28"/>
        </w:rPr>
        <w:t xml:space="preserve">оведено </w:t>
      </w:r>
      <w:r w:rsidRPr="00F13F65">
        <w:rPr>
          <w:rFonts w:ascii="Times New Roman" w:hAnsi="Times New Roman"/>
          <w:iCs/>
          <w:color w:val="000000"/>
          <w:sz w:val="28"/>
          <w:szCs w:val="28"/>
        </w:rPr>
        <w:t>достатню інформативність</w:t>
      </w:r>
      <w:r w:rsidRPr="00F13F65">
        <w:rPr>
          <w:rFonts w:ascii="Times New Roman" w:hAnsi="Times New Roman"/>
          <w:color w:val="000000"/>
          <w:sz w:val="28"/>
          <w:szCs w:val="28"/>
        </w:rPr>
        <w:t xml:space="preserve"> променевих </w:t>
      </w:r>
      <w:r w:rsidRPr="00F13F65">
        <w:rPr>
          <w:rFonts w:ascii="Times New Roman" w:hAnsi="Times New Roman"/>
          <w:iCs/>
          <w:color w:val="000000"/>
          <w:sz w:val="28"/>
          <w:szCs w:val="28"/>
        </w:rPr>
        <w:t xml:space="preserve">методів діагностики </w:t>
      </w:r>
      <w:r w:rsidRPr="00A17880">
        <w:rPr>
          <w:rFonts w:ascii="Times New Roman" w:hAnsi="Times New Roman"/>
          <w:color w:val="000000" w:themeColor="text1"/>
          <w:sz w:val="28"/>
          <w:szCs w:val="28"/>
        </w:rPr>
        <w:t>(УЗД)</w:t>
      </w:r>
      <w:r w:rsidRPr="00F13F65">
        <w:rPr>
          <w:rFonts w:ascii="Times New Roman" w:hAnsi="Times New Roman"/>
          <w:color w:val="000000"/>
          <w:sz w:val="28"/>
          <w:szCs w:val="28"/>
        </w:rPr>
        <w:t xml:space="preserve"> для </w:t>
      </w:r>
      <w:r w:rsidRPr="00F13F65">
        <w:rPr>
          <w:rFonts w:ascii="Times New Roman" w:hAnsi="Times New Roman"/>
          <w:iCs/>
          <w:color w:val="000000"/>
          <w:sz w:val="28"/>
          <w:szCs w:val="28"/>
        </w:rPr>
        <w:t>прогнозування</w:t>
      </w:r>
      <w:r w:rsidRPr="00F13F65">
        <w:rPr>
          <w:rFonts w:ascii="Times New Roman" w:hAnsi="Times New Roman"/>
          <w:color w:val="000000"/>
          <w:sz w:val="28"/>
          <w:szCs w:val="28"/>
        </w:rPr>
        <w:t xml:space="preserve"> ефективності селективної емболізації ниркових артерій </w:t>
      </w:r>
      <w:r w:rsidRPr="00F13F65">
        <w:rPr>
          <w:rFonts w:ascii="Times New Roman" w:hAnsi="Times New Roman"/>
          <w:iCs/>
          <w:color w:val="000000"/>
          <w:sz w:val="28"/>
          <w:szCs w:val="28"/>
        </w:rPr>
        <w:t>при</w:t>
      </w:r>
      <w:r w:rsidRPr="00F13F65">
        <w:rPr>
          <w:rFonts w:ascii="Times New Roman" w:hAnsi="Times New Roman"/>
          <w:color w:val="000000"/>
          <w:sz w:val="28"/>
          <w:szCs w:val="28"/>
        </w:rPr>
        <w:t xml:space="preserve"> значних розмірах НКР чи/і висок</w:t>
      </w:r>
      <w:r w:rsidRPr="00F13F65">
        <w:rPr>
          <w:rFonts w:ascii="Times New Roman" w:hAnsi="Times New Roman"/>
          <w:iCs/>
          <w:color w:val="000000"/>
          <w:sz w:val="28"/>
          <w:szCs w:val="28"/>
        </w:rPr>
        <w:t>ій</w:t>
      </w:r>
      <w:r w:rsidRPr="00F13F65">
        <w:rPr>
          <w:rFonts w:ascii="Times New Roman" w:hAnsi="Times New Roman"/>
          <w:color w:val="000000"/>
          <w:sz w:val="28"/>
          <w:szCs w:val="28"/>
        </w:rPr>
        <w:t xml:space="preserve"> васкуляризації. </w:t>
      </w:r>
    </w:p>
    <w:p w:rsidR="00563CA0" w:rsidRPr="002F71CB" w:rsidRDefault="00563CA0" w:rsidP="00563CA0">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Доповнено наукові дані щодо ефективності</w:t>
      </w:r>
      <w:r w:rsidRPr="00F13F65">
        <w:rPr>
          <w:rFonts w:ascii="Times New Roman" w:hAnsi="Times New Roman"/>
          <w:color w:val="000000"/>
          <w:sz w:val="28"/>
          <w:szCs w:val="28"/>
        </w:rPr>
        <w:t xml:space="preserve"> променевих маркерів, </w:t>
      </w:r>
      <w:r w:rsidRPr="00F13F65">
        <w:rPr>
          <w:rFonts w:ascii="Times New Roman" w:hAnsi="Times New Roman"/>
          <w:iCs/>
          <w:color w:val="000000"/>
          <w:sz w:val="28"/>
          <w:szCs w:val="28"/>
        </w:rPr>
        <w:t>зокрема</w:t>
      </w:r>
      <w:r w:rsidRPr="00F13F65">
        <w:rPr>
          <w:rFonts w:ascii="Times New Roman" w:hAnsi="Times New Roman"/>
          <w:color w:val="000000"/>
          <w:sz w:val="28"/>
          <w:szCs w:val="28"/>
        </w:rPr>
        <w:t xml:space="preserve"> МРТ, в діагностиці локального рецидиву НКР, </w:t>
      </w:r>
      <w:r w:rsidRPr="00F13F65">
        <w:rPr>
          <w:rFonts w:ascii="Times New Roman" w:hAnsi="Times New Roman"/>
          <w:iCs/>
          <w:color w:val="000000"/>
          <w:sz w:val="28"/>
          <w:szCs w:val="28"/>
        </w:rPr>
        <w:t>із зменшенням</w:t>
      </w:r>
      <w:r w:rsidRPr="00F13F65">
        <w:rPr>
          <w:rFonts w:ascii="Times New Roman" w:hAnsi="Times New Roman"/>
          <w:color w:val="000000"/>
          <w:sz w:val="28"/>
          <w:szCs w:val="28"/>
        </w:rPr>
        <w:t xml:space="preserve"> променевого навантаження на хворого.</w:t>
      </w:r>
    </w:p>
    <w:p w:rsidR="00AC6827" w:rsidRPr="00F13F65" w:rsidRDefault="00596859" w:rsidP="00AC6827">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А</w:t>
      </w:r>
      <w:r w:rsidR="00AC6827" w:rsidRPr="00F13F65">
        <w:rPr>
          <w:rFonts w:ascii="Times New Roman" w:hAnsi="Times New Roman"/>
          <w:color w:val="000000"/>
          <w:sz w:val="28"/>
          <w:szCs w:val="28"/>
        </w:rPr>
        <w:t xml:space="preserve">наліз виживаності </w:t>
      </w:r>
      <w:r w:rsidR="00AC6827" w:rsidRPr="00A17880">
        <w:rPr>
          <w:rFonts w:ascii="Times New Roman" w:hAnsi="Times New Roman"/>
          <w:color w:val="000000" w:themeColor="text1"/>
          <w:sz w:val="28"/>
          <w:szCs w:val="28"/>
        </w:rPr>
        <w:t xml:space="preserve">хворих на НКР продемонстрував </w:t>
      </w:r>
      <w:r w:rsidR="00AC6827" w:rsidRPr="00A17880">
        <w:rPr>
          <w:rFonts w:ascii="Times New Roman" w:hAnsi="Times New Roman"/>
          <w:iCs/>
          <w:color w:val="000000" w:themeColor="text1"/>
          <w:sz w:val="28"/>
          <w:szCs w:val="28"/>
        </w:rPr>
        <w:t>її залежність від</w:t>
      </w:r>
      <w:r w:rsidR="00AC6827" w:rsidRPr="00A17880">
        <w:rPr>
          <w:rFonts w:ascii="Times New Roman" w:hAnsi="Times New Roman"/>
          <w:color w:val="000000" w:themeColor="text1"/>
          <w:sz w:val="28"/>
          <w:szCs w:val="28"/>
        </w:rPr>
        <w:t xml:space="preserve"> показників ДЗЗ та ВКД, що</w:t>
      </w:r>
      <w:r w:rsidR="00AC6827" w:rsidRPr="00F13F65">
        <w:rPr>
          <w:rFonts w:ascii="Times New Roman" w:hAnsi="Times New Roman"/>
          <w:color w:val="000000"/>
          <w:sz w:val="28"/>
          <w:szCs w:val="28"/>
        </w:rPr>
        <w:t xml:space="preserve"> дозволяє </w:t>
      </w:r>
      <w:r w:rsidR="00AC6827" w:rsidRPr="00F13F65">
        <w:rPr>
          <w:rFonts w:ascii="Times New Roman" w:hAnsi="Times New Roman"/>
          <w:iCs/>
          <w:color w:val="000000"/>
          <w:sz w:val="28"/>
          <w:szCs w:val="28"/>
        </w:rPr>
        <w:t>оцінювати</w:t>
      </w:r>
      <w:r w:rsidR="00AC6827" w:rsidRPr="00F13F65">
        <w:rPr>
          <w:rFonts w:ascii="Times New Roman" w:hAnsi="Times New Roman"/>
          <w:color w:val="000000"/>
          <w:sz w:val="28"/>
          <w:szCs w:val="28"/>
        </w:rPr>
        <w:t xml:space="preserve"> ступінь ранн</w:t>
      </w:r>
      <w:r w:rsidR="00AC6827">
        <w:rPr>
          <w:rFonts w:ascii="Times New Roman" w:hAnsi="Times New Roman"/>
          <w:color w:val="000000"/>
          <w:sz w:val="28"/>
          <w:szCs w:val="28"/>
        </w:rPr>
        <w:t>ьої</w:t>
      </w:r>
      <w:r w:rsidR="00AC6827" w:rsidRPr="00F13F65">
        <w:rPr>
          <w:rFonts w:ascii="Times New Roman" w:hAnsi="Times New Roman"/>
          <w:color w:val="000000"/>
          <w:sz w:val="28"/>
          <w:szCs w:val="28"/>
        </w:rPr>
        <w:t xml:space="preserve"> </w:t>
      </w:r>
      <w:r w:rsidR="00AC6827">
        <w:rPr>
          <w:rFonts w:ascii="Times New Roman" w:hAnsi="Times New Roman"/>
          <w:color w:val="000000"/>
          <w:sz w:val="28"/>
          <w:szCs w:val="28"/>
        </w:rPr>
        <w:t>тканинної відповіді на</w:t>
      </w:r>
      <w:r w:rsidR="00AC6827" w:rsidRPr="00F13F65">
        <w:rPr>
          <w:rFonts w:ascii="Times New Roman" w:hAnsi="Times New Roman"/>
          <w:color w:val="000000"/>
          <w:sz w:val="28"/>
          <w:szCs w:val="28"/>
        </w:rPr>
        <w:t xml:space="preserve"> медикаменто</w:t>
      </w:r>
      <w:r w:rsidR="00AC6827">
        <w:rPr>
          <w:rFonts w:ascii="Times New Roman" w:hAnsi="Times New Roman"/>
          <w:color w:val="000000"/>
          <w:sz w:val="28"/>
          <w:szCs w:val="28"/>
        </w:rPr>
        <w:t>зне</w:t>
      </w:r>
      <w:r w:rsidR="00AC6827" w:rsidRPr="00F13F65">
        <w:rPr>
          <w:rFonts w:ascii="Times New Roman" w:hAnsi="Times New Roman"/>
          <w:color w:val="000000"/>
          <w:sz w:val="28"/>
          <w:szCs w:val="28"/>
        </w:rPr>
        <w:t xml:space="preserve"> лікування НКР та передбач</w:t>
      </w:r>
      <w:r w:rsidR="00AC6827" w:rsidRPr="00F13F65">
        <w:rPr>
          <w:rFonts w:ascii="Times New Roman" w:hAnsi="Times New Roman"/>
          <w:iCs/>
          <w:color w:val="000000"/>
          <w:sz w:val="28"/>
          <w:szCs w:val="28"/>
        </w:rPr>
        <w:t>ати</w:t>
      </w:r>
      <w:r w:rsidR="00AC6827" w:rsidRPr="00F13F65">
        <w:rPr>
          <w:rFonts w:ascii="Times New Roman" w:hAnsi="Times New Roman"/>
          <w:color w:val="000000"/>
          <w:sz w:val="28"/>
          <w:szCs w:val="28"/>
        </w:rPr>
        <w:t xml:space="preserve"> його онкологічні результати.</w:t>
      </w:r>
    </w:p>
    <w:p w:rsidR="00AC6827" w:rsidRPr="00F13F65" w:rsidRDefault="001E0747" w:rsidP="00AC6827">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lastRenderedPageBreak/>
        <w:t>Вперше д</w:t>
      </w:r>
      <w:r w:rsidR="00AC6827" w:rsidRPr="00F13F65">
        <w:rPr>
          <w:rFonts w:ascii="Times New Roman" w:hAnsi="Times New Roman"/>
          <w:color w:val="000000"/>
          <w:sz w:val="28"/>
          <w:szCs w:val="28"/>
        </w:rPr>
        <w:t>оведен</w:t>
      </w:r>
      <w:r w:rsidR="00AC6827" w:rsidRPr="00F13F65">
        <w:rPr>
          <w:rFonts w:ascii="Times New Roman" w:hAnsi="Times New Roman"/>
          <w:iCs/>
          <w:color w:val="000000"/>
          <w:sz w:val="28"/>
          <w:szCs w:val="28"/>
        </w:rPr>
        <w:t>о</w:t>
      </w:r>
      <w:r w:rsidR="00AC6827" w:rsidRPr="00F13F65">
        <w:rPr>
          <w:rFonts w:ascii="Times New Roman" w:hAnsi="Times New Roman"/>
          <w:color w:val="000000"/>
          <w:sz w:val="28"/>
          <w:szCs w:val="28"/>
        </w:rPr>
        <w:t xml:space="preserve"> прогностичну роль експресії мікроРНК-15а тканин НКР </w:t>
      </w:r>
      <w:r w:rsidR="00AC6827" w:rsidRPr="00F13F65">
        <w:rPr>
          <w:rFonts w:ascii="Times New Roman" w:hAnsi="Times New Roman"/>
          <w:iCs/>
          <w:color w:val="000000"/>
          <w:sz w:val="28"/>
          <w:szCs w:val="28"/>
        </w:rPr>
        <w:t>у визначенні наслідків лікування</w:t>
      </w:r>
      <w:r w:rsidR="00AC6827" w:rsidRPr="00F13F65">
        <w:rPr>
          <w:rFonts w:ascii="Times New Roman" w:hAnsi="Times New Roman"/>
          <w:color w:val="000000"/>
          <w:sz w:val="28"/>
          <w:szCs w:val="28"/>
        </w:rPr>
        <w:t>.</w:t>
      </w:r>
    </w:p>
    <w:p w:rsidR="006A74D3" w:rsidRPr="006A74D3" w:rsidRDefault="00AC6827" w:rsidP="00AC6827">
      <w:pPr>
        <w:spacing w:line="360" w:lineRule="auto"/>
        <w:ind w:firstLine="708"/>
        <w:jc w:val="both"/>
        <w:rPr>
          <w:rFonts w:ascii="Times New Roman" w:hAnsi="Times New Roman"/>
          <w:color w:val="000000"/>
          <w:sz w:val="28"/>
          <w:szCs w:val="28"/>
        </w:rPr>
      </w:pPr>
      <w:r>
        <w:rPr>
          <w:rFonts w:ascii="Times New Roman" w:hAnsi="Times New Roman"/>
          <w:sz w:val="28"/>
          <w:szCs w:val="28"/>
        </w:rPr>
        <w:t xml:space="preserve">Шляхом радіогенетичного аналізу </w:t>
      </w:r>
      <w:r w:rsidR="001E0747">
        <w:rPr>
          <w:rFonts w:ascii="Times New Roman" w:hAnsi="Times New Roman"/>
          <w:sz w:val="28"/>
          <w:szCs w:val="28"/>
        </w:rPr>
        <w:t xml:space="preserve">вперше </w:t>
      </w:r>
      <w:r>
        <w:rPr>
          <w:rFonts w:ascii="Times New Roman" w:hAnsi="Times New Roman"/>
          <w:sz w:val="28"/>
          <w:szCs w:val="28"/>
        </w:rPr>
        <w:t xml:space="preserve">виокремлено </w:t>
      </w:r>
      <w:r w:rsidRPr="00360F22">
        <w:rPr>
          <w:rFonts w:ascii="Times New Roman" w:hAnsi="Times New Roman"/>
          <w:sz w:val="28"/>
          <w:szCs w:val="28"/>
        </w:rPr>
        <w:t>радіо-генетичн</w:t>
      </w:r>
      <w:r>
        <w:rPr>
          <w:rFonts w:ascii="Times New Roman" w:hAnsi="Times New Roman"/>
          <w:sz w:val="28"/>
          <w:szCs w:val="28"/>
        </w:rPr>
        <w:t xml:space="preserve">і </w:t>
      </w:r>
      <w:r w:rsidRPr="00360F22">
        <w:rPr>
          <w:rFonts w:ascii="Times New Roman" w:hAnsi="Times New Roman"/>
          <w:sz w:val="28"/>
          <w:szCs w:val="28"/>
        </w:rPr>
        <w:t>фенотип</w:t>
      </w:r>
      <w:r>
        <w:rPr>
          <w:rFonts w:ascii="Times New Roman" w:hAnsi="Times New Roman"/>
          <w:sz w:val="28"/>
          <w:szCs w:val="28"/>
        </w:rPr>
        <w:t>и</w:t>
      </w:r>
      <w:r w:rsidRPr="00360F22">
        <w:rPr>
          <w:rFonts w:ascii="Times New Roman" w:hAnsi="Times New Roman"/>
          <w:sz w:val="28"/>
          <w:szCs w:val="28"/>
        </w:rPr>
        <w:t xml:space="preserve"> </w:t>
      </w:r>
      <w:r>
        <w:rPr>
          <w:rFonts w:ascii="Times New Roman" w:hAnsi="Times New Roman"/>
          <w:sz w:val="28"/>
          <w:szCs w:val="28"/>
        </w:rPr>
        <w:t xml:space="preserve">НКР </w:t>
      </w:r>
      <w:r w:rsidRPr="00F13F65">
        <w:rPr>
          <w:rFonts w:ascii="Times New Roman" w:hAnsi="Times New Roman"/>
          <w:iCs/>
          <w:color w:val="000000"/>
          <w:sz w:val="28"/>
          <w:szCs w:val="28"/>
        </w:rPr>
        <w:t>та</w:t>
      </w:r>
      <w:r w:rsidRPr="00AD0A26">
        <w:rPr>
          <w:rFonts w:ascii="Times New Roman" w:hAnsi="Times New Roman"/>
          <w:color w:val="92D050"/>
          <w:sz w:val="28"/>
          <w:szCs w:val="28"/>
        </w:rPr>
        <w:t xml:space="preserve"> </w:t>
      </w:r>
      <w:r w:rsidRPr="00360F22">
        <w:rPr>
          <w:rFonts w:ascii="Times New Roman" w:hAnsi="Times New Roman"/>
          <w:sz w:val="28"/>
          <w:szCs w:val="28"/>
        </w:rPr>
        <w:t>доведен</w:t>
      </w:r>
      <w:r>
        <w:rPr>
          <w:rFonts w:ascii="Times New Roman" w:hAnsi="Times New Roman"/>
          <w:sz w:val="28"/>
          <w:szCs w:val="28"/>
        </w:rPr>
        <w:t xml:space="preserve">ий </w:t>
      </w:r>
      <w:r w:rsidRPr="00360F22">
        <w:rPr>
          <w:rFonts w:ascii="Times New Roman" w:hAnsi="Times New Roman"/>
          <w:sz w:val="28"/>
          <w:szCs w:val="28"/>
        </w:rPr>
        <w:t>зв'яз</w:t>
      </w:r>
      <w:r>
        <w:rPr>
          <w:rFonts w:ascii="Times New Roman" w:hAnsi="Times New Roman"/>
          <w:sz w:val="28"/>
          <w:szCs w:val="28"/>
        </w:rPr>
        <w:t>ок</w:t>
      </w:r>
      <w:r w:rsidRPr="00360F22">
        <w:rPr>
          <w:rFonts w:ascii="Times New Roman" w:hAnsi="Times New Roman"/>
          <w:sz w:val="28"/>
          <w:szCs w:val="28"/>
        </w:rPr>
        <w:t xml:space="preserve"> між ними та експресією мікроРНК-15а.</w:t>
      </w:r>
    </w:p>
    <w:p w:rsidR="006A74D3" w:rsidRDefault="00563CA0" w:rsidP="006A74D3">
      <w:pPr>
        <w:spacing w:line="360" w:lineRule="auto"/>
        <w:ind w:firstLine="708"/>
        <w:jc w:val="both"/>
        <w:rPr>
          <w:rFonts w:ascii="Times New Roman" w:hAnsi="Times New Roman"/>
          <w:b/>
          <w:sz w:val="28"/>
          <w:szCs w:val="28"/>
        </w:rPr>
      </w:pPr>
      <w:r>
        <w:rPr>
          <w:rFonts w:ascii="Times New Roman" w:hAnsi="Times New Roman"/>
          <w:b/>
          <w:sz w:val="28"/>
          <w:szCs w:val="28"/>
        </w:rPr>
        <w:t>Практичне</w:t>
      </w:r>
      <w:r w:rsidR="006A74D3">
        <w:rPr>
          <w:rFonts w:ascii="Times New Roman" w:hAnsi="Times New Roman"/>
          <w:b/>
          <w:sz w:val="28"/>
          <w:szCs w:val="28"/>
        </w:rPr>
        <w:t xml:space="preserve"> </w:t>
      </w:r>
      <w:r>
        <w:rPr>
          <w:rFonts w:ascii="Times New Roman" w:hAnsi="Times New Roman"/>
          <w:b/>
          <w:sz w:val="28"/>
          <w:szCs w:val="28"/>
        </w:rPr>
        <w:t>значення</w:t>
      </w:r>
      <w:r w:rsidR="006A74D3">
        <w:rPr>
          <w:rFonts w:ascii="Times New Roman" w:hAnsi="Times New Roman"/>
          <w:b/>
          <w:sz w:val="28"/>
          <w:szCs w:val="28"/>
        </w:rPr>
        <w:t xml:space="preserve"> отриманих результатів.</w:t>
      </w:r>
    </w:p>
    <w:p w:rsidR="00AC6827" w:rsidRPr="00F13F65" w:rsidRDefault="000116A0" w:rsidP="00AC6827">
      <w:pPr>
        <w:spacing w:line="360" w:lineRule="auto"/>
        <w:ind w:firstLine="708"/>
        <w:jc w:val="both"/>
        <w:rPr>
          <w:rFonts w:ascii="Times New Roman" w:hAnsi="Times New Roman"/>
          <w:color w:val="000000"/>
          <w:sz w:val="28"/>
          <w:szCs w:val="28"/>
        </w:rPr>
      </w:pPr>
      <w:r>
        <w:rPr>
          <w:rFonts w:ascii="Times New Roman" w:hAnsi="Times New Roman"/>
          <w:iCs/>
          <w:color w:val="000000"/>
          <w:sz w:val="28"/>
          <w:szCs w:val="28"/>
        </w:rPr>
        <w:t>У</w:t>
      </w:r>
      <w:r w:rsidR="00AC6827" w:rsidRPr="00F13F65">
        <w:rPr>
          <w:rFonts w:ascii="Times New Roman" w:hAnsi="Times New Roman"/>
          <w:iCs/>
          <w:color w:val="000000"/>
          <w:sz w:val="28"/>
          <w:szCs w:val="28"/>
        </w:rPr>
        <w:t xml:space="preserve"> роботі </w:t>
      </w:r>
      <w:r w:rsidR="00AC6827" w:rsidRPr="00A17880">
        <w:rPr>
          <w:rFonts w:ascii="Times New Roman" w:hAnsi="Times New Roman"/>
          <w:color w:val="000000" w:themeColor="text1"/>
          <w:sz w:val="28"/>
          <w:szCs w:val="28"/>
        </w:rPr>
        <w:t>вдосконалено методи</w:t>
      </w:r>
      <w:r w:rsidR="00AC6827" w:rsidRPr="00F13F65">
        <w:rPr>
          <w:rFonts w:ascii="Times New Roman" w:hAnsi="Times New Roman"/>
          <w:color w:val="000000"/>
          <w:sz w:val="28"/>
          <w:szCs w:val="28"/>
        </w:rPr>
        <w:t xml:space="preserve"> діагностики, передбачення ефективності лікування та прогнозування виживання хворих із НКР. Розроблено концептуальні підходи до практичного використання променевих </w:t>
      </w:r>
      <w:r w:rsidR="00AC6827" w:rsidRPr="00F13F65">
        <w:rPr>
          <w:rFonts w:ascii="Times New Roman" w:hAnsi="Times New Roman"/>
          <w:iCs/>
          <w:color w:val="000000"/>
          <w:sz w:val="28"/>
          <w:szCs w:val="28"/>
        </w:rPr>
        <w:t>методик</w:t>
      </w:r>
      <w:r w:rsidR="00AC6827" w:rsidRPr="00F13F65">
        <w:rPr>
          <w:rFonts w:ascii="Times New Roman" w:hAnsi="Times New Roman"/>
          <w:color w:val="000000"/>
          <w:sz w:val="28"/>
          <w:szCs w:val="28"/>
        </w:rPr>
        <w:t xml:space="preserve"> і молекулярних біомаркерів.</w:t>
      </w:r>
    </w:p>
    <w:p w:rsidR="00563CA0" w:rsidRPr="004F7F5D" w:rsidRDefault="00563CA0" w:rsidP="00563CA0">
      <w:pPr>
        <w:spacing w:line="360" w:lineRule="auto"/>
        <w:ind w:firstLine="708"/>
        <w:jc w:val="both"/>
        <w:rPr>
          <w:rFonts w:ascii="Times New Roman" w:hAnsi="Times New Roman"/>
          <w:b/>
          <w:sz w:val="28"/>
          <w:szCs w:val="28"/>
        </w:rPr>
      </w:pPr>
      <w:r>
        <w:rPr>
          <w:rFonts w:ascii="Times New Roman" w:hAnsi="Times New Roman"/>
          <w:iCs/>
          <w:color w:val="000000"/>
          <w:sz w:val="28"/>
          <w:szCs w:val="28"/>
        </w:rPr>
        <w:t xml:space="preserve">Запропоновано </w:t>
      </w:r>
      <w:r>
        <w:rPr>
          <w:rFonts w:ascii="Times New Roman" w:hAnsi="Times New Roman"/>
          <w:color w:val="000000"/>
          <w:sz w:val="28"/>
          <w:szCs w:val="28"/>
        </w:rPr>
        <w:t xml:space="preserve">застосування нових променевих показників на основі МРТ,  </w:t>
      </w:r>
      <w:r>
        <w:rPr>
          <w:rFonts w:ascii="Times New Roman" w:hAnsi="Times New Roman"/>
          <w:iCs/>
          <w:color w:val="000000"/>
          <w:sz w:val="28"/>
          <w:szCs w:val="28"/>
        </w:rPr>
        <w:t xml:space="preserve">які </w:t>
      </w:r>
      <w:r>
        <w:rPr>
          <w:rFonts w:ascii="Times New Roman" w:hAnsi="Times New Roman"/>
          <w:color w:val="000000"/>
          <w:sz w:val="28"/>
          <w:szCs w:val="28"/>
        </w:rPr>
        <w:t>дозволя</w:t>
      </w:r>
      <w:r>
        <w:rPr>
          <w:rFonts w:ascii="Times New Roman" w:hAnsi="Times New Roman"/>
          <w:iCs/>
          <w:color w:val="000000"/>
          <w:sz w:val="28"/>
          <w:szCs w:val="28"/>
        </w:rPr>
        <w:t>ють</w:t>
      </w:r>
      <w:r>
        <w:rPr>
          <w:rFonts w:ascii="Times New Roman" w:hAnsi="Times New Roman"/>
          <w:color w:val="000000"/>
          <w:sz w:val="28"/>
          <w:szCs w:val="28"/>
        </w:rPr>
        <w:t xml:space="preserve"> проводити диференціацію НКР із доброякісними пухлинами нирок, визначати гістологічний підтип пухлини та ступінь її за </w:t>
      </w:r>
      <w:r>
        <w:rPr>
          <w:rFonts w:ascii="Times New Roman" w:hAnsi="Times New Roman"/>
          <w:color w:val="000000"/>
          <w:sz w:val="28"/>
          <w:szCs w:val="28"/>
          <w:lang w:val="en-US"/>
        </w:rPr>
        <w:t>Fuhrman</w:t>
      </w:r>
      <w:r>
        <w:rPr>
          <w:rFonts w:ascii="Times New Roman" w:hAnsi="Times New Roman"/>
          <w:color w:val="000000"/>
          <w:sz w:val="28"/>
          <w:szCs w:val="28"/>
        </w:rPr>
        <w:t xml:space="preserve">, що </w:t>
      </w:r>
      <w:r>
        <w:rPr>
          <w:rFonts w:ascii="Times New Roman" w:hAnsi="Times New Roman"/>
          <w:iCs/>
          <w:color w:val="000000"/>
          <w:sz w:val="28"/>
          <w:szCs w:val="28"/>
        </w:rPr>
        <w:t>відповідає представленому</w:t>
      </w:r>
      <w:r w:rsidRPr="00981C43">
        <w:rPr>
          <w:rFonts w:ascii="Times New Roman" w:hAnsi="Times New Roman" w:cs="Times New Roman"/>
          <w:iCs/>
          <w:color w:val="000000"/>
          <w:sz w:val="28"/>
          <w:szCs w:val="28"/>
        </w:rPr>
        <w:t xml:space="preserve"> терміну</w:t>
      </w:r>
      <w:r w:rsidRPr="00981C43">
        <w:rPr>
          <w:rFonts w:ascii="Times New Roman" w:hAnsi="Times New Roman" w:cs="Times New Roman"/>
          <w:color w:val="000000"/>
          <w:sz w:val="28"/>
          <w:szCs w:val="28"/>
        </w:rPr>
        <w:t xml:space="preserve"> «променева біопсія» (патент на корисну модель </w:t>
      </w:r>
      <w:r w:rsidRPr="00981C43">
        <w:rPr>
          <w:rFonts w:ascii="Times New Roman" w:hAnsi="Times New Roman" w:cs="Times New Roman"/>
          <w:sz w:val="28"/>
          <w:szCs w:val="28"/>
        </w:rPr>
        <w:t>№106661, 25.04.2016 р.)</w:t>
      </w:r>
      <w:r w:rsidRPr="00981C43">
        <w:rPr>
          <w:rFonts w:ascii="Times New Roman" w:hAnsi="Times New Roman" w:cs="Times New Roman"/>
          <w:color w:val="000000"/>
          <w:sz w:val="28"/>
          <w:szCs w:val="28"/>
        </w:rPr>
        <w:t xml:space="preserve">. </w:t>
      </w:r>
    </w:p>
    <w:p w:rsidR="00AC6827" w:rsidRPr="00ED171E" w:rsidRDefault="00AC6827" w:rsidP="00AC6827">
      <w:pPr>
        <w:spacing w:line="360" w:lineRule="auto"/>
        <w:ind w:firstLine="708"/>
        <w:jc w:val="both"/>
        <w:rPr>
          <w:rFonts w:ascii="Times New Roman" w:hAnsi="Times New Roman"/>
          <w:color w:val="000000"/>
          <w:sz w:val="28"/>
          <w:szCs w:val="28"/>
        </w:rPr>
      </w:pPr>
      <w:r w:rsidRPr="00ED171E">
        <w:rPr>
          <w:rFonts w:ascii="Times New Roman" w:hAnsi="Times New Roman"/>
          <w:color w:val="000000"/>
          <w:sz w:val="28"/>
          <w:szCs w:val="28"/>
        </w:rPr>
        <w:t xml:space="preserve">На основі отриманих даних </w:t>
      </w:r>
      <w:r w:rsidRPr="00ED171E">
        <w:rPr>
          <w:rFonts w:ascii="Times New Roman" w:hAnsi="Times New Roman"/>
          <w:iCs/>
          <w:color w:val="000000"/>
          <w:sz w:val="28"/>
          <w:szCs w:val="28"/>
        </w:rPr>
        <w:t>обґрунтовано і впроваджено</w:t>
      </w:r>
      <w:r w:rsidRPr="00ED171E">
        <w:rPr>
          <w:rFonts w:ascii="Times New Roman" w:hAnsi="Times New Roman"/>
          <w:color w:val="000000"/>
          <w:sz w:val="28"/>
          <w:szCs w:val="28"/>
        </w:rPr>
        <w:t xml:space="preserve"> алгоритм діагностики НКР.</w:t>
      </w:r>
    </w:p>
    <w:p w:rsidR="00563CA0" w:rsidRDefault="00563CA0" w:rsidP="00563CA0">
      <w:pPr>
        <w:spacing w:line="360" w:lineRule="auto"/>
        <w:ind w:firstLine="708"/>
        <w:jc w:val="both"/>
        <w:rPr>
          <w:rFonts w:ascii="Times New Roman" w:hAnsi="Times New Roman"/>
          <w:color w:val="000000"/>
          <w:sz w:val="28"/>
          <w:szCs w:val="28"/>
        </w:rPr>
      </w:pPr>
      <w:r>
        <w:rPr>
          <w:rFonts w:ascii="Times New Roman" w:hAnsi="Times New Roman"/>
          <w:iCs/>
          <w:color w:val="000000"/>
          <w:sz w:val="28"/>
          <w:szCs w:val="28"/>
        </w:rPr>
        <w:t>Показано доцільність визначення</w:t>
      </w:r>
      <w:r>
        <w:rPr>
          <w:rFonts w:ascii="Times New Roman" w:hAnsi="Times New Roman"/>
          <w:color w:val="000000"/>
          <w:sz w:val="28"/>
          <w:szCs w:val="28"/>
        </w:rPr>
        <w:t xml:space="preserve"> експресії мікроРНК-15а та рівнів вільної РНК у якості молекулярних біомаркерів НКР, їх місц</w:t>
      </w:r>
      <w:r>
        <w:rPr>
          <w:rFonts w:ascii="Times New Roman" w:hAnsi="Times New Roman"/>
          <w:iCs/>
          <w:color w:val="000000"/>
          <w:sz w:val="28"/>
          <w:szCs w:val="28"/>
        </w:rPr>
        <w:t>е</w:t>
      </w:r>
      <w:r>
        <w:rPr>
          <w:rFonts w:ascii="Times New Roman" w:hAnsi="Times New Roman"/>
          <w:color w:val="000000"/>
          <w:sz w:val="28"/>
          <w:szCs w:val="28"/>
        </w:rPr>
        <w:t xml:space="preserve"> у розробленому діагностичному алгоритмі </w:t>
      </w:r>
      <w:r w:rsidRPr="00981C43">
        <w:rPr>
          <w:rFonts w:ascii="Times New Roman" w:hAnsi="Times New Roman" w:cs="Times New Roman"/>
          <w:color w:val="000000"/>
          <w:sz w:val="28"/>
          <w:szCs w:val="28"/>
        </w:rPr>
        <w:t xml:space="preserve">(патент на корисну модель </w:t>
      </w:r>
      <w:r w:rsidRPr="00981C43">
        <w:rPr>
          <w:rFonts w:ascii="Times New Roman" w:hAnsi="Times New Roman" w:cs="Times New Roman"/>
          <w:sz w:val="28"/>
          <w:szCs w:val="28"/>
        </w:rPr>
        <w:t>№</w:t>
      </w:r>
      <w:r w:rsidRPr="00981C43">
        <w:rPr>
          <w:rFonts w:ascii="Times New Roman" w:hAnsi="Times New Roman" w:cs="Times New Roman"/>
          <w:sz w:val="28"/>
          <w:szCs w:val="28"/>
          <w:lang w:eastAsia="uk-UA"/>
        </w:rPr>
        <w:t>120859</w:t>
      </w:r>
      <w:r w:rsidRPr="00981C43">
        <w:rPr>
          <w:rFonts w:ascii="Times New Roman" w:hAnsi="Times New Roman" w:cs="Times New Roman"/>
          <w:sz w:val="28"/>
          <w:szCs w:val="28"/>
        </w:rPr>
        <w:t>, 27.11.2017 р.)</w:t>
      </w:r>
      <w:r>
        <w:rPr>
          <w:rFonts w:ascii="Times New Roman" w:hAnsi="Times New Roman" w:cs="Times New Roman"/>
          <w:sz w:val="28"/>
          <w:szCs w:val="28"/>
        </w:rPr>
        <w:t xml:space="preserve"> та при прогнозуванні раково-специфічного виживання </w:t>
      </w:r>
      <w:r>
        <w:rPr>
          <w:rFonts w:ascii="Times New Roman" w:hAnsi="Times New Roman" w:cs="Times New Roman"/>
          <w:color w:val="000000"/>
          <w:sz w:val="28"/>
          <w:szCs w:val="28"/>
        </w:rPr>
        <w:t>(патент на корисну модель</w:t>
      </w:r>
      <w:r w:rsidRPr="00B53306">
        <w:rPr>
          <w:rFonts w:ascii="Times New Roman" w:hAnsi="Times New Roman" w:cs="Times New Roman"/>
          <w:sz w:val="28"/>
          <w:szCs w:val="28"/>
        </w:rPr>
        <w:t>, №120883, 27.11.2017 р.</w:t>
      </w:r>
      <w:r>
        <w:rPr>
          <w:rFonts w:ascii="Times New Roman" w:hAnsi="Times New Roman" w:cs="Times New Roman"/>
          <w:sz w:val="28"/>
          <w:szCs w:val="28"/>
        </w:rPr>
        <w:t>).</w:t>
      </w:r>
    </w:p>
    <w:p w:rsidR="00AC6827" w:rsidRPr="00B84389" w:rsidRDefault="00AC6827" w:rsidP="00563CA0">
      <w:pPr>
        <w:spacing w:line="360" w:lineRule="auto"/>
        <w:ind w:firstLine="708"/>
        <w:jc w:val="both"/>
        <w:rPr>
          <w:rFonts w:ascii="Times New Roman" w:hAnsi="Times New Roman"/>
          <w:color w:val="FF0000"/>
          <w:sz w:val="28"/>
          <w:szCs w:val="28"/>
        </w:rPr>
      </w:pPr>
      <w:r w:rsidRPr="00360F22">
        <w:rPr>
          <w:rFonts w:ascii="Times New Roman" w:hAnsi="Times New Roman"/>
          <w:sz w:val="28"/>
          <w:szCs w:val="28"/>
        </w:rPr>
        <w:t xml:space="preserve">Запропоновано методику </w:t>
      </w:r>
      <w:r w:rsidRPr="00ED171E">
        <w:rPr>
          <w:rFonts w:ascii="Times New Roman" w:hAnsi="Times New Roman"/>
          <w:iCs/>
          <w:color w:val="000000"/>
          <w:sz w:val="28"/>
          <w:szCs w:val="28"/>
        </w:rPr>
        <w:t>прогнозування</w:t>
      </w:r>
      <w:r>
        <w:rPr>
          <w:rFonts w:ascii="Times New Roman" w:hAnsi="Times New Roman"/>
          <w:sz w:val="28"/>
          <w:szCs w:val="28"/>
        </w:rPr>
        <w:t xml:space="preserve"> </w:t>
      </w:r>
      <w:r w:rsidRPr="00360F22">
        <w:rPr>
          <w:rFonts w:ascii="Times New Roman" w:hAnsi="Times New Roman"/>
          <w:sz w:val="28"/>
          <w:szCs w:val="28"/>
        </w:rPr>
        <w:t>ефективності селективної емболізації</w:t>
      </w:r>
      <w:r w:rsidR="00563CA0">
        <w:rPr>
          <w:rFonts w:ascii="Times New Roman" w:hAnsi="Times New Roman"/>
          <w:sz w:val="28"/>
          <w:szCs w:val="28"/>
        </w:rPr>
        <w:t xml:space="preserve"> ниркових артерій хворих із НКР </w:t>
      </w:r>
      <w:r w:rsidR="00563CA0" w:rsidRPr="00981C43">
        <w:rPr>
          <w:rFonts w:ascii="Times New Roman" w:hAnsi="Times New Roman" w:cs="Times New Roman"/>
          <w:color w:val="000000"/>
          <w:sz w:val="28"/>
          <w:szCs w:val="28"/>
        </w:rPr>
        <w:t xml:space="preserve">(патент на корисну модель </w:t>
      </w:r>
      <w:r w:rsidR="00563CA0" w:rsidRPr="00981C43">
        <w:rPr>
          <w:rFonts w:ascii="Times New Roman" w:hAnsi="Times New Roman" w:cs="Times New Roman"/>
          <w:sz w:val="28"/>
          <w:szCs w:val="28"/>
        </w:rPr>
        <w:t>№ 120856, 27.11.2017 р.).</w:t>
      </w:r>
    </w:p>
    <w:p w:rsidR="00AC6827" w:rsidRPr="00ED171E" w:rsidRDefault="00AC6827" w:rsidP="00AC6827">
      <w:pPr>
        <w:spacing w:line="360" w:lineRule="auto"/>
        <w:ind w:firstLine="708"/>
        <w:jc w:val="both"/>
        <w:rPr>
          <w:rFonts w:ascii="Times New Roman" w:hAnsi="Times New Roman"/>
          <w:color w:val="000000"/>
          <w:sz w:val="28"/>
          <w:szCs w:val="28"/>
        </w:rPr>
      </w:pPr>
      <w:r w:rsidRPr="00ED171E">
        <w:rPr>
          <w:rFonts w:ascii="Times New Roman" w:hAnsi="Times New Roman"/>
          <w:color w:val="000000"/>
          <w:sz w:val="28"/>
          <w:szCs w:val="28"/>
        </w:rPr>
        <w:t>Розроблено діагностичні критерії локального рецидиву НКР</w:t>
      </w:r>
      <w:r>
        <w:rPr>
          <w:rFonts w:ascii="Times New Roman" w:hAnsi="Times New Roman"/>
          <w:color w:val="000000"/>
          <w:sz w:val="28"/>
          <w:szCs w:val="28"/>
        </w:rPr>
        <w:t xml:space="preserve"> на основі променевих маркерів.</w:t>
      </w:r>
    </w:p>
    <w:p w:rsidR="00AC6827" w:rsidRPr="00ED171E" w:rsidRDefault="00AC6827" w:rsidP="00AC6827">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lastRenderedPageBreak/>
        <w:t>У</w:t>
      </w:r>
      <w:r w:rsidRPr="00ED171E">
        <w:rPr>
          <w:rFonts w:ascii="Times New Roman" w:hAnsi="Times New Roman"/>
          <w:color w:val="000000"/>
          <w:sz w:val="28"/>
          <w:szCs w:val="28"/>
        </w:rPr>
        <w:t>досконалено критерії оцінки ранньої тканинної відповіді при медикаментозній терапії розповсюдженого НКР.</w:t>
      </w:r>
    </w:p>
    <w:p w:rsidR="00AC6827" w:rsidRDefault="00AC6827" w:rsidP="00AC6827">
      <w:pPr>
        <w:spacing w:line="360" w:lineRule="auto"/>
        <w:ind w:firstLine="708"/>
        <w:jc w:val="both"/>
        <w:rPr>
          <w:rFonts w:ascii="Times New Roman" w:hAnsi="Times New Roman"/>
          <w:color w:val="000000"/>
          <w:sz w:val="28"/>
          <w:szCs w:val="28"/>
        </w:rPr>
      </w:pPr>
      <w:r w:rsidRPr="008254CE">
        <w:rPr>
          <w:rFonts w:ascii="Times New Roman" w:hAnsi="Times New Roman"/>
          <w:color w:val="000000"/>
          <w:sz w:val="28"/>
          <w:szCs w:val="28"/>
        </w:rPr>
        <w:t>Запропонована поліноміальна модель регресії на основі променевих характеристик пухлини</w:t>
      </w:r>
      <w:r>
        <w:rPr>
          <w:rFonts w:ascii="Times New Roman" w:hAnsi="Times New Roman"/>
          <w:color w:val="FF0000"/>
          <w:sz w:val="28"/>
          <w:szCs w:val="28"/>
        </w:rPr>
        <w:t xml:space="preserve"> </w:t>
      </w:r>
      <w:r w:rsidRPr="008254CE">
        <w:rPr>
          <w:rFonts w:ascii="Times New Roman" w:hAnsi="Times New Roman"/>
          <w:color w:val="000000"/>
          <w:sz w:val="28"/>
          <w:szCs w:val="28"/>
        </w:rPr>
        <w:t xml:space="preserve">дозволяє прогнозувати виживаність хворих </w:t>
      </w:r>
      <w:r w:rsidRPr="00A17880">
        <w:rPr>
          <w:rFonts w:ascii="Times New Roman" w:hAnsi="Times New Roman"/>
          <w:color w:val="000000" w:themeColor="text1"/>
          <w:sz w:val="28"/>
          <w:szCs w:val="28"/>
        </w:rPr>
        <w:t>на</w:t>
      </w:r>
      <w:r>
        <w:rPr>
          <w:rFonts w:ascii="Times New Roman" w:hAnsi="Times New Roman"/>
          <w:color w:val="000000"/>
          <w:sz w:val="28"/>
          <w:szCs w:val="28"/>
        </w:rPr>
        <w:t xml:space="preserve"> </w:t>
      </w:r>
      <w:r w:rsidRPr="008254CE">
        <w:rPr>
          <w:rFonts w:ascii="Times New Roman" w:hAnsi="Times New Roman"/>
          <w:color w:val="000000"/>
          <w:sz w:val="28"/>
          <w:szCs w:val="28"/>
        </w:rPr>
        <w:t>НКР без застосування молекулярних методів діагностики.</w:t>
      </w:r>
    </w:p>
    <w:p w:rsidR="003412CC" w:rsidRDefault="00D37CB3" w:rsidP="003412CC">
      <w:pPr>
        <w:spacing w:line="360" w:lineRule="auto"/>
        <w:ind w:firstLine="720"/>
        <w:jc w:val="both"/>
        <w:rPr>
          <w:rFonts w:ascii="Times New Roman" w:hAnsi="Times New Roman" w:cs="Times New Roman"/>
          <w:sz w:val="28"/>
          <w:szCs w:val="28"/>
        </w:rPr>
      </w:pPr>
      <w:r w:rsidRPr="007042EF">
        <w:rPr>
          <w:rFonts w:ascii="Times New Roman" w:hAnsi="Times New Roman" w:cs="Times New Roman"/>
          <w:sz w:val="28"/>
          <w:szCs w:val="28"/>
        </w:rPr>
        <w:t>Результати дослідженн</w:t>
      </w:r>
      <w:r>
        <w:rPr>
          <w:rFonts w:ascii="Times New Roman" w:hAnsi="Times New Roman" w:cs="Times New Roman"/>
          <w:sz w:val="28"/>
          <w:szCs w:val="28"/>
        </w:rPr>
        <w:t xml:space="preserve">я впроваджені в практику роботи урологічного відділення </w:t>
      </w:r>
      <w:r w:rsidR="003412CC">
        <w:rPr>
          <w:rFonts w:ascii="Times New Roman" w:hAnsi="Times New Roman" w:cs="Times New Roman"/>
          <w:sz w:val="28"/>
          <w:szCs w:val="28"/>
        </w:rPr>
        <w:t>О</w:t>
      </w:r>
      <w:r>
        <w:rPr>
          <w:rFonts w:ascii="Times New Roman" w:hAnsi="Times New Roman" w:cs="Times New Roman"/>
          <w:sz w:val="28"/>
          <w:szCs w:val="28"/>
        </w:rPr>
        <w:t>бласної клінічної лікарні,  м. Львів (акт</w:t>
      </w:r>
      <w:r w:rsidR="00F9037F">
        <w:rPr>
          <w:rFonts w:ascii="Times New Roman" w:hAnsi="Times New Roman" w:cs="Times New Roman"/>
          <w:sz w:val="28"/>
          <w:szCs w:val="28"/>
        </w:rPr>
        <w:t>и</w:t>
      </w:r>
      <w:r>
        <w:rPr>
          <w:rFonts w:ascii="Times New Roman" w:hAnsi="Times New Roman" w:cs="Times New Roman"/>
          <w:sz w:val="28"/>
          <w:szCs w:val="28"/>
        </w:rPr>
        <w:t xml:space="preserve"> впровадження від </w:t>
      </w:r>
      <w:r w:rsidR="00F9037F">
        <w:rPr>
          <w:rFonts w:ascii="Times New Roman" w:hAnsi="Times New Roman" w:cs="Times New Roman"/>
          <w:sz w:val="28"/>
          <w:szCs w:val="28"/>
        </w:rPr>
        <w:t>09.03.2018 р., 13.03.2018 р., 14.03.2018 р., 16.03.2018 р.</w:t>
      </w:r>
      <w:r>
        <w:rPr>
          <w:rFonts w:ascii="Times New Roman" w:hAnsi="Times New Roman" w:cs="Times New Roman"/>
          <w:sz w:val="28"/>
          <w:szCs w:val="28"/>
        </w:rPr>
        <w:t>), урологічного відділення Комунальної міської клінічної лікарні швидкої медичної допомоги,  м. Львів  (акт</w:t>
      </w:r>
      <w:r w:rsidR="00F9037F">
        <w:rPr>
          <w:rFonts w:ascii="Times New Roman" w:hAnsi="Times New Roman" w:cs="Times New Roman"/>
          <w:sz w:val="28"/>
          <w:szCs w:val="28"/>
        </w:rPr>
        <w:t>и</w:t>
      </w:r>
      <w:r>
        <w:rPr>
          <w:rFonts w:ascii="Times New Roman" w:hAnsi="Times New Roman" w:cs="Times New Roman"/>
          <w:sz w:val="28"/>
          <w:szCs w:val="28"/>
        </w:rPr>
        <w:t xml:space="preserve"> впровадження від </w:t>
      </w:r>
      <w:r w:rsidR="00F9037F">
        <w:rPr>
          <w:rFonts w:ascii="Times New Roman" w:hAnsi="Times New Roman" w:cs="Times New Roman"/>
          <w:sz w:val="28"/>
          <w:szCs w:val="28"/>
        </w:rPr>
        <w:t>09.03.2018 р., 12.03.2018 р., 13.03.2018 р., 16.03.2018 р.</w:t>
      </w:r>
      <w:r>
        <w:rPr>
          <w:rFonts w:ascii="Times New Roman" w:hAnsi="Times New Roman" w:cs="Times New Roman"/>
          <w:sz w:val="28"/>
          <w:szCs w:val="28"/>
        </w:rPr>
        <w:t xml:space="preserve">), </w:t>
      </w:r>
      <w:r w:rsidR="003412CC">
        <w:rPr>
          <w:rFonts w:ascii="Times New Roman" w:hAnsi="Times New Roman" w:cs="Times New Roman"/>
          <w:sz w:val="28"/>
          <w:szCs w:val="28"/>
        </w:rPr>
        <w:t xml:space="preserve">відділення радіології </w:t>
      </w:r>
      <w:r>
        <w:rPr>
          <w:rFonts w:ascii="Times New Roman" w:hAnsi="Times New Roman" w:cs="Times New Roman"/>
          <w:sz w:val="28"/>
          <w:szCs w:val="28"/>
        </w:rPr>
        <w:t xml:space="preserve">медичного центру «Євроклінік», м. Львів  (акт впровадження від </w:t>
      </w:r>
      <w:r w:rsidR="00F9037F">
        <w:rPr>
          <w:rFonts w:ascii="Times New Roman" w:hAnsi="Times New Roman" w:cs="Times New Roman"/>
          <w:sz w:val="28"/>
          <w:szCs w:val="28"/>
        </w:rPr>
        <w:t>12.03.2018 р.</w:t>
      </w:r>
      <w:r w:rsidR="003412CC">
        <w:rPr>
          <w:rFonts w:ascii="Times New Roman" w:hAnsi="Times New Roman" w:cs="Times New Roman"/>
          <w:sz w:val="28"/>
          <w:szCs w:val="28"/>
        </w:rPr>
        <w:t>), урологічного відділення О</w:t>
      </w:r>
      <w:r w:rsidR="003412CC" w:rsidRPr="003412CC">
        <w:rPr>
          <w:rFonts w:ascii="Times New Roman" w:hAnsi="Times New Roman" w:cs="Times New Roman"/>
          <w:sz w:val="28"/>
          <w:szCs w:val="28"/>
        </w:rPr>
        <w:t>бласної клінічної лікарні м. Івано-Франківськ</w:t>
      </w:r>
      <w:r w:rsidR="003412CC">
        <w:rPr>
          <w:rFonts w:ascii="Times New Roman" w:hAnsi="Times New Roman" w:cs="Times New Roman"/>
          <w:sz w:val="28"/>
          <w:szCs w:val="28"/>
        </w:rPr>
        <w:t xml:space="preserve"> (акт</w:t>
      </w:r>
      <w:r w:rsidR="00F9037F">
        <w:rPr>
          <w:rFonts w:ascii="Times New Roman" w:hAnsi="Times New Roman" w:cs="Times New Roman"/>
          <w:sz w:val="28"/>
          <w:szCs w:val="28"/>
        </w:rPr>
        <w:t>и</w:t>
      </w:r>
      <w:r w:rsidR="003412CC">
        <w:rPr>
          <w:rFonts w:ascii="Times New Roman" w:hAnsi="Times New Roman" w:cs="Times New Roman"/>
          <w:sz w:val="28"/>
          <w:szCs w:val="28"/>
        </w:rPr>
        <w:t xml:space="preserve"> впровадження від </w:t>
      </w:r>
      <w:r w:rsidR="00F9037F">
        <w:rPr>
          <w:rFonts w:ascii="Times New Roman" w:hAnsi="Times New Roman" w:cs="Times New Roman"/>
          <w:sz w:val="28"/>
          <w:szCs w:val="28"/>
        </w:rPr>
        <w:t>05.03.2018 р., 06.03.2018 р., 13.03.2018 р., 15.03.2018 р.</w:t>
      </w:r>
      <w:r w:rsidR="003412CC">
        <w:rPr>
          <w:rFonts w:ascii="Times New Roman" w:hAnsi="Times New Roman" w:cs="Times New Roman"/>
          <w:sz w:val="28"/>
          <w:szCs w:val="28"/>
        </w:rPr>
        <w:t>), урологічного</w:t>
      </w:r>
      <w:r w:rsidR="003412CC" w:rsidRPr="003412CC">
        <w:rPr>
          <w:rFonts w:ascii="Times New Roman" w:hAnsi="Times New Roman" w:cs="Times New Roman"/>
          <w:sz w:val="28"/>
          <w:szCs w:val="28"/>
        </w:rPr>
        <w:t xml:space="preserve"> відділення Центральної міської клінічної лікарні</w:t>
      </w:r>
      <w:r w:rsidR="003412CC">
        <w:rPr>
          <w:rFonts w:ascii="Times New Roman" w:hAnsi="Times New Roman" w:cs="Times New Roman"/>
          <w:sz w:val="28"/>
          <w:szCs w:val="28"/>
        </w:rPr>
        <w:t>,</w:t>
      </w:r>
      <w:r w:rsidR="003412CC" w:rsidRPr="003412CC">
        <w:rPr>
          <w:rFonts w:ascii="Times New Roman" w:hAnsi="Times New Roman" w:cs="Times New Roman"/>
          <w:sz w:val="28"/>
          <w:szCs w:val="28"/>
        </w:rPr>
        <w:t xml:space="preserve"> м. Івано-Франківськ</w:t>
      </w:r>
      <w:r w:rsidR="00F9037F">
        <w:rPr>
          <w:rFonts w:ascii="Times New Roman" w:hAnsi="Times New Roman" w:cs="Times New Roman"/>
          <w:sz w:val="28"/>
          <w:szCs w:val="28"/>
        </w:rPr>
        <w:t xml:space="preserve"> (акти впровадження від 06.03.2018 р., 07.03.2018 р., 14.03.2018 р., 16.03.2018 р.)</w:t>
      </w:r>
      <w:r w:rsidR="001E2BFB">
        <w:rPr>
          <w:rFonts w:ascii="Times New Roman" w:hAnsi="Times New Roman" w:cs="Times New Roman"/>
          <w:sz w:val="28"/>
          <w:szCs w:val="28"/>
        </w:rPr>
        <w:t>, кафедр</w:t>
      </w:r>
      <w:r w:rsidR="003412CC">
        <w:rPr>
          <w:rFonts w:ascii="Times New Roman" w:hAnsi="Times New Roman" w:cs="Times New Roman"/>
          <w:sz w:val="28"/>
          <w:szCs w:val="28"/>
        </w:rPr>
        <w:t xml:space="preserve"> урології</w:t>
      </w:r>
      <w:r w:rsidR="001E2BFB">
        <w:rPr>
          <w:rFonts w:ascii="Times New Roman" w:hAnsi="Times New Roman" w:cs="Times New Roman"/>
          <w:sz w:val="28"/>
          <w:szCs w:val="28"/>
        </w:rPr>
        <w:t>,</w:t>
      </w:r>
      <w:r w:rsidR="003412CC">
        <w:rPr>
          <w:rFonts w:ascii="Times New Roman" w:hAnsi="Times New Roman" w:cs="Times New Roman"/>
          <w:sz w:val="28"/>
          <w:szCs w:val="28"/>
        </w:rPr>
        <w:t xml:space="preserve"> радіології </w:t>
      </w:r>
      <w:r w:rsidR="001E2BFB">
        <w:rPr>
          <w:rFonts w:ascii="Times New Roman" w:hAnsi="Times New Roman" w:cs="Times New Roman"/>
          <w:sz w:val="28"/>
          <w:szCs w:val="28"/>
        </w:rPr>
        <w:t>та</w:t>
      </w:r>
      <w:r w:rsidR="003412CC">
        <w:rPr>
          <w:rFonts w:ascii="Times New Roman" w:hAnsi="Times New Roman" w:cs="Times New Roman"/>
          <w:sz w:val="28"/>
          <w:szCs w:val="28"/>
        </w:rPr>
        <w:t xml:space="preserve"> радіаційної медицини Львівського національного медичного університету ім. Данила Галицького (акти впровадження від </w:t>
      </w:r>
      <w:r w:rsidR="00F9037F">
        <w:rPr>
          <w:rFonts w:ascii="Times New Roman" w:hAnsi="Times New Roman" w:cs="Times New Roman"/>
          <w:sz w:val="28"/>
          <w:szCs w:val="28"/>
        </w:rPr>
        <w:t>12.03.2018 р., 13.03.2018 р.</w:t>
      </w:r>
      <w:r w:rsidR="003412CC">
        <w:rPr>
          <w:rFonts w:ascii="Times New Roman" w:hAnsi="Times New Roman" w:cs="Times New Roman"/>
          <w:sz w:val="28"/>
          <w:szCs w:val="28"/>
        </w:rPr>
        <w:t xml:space="preserve">), </w:t>
      </w:r>
      <w:r w:rsidR="001E2BFB">
        <w:rPr>
          <w:rFonts w:ascii="Times New Roman" w:hAnsi="Times New Roman" w:cs="Times New Roman"/>
          <w:sz w:val="28"/>
          <w:szCs w:val="28"/>
        </w:rPr>
        <w:t>кафедр</w:t>
      </w:r>
      <w:r w:rsidR="003412CC">
        <w:rPr>
          <w:rFonts w:ascii="Times New Roman" w:hAnsi="Times New Roman" w:cs="Times New Roman"/>
          <w:sz w:val="28"/>
          <w:szCs w:val="28"/>
        </w:rPr>
        <w:t xml:space="preserve"> урології</w:t>
      </w:r>
      <w:r w:rsidR="001E2BFB">
        <w:rPr>
          <w:rFonts w:ascii="Times New Roman" w:hAnsi="Times New Roman" w:cs="Times New Roman"/>
          <w:sz w:val="28"/>
          <w:szCs w:val="28"/>
        </w:rPr>
        <w:t xml:space="preserve">, </w:t>
      </w:r>
      <w:r w:rsidR="003412CC">
        <w:rPr>
          <w:rFonts w:ascii="Times New Roman" w:hAnsi="Times New Roman" w:cs="Times New Roman"/>
          <w:sz w:val="28"/>
          <w:szCs w:val="28"/>
        </w:rPr>
        <w:t xml:space="preserve">радіології </w:t>
      </w:r>
      <w:r w:rsidR="001E2BFB">
        <w:rPr>
          <w:rFonts w:ascii="Times New Roman" w:hAnsi="Times New Roman" w:cs="Times New Roman"/>
          <w:sz w:val="28"/>
          <w:szCs w:val="28"/>
        </w:rPr>
        <w:t>та</w:t>
      </w:r>
      <w:r w:rsidR="003412CC">
        <w:rPr>
          <w:rFonts w:ascii="Times New Roman" w:hAnsi="Times New Roman" w:cs="Times New Roman"/>
          <w:sz w:val="28"/>
          <w:szCs w:val="28"/>
        </w:rPr>
        <w:t xml:space="preserve"> радіаційної медицини Івано-Франківського національного медичного університету (акти впровадження від </w:t>
      </w:r>
      <w:r w:rsidR="00F9037F">
        <w:rPr>
          <w:rFonts w:ascii="Times New Roman" w:hAnsi="Times New Roman" w:cs="Times New Roman"/>
          <w:sz w:val="28"/>
          <w:szCs w:val="28"/>
        </w:rPr>
        <w:t>15.03.2018 р., 16.03.2018 р.</w:t>
      </w:r>
      <w:r w:rsidR="003412CC">
        <w:rPr>
          <w:rFonts w:ascii="Times New Roman" w:hAnsi="Times New Roman" w:cs="Times New Roman"/>
          <w:sz w:val="28"/>
          <w:szCs w:val="28"/>
        </w:rPr>
        <w:t>).</w:t>
      </w:r>
    </w:p>
    <w:p w:rsidR="00D37CB3" w:rsidRDefault="00D37CB3" w:rsidP="00D37CB3">
      <w:pPr>
        <w:spacing w:line="360" w:lineRule="auto"/>
        <w:ind w:firstLine="720"/>
        <w:jc w:val="both"/>
        <w:rPr>
          <w:rFonts w:ascii="Times New Roman" w:hAnsi="Times New Roman" w:cs="Times New Roman"/>
          <w:sz w:val="28"/>
          <w:szCs w:val="28"/>
        </w:rPr>
      </w:pPr>
      <w:r w:rsidRPr="00785F76">
        <w:rPr>
          <w:rFonts w:ascii="Times New Roman" w:hAnsi="Times New Roman" w:cs="Times New Roman"/>
          <w:sz w:val="28"/>
          <w:szCs w:val="28"/>
        </w:rPr>
        <w:t>Отримані наукові дані використовуються в навчальному процесі кафедри</w:t>
      </w:r>
      <w:r>
        <w:rPr>
          <w:rFonts w:ascii="Times New Roman" w:hAnsi="Times New Roman" w:cs="Times New Roman"/>
          <w:sz w:val="28"/>
          <w:szCs w:val="28"/>
        </w:rPr>
        <w:t xml:space="preserve"> урології факультету післядипломної освіти та кафедри радіології та радіаційної терапії Львівського національного медичного університету ім. Данила Галицького. </w:t>
      </w:r>
    </w:p>
    <w:p w:rsidR="00D37CB3" w:rsidRPr="008E781D" w:rsidRDefault="00D37CB3" w:rsidP="00D37CB3">
      <w:pPr>
        <w:spacing w:line="360" w:lineRule="auto"/>
        <w:ind w:firstLine="720"/>
        <w:jc w:val="both"/>
        <w:rPr>
          <w:b/>
          <w:bCs/>
          <w:sz w:val="28"/>
          <w:szCs w:val="28"/>
        </w:rPr>
      </w:pPr>
      <w:r>
        <w:rPr>
          <w:rFonts w:ascii="Times New Roman" w:hAnsi="Times New Roman" w:cs="Times New Roman"/>
          <w:sz w:val="28"/>
          <w:szCs w:val="28"/>
        </w:rPr>
        <w:t xml:space="preserve">За результатами дослідження розроблено та оформлено 4 патенти на корисні моделі: </w:t>
      </w:r>
      <w:r>
        <w:rPr>
          <w:rFonts w:ascii="Times New Roman" w:hAnsi="Times New Roman" w:cs="Times New Roman"/>
          <w:bCs/>
          <w:sz w:val="28"/>
          <w:szCs w:val="28"/>
        </w:rPr>
        <w:t>с</w:t>
      </w:r>
      <w:r w:rsidRPr="008E781D">
        <w:rPr>
          <w:rFonts w:ascii="Times New Roman" w:hAnsi="Times New Roman" w:cs="Times New Roman"/>
          <w:bCs/>
          <w:sz w:val="28"/>
          <w:szCs w:val="28"/>
        </w:rPr>
        <w:t>посіб диференційної діагностики нирково-клітинного раку за допомогою променевих біомаркерів (</w:t>
      </w:r>
      <w:r w:rsidRPr="008E781D">
        <w:rPr>
          <w:rFonts w:ascii="Times New Roman" w:hAnsi="Times New Roman" w:cs="Times New Roman"/>
          <w:sz w:val="28"/>
          <w:szCs w:val="28"/>
        </w:rPr>
        <w:t xml:space="preserve">№106661, 25.04.2016 р.); </w:t>
      </w:r>
      <w:r>
        <w:rPr>
          <w:rFonts w:ascii="Times New Roman" w:hAnsi="Times New Roman" w:cs="Times New Roman"/>
          <w:bCs/>
          <w:sz w:val="28"/>
          <w:szCs w:val="28"/>
        </w:rPr>
        <w:t>с</w:t>
      </w:r>
      <w:r w:rsidRPr="008E781D">
        <w:rPr>
          <w:rFonts w:ascii="Times New Roman" w:hAnsi="Times New Roman" w:cs="Times New Roman"/>
          <w:bCs/>
          <w:sz w:val="28"/>
          <w:szCs w:val="28"/>
        </w:rPr>
        <w:t xml:space="preserve">посіб </w:t>
      </w:r>
      <w:r w:rsidRPr="008E781D">
        <w:rPr>
          <w:rFonts w:ascii="Times New Roman" w:hAnsi="Times New Roman" w:cs="Times New Roman"/>
          <w:bCs/>
          <w:sz w:val="28"/>
          <w:szCs w:val="28"/>
        </w:rPr>
        <w:lastRenderedPageBreak/>
        <w:t>прогнозування інтраопераційної крововтрати при радикальній нефректомії у хворих з нирково-клітинним раком після емболізації ниркових артерій за допомогою променевих біомаркерів (</w:t>
      </w:r>
      <w:r w:rsidRPr="008E781D">
        <w:rPr>
          <w:rFonts w:ascii="Times New Roman" w:hAnsi="Times New Roman" w:cs="Times New Roman"/>
          <w:sz w:val="28"/>
          <w:szCs w:val="28"/>
        </w:rPr>
        <w:t>№</w:t>
      </w:r>
      <w:r w:rsidRPr="008E781D">
        <w:rPr>
          <w:rFonts w:ascii="Times New Roman" w:hAnsi="Times New Roman" w:cs="Times New Roman"/>
        </w:rPr>
        <w:t xml:space="preserve"> </w:t>
      </w:r>
      <w:r w:rsidRPr="008E781D">
        <w:rPr>
          <w:rFonts w:ascii="Times New Roman" w:hAnsi="Times New Roman" w:cs="Times New Roman"/>
          <w:sz w:val="28"/>
          <w:szCs w:val="28"/>
        </w:rPr>
        <w:t xml:space="preserve">120856, 27.11.2017 р.); </w:t>
      </w:r>
      <w:r>
        <w:rPr>
          <w:rFonts w:ascii="Times New Roman" w:hAnsi="Times New Roman" w:cs="Times New Roman"/>
          <w:bCs/>
          <w:sz w:val="28"/>
          <w:szCs w:val="28"/>
        </w:rPr>
        <w:t>с</w:t>
      </w:r>
      <w:r w:rsidRPr="008E781D">
        <w:rPr>
          <w:rFonts w:ascii="Times New Roman" w:hAnsi="Times New Roman" w:cs="Times New Roman"/>
          <w:bCs/>
          <w:sz w:val="28"/>
          <w:szCs w:val="28"/>
        </w:rPr>
        <w:t>посіб діагностики нирково-клітинного раку за допомогою молекулярного біомаркера мікроРНК-15a в сечі (</w:t>
      </w:r>
      <w:r w:rsidRPr="008E781D">
        <w:rPr>
          <w:rFonts w:ascii="Times New Roman" w:hAnsi="Times New Roman" w:cs="Times New Roman"/>
          <w:sz w:val="28"/>
          <w:szCs w:val="28"/>
        </w:rPr>
        <w:t>№</w:t>
      </w:r>
      <w:r w:rsidRPr="008E781D">
        <w:rPr>
          <w:rFonts w:ascii="Times New Roman" w:hAnsi="Times New Roman" w:cs="Times New Roman"/>
          <w:sz w:val="28"/>
          <w:szCs w:val="28"/>
          <w:lang w:eastAsia="uk-UA"/>
        </w:rPr>
        <w:t>120859</w:t>
      </w:r>
      <w:r w:rsidRPr="008E781D">
        <w:rPr>
          <w:rFonts w:ascii="Times New Roman" w:hAnsi="Times New Roman" w:cs="Times New Roman"/>
          <w:sz w:val="28"/>
          <w:szCs w:val="28"/>
        </w:rPr>
        <w:t xml:space="preserve">, 27.11.2017 р.); </w:t>
      </w:r>
      <w:r>
        <w:rPr>
          <w:rFonts w:ascii="Times New Roman" w:hAnsi="Times New Roman" w:cs="Times New Roman"/>
          <w:bCs/>
          <w:sz w:val="28"/>
          <w:szCs w:val="28"/>
        </w:rPr>
        <w:t>с</w:t>
      </w:r>
      <w:r w:rsidRPr="008E781D">
        <w:rPr>
          <w:rFonts w:ascii="Times New Roman" w:hAnsi="Times New Roman" w:cs="Times New Roman"/>
          <w:bCs/>
          <w:sz w:val="28"/>
          <w:szCs w:val="28"/>
        </w:rPr>
        <w:t>посіб прогнозування канцер-специфічного виживання після проведення нефректомії у хворих із нирково-клітинним раком за допомогою молекулярного біомаркера мікроРНК-15а в тканинах пухлини (</w:t>
      </w:r>
      <w:r w:rsidRPr="008E781D">
        <w:rPr>
          <w:rFonts w:ascii="Times New Roman" w:hAnsi="Times New Roman" w:cs="Times New Roman"/>
          <w:sz w:val="28"/>
          <w:szCs w:val="28"/>
        </w:rPr>
        <w:t>№120883, 27.11.2017 р.).</w:t>
      </w:r>
    </w:p>
    <w:p w:rsidR="00D37CB3" w:rsidRPr="007042EF" w:rsidRDefault="00D37CB3" w:rsidP="00D37CB3">
      <w:pPr>
        <w:adjustRightInd w:val="0"/>
        <w:snapToGrid w:val="0"/>
        <w:spacing w:line="360" w:lineRule="auto"/>
        <w:ind w:firstLine="709"/>
        <w:jc w:val="both"/>
        <w:rPr>
          <w:rFonts w:ascii="Times New Roman" w:hAnsi="Times New Roman" w:cs="Times New Roman"/>
          <w:sz w:val="28"/>
          <w:szCs w:val="28"/>
        </w:rPr>
      </w:pPr>
      <w:r w:rsidRPr="00785F76">
        <w:rPr>
          <w:rFonts w:ascii="Times New Roman" w:hAnsi="Times New Roman" w:cs="Times New Roman"/>
          <w:b/>
          <w:sz w:val="28"/>
          <w:szCs w:val="28"/>
        </w:rPr>
        <w:t xml:space="preserve">Особистий внесок здобувача. </w:t>
      </w:r>
      <w:r w:rsidRPr="00785F76">
        <w:rPr>
          <w:rFonts w:ascii="Times New Roman" w:hAnsi="Times New Roman" w:cs="Times New Roman"/>
          <w:sz w:val="28"/>
          <w:szCs w:val="28"/>
        </w:rPr>
        <w:t xml:space="preserve">Автором самостійно </w:t>
      </w:r>
      <w:r>
        <w:rPr>
          <w:rFonts w:ascii="Times New Roman" w:hAnsi="Times New Roman" w:cs="Times New Roman"/>
          <w:sz w:val="28"/>
          <w:szCs w:val="28"/>
        </w:rPr>
        <w:t xml:space="preserve">проведено пошук та </w:t>
      </w:r>
      <w:r w:rsidRPr="00785F76">
        <w:rPr>
          <w:rFonts w:ascii="Times New Roman" w:hAnsi="Times New Roman" w:cs="Times New Roman"/>
          <w:sz w:val="28"/>
          <w:szCs w:val="28"/>
        </w:rPr>
        <w:t xml:space="preserve">вивчено </w:t>
      </w:r>
      <w:r>
        <w:rPr>
          <w:rFonts w:ascii="Times New Roman" w:hAnsi="Times New Roman" w:cs="Times New Roman"/>
          <w:sz w:val="28"/>
          <w:szCs w:val="28"/>
        </w:rPr>
        <w:t>літературні</w:t>
      </w:r>
      <w:r w:rsidRPr="00785F76">
        <w:rPr>
          <w:rFonts w:ascii="Times New Roman" w:hAnsi="Times New Roman" w:cs="Times New Roman"/>
          <w:sz w:val="28"/>
          <w:szCs w:val="28"/>
        </w:rPr>
        <w:t xml:space="preserve"> </w:t>
      </w:r>
      <w:r>
        <w:rPr>
          <w:rFonts w:ascii="Times New Roman" w:hAnsi="Times New Roman" w:cs="Times New Roman"/>
          <w:sz w:val="28"/>
          <w:szCs w:val="28"/>
        </w:rPr>
        <w:t>джерела</w:t>
      </w:r>
      <w:r w:rsidRPr="00785F76">
        <w:rPr>
          <w:rFonts w:ascii="Times New Roman" w:hAnsi="Times New Roman" w:cs="Times New Roman"/>
          <w:sz w:val="28"/>
          <w:szCs w:val="28"/>
        </w:rPr>
        <w:t xml:space="preserve"> з досліджуваної те</w:t>
      </w:r>
      <w:r w:rsidR="003E60C9">
        <w:rPr>
          <w:rFonts w:ascii="Times New Roman" w:hAnsi="Times New Roman" w:cs="Times New Roman"/>
          <w:sz w:val="28"/>
          <w:szCs w:val="28"/>
        </w:rPr>
        <w:t xml:space="preserve">ми, </w:t>
      </w:r>
      <w:r w:rsidRPr="00785F76">
        <w:rPr>
          <w:rFonts w:ascii="Times New Roman" w:hAnsi="Times New Roman" w:cs="Times New Roman"/>
          <w:sz w:val="28"/>
          <w:szCs w:val="28"/>
        </w:rPr>
        <w:t>визначено напрям</w:t>
      </w:r>
      <w:r>
        <w:rPr>
          <w:rFonts w:ascii="Times New Roman" w:hAnsi="Times New Roman" w:cs="Times New Roman"/>
          <w:sz w:val="28"/>
          <w:szCs w:val="28"/>
        </w:rPr>
        <w:t>к</w:t>
      </w:r>
      <w:r w:rsidRPr="00785F76">
        <w:rPr>
          <w:rFonts w:ascii="Times New Roman" w:hAnsi="Times New Roman" w:cs="Times New Roman"/>
          <w:sz w:val="28"/>
          <w:szCs w:val="28"/>
        </w:rPr>
        <w:t xml:space="preserve">и досліджень, сформульовано мету і завдання, </w:t>
      </w:r>
      <w:r>
        <w:rPr>
          <w:rFonts w:ascii="Times New Roman" w:hAnsi="Times New Roman" w:cs="Times New Roman"/>
          <w:sz w:val="28"/>
          <w:szCs w:val="28"/>
        </w:rPr>
        <w:t>проведено</w:t>
      </w:r>
      <w:r w:rsidR="003E60C9">
        <w:rPr>
          <w:rFonts w:ascii="Times New Roman" w:hAnsi="Times New Roman" w:cs="Times New Roman"/>
          <w:sz w:val="28"/>
          <w:szCs w:val="28"/>
        </w:rPr>
        <w:t xml:space="preserve"> формування груп хворих та виконано клінічне дослідження</w:t>
      </w:r>
      <w:r>
        <w:rPr>
          <w:rFonts w:ascii="Times New Roman" w:hAnsi="Times New Roman" w:cs="Times New Roman"/>
          <w:sz w:val="28"/>
          <w:szCs w:val="28"/>
        </w:rPr>
        <w:t>. С</w:t>
      </w:r>
      <w:r w:rsidRPr="00785F76">
        <w:rPr>
          <w:rFonts w:ascii="Times New Roman" w:hAnsi="Times New Roman" w:cs="Times New Roman"/>
          <w:sz w:val="28"/>
          <w:szCs w:val="28"/>
        </w:rPr>
        <w:t xml:space="preserve">амостійно </w:t>
      </w:r>
      <w:r>
        <w:rPr>
          <w:rFonts w:ascii="Times New Roman" w:hAnsi="Times New Roman" w:cs="Times New Roman"/>
          <w:sz w:val="28"/>
          <w:szCs w:val="28"/>
        </w:rPr>
        <w:t>д</w:t>
      </w:r>
      <w:r w:rsidRPr="00785F76">
        <w:rPr>
          <w:rFonts w:ascii="Times New Roman" w:hAnsi="Times New Roman" w:cs="Times New Roman"/>
          <w:sz w:val="28"/>
          <w:szCs w:val="28"/>
        </w:rPr>
        <w:t xml:space="preserve">исертантом </w:t>
      </w:r>
      <w:r>
        <w:rPr>
          <w:rFonts w:ascii="Times New Roman" w:hAnsi="Times New Roman" w:cs="Times New Roman"/>
          <w:sz w:val="28"/>
          <w:szCs w:val="28"/>
        </w:rPr>
        <w:t>розроблені</w:t>
      </w:r>
      <w:r w:rsidRPr="00785F76">
        <w:rPr>
          <w:rFonts w:ascii="Times New Roman" w:hAnsi="Times New Roman" w:cs="Times New Roman"/>
          <w:sz w:val="28"/>
          <w:szCs w:val="28"/>
        </w:rPr>
        <w:t xml:space="preserve"> </w:t>
      </w:r>
      <w:r>
        <w:rPr>
          <w:rFonts w:ascii="Times New Roman" w:hAnsi="Times New Roman" w:cs="Times New Roman"/>
          <w:sz w:val="28"/>
          <w:szCs w:val="28"/>
        </w:rPr>
        <w:t>електронні</w:t>
      </w:r>
      <w:r w:rsidRPr="00785F76">
        <w:rPr>
          <w:rFonts w:ascii="Times New Roman" w:hAnsi="Times New Roman" w:cs="Times New Roman"/>
          <w:sz w:val="28"/>
          <w:szCs w:val="28"/>
        </w:rPr>
        <w:t xml:space="preserve"> бази отриманих даних, </w:t>
      </w:r>
      <w:r>
        <w:rPr>
          <w:rFonts w:ascii="Times New Roman" w:hAnsi="Times New Roman" w:cs="Times New Roman"/>
          <w:sz w:val="28"/>
          <w:szCs w:val="28"/>
        </w:rPr>
        <w:t>проведено</w:t>
      </w:r>
      <w:r w:rsidRPr="00785F76">
        <w:rPr>
          <w:rFonts w:ascii="Times New Roman" w:hAnsi="Times New Roman" w:cs="Times New Roman"/>
          <w:sz w:val="28"/>
          <w:szCs w:val="28"/>
        </w:rPr>
        <w:t xml:space="preserve"> статистичну обробку, системний аналіз і наукову інтерпретацію результатів дисертаційної роботи, сформульовані  висновки та практичні рекомендації. </w:t>
      </w:r>
    </w:p>
    <w:p w:rsidR="00D37CB3" w:rsidRPr="004D38F8" w:rsidRDefault="00D37CB3" w:rsidP="00AF30BA">
      <w:pPr>
        <w:spacing w:line="360" w:lineRule="auto"/>
        <w:ind w:firstLine="708"/>
        <w:jc w:val="both"/>
        <w:rPr>
          <w:rFonts w:ascii="Times New Roman" w:hAnsi="Times New Roman" w:cs="Times New Roman"/>
          <w:sz w:val="28"/>
          <w:szCs w:val="28"/>
          <w:shd w:val="clear" w:color="auto" w:fill="FFFFFF"/>
        </w:rPr>
      </w:pPr>
      <w:r w:rsidRPr="00785F76">
        <w:rPr>
          <w:rFonts w:ascii="Times New Roman" w:hAnsi="Times New Roman" w:cs="Times New Roman"/>
          <w:b/>
          <w:sz w:val="28"/>
          <w:szCs w:val="28"/>
          <w:lang w:eastAsia="ru-RU"/>
        </w:rPr>
        <w:t xml:space="preserve">Апробація результатів дисертації. </w:t>
      </w:r>
      <w:r w:rsidRPr="00785F76">
        <w:rPr>
          <w:rFonts w:ascii="Times New Roman" w:hAnsi="Times New Roman" w:cs="Times New Roman"/>
          <w:sz w:val="28"/>
          <w:szCs w:val="28"/>
        </w:rPr>
        <w:t>Основні положення дисертаційного дослідження викладено й обговорено</w:t>
      </w:r>
      <w:r>
        <w:rPr>
          <w:b/>
          <w:sz w:val="28"/>
          <w:szCs w:val="28"/>
          <w:lang w:eastAsia="ru-RU"/>
        </w:rPr>
        <w:t xml:space="preserve"> </w:t>
      </w:r>
      <w:r>
        <w:rPr>
          <w:rFonts w:ascii="Times New Roman" w:hAnsi="Times New Roman" w:cs="Times New Roman"/>
          <w:sz w:val="28"/>
          <w:szCs w:val="28"/>
        </w:rPr>
        <w:t xml:space="preserve">на засіданнях кафедри урології ФПДО Львівського національного медичного університету ім. Данила Галицького та науково-практичних конференціях Львівського обласного товариства урологів. Окремі результати проведеного дослідження були представлені під час низки науково-практичних вітчизняних та закордонних конференцій та конгресів: </w:t>
      </w:r>
      <w:r w:rsidRPr="00704D63">
        <w:rPr>
          <w:rFonts w:ascii="Times New Roman" w:hAnsi="Times New Roman" w:cs="Times New Roman"/>
          <w:sz w:val="28"/>
          <w:szCs w:val="28"/>
          <w:lang w:val="en-US"/>
        </w:rPr>
        <w:t>K</w:t>
      </w:r>
      <w:r w:rsidRPr="00704D63">
        <w:rPr>
          <w:rFonts w:ascii="Times New Roman" w:hAnsi="Times New Roman" w:cs="Times New Roman"/>
          <w:sz w:val="28"/>
          <w:szCs w:val="28"/>
        </w:rPr>
        <w:t xml:space="preserve">onferencja Naukowo-Szkoleniowa “Diagnostyka obrazowa jamy brzusznej”, 04-05.10.2013, Sandomierz, </w:t>
      </w:r>
      <w:r w:rsidRPr="00704D63">
        <w:rPr>
          <w:rFonts w:ascii="Times New Roman" w:hAnsi="Times New Roman" w:cs="Times New Roman"/>
          <w:sz w:val="28"/>
          <w:szCs w:val="28"/>
          <w:lang w:val="en-US"/>
        </w:rPr>
        <w:t>Poland</w:t>
      </w:r>
      <w:r w:rsidRPr="00704D63">
        <w:rPr>
          <w:rFonts w:ascii="Times New Roman" w:hAnsi="Times New Roman" w:cs="Times New Roman"/>
          <w:sz w:val="28"/>
          <w:szCs w:val="28"/>
        </w:rPr>
        <w:t xml:space="preserve">; </w:t>
      </w:r>
      <w:r w:rsidRPr="00704D63">
        <w:rPr>
          <w:rFonts w:ascii="Times New Roman" w:hAnsi="Times New Roman" w:cs="Times New Roman"/>
          <w:color w:val="000000"/>
          <w:sz w:val="28"/>
          <w:szCs w:val="28"/>
          <w:shd w:val="clear" w:color="auto" w:fill="FFFFFF"/>
        </w:rPr>
        <w:t xml:space="preserve">Konferencję Jubileuszową z okazji 50-lecia Oddziału Podkarpackiego Polskiego Lekarskiego Towarzystwa Radiologicznego oraz 25-lecia Zakładu Radiologii i Diagnostyki Obrazowej Szpitala Wojewódzkiego Nr 2 im. Św. Jadwigi Królowej w Rzeszowie, 23-25.05.2014, Rzeszow, </w:t>
      </w:r>
      <w:r w:rsidRPr="00704D63">
        <w:rPr>
          <w:rFonts w:ascii="Times New Roman" w:hAnsi="Times New Roman" w:cs="Times New Roman"/>
          <w:sz w:val="28"/>
          <w:szCs w:val="28"/>
          <w:lang w:val="en-US"/>
        </w:rPr>
        <w:t>Poland</w:t>
      </w:r>
      <w:r w:rsidRPr="000D2159">
        <w:rPr>
          <w:rFonts w:ascii="Times New Roman" w:hAnsi="Times New Roman" w:cs="Times New Roman"/>
          <w:sz w:val="28"/>
          <w:szCs w:val="28"/>
        </w:rPr>
        <w:t xml:space="preserve">; </w:t>
      </w:r>
      <w:r w:rsidRPr="00704D63">
        <w:rPr>
          <w:rFonts w:ascii="Times New Roman" w:hAnsi="Times New Roman" w:cs="Times New Roman"/>
          <w:color w:val="000000"/>
          <w:sz w:val="28"/>
          <w:szCs w:val="28"/>
          <w:shd w:val="clear" w:color="auto" w:fill="FFFFFF"/>
          <w:lang w:val="en-US"/>
        </w:rPr>
        <w:t>European</w:t>
      </w:r>
      <w:r w:rsidRPr="000D2159">
        <w:rPr>
          <w:rFonts w:ascii="Times New Roman" w:hAnsi="Times New Roman" w:cs="Times New Roman"/>
          <w:color w:val="000000"/>
          <w:sz w:val="28"/>
          <w:szCs w:val="28"/>
          <w:shd w:val="clear" w:color="auto" w:fill="FFFFFF"/>
        </w:rPr>
        <w:t xml:space="preserve"> </w:t>
      </w:r>
      <w:r w:rsidRPr="00704D63">
        <w:rPr>
          <w:rFonts w:ascii="Times New Roman" w:hAnsi="Times New Roman" w:cs="Times New Roman"/>
          <w:color w:val="000000"/>
          <w:sz w:val="28"/>
          <w:szCs w:val="28"/>
          <w:shd w:val="clear" w:color="auto" w:fill="FFFFFF"/>
          <w:lang w:val="en-US"/>
        </w:rPr>
        <w:t>Congress</w:t>
      </w:r>
      <w:r w:rsidRPr="000D2159">
        <w:rPr>
          <w:rFonts w:ascii="Times New Roman" w:hAnsi="Times New Roman" w:cs="Times New Roman"/>
          <w:color w:val="000000"/>
          <w:sz w:val="28"/>
          <w:szCs w:val="28"/>
          <w:shd w:val="clear" w:color="auto" w:fill="FFFFFF"/>
        </w:rPr>
        <w:t xml:space="preserve"> </w:t>
      </w:r>
      <w:r w:rsidRPr="00704D63">
        <w:rPr>
          <w:rFonts w:ascii="Times New Roman" w:hAnsi="Times New Roman" w:cs="Times New Roman"/>
          <w:color w:val="000000"/>
          <w:sz w:val="28"/>
          <w:szCs w:val="28"/>
          <w:shd w:val="clear" w:color="auto" w:fill="FFFFFF"/>
          <w:lang w:val="en-US"/>
        </w:rPr>
        <w:t>of</w:t>
      </w:r>
      <w:r w:rsidRPr="000D2159">
        <w:rPr>
          <w:rFonts w:ascii="Times New Roman" w:hAnsi="Times New Roman" w:cs="Times New Roman"/>
          <w:color w:val="000000"/>
          <w:sz w:val="28"/>
          <w:szCs w:val="28"/>
          <w:shd w:val="clear" w:color="auto" w:fill="FFFFFF"/>
        </w:rPr>
        <w:t xml:space="preserve"> </w:t>
      </w:r>
      <w:r w:rsidRPr="00704D63">
        <w:rPr>
          <w:rFonts w:ascii="Times New Roman" w:hAnsi="Times New Roman" w:cs="Times New Roman"/>
          <w:color w:val="000000"/>
          <w:sz w:val="28"/>
          <w:szCs w:val="28"/>
          <w:shd w:val="clear" w:color="auto" w:fill="FFFFFF"/>
          <w:lang w:val="en-US"/>
        </w:rPr>
        <w:t>Radiology</w:t>
      </w:r>
      <w:r w:rsidRPr="00704D63">
        <w:rPr>
          <w:rFonts w:ascii="Times New Roman" w:hAnsi="Times New Roman" w:cs="Times New Roman"/>
          <w:color w:val="000000"/>
          <w:sz w:val="28"/>
          <w:szCs w:val="28"/>
          <w:shd w:val="clear" w:color="auto" w:fill="FFFFFF"/>
        </w:rPr>
        <w:t>,</w:t>
      </w:r>
      <w:r w:rsidRPr="000D2159">
        <w:rPr>
          <w:rFonts w:ascii="Times New Roman" w:hAnsi="Times New Roman" w:cs="Times New Roman"/>
          <w:color w:val="000000"/>
          <w:sz w:val="28"/>
          <w:szCs w:val="28"/>
          <w:shd w:val="clear" w:color="auto" w:fill="FFFFFF"/>
        </w:rPr>
        <w:t xml:space="preserve"> 04-08.03.2015, </w:t>
      </w:r>
      <w:r>
        <w:rPr>
          <w:rFonts w:ascii="Times New Roman" w:hAnsi="Times New Roman" w:cs="Times New Roman"/>
          <w:color w:val="000000"/>
          <w:sz w:val="28"/>
          <w:szCs w:val="28"/>
          <w:shd w:val="clear" w:color="auto" w:fill="FFFFFF"/>
          <w:lang w:val="en-US"/>
        </w:rPr>
        <w:t>Vienna</w:t>
      </w:r>
      <w:r w:rsidRPr="000D21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Austria</w:t>
      </w:r>
      <w:r w:rsidRPr="000D2159">
        <w:rPr>
          <w:rFonts w:ascii="Times New Roman" w:hAnsi="Times New Roman" w:cs="Times New Roman"/>
          <w:color w:val="000000"/>
          <w:sz w:val="28"/>
          <w:szCs w:val="28"/>
          <w:shd w:val="clear" w:color="auto" w:fill="FFFFFF"/>
        </w:rPr>
        <w:t xml:space="preserve">; </w:t>
      </w:r>
      <w:r w:rsidRPr="00704D63">
        <w:rPr>
          <w:rFonts w:ascii="Times New Roman" w:hAnsi="Times New Roman" w:cs="Times New Roman"/>
          <w:sz w:val="28"/>
          <w:szCs w:val="28"/>
          <w:lang w:val="en-US"/>
        </w:rPr>
        <w:t>Congress</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of</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European</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Association</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of</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Urology</w:t>
      </w:r>
      <w:r w:rsidRPr="000D2159">
        <w:rPr>
          <w:rFonts w:ascii="Times New Roman" w:hAnsi="Times New Roman" w:cs="Times New Roman"/>
          <w:sz w:val="28"/>
          <w:szCs w:val="28"/>
        </w:rPr>
        <w:t xml:space="preserve">, 20-24.03.2015, </w:t>
      </w:r>
      <w:r w:rsidRPr="00704D63">
        <w:rPr>
          <w:rFonts w:ascii="Times New Roman" w:hAnsi="Times New Roman" w:cs="Times New Roman"/>
          <w:sz w:val="28"/>
          <w:szCs w:val="28"/>
          <w:lang w:val="en-US"/>
        </w:rPr>
        <w:lastRenderedPageBreak/>
        <w:t>Madrid</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Spain</w:t>
      </w:r>
      <w:r w:rsidRPr="000D2159">
        <w:rPr>
          <w:rFonts w:ascii="Times New Roman" w:hAnsi="Times New Roman" w:cs="Times New Roman"/>
          <w:sz w:val="28"/>
          <w:szCs w:val="28"/>
        </w:rPr>
        <w:t xml:space="preserve">; </w:t>
      </w:r>
      <w:r>
        <w:rPr>
          <w:rFonts w:ascii="Times New Roman" w:hAnsi="Times New Roman" w:cs="Times New Roman"/>
          <w:color w:val="000000"/>
          <w:sz w:val="28"/>
          <w:szCs w:val="28"/>
        </w:rPr>
        <w:t>1-</w:t>
      </w:r>
      <w:r w:rsidRPr="00704D63">
        <w:rPr>
          <w:rFonts w:ascii="Times New Roman" w:hAnsi="Times New Roman" w:cs="Times New Roman"/>
          <w:color w:val="000000"/>
          <w:sz w:val="28"/>
          <w:szCs w:val="28"/>
        </w:rPr>
        <w:t>ша</w:t>
      </w:r>
      <w:r>
        <w:rPr>
          <w:rFonts w:ascii="Times New Roman" w:hAnsi="Times New Roman" w:cs="Times New Roman"/>
          <w:color w:val="000000"/>
          <w:sz w:val="28"/>
          <w:szCs w:val="28"/>
        </w:rPr>
        <w:t xml:space="preserve"> Українсько-Польськ</w:t>
      </w:r>
      <w:r w:rsidRPr="00704D63">
        <w:rPr>
          <w:rFonts w:ascii="Times New Roman" w:hAnsi="Times New Roman" w:cs="Times New Roman"/>
          <w:color w:val="000000"/>
          <w:sz w:val="28"/>
          <w:szCs w:val="28"/>
        </w:rPr>
        <w:t>а</w:t>
      </w:r>
      <w:r>
        <w:rPr>
          <w:rFonts w:ascii="Times New Roman" w:hAnsi="Times New Roman" w:cs="Times New Roman"/>
          <w:color w:val="000000"/>
          <w:sz w:val="28"/>
          <w:szCs w:val="28"/>
        </w:rPr>
        <w:t xml:space="preserve"> </w:t>
      </w:r>
      <w:r w:rsidRPr="00704D63">
        <w:rPr>
          <w:rFonts w:ascii="Times New Roman" w:hAnsi="Times New Roman" w:cs="Times New Roman"/>
          <w:color w:val="000000"/>
          <w:sz w:val="28"/>
          <w:szCs w:val="28"/>
        </w:rPr>
        <w:t xml:space="preserve">наукова </w:t>
      </w:r>
      <w:r>
        <w:rPr>
          <w:rFonts w:ascii="Times New Roman" w:hAnsi="Times New Roman" w:cs="Times New Roman"/>
          <w:color w:val="000000"/>
          <w:sz w:val="28"/>
          <w:szCs w:val="28"/>
        </w:rPr>
        <w:t>конференція з Радіології, 19-21</w:t>
      </w:r>
      <w:r w:rsidRPr="00704D63">
        <w:rPr>
          <w:rFonts w:ascii="Times New Roman" w:hAnsi="Times New Roman" w:cs="Times New Roman"/>
          <w:color w:val="000000"/>
          <w:sz w:val="28"/>
          <w:szCs w:val="28"/>
        </w:rPr>
        <w:t>.03.2015 р., м. Львів</w:t>
      </w:r>
      <w:r>
        <w:rPr>
          <w:rFonts w:ascii="Times New Roman" w:hAnsi="Times New Roman" w:cs="Times New Roman"/>
          <w:color w:val="000000"/>
          <w:sz w:val="28"/>
          <w:szCs w:val="28"/>
        </w:rPr>
        <w:t>;</w:t>
      </w:r>
      <w:r w:rsidRPr="000D2159">
        <w:rPr>
          <w:rFonts w:ascii="Times New Roman" w:hAnsi="Times New Roman" w:cs="Times New Roman"/>
          <w:sz w:val="28"/>
          <w:szCs w:val="28"/>
        </w:rPr>
        <w:t xml:space="preserve"> </w:t>
      </w:r>
      <w:r w:rsidRPr="00704D63">
        <w:rPr>
          <w:rFonts w:ascii="Times New Roman" w:hAnsi="Times New Roman" w:cs="Times New Roman"/>
          <w:snapToGrid w:val="0"/>
          <w:sz w:val="28"/>
          <w:szCs w:val="28"/>
        </w:rPr>
        <w:t xml:space="preserve">Х Міжнародна школа-семінар “Практичні питання сучасної візуалізації в клініці”, </w:t>
      </w:r>
      <w:r>
        <w:rPr>
          <w:rFonts w:ascii="Times New Roman" w:hAnsi="Times New Roman" w:cs="Times New Roman"/>
          <w:snapToGrid w:val="0"/>
          <w:sz w:val="28"/>
          <w:szCs w:val="28"/>
        </w:rPr>
        <w:t>17-25</w:t>
      </w:r>
      <w:r w:rsidRPr="000D2159">
        <w:rPr>
          <w:rFonts w:ascii="Times New Roman" w:hAnsi="Times New Roman" w:cs="Times New Roman"/>
          <w:snapToGrid w:val="0"/>
          <w:sz w:val="28"/>
          <w:szCs w:val="28"/>
        </w:rPr>
        <w:t>.06.</w:t>
      </w:r>
      <w:r w:rsidRPr="00704D63">
        <w:rPr>
          <w:rFonts w:ascii="Times New Roman" w:hAnsi="Times New Roman" w:cs="Times New Roman"/>
          <w:snapToGrid w:val="0"/>
          <w:sz w:val="28"/>
          <w:szCs w:val="28"/>
        </w:rPr>
        <w:t>2015 р., м. Львів</w:t>
      </w:r>
      <w:r>
        <w:rPr>
          <w:rFonts w:ascii="Times New Roman" w:hAnsi="Times New Roman" w:cs="Times New Roman"/>
          <w:sz w:val="28"/>
          <w:szCs w:val="28"/>
          <w:lang w:eastAsia="uk-UA"/>
        </w:rPr>
        <w:t>;</w:t>
      </w:r>
      <w:r w:rsidRPr="000D2159">
        <w:rPr>
          <w:rFonts w:ascii="Times New Roman" w:hAnsi="Times New Roman" w:cs="Times New Roman"/>
          <w:sz w:val="28"/>
          <w:szCs w:val="28"/>
        </w:rPr>
        <w:t xml:space="preserve"> </w:t>
      </w:r>
      <w:r>
        <w:rPr>
          <w:rFonts w:ascii="Times New Roman" w:hAnsi="Times New Roman" w:cs="Times New Roman"/>
          <w:sz w:val="28"/>
          <w:szCs w:val="28"/>
          <w:lang w:val="en-US" w:eastAsia="uk-UA"/>
        </w:rPr>
        <w:t>European</w:t>
      </w:r>
      <w:r w:rsidRPr="000D2159">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School</w:t>
      </w:r>
      <w:r w:rsidRPr="000D2159">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of</w:t>
      </w:r>
      <w:r w:rsidRPr="000D2159">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Urology</w:t>
      </w:r>
      <w:r w:rsidRPr="000D2159">
        <w:rPr>
          <w:rFonts w:ascii="Times New Roman" w:hAnsi="Times New Roman" w:cs="Times New Roman"/>
          <w:sz w:val="28"/>
          <w:szCs w:val="28"/>
          <w:lang w:eastAsia="uk-UA"/>
        </w:rPr>
        <w:t xml:space="preserve"> - </w:t>
      </w:r>
      <w:r w:rsidRPr="00704D63">
        <w:rPr>
          <w:rFonts w:ascii="Times New Roman" w:hAnsi="Times New Roman" w:cs="Times New Roman"/>
          <w:sz w:val="28"/>
          <w:szCs w:val="28"/>
          <w:lang w:val="en-US" w:eastAsia="uk-UA"/>
        </w:rPr>
        <w:t>Weill</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Cornell</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Masterclass</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in</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General</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urology</w:t>
      </w:r>
      <w:r w:rsidRPr="000D2159">
        <w:rPr>
          <w:rFonts w:ascii="Times New Roman" w:hAnsi="Times New Roman" w:cs="Times New Roman"/>
          <w:sz w:val="28"/>
          <w:szCs w:val="28"/>
          <w:lang w:eastAsia="uk-UA"/>
        </w:rPr>
        <w:t xml:space="preserve">, </w:t>
      </w:r>
      <w:r w:rsidRPr="00704D63">
        <w:rPr>
          <w:rFonts w:ascii="Times New Roman" w:hAnsi="Times New Roman" w:cs="Times New Roman"/>
          <w:color w:val="000000"/>
          <w:sz w:val="28"/>
          <w:szCs w:val="28"/>
        </w:rPr>
        <w:t>05</w:t>
      </w:r>
      <w:r>
        <w:rPr>
          <w:rFonts w:ascii="Times New Roman" w:hAnsi="Times New Roman" w:cs="Times New Roman"/>
          <w:color w:val="000000"/>
          <w:sz w:val="28"/>
          <w:szCs w:val="28"/>
        </w:rPr>
        <w:t>-10.</w:t>
      </w:r>
      <w:r w:rsidRPr="00704D63">
        <w:rPr>
          <w:rFonts w:ascii="Times New Roman" w:hAnsi="Times New Roman" w:cs="Times New Roman"/>
          <w:color w:val="000000"/>
          <w:sz w:val="28"/>
          <w:szCs w:val="28"/>
        </w:rPr>
        <w:t xml:space="preserve">07.2015, </w:t>
      </w:r>
      <w:r>
        <w:rPr>
          <w:rFonts w:ascii="Times New Roman" w:hAnsi="Times New Roman" w:cs="Times New Roman"/>
          <w:color w:val="000000"/>
          <w:sz w:val="28"/>
          <w:szCs w:val="28"/>
          <w:lang w:val="en-US"/>
        </w:rPr>
        <w:t>Salzburg</w:t>
      </w:r>
      <w:r w:rsidRPr="00704D63">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Austria</w:t>
      </w:r>
      <w:r>
        <w:rPr>
          <w:rFonts w:ascii="Times New Roman" w:hAnsi="Times New Roman" w:cs="Times New Roman"/>
          <w:color w:val="000000"/>
          <w:sz w:val="28"/>
          <w:szCs w:val="28"/>
        </w:rPr>
        <w:t>;</w:t>
      </w:r>
      <w:r w:rsidRPr="000D2159">
        <w:rPr>
          <w:rFonts w:ascii="Times New Roman" w:hAnsi="Times New Roman" w:cs="Times New Roman"/>
          <w:sz w:val="28"/>
          <w:szCs w:val="28"/>
        </w:rPr>
        <w:t xml:space="preserve"> </w:t>
      </w:r>
      <w:r w:rsidRPr="00704D63">
        <w:rPr>
          <w:rFonts w:ascii="Times New Roman" w:hAnsi="Times New Roman" w:cs="Times New Roman"/>
          <w:color w:val="000000"/>
          <w:sz w:val="28"/>
          <w:szCs w:val="28"/>
        </w:rPr>
        <w:t>2-</w:t>
      </w:r>
      <w:r w:rsidRPr="000D2159">
        <w:rPr>
          <w:rFonts w:ascii="Times New Roman" w:hAnsi="Times New Roman" w:cs="Times New Roman"/>
          <w:color w:val="000000"/>
          <w:sz w:val="28"/>
          <w:szCs w:val="28"/>
        </w:rPr>
        <w:t>га</w:t>
      </w:r>
      <w:r w:rsidRPr="00704D63">
        <w:rPr>
          <w:rFonts w:ascii="Times New Roman" w:hAnsi="Times New Roman" w:cs="Times New Roman"/>
          <w:color w:val="000000"/>
          <w:sz w:val="28"/>
          <w:szCs w:val="28"/>
        </w:rPr>
        <w:t xml:space="preserve"> </w:t>
      </w:r>
      <w:r>
        <w:rPr>
          <w:rFonts w:ascii="Times New Roman" w:hAnsi="Times New Roman" w:cs="Times New Roman"/>
          <w:color w:val="000000"/>
          <w:sz w:val="28"/>
          <w:szCs w:val="28"/>
        </w:rPr>
        <w:t>Українсько-Польськ</w:t>
      </w:r>
      <w:r w:rsidRPr="00704D63">
        <w:rPr>
          <w:rFonts w:ascii="Times New Roman" w:hAnsi="Times New Roman" w:cs="Times New Roman"/>
          <w:color w:val="000000"/>
          <w:sz w:val="28"/>
          <w:szCs w:val="28"/>
        </w:rPr>
        <w:t>а</w:t>
      </w:r>
      <w:r>
        <w:rPr>
          <w:rFonts w:ascii="Times New Roman" w:hAnsi="Times New Roman" w:cs="Times New Roman"/>
          <w:color w:val="000000"/>
          <w:sz w:val="28"/>
          <w:szCs w:val="28"/>
        </w:rPr>
        <w:t xml:space="preserve"> </w:t>
      </w:r>
      <w:r w:rsidRPr="00704D63">
        <w:rPr>
          <w:rFonts w:ascii="Times New Roman" w:hAnsi="Times New Roman" w:cs="Times New Roman"/>
          <w:color w:val="000000"/>
          <w:sz w:val="28"/>
          <w:szCs w:val="28"/>
        </w:rPr>
        <w:t xml:space="preserve">наукова </w:t>
      </w:r>
      <w:r>
        <w:rPr>
          <w:rFonts w:ascii="Times New Roman" w:hAnsi="Times New Roman" w:cs="Times New Roman"/>
          <w:color w:val="000000"/>
          <w:sz w:val="28"/>
          <w:szCs w:val="28"/>
        </w:rPr>
        <w:t>конференція з Радіології</w:t>
      </w:r>
      <w:r w:rsidRPr="000D2159">
        <w:rPr>
          <w:rFonts w:ascii="Times New Roman" w:hAnsi="Times New Roman" w:cs="Times New Roman"/>
          <w:color w:val="000000"/>
          <w:sz w:val="28"/>
          <w:szCs w:val="28"/>
        </w:rPr>
        <w:t>,</w:t>
      </w:r>
      <w:r w:rsidRPr="00704D63">
        <w:rPr>
          <w:rFonts w:ascii="Times New Roman" w:hAnsi="Times New Roman" w:cs="Times New Roman"/>
          <w:sz w:val="28"/>
          <w:szCs w:val="28"/>
        </w:rPr>
        <w:t xml:space="preserve"> </w:t>
      </w:r>
      <w:r>
        <w:rPr>
          <w:rFonts w:ascii="Times New Roman" w:hAnsi="Times New Roman" w:cs="Times New Roman"/>
          <w:color w:val="000000"/>
          <w:sz w:val="28"/>
          <w:szCs w:val="28"/>
        </w:rPr>
        <w:t>16-18</w:t>
      </w:r>
      <w:r w:rsidRPr="000D2159">
        <w:rPr>
          <w:rFonts w:ascii="Times New Roman" w:hAnsi="Times New Roman" w:cs="Times New Roman"/>
          <w:color w:val="000000"/>
          <w:sz w:val="28"/>
          <w:szCs w:val="28"/>
        </w:rPr>
        <w:t>.10.</w:t>
      </w:r>
      <w:r w:rsidRPr="00704D63">
        <w:rPr>
          <w:rFonts w:ascii="Times New Roman" w:hAnsi="Times New Roman" w:cs="Times New Roman"/>
          <w:color w:val="000000"/>
          <w:sz w:val="28"/>
          <w:szCs w:val="28"/>
        </w:rPr>
        <w:t>2015 р., м. Сандомир</w:t>
      </w:r>
      <w:r w:rsidRPr="000D21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Польща;</w:t>
      </w:r>
      <w:r w:rsidRPr="000D2159">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xml:space="preserve">41 </w:t>
      </w:r>
      <w:r w:rsidRPr="00C05740">
        <w:rPr>
          <w:rFonts w:ascii="Times New Roman" w:hAnsi="Times New Roman" w:cs="Times New Roman"/>
          <w:sz w:val="28"/>
          <w:szCs w:val="28"/>
          <w:shd w:val="clear" w:color="auto" w:fill="FFFFFF"/>
        </w:rPr>
        <w:t>Zjazd Polskiego Lekarskiego Towar</w:t>
      </w:r>
      <w:r w:rsidRPr="003B3776">
        <w:rPr>
          <w:rFonts w:ascii="Times New Roman" w:hAnsi="Times New Roman" w:cs="Times New Roman"/>
          <w:sz w:val="28"/>
          <w:szCs w:val="28"/>
          <w:shd w:val="clear" w:color="auto" w:fill="FFFFFF"/>
        </w:rPr>
        <w:t xml:space="preserve">zystwa Radilogicznego, 02-04.06.2016 р., </w:t>
      </w:r>
      <w:r w:rsidRPr="003B3776">
        <w:rPr>
          <w:rFonts w:ascii="Times New Roman" w:hAnsi="Times New Roman" w:cs="Times New Roman"/>
          <w:sz w:val="28"/>
          <w:szCs w:val="28"/>
          <w:shd w:val="clear" w:color="auto" w:fill="FFFFFF"/>
          <w:lang w:val="en-US"/>
        </w:rPr>
        <w:t>Krakow</w:t>
      </w:r>
      <w:r w:rsidRPr="003B3776">
        <w:rPr>
          <w:rFonts w:ascii="Times New Roman" w:hAnsi="Times New Roman" w:cs="Times New Roman"/>
          <w:sz w:val="28"/>
          <w:szCs w:val="28"/>
          <w:shd w:val="clear" w:color="auto" w:fill="FFFFFF"/>
        </w:rPr>
        <w:t xml:space="preserve">, </w:t>
      </w:r>
      <w:r w:rsidRPr="003B3776">
        <w:rPr>
          <w:rFonts w:ascii="Times New Roman" w:hAnsi="Times New Roman" w:cs="Times New Roman"/>
          <w:sz w:val="28"/>
          <w:szCs w:val="28"/>
          <w:shd w:val="clear" w:color="auto" w:fill="FFFFFF"/>
          <w:lang w:val="en-US"/>
        </w:rPr>
        <w:t>Poland</w:t>
      </w:r>
      <w:r w:rsidRPr="003B3776">
        <w:rPr>
          <w:rFonts w:ascii="Times New Roman" w:hAnsi="Times New Roman" w:cs="Times New Roman"/>
          <w:sz w:val="28"/>
          <w:szCs w:val="28"/>
          <w:shd w:val="clear" w:color="auto" w:fill="FFFFFF"/>
        </w:rPr>
        <w:t>;</w:t>
      </w:r>
      <w:r w:rsidRPr="003B3776">
        <w:rPr>
          <w:rFonts w:ascii="Times New Roman" w:hAnsi="Times New Roman" w:cs="Times New Roman"/>
          <w:sz w:val="28"/>
          <w:szCs w:val="28"/>
        </w:rPr>
        <w:t xml:space="preserve"> </w:t>
      </w:r>
      <w:r w:rsidRPr="003B3776">
        <w:rPr>
          <w:rFonts w:ascii="Times New Roman" w:hAnsi="Times New Roman" w:cs="Times New Roman"/>
          <w:color w:val="000000"/>
          <w:sz w:val="28"/>
          <w:szCs w:val="28"/>
          <w:lang w:val="en-US"/>
        </w:rPr>
        <w:t>XLVI</w:t>
      </w:r>
      <w:r w:rsidRPr="003B3776">
        <w:rPr>
          <w:rFonts w:ascii="Times New Roman" w:hAnsi="Times New Roman" w:cs="Times New Roman"/>
          <w:color w:val="000000"/>
          <w:sz w:val="28"/>
          <w:szCs w:val="28"/>
        </w:rPr>
        <w:t xml:space="preserve"> Науковий конгрес Польського урологічного товариства, </w:t>
      </w:r>
      <w:r w:rsidRPr="003B3776">
        <w:rPr>
          <w:rFonts w:ascii="Times New Roman" w:hAnsi="Times New Roman" w:cs="Times New Roman"/>
          <w:color w:val="000000"/>
          <w:sz w:val="28"/>
          <w:szCs w:val="28"/>
          <w:lang w:val="en-US"/>
        </w:rPr>
        <w:t>Katowice</w:t>
      </w:r>
      <w:r w:rsidRPr="003B3776">
        <w:rPr>
          <w:rFonts w:ascii="Times New Roman" w:hAnsi="Times New Roman" w:cs="Times New Roman"/>
          <w:color w:val="000000"/>
          <w:sz w:val="28"/>
          <w:szCs w:val="28"/>
        </w:rPr>
        <w:t xml:space="preserve">, </w:t>
      </w:r>
      <w:r w:rsidRPr="003B3776">
        <w:rPr>
          <w:rFonts w:ascii="Times New Roman" w:hAnsi="Times New Roman" w:cs="Times New Roman"/>
          <w:color w:val="000000"/>
          <w:sz w:val="28"/>
          <w:szCs w:val="28"/>
          <w:lang w:val="en-US"/>
        </w:rPr>
        <w:t>Poland</w:t>
      </w:r>
      <w:r w:rsidRPr="003B3776">
        <w:rPr>
          <w:rFonts w:ascii="Times New Roman" w:hAnsi="Times New Roman" w:cs="Times New Roman"/>
          <w:color w:val="000000"/>
          <w:sz w:val="28"/>
          <w:szCs w:val="28"/>
        </w:rPr>
        <w:t xml:space="preserve">, 22-24.06.2016 р.; </w:t>
      </w:r>
      <w:r w:rsidRPr="003B3776">
        <w:rPr>
          <w:rFonts w:ascii="Times New Roman" w:hAnsi="Times New Roman" w:cs="Times New Roman"/>
          <w:color w:val="000000"/>
          <w:sz w:val="28"/>
          <w:szCs w:val="28"/>
          <w:shd w:val="clear" w:color="auto" w:fill="FFFFFF"/>
        </w:rPr>
        <w:t>ХІ Міжнародна школа-семінар</w:t>
      </w:r>
      <w:r w:rsidRPr="003B3776">
        <w:rPr>
          <w:rFonts w:ascii="Times New Roman" w:hAnsi="Times New Roman" w:cs="Times New Roman"/>
          <w:color w:val="000000"/>
          <w:sz w:val="28"/>
          <w:szCs w:val="28"/>
        </w:rPr>
        <w:t xml:space="preserve"> </w:t>
      </w:r>
      <w:r w:rsidRPr="003B3776">
        <w:rPr>
          <w:rFonts w:ascii="Times New Roman" w:hAnsi="Times New Roman" w:cs="Times New Roman"/>
          <w:color w:val="000000"/>
          <w:sz w:val="28"/>
          <w:szCs w:val="28"/>
          <w:shd w:val="clear" w:color="auto" w:fill="FFFFFF"/>
        </w:rPr>
        <w:t>“Практичні питання сучасної візуалізації в клініці”</w:t>
      </w:r>
      <w:r w:rsidRPr="003B3776">
        <w:rPr>
          <w:rFonts w:ascii="Times New Roman" w:hAnsi="Times New Roman" w:cs="Times New Roman"/>
          <w:color w:val="000000"/>
          <w:sz w:val="28"/>
          <w:szCs w:val="28"/>
        </w:rPr>
        <w:t xml:space="preserve"> </w:t>
      </w:r>
      <w:r w:rsidRPr="003B3776">
        <w:rPr>
          <w:rFonts w:ascii="Times New Roman" w:hAnsi="Times New Roman" w:cs="Times New Roman"/>
          <w:color w:val="000000"/>
          <w:sz w:val="28"/>
          <w:szCs w:val="28"/>
          <w:shd w:val="clear" w:color="auto" w:fill="FFFFFF"/>
        </w:rPr>
        <w:t>19-21.09.2016 р., м. Львів</w:t>
      </w:r>
      <w:r w:rsidRPr="003B3776">
        <w:rPr>
          <w:rStyle w:val="apple-converted-space"/>
          <w:rFonts w:ascii="Times New Roman" w:hAnsi="Times New Roman" w:cs="Times New Roman"/>
          <w:color w:val="000000"/>
          <w:sz w:val="28"/>
          <w:szCs w:val="28"/>
          <w:shd w:val="clear" w:color="auto" w:fill="FFFFFF"/>
        </w:rPr>
        <w:t>;</w:t>
      </w:r>
      <w:r w:rsidRPr="003B3776">
        <w:rPr>
          <w:rStyle w:val="apple-converted-space"/>
          <w:rFonts w:ascii="Times New Roman" w:hAnsi="Times New Roman" w:cs="Times New Roman"/>
          <w:sz w:val="28"/>
          <w:szCs w:val="28"/>
        </w:rPr>
        <w:t xml:space="preserve"> </w:t>
      </w:r>
      <w:r w:rsidRPr="003B3776">
        <w:rPr>
          <w:rFonts w:ascii="Times New Roman" w:hAnsi="Times New Roman" w:cs="Times New Roman"/>
          <w:color w:val="000000"/>
          <w:sz w:val="28"/>
          <w:szCs w:val="28"/>
        </w:rPr>
        <w:t xml:space="preserve">Польсько-українська урологічна конференція «Уросілезіана </w:t>
      </w:r>
      <w:r w:rsidRPr="003B3776">
        <w:rPr>
          <w:rFonts w:ascii="Times New Roman" w:hAnsi="Times New Roman" w:cs="Times New Roman"/>
          <w:color w:val="000000"/>
          <w:sz w:val="28"/>
          <w:szCs w:val="28"/>
          <w:lang w:val="en-US"/>
        </w:rPr>
        <w:t>XXI</w:t>
      </w:r>
      <w:r w:rsidRPr="003B3776">
        <w:rPr>
          <w:rFonts w:ascii="Times New Roman" w:hAnsi="Times New Roman" w:cs="Times New Roman"/>
          <w:color w:val="000000"/>
          <w:sz w:val="28"/>
          <w:szCs w:val="28"/>
        </w:rPr>
        <w:t xml:space="preserve">», 23-25.09.2016 р., м. Карпач, Польща; Х Ювілейний українсько-польский симпозіум «Урологія </w:t>
      </w:r>
      <w:r w:rsidRPr="003B3776">
        <w:rPr>
          <w:rFonts w:ascii="Times New Roman" w:hAnsi="Times New Roman" w:cs="Times New Roman"/>
          <w:color w:val="000000"/>
          <w:sz w:val="28"/>
          <w:szCs w:val="28"/>
          <w:lang w:val="en-US"/>
        </w:rPr>
        <w:t>XXI</w:t>
      </w:r>
      <w:r w:rsidRPr="003B3776">
        <w:rPr>
          <w:rFonts w:ascii="Times New Roman" w:hAnsi="Times New Roman" w:cs="Times New Roman"/>
          <w:color w:val="000000"/>
          <w:sz w:val="28"/>
          <w:szCs w:val="28"/>
        </w:rPr>
        <w:t xml:space="preserve"> століття», м. Львів, 01-03.06.2017 р.; </w:t>
      </w:r>
      <w:r w:rsidRPr="003B3776">
        <w:rPr>
          <w:rFonts w:ascii="Times New Roman" w:hAnsi="Times New Roman" w:cs="Times New Roman"/>
          <w:color w:val="000000"/>
          <w:sz w:val="28"/>
          <w:szCs w:val="28"/>
          <w:lang w:val="en-US"/>
        </w:rPr>
        <w:t>XLVI</w:t>
      </w:r>
      <w:r w:rsidRPr="003B3776">
        <w:rPr>
          <w:rFonts w:ascii="Times New Roman" w:hAnsi="Times New Roman" w:cs="Times New Roman"/>
          <w:color w:val="000000"/>
          <w:sz w:val="28"/>
          <w:szCs w:val="28"/>
        </w:rPr>
        <w:t xml:space="preserve"> Науковий </w:t>
      </w:r>
      <w:r w:rsidRPr="00F66B27">
        <w:rPr>
          <w:rFonts w:ascii="Times New Roman" w:hAnsi="Times New Roman" w:cs="Times New Roman"/>
          <w:color w:val="000000"/>
          <w:sz w:val="28"/>
          <w:szCs w:val="28"/>
        </w:rPr>
        <w:t xml:space="preserve">конгрес Польського урологічного товариства, </w:t>
      </w:r>
      <w:r w:rsidRPr="00F66B27">
        <w:rPr>
          <w:rFonts w:ascii="Times New Roman" w:hAnsi="Times New Roman" w:cs="Times New Roman"/>
          <w:color w:val="000000"/>
          <w:sz w:val="28"/>
          <w:szCs w:val="28"/>
          <w:lang w:val="en-US"/>
        </w:rPr>
        <w:t>Katowice</w:t>
      </w:r>
      <w:r w:rsidRPr="00F66B27">
        <w:rPr>
          <w:rFonts w:ascii="Times New Roman" w:hAnsi="Times New Roman" w:cs="Times New Roman"/>
          <w:color w:val="000000"/>
          <w:sz w:val="28"/>
          <w:szCs w:val="28"/>
        </w:rPr>
        <w:t xml:space="preserve">, </w:t>
      </w:r>
      <w:r w:rsidRPr="00F66B27">
        <w:rPr>
          <w:rFonts w:ascii="Times New Roman" w:hAnsi="Times New Roman" w:cs="Times New Roman"/>
          <w:color w:val="000000"/>
          <w:sz w:val="28"/>
          <w:szCs w:val="28"/>
          <w:lang w:val="en-US"/>
        </w:rPr>
        <w:t>Poland</w:t>
      </w:r>
      <w:r w:rsidRPr="00F66B27">
        <w:rPr>
          <w:rFonts w:ascii="Times New Roman" w:hAnsi="Times New Roman" w:cs="Times New Roman"/>
          <w:color w:val="000000"/>
          <w:sz w:val="28"/>
          <w:szCs w:val="28"/>
        </w:rPr>
        <w:t>, 19-21.06.2017 р</w:t>
      </w:r>
      <w:r>
        <w:rPr>
          <w:rFonts w:ascii="Times New Roman" w:hAnsi="Times New Roman" w:cs="Times New Roman"/>
          <w:color w:val="000000"/>
          <w:sz w:val="28"/>
          <w:szCs w:val="28"/>
        </w:rPr>
        <w:t xml:space="preserve">.; </w:t>
      </w:r>
      <w:r w:rsidRPr="00D73065">
        <w:rPr>
          <w:rFonts w:ascii="Times New Roman" w:hAnsi="Times New Roman"/>
          <w:sz w:val="28"/>
          <w:szCs w:val="28"/>
          <w:shd w:val="clear" w:color="auto" w:fill="FFFFFF"/>
          <w:lang w:val="en-US"/>
        </w:rPr>
        <w:t>XVI</w:t>
      </w:r>
      <w:r w:rsidRPr="00D73065">
        <w:rPr>
          <w:rFonts w:ascii="Times New Roman" w:hAnsi="Times New Roman"/>
          <w:sz w:val="28"/>
          <w:szCs w:val="28"/>
          <w:shd w:val="clear" w:color="auto" w:fill="FFFFFF"/>
        </w:rPr>
        <w:t xml:space="preserve"> З’їзд Всеукраїнського лікарського товариства, Кам’янець-Подільський, 28.09-01.10.2017 р.</w:t>
      </w:r>
      <w:r>
        <w:rPr>
          <w:rFonts w:ascii="Times New Roman" w:hAnsi="Times New Roman"/>
          <w:sz w:val="28"/>
          <w:szCs w:val="28"/>
          <w:shd w:val="clear" w:color="auto" w:fill="FFFFFF"/>
        </w:rPr>
        <w:t xml:space="preserve">; </w:t>
      </w:r>
      <w:r w:rsidRPr="00D73065">
        <w:rPr>
          <w:rFonts w:ascii="Times New Roman" w:hAnsi="Times New Roman"/>
          <w:sz w:val="28"/>
          <w:szCs w:val="28"/>
          <w:shd w:val="clear" w:color="auto" w:fill="FFFFFF"/>
        </w:rPr>
        <w:t>Ювілейна міжнародна конференція до 150-річчя Львівського лікарськог</w:t>
      </w:r>
      <w:r>
        <w:rPr>
          <w:rFonts w:ascii="Times New Roman" w:hAnsi="Times New Roman"/>
          <w:sz w:val="28"/>
          <w:szCs w:val="28"/>
          <w:shd w:val="clear" w:color="auto" w:fill="FFFFFF"/>
        </w:rPr>
        <w:t>о товариства, 19-21.10.2017 р.;</w:t>
      </w:r>
      <w:r w:rsidRPr="00E17B68">
        <w:rPr>
          <w:sz w:val="28"/>
          <w:szCs w:val="28"/>
          <w:shd w:val="clear" w:color="auto" w:fill="FFFFFF"/>
        </w:rPr>
        <w:t xml:space="preserve"> </w:t>
      </w:r>
      <w:r w:rsidRPr="00E17B68">
        <w:rPr>
          <w:rFonts w:ascii="Times New Roman" w:hAnsi="Times New Roman" w:cs="Times New Roman"/>
          <w:sz w:val="28"/>
          <w:szCs w:val="28"/>
          <w:shd w:val="clear" w:color="auto" w:fill="FFFFFF"/>
          <w:lang w:val="en-US"/>
        </w:rPr>
        <w:t>VI</w:t>
      </w:r>
      <w:r w:rsidRPr="00E17B68">
        <w:rPr>
          <w:rFonts w:ascii="Times New Roman" w:hAnsi="Times New Roman" w:cs="Times New Roman"/>
          <w:sz w:val="28"/>
          <w:szCs w:val="28"/>
          <w:shd w:val="clear" w:color="auto" w:fill="FFFFFF"/>
        </w:rPr>
        <w:t xml:space="preserve"> Всеукраїнська науково-практична конференція «Наукові дослідження: перспективи інновацій у суспільстві і розвитку технологі</w:t>
      </w:r>
      <w:r>
        <w:rPr>
          <w:rFonts w:ascii="Times New Roman" w:hAnsi="Times New Roman" w:cs="Times New Roman"/>
          <w:sz w:val="28"/>
          <w:szCs w:val="28"/>
          <w:shd w:val="clear" w:color="auto" w:fill="FFFFFF"/>
        </w:rPr>
        <w:t xml:space="preserve">й», 24-25.11.2-17 р.,  м.Харків; </w:t>
      </w:r>
      <w:r>
        <w:rPr>
          <w:rFonts w:ascii="Times New Roman" w:hAnsi="Times New Roman"/>
          <w:sz w:val="28"/>
          <w:szCs w:val="28"/>
          <w:shd w:val="clear" w:color="auto" w:fill="FFFFFF"/>
        </w:rPr>
        <w:t>ІІ міжнародній науковій конференції</w:t>
      </w:r>
      <w:r w:rsidRPr="004D38F8">
        <w:rPr>
          <w:rFonts w:ascii="Times New Roman" w:hAnsi="Times New Roman" w:cs="Times New Roman"/>
          <w:sz w:val="28"/>
          <w:szCs w:val="28"/>
          <w:shd w:val="clear" w:color="auto" w:fill="FFFFFF"/>
        </w:rPr>
        <w:t xml:space="preserve"> студентів та молодих вчених пам’яті професора І.І.Мітюка., 08.12.2017 р</w:t>
      </w:r>
      <w:r w:rsidR="00AF30BA">
        <w:rPr>
          <w:rFonts w:ascii="Times New Roman" w:hAnsi="Times New Roman"/>
          <w:sz w:val="28"/>
          <w:szCs w:val="28"/>
          <w:shd w:val="clear" w:color="auto" w:fill="FFFFFF"/>
        </w:rPr>
        <w:t xml:space="preserve">., м. Вінниця; </w:t>
      </w:r>
      <w:r w:rsidR="00AF30BA" w:rsidRPr="00AF30BA">
        <w:rPr>
          <w:rFonts w:ascii="Times New Roman" w:hAnsi="Times New Roman" w:cs="Times New Roman"/>
          <w:sz w:val="28"/>
          <w:szCs w:val="28"/>
        </w:rPr>
        <w:t>6-й національний конгрес з міжнародною участю «Радіологія в Україні». 28-30.03.2017 р., м. Ірпінь.</w:t>
      </w:r>
    </w:p>
    <w:p w:rsidR="00F105F4" w:rsidRPr="00EF116B" w:rsidRDefault="00D37CB3" w:rsidP="003E60C9">
      <w:pPr>
        <w:spacing w:line="360" w:lineRule="auto"/>
        <w:ind w:firstLine="720"/>
        <w:jc w:val="both"/>
        <w:rPr>
          <w:rFonts w:ascii="Times New Roman" w:hAnsi="Times New Roman" w:cs="Times New Roman"/>
          <w:sz w:val="28"/>
          <w:szCs w:val="28"/>
          <w:shd w:val="clear" w:color="auto" w:fill="FFFFFF"/>
        </w:rPr>
      </w:pPr>
      <w:r w:rsidRPr="00F957FE">
        <w:rPr>
          <w:rFonts w:ascii="Times New Roman" w:hAnsi="Times New Roman" w:cs="Times New Roman"/>
          <w:b/>
          <w:color w:val="000000"/>
          <w:sz w:val="28"/>
          <w:szCs w:val="28"/>
        </w:rPr>
        <w:t>Публікації.</w:t>
      </w:r>
      <w:r>
        <w:rPr>
          <w:rFonts w:ascii="Times New Roman" w:hAnsi="Times New Roman" w:cs="Times New Roman"/>
          <w:color w:val="000000"/>
          <w:sz w:val="28"/>
          <w:szCs w:val="28"/>
        </w:rPr>
        <w:t xml:space="preserve"> </w:t>
      </w:r>
      <w:r w:rsidR="00F105F4" w:rsidRPr="00A841C4">
        <w:rPr>
          <w:rFonts w:ascii="Times New Roman" w:hAnsi="Times New Roman" w:cs="Times New Roman"/>
          <w:spacing w:val="-4"/>
          <w:sz w:val="28"/>
          <w:szCs w:val="28"/>
          <w:lang w:eastAsia="ru-RU"/>
        </w:rPr>
        <w:t xml:space="preserve">За </w:t>
      </w:r>
      <w:r w:rsidR="00F105F4">
        <w:rPr>
          <w:rFonts w:ascii="Times New Roman" w:hAnsi="Times New Roman" w:cs="Times New Roman"/>
          <w:spacing w:val="-4"/>
          <w:sz w:val="28"/>
          <w:szCs w:val="28"/>
          <w:lang w:eastAsia="ru-RU"/>
        </w:rPr>
        <w:t>темою дисертації опубліковано 42 наукові роботи</w:t>
      </w:r>
      <w:r w:rsidR="00F105F4" w:rsidRPr="00A841C4">
        <w:rPr>
          <w:rFonts w:ascii="Times New Roman" w:hAnsi="Times New Roman" w:cs="Times New Roman"/>
          <w:spacing w:val="-4"/>
          <w:sz w:val="28"/>
          <w:szCs w:val="28"/>
          <w:lang w:eastAsia="ru-RU"/>
        </w:rPr>
        <w:t>, з яких</w:t>
      </w:r>
      <w:r w:rsidR="00F105F4">
        <w:rPr>
          <w:rFonts w:ascii="Times New Roman" w:hAnsi="Times New Roman" w:cs="Times New Roman"/>
          <w:sz w:val="28"/>
          <w:szCs w:val="28"/>
          <w:shd w:val="clear" w:color="auto" w:fill="FFFFFF"/>
        </w:rPr>
        <w:t xml:space="preserve"> </w:t>
      </w:r>
      <w:r w:rsidR="00F105F4" w:rsidRPr="00A841C4">
        <w:rPr>
          <w:rFonts w:ascii="Times New Roman" w:hAnsi="Times New Roman" w:cs="Times New Roman"/>
          <w:spacing w:val="-4"/>
          <w:sz w:val="28"/>
          <w:szCs w:val="28"/>
          <w:lang w:eastAsia="ru-RU"/>
        </w:rPr>
        <w:t xml:space="preserve">18 – у фахових виданнях, рекомендованих МОН України, </w:t>
      </w:r>
      <w:r w:rsidR="00F105F4" w:rsidRPr="00A841C4">
        <w:rPr>
          <w:rFonts w:ascii="Times New Roman" w:hAnsi="Times New Roman" w:cs="Times New Roman"/>
          <w:color w:val="000000"/>
          <w:sz w:val="28"/>
          <w:szCs w:val="28"/>
        </w:rPr>
        <w:t xml:space="preserve">в 8 закордонних фахових виданнях, </w:t>
      </w:r>
      <w:r w:rsidR="00F105F4" w:rsidRPr="00A841C4">
        <w:rPr>
          <w:rFonts w:ascii="Times New Roman" w:hAnsi="Times New Roman" w:cs="Times New Roman"/>
          <w:spacing w:val="-4"/>
          <w:sz w:val="28"/>
          <w:szCs w:val="28"/>
          <w:lang w:eastAsia="ru-RU"/>
        </w:rPr>
        <w:t>які входять до міжнародних наукометричних баз даних,</w:t>
      </w:r>
      <w:r w:rsidR="00F105F4">
        <w:rPr>
          <w:rFonts w:ascii="Times New Roman" w:hAnsi="Times New Roman" w:cs="Times New Roman"/>
          <w:sz w:val="28"/>
          <w:szCs w:val="28"/>
          <w:shd w:val="clear" w:color="auto" w:fill="FFFFFF"/>
        </w:rPr>
        <w:t xml:space="preserve"> </w:t>
      </w:r>
      <w:r w:rsidR="00F105F4" w:rsidRPr="00A841C4">
        <w:rPr>
          <w:rFonts w:ascii="Times New Roman" w:hAnsi="Times New Roman" w:cs="Times New Roman"/>
          <w:spacing w:val="-4"/>
          <w:sz w:val="28"/>
          <w:szCs w:val="28"/>
          <w:lang w:eastAsia="ru-RU"/>
        </w:rPr>
        <w:t>1 – в збірнику наукових праць, 1 – в міжнародному фаховому електронному виданні,</w:t>
      </w:r>
      <w:r w:rsidR="00F105F4">
        <w:rPr>
          <w:rFonts w:ascii="Times New Roman" w:hAnsi="Times New Roman" w:cs="Times New Roman"/>
          <w:sz w:val="28"/>
          <w:szCs w:val="28"/>
          <w:shd w:val="clear" w:color="auto" w:fill="FFFFFF"/>
        </w:rPr>
        <w:t xml:space="preserve"> </w:t>
      </w:r>
      <w:r w:rsidR="00F105F4" w:rsidRPr="00A841C4">
        <w:rPr>
          <w:rFonts w:ascii="Times New Roman" w:hAnsi="Times New Roman" w:cs="Times New Roman"/>
          <w:color w:val="000000"/>
          <w:sz w:val="28"/>
          <w:szCs w:val="28"/>
        </w:rPr>
        <w:t>10 тез у матеріалах</w:t>
      </w:r>
      <w:r w:rsidR="00F105F4">
        <w:rPr>
          <w:rFonts w:ascii="Times New Roman" w:hAnsi="Times New Roman" w:cs="Times New Roman"/>
          <w:color w:val="000000"/>
          <w:sz w:val="28"/>
          <w:szCs w:val="28"/>
        </w:rPr>
        <w:t xml:space="preserve"> науково-практичних конференцій,</w:t>
      </w:r>
      <w:r w:rsidR="00F105F4" w:rsidRPr="00A841C4">
        <w:rPr>
          <w:rFonts w:ascii="Times New Roman" w:hAnsi="Times New Roman" w:cs="Times New Roman"/>
          <w:color w:val="000000"/>
          <w:sz w:val="28"/>
          <w:szCs w:val="28"/>
        </w:rPr>
        <w:t xml:space="preserve"> 4 патенти на корисні моделі.</w:t>
      </w:r>
      <w:r w:rsidR="00F105F4" w:rsidRPr="00A841C4">
        <w:rPr>
          <w:rFonts w:ascii="Times New Roman" w:hAnsi="Times New Roman" w:cs="Times New Roman"/>
          <w:sz w:val="28"/>
          <w:szCs w:val="28"/>
          <w:shd w:val="clear" w:color="auto" w:fill="FFFFFF"/>
        </w:rPr>
        <w:t xml:space="preserve"> </w:t>
      </w:r>
      <w:r w:rsidR="00EF116B" w:rsidRPr="00A841C4">
        <w:rPr>
          <w:rFonts w:ascii="Times New Roman" w:hAnsi="Times New Roman" w:cs="Times New Roman"/>
          <w:sz w:val="28"/>
          <w:szCs w:val="28"/>
          <w:shd w:val="clear" w:color="auto" w:fill="FFFFFF"/>
        </w:rPr>
        <w:t>У 2016 р. публікація за темою дисертації була відзначена спеціальною нагородою Польської Асоціації Радіології.</w:t>
      </w:r>
    </w:p>
    <w:p w:rsidR="00D37CB3" w:rsidRDefault="00D37CB3" w:rsidP="00D37CB3">
      <w:pPr>
        <w:adjustRightInd w:val="0"/>
        <w:snapToGrid w:val="0"/>
        <w:spacing w:line="360" w:lineRule="auto"/>
        <w:ind w:firstLine="708"/>
        <w:jc w:val="both"/>
        <w:rPr>
          <w:rFonts w:ascii="Times New Roman" w:hAnsi="Times New Roman" w:cs="Times New Roman"/>
          <w:sz w:val="28"/>
          <w:szCs w:val="28"/>
          <w:lang w:eastAsia="ru-RU"/>
        </w:rPr>
      </w:pPr>
      <w:r w:rsidRPr="00785F76">
        <w:rPr>
          <w:rFonts w:ascii="Times New Roman" w:hAnsi="Times New Roman" w:cs="Times New Roman"/>
          <w:b/>
          <w:sz w:val="28"/>
          <w:szCs w:val="28"/>
          <w:lang w:eastAsia="ru-RU"/>
        </w:rPr>
        <w:lastRenderedPageBreak/>
        <w:t xml:space="preserve">Структура та обсяг дисертації. </w:t>
      </w:r>
      <w:r w:rsidRPr="00785F76">
        <w:rPr>
          <w:rFonts w:ascii="Times New Roman" w:hAnsi="Times New Roman" w:cs="Times New Roman"/>
          <w:sz w:val="28"/>
          <w:szCs w:val="28"/>
          <w:lang w:eastAsia="ru-RU"/>
        </w:rPr>
        <w:t xml:space="preserve">Дисертація складається зі вступу, огляду літератури, опису матеріалів і методів дослідження, </w:t>
      </w:r>
      <w:r w:rsidR="005A7B8C" w:rsidRPr="005A7B8C">
        <w:rPr>
          <w:rFonts w:ascii="Times New Roman" w:hAnsi="Times New Roman" w:cs="Times New Roman"/>
          <w:sz w:val="28"/>
          <w:szCs w:val="28"/>
          <w:lang w:eastAsia="ru-RU"/>
        </w:rPr>
        <w:t>5</w:t>
      </w:r>
      <w:r w:rsidRPr="00785F76">
        <w:rPr>
          <w:rFonts w:ascii="Times New Roman" w:hAnsi="Times New Roman" w:cs="Times New Roman"/>
          <w:sz w:val="28"/>
          <w:szCs w:val="28"/>
          <w:lang w:eastAsia="ru-RU"/>
        </w:rPr>
        <w:t xml:space="preserve"> розділів власних досліджень, аналізу й обгов</w:t>
      </w:r>
      <w:r>
        <w:rPr>
          <w:rFonts w:ascii="Times New Roman" w:hAnsi="Times New Roman" w:cs="Times New Roman"/>
          <w:sz w:val="28"/>
          <w:szCs w:val="28"/>
          <w:lang w:eastAsia="ru-RU"/>
        </w:rPr>
        <w:t xml:space="preserve">орення результатів, висновків, </w:t>
      </w:r>
      <w:r w:rsidR="00CB4995">
        <w:rPr>
          <w:rFonts w:ascii="Times New Roman" w:hAnsi="Times New Roman" w:cs="Times New Roman"/>
          <w:sz w:val="28"/>
          <w:szCs w:val="28"/>
          <w:lang w:eastAsia="ru-RU"/>
        </w:rPr>
        <w:t>практичних рекомендацій та додатків.</w:t>
      </w:r>
      <w:r w:rsidRPr="00785F7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Обсяг роботи складає</w:t>
      </w:r>
      <w:r w:rsidRPr="00785F76">
        <w:rPr>
          <w:rFonts w:ascii="Times New Roman" w:hAnsi="Times New Roman" w:cs="Times New Roman"/>
          <w:sz w:val="28"/>
          <w:szCs w:val="28"/>
          <w:lang w:eastAsia="ru-RU"/>
        </w:rPr>
        <w:t xml:space="preserve"> </w:t>
      </w:r>
      <w:r w:rsidR="00996EB8">
        <w:rPr>
          <w:rFonts w:ascii="Times New Roman" w:hAnsi="Times New Roman" w:cs="Times New Roman"/>
          <w:sz w:val="28"/>
          <w:szCs w:val="28"/>
          <w:lang w:eastAsia="ru-RU"/>
        </w:rPr>
        <w:t>343 сторінки</w:t>
      </w:r>
      <w:r w:rsidRPr="00785F76">
        <w:rPr>
          <w:rFonts w:ascii="Times New Roman" w:hAnsi="Times New Roman" w:cs="Times New Roman"/>
          <w:sz w:val="28"/>
          <w:szCs w:val="28"/>
          <w:lang w:eastAsia="ru-RU"/>
        </w:rPr>
        <w:t xml:space="preserve"> друкарського тексту, який містить </w:t>
      </w:r>
      <w:r w:rsidR="000F406C">
        <w:rPr>
          <w:rFonts w:ascii="Times New Roman" w:hAnsi="Times New Roman" w:cs="Times New Roman"/>
          <w:sz w:val="28"/>
          <w:szCs w:val="28"/>
          <w:lang w:eastAsia="ru-RU"/>
        </w:rPr>
        <w:t>82 рисунки</w:t>
      </w:r>
      <w:r w:rsidRPr="00785F76">
        <w:rPr>
          <w:rFonts w:ascii="Times New Roman" w:hAnsi="Times New Roman" w:cs="Times New Roman"/>
          <w:sz w:val="28"/>
          <w:szCs w:val="28"/>
          <w:lang w:eastAsia="ru-RU"/>
        </w:rPr>
        <w:t xml:space="preserve"> і </w:t>
      </w:r>
      <w:r w:rsidR="000F406C">
        <w:rPr>
          <w:rFonts w:ascii="Times New Roman" w:hAnsi="Times New Roman" w:cs="Times New Roman"/>
          <w:sz w:val="28"/>
          <w:szCs w:val="28"/>
          <w:lang w:eastAsia="ru-RU"/>
        </w:rPr>
        <w:t>4</w:t>
      </w:r>
      <w:r w:rsidR="00E342E1">
        <w:rPr>
          <w:rFonts w:ascii="Times New Roman" w:hAnsi="Times New Roman" w:cs="Times New Roman"/>
          <w:sz w:val="28"/>
          <w:szCs w:val="28"/>
          <w:lang w:eastAsia="ru-RU"/>
        </w:rPr>
        <w:t xml:space="preserve">0 </w:t>
      </w:r>
      <w:r>
        <w:rPr>
          <w:rFonts w:ascii="Times New Roman" w:hAnsi="Times New Roman" w:cs="Times New Roman"/>
          <w:sz w:val="28"/>
          <w:szCs w:val="28"/>
          <w:lang w:eastAsia="ru-RU"/>
        </w:rPr>
        <w:t>таблиць</w:t>
      </w:r>
      <w:r w:rsidRPr="00785F76">
        <w:rPr>
          <w:rFonts w:ascii="Times New Roman" w:hAnsi="Times New Roman" w:cs="Times New Roman"/>
          <w:sz w:val="28"/>
          <w:szCs w:val="28"/>
          <w:lang w:eastAsia="ru-RU"/>
        </w:rPr>
        <w:t xml:space="preserve">. Список використаних джерел літератури  </w:t>
      </w:r>
      <w:r>
        <w:rPr>
          <w:rFonts w:ascii="Times New Roman" w:hAnsi="Times New Roman" w:cs="Times New Roman"/>
          <w:sz w:val="28"/>
          <w:szCs w:val="28"/>
          <w:lang w:eastAsia="ru-RU"/>
        </w:rPr>
        <w:t>включає в себе</w:t>
      </w:r>
      <w:r w:rsidRPr="00785F76">
        <w:rPr>
          <w:rFonts w:ascii="Times New Roman" w:hAnsi="Times New Roman" w:cs="Times New Roman"/>
          <w:sz w:val="28"/>
          <w:szCs w:val="28"/>
          <w:lang w:eastAsia="ru-RU"/>
        </w:rPr>
        <w:t xml:space="preserve"> </w:t>
      </w:r>
      <w:r w:rsidR="0061473E" w:rsidRPr="009E6C7E">
        <w:rPr>
          <w:rFonts w:ascii="Times New Roman" w:hAnsi="Times New Roman" w:cs="Times New Roman"/>
          <w:sz w:val="28"/>
          <w:szCs w:val="28"/>
          <w:lang w:val="ru-RU" w:eastAsia="ru-RU"/>
        </w:rPr>
        <w:t>470</w:t>
      </w:r>
      <w:r w:rsidR="0061473E">
        <w:rPr>
          <w:rFonts w:ascii="Times New Roman" w:hAnsi="Times New Roman" w:cs="Times New Roman"/>
          <w:sz w:val="28"/>
          <w:szCs w:val="28"/>
          <w:lang w:eastAsia="ru-RU"/>
        </w:rPr>
        <w:t xml:space="preserve"> робіт</w:t>
      </w:r>
      <w:r w:rsidRPr="00785F76">
        <w:rPr>
          <w:rFonts w:ascii="Times New Roman" w:hAnsi="Times New Roman" w:cs="Times New Roman"/>
          <w:sz w:val="28"/>
          <w:szCs w:val="28"/>
          <w:lang w:eastAsia="ru-RU"/>
        </w:rPr>
        <w:t xml:space="preserve">, з них </w:t>
      </w:r>
      <w:r w:rsidR="0061473E">
        <w:rPr>
          <w:rFonts w:ascii="Times New Roman" w:hAnsi="Times New Roman" w:cs="Times New Roman"/>
          <w:sz w:val="28"/>
          <w:szCs w:val="28"/>
          <w:lang w:eastAsia="ru-RU"/>
        </w:rPr>
        <w:t>74</w:t>
      </w:r>
      <w:r w:rsidRPr="00785F76">
        <w:rPr>
          <w:rFonts w:ascii="Times New Roman" w:hAnsi="Times New Roman" w:cs="Times New Roman"/>
          <w:sz w:val="28"/>
          <w:szCs w:val="28"/>
          <w:lang w:eastAsia="ru-RU"/>
        </w:rPr>
        <w:t xml:space="preserve"> надруковано кирилицею і </w:t>
      </w:r>
      <w:r w:rsidR="0061473E">
        <w:rPr>
          <w:rFonts w:ascii="Times New Roman" w:hAnsi="Times New Roman" w:cs="Times New Roman"/>
          <w:sz w:val="28"/>
          <w:szCs w:val="28"/>
          <w:lang w:eastAsia="ru-RU"/>
        </w:rPr>
        <w:t>396</w:t>
      </w:r>
      <w:r w:rsidR="003149EB">
        <w:rPr>
          <w:rFonts w:ascii="Times New Roman" w:hAnsi="Times New Roman" w:cs="Times New Roman"/>
          <w:sz w:val="28"/>
          <w:szCs w:val="28"/>
          <w:lang w:eastAsia="ru-RU"/>
        </w:rPr>
        <w:t xml:space="preserve"> – латиною</w:t>
      </w:r>
      <w:r w:rsidRPr="00785F76">
        <w:rPr>
          <w:rFonts w:ascii="Times New Roman" w:hAnsi="Times New Roman" w:cs="Times New Roman"/>
          <w:sz w:val="28"/>
          <w:szCs w:val="28"/>
          <w:lang w:eastAsia="ru-RU"/>
        </w:rPr>
        <w:t>.</w:t>
      </w:r>
    </w:p>
    <w:p w:rsidR="006F3224" w:rsidRDefault="006F3224" w:rsidP="00D37CB3">
      <w:pPr>
        <w:adjustRightInd w:val="0"/>
        <w:snapToGrid w:val="0"/>
        <w:spacing w:line="360" w:lineRule="auto"/>
        <w:ind w:firstLine="708"/>
        <w:jc w:val="both"/>
        <w:rPr>
          <w:rFonts w:ascii="Times New Roman" w:hAnsi="Times New Roman" w:cs="Times New Roman"/>
          <w:sz w:val="28"/>
          <w:szCs w:val="28"/>
          <w:lang w:eastAsia="ru-RU"/>
        </w:rPr>
      </w:pPr>
    </w:p>
    <w:p w:rsidR="001E6EFC" w:rsidRDefault="001E6EFC" w:rsidP="001E6EFC">
      <w:pPr>
        <w:spacing w:line="360" w:lineRule="auto"/>
        <w:contextualSpacing/>
        <w:rPr>
          <w:rFonts w:ascii="Times New Roman" w:hAnsi="Times New Roman" w:cs="Times New Roman"/>
          <w:b/>
          <w:sz w:val="28"/>
          <w:szCs w:val="28"/>
        </w:rPr>
      </w:pPr>
    </w:p>
    <w:p w:rsidR="001E6EFC" w:rsidRDefault="001E6EFC" w:rsidP="001E6EFC">
      <w:pPr>
        <w:spacing w:line="360" w:lineRule="auto"/>
        <w:contextualSpacing/>
        <w:rPr>
          <w:rFonts w:ascii="Times New Roman" w:hAnsi="Times New Roman" w:cs="Times New Roman"/>
          <w:b/>
          <w:sz w:val="28"/>
          <w:szCs w:val="28"/>
        </w:rPr>
      </w:pPr>
    </w:p>
    <w:p w:rsidR="001E6EFC" w:rsidRDefault="001E6EFC" w:rsidP="001E6EFC">
      <w:pPr>
        <w:spacing w:line="360" w:lineRule="auto"/>
        <w:contextualSpacing/>
        <w:rPr>
          <w:rFonts w:ascii="Times New Roman" w:hAnsi="Times New Roman" w:cs="Times New Roman"/>
          <w:b/>
          <w:sz w:val="28"/>
          <w:szCs w:val="28"/>
        </w:rPr>
      </w:pPr>
    </w:p>
    <w:p w:rsidR="001E6EFC" w:rsidRDefault="001E6EFC" w:rsidP="001E6EFC">
      <w:pPr>
        <w:spacing w:line="360" w:lineRule="auto"/>
        <w:contextualSpacing/>
        <w:rPr>
          <w:rFonts w:ascii="Times New Roman" w:hAnsi="Times New Roman" w:cs="Times New Roman"/>
          <w:b/>
          <w:sz w:val="28"/>
          <w:szCs w:val="28"/>
        </w:rPr>
      </w:pPr>
    </w:p>
    <w:p w:rsidR="001E6EFC" w:rsidRDefault="001E6EFC" w:rsidP="001E6EFC">
      <w:pPr>
        <w:spacing w:line="360" w:lineRule="auto"/>
        <w:contextualSpacing/>
        <w:rPr>
          <w:rFonts w:ascii="Times New Roman" w:hAnsi="Times New Roman" w:cs="Times New Roman"/>
          <w:b/>
          <w:sz w:val="28"/>
          <w:szCs w:val="28"/>
        </w:rPr>
      </w:pPr>
    </w:p>
    <w:p w:rsidR="001E6EFC" w:rsidRDefault="001E6EFC" w:rsidP="001E6EFC">
      <w:pPr>
        <w:spacing w:line="360" w:lineRule="auto"/>
        <w:contextualSpacing/>
        <w:rPr>
          <w:rFonts w:ascii="Times New Roman" w:hAnsi="Times New Roman" w:cs="Times New Roman"/>
          <w:b/>
          <w:sz w:val="28"/>
          <w:szCs w:val="28"/>
        </w:rPr>
      </w:pPr>
    </w:p>
    <w:p w:rsidR="001E6EFC" w:rsidRDefault="001E6EFC" w:rsidP="001E6EFC">
      <w:pPr>
        <w:spacing w:line="360" w:lineRule="auto"/>
        <w:contextualSpacing/>
        <w:rPr>
          <w:rFonts w:ascii="Times New Roman" w:hAnsi="Times New Roman" w:cs="Times New Roman"/>
          <w:b/>
          <w:sz w:val="28"/>
          <w:szCs w:val="28"/>
        </w:rPr>
      </w:pPr>
    </w:p>
    <w:p w:rsidR="001E6EFC" w:rsidRDefault="001E6EFC" w:rsidP="001E6EFC">
      <w:pPr>
        <w:spacing w:line="360" w:lineRule="auto"/>
        <w:contextualSpacing/>
        <w:rPr>
          <w:rFonts w:ascii="Times New Roman" w:hAnsi="Times New Roman" w:cs="Times New Roman"/>
          <w:b/>
          <w:sz w:val="28"/>
          <w:szCs w:val="28"/>
        </w:rPr>
      </w:pPr>
    </w:p>
    <w:p w:rsidR="001E6EFC" w:rsidRDefault="001E6EFC" w:rsidP="001E6EFC">
      <w:pPr>
        <w:spacing w:line="360" w:lineRule="auto"/>
        <w:contextualSpacing/>
        <w:rPr>
          <w:rFonts w:ascii="Times New Roman" w:hAnsi="Times New Roman" w:cs="Times New Roman"/>
          <w:b/>
          <w:sz w:val="28"/>
          <w:szCs w:val="28"/>
        </w:rPr>
      </w:pPr>
    </w:p>
    <w:p w:rsidR="00321B82" w:rsidRDefault="00321B82" w:rsidP="001E6EFC">
      <w:pPr>
        <w:spacing w:line="360" w:lineRule="auto"/>
        <w:contextualSpacing/>
        <w:rPr>
          <w:rFonts w:ascii="Times New Roman" w:hAnsi="Times New Roman" w:cs="Times New Roman"/>
          <w:b/>
          <w:sz w:val="28"/>
          <w:szCs w:val="28"/>
        </w:rPr>
      </w:pPr>
    </w:p>
    <w:p w:rsidR="00321B82" w:rsidRDefault="00321B82" w:rsidP="001E6EFC">
      <w:pPr>
        <w:spacing w:line="360" w:lineRule="auto"/>
        <w:contextualSpacing/>
        <w:rPr>
          <w:rFonts w:ascii="Times New Roman" w:hAnsi="Times New Roman" w:cs="Times New Roman"/>
          <w:b/>
          <w:sz w:val="28"/>
          <w:szCs w:val="28"/>
        </w:rPr>
      </w:pPr>
    </w:p>
    <w:p w:rsidR="00321B82" w:rsidRDefault="00321B82" w:rsidP="001E6EFC">
      <w:pPr>
        <w:spacing w:line="360" w:lineRule="auto"/>
        <w:contextualSpacing/>
        <w:rPr>
          <w:rFonts w:ascii="Times New Roman" w:hAnsi="Times New Roman" w:cs="Times New Roman"/>
          <w:b/>
          <w:sz w:val="28"/>
          <w:szCs w:val="28"/>
        </w:rPr>
      </w:pPr>
    </w:p>
    <w:p w:rsidR="00321B82" w:rsidRDefault="00321B82" w:rsidP="001E6EFC">
      <w:pPr>
        <w:spacing w:line="360" w:lineRule="auto"/>
        <w:contextualSpacing/>
        <w:rPr>
          <w:rFonts w:ascii="Times New Roman" w:hAnsi="Times New Roman" w:cs="Times New Roman"/>
          <w:b/>
          <w:sz w:val="28"/>
          <w:szCs w:val="28"/>
        </w:rPr>
      </w:pPr>
    </w:p>
    <w:p w:rsidR="00AC6827" w:rsidRDefault="00AC6827" w:rsidP="001E6EFC">
      <w:pPr>
        <w:spacing w:line="360" w:lineRule="auto"/>
        <w:contextualSpacing/>
        <w:rPr>
          <w:rFonts w:ascii="Times New Roman" w:hAnsi="Times New Roman" w:cs="Times New Roman"/>
          <w:b/>
          <w:sz w:val="28"/>
          <w:szCs w:val="28"/>
        </w:rPr>
      </w:pPr>
    </w:p>
    <w:p w:rsidR="00AC6827" w:rsidRDefault="00AC6827" w:rsidP="001E6EFC">
      <w:pPr>
        <w:spacing w:line="360" w:lineRule="auto"/>
        <w:contextualSpacing/>
        <w:rPr>
          <w:rFonts w:ascii="Times New Roman" w:hAnsi="Times New Roman" w:cs="Times New Roman"/>
          <w:b/>
          <w:sz w:val="28"/>
          <w:szCs w:val="28"/>
        </w:rPr>
      </w:pPr>
    </w:p>
    <w:p w:rsidR="00AC6827" w:rsidRDefault="00AC6827" w:rsidP="001E6EFC">
      <w:pPr>
        <w:spacing w:line="360" w:lineRule="auto"/>
        <w:contextualSpacing/>
        <w:rPr>
          <w:rFonts w:ascii="Times New Roman" w:hAnsi="Times New Roman" w:cs="Times New Roman"/>
          <w:b/>
          <w:sz w:val="28"/>
          <w:szCs w:val="28"/>
        </w:rPr>
      </w:pPr>
    </w:p>
    <w:p w:rsidR="00AC6827" w:rsidRDefault="00AC6827" w:rsidP="001E6EFC">
      <w:pPr>
        <w:spacing w:line="360" w:lineRule="auto"/>
        <w:contextualSpacing/>
        <w:rPr>
          <w:rFonts w:ascii="Times New Roman" w:hAnsi="Times New Roman" w:cs="Times New Roman"/>
          <w:b/>
          <w:sz w:val="28"/>
          <w:szCs w:val="28"/>
        </w:rPr>
      </w:pPr>
    </w:p>
    <w:p w:rsidR="00AC6827" w:rsidRDefault="00AC6827" w:rsidP="001E6EFC">
      <w:pPr>
        <w:spacing w:line="360" w:lineRule="auto"/>
        <w:contextualSpacing/>
        <w:rPr>
          <w:rFonts w:ascii="Times New Roman" w:hAnsi="Times New Roman" w:cs="Times New Roman"/>
          <w:b/>
          <w:sz w:val="28"/>
          <w:szCs w:val="28"/>
        </w:rPr>
      </w:pPr>
    </w:p>
    <w:p w:rsidR="00AC6827" w:rsidRDefault="00AC6827" w:rsidP="001E6EFC">
      <w:pPr>
        <w:spacing w:line="360" w:lineRule="auto"/>
        <w:contextualSpacing/>
        <w:rPr>
          <w:rFonts w:ascii="Times New Roman" w:hAnsi="Times New Roman" w:cs="Times New Roman"/>
          <w:b/>
          <w:sz w:val="28"/>
          <w:szCs w:val="28"/>
        </w:rPr>
      </w:pPr>
    </w:p>
    <w:p w:rsidR="003E60C9" w:rsidRDefault="003E60C9" w:rsidP="001E6EFC">
      <w:pPr>
        <w:spacing w:line="360" w:lineRule="auto"/>
        <w:contextualSpacing/>
        <w:rPr>
          <w:rFonts w:ascii="Times New Roman" w:hAnsi="Times New Roman" w:cs="Times New Roman"/>
          <w:b/>
          <w:sz w:val="28"/>
          <w:szCs w:val="28"/>
        </w:rPr>
      </w:pPr>
    </w:p>
    <w:p w:rsidR="003E60C9" w:rsidRDefault="003E60C9" w:rsidP="001E6EFC">
      <w:pPr>
        <w:spacing w:line="360" w:lineRule="auto"/>
        <w:contextualSpacing/>
        <w:rPr>
          <w:rFonts w:ascii="Times New Roman" w:hAnsi="Times New Roman" w:cs="Times New Roman"/>
          <w:b/>
          <w:sz w:val="28"/>
          <w:szCs w:val="28"/>
        </w:rPr>
      </w:pPr>
    </w:p>
    <w:p w:rsidR="001E6EFC" w:rsidRPr="00E95833" w:rsidRDefault="001E6EFC" w:rsidP="00EF116B">
      <w:pPr>
        <w:spacing w:line="360" w:lineRule="auto"/>
        <w:contextualSpacing/>
        <w:jc w:val="both"/>
        <w:rPr>
          <w:rFonts w:ascii="Times New Roman" w:hAnsi="Times New Roman" w:cs="Times New Roman"/>
          <w:b/>
          <w:sz w:val="28"/>
        </w:rPr>
      </w:pPr>
      <w:r w:rsidRPr="00E95833">
        <w:rPr>
          <w:rFonts w:ascii="Times New Roman" w:hAnsi="Times New Roman" w:cs="Times New Roman"/>
          <w:b/>
          <w:sz w:val="28"/>
          <w:szCs w:val="28"/>
        </w:rPr>
        <w:lastRenderedPageBreak/>
        <w:t xml:space="preserve">РОЗДІЛ 1. СУЧАСНИЙ ПОГЛЯД НА ПРОБЛЕМУ ДІАГНОСТИКИ І ЛІКУВАННЯ </w:t>
      </w:r>
      <w:r w:rsidRPr="00E95833">
        <w:rPr>
          <w:rFonts w:ascii="Times New Roman" w:hAnsi="Times New Roman" w:cs="Times New Roman"/>
          <w:b/>
          <w:sz w:val="28"/>
        </w:rPr>
        <w:t xml:space="preserve">НИРКОВО-КЛІТИННОГО РАКУ </w:t>
      </w:r>
    </w:p>
    <w:p w:rsidR="001E6EFC" w:rsidRPr="00E95833" w:rsidRDefault="001E6EFC" w:rsidP="001E6EFC">
      <w:pPr>
        <w:spacing w:line="360" w:lineRule="auto"/>
        <w:contextualSpacing/>
        <w:rPr>
          <w:rFonts w:ascii="Times New Roman" w:hAnsi="Times New Roman" w:cs="Times New Roman"/>
          <w:b/>
          <w:sz w:val="28"/>
        </w:rPr>
      </w:pPr>
      <w:r w:rsidRPr="00E95833">
        <w:rPr>
          <w:rFonts w:ascii="Times New Roman" w:hAnsi="Times New Roman" w:cs="Times New Roman"/>
          <w:b/>
          <w:sz w:val="28"/>
        </w:rPr>
        <w:t>(ОГЛЯД ЛІТЕРАТУРИ)</w:t>
      </w:r>
    </w:p>
    <w:p w:rsidR="001E6EFC" w:rsidRPr="003C6AA7" w:rsidRDefault="001E6EFC" w:rsidP="001E6EFC">
      <w:pPr>
        <w:spacing w:line="360" w:lineRule="auto"/>
        <w:rPr>
          <w:rFonts w:ascii="Times New Roman" w:hAnsi="Times New Roman" w:cs="Times New Roman"/>
          <w:b/>
          <w:sz w:val="28"/>
          <w:szCs w:val="28"/>
        </w:rPr>
      </w:pPr>
    </w:p>
    <w:p w:rsidR="001E6EFC" w:rsidRPr="00C51D93" w:rsidRDefault="001E6EFC" w:rsidP="001E6EFC">
      <w:pPr>
        <w:pStyle w:val="ListParagraph"/>
        <w:numPr>
          <w:ilvl w:val="1"/>
          <w:numId w:val="4"/>
        </w:numPr>
        <w:spacing w:line="360" w:lineRule="auto"/>
        <w:rPr>
          <w:rFonts w:ascii="Times New Roman" w:hAnsi="Times New Roman" w:cs="Times New Roman"/>
          <w:b/>
          <w:sz w:val="28"/>
          <w:szCs w:val="28"/>
        </w:rPr>
      </w:pPr>
      <w:r w:rsidRPr="001E32D8">
        <w:rPr>
          <w:rFonts w:ascii="Times New Roman" w:hAnsi="Times New Roman" w:cs="Times New Roman"/>
          <w:b/>
          <w:sz w:val="28"/>
          <w:szCs w:val="28"/>
        </w:rPr>
        <w:t xml:space="preserve">Епідеміологія та демографія нирково-клітинного раку </w:t>
      </w:r>
    </w:p>
    <w:p w:rsidR="001E6EFC" w:rsidRDefault="001E6EFC" w:rsidP="001E6EFC">
      <w:pPr>
        <w:spacing w:line="240" w:lineRule="auto"/>
        <w:ind w:firstLine="708"/>
        <w:rPr>
          <w:rFonts w:ascii="Times New Roman" w:hAnsi="Times New Roman" w:cs="Times New Roman"/>
          <w:sz w:val="28"/>
          <w:szCs w:val="28"/>
        </w:rPr>
      </w:pPr>
    </w:p>
    <w:p w:rsidR="001E6EFC" w:rsidRPr="00BF62DA" w:rsidRDefault="001E6EFC" w:rsidP="001E6EFC">
      <w:pPr>
        <w:spacing w:line="360" w:lineRule="auto"/>
        <w:jc w:val="both"/>
        <w:rPr>
          <w:rFonts w:ascii="Times New Roman" w:hAnsi="Times New Roman" w:cs="Times New Roman"/>
          <w:sz w:val="28"/>
          <w:szCs w:val="28"/>
        </w:rPr>
      </w:pPr>
      <w:r w:rsidRPr="00BF62DA">
        <w:rPr>
          <w:rFonts w:ascii="Times New Roman" w:hAnsi="Times New Roman" w:cs="Times New Roman"/>
          <w:sz w:val="28"/>
          <w:szCs w:val="28"/>
        </w:rPr>
        <w:tab/>
        <w:t xml:space="preserve">На сьогоднішній день, нирково-клітинний рак (НКР) належить до 10-ти найбільш розповсюджених злоякісних пухлин у всьому світі </w:t>
      </w:r>
      <w:r>
        <w:rPr>
          <w:rFonts w:ascii="Times New Roman" w:hAnsi="Times New Roman" w:cs="Times New Roman"/>
          <w:sz w:val="28"/>
          <w:szCs w:val="28"/>
        </w:rPr>
        <w:t>[</w:t>
      </w:r>
      <w:r>
        <w:rPr>
          <w:rFonts w:ascii="Times New Roman" w:hAnsi="Times New Roman" w:cs="Times New Roman"/>
          <w:color w:val="000000"/>
          <w:sz w:val="28"/>
          <w:szCs w:val="28"/>
        </w:rPr>
        <w:t>425</w:t>
      </w:r>
      <w:r>
        <w:rPr>
          <w:rFonts w:ascii="Times New Roman" w:hAnsi="Times New Roman" w:cs="Times New Roman"/>
          <w:sz w:val="28"/>
          <w:szCs w:val="28"/>
        </w:rPr>
        <w:t>]. На відміну від уротеліальної</w:t>
      </w:r>
      <w:r w:rsidRPr="00BF62DA">
        <w:rPr>
          <w:rFonts w:ascii="Times New Roman" w:hAnsi="Times New Roman" w:cs="Times New Roman"/>
          <w:sz w:val="28"/>
          <w:szCs w:val="28"/>
        </w:rPr>
        <w:t xml:space="preserve"> карцином</w:t>
      </w:r>
      <w:r>
        <w:rPr>
          <w:rFonts w:ascii="Times New Roman" w:hAnsi="Times New Roman" w:cs="Times New Roman"/>
          <w:sz w:val="28"/>
          <w:szCs w:val="28"/>
        </w:rPr>
        <w:t>и нирки, яка</w:t>
      </w:r>
      <w:r w:rsidRPr="00BF62DA">
        <w:rPr>
          <w:rFonts w:ascii="Times New Roman" w:hAnsi="Times New Roman" w:cs="Times New Roman"/>
          <w:sz w:val="28"/>
          <w:szCs w:val="28"/>
        </w:rPr>
        <w:t xml:space="preserve"> походять із клітин ниркової миски, НКР виникає в нирковій паренхімі і складає більш ніж 85% від усіх злоякісних новоутворень</w:t>
      </w:r>
      <w:r>
        <w:rPr>
          <w:rFonts w:ascii="Times New Roman" w:hAnsi="Times New Roman" w:cs="Times New Roman"/>
          <w:sz w:val="28"/>
          <w:szCs w:val="28"/>
        </w:rPr>
        <w:t xml:space="preserve"> (ЗН) нирки [</w:t>
      </w:r>
      <w:r>
        <w:rPr>
          <w:rFonts w:ascii="Times New Roman" w:hAnsi="Times New Roman" w:cs="Times New Roman"/>
          <w:color w:val="000000" w:themeColor="text1"/>
          <w:sz w:val="28"/>
          <w:szCs w:val="28"/>
          <w:shd w:val="clear" w:color="auto" w:fill="FFFFFF"/>
        </w:rPr>
        <w:t>190</w:t>
      </w:r>
      <w:r w:rsidRPr="00BF62DA">
        <w:rPr>
          <w:rFonts w:ascii="Times New Roman" w:hAnsi="Times New Roman" w:cs="Times New Roman"/>
          <w:sz w:val="28"/>
          <w:szCs w:val="28"/>
        </w:rPr>
        <w:t>]. За даними Всесвітньої Організації Охорони Здоров’я (ВООЗ) щорічно у всьому світі діагностується близько 273,500 випадків НКР (з них 169000 чоловіків та 104,500 жін</w:t>
      </w:r>
      <w:r>
        <w:rPr>
          <w:rFonts w:ascii="Times New Roman" w:hAnsi="Times New Roman" w:cs="Times New Roman"/>
          <w:sz w:val="28"/>
          <w:szCs w:val="28"/>
        </w:rPr>
        <w:t>ок), що становить 2,2% від усієї захворюваності на рак</w:t>
      </w:r>
      <w:r w:rsidRPr="00BF62DA">
        <w:rPr>
          <w:rFonts w:ascii="Times New Roman" w:hAnsi="Times New Roman" w:cs="Times New Roman"/>
          <w:sz w:val="28"/>
          <w:szCs w:val="28"/>
        </w:rPr>
        <w:t xml:space="preserve"> у дорослих</w:t>
      </w:r>
      <w:r>
        <w:rPr>
          <w:rFonts w:ascii="Times New Roman" w:hAnsi="Times New Roman" w:cs="Times New Roman"/>
          <w:sz w:val="28"/>
          <w:szCs w:val="28"/>
        </w:rPr>
        <w:t xml:space="preserve"> осіб [</w:t>
      </w:r>
      <w:r>
        <w:rPr>
          <w:rFonts w:ascii="Times New Roman" w:hAnsi="Times New Roman" w:cs="Times New Roman"/>
          <w:color w:val="000000"/>
          <w:sz w:val="28"/>
          <w:szCs w:val="28"/>
        </w:rPr>
        <w:t>425</w:t>
      </w:r>
      <w:r w:rsidRPr="00BF62DA">
        <w:rPr>
          <w:rFonts w:ascii="Times New Roman" w:hAnsi="Times New Roman" w:cs="Times New Roman"/>
          <w:sz w:val="28"/>
          <w:szCs w:val="28"/>
        </w:rPr>
        <w:t xml:space="preserve">]. Глобально спостерігається стійке зростання показника захворюваності на НКР </w:t>
      </w:r>
      <w:r>
        <w:rPr>
          <w:rFonts w:ascii="Times New Roman" w:hAnsi="Times New Roman" w:cs="Times New Roman"/>
          <w:sz w:val="28"/>
          <w:szCs w:val="28"/>
        </w:rPr>
        <w:t xml:space="preserve">в середньому </w:t>
      </w:r>
      <w:r w:rsidRPr="00BF62DA">
        <w:rPr>
          <w:rFonts w:ascii="Times New Roman" w:hAnsi="Times New Roman" w:cs="Times New Roman"/>
          <w:sz w:val="28"/>
          <w:szCs w:val="28"/>
        </w:rPr>
        <w:t>на 2% щорічно</w:t>
      </w:r>
      <w:r>
        <w:rPr>
          <w:rFonts w:ascii="Times New Roman" w:hAnsi="Times New Roman" w:cs="Times New Roman"/>
          <w:sz w:val="28"/>
          <w:szCs w:val="28"/>
        </w:rPr>
        <w:t xml:space="preserve"> [</w:t>
      </w:r>
      <w:r>
        <w:rPr>
          <w:rFonts w:ascii="Times New Roman" w:hAnsi="Times New Roman" w:cs="Times New Roman"/>
          <w:color w:val="000000" w:themeColor="text1"/>
          <w:sz w:val="28"/>
          <w:szCs w:val="28"/>
          <w:shd w:val="clear" w:color="auto" w:fill="FFFFFF"/>
        </w:rPr>
        <w:t>190</w:t>
      </w:r>
      <w:r w:rsidRPr="00BF62DA">
        <w:rPr>
          <w:rFonts w:ascii="Times New Roman" w:hAnsi="Times New Roman" w:cs="Times New Roman"/>
          <w:sz w:val="28"/>
          <w:szCs w:val="28"/>
        </w:rPr>
        <w:t xml:space="preserve">]. ВООЗ було </w:t>
      </w:r>
      <w:r>
        <w:rPr>
          <w:rFonts w:ascii="Times New Roman" w:hAnsi="Times New Roman" w:cs="Times New Roman"/>
          <w:sz w:val="28"/>
          <w:szCs w:val="28"/>
        </w:rPr>
        <w:t>п</w:t>
      </w:r>
      <w:r w:rsidRPr="00BF62DA">
        <w:rPr>
          <w:rFonts w:ascii="Times New Roman" w:hAnsi="Times New Roman" w:cs="Times New Roman"/>
          <w:sz w:val="28"/>
          <w:szCs w:val="28"/>
        </w:rPr>
        <w:t>рогнозовано</w:t>
      </w:r>
      <w:r>
        <w:rPr>
          <w:rFonts w:ascii="Times New Roman" w:hAnsi="Times New Roman" w:cs="Times New Roman"/>
          <w:sz w:val="28"/>
          <w:szCs w:val="28"/>
        </w:rPr>
        <w:t xml:space="preserve"> продовження елевації </w:t>
      </w:r>
      <w:r w:rsidRPr="00BF62DA">
        <w:rPr>
          <w:rFonts w:ascii="Times New Roman" w:hAnsi="Times New Roman" w:cs="Times New Roman"/>
          <w:sz w:val="28"/>
          <w:szCs w:val="28"/>
        </w:rPr>
        <w:t xml:space="preserve">захворюваності на НКР у цілому світі щонайменше до 2030 р, при цьому найбільші темпи </w:t>
      </w:r>
      <w:r>
        <w:rPr>
          <w:rFonts w:ascii="Times New Roman" w:hAnsi="Times New Roman" w:cs="Times New Roman"/>
          <w:sz w:val="28"/>
          <w:szCs w:val="28"/>
        </w:rPr>
        <w:t>її</w:t>
      </w:r>
      <w:r w:rsidRPr="00BF62DA">
        <w:rPr>
          <w:rFonts w:ascii="Times New Roman" w:hAnsi="Times New Roman" w:cs="Times New Roman"/>
          <w:sz w:val="28"/>
          <w:szCs w:val="28"/>
        </w:rPr>
        <w:t xml:space="preserve"> приросту стосуватимуться жіночої статі. Передбачається, що у 2030 р. загальна кількість осіб із діагнозом НКР становитиме 466 000 випадків (290 500 чоловіків та 175 500 жінок), </w:t>
      </w:r>
      <w:r>
        <w:rPr>
          <w:rFonts w:ascii="Times New Roman" w:hAnsi="Times New Roman" w:cs="Times New Roman"/>
          <w:sz w:val="28"/>
          <w:szCs w:val="28"/>
        </w:rPr>
        <w:t xml:space="preserve">а </w:t>
      </w:r>
      <w:r w:rsidRPr="00BF62DA">
        <w:rPr>
          <w:rFonts w:ascii="Times New Roman" w:hAnsi="Times New Roman" w:cs="Times New Roman"/>
          <w:sz w:val="28"/>
          <w:szCs w:val="28"/>
        </w:rPr>
        <w:t>найвищі рівні захворюваності залишатимуться у Американському, Тихоокеанськ</w:t>
      </w:r>
      <w:r>
        <w:rPr>
          <w:rFonts w:ascii="Times New Roman" w:hAnsi="Times New Roman" w:cs="Times New Roman"/>
          <w:sz w:val="28"/>
          <w:szCs w:val="28"/>
        </w:rPr>
        <w:t>ому та Європейському регіонах [</w:t>
      </w:r>
      <w:r>
        <w:rPr>
          <w:rFonts w:ascii="Times New Roman" w:hAnsi="Times New Roman" w:cs="Times New Roman"/>
          <w:color w:val="000000"/>
          <w:sz w:val="28"/>
          <w:szCs w:val="28"/>
        </w:rPr>
        <w:t>425</w:t>
      </w:r>
      <w:r w:rsidRPr="00BF62DA">
        <w:rPr>
          <w:rFonts w:ascii="Times New Roman" w:hAnsi="Times New Roman" w:cs="Times New Roman"/>
          <w:sz w:val="28"/>
          <w:szCs w:val="28"/>
        </w:rPr>
        <w:t>].</w:t>
      </w:r>
    </w:p>
    <w:p w:rsidR="001E6EFC" w:rsidRDefault="001E6EFC" w:rsidP="001E6EFC">
      <w:pPr>
        <w:spacing w:line="360" w:lineRule="auto"/>
        <w:ind w:firstLine="708"/>
        <w:jc w:val="both"/>
        <w:rPr>
          <w:rFonts w:ascii="Times New Roman" w:hAnsi="Times New Roman" w:cs="Times New Roman"/>
          <w:sz w:val="28"/>
          <w:szCs w:val="28"/>
        </w:rPr>
      </w:pPr>
      <w:r w:rsidRPr="00BF62DA">
        <w:rPr>
          <w:rFonts w:ascii="Times New Roman" w:hAnsi="Times New Roman" w:cs="Times New Roman"/>
          <w:sz w:val="28"/>
          <w:szCs w:val="28"/>
        </w:rPr>
        <w:t xml:space="preserve">В Україні тенденції щодо захворюваності на НКР впродовж останніх 17 років на жаль відповідають загальносвітовим. Так, щорічно в нашій державі </w:t>
      </w:r>
      <w:r>
        <w:rPr>
          <w:rFonts w:ascii="Times New Roman" w:hAnsi="Times New Roman" w:cs="Times New Roman"/>
          <w:sz w:val="28"/>
          <w:szCs w:val="28"/>
        </w:rPr>
        <w:t>вперше діагностується близько 55</w:t>
      </w:r>
      <w:r w:rsidRPr="00BF62DA">
        <w:rPr>
          <w:rFonts w:ascii="Times New Roman" w:hAnsi="Times New Roman" w:cs="Times New Roman"/>
          <w:sz w:val="28"/>
          <w:szCs w:val="28"/>
        </w:rPr>
        <w:t>00 випадків НКР</w:t>
      </w:r>
      <w:r>
        <w:rPr>
          <w:rFonts w:ascii="Times New Roman" w:hAnsi="Times New Roman" w:cs="Times New Roman"/>
          <w:sz w:val="28"/>
          <w:szCs w:val="28"/>
        </w:rPr>
        <w:t xml:space="preserve"> (3300 чоловіків і 22</w:t>
      </w:r>
      <w:r w:rsidRPr="00BF62DA">
        <w:rPr>
          <w:rFonts w:ascii="Times New Roman" w:hAnsi="Times New Roman" w:cs="Times New Roman"/>
          <w:sz w:val="28"/>
          <w:szCs w:val="28"/>
        </w:rPr>
        <w:t xml:space="preserve">00 жінок). </w:t>
      </w:r>
      <w:r>
        <w:rPr>
          <w:rFonts w:ascii="Times New Roman" w:hAnsi="Times New Roman" w:cs="Times New Roman"/>
          <w:sz w:val="28"/>
          <w:szCs w:val="28"/>
        </w:rPr>
        <w:t>В 2015 р. НКР знаходився на 7 місці у чоловіків (4,2%) та на 9 місці у жінок (2,7%) в загальній структурі контингентів хворих із ЗН</w:t>
      </w:r>
      <w:r w:rsidRPr="003A2ED1">
        <w:rPr>
          <w:rFonts w:ascii="Times New Roman" w:hAnsi="Times New Roman" w:cs="Times New Roman"/>
          <w:sz w:val="28"/>
          <w:szCs w:val="28"/>
        </w:rPr>
        <w:t xml:space="preserve"> </w:t>
      </w:r>
      <w:r>
        <w:rPr>
          <w:rFonts w:ascii="Times New Roman" w:hAnsi="Times New Roman" w:cs="Times New Roman"/>
          <w:sz w:val="28"/>
          <w:szCs w:val="28"/>
        </w:rPr>
        <w:t>[46, 70</w:t>
      </w:r>
      <w:r w:rsidRPr="00D90F8C">
        <w:rPr>
          <w:rFonts w:ascii="Times New Roman" w:hAnsi="Times New Roman" w:cs="Times New Roman"/>
          <w:sz w:val="28"/>
          <w:szCs w:val="28"/>
        </w:rPr>
        <w:t>]</w:t>
      </w:r>
      <w:r>
        <w:rPr>
          <w:rFonts w:ascii="Times New Roman" w:hAnsi="Times New Roman" w:cs="Times New Roman"/>
          <w:sz w:val="28"/>
          <w:szCs w:val="28"/>
        </w:rPr>
        <w:t>. З</w:t>
      </w:r>
      <w:r w:rsidRPr="00BF62DA">
        <w:rPr>
          <w:rFonts w:ascii="Times New Roman" w:hAnsi="Times New Roman" w:cs="Times New Roman"/>
          <w:sz w:val="28"/>
          <w:szCs w:val="28"/>
        </w:rPr>
        <w:t xml:space="preserve">а даними Національного Канцер-реєстру грубий показник захворюваності на НКР зріс із 8 на 100 тис. населення у 1999 р. до 13,2 на 100 тис. населення у </w:t>
      </w:r>
      <w:r w:rsidRPr="00BF62DA">
        <w:rPr>
          <w:rFonts w:ascii="Times New Roman" w:hAnsi="Times New Roman" w:cs="Times New Roman"/>
          <w:sz w:val="28"/>
          <w:szCs w:val="28"/>
        </w:rPr>
        <w:lastRenderedPageBreak/>
        <w:t xml:space="preserve">2013 р. (39,39%) і впродовж 2014-2016 рр. залишається на високому рівні, в межах 11,9-12,5. </w:t>
      </w:r>
    </w:p>
    <w:p w:rsidR="001E6EFC" w:rsidRPr="00404720"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НКР належить до захворювань із високою летальністю. Не зважаючи на значний поступ у діагностиці і лікуванні цієї патології, щороку в цілому по її причині гине близько 116 500 хворих (72 000 чоловіків та 44 500 жінок).</w:t>
      </w:r>
      <w:r w:rsidRPr="007C42A6">
        <w:rPr>
          <w:rFonts w:ascii="Times New Roman" w:hAnsi="Times New Roman" w:cs="Times New Roman"/>
          <w:sz w:val="28"/>
          <w:szCs w:val="28"/>
        </w:rPr>
        <w:t xml:space="preserve"> </w:t>
      </w:r>
      <w:r>
        <w:rPr>
          <w:rFonts w:ascii="Times New Roman" w:hAnsi="Times New Roman" w:cs="Times New Roman"/>
          <w:sz w:val="28"/>
          <w:szCs w:val="28"/>
        </w:rPr>
        <w:t>Впродовж останніх 30 років смертність</w:t>
      </w:r>
      <w:r w:rsidRPr="006466B4">
        <w:rPr>
          <w:rFonts w:ascii="Times New Roman" w:hAnsi="Times New Roman" w:cs="Times New Roman"/>
          <w:sz w:val="28"/>
          <w:szCs w:val="28"/>
        </w:rPr>
        <w:t xml:space="preserve"> </w:t>
      </w:r>
      <w:r>
        <w:rPr>
          <w:rFonts w:ascii="Times New Roman" w:hAnsi="Times New Roman" w:cs="Times New Roman"/>
          <w:sz w:val="28"/>
          <w:szCs w:val="28"/>
        </w:rPr>
        <w:t xml:space="preserve">внаслідок НКР у світі невпинно зростала, зазнавши певної стабілізації цього показника починаючи лише з 2013-2014 рр. </w:t>
      </w:r>
      <w:r w:rsidRPr="006466B4">
        <w:rPr>
          <w:rFonts w:ascii="Times New Roman" w:hAnsi="Times New Roman" w:cs="Times New Roman"/>
          <w:sz w:val="28"/>
          <w:szCs w:val="28"/>
        </w:rPr>
        <w:t>[</w:t>
      </w:r>
      <w:r>
        <w:rPr>
          <w:rFonts w:ascii="Times New Roman" w:hAnsi="Times New Roman" w:cs="Times New Roman"/>
          <w:color w:val="000000" w:themeColor="text1"/>
          <w:sz w:val="28"/>
          <w:szCs w:val="28"/>
          <w:shd w:val="clear" w:color="auto" w:fill="FFFFFF"/>
        </w:rPr>
        <w:t>190,</w:t>
      </w:r>
      <w:r w:rsidRPr="006359A2">
        <w:rPr>
          <w:rFonts w:ascii="Times New Roman" w:hAnsi="Times New Roman" w:cs="Times New Roman"/>
          <w:color w:val="000000"/>
          <w:sz w:val="28"/>
          <w:szCs w:val="28"/>
        </w:rPr>
        <w:t xml:space="preserve"> </w:t>
      </w:r>
      <w:r>
        <w:rPr>
          <w:rFonts w:ascii="Times New Roman" w:hAnsi="Times New Roman" w:cs="Times New Roman"/>
          <w:color w:val="000000"/>
          <w:sz w:val="28"/>
          <w:szCs w:val="28"/>
        </w:rPr>
        <w:t>425</w:t>
      </w:r>
      <w:r w:rsidRPr="006466B4">
        <w:rPr>
          <w:rFonts w:ascii="Times New Roman" w:hAnsi="Times New Roman" w:cs="Times New Roman"/>
          <w:sz w:val="28"/>
          <w:szCs w:val="28"/>
        </w:rPr>
        <w:t>]</w:t>
      </w:r>
      <w:r>
        <w:rPr>
          <w:rFonts w:ascii="Times New Roman" w:hAnsi="Times New Roman" w:cs="Times New Roman"/>
          <w:sz w:val="28"/>
          <w:szCs w:val="28"/>
        </w:rPr>
        <w:t xml:space="preserve">. На сьогоднішній день у США 5-ти річне канцер-специфічне виживання – </w:t>
      </w:r>
      <w:r>
        <w:rPr>
          <w:rFonts w:ascii="Times New Roman" w:hAnsi="Times New Roman" w:cs="Times New Roman"/>
          <w:sz w:val="28"/>
          <w:szCs w:val="28"/>
          <w:lang w:val="en-US"/>
        </w:rPr>
        <w:t>cancer</w:t>
      </w:r>
      <w:r w:rsidRPr="009960D8">
        <w:rPr>
          <w:rFonts w:ascii="Times New Roman" w:hAnsi="Times New Roman" w:cs="Times New Roman"/>
          <w:sz w:val="28"/>
          <w:szCs w:val="28"/>
        </w:rPr>
        <w:t xml:space="preserve"> </w:t>
      </w:r>
      <w:r>
        <w:rPr>
          <w:rFonts w:ascii="Times New Roman" w:hAnsi="Times New Roman" w:cs="Times New Roman"/>
          <w:sz w:val="28"/>
          <w:szCs w:val="28"/>
          <w:lang w:val="en-US"/>
        </w:rPr>
        <w:t>specific</w:t>
      </w:r>
      <w:r w:rsidRPr="009960D8">
        <w:rPr>
          <w:rFonts w:ascii="Times New Roman" w:hAnsi="Times New Roman" w:cs="Times New Roman"/>
          <w:sz w:val="28"/>
          <w:szCs w:val="28"/>
        </w:rPr>
        <w:t xml:space="preserve"> </w:t>
      </w:r>
      <w:r>
        <w:rPr>
          <w:rFonts w:ascii="Times New Roman" w:hAnsi="Times New Roman" w:cs="Times New Roman"/>
          <w:sz w:val="28"/>
          <w:szCs w:val="28"/>
          <w:lang w:val="en-US"/>
        </w:rPr>
        <w:t>survival</w:t>
      </w:r>
      <w:r w:rsidRPr="009960D8">
        <w:rPr>
          <w:rFonts w:ascii="Times New Roman" w:hAnsi="Times New Roman" w:cs="Times New Roman"/>
          <w:sz w:val="28"/>
          <w:szCs w:val="28"/>
        </w:rPr>
        <w:t xml:space="preserve"> (</w:t>
      </w:r>
      <w:r>
        <w:rPr>
          <w:rFonts w:ascii="Times New Roman" w:hAnsi="Times New Roman" w:cs="Times New Roman"/>
          <w:sz w:val="28"/>
          <w:szCs w:val="28"/>
          <w:lang w:val="en-US"/>
        </w:rPr>
        <w:t>CSS</w:t>
      </w:r>
      <w:r w:rsidRPr="009960D8">
        <w:rPr>
          <w:rFonts w:ascii="Times New Roman" w:hAnsi="Times New Roman" w:cs="Times New Roman"/>
          <w:sz w:val="28"/>
          <w:szCs w:val="28"/>
        </w:rPr>
        <w:t>)</w:t>
      </w:r>
      <w:r>
        <w:rPr>
          <w:rFonts w:ascii="Times New Roman" w:hAnsi="Times New Roman" w:cs="Times New Roman"/>
          <w:sz w:val="28"/>
          <w:szCs w:val="28"/>
        </w:rPr>
        <w:t xml:space="preserve"> при НКР становить 74,1%, а прогнозована кількість смертей на 2017 р. складає 14 400 (2,4% від усієї летальності спричиненої злоякісними пухлинами). У країнах Європи спостерігається подібна тенденція: щороку від цього недугу гине близько 31 300 осіб (19 600 чоловіків та 11 700 жінок) [</w:t>
      </w:r>
      <w:r>
        <w:rPr>
          <w:rFonts w:ascii="Times New Roman" w:hAnsi="Times New Roman" w:cs="Times New Roman"/>
          <w:color w:val="000000"/>
          <w:sz w:val="28"/>
          <w:szCs w:val="28"/>
        </w:rPr>
        <w:t>425</w:t>
      </w:r>
      <w:r w:rsidRPr="00802687">
        <w:rPr>
          <w:rFonts w:ascii="Times New Roman" w:hAnsi="Times New Roman" w:cs="Times New Roman"/>
          <w:sz w:val="28"/>
          <w:szCs w:val="28"/>
        </w:rPr>
        <w:t>]</w:t>
      </w:r>
      <w:r>
        <w:rPr>
          <w:rFonts w:ascii="Times New Roman" w:hAnsi="Times New Roman" w:cs="Times New Roman"/>
          <w:sz w:val="28"/>
          <w:szCs w:val="28"/>
        </w:rPr>
        <w:t>. В  Україні щорічно від НКР помирає більше 2400 осіб (з них близько 1600 чоловіків та 800 жінок).  Починаючи з 1999 р. по 2012 р. грубий показник смертності для обох статей невпинно зростав з 4,3 до 5,5 на 100 000 населення (+27,91%), зазнавши деякої стабілізації на цьому рівні у 2014 р., проте, на відміну від інших країн Європи, лише незначно знизився до 5,4 на 100 000 населення (-1,82%) впродовж 2015-2016 рр. (рис. 1.4)</w:t>
      </w:r>
      <w:r w:rsidRPr="00D90F8C">
        <w:rPr>
          <w:rFonts w:ascii="Times New Roman" w:hAnsi="Times New Roman" w:cs="Times New Roman"/>
          <w:sz w:val="28"/>
          <w:szCs w:val="28"/>
        </w:rPr>
        <w:t xml:space="preserve"> [</w:t>
      </w:r>
      <w:r>
        <w:rPr>
          <w:rFonts w:ascii="Times New Roman" w:hAnsi="Times New Roman" w:cs="Times New Roman"/>
          <w:sz w:val="28"/>
          <w:szCs w:val="28"/>
        </w:rPr>
        <w:t>46</w:t>
      </w:r>
      <w:r w:rsidRPr="00D90F8C">
        <w:rPr>
          <w:rFonts w:ascii="Times New Roman" w:hAnsi="Times New Roman" w:cs="Times New Roman"/>
          <w:sz w:val="28"/>
          <w:szCs w:val="28"/>
        </w:rPr>
        <w:t>]</w:t>
      </w:r>
      <w:r>
        <w:rPr>
          <w:rFonts w:ascii="Times New Roman" w:hAnsi="Times New Roman" w:cs="Times New Roman"/>
          <w:sz w:val="28"/>
          <w:szCs w:val="28"/>
        </w:rPr>
        <w:t>.</w:t>
      </w:r>
    </w:p>
    <w:p w:rsidR="001E6EFC" w:rsidRDefault="001E6EFC" w:rsidP="001E6EFC">
      <w:pPr>
        <w:spacing w:line="360" w:lineRule="auto"/>
        <w:jc w:val="both"/>
        <w:rPr>
          <w:rFonts w:ascii="Times New Roman" w:hAnsi="Times New Roman" w:cs="Times New Roman"/>
          <w:b/>
          <w:sz w:val="28"/>
        </w:rPr>
      </w:pPr>
    </w:p>
    <w:p w:rsidR="001E6EFC" w:rsidRDefault="001E6EFC" w:rsidP="001E6EFC">
      <w:pPr>
        <w:spacing w:line="360" w:lineRule="auto"/>
        <w:jc w:val="both"/>
        <w:rPr>
          <w:rFonts w:ascii="Times New Roman" w:hAnsi="Times New Roman" w:cs="Times New Roman"/>
          <w:b/>
          <w:sz w:val="28"/>
        </w:rPr>
      </w:pPr>
      <w:r>
        <w:rPr>
          <w:rFonts w:ascii="Times New Roman" w:hAnsi="Times New Roman" w:cs="Times New Roman"/>
          <w:b/>
          <w:sz w:val="28"/>
        </w:rPr>
        <w:t>1.2</w:t>
      </w:r>
      <w:r w:rsidRPr="00A01AA7">
        <w:rPr>
          <w:rFonts w:ascii="Times New Roman" w:hAnsi="Times New Roman" w:cs="Times New Roman"/>
          <w:b/>
          <w:sz w:val="28"/>
        </w:rPr>
        <w:t xml:space="preserve">. </w:t>
      </w:r>
      <w:r w:rsidRPr="00424A80">
        <w:rPr>
          <w:rFonts w:ascii="Times New Roman" w:hAnsi="Times New Roman" w:cs="Times New Roman"/>
          <w:b/>
          <w:sz w:val="28"/>
        </w:rPr>
        <w:t>Сучасний погляд на біомаркери та прогностичні фактори перебігу НКР</w:t>
      </w:r>
    </w:p>
    <w:p w:rsidR="001E6EFC" w:rsidRDefault="001E6EFC" w:rsidP="001E6EFC">
      <w:pPr>
        <w:spacing w:line="240" w:lineRule="auto"/>
        <w:rPr>
          <w:rFonts w:ascii="Times New Roman" w:hAnsi="Times New Roman" w:cs="Times New Roman"/>
          <w:sz w:val="28"/>
        </w:rPr>
      </w:pPr>
    </w:p>
    <w:p w:rsidR="001E6EFC" w:rsidRPr="00FB26B6" w:rsidRDefault="001E6EFC" w:rsidP="001E6EFC">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Поняття біомаркеру охоплює широке поле медичних ознак, які є об’єктивними індикаторами стану хворого і можуть бути виміряні ззовні із відповідною мірою точності і відтворюваності. В науковій літературі існує чимало визначень поняття біомаркеру, проте всі вони в значній мірі подібні. Групою </w:t>
      </w:r>
      <w:r>
        <w:rPr>
          <w:rFonts w:ascii="Times New Roman" w:hAnsi="Times New Roman" w:cs="Times New Roman"/>
          <w:color w:val="000000"/>
          <w:sz w:val="28"/>
          <w:szCs w:val="28"/>
          <w:shd w:val="clear" w:color="auto" w:fill="FFFFFF"/>
        </w:rPr>
        <w:t>вчених</w:t>
      </w:r>
      <w:r w:rsidRPr="00A655B4">
        <w:rPr>
          <w:color w:val="000000"/>
          <w:shd w:val="clear" w:color="auto" w:fill="FFFFFF"/>
        </w:rPr>
        <w:t xml:space="preserve"> </w:t>
      </w:r>
      <w:r>
        <w:rPr>
          <w:rFonts w:ascii="Times New Roman" w:hAnsi="Times New Roman" w:cs="Times New Roman"/>
          <w:sz w:val="28"/>
          <w:szCs w:val="28"/>
        </w:rPr>
        <w:t xml:space="preserve">Національного інституту здоров’я (м. Вашингтон, США) було </w:t>
      </w:r>
      <w:r>
        <w:rPr>
          <w:rFonts w:ascii="Times New Roman" w:hAnsi="Times New Roman" w:cs="Times New Roman"/>
          <w:sz w:val="28"/>
          <w:szCs w:val="28"/>
        </w:rPr>
        <w:lastRenderedPageBreak/>
        <w:t xml:space="preserve">дане наступне визначення біомаркеру: це характеристика, яка об’єктивно вимірюється і оцінюється як індикатор нормальних біологічних процесів, патогенних процесів чи фармакологічної відповіді на терапевтичну інтервенцію </w:t>
      </w:r>
      <w:r w:rsidRPr="004F198F">
        <w:rPr>
          <w:rFonts w:ascii="Times New Roman" w:hAnsi="Times New Roman" w:cs="Times New Roman"/>
          <w:sz w:val="28"/>
          <w:szCs w:val="28"/>
        </w:rPr>
        <w:t>[</w:t>
      </w:r>
      <w:r>
        <w:rPr>
          <w:rFonts w:ascii="Times New Roman" w:hAnsi="Times New Roman"/>
          <w:sz w:val="28"/>
          <w:szCs w:val="28"/>
        </w:rPr>
        <w:t>80</w:t>
      </w:r>
      <w:r w:rsidRPr="004F198F">
        <w:rPr>
          <w:rFonts w:ascii="Times New Roman" w:hAnsi="Times New Roman" w:cs="Times New Roman"/>
          <w:sz w:val="28"/>
          <w:szCs w:val="28"/>
        </w:rPr>
        <w:t>]</w:t>
      </w:r>
      <w:r w:rsidRPr="00A655B4">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000000"/>
          <w:sz w:val="28"/>
          <w:szCs w:val="28"/>
          <w:shd w:val="clear" w:color="auto" w:fill="FFFFFF"/>
        </w:rPr>
        <w:t>За своєю функцією біомаркери НКР розподіляються на три основні групи: прогностичні біомаркери (прогноз виживання), діагностичні біомаркери та б</w:t>
      </w:r>
      <w:r w:rsidRPr="00A107F6">
        <w:rPr>
          <w:rFonts w:ascii="Times New Roman" w:hAnsi="Times New Roman" w:cs="Times New Roman"/>
          <w:color w:val="000000"/>
          <w:sz w:val="28"/>
          <w:szCs w:val="28"/>
          <w:shd w:val="clear" w:color="auto" w:fill="FFFFFF"/>
        </w:rPr>
        <w:t>іомаркери передбачення</w:t>
      </w:r>
      <w:r>
        <w:rPr>
          <w:rFonts w:ascii="Times New Roman" w:hAnsi="Times New Roman" w:cs="Times New Roman"/>
          <w:color w:val="000000"/>
          <w:sz w:val="28"/>
          <w:szCs w:val="28"/>
          <w:shd w:val="clear" w:color="auto" w:fill="FFFFFF"/>
        </w:rPr>
        <w:t xml:space="preserve"> ефекту лікування</w:t>
      </w:r>
      <w:r w:rsidRPr="00A107F6">
        <w:rPr>
          <w:rFonts w:ascii="Times New Roman" w:hAnsi="Times New Roman" w:cs="Times New Roman"/>
          <w:color w:val="000000"/>
          <w:sz w:val="28"/>
          <w:szCs w:val="28"/>
          <w:shd w:val="clear" w:color="auto" w:fill="FFFFFF"/>
        </w:rPr>
        <w:t xml:space="preserve"> (предикції).</w:t>
      </w:r>
      <w:r>
        <w:rPr>
          <w:rFonts w:ascii="Times New Roman" w:hAnsi="Times New Roman" w:cs="Times New Roman"/>
          <w:color w:val="000000"/>
          <w:sz w:val="28"/>
          <w:szCs w:val="28"/>
          <w:shd w:val="clear" w:color="auto" w:fill="FFFFFF"/>
        </w:rPr>
        <w:t xml:space="preserve"> На сьогоднішній день не існує біомаркеру НКР, який би був достатньо точним та валідованим для використання, жоден не є включеним в протоколи діагностики, лікування чи прогнозування, а існуючі наукові дані потребують узагальнення та систематизації </w:t>
      </w:r>
      <w:r w:rsidRPr="00CD4392">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79, </w:t>
      </w:r>
      <w:r>
        <w:rPr>
          <w:rFonts w:ascii="Times New Roman" w:hAnsi="Times New Roman" w:cs="Times New Roman"/>
          <w:sz w:val="28"/>
          <w:szCs w:val="28"/>
        </w:rPr>
        <w:t>269,</w:t>
      </w:r>
      <w:r w:rsidRPr="004D04E6">
        <w:rPr>
          <w:rFonts w:ascii="Times New Roman" w:hAnsi="Times New Roman" w:cs="Times New Roman"/>
          <w:sz w:val="28"/>
          <w:szCs w:val="28"/>
        </w:rPr>
        <w:t xml:space="preserve"> </w:t>
      </w:r>
      <w:r>
        <w:rPr>
          <w:rFonts w:ascii="Times New Roman" w:hAnsi="Times New Roman" w:cs="Times New Roman"/>
          <w:sz w:val="28"/>
          <w:szCs w:val="28"/>
        </w:rPr>
        <w:t xml:space="preserve">328, </w:t>
      </w:r>
      <w:r>
        <w:rPr>
          <w:rFonts w:ascii="Times New Roman" w:eastAsia="Times New Roman" w:hAnsi="Times New Roman" w:cs="Times New Roman"/>
          <w:sz w:val="28"/>
          <w:szCs w:val="28"/>
          <w:lang w:eastAsia="uk-UA"/>
        </w:rPr>
        <w:t>390</w:t>
      </w:r>
      <w:r w:rsidRPr="00CD4392">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В зв’язку з цим, опрацювання наукових здобутків у цій ділянці, а також пошук новітніх біомаркерів НКР є одними із пріоритетних завдань сучасної онкоурології. </w:t>
      </w:r>
      <w:r>
        <w:rPr>
          <w:rFonts w:ascii="Times New Roman" w:hAnsi="Times New Roman" w:cs="Times New Roman"/>
          <w:sz w:val="28"/>
        </w:rPr>
        <w:t xml:space="preserve">До основних та найбільш вивчених прогностичних факторів при НКР належать: </w:t>
      </w:r>
      <w:r>
        <w:rPr>
          <w:rFonts w:ascii="Times New Roman" w:hAnsi="Times New Roman" w:cs="Times New Roman"/>
          <w:sz w:val="28"/>
          <w:szCs w:val="28"/>
        </w:rPr>
        <w:t>к</w:t>
      </w:r>
      <w:r w:rsidRPr="005267D1">
        <w:rPr>
          <w:rFonts w:ascii="Times New Roman" w:hAnsi="Times New Roman" w:cs="Times New Roman"/>
          <w:sz w:val="28"/>
          <w:szCs w:val="28"/>
        </w:rPr>
        <w:t>лінічні фактори</w:t>
      </w:r>
      <w:r>
        <w:rPr>
          <w:rFonts w:ascii="Times New Roman" w:hAnsi="Times New Roman" w:cs="Times New Roman"/>
          <w:sz w:val="28"/>
          <w:szCs w:val="28"/>
        </w:rPr>
        <w:t>, а</w:t>
      </w:r>
      <w:r w:rsidRPr="005267D1">
        <w:rPr>
          <w:rFonts w:ascii="Times New Roman" w:hAnsi="Times New Roman" w:cs="Times New Roman"/>
          <w:sz w:val="28"/>
          <w:szCs w:val="28"/>
        </w:rPr>
        <w:t>натомічні фактори</w:t>
      </w:r>
      <w:r>
        <w:rPr>
          <w:rFonts w:ascii="Times New Roman" w:hAnsi="Times New Roman" w:cs="Times New Roman"/>
          <w:sz w:val="28"/>
          <w:szCs w:val="28"/>
        </w:rPr>
        <w:t xml:space="preserve"> (стадія пухлини), г</w:t>
      </w:r>
      <w:r w:rsidRPr="005267D1">
        <w:rPr>
          <w:rFonts w:ascii="Times New Roman" w:hAnsi="Times New Roman" w:cs="Times New Roman"/>
          <w:sz w:val="28"/>
          <w:szCs w:val="28"/>
        </w:rPr>
        <w:t>істологічні фактори</w:t>
      </w:r>
      <w:r>
        <w:rPr>
          <w:rFonts w:ascii="Times New Roman" w:hAnsi="Times New Roman" w:cs="Times New Roman"/>
          <w:sz w:val="28"/>
          <w:szCs w:val="28"/>
        </w:rPr>
        <w:t>, м</w:t>
      </w:r>
      <w:r w:rsidRPr="005267D1">
        <w:rPr>
          <w:rFonts w:ascii="Times New Roman" w:hAnsi="Times New Roman" w:cs="Times New Roman"/>
          <w:sz w:val="28"/>
          <w:szCs w:val="28"/>
        </w:rPr>
        <w:t>олекулярні чинники</w:t>
      </w:r>
      <w:r>
        <w:rPr>
          <w:rFonts w:ascii="Times New Roman" w:hAnsi="Times New Roman" w:cs="Times New Roman"/>
          <w:sz w:val="28"/>
          <w:szCs w:val="28"/>
        </w:rPr>
        <w:t>.</w:t>
      </w:r>
      <w:r>
        <w:rPr>
          <w:rFonts w:ascii="Times New Roman" w:hAnsi="Times New Roman" w:cs="Times New Roman"/>
          <w:sz w:val="28"/>
        </w:rPr>
        <w:t xml:space="preserve"> </w:t>
      </w:r>
    </w:p>
    <w:p w:rsidR="001E6EFC" w:rsidRDefault="001E6EFC" w:rsidP="001E6EFC">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Pr="00E00D76">
        <w:rPr>
          <w:rFonts w:ascii="Times New Roman" w:eastAsia="Times New Roman" w:hAnsi="Times New Roman" w:cs="Times New Roman"/>
          <w:b/>
          <w:i/>
          <w:sz w:val="28"/>
          <w:szCs w:val="28"/>
          <w:lang w:eastAsia="uk-UA"/>
        </w:rPr>
        <w:t>Потенційні</w:t>
      </w:r>
      <w:r w:rsidRPr="00E00D76">
        <w:rPr>
          <w:rFonts w:ascii="Times New Roman" w:eastAsia="Times New Roman" w:hAnsi="Times New Roman" w:cs="Times New Roman"/>
          <w:i/>
          <w:sz w:val="28"/>
          <w:szCs w:val="28"/>
          <w:lang w:eastAsia="uk-UA"/>
        </w:rPr>
        <w:t xml:space="preserve"> </w:t>
      </w:r>
      <w:r w:rsidRPr="00E00D76">
        <w:rPr>
          <w:rFonts w:ascii="Times New Roman" w:eastAsia="Times New Roman" w:hAnsi="Times New Roman" w:cs="Times New Roman"/>
          <w:b/>
          <w:i/>
          <w:sz w:val="28"/>
          <w:szCs w:val="28"/>
          <w:lang w:eastAsia="uk-UA"/>
        </w:rPr>
        <w:t>молекулярні прогностичні біомаркери.</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uk-UA"/>
        </w:rPr>
        <w:t>В останні роки було опубліковано чимало наукових робіт, у яких вивчалась роль молекулярних факторів у прогнозуванні біологічної та клінічної поведінки НКР. Найбільшу увагу науковців привернули такі молекулярні чинники, як</w:t>
      </w:r>
      <w:r w:rsidRPr="006E2504">
        <w:rPr>
          <w:rFonts w:ascii="Times New Roman" w:hAnsi="Times New Roman" w:cs="Times New Roman"/>
          <w:sz w:val="28"/>
          <w:szCs w:val="28"/>
        </w:rPr>
        <w:t xml:space="preserve"> </w:t>
      </w:r>
      <w:r w:rsidRPr="005267D1">
        <w:rPr>
          <w:rFonts w:ascii="Times New Roman" w:hAnsi="Times New Roman" w:cs="Times New Roman"/>
          <w:sz w:val="28"/>
          <w:szCs w:val="28"/>
        </w:rPr>
        <w:t xml:space="preserve">CA-IX, CA-XII, CXCR3, CXCR4, HIF, IGF-1, VEGF, </w:t>
      </w:r>
      <w:r>
        <w:rPr>
          <w:rFonts w:ascii="Times New Roman" w:hAnsi="Times New Roman" w:cs="Times New Roman"/>
          <w:sz w:val="28"/>
          <w:szCs w:val="28"/>
        </w:rPr>
        <w:t xml:space="preserve">VEGFR, </w:t>
      </w:r>
      <w:r w:rsidRPr="005267D1">
        <w:rPr>
          <w:rFonts w:ascii="Times New Roman" w:hAnsi="Times New Roman" w:cs="Times New Roman"/>
          <w:sz w:val="28"/>
          <w:szCs w:val="28"/>
        </w:rPr>
        <w:t>B7-H1, B7-H3, B7-H4, PD-1</w:t>
      </w:r>
      <w:r>
        <w:rPr>
          <w:rFonts w:ascii="Times New Roman" w:hAnsi="Times New Roman" w:cs="Times New Roman"/>
          <w:sz w:val="28"/>
          <w:szCs w:val="28"/>
        </w:rPr>
        <w:t>,</w:t>
      </w:r>
      <w:r w:rsidRPr="006E2504">
        <w:rPr>
          <w:rFonts w:ascii="Times New Roman" w:hAnsi="Times New Roman" w:cs="Times New Roman"/>
          <w:sz w:val="28"/>
          <w:szCs w:val="28"/>
        </w:rPr>
        <w:t xml:space="preserve"> </w:t>
      </w:r>
      <w:r w:rsidRPr="005267D1">
        <w:rPr>
          <w:rFonts w:ascii="Times New Roman" w:hAnsi="Times New Roman" w:cs="Times New Roman"/>
          <w:sz w:val="28"/>
          <w:szCs w:val="28"/>
        </w:rPr>
        <w:t>р53, Bcl-2, PTEN, Циклін А, p27, Skp2</w:t>
      </w:r>
      <w:r>
        <w:rPr>
          <w:rFonts w:ascii="Times New Roman" w:hAnsi="Times New Roman" w:cs="Times New Roman"/>
          <w:sz w:val="28"/>
          <w:szCs w:val="28"/>
        </w:rPr>
        <w:t xml:space="preserve">, </w:t>
      </w:r>
      <w:r w:rsidRPr="005267D1">
        <w:rPr>
          <w:rFonts w:ascii="Times New Roman" w:hAnsi="Times New Roman" w:cs="Times New Roman"/>
          <w:sz w:val="28"/>
          <w:szCs w:val="28"/>
        </w:rPr>
        <w:t>EpCAM/KSA, EMA, E-Cad, альфа-катенін, Cad-6</w:t>
      </w:r>
      <w:r>
        <w:rPr>
          <w:rFonts w:ascii="Times New Roman" w:hAnsi="Times New Roman" w:cs="Times New Roman"/>
          <w:sz w:val="28"/>
          <w:szCs w:val="28"/>
        </w:rPr>
        <w:t xml:space="preserve">, </w:t>
      </w:r>
      <w:r w:rsidRPr="005267D1">
        <w:rPr>
          <w:rFonts w:ascii="Times New Roman" w:hAnsi="Times New Roman" w:cs="Times New Roman"/>
          <w:sz w:val="28"/>
          <w:szCs w:val="28"/>
        </w:rPr>
        <w:t>Ki-67, XIAP, Сурвівін, EphA2, Віменін, CA-125, Аннексін II</w:t>
      </w:r>
      <w:r>
        <w:rPr>
          <w:rFonts w:ascii="Times New Roman" w:hAnsi="Times New Roman" w:cs="Times New Roman"/>
          <w:sz w:val="28"/>
          <w:szCs w:val="28"/>
        </w:rPr>
        <w:t xml:space="preserve"> та деякі </w:t>
      </w:r>
      <w:r w:rsidRPr="00574A96">
        <w:rPr>
          <w:rFonts w:ascii="Times New Roman" w:hAnsi="Times New Roman" w:cs="Times New Roman"/>
          <w:sz w:val="28"/>
          <w:szCs w:val="28"/>
        </w:rPr>
        <w:t>інші [</w:t>
      </w:r>
      <w:r>
        <w:rPr>
          <w:rFonts w:ascii="Times New Roman" w:hAnsi="Times New Roman" w:cs="Times New Roman"/>
          <w:sz w:val="28"/>
          <w:szCs w:val="28"/>
        </w:rPr>
        <w:t xml:space="preserve">114, 296, </w:t>
      </w:r>
      <w:r>
        <w:rPr>
          <w:rFonts w:ascii="Times New Roman" w:eastAsia="Times New Roman" w:hAnsi="Times New Roman" w:cs="Times New Roman"/>
          <w:sz w:val="28"/>
          <w:szCs w:val="28"/>
          <w:lang w:eastAsia="uk-UA"/>
        </w:rPr>
        <w:t>365,</w:t>
      </w:r>
      <w:r w:rsidRPr="00574A9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368, 376</w:t>
      </w:r>
      <w:r w:rsidRPr="00574A96">
        <w:rPr>
          <w:rFonts w:ascii="Times New Roman" w:hAnsi="Times New Roman" w:cs="Times New Roman"/>
          <w:sz w:val="28"/>
          <w:szCs w:val="28"/>
        </w:rPr>
        <w:t>].</w:t>
      </w:r>
      <w:r>
        <w:rPr>
          <w:rFonts w:ascii="Times New Roman" w:hAnsi="Times New Roman" w:cs="Times New Roman"/>
          <w:sz w:val="28"/>
          <w:szCs w:val="28"/>
        </w:rPr>
        <w:t xml:space="preserve"> Проте, за даними рекомендацій </w:t>
      </w:r>
      <w:r w:rsidR="00AF4B0A">
        <w:rPr>
          <w:rFonts w:ascii="Times New Roman" w:hAnsi="Times New Roman" w:cs="Times New Roman"/>
          <w:sz w:val="28"/>
          <w:szCs w:val="28"/>
        </w:rPr>
        <w:t>із НКР 2017 р. Європейської асоціації урології (</w:t>
      </w:r>
      <w:r>
        <w:rPr>
          <w:rFonts w:ascii="Times New Roman" w:hAnsi="Times New Roman" w:cs="Times New Roman"/>
          <w:sz w:val="28"/>
          <w:szCs w:val="28"/>
          <w:lang w:val="en-US"/>
        </w:rPr>
        <w:t>EAU</w:t>
      </w:r>
      <w:r>
        <w:rPr>
          <w:rFonts w:ascii="Times New Roman" w:hAnsi="Times New Roman" w:cs="Times New Roman"/>
          <w:sz w:val="28"/>
          <w:szCs w:val="28"/>
        </w:rPr>
        <w:t xml:space="preserve"> </w:t>
      </w:r>
      <w:r w:rsidR="00AF4B0A">
        <w:rPr>
          <w:rFonts w:ascii="Times New Roman" w:hAnsi="Times New Roman" w:cs="Times New Roman"/>
          <w:sz w:val="28"/>
          <w:szCs w:val="28"/>
        </w:rPr>
        <w:t>)</w:t>
      </w:r>
      <w:r>
        <w:rPr>
          <w:rFonts w:ascii="Times New Roman" w:hAnsi="Times New Roman" w:cs="Times New Roman"/>
          <w:sz w:val="28"/>
          <w:szCs w:val="28"/>
        </w:rPr>
        <w:t xml:space="preserve">, жоден із вказаних молекулярних факторів не покращив точності існуючих прогностичних систем, не був зовнішньо валідований та не є рекомендований для застосування в рутинній клінічній практиці </w:t>
      </w:r>
      <w:r w:rsidRPr="00574A96">
        <w:rPr>
          <w:rFonts w:ascii="Times New Roman" w:hAnsi="Times New Roman" w:cs="Times New Roman"/>
          <w:sz w:val="28"/>
          <w:szCs w:val="28"/>
        </w:rPr>
        <w:t>[</w:t>
      </w:r>
      <w:r>
        <w:rPr>
          <w:rFonts w:ascii="Times New Roman" w:hAnsi="Times New Roman" w:cs="Times New Roman"/>
          <w:sz w:val="28"/>
          <w:szCs w:val="28"/>
        </w:rPr>
        <w:t>269</w:t>
      </w:r>
      <w:r w:rsidRPr="00574A96">
        <w:rPr>
          <w:rFonts w:ascii="Times New Roman" w:hAnsi="Times New Roman" w:cs="Times New Roman"/>
          <w:sz w:val="28"/>
          <w:szCs w:val="28"/>
        </w:rPr>
        <w:t>]</w:t>
      </w:r>
      <w:r>
        <w:rPr>
          <w:rFonts w:ascii="Times New Roman" w:hAnsi="Times New Roman" w:cs="Times New Roman"/>
          <w:sz w:val="28"/>
          <w:szCs w:val="28"/>
        </w:rPr>
        <w:t xml:space="preserve">. </w:t>
      </w:r>
    </w:p>
    <w:p w:rsidR="001E6EFC" w:rsidRDefault="001E6EFC" w:rsidP="001E6EF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декількох ретроспективних дослідженнях і великих молекулярних скрінінгових програмах була виявлена роль окремих мутованих генів в </w:t>
      </w:r>
      <w:r>
        <w:rPr>
          <w:rFonts w:ascii="Times New Roman" w:hAnsi="Times New Roman" w:cs="Times New Roman"/>
          <w:sz w:val="28"/>
          <w:szCs w:val="28"/>
        </w:rPr>
        <w:lastRenderedPageBreak/>
        <w:t xml:space="preserve">передбаченні клінічного перебігу </w:t>
      </w:r>
      <w:r w:rsidR="00AF4B0A">
        <w:rPr>
          <w:rFonts w:ascii="Times New Roman" w:hAnsi="Times New Roman" w:cs="Times New Roman"/>
          <w:sz w:val="28"/>
          <w:szCs w:val="28"/>
        </w:rPr>
        <w:t>світлоклітинного НКР (</w:t>
      </w:r>
      <w:r>
        <w:rPr>
          <w:rFonts w:ascii="Times New Roman" w:hAnsi="Times New Roman" w:cs="Times New Roman"/>
          <w:sz w:val="28"/>
          <w:szCs w:val="28"/>
        </w:rPr>
        <w:t>скНКР</w:t>
      </w:r>
      <w:r w:rsidR="00AF4B0A">
        <w:rPr>
          <w:rFonts w:ascii="Times New Roman" w:hAnsi="Times New Roman" w:cs="Times New Roman"/>
          <w:sz w:val="28"/>
          <w:szCs w:val="28"/>
        </w:rPr>
        <w:t>)</w:t>
      </w:r>
      <w:r>
        <w:rPr>
          <w:rFonts w:ascii="Times New Roman" w:hAnsi="Times New Roman" w:cs="Times New Roman"/>
          <w:sz w:val="28"/>
          <w:szCs w:val="28"/>
        </w:rPr>
        <w:t xml:space="preserve">. Було виявлено, що рівень експресії генів </w:t>
      </w:r>
      <w:r>
        <w:rPr>
          <w:rFonts w:ascii="Times New Roman" w:hAnsi="Times New Roman" w:cs="Times New Roman"/>
          <w:sz w:val="28"/>
          <w:szCs w:val="28"/>
          <w:lang w:val="en-US"/>
        </w:rPr>
        <w:t>BAP</w:t>
      </w:r>
      <w:r w:rsidRPr="00C9056C">
        <w:rPr>
          <w:rFonts w:ascii="Times New Roman" w:hAnsi="Times New Roman" w:cs="Times New Roman"/>
          <w:sz w:val="28"/>
          <w:szCs w:val="28"/>
        </w:rPr>
        <w:t xml:space="preserve">1 </w:t>
      </w:r>
      <w:r>
        <w:rPr>
          <w:rFonts w:ascii="Times New Roman" w:hAnsi="Times New Roman" w:cs="Times New Roman"/>
          <w:sz w:val="28"/>
          <w:szCs w:val="28"/>
        </w:rPr>
        <w:t xml:space="preserve">та </w:t>
      </w:r>
      <w:r>
        <w:rPr>
          <w:rFonts w:ascii="Times New Roman" w:hAnsi="Times New Roman" w:cs="Times New Roman"/>
          <w:sz w:val="28"/>
          <w:szCs w:val="28"/>
          <w:lang w:val="en-US"/>
        </w:rPr>
        <w:t>PBRM</w:t>
      </w:r>
      <w:r w:rsidRPr="00C9056C">
        <w:rPr>
          <w:rFonts w:ascii="Times New Roman" w:hAnsi="Times New Roman" w:cs="Times New Roman"/>
          <w:sz w:val="28"/>
          <w:szCs w:val="28"/>
        </w:rPr>
        <w:t>1</w:t>
      </w:r>
      <w:r>
        <w:rPr>
          <w:rFonts w:ascii="Times New Roman" w:hAnsi="Times New Roman" w:cs="Times New Roman"/>
          <w:sz w:val="28"/>
          <w:szCs w:val="28"/>
        </w:rPr>
        <w:t xml:space="preserve"> (які розташовуються на хромосомі </w:t>
      </w:r>
      <w:r w:rsidRPr="00C9056C">
        <w:rPr>
          <w:rFonts w:ascii="Times New Roman" w:hAnsi="Times New Roman" w:cs="Times New Roman"/>
          <w:sz w:val="28"/>
          <w:szCs w:val="28"/>
        </w:rPr>
        <w:t>3</w:t>
      </w:r>
      <w:r>
        <w:rPr>
          <w:rFonts w:ascii="Times New Roman" w:hAnsi="Times New Roman" w:cs="Times New Roman"/>
          <w:sz w:val="28"/>
          <w:szCs w:val="28"/>
          <w:lang w:val="en-US"/>
        </w:rPr>
        <w:t>p</w:t>
      </w:r>
      <w:r w:rsidRPr="00C9056C">
        <w:rPr>
          <w:rFonts w:ascii="Times New Roman" w:hAnsi="Times New Roman" w:cs="Times New Roman"/>
          <w:sz w:val="28"/>
          <w:szCs w:val="28"/>
        </w:rPr>
        <w:t xml:space="preserve"> </w:t>
      </w:r>
      <w:r>
        <w:rPr>
          <w:rFonts w:ascii="Times New Roman" w:hAnsi="Times New Roman" w:cs="Times New Roman"/>
          <w:sz w:val="28"/>
          <w:szCs w:val="28"/>
        </w:rPr>
        <w:t xml:space="preserve">і є делетовані у більш, ніж 90% випадків скНКР), був незалежним прогностичним фактором рецидивування. Згодом було з’ясовано, що застосування 16-генної моделі дозволяє передбачати рецидивування при НКР. Очікується адаптація цього тесту до майбутніх клінічних досліджень </w:t>
      </w:r>
      <w:r w:rsidRPr="00C9056C">
        <w:rPr>
          <w:rFonts w:ascii="Times New Roman" w:hAnsi="Times New Roman" w:cs="Times New Roman"/>
          <w:sz w:val="28"/>
          <w:szCs w:val="28"/>
        </w:rPr>
        <w:t>[</w:t>
      </w:r>
      <w:r>
        <w:rPr>
          <w:rFonts w:ascii="Times New Roman" w:hAnsi="Times New Roman" w:cs="Times New Roman"/>
          <w:sz w:val="28"/>
          <w:szCs w:val="28"/>
        </w:rPr>
        <w:t>215, 220, 286</w:t>
      </w:r>
      <w:r w:rsidRPr="00C9056C">
        <w:rPr>
          <w:rFonts w:ascii="Times New Roman" w:hAnsi="Times New Roman" w:cs="Times New Roman"/>
          <w:sz w:val="28"/>
          <w:szCs w:val="28"/>
        </w:rPr>
        <w:t>]</w:t>
      </w:r>
      <w:r>
        <w:rPr>
          <w:rFonts w:ascii="Times New Roman" w:hAnsi="Times New Roman" w:cs="Times New Roman"/>
          <w:sz w:val="28"/>
          <w:szCs w:val="28"/>
        </w:rPr>
        <w:t xml:space="preserve">. Триває вивчення можливості застосування повногеномного пошуку асоціацій для встановлення ролі хромосомних альтерацій, міРНК, одно-нуклеотидного поліморфізму і метиляцій генів, як у прогнозуванні перебігу НКР, так і у передбаченні терапевтичної відповіді при застосуванні системної </w:t>
      </w:r>
      <w:r w:rsidRPr="00EE6799">
        <w:rPr>
          <w:rFonts w:ascii="Times New Roman" w:hAnsi="Times New Roman" w:cs="Times New Roman"/>
          <w:sz w:val="28"/>
          <w:szCs w:val="28"/>
        </w:rPr>
        <w:t>терапії (</w:t>
      </w:r>
      <w:r w:rsidRPr="00EE6799">
        <w:rPr>
          <w:rFonts w:ascii="Times New Roman" w:hAnsi="Times New Roman" w:cs="Times New Roman"/>
          <w:color w:val="000000"/>
          <w:sz w:val="28"/>
          <w:szCs w:val="28"/>
          <w:shd w:val="clear" w:color="auto" w:fill="FFFFFF"/>
        </w:rPr>
        <w:t>NCT02499458, NCT01339975</w:t>
      </w:r>
      <w:r w:rsidRPr="00EE6799">
        <w:rPr>
          <w:rFonts w:ascii="Times New Roman" w:hAnsi="Times New Roman" w:cs="Times New Roman"/>
          <w:sz w:val="28"/>
          <w:szCs w:val="28"/>
        </w:rPr>
        <w:t>).</w:t>
      </w:r>
      <w:r>
        <w:rPr>
          <w:rFonts w:ascii="Times New Roman" w:hAnsi="Times New Roman" w:cs="Times New Roman"/>
          <w:sz w:val="28"/>
          <w:szCs w:val="28"/>
        </w:rPr>
        <w:t xml:space="preserve"> В ряді досліджень було продемонстровано прогностичну роль подвоєння хромосомних ділянок </w:t>
      </w:r>
      <w:r w:rsidRPr="00AF7E12">
        <w:rPr>
          <w:rFonts w:ascii="Times New Roman" w:hAnsi="Times New Roman" w:cs="Times New Roman"/>
          <w:sz w:val="28"/>
          <w:szCs w:val="28"/>
        </w:rPr>
        <w:t>7</w:t>
      </w:r>
      <w:r>
        <w:rPr>
          <w:rFonts w:ascii="Times New Roman" w:hAnsi="Times New Roman" w:cs="Times New Roman"/>
          <w:sz w:val="28"/>
          <w:szCs w:val="28"/>
          <w:lang w:val="en-US"/>
        </w:rPr>
        <w:t>q</w:t>
      </w:r>
      <w:r>
        <w:rPr>
          <w:rFonts w:ascii="Times New Roman" w:hAnsi="Times New Roman" w:cs="Times New Roman"/>
          <w:sz w:val="28"/>
          <w:szCs w:val="28"/>
        </w:rPr>
        <w:t>,</w:t>
      </w:r>
      <w:r w:rsidRPr="00AF7E12">
        <w:rPr>
          <w:rFonts w:ascii="Times New Roman" w:hAnsi="Times New Roman" w:cs="Times New Roman"/>
          <w:sz w:val="28"/>
          <w:szCs w:val="28"/>
        </w:rPr>
        <w:t xml:space="preserve"> 8</w:t>
      </w:r>
      <w:r>
        <w:rPr>
          <w:rFonts w:ascii="Times New Roman" w:hAnsi="Times New Roman" w:cs="Times New Roman"/>
          <w:sz w:val="28"/>
          <w:szCs w:val="28"/>
          <w:lang w:val="en-US"/>
        </w:rPr>
        <w:t>q</w:t>
      </w:r>
      <w:r w:rsidRPr="00AF7E12">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AF7E12">
        <w:rPr>
          <w:rFonts w:ascii="Times New Roman" w:hAnsi="Times New Roman" w:cs="Times New Roman"/>
          <w:sz w:val="28"/>
          <w:szCs w:val="28"/>
        </w:rPr>
        <w:t>20</w:t>
      </w:r>
      <w:r>
        <w:rPr>
          <w:rFonts w:ascii="Times New Roman" w:hAnsi="Times New Roman" w:cs="Times New Roman"/>
          <w:sz w:val="28"/>
          <w:szCs w:val="28"/>
          <w:lang w:val="en-US"/>
        </w:rPr>
        <w:t>q</w:t>
      </w:r>
      <w:r>
        <w:rPr>
          <w:rFonts w:ascii="Times New Roman" w:hAnsi="Times New Roman" w:cs="Times New Roman"/>
          <w:sz w:val="28"/>
          <w:szCs w:val="28"/>
        </w:rPr>
        <w:t xml:space="preserve"> та втрати хромосомних ділянок </w:t>
      </w:r>
      <w:r w:rsidRPr="00AF7E12">
        <w:rPr>
          <w:rFonts w:ascii="Times New Roman" w:hAnsi="Times New Roman" w:cs="Times New Roman"/>
          <w:sz w:val="28"/>
          <w:szCs w:val="28"/>
        </w:rPr>
        <w:t>9</w:t>
      </w:r>
      <w:r>
        <w:rPr>
          <w:rFonts w:ascii="Times New Roman" w:hAnsi="Times New Roman" w:cs="Times New Roman"/>
          <w:sz w:val="28"/>
          <w:szCs w:val="28"/>
          <w:lang w:val="en-US"/>
        </w:rPr>
        <w:t>p</w:t>
      </w:r>
      <w:r>
        <w:rPr>
          <w:rFonts w:ascii="Times New Roman" w:hAnsi="Times New Roman" w:cs="Times New Roman"/>
          <w:sz w:val="28"/>
          <w:szCs w:val="28"/>
        </w:rPr>
        <w:t>,</w:t>
      </w:r>
      <w:r w:rsidRPr="00AF7E12">
        <w:rPr>
          <w:rFonts w:ascii="Times New Roman" w:hAnsi="Times New Roman" w:cs="Times New Roman"/>
          <w:sz w:val="28"/>
          <w:szCs w:val="28"/>
        </w:rPr>
        <w:t xml:space="preserve"> 9</w:t>
      </w:r>
      <w:r>
        <w:rPr>
          <w:rFonts w:ascii="Times New Roman" w:hAnsi="Times New Roman" w:cs="Times New Roman"/>
          <w:sz w:val="28"/>
          <w:szCs w:val="28"/>
          <w:lang w:val="en-US"/>
        </w:rPr>
        <w:t>q</w:t>
      </w:r>
      <w:r>
        <w:rPr>
          <w:rFonts w:ascii="Times New Roman" w:hAnsi="Times New Roman" w:cs="Times New Roman"/>
          <w:sz w:val="28"/>
          <w:szCs w:val="28"/>
        </w:rPr>
        <w:t>, і</w:t>
      </w:r>
      <w:r w:rsidRPr="00AF7E12">
        <w:rPr>
          <w:rFonts w:ascii="Times New Roman" w:hAnsi="Times New Roman" w:cs="Times New Roman"/>
          <w:sz w:val="28"/>
          <w:szCs w:val="28"/>
        </w:rPr>
        <w:t xml:space="preserve"> 14</w:t>
      </w:r>
      <w:r>
        <w:rPr>
          <w:rFonts w:ascii="Times New Roman" w:hAnsi="Times New Roman" w:cs="Times New Roman"/>
          <w:sz w:val="28"/>
          <w:szCs w:val="28"/>
          <w:lang w:val="en-US"/>
        </w:rPr>
        <w:t>q</w:t>
      </w:r>
      <w:r>
        <w:rPr>
          <w:rFonts w:ascii="Times New Roman" w:hAnsi="Times New Roman" w:cs="Times New Roman"/>
          <w:sz w:val="28"/>
          <w:szCs w:val="28"/>
        </w:rPr>
        <w:t xml:space="preserve">, що було асоційовано з гіршим виживанням хворих </w:t>
      </w:r>
      <w:r w:rsidRPr="00ED2985">
        <w:rPr>
          <w:rFonts w:ascii="Times New Roman" w:hAnsi="Times New Roman" w:cs="Times New Roman"/>
          <w:sz w:val="28"/>
          <w:szCs w:val="28"/>
        </w:rPr>
        <w:t>[</w:t>
      </w:r>
      <w:r>
        <w:rPr>
          <w:rFonts w:ascii="Times New Roman" w:hAnsi="Times New Roman" w:cs="Times New Roman"/>
          <w:sz w:val="28"/>
          <w:szCs w:val="28"/>
        </w:rPr>
        <w:t>237</w:t>
      </w:r>
      <w:r w:rsidRPr="00ED2985">
        <w:rPr>
          <w:rFonts w:ascii="Times New Roman" w:hAnsi="Times New Roman" w:cs="Times New Roman"/>
          <w:sz w:val="28"/>
          <w:szCs w:val="28"/>
        </w:rPr>
        <w:t>]</w:t>
      </w:r>
      <w:r>
        <w:rPr>
          <w:rFonts w:ascii="Times New Roman" w:hAnsi="Times New Roman" w:cs="Times New Roman"/>
          <w:sz w:val="28"/>
          <w:szCs w:val="28"/>
        </w:rPr>
        <w:t xml:space="preserve">. </w:t>
      </w:r>
    </w:p>
    <w:p w:rsidR="001E6EFC" w:rsidRPr="00D54793" w:rsidRDefault="001E6EFC" w:rsidP="001E6EFC">
      <w:pPr>
        <w:spacing w:after="0" w:line="360" w:lineRule="auto"/>
        <w:ind w:firstLine="708"/>
        <w:jc w:val="both"/>
        <w:rPr>
          <w:rFonts w:ascii="Times New Roman" w:eastAsia="Times New Roman" w:hAnsi="Times New Roman" w:cs="Times New Roman"/>
          <w:b/>
          <w:sz w:val="28"/>
          <w:szCs w:val="28"/>
          <w:lang w:eastAsia="uk-UA"/>
        </w:rPr>
      </w:pPr>
      <w:r>
        <w:rPr>
          <w:rFonts w:ascii="Times New Roman" w:hAnsi="Times New Roman" w:cs="Times New Roman"/>
          <w:sz w:val="28"/>
          <w:szCs w:val="28"/>
        </w:rPr>
        <w:t>Міжнародні групи вивчають цінність аналізу</w:t>
      </w:r>
      <w:r w:rsidRPr="00AF7E12">
        <w:rPr>
          <w:rFonts w:ascii="Times New Roman" w:hAnsi="Times New Roman" w:cs="Times New Roman"/>
          <w:sz w:val="28"/>
          <w:szCs w:val="28"/>
        </w:rPr>
        <w:t xml:space="preserve"> </w:t>
      </w:r>
      <w:r>
        <w:rPr>
          <w:rFonts w:ascii="Times New Roman" w:hAnsi="Times New Roman" w:cs="Times New Roman"/>
          <w:sz w:val="28"/>
          <w:szCs w:val="28"/>
        </w:rPr>
        <w:t xml:space="preserve">заснованого на </w:t>
      </w:r>
      <w:r>
        <w:rPr>
          <w:rFonts w:ascii="Times New Roman" w:hAnsi="Times New Roman" w:cs="Times New Roman"/>
          <w:sz w:val="28"/>
          <w:szCs w:val="28"/>
          <w:lang w:val="en-US"/>
        </w:rPr>
        <w:t>CpG</w:t>
      </w:r>
      <w:r>
        <w:rPr>
          <w:rFonts w:ascii="Times New Roman" w:hAnsi="Times New Roman" w:cs="Times New Roman"/>
          <w:sz w:val="28"/>
          <w:szCs w:val="28"/>
        </w:rPr>
        <w:t xml:space="preserve">-метиляції для прогнозування виживання хворих із скНКР. Крім цього, були отримані обнадійливі дані при оцінці прогностичного потенціалу застосування цитокінів та блокади імуно-інгібуючих молекул, таких, як </w:t>
      </w:r>
      <w:r>
        <w:rPr>
          <w:rFonts w:ascii="Times New Roman" w:hAnsi="Times New Roman" w:cs="Times New Roman"/>
          <w:sz w:val="28"/>
          <w:szCs w:val="28"/>
          <w:lang w:val="en-US"/>
        </w:rPr>
        <w:t>PD</w:t>
      </w:r>
      <w:r w:rsidRPr="00AF7E12">
        <w:rPr>
          <w:rFonts w:ascii="Times New Roman" w:hAnsi="Times New Roman" w:cs="Times New Roman"/>
          <w:sz w:val="28"/>
          <w:szCs w:val="28"/>
        </w:rPr>
        <w:t>-</w:t>
      </w:r>
      <w:r>
        <w:rPr>
          <w:rFonts w:ascii="Times New Roman" w:hAnsi="Times New Roman" w:cs="Times New Roman"/>
          <w:sz w:val="28"/>
          <w:szCs w:val="28"/>
          <w:lang w:val="en-US"/>
        </w:rPr>
        <w:t>L</w:t>
      </w:r>
      <w:r w:rsidRPr="00AF7E12">
        <w:rPr>
          <w:rFonts w:ascii="Times New Roman" w:hAnsi="Times New Roman" w:cs="Times New Roman"/>
          <w:sz w:val="28"/>
          <w:szCs w:val="28"/>
        </w:rPr>
        <w:t>1</w:t>
      </w:r>
      <w:r>
        <w:rPr>
          <w:rFonts w:ascii="Times New Roman" w:hAnsi="Times New Roman" w:cs="Times New Roman"/>
          <w:sz w:val="28"/>
          <w:szCs w:val="28"/>
        </w:rPr>
        <w:t xml:space="preserve"> при лікуванні даної патології</w:t>
      </w:r>
      <w:r w:rsidRPr="00ED2985">
        <w:rPr>
          <w:rFonts w:ascii="Times New Roman" w:hAnsi="Times New Roman" w:cs="Times New Roman"/>
          <w:sz w:val="28"/>
          <w:szCs w:val="28"/>
        </w:rPr>
        <w:t xml:space="preserve"> [</w:t>
      </w:r>
      <w:r>
        <w:rPr>
          <w:rFonts w:ascii="Times New Roman" w:hAnsi="Times New Roman" w:cs="Times New Roman"/>
          <w:sz w:val="28"/>
          <w:szCs w:val="28"/>
        </w:rPr>
        <w:t>417</w:t>
      </w:r>
      <w:r w:rsidRPr="00ED2985">
        <w:rPr>
          <w:rFonts w:ascii="Times New Roman" w:hAnsi="Times New Roman" w:cs="Times New Roman"/>
          <w:sz w:val="28"/>
          <w:szCs w:val="28"/>
        </w:rPr>
        <w:t>]</w:t>
      </w:r>
      <w:r>
        <w:rPr>
          <w:rFonts w:ascii="Times New Roman" w:hAnsi="Times New Roman" w:cs="Times New Roman"/>
          <w:sz w:val="28"/>
          <w:szCs w:val="28"/>
        </w:rPr>
        <w:t xml:space="preserve">. Більшість описаних на сьогоднішній день таких молекулярних сполук є на основі тканин пухлини, що відображає як певну однонаправленість у вивченні прогностичних біомаркерів лише в тканинах НКР, так і недостатнє їх вивчення в сироватці і сечі. </w:t>
      </w:r>
    </w:p>
    <w:p w:rsidR="001E6EFC" w:rsidRDefault="001E6EFC" w:rsidP="001E6EFC">
      <w:pPr>
        <w:spacing w:after="0" w:line="360" w:lineRule="auto"/>
        <w:ind w:firstLine="708"/>
        <w:jc w:val="both"/>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rPr>
        <w:t xml:space="preserve">Рядом науковців був досліджений потенціал застосування міРНК у якості біомаркерів НКР для прогнозування рецедивування захворювання, метастазування та виживаності. Так, в 2010 р. </w:t>
      </w:r>
      <w:r w:rsidRPr="00C05B64">
        <w:rPr>
          <w:rFonts w:ascii="Times New Roman" w:hAnsi="Times New Roman" w:cs="Times New Roman"/>
          <w:color w:val="000000" w:themeColor="text1"/>
          <w:sz w:val="28"/>
          <w:szCs w:val="28"/>
          <w:shd w:val="clear" w:color="auto" w:fill="FFFFFF"/>
          <w:lang w:val="en-US"/>
        </w:rPr>
        <w:t>Hildebrandt</w:t>
      </w:r>
      <w:r w:rsidRPr="00421C4E">
        <w:rPr>
          <w:rFonts w:ascii="Times New Roman" w:hAnsi="Times New Roman" w:cs="Times New Roman"/>
          <w:color w:val="000000" w:themeColor="text1"/>
          <w:sz w:val="28"/>
          <w:szCs w:val="28"/>
          <w:shd w:val="clear" w:color="auto" w:fill="FFFFFF"/>
        </w:rPr>
        <w:t xml:space="preserve"> </w:t>
      </w:r>
      <w:r w:rsidRPr="00C05B64">
        <w:rPr>
          <w:rFonts w:ascii="Times New Roman" w:hAnsi="Times New Roman" w:cs="Times New Roman"/>
          <w:color w:val="000000" w:themeColor="text1"/>
          <w:sz w:val="28"/>
          <w:szCs w:val="28"/>
          <w:shd w:val="clear" w:color="auto" w:fill="FFFFFF"/>
          <w:lang w:val="en-US"/>
        </w:rPr>
        <w:t>et</w:t>
      </w:r>
      <w:r w:rsidRPr="00421C4E">
        <w:rPr>
          <w:rFonts w:ascii="Times New Roman" w:hAnsi="Times New Roman" w:cs="Times New Roman"/>
          <w:color w:val="000000" w:themeColor="text1"/>
          <w:sz w:val="28"/>
          <w:szCs w:val="28"/>
          <w:shd w:val="clear" w:color="auto" w:fill="FFFFFF"/>
        </w:rPr>
        <w:t xml:space="preserve"> </w:t>
      </w:r>
      <w:r w:rsidRPr="00C05B64">
        <w:rPr>
          <w:rFonts w:ascii="Times New Roman" w:hAnsi="Times New Roman" w:cs="Times New Roman"/>
          <w:color w:val="000000" w:themeColor="text1"/>
          <w:sz w:val="28"/>
          <w:szCs w:val="28"/>
          <w:shd w:val="clear" w:color="auto" w:fill="FFFFFF"/>
          <w:lang w:val="en-US"/>
        </w:rPr>
        <w:t>al</w:t>
      </w:r>
      <w:r>
        <w:rPr>
          <w:rFonts w:ascii="Times New Roman" w:hAnsi="Times New Roman" w:cs="Times New Roman"/>
          <w:color w:val="000000" w:themeColor="text1"/>
          <w:sz w:val="28"/>
          <w:szCs w:val="28"/>
          <w:shd w:val="clear" w:color="auto" w:fill="FFFFFF"/>
        </w:rPr>
        <w:t xml:space="preserve">. виявив, що метиляція міР-9-1 та міР-9-3 була більш вираженою у хворих із рецидифуючим НКР у порівнянні із хворими без рецидиву </w:t>
      </w:r>
      <w:r w:rsidRPr="00C05B64">
        <w:rPr>
          <w:rFonts w:ascii="Times New Roman" w:hAnsi="Times New Roman" w:cs="Times New Roman"/>
          <w:bCs/>
          <w:color w:val="000000"/>
          <w:sz w:val="28"/>
          <w:szCs w:val="28"/>
          <w:shd w:val="clear" w:color="auto" w:fill="FFFFFF"/>
          <w:lang w:val="en-US"/>
        </w:rPr>
        <w:t>patients</w:t>
      </w:r>
      <w:r w:rsidRPr="00421C4E">
        <w:rPr>
          <w:rFonts w:ascii="Times New Roman" w:hAnsi="Times New Roman" w:cs="Times New Roman"/>
          <w:bCs/>
          <w:color w:val="000000"/>
          <w:sz w:val="28"/>
          <w:szCs w:val="28"/>
          <w:shd w:val="clear" w:color="auto" w:fill="FFFFFF"/>
        </w:rPr>
        <w:t xml:space="preserve"> (</w:t>
      </w:r>
      <w:r w:rsidRPr="00C05B64">
        <w:rPr>
          <w:rFonts w:ascii="Times New Roman" w:hAnsi="Times New Roman" w:cs="Times New Roman"/>
          <w:bCs/>
          <w:iCs/>
          <w:color w:val="000000"/>
          <w:sz w:val="28"/>
          <w:szCs w:val="28"/>
          <w:shd w:val="clear" w:color="auto" w:fill="FFFFFF"/>
          <w:lang w:val="en-US"/>
        </w:rPr>
        <w:t>p</w:t>
      </w:r>
      <w:r w:rsidRPr="00421C4E">
        <w:rPr>
          <w:rFonts w:ascii="Times New Roman" w:hAnsi="Times New Roman" w:cs="Times New Roman"/>
          <w:bCs/>
          <w:color w:val="000000"/>
          <w:sz w:val="28"/>
          <w:szCs w:val="28"/>
          <w:shd w:val="clear" w:color="auto" w:fill="FFFFFF"/>
        </w:rPr>
        <w:t>-</w:t>
      </w:r>
      <w:r>
        <w:rPr>
          <w:rFonts w:ascii="Times New Roman" w:hAnsi="Times New Roman" w:cs="Times New Roman"/>
          <w:bCs/>
          <w:color w:val="000000"/>
          <w:sz w:val="28"/>
          <w:szCs w:val="28"/>
          <w:shd w:val="clear" w:color="auto" w:fill="FFFFFF"/>
        </w:rPr>
        <w:t>значення 0,</w:t>
      </w:r>
      <w:r w:rsidRPr="00421C4E">
        <w:rPr>
          <w:rFonts w:ascii="Times New Roman" w:hAnsi="Times New Roman" w:cs="Times New Roman"/>
          <w:bCs/>
          <w:color w:val="000000"/>
          <w:sz w:val="28"/>
          <w:szCs w:val="28"/>
          <w:shd w:val="clear" w:color="auto" w:fill="FFFFFF"/>
        </w:rPr>
        <w:t xml:space="preserve">012 </w:t>
      </w:r>
      <w:r>
        <w:rPr>
          <w:rFonts w:ascii="Times New Roman" w:hAnsi="Times New Roman" w:cs="Times New Roman"/>
          <w:bCs/>
          <w:color w:val="000000"/>
          <w:sz w:val="28"/>
          <w:szCs w:val="28"/>
          <w:shd w:val="clear" w:color="auto" w:fill="FFFFFF"/>
        </w:rPr>
        <w:t xml:space="preserve">для </w:t>
      </w:r>
      <w:r>
        <w:rPr>
          <w:rFonts w:ascii="Times New Roman" w:hAnsi="Times New Roman" w:cs="Times New Roman"/>
          <w:color w:val="000000" w:themeColor="text1"/>
          <w:sz w:val="28"/>
          <w:szCs w:val="28"/>
          <w:shd w:val="clear" w:color="auto" w:fill="FFFFFF"/>
        </w:rPr>
        <w:t>міР-9-1</w:t>
      </w:r>
      <w:r w:rsidRPr="00C05B64">
        <w:rPr>
          <w:rStyle w:val="apple-converted-space"/>
          <w:rFonts w:ascii="Times New Roman" w:hAnsi="Times New Roman" w:cs="Times New Roman"/>
          <w:bCs/>
          <w:color w:val="000000"/>
          <w:sz w:val="28"/>
          <w:szCs w:val="28"/>
          <w:shd w:val="clear" w:color="auto" w:fill="FFFFFF"/>
          <w:lang w:val="en-US"/>
        </w:rPr>
        <w:t> </w:t>
      </w:r>
      <w:r>
        <w:rPr>
          <w:rFonts w:ascii="Times New Roman" w:hAnsi="Times New Roman" w:cs="Times New Roman"/>
          <w:bCs/>
          <w:color w:val="000000"/>
          <w:sz w:val="28"/>
          <w:szCs w:val="28"/>
          <w:shd w:val="clear" w:color="auto" w:fill="FFFFFF"/>
        </w:rPr>
        <w:t>та 0,</w:t>
      </w:r>
      <w:r w:rsidRPr="00421C4E">
        <w:rPr>
          <w:rFonts w:ascii="Times New Roman" w:hAnsi="Times New Roman" w:cs="Times New Roman"/>
          <w:bCs/>
          <w:color w:val="000000"/>
          <w:sz w:val="28"/>
          <w:szCs w:val="28"/>
          <w:shd w:val="clear" w:color="auto" w:fill="FFFFFF"/>
        </w:rPr>
        <w:t xml:space="preserve">009 </w:t>
      </w:r>
      <w:r>
        <w:rPr>
          <w:rFonts w:ascii="Times New Roman" w:hAnsi="Times New Roman" w:cs="Times New Roman"/>
          <w:bCs/>
          <w:color w:val="000000"/>
          <w:sz w:val="28"/>
          <w:szCs w:val="28"/>
          <w:shd w:val="clear" w:color="auto" w:fill="FFFFFF"/>
        </w:rPr>
        <w:t xml:space="preserve">для </w:t>
      </w:r>
      <w:r>
        <w:rPr>
          <w:rFonts w:ascii="Times New Roman" w:hAnsi="Times New Roman" w:cs="Times New Roman"/>
          <w:color w:val="000000" w:themeColor="text1"/>
          <w:sz w:val="28"/>
          <w:szCs w:val="28"/>
          <w:shd w:val="clear" w:color="auto" w:fill="FFFFFF"/>
        </w:rPr>
        <w:t>міР-9-3</w:t>
      </w:r>
      <w:r w:rsidRPr="00421C4E">
        <w:rPr>
          <w:rFonts w:ascii="Times New Roman" w:hAnsi="Times New Roman" w:cs="Times New Roman"/>
          <w:bCs/>
          <w:color w:val="000000"/>
          <w:sz w:val="28"/>
          <w:szCs w:val="28"/>
          <w:shd w:val="clear" w:color="auto" w:fill="FFFFFF"/>
        </w:rPr>
        <w:t>)</w:t>
      </w:r>
      <w:r>
        <w:rPr>
          <w:rFonts w:ascii="Times New Roman" w:hAnsi="Times New Roman" w:cs="Times New Roman"/>
          <w:bCs/>
          <w:color w:val="000000"/>
          <w:sz w:val="28"/>
          <w:szCs w:val="28"/>
          <w:shd w:val="clear" w:color="auto" w:fill="FFFFFF"/>
        </w:rPr>
        <w:t xml:space="preserve">. Крім цього, метиляція </w:t>
      </w:r>
      <w:r>
        <w:rPr>
          <w:rFonts w:ascii="Times New Roman" w:hAnsi="Times New Roman" w:cs="Times New Roman"/>
          <w:color w:val="000000" w:themeColor="text1"/>
          <w:sz w:val="28"/>
          <w:szCs w:val="28"/>
          <w:shd w:val="clear" w:color="auto" w:fill="FFFFFF"/>
        </w:rPr>
        <w:t xml:space="preserve">міР-9-3 була асоційована із підвищеним ризиком рецидиву НКР </w:t>
      </w:r>
      <w:r w:rsidRPr="00421C4E">
        <w:rPr>
          <w:rFonts w:ascii="Times New Roman" w:hAnsi="Times New Roman" w:cs="Times New Roman"/>
          <w:bCs/>
          <w:color w:val="000000"/>
          <w:sz w:val="28"/>
          <w:szCs w:val="28"/>
          <w:shd w:val="clear" w:color="auto" w:fill="FFFFFF"/>
        </w:rPr>
        <w:t>(</w:t>
      </w:r>
      <w:r w:rsidRPr="00C05B64">
        <w:rPr>
          <w:rFonts w:ascii="Times New Roman" w:hAnsi="Times New Roman" w:cs="Times New Roman"/>
          <w:color w:val="000000" w:themeColor="text1"/>
          <w:sz w:val="28"/>
          <w:szCs w:val="28"/>
          <w:lang w:val="en-US"/>
        </w:rPr>
        <w:t>HR</w:t>
      </w:r>
      <w:r>
        <w:rPr>
          <w:rFonts w:ascii="Times New Roman" w:hAnsi="Times New Roman" w:cs="Times New Roman"/>
          <w:bCs/>
          <w:color w:val="000000"/>
          <w:sz w:val="28"/>
          <w:szCs w:val="28"/>
          <w:shd w:val="clear" w:color="auto" w:fill="FFFFFF"/>
        </w:rPr>
        <w:t>=5,</w:t>
      </w:r>
      <w:r w:rsidRPr="00421C4E">
        <w:rPr>
          <w:rFonts w:ascii="Times New Roman" w:hAnsi="Times New Roman" w:cs="Times New Roman"/>
          <w:bCs/>
          <w:color w:val="000000"/>
          <w:sz w:val="28"/>
          <w:szCs w:val="28"/>
          <w:shd w:val="clear" w:color="auto" w:fill="FFFFFF"/>
        </w:rPr>
        <w:t>85, 95</w:t>
      </w:r>
      <w:r w:rsidRPr="00421C4E">
        <w:rPr>
          <w:rStyle w:val="mb"/>
          <w:rFonts w:ascii="Times New Roman" w:hAnsi="Times New Roman" w:cs="Times New Roman"/>
          <w:bCs/>
          <w:color w:val="000000"/>
          <w:sz w:val="28"/>
          <w:szCs w:val="28"/>
          <w:shd w:val="clear" w:color="auto" w:fill="FFFFFF"/>
        </w:rPr>
        <w:t>%</w:t>
      </w:r>
      <w:r w:rsidRPr="00C05B64">
        <w:rPr>
          <w:rStyle w:val="apple-converted-space"/>
          <w:rFonts w:ascii="Times New Roman" w:hAnsi="Times New Roman" w:cs="Times New Roman"/>
          <w:bCs/>
          <w:color w:val="000000"/>
          <w:sz w:val="28"/>
          <w:szCs w:val="28"/>
          <w:shd w:val="clear" w:color="auto" w:fill="FFFFFF"/>
          <w:lang w:val="en-US"/>
        </w:rPr>
        <w:t> </w:t>
      </w:r>
      <w:r>
        <w:rPr>
          <w:rFonts w:ascii="Times New Roman" w:hAnsi="Times New Roman" w:cs="Times New Roman"/>
          <w:bCs/>
          <w:color w:val="000000"/>
          <w:sz w:val="28"/>
          <w:szCs w:val="28"/>
          <w:shd w:val="clear" w:color="auto" w:fill="FFFFFF"/>
        </w:rPr>
        <w:t>ДІ=1,30–26,</w:t>
      </w:r>
      <w:r w:rsidRPr="00421C4E">
        <w:rPr>
          <w:rFonts w:ascii="Times New Roman" w:hAnsi="Times New Roman" w:cs="Times New Roman"/>
          <w:bCs/>
          <w:color w:val="000000"/>
          <w:sz w:val="28"/>
          <w:szCs w:val="28"/>
          <w:shd w:val="clear" w:color="auto" w:fill="FFFFFF"/>
        </w:rPr>
        <w:t>35),</w:t>
      </w:r>
      <w:r>
        <w:rPr>
          <w:rFonts w:ascii="Times New Roman" w:hAnsi="Times New Roman" w:cs="Times New Roman"/>
          <w:bCs/>
          <w:color w:val="000000"/>
          <w:sz w:val="28"/>
          <w:szCs w:val="28"/>
          <w:shd w:val="clear" w:color="auto" w:fill="FFFFFF"/>
        </w:rPr>
        <w:t xml:space="preserve"> а підвищені рівні метиляції обох вказаних міРНК були характерними </w:t>
      </w:r>
      <w:r>
        <w:rPr>
          <w:rFonts w:ascii="Times New Roman" w:hAnsi="Times New Roman" w:cs="Times New Roman"/>
          <w:bCs/>
          <w:color w:val="000000"/>
          <w:sz w:val="28"/>
          <w:szCs w:val="28"/>
          <w:shd w:val="clear" w:color="auto" w:fill="FFFFFF"/>
        </w:rPr>
        <w:lastRenderedPageBreak/>
        <w:t xml:space="preserve">для хворих із скороченням тривалості </w:t>
      </w:r>
      <w:r w:rsidR="007D7DC9">
        <w:rPr>
          <w:rFonts w:ascii="Times New Roman" w:hAnsi="Times New Roman" w:cs="Times New Roman"/>
          <w:bCs/>
          <w:color w:val="000000"/>
          <w:sz w:val="28"/>
          <w:szCs w:val="28"/>
          <w:shd w:val="clear" w:color="auto" w:fill="FFFFFF"/>
        </w:rPr>
        <w:t xml:space="preserve">виживання без рецидиву – </w:t>
      </w:r>
      <w:r w:rsidR="007D7DC9">
        <w:rPr>
          <w:rFonts w:ascii="Times New Roman" w:hAnsi="Times New Roman" w:cs="Times New Roman"/>
          <w:bCs/>
          <w:color w:val="000000"/>
          <w:sz w:val="28"/>
          <w:szCs w:val="28"/>
          <w:shd w:val="clear" w:color="auto" w:fill="FFFFFF"/>
          <w:lang w:val="en-US"/>
        </w:rPr>
        <w:t>relapse</w:t>
      </w:r>
      <w:r w:rsidR="007D7DC9" w:rsidRPr="007D7DC9">
        <w:rPr>
          <w:rFonts w:ascii="Times New Roman" w:hAnsi="Times New Roman" w:cs="Times New Roman"/>
          <w:bCs/>
          <w:color w:val="000000"/>
          <w:sz w:val="28"/>
          <w:szCs w:val="28"/>
          <w:shd w:val="clear" w:color="auto" w:fill="FFFFFF"/>
        </w:rPr>
        <w:t xml:space="preserve"> </w:t>
      </w:r>
      <w:r w:rsidR="007D7DC9">
        <w:rPr>
          <w:rFonts w:ascii="Times New Roman" w:hAnsi="Times New Roman" w:cs="Times New Roman"/>
          <w:bCs/>
          <w:color w:val="000000"/>
          <w:sz w:val="28"/>
          <w:szCs w:val="28"/>
          <w:shd w:val="clear" w:color="auto" w:fill="FFFFFF"/>
          <w:lang w:val="en-US"/>
        </w:rPr>
        <w:t>free</w:t>
      </w:r>
      <w:r w:rsidR="007D7DC9" w:rsidRPr="007D7DC9">
        <w:rPr>
          <w:rFonts w:ascii="Times New Roman" w:hAnsi="Times New Roman" w:cs="Times New Roman"/>
          <w:bCs/>
          <w:color w:val="000000"/>
          <w:sz w:val="28"/>
          <w:szCs w:val="28"/>
          <w:shd w:val="clear" w:color="auto" w:fill="FFFFFF"/>
        </w:rPr>
        <w:t xml:space="preserve"> </w:t>
      </w:r>
      <w:r w:rsidR="007D7DC9">
        <w:rPr>
          <w:rFonts w:ascii="Times New Roman" w:hAnsi="Times New Roman" w:cs="Times New Roman"/>
          <w:bCs/>
          <w:color w:val="000000"/>
          <w:sz w:val="28"/>
          <w:szCs w:val="28"/>
          <w:shd w:val="clear" w:color="auto" w:fill="FFFFFF"/>
          <w:lang w:val="en-US"/>
        </w:rPr>
        <w:t>survival</w:t>
      </w:r>
      <w:r w:rsidR="007D7DC9" w:rsidRPr="007D7DC9">
        <w:rPr>
          <w:rFonts w:ascii="Times New Roman" w:hAnsi="Times New Roman" w:cs="Times New Roman"/>
          <w:bCs/>
          <w:color w:val="000000"/>
          <w:sz w:val="28"/>
          <w:szCs w:val="28"/>
          <w:shd w:val="clear" w:color="auto" w:fill="FFFFFF"/>
        </w:rPr>
        <w:t xml:space="preserve"> (</w:t>
      </w:r>
      <w:r w:rsidRPr="00C05B64">
        <w:rPr>
          <w:rFonts w:ascii="Times New Roman" w:hAnsi="Times New Roman" w:cs="Times New Roman"/>
          <w:bCs/>
          <w:color w:val="000000"/>
          <w:sz w:val="28"/>
          <w:szCs w:val="28"/>
          <w:shd w:val="clear" w:color="auto" w:fill="FFFFFF"/>
          <w:lang w:val="en-US"/>
        </w:rPr>
        <w:t>RFS</w:t>
      </w:r>
      <w:r w:rsidR="007D7DC9" w:rsidRPr="007D7DC9">
        <w:rPr>
          <w:rFonts w:ascii="Times New Roman" w:hAnsi="Times New Roman" w:cs="Times New Roman"/>
          <w:bCs/>
          <w:color w:val="000000"/>
          <w:sz w:val="28"/>
          <w:szCs w:val="28"/>
          <w:shd w:val="clear" w:color="auto" w:fill="FFFFFF"/>
        </w:rPr>
        <w:t>)</w:t>
      </w:r>
      <w:r>
        <w:rPr>
          <w:rFonts w:ascii="Times New Roman" w:hAnsi="Times New Roman" w:cs="Times New Roman"/>
          <w:bCs/>
          <w:color w:val="000000"/>
          <w:sz w:val="28"/>
          <w:szCs w:val="28"/>
          <w:shd w:val="clear" w:color="auto" w:fill="FFFFFF"/>
        </w:rPr>
        <w:t xml:space="preserve"> на в середньому 30 місяців </w:t>
      </w:r>
      <w:r w:rsidRPr="00421C4E">
        <w:rPr>
          <w:rFonts w:ascii="Times New Roman" w:hAnsi="Times New Roman" w:cs="Times New Roman"/>
          <w:bCs/>
          <w:color w:val="000000"/>
          <w:sz w:val="28"/>
          <w:szCs w:val="28"/>
          <w:shd w:val="clear" w:color="auto" w:fill="FFFFFF"/>
        </w:rPr>
        <w:t>(</w:t>
      </w:r>
      <w:r w:rsidRPr="00C05B64">
        <w:rPr>
          <w:rFonts w:ascii="Times New Roman" w:hAnsi="Times New Roman" w:cs="Times New Roman"/>
          <w:bCs/>
          <w:iCs/>
          <w:color w:val="000000"/>
          <w:sz w:val="28"/>
          <w:szCs w:val="28"/>
          <w:shd w:val="clear" w:color="auto" w:fill="FFFFFF"/>
          <w:lang w:val="en-US"/>
        </w:rPr>
        <w:t>p</w:t>
      </w:r>
      <w:r w:rsidRPr="00421C4E">
        <w:rPr>
          <w:rFonts w:ascii="Times New Roman" w:hAnsi="Times New Roman" w:cs="Times New Roman"/>
          <w:bCs/>
          <w:color w:val="000000"/>
          <w:sz w:val="28"/>
          <w:szCs w:val="28"/>
          <w:shd w:val="clear" w:color="auto" w:fill="FFFFFF"/>
        </w:rPr>
        <w:t>-</w:t>
      </w:r>
      <w:r>
        <w:rPr>
          <w:rFonts w:ascii="Times New Roman" w:hAnsi="Times New Roman" w:cs="Times New Roman"/>
          <w:bCs/>
          <w:color w:val="000000"/>
          <w:sz w:val="28"/>
          <w:szCs w:val="28"/>
          <w:shd w:val="clear" w:color="auto" w:fill="FFFFFF"/>
        </w:rPr>
        <w:t>значення 0,</w:t>
      </w:r>
      <w:r w:rsidRPr="00421C4E">
        <w:rPr>
          <w:rFonts w:ascii="Times New Roman" w:hAnsi="Times New Roman" w:cs="Times New Roman"/>
          <w:bCs/>
          <w:color w:val="000000"/>
          <w:sz w:val="28"/>
          <w:szCs w:val="28"/>
          <w:shd w:val="clear" w:color="auto" w:fill="FFFFFF"/>
        </w:rPr>
        <w:t xml:space="preserve">034 </w:t>
      </w:r>
      <w:r>
        <w:rPr>
          <w:rFonts w:ascii="Times New Roman" w:hAnsi="Times New Roman" w:cs="Times New Roman"/>
          <w:bCs/>
          <w:color w:val="000000"/>
          <w:sz w:val="28"/>
          <w:szCs w:val="28"/>
          <w:shd w:val="clear" w:color="auto" w:fill="FFFFFF"/>
        </w:rPr>
        <w:t xml:space="preserve">для </w:t>
      </w:r>
      <w:r>
        <w:rPr>
          <w:rFonts w:ascii="Times New Roman" w:hAnsi="Times New Roman" w:cs="Times New Roman"/>
          <w:color w:val="000000" w:themeColor="text1"/>
          <w:sz w:val="28"/>
          <w:szCs w:val="28"/>
          <w:shd w:val="clear" w:color="auto" w:fill="FFFFFF"/>
        </w:rPr>
        <w:t>міР-9-1</w:t>
      </w:r>
      <w:r w:rsidRPr="00C05B64">
        <w:rPr>
          <w:rStyle w:val="apple-converted-space"/>
          <w:rFonts w:ascii="Times New Roman" w:hAnsi="Times New Roman" w:cs="Times New Roman"/>
          <w:bCs/>
          <w:color w:val="000000"/>
          <w:sz w:val="28"/>
          <w:szCs w:val="28"/>
          <w:shd w:val="clear" w:color="auto" w:fill="FFFFFF"/>
          <w:lang w:val="en-US"/>
        </w:rPr>
        <w:t> </w:t>
      </w:r>
      <w:r>
        <w:rPr>
          <w:rFonts w:ascii="Times New Roman" w:hAnsi="Times New Roman" w:cs="Times New Roman"/>
          <w:bCs/>
          <w:sz w:val="28"/>
          <w:szCs w:val="28"/>
          <w:shd w:val="clear" w:color="auto" w:fill="FFFFFF"/>
        </w:rPr>
        <w:t>та</w:t>
      </w:r>
      <w:r w:rsidRPr="00C05B64">
        <w:rPr>
          <w:rStyle w:val="apple-converted-space"/>
          <w:rFonts w:ascii="Times New Roman" w:hAnsi="Times New Roman" w:cs="Times New Roman"/>
          <w:bCs/>
          <w:sz w:val="28"/>
          <w:szCs w:val="28"/>
          <w:shd w:val="clear" w:color="auto" w:fill="FFFFFF"/>
          <w:lang w:val="en-US"/>
        </w:rPr>
        <w:t> </w:t>
      </w:r>
      <w:r>
        <w:rPr>
          <w:rFonts w:ascii="Times New Roman" w:hAnsi="Times New Roman" w:cs="Times New Roman"/>
          <w:bCs/>
          <w:color w:val="000000"/>
          <w:sz w:val="28"/>
          <w:szCs w:val="28"/>
          <w:shd w:val="clear" w:color="auto" w:fill="FFFFFF"/>
        </w:rPr>
        <w:t>0,</w:t>
      </w:r>
      <w:r w:rsidRPr="00421C4E">
        <w:rPr>
          <w:rFonts w:ascii="Times New Roman" w:hAnsi="Times New Roman" w:cs="Times New Roman"/>
          <w:bCs/>
          <w:color w:val="000000"/>
          <w:sz w:val="28"/>
          <w:szCs w:val="28"/>
          <w:shd w:val="clear" w:color="auto" w:fill="FFFFFF"/>
        </w:rPr>
        <w:t xml:space="preserve">007 </w:t>
      </w:r>
      <w:r>
        <w:rPr>
          <w:rFonts w:ascii="Times New Roman" w:hAnsi="Times New Roman" w:cs="Times New Roman"/>
          <w:bCs/>
          <w:color w:val="000000"/>
          <w:sz w:val="28"/>
          <w:szCs w:val="28"/>
          <w:shd w:val="clear" w:color="auto" w:fill="FFFFFF"/>
        </w:rPr>
        <w:t xml:space="preserve">для </w:t>
      </w:r>
      <w:r>
        <w:rPr>
          <w:rFonts w:ascii="Times New Roman" w:hAnsi="Times New Roman" w:cs="Times New Roman"/>
          <w:color w:val="000000" w:themeColor="text1"/>
          <w:sz w:val="28"/>
          <w:szCs w:val="28"/>
          <w:shd w:val="clear" w:color="auto" w:fill="FFFFFF"/>
        </w:rPr>
        <w:t>міР-9-3</w:t>
      </w:r>
      <w:r w:rsidRPr="00421C4E">
        <w:rPr>
          <w:rFonts w:ascii="Times New Roman" w:hAnsi="Times New Roman" w:cs="Times New Roman"/>
          <w:bCs/>
          <w:sz w:val="28"/>
          <w:szCs w:val="28"/>
          <w:shd w:val="clear" w:color="auto" w:fill="FFFFFF"/>
        </w:rPr>
        <w:t>) [</w:t>
      </w:r>
      <w:r>
        <w:rPr>
          <w:rFonts w:ascii="Times New Roman" w:eastAsia="Times New Roman" w:hAnsi="Times New Roman" w:cs="Times New Roman"/>
          <w:color w:val="000000" w:themeColor="text1"/>
          <w:sz w:val="28"/>
          <w:szCs w:val="28"/>
          <w:lang w:eastAsia="uk-UA"/>
        </w:rPr>
        <w:t>180</w:t>
      </w:r>
      <w:r w:rsidRPr="00421C4E">
        <w:rPr>
          <w:rFonts w:ascii="Times New Roman" w:hAnsi="Times New Roman" w:cs="Times New Roman"/>
          <w:bCs/>
          <w:sz w:val="28"/>
          <w:szCs w:val="28"/>
          <w:shd w:val="clear" w:color="auto" w:fill="FFFFFF"/>
        </w:rPr>
        <w:t>].</w:t>
      </w:r>
      <w:r>
        <w:rPr>
          <w:rFonts w:ascii="Times New Roman" w:hAnsi="Times New Roman" w:cs="Times New Roman"/>
          <w:bCs/>
          <w:sz w:val="28"/>
          <w:szCs w:val="28"/>
          <w:shd w:val="clear" w:color="auto" w:fill="FFFFFF"/>
        </w:rPr>
        <w:t xml:space="preserve"> В іншому дослідженні </w:t>
      </w:r>
      <w:r w:rsidRPr="00C05B64">
        <w:rPr>
          <w:rFonts w:ascii="Times New Roman" w:hAnsi="Times New Roman" w:cs="Times New Roman"/>
          <w:bCs/>
          <w:sz w:val="28"/>
          <w:szCs w:val="28"/>
          <w:shd w:val="clear" w:color="auto" w:fill="FFFFFF"/>
          <w:lang w:val="en-US"/>
        </w:rPr>
        <w:t>Nakata</w:t>
      </w:r>
      <w:r w:rsidRPr="00421C4E">
        <w:rPr>
          <w:rFonts w:ascii="Times New Roman" w:hAnsi="Times New Roman" w:cs="Times New Roman"/>
          <w:bCs/>
          <w:sz w:val="28"/>
          <w:szCs w:val="28"/>
          <w:shd w:val="clear" w:color="auto" w:fill="FFFFFF"/>
        </w:rPr>
        <w:t xml:space="preserve"> </w:t>
      </w:r>
      <w:r w:rsidRPr="00C05B64">
        <w:rPr>
          <w:rFonts w:ascii="Times New Roman" w:hAnsi="Times New Roman" w:cs="Times New Roman"/>
          <w:bCs/>
          <w:sz w:val="28"/>
          <w:szCs w:val="28"/>
          <w:shd w:val="clear" w:color="auto" w:fill="FFFFFF"/>
          <w:lang w:val="en-US"/>
        </w:rPr>
        <w:t>et</w:t>
      </w:r>
      <w:r w:rsidRPr="00421C4E">
        <w:rPr>
          <w:rFonts w:ascii="Times New Roman" w:hAnsi="Times New Roman" w:cs="Times New Roman"/>
          <w:bCs/>
          <w:sz w:val="28"/>
          <w:szCs w:val="28"/>
          <w:shd w:val="clear" w:color="auto" w:fill="FFFFFF"/>
        </w:rPr>
        <w:t xml:space="preserve"> </w:t>
      </w:r>
      <w:r w:rsidRPr="00C05B64">
        <w:rPr>
          <w:rFonts w:ascii="Times New Roman" w:hAnsi="Times New Roman" w:cs="Times New Roman"/>
          <w:bCs/>
          <w:sz w:val="28"/>
          <w:szCs w:val="28"/>
          <w:shd w:val="clear" w:color="auto" w:fill="FFFFFF"/>
          <w:lang w:val="en-US"/>
        </w:rPr>
        <w:t>al</w:t>
      </w:r>
      <w:r>
        <w:rPr>
          <w:rFonts w:ascii="Times New Roman" w:hAnsi="Times New Roman" w:cs="Times New Roman"/>
          <w:bCs/>
          <w:sz w:val="28"/>
          <w:szCs w:val="28"/>
          <w:shd w:val="clear" w:color="auto" w:fill="FFFFFF"/>
        </w:rPr>
        <w:t>. визначили, що експресія міР-</w:t>
      </w:r>
      <w:r w:rsidRPr="00421C4E">
        <w:rPr>
          <w:rFonts w:ascii="Times New Roman" w:hAnsi="Times New Roman" w:cs="Times New Roman"/>
          <w:color w:val="000000" w:themeColor="text1"/>
          <w:sz w:val="28"/>
          <w:szCs w:val="28"/>
        </w:rPr>
        <w:t>27</w:t>
      </w:r>
      <w:r w:rsidRPr="00C05B64">
        <w:rPr>
          <w:rFonts w:ascii="Times New Roman" w:hAnsi="Times New Roman" w:cs="Times New Roman"/>
          <w:color w:val="000000" w:themeColor="text1"/>
          <w:sz w:val="28"/>
          <w:szCs w:val="28"/>
          <w:lang w:val="en-US"/>
        </w:rPr>
        <w:t>a</w:t>
      </w:r>
      <w:r w:rsidRPr="00421C4E">
        <w:rPr>
          <w:rFonts w:ascii="Times New Roman" w:hAnsi="Times New Roman" w:cs="Times New Roman"/>
          <w:color w:val="000000" w:themeColor="text1"/>
          <w:sz w:val="28"/>
          <w:szCs w:val="28"/>
        </w:rPr>
        <w:t>-3</w:t>
      </w:r>
      <w:r w:rsidRPr="00C05B64">
        <w:rPr>
          <w:rFonts w:ascii="Times New Roman" w:hAnsi="Times New Roman" w:cs="Times New Roman"/>
          <w:color w:val="000000" w:themeColor="text1"/>
          <w:sz w:val="28"/>
          <w:szCs w:val="28"/>
          <w:lang w:val="en-US"/>
        </w:rPr>
        <w:t>p</w:t>
      </w:r>
      <w:r>
        <w:rPr>
          <w:rFonts w:ascii="Times New Roman" w:hAnsi="Times New Roman" w:cs="Times New Roman"/>
          <w:color w:val="000000" w:themeColor="text1"/>
          <w:sz w:val="28"/>
          <w:szCs w:val="28"/>
        </w:rPr>
        <w:t xml:space="preserve"> була пов’язана із  прогресією НКР (</w:t>
      </w:r>
      <w:r w:rsidRPr="00C05B64">
        <w:rPr>
          <w:rFonts w:ascii="Times New Roman" w:hAnsi="Times New Roman" w:cs="Times New Roman"/>
          <w:color w:val="000000" w:themeColor="text1"/>
          <w:sz w:val="28"/>
          <w:szCs w:val="28"/>
          <w:lang w:val="en-US"/>
        </w:rPr>
        <w:t>HR</w:t>
      </w:r>
      <w:r>
        <w:rPr>
          <w:rFonts w:ascii="Times New Roman" w:hAnsi="Times New Roman" w:cs="Times New Roman"/>
          <w:color w:val="000000" w:themeColor="text1"/>
          <w:sz w:val="28"/>
          <w:szCs w:val="28"/>
        </w:rPr>
        <w:t>=2,</w:t>
      </w:r>
      <w:r w:rsidRPr="00361FB4">
        <w:rPr>
          <w:rFonts w:ascii="Times New Roman" w:hAnsi="Times New Roman" w:cs="Times New Roman"/>
          <w:color w:val="000000" w:themeColor="text1"/>
          <w:sz w:val="28"/>
          <w:szCs w:val="28"/>
        </w:rPr>
        <w:t>33; 95% ДІ=</w:t>
      </w:r>
      <w:r>
        <w:rPr>
          <w:rFonts w:ascii="Times New Roman" w:hAnsi="Times New Roman" w:cs="Times New Roman"/>
          <w:color w:val="000000" w:themeColor="text1"/>
          <w:sz w:val="28"/>
          <w:szCs w:val="28"/>
        </w:rPr>
        <w:t>1,07–5,</w:t>
      </w:r>
      <w:r w:rsidRPr="00361FB4">
        <w:rPr>
          <w:rFonts w:ascii="Times New Roman" w:hAnsi="Times New Roman" w:cs="Times New Roman"/>
          <w:color w:val="000000" w:themeColor="text1"/>
          <w:sz w:val="28"/>
          <w:szCs w:val="28"/>
        </w:rPr>
        <w:t xml:space="preserve">47, </w:t>
      </w:r>
      <w:r w:rsidRPr="00C05B64">
        <w:rPr>
          <w:rFonts w:ascii="Times New Roman" w:hAnsi="Times New Roman" w:cs="Times New Roman"/>
          <w:color w:val="000000" w:themeColor="text1"/>
          <w:sz w:val="28"/>
          <w:szCs w:val="28"/>
          <w:lang w:val="en-US"/>
        </w:rPr>
        <w:t>p</w:t>
      </w:r>
      <w:r w:rsidRPr="00361FB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0,</w:t>
      </w:r>
      <w:r w:rsidRPr="00361FB4">
        <w:rPr>
          <w:rFonts w:ascii="Times New Roman" w:hAnsi="Times New Roman" w:cs="Times New Roman"/>
          <w:color w:val="000000" w:themeColor="text1"/>
          <w:sz w:val="28"/>
          <w:szCs w:val="28"/>
        </w:rPr>
        <w:t>0330</w:t>
      </w:r>
      <w:r>
        <w:rPr>
          <w:rFonts w:ascii="Times New Roman" w:hAnsi="Times New Roman" w:cs="Times New Roman"/>
          <w:color w:val="000000" w:themeColor="text1"/>
          <w:sz w:val="28"/>
          <w:szCs w:val="28"/>
        </w:rPr>
        <w:t>), а рівні міР-</w:t>
      </w:r>
      <w:r w:rsidRPr="00361FB4">
        <w:rPr>
          <w:rFonts w:ascii="Times New Roman" w:hAnsi="Times New Roman" w:cs="Times New Roman"/>
          <w:color w:val="000000" w:themeColor="text1"/>
          <w:sz w:val="28"/>
          <w:szCs w:val="28"/>
        </w:rPr>
        <w:t>193</w:t>
      </w:r>
      <w:r w:rsidRPr="00C05B64">
        <w:rPr>
          <w:rFonts w:ascii="Times New Roman" w:hAnsi="Times New Roman" w:cs="Times New Roman"/>
          <w:color w:val="000000" w:themeColor="text1"/>
          <w:sz w:val="28"/>
          <w:szCs w:val="28"/>
          <w:lang w:val="en-US"/>
        </w:rPr>
        <w:t>a</w:t>
      </w:r>
      <w:r w:rsidRPr="00361FB4">
        <w:rPr>
          <w:rFonts w:ascii="Times New Roman" w:hAnsi="Times New Roman" w:cs="Times New Roman"/>
          <w:color w:val="000000" w:themeColor="text1"/>
          <w:sz w:val="28"/>
          <w:szCs w:val="28"/>
        </w:rPr>
        <w:t>-3</w:t>
      </w:r>
      <w:r w:rsidRPr="00C05B64">
        <w:rPr>
          <w:rFonts w:ascii="Times New Roman" w:hAnsi="Times New Roman" w:cs="Times New Roman"/>
          <w:color w:val="000000" w:themeColor="text1"/>
          <w:sz w:val="28"/>
          <w:szCs w:val="28"/>
          <w:lang w:val="en-US"/>
        </w:rPr>
        <w:t>p</w:t>
      </w:r>
      <w:r>
        <w:rPr>
          <w:rFonts w:ascii="Times New Roman" w:hAnsi="Times New Roman" w:cs="Times New Roman"/>
          <w:color w:val="000000" w:themeColor="text1"/>
          <w:sz w:val="28"/>
          <w:szCs w:val="28"/>
        </w:rPr>
        <w:t xml:space="preserve"> мали таку ж тенденцію (</w:t>
      </w:r>
      <w:r>
        <w:rPr>
          <w:rFonts w:ascii="Times New Roman" w:hAnsi="Times New Roman" w:cs="Times New Roman"/>
          <w:color w:val="000000" w:themeColor="text1"/>
          <w:sz w:val="28"/>
          <w:szCs w:val="28"/>
          <w:lang w:val="en-US"/>
        </w:rPr>
        <w:t>HR</w:t>
      </w:r>
      <w:r w:rsidRPr="00361FB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1,</w:t>
      </w:r>
      <w:r w:rsidRPr="00361FB4">
        <w:rPr>
          <w:rFonts w:ascii="Times New Roman" w:hAnsi="Times New Roman" w:cs="Times New Roman"/>
          <w:color w:val="000000" w:themeColor="text1"/>
          <w:sz w:val="28"/>
          <w:szCs w:val="28"/>
        </w:rPr>
        <w:t>93; 95% ДІ=</w:t>
      </w:r>
      <w:r>
        <w:rPr>
          <w:rFonts w:ascii="Times New Roman" w:hAnsi="Times New Roman" w:cs="Times New Roman"/>
          <w:color w:val="000000" w:themeColor="text1"/>
          <w:sz w:val="28"/>
          <w:szCs w:val="28"/>
        </w:rPr>
        <w:t>0,90–4,</w:t>
      </w:r>
      <w:r w:rsidRPr="00361FB4">
        <w:rPr>
          <w:rFonts w:ascii="Times New Roman" w:hAnsi="Times New Roman" w:cs="Times New Roman"/>
          <w:color w:val="000000" w:themeColor="text1"/>
          <w:sz w:val="28"/>
          <w:szCs w:val="28"/>
        </w:rPr>
        <w:t xml:space="preserve">37, </w:t>
      </w:r>
      <w:r w:rsidRPr="00C05B64">
        <w:rPr>
          <w:rFonts w:ascii="Times New Roman" w:hAnsi="Times New Roman" w:cs="Times New Roman"/>
          <w:color w:val="000000" w:themeColor="text1"/>
          <w:sz w:val="28"/>
          <w:szCs w:val="28"/>
          <w:lang w:val="en-US"/>
        </w:rPr>
        <w:t>p</w:t>
      </w:r>
      <w:r w:rsidRPr="00361FB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0,</w:t>
      </w:r>
      <w:r w:rsidRPr="00361FB4">
        <w:rPr>
          <w:rFonts w:ascii="Times New Roman" w:hAnsi="Times New Roman" w:cs="Times New Roman"/>
          <w:color w:val="000000" w:themeColor="text1"/>
          <w:sz w:val="28"/>
          <w:szCs w:val="28"/>
        </w:rPr>
        <w:t>0942</w:t>
      </w:r>
      <w:r>
        <w:rPr>
          <w:rFonts w:ascii="Times New Roman" w:hAnsi="Times New Roman" w:cs="Times New Roman"/>
          <w:color w:val="000000" w:themeColor="text1"/>
          <w:sz w:val="28"/>
          <w:szCs w:val="28"/>
        </w:rPr>
        <w:t xml:space="preserve">) </w:t>
      </w:r>
      <w:r w:rsidRPr="00361FB4">
        <w:rPr>
          <w:rFonts w:ascii="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eastAsia="uk-UA"/>
        </w:rPr>
        <w:t>318</w:t>
      </w:r>
      <w:r w:rsidRPr="00361FB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В 2013 р. </w:t>
      </w:r>
      <w:r w:rsidRPr="00C05B64">
        <w:rPr>
          <w:rFonts w:ascii="Times New Roman" w:hAnsi="Times New Roman" w:cs="Times New Roman"/>
          <w:color w:val="000000" w:themeColor="text1"/>
          <w:sz w:val="28"/>
          <w:szCs w:val="28"/>
          <w:shd w:val="clear" w:color="auto" w:fill="FFFFFF"/>
          <w:lang w:val="en-US"/>
        </w:rPr>
        <w:t>Gebauer</w:t>
      </w:r>
      <w:r>
        <w:rPr>
          <w:rFonts w:ascii="Times New Roman" w:hAnsi="Times New Roman" w:cs="Times New Roman"/>
          <w:color w:val="000000" w:themeColor="text1"/>
          <w:sz w:val="28"/>
          <w:szCs w:val="28"/>
          <w:shd w:val="clear" w:color="auto" w:fill="FFFFFF"/>
        </w:rPr>
        <w:t xml:space="preserve"> та колеги повідомили, що високі рівні метиляції міР-</w:t>
      </w:r>
      <w:r w:rsidRPr="00361FB4">
        <w:rPr>
          <w:rFonts w:ascii="Times New Roman" w:hAnsi="Times New Roman" w:cs="Times New Roman"/>
          <w:bCs/>
          <w:iCs/>
          <w:color w:val="000000"/>
          <w:sz w:val="28"/>
          <w:szCs w:val="28"/>
          <w:shd w:val="clear" w:color="auto" w:fill="FFFFFF"/>
        </w:rPr>
        <w:t>124-3</w:t>
      </w:r>
      <w:r>
        <w:rPr>
          <w:rFonts w:ascii="Times New Roman" w:hAnsi="Times New Roman" w:cs="Times New Roman"/>
          <w:bCs/>
          <w:iCs/>
          <w:color w:val="000000"/>
          <w:sz w:val="28"/>
          <w:szCs w:val="28"/>
          <w:shd w:val="clear" w:color="auto" w:fill="FFFFFF"/>
        </w:rPr>
        <w:t xml:space="preserve"> в тканинах скНКР є асоційовані із гіршою </w:t>
      </w:r>
      <w:r w:rsidRPr="00C05B64">
        <w:rPr>
          <w:rFonts w:ascii="Times New Roman" w:hAnsi="Times New Roman" w:cs="Times New Roman"/>
          <w:bCs/>
          <w:color w:val="000000"/>
          <w:sz w:val="28"/>
          <w:szCs w:val="28"/>
          <w:shd w:val="clear" w:color="auto" w:fill="FFFFFF"/>
          <w:lang w:val="en-US"/>
        </w:rPr>
        <w:t>RFS</w:t>
      </w:r>
      <w:r>
        <w:rPr>
          <w:rFonts w:ascii="Times New Roman" w:hAnsi="Times New Roman" w:cs="Times New Roman"/>
          <w:bCs/>
          <w:color w:val="000000"/>
          <w:sz w:val="28"/>
          <w:szCs w:val="28"/>
          <w:shd w:val="clear" w:color="auto" w:fill="FFFFFF"/>
        </w:rPr>
        <w:t xml:space="preserve">: </w:t>
      </w:r>
      <w:r w:rsidRPr="00C05B64">
        <w:rPr>
          <w:rFonts w:ascii="Times New Roman" w:hAnsi="Times New Roman" w:cs="Times New Roman"/>
          <w:bCs/>
          <w:color w:val="000000"/>
          <w:sz w:val="28"/>
          <w:szCs w:val="28"/>
          <w:shd w:val="clear" w:color="auto" w:fill="FFFFFF"/>
          <w:lang w:val="en-US"/>
        </w:rPr>
        <w:t>HR</w:t>
      </w:r>
      <w:r w:rsidRPr="00FB4B8B">
        <w:rPr>
          <w:rStyle w:val="mb"/>
          <w:rFonts w:ascii="Times New Roman" w:hAnsi="Times New Roman" w:cs="Times New Roman"/>
          <w:bCs/>
          <w:color w:val="000000"/>
          <w:sz w:val="28"/>
          <w:szCs w:val="28"/>
          <w:shd w:val="clear" w:color="auto" w:fill="FFFFFF"/>
        </w:rPr>
        <w:t>=</w:t>
      </w:r>
      <w:r w:rsidRPr="00FB4B8B">
        <w:rPr>
          <w:rFonts w:ascii="Times New Roman" w:hAnsi="Times New Roman" w:cs="Times New Roman"/>
          <w:bCs/>
          <w:color w:val="000000"/>
          <w:sz w:val="28"/>
          <w:szCs w:val="28"/>
          <w:shd w:val="clear" w:color="auto" w:fill="FFFFFF"/>
        </w:rPr>
        <w:t>9,37,</w:t>
      </w:r>
      <w:r w:rsidRPr="00C05B64">
        <w:rPr>
          <w:rStyle w:val="apple-converted-space"/>
          <w:rFonts w:ascii="Times New Roman" w:hAnsi="Times New Roman" w:cs="Times New Roman"/>
          <w:bCs/>
          <w:color w:val="000000"/>
          <w:sz w:val="28"/>
          <w:szCs w:val="28"/>
          <w:shd w:val="clear" w:color="auto" w:fill="FFFFFF"/>
          <w:lang w:val="en-US"/>
        </w:rPr>
        <w:t> </w:t>
      </w:r>
      <w:r w:rsidRPr="00C05B64">
        <w:rPr>
          <w:rFonts w:ascii="Times New Roman" w:hAnsi="Times New Roman" w:cs="Times New Roman"/>
          <w:bCs/>
          <w:iCs/>
          <w:color w:val="000000"/>
          <w:sz w:val="28"/>
          <w:szCs w:val="28"/>
          <w:shd w:val="clear" w:color="auto" w:fill="FFFFFF"/>
          <w:lang w:val="en-US"/>
        </w:rPr>
        <w:t>p</w:t>
      </w:r>
      <w:r w:rsidRPr="00FB4B8B">
        <w:rPr>
          <w:rStyle w:val="mb"/>
          <w:rFonts w:ascii="Times New Roman" w:hAnsi="Times New Roman" w:cs="Times New Roman"/>
          <w:bCs/>
          <w:color w:val="000000"/>
          <w:sz w:val="28"/>
          <w:szCs w:val="28"/>
          <w:shd w:val="clear" w:color="auto" w:fill="FFFFFF"/>
        </w:rPr>
        <w:t>=</w:t>
      </w:r>
      <w:r w:rsidRPr="00FB4B8B">
        <w:rPr>
          <w:rFonts w:ascii="Times New Roman" w:hAnsi="Times New Roman" w:cs="Times New Roman"/>
          <w:bCs/>
          <w:color w:val="000000"/>
          <w:sz w:val="28"/>
          <w:szCs w:val="28"/>
          <w:shd w:val="clear" w:color="auto" w:fill="FFFFFF"/>
        </w:rPr>
        <w:t>0,</w:t>
      </w:r>
      <w:r>
        <w:rPr>
          <w:rFonts w:ascii="Times New Roman" w:hAnsi="Times New Roman" w:cs="Times New Roman"/>
          <w:bCs/>
          <w:color w:val="000000"/>
          <w:sz w:val="28"/>
          <w:szCs w:val="28"/>
          <w:shd w:val="clear" w:color="auto" w:fill="FFFFFF"/>
        </w:rPr>
        <w:t xml:space="preserve">0005 </w:t>
      </w:r>
      <w:r w:rsidRPr="00FB4B8B">
        <w:rPr>
          <w:rStyle w:val="apple-converted-space"/>
          <w:rFonts w:ascii="Times New Roman" w:hAnsi="Times New Roman" w:cs="Times New Roman"/>
          <w:bCs/>
          <w:color w:val="000000"/>
          <w:sz w:val="28"/>
          <w:szCs w:val="28"/>
          <w:shd w:val="clear" w:color="auto" w:fill="FFFFFF"/>
        </w:rPr>
        <w:t>[</w:t>
      </w:r>
      <w:r>
        <w:rPr>
          <w:rFonts w:ascii="Times New Roman" w:eastAsia="Times New Roman" w:hAnsi="Times New Roman" w:cs="Times New Roman"/>
          <w:color w:val="000000" w:themeColor="text1"/>
          <w:sz w:val="28"/>
          <w:szCs w:val="28"/>
          <w:lang w:eastAsia="uk-UA"/>
        </w:rPr>
        <w:t>157</w:t>
      </w:r>
      <w:r w:rsidRPr="00FB4B8B">
        <w:rPr>
          <w:rStyle w:val="apple-converted-space"/>
          <w:rFonts w:ascii="Times New Roman" w:hAnsi="Times New Roman" w:cs="Times New Roman"/>
          <w:bCs/>
          <w:color w:val="000000"/>
          <w:sz w:val="28"/>
          <w:szCs w:val="28"/>
          <w:shd w:val="clear" w:color="auto" w:fill="FFFFFF"/>
        </w:rPr>
        <w:t>].</w:t>
      </w:r>
      <w:r>
        <w:rPr>
          <w:rStyle w:val="apple-converted-space"/>
          <w:rFonts w:ascii="Times New Roman" w:hAnsi="Times New Roman" w:cs="Times New Roman"/>
          <w:bCs/>
          <w:color w:val="000000"/>
          <w:sz w:val="28"/>
          <w:szCs w:val="28"/>
          <w:shd w:val="clear" w:color="auto" w:fill="FFFFFF"/>
        </w:rPr>
        <w:t xml:space="preserve"> </w:t>
      </w:r>
      <w:r w:rsidRPr="00190602">
        <w:rPr>
          <w:rStyle w:val="apple-converted-space"/>
          <w:rFonts w:ascii="Times New Roman" w:hAnsi="Times New Roman" w:cs="Times New Roman"/>
          <w:bCs/>
          <w:color w:val="000000"/>
          <w:sz w:val="28"/>
          <w:szCs w:val="28"/>
          <w:shd w:val="clear" w:color="auto" w:fill="FFFFFF"/>
        </w:rPr>
        <w:t xml:space="preserve">У дослідженні </w:t>
      </w:r>
      <w:r w:rsidRPr="00190602">
        <w:rPr>
          <w:rFonts w:ascii="Times New Roman" w:hAnsi="Times New Roman" w:cs="Times New Roman"/>
          <w:bCs/>
          <w:sz w:val="28"/>
          <w:szCs w:val="28"/>
          <w:shd w:val="clear" w:color="auto" w:fill="FFFFFF"/>
          <w:lang w:val="en-US"/>
        </w:rPr>
        <w:t>Slaby</w:t>
      </w:r>
      <w:r w:rsidRPr="00190602">
        <w:rPr>
          <w:rFonts w:ascii="Times New Roman" w:hAnsi="Times New Roman" w:cs="Times New Roman"/>
          <w:bCs/>
          <w:sz w:val="28"/>
          <w:szCs w:val="28"/>
          <w:shd w:val="clear" w:color="auto" w:fill="FFFFFF"/>
        </w:rPr>
        <w:t xml:space="preserve"> </w:t>
      </w:r>
      <w:r w:rsidRPr="00190602">
        <w:rPr>
          <w:rFonts w:ascii="Times New Roman" w:hAnsi="Times New Roman" w:cs="Times New Roman"/>
          <w:bCs/>
          <w:sz w:val="28"/>
          <w:szCs w:val="28"/>
          <w:shd w:val="clear" w:color="auto" w:fill="FFFFFF"/>
          <w:lang w:val="en-US"/>
        </w:rPr>
        <w:t>el</w:t>
      </w:r>
      <w:r w:rsidRPr="00190602">
        <w:rPr>
          <w:rFonts w:ascii="Times New Roman" w:hAnsi="Times New Roman" w:cs="Times New Roman"/>
          <w:bCs/>
          <w:sz w:val="28"/>
          <w:szCs w:val="28"/>
          <w:shd w:val="clear" w:color="auto" w:fill="FFFFFF"/>
        </w:rPr>
        <w:t xml:space="preserve"> </w:t>
      </w:r>
      <w:r w:rsidRPr="00190602">
        <w:rPr>
          <w:rFonts w:ascii="Times New Roman" w:hAnsi="Times New Roman" w:cs="Times New Roman"/>
          <w:bCs/>
          <w:sz w:val="28"/>
          <w:szCs w:val="28"/>
          <w:shd w:val="clear" w:color="auto" w:fill="FFFFFF"/>
          <w:lang w:val="en-US"/>
        </w:rPr>
        <w:t>al</w:t>
      </w:r>
      <w:r w:rsidRPr="00190602">
        <w:rPr>
          <w:rFonts w:ascii="Times New Roman" w:hAnsi="Times New Roman" w:cs="Times New Roman"/>
          <w:bCs/>
          <w:sz w:val="28"/>
          <w:szCs w:val="28"/>
          <w:shd w:val="clear" w:color="auto" w:fill="FFFFFF"/>
        </w:rPr>
        <w:t>., рівні експресії міР-</w:t>
      </w:r>
      <w:r w:rsidRPr="00190602">
        <w:rPr>
          <w:rFonts w:ascii="Times New Roman" w:hAnsi="Times New Roman" w:cs="Times New Roman"/>
          <w:sz w:val="28"/>
          <w:szCs w:val="28"/>
          <w:shd w:val="clear" w:color="auto" w:fill="FFFFFF"/>
        </w:rPr>
        <w:t>106</w:t>
      </w:r>
      <w:r w:rsidRPr="00190602">
        <w:rPr>
          <w:rFonts w:ascii="Times New Roman" w:hAnsi="Times New Roman" w:cs="Times New Roman"/>
          <w:sz w:val="28"/>
          <w:szCs w:val="28"/>
          <w:shd w:val="clear" w:color="auto" w:fill="FFFFFF"/>
          <w:lang w:val="en-US"/>
        </w:rPr>
        <w:t>b</w:t>
      </w:r>
      <w:r w:rsidRPr="00190602">
        <w:rPr>
          <w:rFonts w:ascii="Times New Roman" w:hAnsi="Times New Roman" w:cs="Times New Roman"/>
          <w:sz w:val="28"/>
          <w:szCs w:val="28"/>
          <w:shd w:val="clear" w:color="auto" w:fill="FFFFFF"/>
        </w:rPr>
        <w:t xml:space="preserve"> були достовірно нижчими у хворих із НКР, у яких </w:t>
      </w:r>
      <w:r>
        <w:rPr>
          <w:rFonts w:ascii="Times New Roman" w:hAnsi="Times New Roman" w:cs="Times New Roman"/>
          <w:sz w:val="28"/>
          <w:szCs w:val="28"/>
          <w:shd w:val="clear" w:color="auto" w:fill="FFFFFF"/>
        </w:rPr>
        <w:t>виникли</w:t>
      </w:r>
      <w:r w:rsidRPr="00190602">
        <w:rPr>
          <w:rFonts w:ascii="Times New Roman" w:hAnsi="Times New Roman" w:cs="Times New Roman"/>
          <w:sz w:val="28"/>
          <w:szCs w:val="28"/>
          <w:shd w:val="clear" w:color="auto" w:fill="FFFFFF"/>
        </w:rPr>
        <w:t xml:space="preserve"> метастази</w:t>
      </w:r>
      <w:r>
        <w:rPr>
          <w:rFonts w:ascii="Times New Roman" w:hAnsi="Times New Roman" w:cs="Times New Roman"/>
          <w:sz w:val="28"/>
          <w:szCs w:val="28"/>
          <w:shd w:val="clear" w:color="auto" w:fill="FFFFFF"/>
        </w:rPr>
        <w:t xml:space="preserve">, у порівнянні із не-метастатичними випадками </w:t>
      </w:r>
      <w:r w:rsidRPr="00190602">
        <w:rPr>
          <w:rFonts w:ascii="Times New Roman" w:hAnsi="Times New Roman" w:cs="Times New Roman"/>
          <w:sz w:val="28"/>
          <w:szCs w:val="28"/>
          <w:shd w:val="clear" w:color="auto" w:fill="FFFFFF"/>
        </w:rPr>
        <w:t>(</w:t>
      </w:r>
      <w:r w:rsidRPr="00190602">
        <w:rPr>
          <w:rFonts w:ascii="Times New Roman" w:hAnsi="Times New Roman" w:cs="Times New Roman"/>
          <w:sz w:val="28"/>
          <w:szCs w:val="28"/>
          <w:shd w:val="clear" w:color="auto" w:fill="FFFFFF"/>
          <w:lang w:val="en-US"/>
        </w:rPr>
        <w:t>p</w:t>
      </w:r>
      <w:r w:rsidRPr="00190602">
        <w:rPr>
          <w:rFonts w:ascii="Times New Roman" w:hAnsi="Times New Roman" w:cs="Times New Roman"/>
          <w:sz w:val="28"/>
          <w:szCs w:val="28"/>
          <w:shd w:val="clear" w:color="auto" w:fill="FFFFFF"/>
        </w:rPr>
        <w:t>=0.030)</w:t>
      </w:r>
      <w:r w:rsidRPr="00FB4B8B">
        <w:rPr>
          <w:rStyle w:val="apple-converted-space"/>
          <w:rFonts w:ascii="Times New Roman" w:hAnsi="Times New Roman" w:cs="Times New Roman"/>
          <w:sz w:val="28"/>
          <w:szCs w:val="28"/>
          <w:shd w:val="clear" w:color="auto" w:fill="FFFFFF"/>
        </w:rPr>
        <w:t xml:space="preserve">. </w:t>
      </w:r>
      <w:r>
        <w:rPr>
          <w:rStyle w:val="apple-converted-space"/>
          <w:rFonts w:ascii="Times New Roman" w:hAnsi="Times New Roman" w:cs="Times New Roman"/>
          <w:sz w:val="28"/>
          <w:szCs w:val="28"/>
          <w:shd w:val="clear" w:color="auto" w:fill="FFFFFF"/>
        </w:rPr>
        <w:t xml:space="preserve">Крім цього, експресія </w:t>
      </w:r>
      <w:r w:rsidRPr="00190602">
        <w:rPr>
          <w:rFonts w:ascii="Times New Roman" w:hAnsi="Times New Roman" w:cs="Times New Roman"/>
          <w:bCs/>
          <w:sz w:val="28"/>
          <w:szCs w:val="28"/>
          <w:shd w:val="clear" w:color="auto" w:fill="FFFFFF"/>
        </w:rPr>
        <w:t>міР-</w:t>
      </w:r>
      <w:r w:rsidRPr="00190602">
        <w:rPr>
          <w:rFonts w:ascii="Times New Roman" w:hAnsi="Times New Roman" w:cs="Times New Roman"/>
          <w:sz w:val="28"/>
          <w:szCs w:val="28"/>
          <w:shd w:val="clear" w:color="auto" w:fill="FFFFFF"/>
        </w:rPr>
        <w:t>106</w:t>
      </w:r>
      <w:r w:rsidRPr="00190602">
        <w:rPr>
          <w:rFonts w:ascii="Times New Roman" w:hAnsi="Times New Roman" w:cs="Times New Roman"/>
          <w:sz w:val="28"/>
          <w:szCs w:val="28"/>
          <w:shd w:val="clear" w:color="auto" w:fill="FFFFFF"/>
          <w:lang w:val="en-US"/>
        </w:rPr>
        <w:t>b</w:t>
      </w:r>
      <w:r>
        <w:rPr>
          <w:rFonts w:ascii="Times New Roman" w:hAnsi="Times New Roman" w:cs="Times New Roman"/>
          <w:sz w:val="28"/>
          <w:szCs w:val="28"/>
          <w:shd w:val="clear" w:color="auto" w:fill="FFFFFF"/>
        </w:rPr>
        <w:t xml:space="preserve"> дозволяла передбачати ранню появу метастазів у хворих із НКР після нефректомії </w:t>
      </w:r>
      <w:r w:rsidRPr="00FB4B8B">
        <w:rPr>
          <w:rFonts w:ascii="Open Sans" w:hAnsi="Open Sans"/>
          <w:sz w:val="27"/>
          <w:szCs w:val="27"/>
          <w:shd w:val="clear" w:color="auto" w:fill="FFFFFF"/>
        </w:rPr>
        <w:t>(</w:t>
      </w:r>
      <w:r w:rsidRPr="00C05B64">
        <w:rPr>
          <w:rFonts w:ascii="Open Sans" w:hAnsi="Open Sans"/>
          <w:sz w:val="27"/>
          <w:szCs w:val="27"/>
          <w:shd w:val="clear" w:color="auto" w:fill="FFFFFF"/>
          <w:lang w:val="en-US"/>
        </w:rPr>
        <w:t>long</w:t>
      </w:r>
      <w:r w:rsidRPr="00FB4B8B">
        <w:rPr>
          <w:rFonts w:ascii="Open Sans" w:hAnsi="Open Sans"/>
          <w:sz w:val="27"/>
          <w:szCs w:val="27"/>
          <w:shd w:val="clear" w:color="auto" w:fill="FFFFFF"/>
        </w:rPr>
        <w:t>-</w:t>
      </w:r>
      <w:r w:rsidRPr="00C05B64">
        <w:rPr>
          <w:rFonts w:ascii="Open Sans" w:hAnsi="Open Sans"/>
          <w:sz w:val="27"/>
          <w:szCs w:val="27"/>
          <w:shd w:val="clear" w:color="auto" w:fill="FFFFFF"/>
          <w:lang w:val="en-US"/>
        </w:rPr>
        <w:t>rank</w:t>
      </w:r>
      <w:r w:rsidRPr="00FB4B8B">
        <w:rPr>
          <w:rFonts w:ascii="Open Sans" w:hAnsi="Open Sans"/>
          <w:sz w:val="27"/>
          <w:szCs w:val="27"/>
          <w:shd w:val="clear" w:color="auto" w:fill="FFFFFF"/>
        </w:rPr>
        <w:t xml:space="preserve"> </w:t>
      </w:r>
      <w:r w:rsidRPr="00C05B64">
        <w:rPr>
          <w:rFonts w:ascii="Open Sans" w:hAnsi="Open Sans"/>
          <w:sz w:val="27"/>
          <w:szCs w:val="27"/>
          <w:shd w:val="clear" w:color="auto" w:fill="FFFFFF"/>
          <w:lang w:val="en-US"/>
        </w:rPr>
        <w:t>p</w:t>
      </w:r>
      <w:r w:rsidRPr="00FB4B8B">
        <w:rPr>
          <w:rFonts w:ascii="Open Sans" w:hAnsi="Open Sans"/>
          <w:sz w:val="27"/>
          <w:szCs w:val="27"/>
          <w:shd w:val="clear" w:color="auto" w:fill="FFFFFF"/>
        </w:rPr>
        <w:t>=</w:t>
      </w:r>
      <w:r>
        <w:rPr>
          <w:rFonts w:ascii="Open Sans" w:hAnsi="Open Sans"/>
          <w:sz w:val="27"/>
          <w:szCs w:val="27"/>
          <w:shd w:val="clear" w:color="auto" w:fill="FFFFFF"/>
        </w:rPr>
        <w:t>0,032) [</w:t>
      </w:r>
      <w:r>
        <w:rPr>
          <w:rFonts w:ascii="Times New Roman" w:eastAsia="Times New Roman" w:hAnsi="Times New Roman" w:cs="Times New Roman"/>
          <w:color w:val="000000" w:themeColor="text1"/>
          <w:sz w:val="28"/>
          <w:szCs w:val="28"/>
          <w:lang w:eastAsia="uk-UA"/>
        </w:rPr>
        <w:t>378</w:t>
      </w:r>
      <w:r w:rsidRPr="00FB4B8B">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w:t>
      </w:r>
    </w:p>
    <w:p w:rsidR="001E6EFC" w:rsidRPr="00FB26B6" w:rsidRDefault="001E6EFC" w:rsidP="001E6EFC">
      <w:pPr>
        <w:spacing w:after="0" w:line="360" w:lineRule="auto"/>
        <w:ind w:firstLine="708"/>
        <w:jc w:val="both"/>
        <w:rPr>
          <w:rFonts w:ascii="Times New Roman" w:hAnsi="Times New Roman" w:cs="Times New Roman"/>
          <w:color w:val="000000" w:themeColor="text1"/>
          <w:sz w:val="28"/>
          <w:szCs w:val="28"/>
          <w:shd w:val="clear" w:color="auto" w:fill="FFFFFF"/>
        </w:rPr>
      </w:pPr>
      <w:r w:rsidRPr="00FB4B8B">
        <w:rPr>
          <w:rFonts w:ascii="Times New Roman" w:hAnsi="Times New Roman" w:cs="Times New Roman"/>
          <w:sz w:val="28"/>
          <w:szCs w:val="28"/>
          <w:shd w:val="clear" w:color="auto" w:fill="FFFFFF"/>
          <w:lang w:val="en-US"/>
        </w:rPr>
        <w:t>Faragalla</w:t>
      </w:r>
      <w:r w:rsidRPr="00FB4B8B">
        <w:rPr>
          <w:rFonts w:ascii="Times New Roman" w:hAnsi="Times New Roman" w:cs="Times New Roman"/>
          <w:sz w:val="28"/>
          <w:szCs w:val="28"/>
          <w:shd w:val="clear" w:color="auto" w:fill="FFFFFF"/>
        </w:rPr>
        <w:t xml:space="preserve"> </w:t>
      </w:r>
      <w:r w:rsidRPr="00FB4B8B">
        <w:rPr>
          <w:rFonts w:ascii="Times New Roman" w:hAnsi="Times New Roman" w:cs="Times New Roman"/>
          <w:sz w:val="28"/>
          <w:szCs w:val="28"/>
          <w:shd w:val="clear" w:color="auto" w:fill="FFFFFF"/>
          <w:lang w:val="en-US"/>
        </w:rPr>
        <w:t>et</w:t>
      </w:r>
      <w:r w:rsidRPr="00FB4B8B">
        <w:rPr>
          <w:rFonts w:ascii="Times New Roman" w:hAnsi="Times New Roman" w:cs="Times New Roman"/>
          <w:sz w:val="28"/>
          <w:szCs w:val="28"/>
          <w:shd w:val="clear" w:color="auto" w:fill="FFFFFF"/>
        </w:rPr>
        <w:t xml:space="preserve"> </w:t>
      </w:r>
      <w:r w:rsidRPr="00FB4B8B">
        <w:rPr>
          <w:rFonts w:ascii="Times New Roman" w:hAnsi="Times New Roman" w:cs="Times New Roman"/>
          <w:sz w:val="28"/>
          <w:szCs w:val="28"/>
          <w:shd w:val="clear" w:color="auto" w:fill="FFFFFF"/>
          <w:lang w:val="en-US"/>
        </w:rPr>
        <w:t>al</w:t>
      </w:r>
      <w:r>
        <w:rPr>
          <w:rFonts w:ascii="Times New Roman" w:hAnsi="Times New Roman" w:cs="Times New Roman"/>
          <w:sz w:val="28"/>
          <w:szCs w:val="28"/>
          <w:shd w:val="clear" w:color="auto" w:fill="FFFFFF"/>
        </w:rPr>
        <w:t>., з’ясували, що хворі із НКР та високими тканинними рівнями міР-</w:t>
      </w:r>
      <w:r w:rsidRPr="00FB4B8B">
        <w:rPr>
          <w:rFonts w:ascii="Times New Roman" w:hAnsi="Times New Roman" w:cs="Times New Roman"/>
          <w:sz w:val="28"/>
          <w:szCs w:val="28"/>
          <w:shd w:val="clear" w:color="auto" w:fill="FAFAFA"/>
        </w:rPr>
        <w:t xml:space="preserve">21 </w:t>
      </w:r>
      <w:r>
        <w:rPr>
          <w:rFonts w:ascii="Times New Roman" w:hAnsi="Times New Roman" w:cs="Times New Roman"/>
          <w:sz w:val="28"/>
          <w:szCs w:val="28"/>
          <w:shd w:val="clear" w:color="auto" w:fill="FAFAFA"/>
        </w:rPr>
        <w:t xml:space="preserve">мали достовірно коротше </w:t>
      </w:r>
      <w:r w:rsidRPr="00D14882">
        <w:rPr>
          <w:rFonts w:ascii="Times New Roman" w:hAnsi="Times New Roman" w:cs="Times New Roman"/>
          <w:sz w:val="28"/>
          <w:szCs w:val="28"/>
        </w:rPr>
        <w:t>виживання без ознак захворювання</w:t>
      </w:r>
      <w:r>
        <w:rPr>
          <w:rFonts w:ascii="Times New Roman" w:hAnsi="Times New Roman" w:cs="Times New Roman"/>
          <w:sz w:val="28"/>
          <w:szCs w:val="28"/>
        </w:rPr>
        <w:t xml:space="preserve"> – </w:t>
      </w:r>
      <w:r>
        <w:rPr>
          <w:rFonts w:ascii="Times New Roman" w:hAnsi="Times New Roman" w:cs="Times New Roman"/>
          <w:sz w:val="28"/>
          <w:szCs w:val="28"/>
          <w:lang w:val="en-US"/>
        </w:rPr>
        <w:t>disease</w:t>
      </w:r>
      <w:r w:rsidRPr="003B5CC7">
        <w:rPr>
          <w:rFonts w:ascii="Times New Roman" w:hAnsi="Times New Roman" w:cs="Times New Roman"/>
          <w:sz w:val="28"/>
          <w:szCs w:val="28"/>
        </w:rPr>
        <w:t xml:space="preserve"> </w:t>
      </w:r>
      <w:r>
        <w:rPr>
          <w:rFonts w:ascii="Times New Roman" w:hAnsi="Times New Roman" w:cs="Times New Roman"/>
          <w:sz w:val="28"/>
          <w:szCs w:val="28"/>
          <w:lang w:val="en-US"/>
        </w:rPr>
        <w:t>free</w:t>
      </w:r>
      <w:r w:rsidRPr="003B5CC7">
        <w:rPr>
          <w:rFonts w:ascii="Times New Roman" w:hAnsi="Times New Roman" w:cs="Times New Roman"/>
          <w:sz w:val="28"/>
          <w:szCs w:val="28"/>
        </w:rPr>
        <w:t xml:space="preserve"> </w:t>
      </w:r>
      <w:r>
        <w:rPr>
          <w:rFonts w:ascii="Times New Roman" w:hAnsi="Times New Roman" w:cs="Times New Roman"/>
          <w:sz w:val="28"/>
          <w:szCs w:val="28"/>
          <w:lang w:val="en-US"/>
        </w:rPr>
        <w:t>survival</w:t>
      </w:r>
      <w:r>
        <w:rPr>
          <w:rFonts w:ascii="Times New Roman" w:hAnsi="Times New Roman" w:cs="Times New Roman"/>
          <w:sz w:val="28"/>
          <w:szCs w:val="28"/>
          <w:shd w:val="clear" w:color="auto" w:fill="FAFAFA"/>
        </w:rPr>
        <w:t xml:space="preserve"> (</w:t>
      </w:r>
      <w:r>
        <w:rPr>
          <w:rFonts w:ascii="Times New Roman" w:hAnsi="Times New Roman" w:cs="Times New Roman"/>
          <w:sz w:val="28"/>
          <w:szCs w:val="28"/>
          <w:shd w:val="clear" w:color="auto" w:fill="FAFAFA"/>
          <w:lang w:val="en-US"/>
        </w:rPr>
        <w:t>DFS</w:t>
      </w:r>
      <w:r>
        <w:rPr>
          <w:rFonts w:ascii="Times New Roman" w:hAnsi="Times New Roman" w:cs="Times New Roman"/>
          <w:sz w:val="28"/>
          <w:szCs w:val="28"/>
          <w:shd w:val="clear" w:color="auto" w:fill="FAFAFA"/>
        </w:rPr>
        <w:t xml:space="preserve">): </w:t>
      </w:r>
      <w:r w:rsidRPr="00FB4B8B">
        <w:rPr>
          <w:rFonts w:ascii="Times New Roman" w:hAnsi="Times New Roman" w:cs="Times New Roman"/>
          <w:sz w:val="28"/>
          <w:szCs w:val="28"/>
          <w:shd w:val="clear" w:color="auto" w:fill="FFFFFF"/>
          <w:lang w:val="en-US"/>
        </w:rPr>
        <w:t>HR</w:t>
      </w:r>
      <w:r>
        <w:rPr>
          <w:rFonts w:ascii="Times New Roman" w:hAnsi="Times New Roman" w:cs="Times New Roman"/>
          <w:sz w:val="28"/>
          <w:szCs w:val="28"/>
          <w:shd w:val="clear" w:color="auto" w:fill="FFFFFF"/>
        </w:rPr>
        <w:t>=2,</w:t>
      </w:r>
      <w:r w:rsidRPr="00FB4B8B">
        <w:rPr>
          <w:rFonts w:ascii="Times New Roman" w:hAnsi="Times New Roman" w:cs="Times New Roman"/>
          <w:sz w:val="28"/>
          <w:szCs w:val="28"/>
          <w:shd w:val="clear" w:color="auto" w:fill="FFFFFF"/>
        </w:rPr>
        <w:t>15, 95% ДІ</w:t>
      </w:r>
      <w:r>
        <w:rPr>
          <w:rFonts w:ascii="Times New Roman" w:hAnsi="Times New Roman" w:cs="Times New Roman"/>
          <w:sz w:val="28"/>
          <w:szCs w:val="28"/>
          <w:shd w:val="clear" w:color="auto" w:fill="FFFFFF"/>
        </w:rPr>
        <w:t>=1,16-3,</w:t>
      </w:r>
      <w:r w:rsidRPr="00FB4B8B">
        <w:rPr>
          <w:rFonts w:ascii="Times New Roman" w:hAnsi="Times New Roman" w:cs="Times New Roman"/>
          <w:sz w:val="28"/>
          <w:szCs w:val="28"/>
          <w:shd w:val="clear" w:color="auto" w:fill="FFFFFF"/>
        </w:rPr>
        <w:t>98,</w:t>
      </w:r>
      <w:r w:rsidRPr="00FB4B8B">
        <w:rPr>
          <w:rStyle w:val="apple-converted-space"/>
          <w:rFonts w:ascii="Times New Roman" w:hAnsi="Times New Roman" w:cs="Times New Roman"/>
          <w:sz w:val="28"/>
          <w:szCs w:val="28"/>
          <w:shd w:val="clear" w:color="auto" w:fill="FFFFFF"/>
          <w:lang w:val="en-US"/>
        </w:rPr>
        <w:t> </w:t>
      </w:r>
      <w:r w:rsidRPr="00FB4B8B">
        <w:rPr>
          <w:rStyle w:val="Emphasis"/>
          <w:rFonts w:ascii="Times New Roman" w:hAnsi="Times New Roman" w:cs="Times New Roman"/>
          <w:sz w:val="28"/>
          <w:szCs w:val="28"/>
          <w:shd w:val="clear" w:color="auto" w:fill="FFFFFF"/>
          <w:lang w:val="en-US"/>
        </w:rPr>
        <w:t>p</w:t>
      </w:r>
      <w:r>
        <w:rPr>
          <w:rFonts w:ascii="Times New Roman" w:hAnsi="Times New Roman" w:cs="Times New Roman"/>
          <w:sz w:val="28"/>
          <w:szCs w:val="28"/>
          <w:shd w:val="clear" w:color="auto" w:fill="FFFFFF"/>
        </w:rPr>
        <w:t xml:space="preserve">=0,014 </w:t>
      </w:r>
      <w:r w:rsidRPr="00FB4B8B">
        <w:rPr>
          <w:rStyle w:val="apple-converted-space"/>
          <w:rFonts w:ascii="Times New Roman" w:hAnsi="Times New Roman" w:cs="Times New Roman"/>
          <w:sz w:val="28"/>
          <w:szCs w:val="28"/>
          <w:shd w:val="clear" w:color="auto" w:fill="FFFFFF"/>
        </w:rPr>
        <w:t>[</w:t>
      </w:r>
      <w:r>
        <w:rPr>
          <w:rFonts w:ascii="Times New Roman" w:eastAsia="Times New Roman" w:hAnsi="Times New Roman" w:cs="Times New Roman"/>
          <w:color w:val="000000" w:themeColor="text1"/>
          <w:sz w:val="28"/>
          <w:szCs w:val="28"/>
          <w:lang w:eastAsia="uk-UA"/>
        </w:rPr>
        <w:t>140</w:t>
      </w:r>
      <w:r w:rsidRPr="00FB4B8B">
        <w:rPr>
          <w:rStyle w:val="apple-converted-space"/>
          <w:rFonts w:ascii="Times New Roman" w:hAnsi="Times New Roman" w:cs="Times New Roman"/>
          <w:sz w:val="28"/>
          <w:szCs w:val="28"/>
          <w:shd w:val="clear" w:color="auto" w:fill="FFFFFF"/>
        </w:rPr>
        <w:t>].</w:t>
      </w:r>
      <w:r>
        <w:rPr>
          <w:rStyle w:val="apple-converted-space"/>
          <w:rFonts w:ascii="Times New Roman" w:hAnsi="Times New Roman" w:cs="Times New Roman"/>
          <w:sz w:val="28"/>
          <w:szCs w:val="28"/>
          <w:shd w:val="clear" w:color="auto" w:fill="FFFFFF"/>
        </w:rPr>
        <w:t xml:space="preserve"> За даними </w:t>
      </w:r>
      <w:r w:rsidRPr="00FB4B8B">
        <w:rPr>
          <w:rStyle w:val="apple-converted-space"/>
          <w:rFonts w:ascii="Times New Roman" w:hAnsi="Times New Roman" w:cs="Times New Roman"/>
          <w:bCs/>
          <w:color w:val="000000"/>
          <w:sz w:val="28"/>
          <w:szCs w:val="28"/>
          <w:shd w:val="clear" w:color="auto" w:fill="FFFFFF"/>
          <w:lang w:val="en-US"/>
        </w:rPr>
        <w:t>Goto</w:t>
      </w:r>
      <w:r>
        <w:rPr>
          <w:rStyle w:val="apple-converted-space"/>
          <w:rFonts w:ascii="Times New Roman" w:hAnsi="Times New Roman" w:cs="Times New Roman"/>
          <w:bCs/>
          <w:color w:val="000000"/>
          <w:sz w:val="28"/>
          <w:szCs w:val="28"/>
          <w:shd w:val="clear" w:color="auto" w:fill="FFFFFF"/>
        </w:rPr>
        <w:t xml:space="preserve"> та співавторів, експресія міР-</w:t>
      </w:r>
      <w:r w:rsidRPr="00FB4B8B">
        <w:rPr>
          <w:rFonts w:ascii="Times New Roman" w:hAnsi="Times New Roman" w:cs="Times New Roman"/>
          <w:color w:val="000000" w:themeColor="text1"/>
          <w:sz w:val="28"/>
          <w:szCs w:val="28"/>
          <w:shd w:val="clear" w:color="auto" w:fill="FFFFFF"/>
        </w:rPr>
        <w:t>486</w:t>
      </w:r>
      <w:r>
        <w:rPr>
          <w:rFonts w:ascii="Times New Roman" w:hAnsi="Times New Roman" w:cs="Times New Roman"/>
          <w:color w:val="000000" w:themeColor="text1"/>
          <w:sz w:val="28"/>
          <w:szCs w:val="28"/>
          <w:shd w:val="clear" w:color="auto" w:fill="FFFFFF"/>
        </w:rPr>
        <w:t xml:space="preserve"> у зразках тканин НКР була в 2,7 рази вищою у порівнянні із номальною нирковою паренхімою </w:t>
      </w:r>
      <w:r w:rsidRPr="00FB4B8B">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en-US"/>
        </w:rPr>
        <w:t>P</w:t>
      </w:r>
      <w:r w:rsidRPr="00FB4B8B">
        <w:rPr>
          <w:rFonts w:ascii="Times New Roman" w:hAnsi="Times New Roman" w:cs="Times New Roman"/>
          <w:color w:val="000000" w:themeColor="text1"/>
          <w:sz w:val="28"/>
          <w:szCs w:val="28"/>
          <w:shd w:val="clear" w:color="auto" w:fill="FFFFFF"/>
        </w:rPr>
        <w:t>&lt;0,0001)</w:t>
      </w:r>
      <w:r>
        <w:rPr>
          <w:rFonts w:ascii="Times New Roman" w:hAnsi="Times New Roman" w:cs="Times New Roman"/>
          <w:color w:val="000000" w:themeColor="text1"/>
          <w:sz w:val="28"/>
          <w:szCs w:val="28"/>
          <w:shd w:val="clear" w:color="auto" w:fill="FFFFFF"/>
        </w:rPr>
        <w:t xml:space="preserve">, і була незалежно пов’язана із високою смертністю внаслідок раку </w:t>
      </w:r>
      <w:r w:rsidRPr="00FB4B8B">
        <w:rPr>
          <w:rFonts w:ascii="Times New Roman" w:hAnsi="Times New Roman" w:cs="Times New Roman"/>
          <w:color w:val="000000" w:themeColor="text1"/>
          <w:sz w:val="28"/>
          <w:szCs w:val="28"/>
          <w:shd w:val="clear" w:color="auto" w:fill="FFFFFF"/>
        </w:rPr>
        <w:t>(</w:t>
      </w:r>
      <w:r w:rsidRPr="00FB4B8B">
        <w:rPr>
          <w:rFonts w:ascii="Times New Roman" w:hAnsi="Times New Roman" w:cs="Times New Roman"/>
          <w:color w:val="000000" w:themeColor="text1"/>
          <w:sz w:val="28"/>
          <w:szCs w:val="28"/>
          <w:shd w:val="clear" w:color="auto" w:fill="FFFFFF"/>
          <w:lang w:val="en-US"/>
        </w:rPr>
        <w:t>P</w:t>
      </w:r>
      <w:r>
        <w:rPr>
          <w:rFonts w:ascii="Times New Roman" w:hAnsi="Times New Roman" w:cs="Times New Roman"/>
          <w:color w:val="000000" w:themeColor="text1"/>
          <w:sz w:val="28"/>
          <w:szCs w:val="28"/>
          <w:shd w:val="clear" w:color="auto" w:fill="FFFFFF"/>
        </w:rPr>
        <w:t>=0,0064) [</w:t>
      </w:r>
      <w:r>
        <w:rPr>
          <w:rFonts w:ascii="Times New Roman" w:eastAsia="Times New Roman" w:hAnsi="Times New Roman" w:cs="Times New Roman"/>
          <w:color w:val="000000" w:themeColor="text1"/>
          <w:sz w:val="28"/>
          <w:szCs w:val="28"/>
          <w:lang w:eastAsia="uk-UA"/>
        </w:rPr>
        <w:t>160</w:t>
      </w:r>
      <w:r w:rsidRPr="00FB4B8B">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В останні роки розпочались дослідження, які вивчають можливості профілювання міРНК для визначення молекулярної сигнатури хворих із НКР і поганим прогнозом </w:t>
      </w:r>
      <w:r w:rsidRPr="00A642D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162, </w:t>
      </w:r>
      <w:r>
        <w:rPr>
          <w:rFonts w:ascii="Times New Roman" w:eastAsia="Times New Roman" w:hAnsi="Times New Roman" w:cs="Times New Roman"/>
          <w:color w:val="000000" w:themeColor="text1"/>
          <w:sz w:val="28"/>
          <w:szCs w:val="28"/>
          <w:lang w:eastAsia="uk-UA"/>
        </w:rPr>
        <w:t>174</w:t>
      </w:r>
      <w:r w:rsidRPr="00A642D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Не зважаючи на проведені дослідження, на сьогоднішній день, жодна із </w:t>
      </w:r>
      <w:r>
        <w:rPr>
          <w:rFonts w:ascii="Times New Roman" w:hAnsi="Times New Roman" w:cs="Times New Roman"/>
          <w:color w:val="000000" w:themeColor="text1"/>
          <w:sz w:val="28"/>
          <w:szCs w:val="28"/>
          <w:shd w:val="clear" w:color="auto" w:fill="FFFFFF"/>
        </w:rPr>
        <w:t>міРНК не є включена в існуючі прогностичні номограми, оскільки не змогла покращити їх точність.</w:t>
      </w:r>
      <w:r w:rsidRPr="00A642D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Автором було проаналізовано та систематизовано дані щодо зв’язку міРНК із про</w:t>
      </w:r>
      <w:r w:rsidR="003541C5">
        <w:rPr>
          <w:rFonts w:ascii="Times New Roman" w:hAnsi="Times New Roman" w:cs="Times New Roman"/>
          <w:color w:val="000000" w:themeColor="text1"/>
          <w:sz w:val="28"/>
          <w:szCs w:val="28"/>
        </w:rPr>
        <w:t>гнозом хворих із НКР</w:t>
      </w:r>
      <w:r>
        <w:rPr>
          <w:rFonts w:ascii="Times New Roman" w:hAnsi="Times New Roman" w:cs="Times New Roman"/>
          <w:color w:val="000000" w:themeColor="text1"/>
          <w:sz w:val="28"/>
          <w:szCs w:val="28"/>
        </w:rPr>
        <w:t>.</w:t>
      </w:r>
    </w:p>
    <w:p w:rsidR="007D7DC9" w:rsidRDefault="007D7DC9" w:rsidP="001E6EFC">
      <w:pPr>
        <w:spacing w:after="0" w:line="360" w:lineRule="auto"/>
        <w:jc w:val="both"/>
        <w:rPr>
          <w:rFonts w:ascii="Times New Roman" w:hAnsi="Times New Roman" w:cs="Times New Roman"/>
          <w:sz w:val="28"/>
          <w:szCs w:val="28"/>
        </w:rPr>
      </w:pPr>
    </w:p>
    <w:p w:rsidR="00805D5E" w:rsidRDefault="00805D5E" w:rsidP="001E6EFC">
      <w:pPr>
        <w:spacing w:after="0" w:line="360" w:lineRule="auto"/>
        <w:jc w:val="both"/>
        <w:rPr>
          <w:rFonts w:ascii="Times New Roman" w:hAnsi="Times New Roman" w:cs="Times New Roman"/>
          <w:sz w:val="28"/>
          <w:szCs w:val="28"/>
        </w:rPr>
      </w:pPr>
    </w:p>
    <w:p w:rsidR="00805D5E" w:rsidRDefault="00805D5E" w:rsidP="001E6EFC">
      <w:pPr>
        <w:spacing w:after="0" w:line="360" w:lineRule="auto"/>
        <w:jc w:val="both"/>
        <w:rPr>
          <w:rFonts w:ascii="Times New Roman" w:hAnsi="Times New Roman" w:cs="Times New Roman"/>
          <w:sz w:val="28"/>
          <w:szCs w:val="28"/>
        </w:rPr>
      </w:pPr>
    </w:p>
    <w:p w:rsidR="00805D5E" w:rsidRPr="00DA5DAA" w:rsidRDefault="00805D5E" w:rsidP="001E6EFC">
      <w:pPr>
        <w:spacing w:after="0" w:line="360" w:lineRule="auto"/>
        <w:jc w:val="both"/>
        <w:rPr>
          <w:rFonts w:ascii="Times New Roman" w:hAnsi="Times New Roman" w:cs="Times New Roman"/>
          <w:sz w:val="28"/>
          <w:szCs w:val="28"/>
        </w:rPr>
      </w:pPr>
    </w:p>
    <w:p w:rsidR="001E6EFC" w:rsidRDefault="001E6EFC" w:rsidP="001E6EFC">
      <w:pPr>
        <w:spacing w:line="360" w:lineRule="auto"/>
        <w:jc w:val="both"/>
        <w:rPr>
          <w:rFonts w:ascii="Times New Roman" w:hAnsi="Times New Roman" w:cs="Times New Roman"/>
          <w:b/>
          <w:sz w:val="28"/>
        </w:rPr>
      </w:pPr>
      <w:r>
        <w:rPr>
          <w:rFonts w:ascii="Times New Roman" w:hAnsi="Times New Roman" w:cs="Times New Roman"/>
          <w:b/>
          <w:sz w:val="28"/>
        </w:rPr>
        <w:lastRenderedPageBreak/>
        <w:t>1.3</w:t>
      </w:r>
      <w:r w:rsidRPr="00B575AF">
        <w:rPr>
          <w:rFonts w:ascii="Times New Roman" w:hAnsi="Times New Roman" w:cs="Times New Roman"/>
          <w:b/>
          <w:sz w:val="28"/>
        </w:rPr>
        <w:t xml:space="preserve">. </w:t>
      </w:r>
      <w:r>
        <w:rPr>
          <w:rFonts w:ascii="Times New Roman" w:hAnsi="Times New Roman" w:cs="Times New Roman"/>
          <w:b/>
          <w:sz w:val="28"/>
        </w:rPr>
        <w:t>П</w:t>
      </w:r>
      <w:r w:rsidRPr="00ED585B">
        <w:rPr>
          <w:rFonts w:ascii="Times New Roman" w:hAnsi="Times New Roman" w:cs="Times New Roman"/>
          <w:b/>
          <w:sz w:val="28"/>
        </w:rPr>
        <w:t xml:space="preserve">ідходи до застосування </w:t>
      </w:r>
      <w:r>
        <w:rPr>
          <w:rFonts w:ascii="Times New Roman" w:hAnsi="Times New Roman" w:cs="Times New Roman"/>
          <w:b/>
          <w:sz w:val="28"/>
        </w:rPr>
        <w:t xml:space="preserve">променевих і молекулярних </w:t>
      </w:r>
      <w:r w:rsidRPr="00ED585B">
        <w:rPr>
          <w:rFonts w:ascii="Times New Roman" w:hAnsi="Times New Roman" w:cs="Times New Roman"/>
          <w:b/>
          <w:sz w:val="28"/>
        </w:rPr>
        <w:t>біомаркерів</w:t>
      </w:r>
      <w:r>
        <w:rPr>
          <w:rFonts w:ascii="Times New Roman" w:hAnsi="Times New Roman" w:cs="Times New Roman"/>
          <w:b/>
          <w:sz w:val="28"/>
        </w:rPr>
        <w:t xml:space="preserve"> у</w:t>
      </w:r>
      <w:r w:rsidRPr="00ED585B">
        <w:rPr>
          <w:rFonts w:ascii="Times New Roman" w:hAnsi="Times New Roman" w:cs="Times New Roman"/>
          <w:b/>
          <w:sz w:val="28"/>
        </w:rPr>
        <w:t xml:space="preserve"> діагностиці </w:t>
      </w:r>
      <w:r>
        <w:rPr>
          <w:rFonts w:ascii="Times New Roman" w:hAnsi="Times New Roman" w:cs="Times New Roman"/>
          <w:b/>
          <w:sz w:val="28"/>
        </w:rPr>
        <w:t xml:space="preserve">та лікуванні </w:t>
      </w:r>
      <w:r w:rsidRPr="00ED585B">
        <w:rPr>
          <w:rFonts w:ascii="Times New Roman" w:hAnsi="Times New Roman" w:cs="Times New Roman"/>
          <w:b/>
          <w:sz w:val="28"/>
        </w:rPr>
        <w:t>НКР</w:t>
      </w:r>
    </w:p>
    <w:p w:rsidR="001E6EFC" w:rsidRPr="00854AB1" w:rsidRDefault="001E6EFC" w:rsidP="001E6EFC">
      <w:pPr>
        <w:spacing w:line="360" w:lineRule="auto"/>
        <w:jc w:val="both"/>
        <w:rPr>
          <w:rFonts w:ascii="Times New Roman" w:hAnsi="Times New Roman" w:cs="Times New Roman"/>
          <w:b/>
          <w:sz w:val="28"/>
        </w:rPr>
      </w:pPr>
    </w:p>
    <w:p w:rsidR="001E6EFC" w:rsidRDefault="003541C5" w:rsidP="001E6EFC">
      <w:pPr>
        <w:spacing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sz w:val="28"/>
        </w:rPr>
        <w:t xml:space="preserve">На жаль, існуючі діагностично-лікувальні алгоритми НКР не забезпечують достатньої клінічної ефективності. </w:t>
      </w:r>
      <w:r w:rsidR="001E6EFC">
        <w:rPr>
          <w:rFonts w:ascii="Times New Roman" w:hAnsi="Times New Roman" w:cs="Times New Roman"/>
          <w:sz w:val="28"/>
        </w:rPr>
        <w:t xml:space="preserve">Результатом недосконалостей в існуючих діагностичних методиках є надмірно високий відсоток хворих, яким </w:t>
      </w:r>
      <w:r w:rsidR="001E6EFC" w:rsidRPr="00194EC8">
        <w:rPr>
          <w:rFonts w:ascii="Times New Roman" w:hAnsi="Times New Roman" w:cs="Times New Roman"/>
          <w:sz w:val="28"/>
          <w:szCs w:val="28"/>
        </w:rPr>
        <w:t xml:space="preserve">проведене оперативне лікування при підозрі на НКР, </w:t>
      </w:r>
      <w:r w:rsidR="001E6EFC">
        <w:rPr>
          <w:rFonts w:ascii="Times New Roman" w:hAnsi="Times New Roman" w:cs="Times New Roman"/>
          <w:sz w:val="28"/>
          <w:szCs w:val="28"/>
        </w:rPr>
        <w:t xml:space="preserve">та </w:t>
      </w:r>
      <w:r w:rsidR="001E6EFC" w:rsidRPr="00194EC8">
        <w:rPr>
          <w:rFonts w:ascii="Times New Roman" w:hAnsi="Times New Roman" w:cs="Times New Roman"/>
          <w:sz w:val="28"/>
          <w:szCs w:val="28"/>
        </w:rPr>
        <w:t xml:space="preserve">у яких </w:t>
      </w:r>
      <w:r w:rsidR="001E6EFC">
        <w:rPr>
          <w:rFonts w:ascii="Times New Roman" w:hAnsi="Times New Roman" w:cs="Times New Roman"/>
          <w:sz w:val="28"/>
          <w:szCs w:val="28"/>
        </w:rPr>
        <w:t>виявлено</w:t>
      </w:r>
      <w:r w:rsidR="001E6EFC" w:rsidRPr="00194EC8">
        <w:rPr>
          <w:rFonts w:ascii="Times New Roman" w:hAnsi="Times New Roman" w:cs="Times New Roman"/>
          <w:sz w:val="28"/>
          <w:szCs w:val="28"/>
        </w:rPr>
        <w:t xml:space="preserve"> доброякісні пухлини за даними </w:t>
      </w:r>
      <w:r w:rsidR="001E6EFC">
        <w:rPr>
          <w:rFonts w:ascii="Times New Roman" w:hAnsi="Times New Roman" w:cs="Times New Roman"/>
          <w:sz w:val="28"/>
          <w:szCs w:val="28"/>
        </w:rPr>
        <w:t xml:space="preserve">заключного </w:t>
      </w:r>
      <w:r w:rsidR="001E6EFC" w:rsidRPr="00194EC8">
        <w:rPr>
          <w:rFonts w:ascii="Times New Roman" w:hAnsi="Times New Roman" w:cs="Times New Roman"/>
          <w:sz w:val="28"/>
          <w:szCs w:val="28"/>
        </w:rPr>
        <w:t>пато</w:t>
      </w:r>
      <w:r w:rsidR="001E6EFC">
        <w:rPr>
          <w:rFonts w:ascii="Times New Roman" w:hAnsi="Times New Roman" w:cs="Times New Roman"/>
          <w:sz w:val="28"/>
          <w:szCs w:val="28"/>
        </w:rPr>
        <w:t>морфо</w:t>
      </w:r>
      <w:r w:rsidR="001E6EFC" w:rsidRPr="00194EC8">
        <w:rPr>
          <w:rFonts w:ascii="Times New Roman" w:hAnsi="Times New Roman" w:cs="Times New Roman"/>
          <w:sz w:val="28"/>
          <w:szCs w:val="28"/>
        </w:rPr>
        <w:t xml:space="preserve">логічного аналізу. </w:t>
      </w:r>
      <w:r w:rsidR="001E6EFC">
        <w:rPr>
          <w:rFonts w:ascii="Times New Roman" w:hAnsi="Times New Roman" w:cs="Times New Roman"/>
          <w:sz w:val="28"/>
          <w:szCs w:val="28"/>
        </w:rPr>
        <w:t xml:space="preserve">Так, </w:t>
      </w:r>
      <w:r w:rsidR="001E6EFC">
        <w:rPr>
          <w:rFonts w:ascii="Times New Roman" w:eastAsia="Times New Roman" w:hAnsi="Times New Roman" w:cs="Times New Roman"/>
          <w:sz w:val="28"/>
          <w:szCs w:val="28"/>
          <w:lang w:eastAsia="uk-UA"/>
        </w:rPr>
        <w:t xml:space="preserve">у когорті 176 хворих з Японії, яким було виконано парціальну нефректомію при підозрі на НКР (при середньому розмірі пухлини 2,3 см, діапазон від 0,3 до 5,8 см), частка доброякісних пухлин становила 11% </w:t>
      </w:r>
      <w:r w:rsidR="001E6EFC" w:rsidRPr="003115DF">
        <w:rPr>
          <w:rFonts w:ascii="Times New Roman" w:eastAsia="Times New Roman" w:hAnsi="Times New Roman" w:cs="Times New Roman"/>
          <w:sz w:val="28"/>
          <w:szCs w:val="28"/>
          <w:lang w:eastAsia="uk-UA"/>
        </w:rPr>
        <w:t>[</w:t>
      </w:r>
      <w:r w:rsidR="001E6EFC">
        <w:rPr>
          <w:rFonts w:ascii="Times New Roman" w:eastAsia="Times New Roman" w:hAnsi="Times New Roman" w:cs="Times New Roman"/>
          <w:sz w:val="28"/>
          <w:szCs w:val="28"/>
          <w:lang w:eastAsia="uk-UA"/>
        </w:rPr>
        <w:t>149, 150</w:t>
      </w:r>
      <w:r w:rsidR="001E6EFC" w:rsidRPr="003115DF">
        <w:rPr>
          <w:rFonts w:ascii="Times New Roman" w:eastAsia="Times New Roman" w:hAnsi="Times New Roman" w:cs="Times New Roman"/>
          <w:sz w:val="28"/>
          <w:szCs w:val="28"/>
          <w:lang w:eastAsia="uk-UA"/>
        </w:rPr>
        <w:t>]</w:t>
      </w:r>
      <w:r w:rsidR="001E6EFC">
        <w:rPr>
          <w:rFonts w:ascii="Times New Roman" w:eastAsia="Times New Roman" w:hAnsi="Times New Roman" w:cs="Times New Roman"/>
          <w:sz w:val="28"/>
          <w:szCs w:val="28"/>
          <w:lang w:eastAsia="uk-UA"/>
        </w:rPr>
        <w:t>.</w:t>
      </w:r>
      <w:r w:rsidR="001E6EFC">
        <w:rPr>
          <w:rFonts w:ascii="Times New Roman" w:hAnsi="Times New Roman" w:cs="Times New Roman"/>
          <w:sz w:val="28"/>
          <w:szCs w:val="28"/>
        </w:rPr>
        <w:t xml:space="preserve"> В дослідженні </w:t>
      </w:r>
      <w:r w:rsidR="001E6EFC" w:rsidRPr="00194EC8">
        <w:rPr>
          <w:rFonts w:ascii="Times New Roman" w:eastAsia="Times New Roman" w:hAnsi="Times New Roman" w:cs="Times New Roman"/>
          <w:sz w:val="28"/>
          <w:szCs w:val="28"/>
          <w:lang w:eastAsia="uk-UA"/>
        </w:rPr>
        <w:t xml:space="preserve">Link </w:t>
      </w:r>
      <w:r w:rsidR="001E6EFC" w:rsidRPr="00194EC8">
        <w:rPr>
          <w:rFonts w:ascii="Times New Roman" w:eastAsia="Times New Roman" w:hAnsi="Times New Roman" w:cs="Times New Roman"/>
          <w:sz w:val="28"/>
          <w:szCs w:val="28"/>
          <w:lang w:val="en-US" w:eastAsia="uk-UA"/>
        </w:rPr>
        <w:t>et</w:t>
      </w:r>
      <w:r w:rsidR="001E6EFC" w:rsidRPr="00194EC8">
        <w:rPr>
          <w:rFonts w:ascii="Times New Roman" w:eastAsia="Times New Roman" w:hAnsi="Times New Roman" w:cs="Times New Roman"/>
          <w:sz w:val="28"/>
          <w:szCs w:val="28"/>
          <w:lang w:eastAsia="uk-UA"/>
        </w:rPr>
        <w:t xml:space="preserve"> </w:t>
      </w:r>
      <w:r w:rsidR="001E6EFC" w:rsidRPr="00194EC8">
        <w:rPr>
          <w:rFonts w:ascii="Times New Roman" w:eastAsia="Times New Roman" w:hAnsi="Times New Roman" w:cs="Times New Roman"/>
          <w:sz w:val="28"/>
          <w:szCs w:val="28"/>
          <w:lang w:val="en-US" w:eastAsia="uk-UA"/>
        </w:rPr>
        <w:t>al</w:t>
      </w:r>
      <w:r w:rsidR="001E6EFC" w:rsidRPr="00194EC8">
        <w:rPr>
          <w:rFonts w:ascii="Times New Roman" w:eastAsia="Times New Roman" w:hAnsi="Times New Roman" w:cs="Times New Roman"/>
          <w:sz w:val="28"/>
          <w:szCs w:val="28"/>
          <w:lang w:eastAsia="uk-UA"/>
        </w:rPr>
        <w:t>., більше 30%</w:t>
      </w:r>
      <w:r w:rsidR="001E6EFC">
        <w:rPr>
          <w:rFonts w:ascii="Times New Roman" w:eastAsia="Times New Roman" w:hAnsi="Times New Roman" w:cs="Times New Roman"/>
          <w:sz w:val="28"/>
          <w:szCs w:val="28"/>
          <w:lang w:eastAsia="uk-UA"/>
        </w:rPr>
        <w:t xml:space="preserve"> пухлин, які мали ознаки злоякісності за даними променевих методів обстежень, виявились доброякісним після виконання лапароскопічної парціальної нефректомії </w:t>
      </w:r>
      <w:r w:rsidR="001E6EFC" w:rsidRPr="00194EC8">
        <w:rPr>
          <w:rFonts w:ascii="Times New Roman" w:eastAsia="Times New Roman" w:hAnsi="Times New Roman" w:cs="Times New Roman"/>
          <w:sz w:val="28"/>
          <w:szCs w:val="28"/>
          <w:lang w:eastAsia="uk-UA"/>
        </w:rPr>
        <w:t>[</w:t>
      </w:r>
      <w:r w:rsidR="001E6EFC">
        <w:rPr>
          <w:rFonts w:ascii="Times New Roman" w:eastAsia="Times New Roman" w:hAnsi="Times New Roman" w:cs="Times New Roman"/>
          <w:sz w:val="28"/>
          <w:szCs w:val="28"/>
          <w:lang w:eastAsia="uk-UA"/>
        </w:rPr>
        <w:t>265</w:t>
      </w:r>
      <w:r w:rsidR="001E6EFC" w:rsidRPr="00194EC8">
        <w:rPr>
          <w:rFonts w:ascii="Times New Roman" w:eastAsia="Times New Roman" w:hAnsi="Times New Roman" w:cs="Times New Roman"/>
          <w:sz w:val="28"/>
          <w:szCs w:val="28"/>
          <w:lang w:eastAsia="uk-UA"/>
        </w:rPr>
        <w:t>]</w:t>
      </w:r>
      <w:r w:rsidR="001E6EFC">
        <w:rPr>
          <w:rFonts w:ascii="Times New Roman" w:eastAsia="Times New Roman" w:hAnsi="Times New Roman" w:cs="Times New Roman"/>
          <w:sz w:val="28"/>
          <w:szCs w:val="28"/>
          <w:lang w:eastAsia="uk-UA"/>
        </w:rPr>
        <w:t>. На сьогодні в Україні частка морфологічно підтверджених діагнозів НКР знаходиться на позначці ̴ 69%, при цьому цей показник залишається майже незмінним починаючи з 2005 року</w:t>
      </w:r>
      <w:r w:rsidR="001E6EFC" w:rsidRPr="009E6C7E">
        <w:rPr>
          <w:rFonts w:ascii="Times New Roman" w:eastAsia="Times New Roman" w:hAnsi="Times New Roman" w:cs="Times New Roman"/>
          <w:sz w:val="28"/>
          <w:szCs w:val="28"/>
          <w:lang w:val="ru-RU" w:eastAsia="uk-UA"/>
        </w:rPr>
        <w:t xml:space="preserve"> [</w:t>
      </w:r>
      <w:r w:rsidR="001E6EFC">
        <w:rPr>
          <w:rFonts w:ascii="Times New Roman" w:eastAsia="Times New Roman" w:hAnsi="Times New Roman" w:cs="Times New Roman"/>
          <w:sz w:val="28"/>
          <w:szCs w:val="28"/>
          <w:lang w:eastAsia="uk-UA"/>
        </w:rPr>
        <w:t>70</w:t>
      </w:r>
      <w:r w:rsidR="001E6EFC" w:rsidRPr="009E6C7E">
        <w:rPr>
          <w:rFonts w:ascii="Times New Roman" w:eastAsia="Times New Roman" w:hAnsi="Times New Roman" w:cs="Times New Roman"/>
          <w:sz w:val="28"/>
          <w:szCs w:val="28"/>
          <w:lang w:val="ru-RU" w:eastAsia="uk-UA"/>
        </w:rPr>
        <w:t>]</w:t>
      </w:r>
      <w:r w:rsidR="001E6EFC">
        <w:rPr>
          <w:rFonts w:ascii="Times New Roman" w:eastAsia="Times New Roman" w:hAnsi="Times New Roman" w:cs="Times New Roman"/>
          <w:sz w:val="28"/>
          <w:szCs w:val="28"/>
          <w:lang w:eastAsia="uk-UA"/>
        </w:rPr>
        <w:t>.</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sz w:val="28"/>
        </w:rPr>
        <w:t xml:space="preserve">Черезшкірна пункційна біопсія (ЧПБ) – метод, який дозволяє отримати гістологічний матеріал у вигляді тканин пухлини для диференційної діагностики і планування подальшої тактики лікування НКР. Проведення цього методу також може бути рекомендоване хворим з малими нирковими новоутворами – </w:t>
      </w:r>
      <w:r>
        <w:rPr>
          <w:rFonts w:ascii="Times New Roman" w:hAnsi="Times New Roman" w:cs="Times New Roman"/>
          <w:sz w:val="28"/>
          <w:lang w:val="en-US"/>
        </w:rPr>
        <w:t>small</w:t>
      </w:r>
      <w:r w:rsidRPr="007036B6">
        <w:rPr>
          <w:rFonts w:ascii="Times New Roman" w:hAnsi="Times New Roman" w:cs="Times New Roman"/>
          <w:sz w:val="28"/>
        </w:rPr>
        <w:t xml:space="preserve"> </w:t>
      </w:r>
      <w:r>
        <w:rPr>
          <w:rFonts w:ascii="Times New Roman" w:hAnsi="Times New Roman" w:cs="Times New Roman"/>
          <w:sz w:val="28"/>
          <w:lang w:val="en-US"/>
        </w:rPr>
        <w:t>renal</w:t>
      </w:r>
      <w:r w:rsidRPr="007036B6">
        <w:rPr>
          <w:rFonts w:ascii="Times New Roman" w:hAnsi="Times New Roman" w:cs="Times New Roman"/>
          <w:sz w:val="28"/>
        </w:rPr>
        <w:t xml:space="preserve"> </w:t>
      </w:r>
      <w:r>
        <w:rPr>
          <w:rFonts w:ascii="Times New Roman" w:hAnsi="Times New Roman" w:cs="Times New Roman"/>
          <w:sz w:val="28"/>
          <w:lang w:val="en-US"/>
        </w:rPr>
        <w:t>masses</w:t>
      </w:r>
      <w:r w:rsidRPr="007036B6">
        <w:rPr>
          <w:rFonts w:ascii="Times New Roman" w:hAnsi="Times New Roman" w:cs="Times New Roman"/>
          <w:sz w:val="28"/>
        </w:rPr>
        <w:t xml:space="preserve"> (</w:t>
      </w:r>
      <w:r>
        <w:rPr>
          <w:rFonts w:ascii="Times New Roman" w:hAnsi="Times New Roman" w:cs="Times New Roman"/>
          <w:sz w:val="28"/>
          <w:lang w:val="en-US"/>
        </w:rPr>
        <w:t>SRM</w:t>
      </w:r>
      <w:r>
        <w:rPr>
          <w:rFonts w:ascii="Times New Roman" w:hAnsi="Times New Roman" w:cs="Times New Roman"/>
          <w:sz w:val="28"/>
        </w:rPr>
        <w:t xml:space="preserve">), пацієнтам з НКР перед лікуванням за допомогою абляції, для планування хірургічного та медикаментозного лікування у хворих із метастатичним НКР (мНКР) та хворим, які є кандидатами для активного спостереження (АС) </w:t>
      </w:r>
      <w:r w:rsidRPr="00125E52">
        <w:rPr>
          <w:rFonts w:ascii="Times New Roman" w:hAnsi="Times New Roman" w:cs="Times New Roman"/>
          <w:sz w:val="28"/>
          <w:szCs w:val="28"/>
        </w:rPr>
        <w:t>[</w:t>
      </w:r>
      <w:r>
        <w:rPr>
          <w:rFonts w:ascii="Times New Roman" w:hAnsi="Times New Roman" w:cs="Times New Roman"/>
          <w:sz w:val="28"/>
          <w:szCs w:val="28"/>
        </w:rPr>
        <w:t>354, 405</w:t>
      </w:r>
      <w:r w:rsidRPr="00125E52">
        <w:rPr>
          <w:rFonts w:ascii="Times New Roman" w:hAnsi="Times New Roman" w:cs="Times New Roman"/>
          <w:sz w:val="28"/>
          <w:szCs w:val="28"/>
        </w:rPr>
        <w:t>].</w:t>
      </w:r>
      <w:r>
        <w:rPr>
          <w:rFonts w:ascii="Times New Roman" w:hAnsi="Times New Roman" w:cs="Times New Roman"/>
          <w:sz w:val="28"/>
        </w:rPr>
        <w:t xml:space="preserve"> Проте, питання ефективності застосування даного діагностичного методу при НКР є вкрай контроверсійним. Так, за даними мета-аналізу проведеного </w:t>
      </w:r>
      <w:r w:rsidRPr="00101803">
        <w:rPr>
          <w:rFonts w:ascii="Times New Roman" w:hAnsi="Times New Roman" w:cs="Times New Roman"/>
          <w:sz w:val="28"/>
        </w:rPr>
        <w:t>Marconi</w:t>
      </w:r>
      <w:r>
        <w:rPr>
          <w:rFonts w:ascii="Times New Roman" w:hAnsi="Times New Roman" w:cs="Times New Roman"/>
          <w:sz w:val="28"/>
        </w:rPr>
        <w:t xml:space="preserve"> </w:t>
      </w:r>
      <w:r>
        <w:rPr>
          <w:rFonts w:ascii="Times New Roman" w:hAnsi="Times New Roman" w:cs="Times New Roman"/>
          <w:sz w:val="28"/>
          <w:lang w:val="en-US"/>
        </w:rPr>
        <w:t>et</w:t>
      </w:r>
      <w:r w:rsidRPr="00101803">
        <w:rPr>
          <w:rFonts w:ascii="Times New Roman" w:hAnsi="Times New Roman" w:cs="Times New Roman"/>
          <w:sz w:val="28"/>
        </w:rPr>
        <w:t xml:space="preserve"> </w:t>
      </w:r>
      <w:r>
        <w:rPr>
          <w:rFonts w:ascii="Times New Roman" w:hAnsi="Times New Roman" w:cs="Times New Roman"/>
          <w:sz w:val="28"/>
          <w:lang w:val="en-US"/>
        </w:rPr>
        <w:t>al</w:t>
      </w:r>
      <w:r w:rsidRPr="00101803">
        <w:rPr>
          <w:rFonts w:ascii="Times New Roman" w:hAnsi="Times New Roman" w:cs="Times New Roman"/>
          <w:sz w:val="28"/>
        </w:rPr>
        <w:t xml:space="preserve">., в </w:t>
      </w:r>
      <w:r>
        <w:rPr>
          <w:rFonts w:ascii="Times New Roman" w:hAnsi="Times New Roman" w:cs="Times New Roman"/>
          <w:sz w:val="28"/>
        </w:rPr>
        <w:t xml:space="preserve">2016 р., на основі даних з 57 досліджень і 5228 пацієнтів з НКР, не зважаючи на високі показники чутливості та специфічності серцевинної ЧПБ (99,1% та </w:t>
      </w:r>
      <w:r>
        <w:rPr>
          <w:rFonts w:ascii="Times New Roman" w:hAnsi="Times New Roman" w:cs="Times New Roman"/>
          <w:sz w:val="28"/>
        </w:rPr>
        <w:lastRenderedPageBreak/>
        <w:t xml:space="preserve">99,7% відповідно), яка проводилась для діагностики, виявлення гістологічного підтипу і </w:t>
      </w:r>
      <w:r w:rsidR="00B02037">
        <w:rPr>
          <w:rFonts w:ascii="Times New Roman" w:hAnsi="Times New Roman" w:cs="Times New Roman"/>
          <w:sz w:val="28"/>
        </w:rPr>
        <w:t>ступеня</w:t>
      </w:r>
      <w:r>
        <w:rPr>
          <w:rFonts w:ascii="Times New Roman" w:hAnsi="Times New Roman" w:cs="Times New Roman"/>
          <w:sz w:val="28"/>
        </w:rPr>
        <w:t xml:space="preserve"> диференціації пухлини, частка недіагностичних біопсій була досить високою і складала 8% </w:t>
      </w:r>
      <w:r w:rsidRPr="00520314">
        <w:rPr>
          <w:rFonts w:ascii="Times New Roman" w:hAnsi="Times New Roman" w:cs="Times New Roman"/>
          <w:sz w:val="28"/>
          <w:szCs w:val="28"/>
        </w:rPr>
        <w:t>[</w:t>
      </w:r>
      <w:r>
        <w:rPr>
          <w:rFonts w:ascii="Times New Roman" w:eastAsia="Times New Roman" w:hAnsi="Times New Roman" w:cs="Times New Roman"/>
          <w:sz w:val="28"/>
          <w:szCs w:val="28"/>
          <w:lang w:eastAsia="uk-UA"/>
        </w:rPr>
        <w:t>280</w:t>
      </w:r>
      <w:r w:rsidRPr="00520314">
        <w:rPr>
          <w:rFonts w:ascii="Times New Roman" w:hAnsi="Times New Roman" w:cs="Times New Roman"/>
          <w:sz w:val="28"/>
        </w:rPr>
        <w:t>]</w:t>
      </w:r>
      <w:r>
        <w:rPr>
          <w:rFonts w:ascii="Times New Roman" w:hAnsi="Times New Roman" w:cs="Times New Roman"/>
          <w:sz w:val="28"/>
        </w:rPr>
        <w:t xml:space="preserve">. Розмір пухлини має вирішальне значення для отримання діагностично вірного результату при ЧПБ. За даними </w:t>
      </w:r>
      <w:r w:rsidRPr="00730D0F">
        <w:rPr>
          <w:rFonts w:ascii="Times New Roman" w:hAnsi="Times New Roman" w:cs="Times New Roman"/>
          <w:sz w:val="28"/>
          <w:szCs w:val="28"/>
        </w:rPr>
        <w:t xml:space="preserve">Leveridge </w:t>
      </w:r>
      <w:r>
        <w:rPr>
          <w:rFonts w:ascii="Times New Roman" w:hAnsi="Times New Roman" w:cs="Times New Roman"/>
          <w:sz w:val="28"/>
          <w:szCs w:val="28"/>
          <w:lang w:val="en-US"/>
        </w:rPr>
        <w:t>et</w:t>
      </w:r>
      <w:r w:rsidRPr="00730D0F">
        <w:rPr>
          <w:rFonts w:ascii="Times New Roman" w:hAnsi="Times New Roman" w:cs="Times New Roman"/>
          <w:sz w:val="28"/>
          <w:szCs w:val="28"/>
        </w:rPr>
        <w:t xml:space="preserve"> </w:t>
      </w:r>
      <w:r>
        <w:rPr>
          <w:rFonts w:ascii="Times New Roman" w:hAnsi="Times New Roman" w:cs="Times New Roman"/>
          <w:sz w:val="28"/>
          <w:szCs w:val="28"/>
          <w:lang w:val="en-US"/>
        </w:rPr>
        <w:t>al</w:t>
      </w:r>
      <w:r w:rsidRPr="00730D0F">
        <w:rPr>
          <w:rFonts w:ascii="Times New Roman" w:hAnsi="Times New Roman" w:cs="Times New Roman"/>
          <w:sz w:val="28"/>
          <w:szCs w:val="28"/>
        </w:rPr>
        <w:t xml:space="preserve">. </w:t>
      </w:r>
      <w:r>
        <w:rPr>
          <w:rFonts w:ascii="Times New Roman" w:hAnsi="Times New Roman" w:cs="Times New Roman"/>
          <w:sz w:val="28"/>
        </w:rPr>
        <w:t>при розмірі пухлини до 3 см, частка недіагностичних ЧПБ сягала 37%</w:t>
      </w:r>
      <w:r>
        <w:rPr>
          <w:rFonts w:ascii="Times New Roman" w:hAnsi="Times New Roman" w:cs="Times New Roman"/>
          <w:sz w:val="28"/>
          <w:szCs w:val="28"/>
        </w:rPr>
        <w:t xml:space="preserve"> [250</w:t>
      </w:r>
      <w:r w:rsidRPr="0099634F">
        <w:rPr>
          <w:rFonts w:ascii="Times New Roman" w:hAnsi="Times New Roman" w:cs="Times New Roman"/>
          <w:sz w:val="28"/>
          <w:szCs w:val="28"/>
        </w:rPr>
        <w:t xml:space="preserve">]. </w:t>
      </w:r>
      <w:r w:rsidRPr="003F3C6B">
        <w:rPr>
          <w:rFonts w:ascii="Times New Roman" w:hAnsi="Times New Roman" w:cs="Times New Roman"/>
          <w:sz w:val="28"/>
          <w:szCs w:val="28"/>
        </w:rPr>
        <w:t xml:space="preserve">За даними систематичного огляду літератури проведеного </w:t>
      </w:r>
      <w:r w:rsidRPr="003F3C6B">
        <w:rPr>
          <w:rFonts w:ascii="Times New Roman" w:eastAsia="Times New Roman" w:hAnsi="Times New Roman" w:cs="Times New Roman"/>
          <w:sz w:val="28"/>
          <w:szCs w:val="28"/>
          <w:lang w:eastAsia="uk-UA"/>
        </w:rPr>
        <w:t xml:space="preserve">Patel </w:t>
      </w:r>
      <w:r w:rsidRPr="003F3C6B">
        <w:rPr>
          <w:rFonts w:ascii="Times New Roman" w:eastAsia="Times New Roman" w:hAnsi="Times New Roman" w:cs="Times New Roman"/>
          <w:sz w:val="28"/>
          <w:szCs w:val="28"/>
          <w:lang w:val="en-US" w:eastAsia="uk-UA"/>
        </w:rPr>
        <w:t>et</w:t>
      </w:r>
      <w:r w:rsidRPr="003F3C6B">
        <w:rPr>
          <w:rFonts w:ascii="Times New Roman" w:eastAsia="Times New Roman" w:hAnsi="Times New Roman" w:cs="Times New Roman"/>
          <w:sz w:val="28"/>
          <w:szCs w:val="28"/>
          <w:lang w:eastAsia="uk-UA"/>
        </w:rPr>
        <w:t xml:space="preserve"> </w:t>
      </w:r>
      <w:r w:rsidRPr="003F3C6B">
        <w:rPr>
          <w:rFonts w:ascii="Times New Roman" w:eastAsia="Times New Roman" w:hAnsi="Times New Roman" w:cs="Times New Roman"/>
          <w:sz w:val="28"/>
          <w:szCs w:val="28"/>
          <w:lang w:val="en-US" w:eastAsia="uk-UA"/>
        </w:rPr>
        <w:t>al</w:t>
      </w:r>
      <w:r w:rsidRPr="003F3C6B">
        <w:rPr>
          <w:rFonts w:ascii="Times New Roman" w:eastAsia="Times New Roman" w:hAnsi="Times New Roman" w:cs="Times New Roman"/>
          <w:sz w:val="28"/>
          <w:szCs w:val="28"/>
          <w:lang w:eastAsia="uk-UA"/>
        </w:rPr>
        <w:t xml:space="preserve">. у 2016 р., на </w:t>
      </w:r>
      <w:r>
        <w:rPr>
          <w:rFonts w:ascii="Times New Roman" w:eastAsia="Times New Roman" w:hAnsi="Times New Roman" w:cs="Times New Roman"/>
          <w:sz w:val="28"/>
          <w:szCs w:val="28"/>
          <w:lang w:eastAsia="uk-UA"/>
        </w:rPr>
        <w:t xml:space="preserve">основі даних з 20 досліджень та 2979 хворих із підозрою на НКР (3113 проведених ЧПБ), частка неінформативних біопсій складала 14,1%, при цьому повторна біопсія дозволила встановити діагноз лише у 80% випадків </w:t>
      </w:r>
      <w:r w:rsidRPr="003F3C6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338</w:t>
      </w:r>
      <w:r w:rsidRPr="00625144">
        <w:rPr>
          <w:rFonts w:ascii="Times New Roman" w:eastAsia="Times New Roman" w:hAnsi="Times New Roman" w:cs="Times New Roman"/>
          <w:sz w:val="28"/>
          <w:szCs w:val="28"/>
          <w:lang w:eastAsia="uk-UA"/>
        </w:rPr>
        <w:t xml:space="preserve">]. </w:t>
      </w:r>
    </w:p>
    <w:p w:rsidR="001E6EFC" w:rsidRDefault="001E6EFC" w:rsidP="001E6EFC">
      <w:pPr>
        <w:spacing w:line="360" w:lineRule="auto"/>
        <w:ind w:firstLine="708"/>
        <w:jc w:val="both"/>
        <w:rPr>
          <w:rFonts w:ascii="Times New Roman" w:hAnsi="Times New Roman" w:cs="Times New Roman"/>
          <w:sz w:val="28"/>
        </w:rPr>
      </w:pPr>
      <w:r>
        <w:rPr>
          <w:rFonts w:ascii="Times New Roman" w:eastAsia="Times New Roman" w:hAnsi="Times New Roman" w:cs="Times New Roman"/>
          <w:sz w:val="28"/>
          <w:szCs w:val="28"/>
          <w:lang w:eastAsia="uk-UA"/>
        </w:rPr>
        <w:t xml:space="preserve">Відсутність економічно  доступного та чутливого діагностичного біомаркеру для скринінгу цього захворювання також спричиняє невтішну картину: в нашій державі в 2015 р. всього  ̴17% хворих із НКР було виявлено на профілактичних оглядах, а сам показник зріс за останні 10 років лише на 4,6% (з 12,7% у 2006 р. до 17,3 у 2015% р.). В цьому контексті зрозумілою є надмірно висока частка вперше виявлених випадків НКР на пізніх стадіях захворювання: в 2016 р. із стадіями </w:t>
      </w:r>
      <w:r>
        <w:rPr>
          <w:rFonts w:ascii="Times New Roman" w:eastAsia="Times New Roman" w:hAnsi="Times New Roman" w:cs="Times New Roman"/>
          <w:sz w:val="28"/>
          <w:szCs w:val="28"/>
          <w:lang w:val="en-US" w:eastAsia="uk-UA"/>
        </w:rPr>
        <w:t>T</w:t>
      </w:r>
      <w:r w:rsidRPr="0067775E">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 xml:space="preserve"> та Т4 було діагностовано 16,9% та 22,7% хворих відповідно. </w:t>
      </w:r>
    </w:p>
    <w:p w:rsidR="001E6EFC" w:rsidRDefault="001E6EFC" w:rsidP="001E6EFC">
      <w:pPr>
        <w:spacing w:line="360" w:lineRule="auto"/>
        <w:jc w:val="both"/>
        <w:rPr>
          <w:rFonts w:ascii="Times New Roman" w:hAnsi="Times New Roman" w:cs="Times New Roman"/>
          <w:sz w:val="28"/>
          <w:szCs w:val="28"/>
        </w:rPr>
      </w:pPr>
      <w:r>
        <w:rPr>
          <w:rFonts w:ascii="Times New Roman" w:hAnsi="Times New Roman" w:cs="Times New Roman"/>
          <w:sz w:val="28"/>
        </w:rPr>
        <w:tab/>
      </w:r>
      <w:r>
        <w:rPr>
          <w:rFonts w:ascii="Times New Roman" w:hAnsi="Times New Roman" w:cs="Times New Roman"/>
          <w:sz w:val="28"/>
          <w:szCs w:val="28"/>
        </w:rPr>
        <w:t xml:space="preserve">Не зважаючи на значний прогрес у розвитку променевих методів обстеження, на сьогоднішній день, достовірно диференціювати НКР від доброякісних пухлин нирок, таких як ОЦ чи ангіоміоліпома (АМЛ) з низьким вмістом жиру, а також точно діагностувати різні гістологічні підтипи та ступінь диференціації цього ЗН, практично неможливо, що створює серйозну </w:t>
      </w:r>
      <w:r w:rsidRPr="00BA0970">
        <w:rPr>
          <w:rFonts w:ascii="Times New Roman" w:hAnsi="Times New Roman" w:cs="Times New Roman"/>
          <w:sz w:val="28"/>
          <w:szCs w:val="28"/>
        </w:rPr>
        <w:t>клінічну дилему</w:t>
      </w:r>
      <w:r w:rsidRPr="00B01AB8">
        <w:rPr>
          <w:rFonts w:ascii="Times New Roman" w:hAnsi="Times New Roman" w:cs="Times New Roman"/>
          <w:sz w:val="28"/>
          <w:szCs w:val="28"/>
        </w:rPr>
        <w:t>.</w:t>
      </w:r>
      <w:r>
        <w:rPr>
          <w:rFonts w:ascii="Times New Roman" w:hAnsi="Times New Roman" w:cs="Times New Roman"/>
          <w:sz w:val="28"/>
          <w:szCs w:val="28"/>
        </w:rPr>
        <w:t xml:space="preserve"> Це ж, але у значно більшій мірі, стосується диференційної діагностики НКР у разі </w:t>
      </w:r>
      <w:r>
        <w:rPr>
          <w:rFonts w:ascii="Times New Roman" w:hAnsi="Times New Roman" w:cs="Times New Roman"/>
          <w:sz w:val="28"/>
          <w:szCs w:val="28"/>
          <w:lang w:val="en-US"/>
        </w:rPr>
        <w:t>SRM</w:t>
      </w:r>
      <w:r>
        <w:rPr>
          <w:rFonts w:ascii="Times New Roman" w:hAnsi="Times New Roman" w:cs="Times New Roman"/>
          <w:sz w:val="28"/>
          <w:szCs w:val="28"/>
        </w:rPr>
        <w:t xml:space="preserve">. Крім цього, точна диференційна діагностика між доброякісними комплексними кістозними новоутвореннями нирок і кістозним НКР за допомогою променевих методів обстеження є невирішеною проблемою сучасної онкоурології  </w:t>
      </w:r>
      <w:r w:rsidRPr="00BA0970">
        <w:rPr>
          <w:rFonts w:ascii="Times New Roman" w:hAnsi="Times New Roman" w:cs="Times New Roman"/>
          <w:sz w:val="28"/>
          <w:szCs w:val="28"/>
        </w:rPr>
        <w:t>[</w:t>
      </w:r>
      <w:r>
        <w:rPr>
          <w:rFonts w:ascii="Times New Roman" w:hAnsi="Times New Roman" w:cs="Times New Roman"/>
          <w:sz w:val="28"/>
          <w:szCs w:val="28"/>
        </w:rPr>
        <w:t xml:space="preserve">113, 181, 360, </w:t>
      </w:r>
      <w:r>
        <w:rPr>
          <w:rFonts w:ascii="Times New Roman" w:eastAsia="Times New Roman" w:hAnsi="Times New Roman" w:cs="Times New Roman"/>
          <w:sz w:val="28"/>
          <w:szCs w:val="28"/>
          <w:lang w:eastAsia="uk-UA"/>
        </w:rPr>
        <w:t>371</w:t>
      </w:r>
      <w:r w:rsidRPr="00BA0970">
        <w:rPr>
          <w:rFonts w:ascii="Times New Roman" w:hAnsi="Times New Roman" w:cs="Times New Roman"/>
          <w:sz w:val="28"/>
          <w:szCs w:val="28"/>
        </w:rPr>
        <w:t>].</w:t>
      </w:r>
      <w:r>
        <w:rPr>
          <w:rFonts w:ascii="Times New Roman" w:hAnsi="Times New Roman" w:cs="Times New Roman"/>
          <w:sz w:val="28"/>
          <w:szCs w:val="28"/>
        </w:rPr>
        <w:t xml:space="preserve"> В зв’язку з цим, в останні роки інтерес дослідників сфокусований на визначенні ролі променевих </w:t>
      </w:r>
      <w:r>
        <w:rPr>
          <w:rFonts w:ascii="Times New Roman" w:hAnsi="Times New Roman" w:cs="Times New Roman"/>
          <w:sz w:val="28"/>
          <w:szCs w:val="28"/>
        </w:rPr>
        <w:lastRenderedPageBreak/>
        <w:t>біомаркерів НКР на основі УЗД, КТ, МРТ та радіонуклідних методів дослідження для діагностики та прогнозування перебігу цього захворювання. Проте, жоден із вивчених біомаркерів не був валідований і не набув широкого застосування у зв’язку із невеликою</w:t>
      </w:r>
      <w:r w:rsidRPr="00691E95">
        <w:rPr>
          <w:rFonts w:ascii="Times New Roman" w:hAnsi="Times New Roman" w:cs="Times New Roman"/>
          <w:sz w:val="28"/>
          <w:szCs w:val="28"/>
        </w:rPr>
        <w:t xml:space="preserve"> доказовою базою</w:t>
      </w:r>
      <w:r>
        <w:rPr>
          <w:rFonts w:ascii="Times New Roman" w:hAnsi="Times New Roman" w:cs="Times New Roman"/>
          <w:sz w:val="28"/>
          <w:szCs w:val="28"/>
        </w:rPr>
        <w:t xml:space="preserve"> або/та недостатньою точністю</w:t>
      </w:r>
      <w:r w:rsidRPr="00691E95">
        <w:rPr>
          <w:rFonts w:ascii="Times New Roman" w:hAnsi="Times New Roman" w:cs="Times New Roman"/>
          <w:sz w:val="28"/>
          <w:szCs w:val="28"/>
        </w:rPr>
        <w:t xml:space="preserve"> </w:t>
      </w:r>
      <w:r w:rsidRPr="003277D2">
        <w:rPr>
          <w:rFonts w:ascii="Times New Roman" w:hAnsi="Times New Roman" w:cs="Times New Roman"/>
          <w:sz w:val="28"/>
          <w:szCs w:val="28"/>
        </w:rPr>
        <w:t>[</w:t>
      </w:r>
      <w:r>
        <w:rPr>
          <w:rFonts w:ascii="Times New Roman" w:hAnsi="Times New Roman" w:cs="Times New Roman"/>
          <w:sz w:val="28"/>
          <w:szCs w:val="28"/>
        </w:rPr>
        <w:t xml:space="preserve">227, 278, 319, </w:t>
      </w:r>
      <w:r>
        <w:rPr>
          <w:rFonts w:ascii="Times New Roman" w:eastAsia="Times New Roman" w:hAnsi="Times New Roman" w:cs="Times New Roman"/>
          <w:sz w:val="28"/>
          <w:szCs w:val="28"/>
          <w:lang w:eastAsia="uk-UA"/>
        </w:rPr>
        <w:t>412</w:t>
      </w:r>
      <w:r w:rsidRPr="003277D2">
        <w:rPr>
          <w:rFonts w:ascii="Times New Roman" w:hAnsi="Times New Roman" w:cs="Times New Roman"/>
          <w:sz w:val="28"/>
          <w:szCs w:val="28"/>
        </w:rPr>
        <w:t>]</w:t>
      </w:r>
      <w:r w:rsidRPr="00691E95">
        <w:rPr>
          <w:rFonts w:ascii="Times New Roman" w:hAnsi="Times New Roman" w:cs="Times New Roman"/>
          <w:sz w:val="28"/>
          <w:szCs w:val="28"/>
        </w:rPr>
        <w:t>.</w:t>
      </w:r>
      <w:r>
        <w:rPr>
          <w:rFonts w:ascii="Times New Roman" w:hAnsi="Times New Roman" w:cs="Times New Roman"/>
          <w:sz w:val="28"/>
          <w:szCs w:val="28"/>
        </w:rPr>
        <w:t xml:space="preserve"> </w:t>
      </w:r>
    </w:p>
    <w:p w:rsidR="00771851" w:rsidRPr="00321B82" w:rsidRDefault="00771851" w:rsidP="001E6EFC">
      <w:pPr>
        <w:spacing w:line="360" w:lineRule="auto"/>
        <w:jc w:val="both"/>
        <w:rPr>
          <w:rFonts w:ascii="Times New Roman" w:hAnsi="Times New Roman" w:cs="Times New Roman"/>
          <w:sz w:val="28"/>
          <w:szCs w:val="28"/>
        </w:rPr>
      </w:pPr>
    </w:p>
    <w:p w:rsidR="001E6EFC" w:rsidRPr="005D559A"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1.3.1</w:t>
      </w:r>
      <w:r w:rsidRPr="005D559A">
        <w:rPr>
          <w:rFonts w:ascii="Times New Roman" w:hAnsi="Times New Roman" w:cs="Times New Roman"/>
          <w:sz w:val="28"/>
          <w:szCs w:val="28"/>
        </w:rPr>
        <w:t>. Біомаркери НКР на основі ультразвукового методу дослідження</w:t>
      </w:r>
    </w:p>
    <w:p w:rsidR="001E6EFC" w:rsidRDefault="001E6EFC" w:rsidP="007D7DC9">
      <w:pPr>
        <w:spacing w:line="360" w:lineRule="auto"/>
        <w:ind w:firstLine="708"/>
        <w:jc w:val="both"/>
        <w:rPr>
          <w:rFonts w:ascii="Times New Roman" w:hAnsi="Times New Roman" w:cs="Times New Roman"/>
          <w:sz w:val="28"/>
          <w:szCs w:val="28"/>
        </w:rPr>
      </w:pPr>
      <w:r w:rsidRPr="00C7060A">
        <w:rPr>
          <w:rFonts w:ascii="Times New Roman" w:hAnsi="Times New Roman" w:cs="Times New Roman"/>
          <w:sz w:val="28"/>
          <w:szCs w:val="28"/>
        </w:rPr>
        <w:t xml:space="preserve">Ультразвук є </w:t>
      </w:r>
      <w:r>
        <w:rPr>
          <w:rFonts w:ascii="Times New Roman" w:hAnsi="Times New Roman" w:cs="Times New Roman"/>
          <w:sz w:val="28"/>
          <w:szCs w:val="28"/>
        </w:rPr>
        <w:t>чутливим при</w:t>
      </w:r>
      <w:r w:rsidRPr="00C7060A">
        <w:rPr>
          <w:rFonts w:ascii="Times New Roman" w:hAnsi="Times New Roman" w:cs="Times New Roman"/>
          <w:sz w:val="28"/>
          <w:szCs w:val="28"/>
        </w:rPr>
        <w:t xml:space="preserve"> </w:t>
      </w:r>
      <w:r>
        <w:rPr>
          <w:rFonts w:ascii="Times New Roman" w:hAnsi="Times New Roman" w:cs="Times New Roman"/>
          <w:sz w:val="28"/>
          <w:szCs w:val="28"/>
        </w:rPr>
        <w:t>диференціації</w:t>
      </w:r>
      <w:r w:rsidRPr="00C7060A">
        <w:rPr>
          <w:rFonts w:ascii="Times New Roman" w:hAnsi="Times New Roman" w:cs="Times New Roman"/>
          <w:sz w:val="28"/>
          <w:szCs w:val="28"/>
        </w:rPr>
        <w:t xml:space="preserve"> кістозних</w:t>
      </w:r>
      <w:r>
        <w:rPr>
          <w:rFonts w:ascii="Times New Roman" w:hAnsi="Times New Roman" w:cs="Times New Roman"/>
          <w:sz w:val="28"/>
          <w:szCs w:val="28"/>
        </w:rPr>
        <w:t xml:space="preserve"> від</w:t>
      </w:r>
      <w:r w:rsidRPr="00C7060A">
        <w:rPr>
          <w:rFonts w:ascii="Times New Roman" w:hAnsi="Times New Roman" w:cs="Times New Roman"/>
          <w:sz w:val="28"/>
          <w:szCs w:val="28"/>
        </w:rPr>
        <w:t xml:space="preserve"> </w:t>
      </w:r>
      <w:r>
        <w:rPr>
          <w:rFonts w:ascii="Times New Roman" w:hAnsi="Times New Roman" w:cs="Times New Roman"/>
          <w:sz w:val="28"/>
          <w:szCs w:val="28"/>
        </w:rPr>
        <w:t>солідних</w:t>
      </w:r>
      <w:r w:rsidRPr="00C7060A">
        <w:rPr>
          <w:rFonts w:ascii="Times New Roman" w:hAnsi="Times New Roman" w:cs="Times New Roman"/>
          <w:sz w:val="28"/>
          <w:szCs w:val="28"/>
        </w:rPr>
        <w:t xml:space="preserve"> ниркових утворень. </w:t>
      </w:r>
      <w:r>
        <w:rPr>
          <w:rFonts w:ascii="Times New Roman" w:hAnsi="Times New Roman" w:cs="Times New Roman"/>
          <w:sz w:val="28"/>
        </w:rPr>
        <w:t xml:space="preserve">Перевага додаткового застосування режиму допплеру при виявленні НКР при УЗД є спірним питанням. </w:t>
      </w:r>
      <w:r>
        <w:rPr>
          <w:rFonts w:ascii="Times New Roman" w:hAnsi="Times New Roman" w:cs="Times New Roman"/>
          <w:sz w:val="28"/>
          <w:szCs w:val="28"/>
        </w:rPr>
        <w:t xml:space="preserve">В своїй </w:t>
      </w:r>
      <w:r w:rsidRPr="006E75C5">
        <w:rPr>
          <w:rFonts w:ascii="Times New Roman" w:hAnsi="Times New Roman" w:cs="Times New Roman"/>
          <w:sz w:val="28"/>
          <w:szCs w:val="28"/>
        </w:rPr>
        <w:t xml:space="preserve">роботі </w:t>
      </w:r>
      <w:r w:rsidRPr="006E75C5">
        <w:rPr>
          <w:rFonts w:ascii="Times New Roman" w:eastAsia="Times New Roman" w:hAnsi="Times New Roman" w:cs="Times New Roman"/>
          <w:sz w:val="28"/>
          <w:szCs w:val="28"/>
          <w:lang w:eastAsia="uk-UA"/>
        </w:rPr>
        <w:t xml:space="preserve">Lu </w:t>
      </w:r>
      <w:r w:rsidRPr="006E75C5">
        <w:rPr>
          <w:rFonts w:ascii="Times New Roman" w:eastAsia="Times New Roman" w:hAnsi="Times New Roman" w:cs="Times New Roman"/>
          <w:sz w:val="28"/>
          <w:szCs w:val="28"/>
          <w:lang w:val="en-US" w:eastAsia="uk-UA"/>
        </w:rPr>
        <w:t>et</w:t>
      </w:r>
      <w:r w:rsidRPr="006E75C5">
        <w:rPr>
          <w:rFonts w:ascii="Times New Roman" w:eastAsia="Times New Roman" w:hAnsi="Times New Roman" w:cs="Times New Roman"/>
          <w:sz w:val="28"/>
          <w:szCs w:val="28"/>
          <w:lang w:eastAsia="uk-UA"/>
        </w:rPr>
        <w:t xml:space="preserve"> </w:t>
      </w:r>
      <w:r w:rsidRPr="006E75C5">
        <w:rPr>
          <w:rFonts w:ascii="Times New Roman" w:eastAsia="Times New Roman" w:hAnsi="Times New Roman" w:cs="Times New Roman"/>
          <w:sz w:val="28"/>
          <w:szCs w:val="28"/>
          <w:lang w:val="en-US" w:eastAsia="uk-UA"/>
        </w:rPr>
        <w:t>al</w:t>
      </w:r>
      <w:r w:rsidRPr="006E75C5">
        <w:rPr>
          <w:rFonts w:ascii="Times New Roman" w:eastAsia="Times New Roman" w:hAnsi="Times New Roman" w:cs="Times New Roman"/>
          <w:sz w:val="28"/>
          <w:szCs w:val="28"/>
          <w:lang w:eastAsia="uk-UA"/>
        </w:rPr>
        <w:t>.</w:t>
      </w:r>
      <w:r w:rsidRPr="006E75C5">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8"/>
          <w:szCs w:val="28"/>
          <w:lang w:eastAsia="uk-UA"/>
        </w:rPr>
        <w:t xml:space="preserve">вивчали кількісні параметри УЗД при застосуванні УЗД-контрасту для диференційної діагностики НКР різних гістологічних підтипів та доброякісних пухлин нирок: чутливість і специфічність даного методу при диференціації скНКР та АМЛ не перевищувала 71,4% </w:t>
      </w:r>
      <w:r w:rsidRPr="0047762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270</w:t>
      </w:r>
      <w:r w:rsidRPr="0047762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464F23">
        <w:rPr>
          <w:rFonts w:ascii="Times New Roman" w:hAnsi="Times New Roman" w:cs="Times New Roman"/>
          <w:color w:val="000000"/>
          <w:sz w:val="28"/>
          <w:szCs w:val="28"/>
          <w:shd w:val="clear" w:color="auto" w:fill="FFFFFF"/>
        </w:rPr>
        <w:t xml:space="preserve">Lassau і колеги </w:t>
      </w:r>
      <w:r>
        <w:rPr>
          <w:rFonts w:ascii="Times New Roman" w:hAnsi="Times New Roman" w:cs="Times New Roman"/>
          <w:color w:val="000000"/>
          <w:sz w:val="28"/>
          <w:szCs w:val="28"/>
          <w:shd w:val="clear" w:color="auto" w:fill="FFFFFF"/>
        </w:rPr>
        <w:t xml:space="preserve">довели, що параметри перфузії динамічної УЗД з контрастним підсиленням, що виконувалась на 7, 14, 30 і 60 дні і через 2 місяці після початку системного лікування антиангіогенними агентами хворих із мНКР, мають потенціал для використання у якості біомаркерів передбачення терапевтичної відповіді, оскільки корелювали із результатами критеріїв оцінки відповіді при солідних пухлинах - </w:t>
      </w:r>
      <w:r w:rsidRPr="00AB1823">
        <w:rPr>
          <w:rFonts w:ascii="Times New Roman" w:hAnsi="Times New Roman" w:cs="Times New Roman"/>
          <w:color w:val="000000"/>
          <w:sz w:val="28"/>
          <w:szCs w:val="28"/>
          <w:shd w:val="clear" w:color="auto" w:fill="FFFFFF"/>
          <w:lang w:val="en-US"/>
        </w:rPr>
        <w:t>Response</w:t>
      </w:r>
      <w:r w:rsidRPr="00AB1823">
        <w:rPr>
          <w:rFonts w:ascii="Times New Roman" w:hAnsi="Times New Roman" w:cs="Times New Roman"/>
          <w:color w:val="000000"/>
          <w:sz w:val="28"/>
          <w:szCs w:val="28"/>
          <w:shd w:val="clear" w:color="auto" w:fill="FFFFFF"/>
        </w:rPr>
        <w:t xml:space="preserve"> </w:t>
      </w:r>
      <w:r w:rsidRPr="00AB1823">
        <w:rPr>
          <w:rFonts w:ascii="Times New Roman" w:hAnsi="Times New Roman" w:cs="Times New Roman"/>
          <w:color w:val="000000"/>
          <w:sz w:val="28"/>
          <w:szCs w:val="28"/>
          <w:shd w:val="clear" w:color="auto" w:fill="FFFFFF"/>
          <w:lang w:val="en-US"/>
        </w:rPr>
        <w:t>Evaluation</w:t>
      </w:r>
      <w:r w:rsidRPr="00AB1823">
        <w:rPr>
          <w:rFonts w:ascii="Times New Roman" w:hAnsi="Times New Roman" w:cs="Times New Roman"/>
          <w:color w:val="000000"/>
          <w:sz w:val="28"/>
          <w:szCs w:val="28"/>
          <w:shd w:val="clear" w:color="auto" w:fill="FFFFFF"/>
        </w:rPr>
        <w:t xml:space="preserve"> </w:t>
      </w:r>
      <w:r w:rsidRPr="00AB1823">
        <w:rPr>
          <w:rFonts w:ascii="Times New Roman" w:hAnsi="Times New Roman" w:cs="Times New Roman"/>
          <w:color w:val="000000"/>
          <w:sz w:val="28"/>
          <w:szCs w:val="28"/>
          <w:shd w:val="clear" w:color="auto" w:fill="FFFFFF"/>
          <w:lang w:val="en-US"/>
        </w:rPr>
        <w:t>Criteria</w:t>
      </w:r>
      <w:r w:rsidRPr="00AB1823">
        <w:rPr>
          <w:rFonts w:ascii="Times New Roman" w:hAnsi="Times New Roman" w:cs="Times New Roman"/>
          <w:color w:val="000000"/>
          <w:sz w:val="28"/>
          <w:szCs w:val="28"/>
          <w:shd w:val="clear" w:color="auto" w:fill="FFFFFF"/>
        </w:rPr>
        <w:t xml:space="preserve"> </w:t>
      </w:r>
      <w:r w:rsidRPr="00AB1823">
        <w:rPr>
          <w:rFonts w:ascii="Times New Roman" w:hAnsi="Times New Roman" w:cs="Times New Roman"/>
          <w:color w:val="000000"/>
          <w:sz w:val="28"/>
          <w:szCs w:val="28"/>
          <w:shd w:val="clear" w:color="auto" w:fill="FFFFFF"/>
          <w:lang w:val="en-US"/>
        </w:rPr>
        <w:t>In</w:t>
      </w:r>
      <w:r w:rsidRPr="00AB1823">
        <w:rPr>
          <w:rFonts w:ascii="Times New Roman" w:hAnsi="Times New Roman" w:cs="Times New Roman"/>
          <w:color w:val="000000"/>
          <w:sz w:val="28"/>
          <w:szCs w:val="28"/>
          <w:shd w:val="clear" w:color="auto" w:fill="FFFFFF"/>
        </w:rPr>
        <w:t xml:space="preserve"> </w:t>
      </w:r>
      <w:r w:rsidRPr="00AB1823">
        <w:rPr>
          <w:rFonts w:ascii="Times New Roman" w:hAnsi="Times New Roman" w:cs="Times New Roman"/>
          <w:color w:val="000000"/>
          <w:sz w:val="28"/>
          <w:szCs w:val="28"/>
          <w:shd w:val="clear" w:color="auto" w:fill="FFFFFF"/>
          <w:lang w:val="en-US"/>
        </w:rPr>
        <w:t>Solid</w:t>
      </w:r>
      <w:r w:rsidRPr="00AB1823">
        <w:rPr>
          <w:rFonts w:ascii="Times New Roman" w:hAnsi="Times New Roman" w:cs="Times New Roman"/>
          <w:color w:val="000000"/>
          <w:sz w:val="28"/>
          <w:szCs w:val="28"/>
          <w:shd w:val="clear" w:color="auto" w:fill="FFFFFF"/>
        </w:rPr>
        <w:t xml:space="preserve"> </w:t>
      </w:r>
      <w:r w:rsidRPr="00AB1823">
        <w:rPr>
          <w:rFonts w:ascii="Times New Roman" w:hAnsi="Times New Roman" w:cs="Times New Roman"/>
          <w:color w:val="000000"/>
          <w:sz w:val="28"/>
          <w:szCs w:val="28"/>
          <w:shd w:val="clear" w:color="auto" w:fill="FFFFFF"/>
          <w:lang w:val="en-US"/>
        </w:rPr>
        <w:t>Tumors</w:t>
      </w:r>
      <w:r>
        <w:rPr>
          <w:rFonts w:ascii="Times New Roman" w:hAnsi="Times New Roman" w:cs="Times New Roman"/>
          <w:color w:val="000000"/>
          <w:sz w:val="28"/>
          <w:szCs w:val="28"/>
          <w:shd w:val="clear" w:color="auto" w:fill="FFFFFF"/>
        </w:rPr>
        <w:t xml:space="preserve"> (</w:t>
      </w:r>
      <w:r w:rsidRPr="00AB1823">
        <w:rPr>
          <w:rFonts w:ascii="Times New Roman" w:hAnsi="Times New Roman" w:cs="Times New Roman"/>
          <w:color w:val="000000"/>
          <w:sz w:val="28"/>
          <w:szCs w:val="28"/>
          <w:shd w:val="clear" w:color="auto" w:fill="FFFFFF"/>
        </w:rPr>
        <w:t>RECIST</w:t>
      </w:r>
      <w:r>
        <w:rPr>
          <w:rFonts w:ascii="Times New Roman" w:hAnsi="Times New Roman" w:cs="Times New Roman"/>
          <w:color w:val="000000"/>
          <w:sz w:val="28"/>
          <w:szCs w:val="28"/>
          <w:shd w:val="clear" w:color="auto" w:fill="FFFFFF"/>
        </w:rPr>
        <w:t xml:space="preserve">): зниження </w:t>
      </w:r>
      <w:r>
        <w:rPr>
          <w:rFonts w:ascii="Times New Roman" w:hAnsi="Times New Roman" w:cs="Times New Roman"/>
          <w:color w:val="000000"/>
          <w:sz w:val="28"/>
          <w:szCs w:val="28"/>
          <w:shd w:val="clear" w:color="auto" w:fill="FFFFFF"/>
          <w:lang w:val="en-US"/>
        </w:rPr>
        <w:t>AUC</w:t>
      </w:r>
      <w:r w:rsidRPr="00AB1823">
        <w:rPr>
          <w:rFonts w:ascii="Times New Roman" w:hAnsi="Times New Roman" w:cs="Times New Roman"/>
          <w:color w:val="000000"/>
          <w:sz w:val="28"/>
          <w:szCs w:val="28"/>
          <w:shd w:val="clear" w:color="auto" w:fill="FFFFFF"/>
        </w:rPr>
        <w:t>&gt;</w:t>
      </w:r>
      <w:r>
        <w:rPr>
          <w:rFonts w:ascii="Times New Roman" w:hAnsi="Times New Roman" w:cs="Times New Roman"/>
          <w:color w:val="000000"/>
          <w:sz w:val="28"/>
          <w:szCs w:val="28"/>
          <w:shd w:val="clear" w:color="auto" w:fill="FFFFFF"/>
        </w:rPr>
        <w:t>40% через 1 місяць після початку лікування дозволяло передбачати</w:t>
      </w:r>
      <w:r w:rsidRPr="00AB1823">
        <w:rPr>
          <w:rFonts w:ascii="Times New Roman" w:hAnsi="Times New Roman" w:cs="Times New Roman"/>
          <w:sz w:val="28"/>
          <w:szCs w:val="28"/>
          <w:shd w:val="clear" w:color="auto" w:fill="FFFFFF"/>
        </w:rPr>
        <w:t xml:space="preserve"> час до виникнення рецидиву (</w:t>
      </w:r>
      <w:r w:rsidRPr="00AB1823">
        <w:rPr>
          <w:rStyle w:val="Emphasis"/>
          <w:rFonts w:ascii="Times New Roman" w:hAnsi="Times New Roman" w:cs="Times New Roman"/>
          <w:sz w:val="28"/>
          <w:szCs w:val="28"/>
          <w:shd w:val="clear" w:color="auto" w:fill="FFFFFF"/>
          <w:lang w:val="en-US"/>
        </w:rPr>
        <w:t>p</w:t>
      </w:r>
      <w:r w:rsidRPr="00AB1823">
        <w:rPr>
          <w:rFonts w:ascii="Times New Roman" w:hAnsi="Times New Roman" w:cs="Times New Roman"/>
          <w:sz w:val="28"/>
          <w:szCs w:val="28"/>
          <w:shd w:val="clear" w:color="auto" w:fill="FFFFFF"/>
        </w:rPr>
        <w:t xml:space="preserve">&lt;0,01) і </w:t>
      </w:r>
      <w:r w:rsidRPr="00AB1823">
        <w:rPr>
          <w:rFonts w:ascii="Times New Roman" w:hAnsi="Times New Roman" w:cs="Times New Roman"/>
          <w:sz w:val="28"/>
          <w:szCs w:val="28"/>
          <w:shd w:val="clear" w:color="auto" w:fill="FFFFFF"/>
          <w:lang w:val="en-US"/>
        </w:rPr>
        <w:t>OS</w:t>
      </w:r>
      <w:r w:rsidRPr="00AB1823">
        <w:rPr>
          <w:rFonts w:ascii="Times New Roman" w:hAnsi="Times New Roman" w:cs="Times New Roman"/>
          <w:sz w:val="28"/>
          <w:szCs w:val="28"/>
          <w:shd w:val="clear" w:color="auto" w:fill="FFFFFF"/>
        </w:rPr>
        <w:t xml:space="preserve"> (</w:t>
      </w:r>
      <w:r w:rsidRPr="00AB1823">
        <w:rPr>
          <w:rStyle w:val="Emphasis"/>
          <w:rFonts w:ascii="Times New Roman" w:hAnsi="Times New Roman" w:cs="Times New Roman"/>
          <w:sz w:val="28"/>
          <w:szCs w:val="28"/>
          <w:shd w:val="clear" w:color="auto" w:fill="FFFFFF"/>
          <w:lang w:val="en-US"/>
        </w:rPr>
        <w:t>p</w:t>
      </w:r>
      <w:r w:rsidRPr="00AB1823">
        <w:rPr>
          <w:rFonts w:ascii="Times New Roman" w:hAnsi="Times New Roman" w:cs="Times New Roman"/>
          <w:sz w:val="28"/>
          <w:szCs w:val="28"/>
          <w:shd w:val="clear" w:color="auto" w:fill="FFFFFF"/>
        </w:rPr>
        <w:t>&lt;0,04) [</w:t>
      </w:r>
      <w:r>
        <w:rPr>
          <w:rStyle w:val="mixed-citation"/>
          <w:rFonts w:ascii="Times New Roman" w:hAnsi="Times New Roman" w:cs="Times New Roman"/>
          <w:sz w:val="28"/>
          <w:szCs w:val="28"/>
        </w:rPr>
        <w:t>245</w:t>
      </w:r>
      <w:r w:rsidRPr="00AB1823">
        <w:rPr>
          <w:rFonts w:ascii="Times New Roman" w:hAnsi="Times New Roman" w:cs="Times New Roman"/>
          <w:sz w:val="28"/>
          <w:szCs w:val="28"/>
          <w:shd w:val="clear" w:color="auto" w:fill="FFFFFF"/>
        </w:rPr>
        <w:t>].</w:t>
      </w:r>
      <w:r>
        <w:rPr>
          <w:rFonts w:ascii="Times New Roman" w:eastAsia="Times New Roman" w:hAnsi="Times New Roman" w:cs="Times New Roman"/>
          <w:sz w:val="28"/>
          <w:szCs w:val="28"/>
          <w:lang w:eastAsia="uk-UA"/>
        </w:rPr>
        <w:t xml:space="preserve"> На жаль, на сьогоднішній день, використання УЗД-контрастів для діагностики НКР ще не набуло поширення в Україні (жоден із УЗД-контрастів станом на час написання цього тексту не є зареєстрований). </w:t>
      </w:r>
      <w:r>
        <w:rPr>
          <w:rFonts w:ascii="Times New Roman" w:hAnsi="Times New Roman" w:cs="Times New Roman"/>
          <w:sz w:val="28"/>
          <w:szCs w:val="28"/>
        </w:rPr>
        <w:t xml:space="preserve">Перспективним, проте маловивченим методом для проведення диференціаційної діагностики НКР та АМЛ за допомогою УЗД є еластографія </w:t>
      </w:r>
      <w:r w:rsidRPr="00B97244">
        <w:rPr>
          <w:rFonts w:ascii="Times New Roman" w:hAnsi="Times New Roman" w:cs="Times New Roman"/>
          <w:sz w:val="28"/>
          <w:szCs w:val="28"/>
        </w:rPr>
        <w:t>[</w:t>
      </w:r>
      <w:r>
        <w:rPr>
          <w:rFonts w:ascii="Times New Roman" w:eastAsia="Times New Roman" w:hAnsi="Times New Roman" w:cs="Times New Roman"/>
          <w:sz w:val="28"/>
          <w:szCs w:val="28"/>
          <w:lang w:eastAsia="uk-UA"/>
        </w:rPr>
        <w:t>226</w:t>
      </w:r>
      <w:r w:rsidRPr="00B97244">
        <w:rPr>
          <w:rFonts w:ascii="Times New Roman" w:hAnsi="Times New Roman" w:cs="Times New Roman"/>
          <w:sz w:val="28"/>
          <w:szCs w:val="28"/>
        </w:rPr>
        <w:t>].</w:t>
      </w:r>
      <w:r>
        <w:rPr>
          <w:rFonts w:ascii="Times New Roman" w:hAnsi="Times New Roman" w:cs="Times New Roman"/>
          <w:sz w:val="28"/>
          <w:szCs w:val="28"/>
        </w:rPr>
        <w:t xml:space="preserve"> Достовірно </w:t>
      </w:r>
      <w:r w:rsidRPr="00C7060A">
        <w:rPr>
          <w:rFonts w:ascii="Times New Roman" w:hAnsi="Times New Roman" w:cs="Times New Roman"/>
          <w:sz w:val="28"/>
          <w:szCs w:val="28"/>
        </w:rPr>
        <w:t xml:space="preserve">виявляти жир </w:t>
      </w:r>
      <w:r>
        <w:rPr>
          <w:rFonts w:ascii="Times New Roman" w:hAnsi="Times New Roman" w:cs="Times New Roman"/>
          <w:sz w:val="28"/>
          <w:szCs w:val="28"/>
        </w:rPr>
        <w:t>як компонент пухлини</w:t>
      </w:r>
      <w:r w:rsidRPr="00C7060A">
        <w:rPr>
          <w:rFonts w:ascii="Times New Roman" w:hAnsi="Times New Roman" w:cs="Times New Roman"/>
          <w:sz w:val="28"/>
          <w:szCs w:val="28"/>
        </w:rPr>
        <w:t xml:space="preserve"> а, отже, ідентифікувати ангіоміоліпому (АМЛ) за допомогою УЗД</w:t>
      </w:r>
      <w:r>
        <w:rPr>
          <w:rFonts w:ascii="Times New Roman" w:hAnsi="Times New Roman" w:cs="Times New Roman"/>
          <w:sz w:val="28"/>
          <w:szCs w:val="28"/>
        </w:rPr>
        <w:t xml:space="preserve"> найчастіше є </w:t>
      </w:r>
      <w:r>
        <w:rPr>
          <w:rFonts w:ascii="Times New Roman" w:hAnsi="Times New Roman" w:cs="Times New Roman"/>
          <w:sz w:val="28"/>
          <w:szCs w:val="28"/>
        </w:rPr>
        <w:lastRenderedPageBreak/>
        <w:t>неможливим. Крім того, УЗД не є методом, за допомогою якого можливе проведення стадіювання НКР [</w:t>
      </w:r>
      <w:r>
        <w:rPr>
          <w:rFonts w:ascii="Times-Roman" w:hAnsi="Times-Roman" w:cs="Times-Roman"/>
          <w:sz w:val="28"/>
          <w:szCs w:val="28"/>
        </w:rPr>
        <w:t>175</w:t>
      </w:r>
      <w:r w:rsidRPr="00C7060A">
        <w:rPr>
          <w:rFonts w:ascii="Times New Roman" w:hAnsi="Times New Roman" w:cs="Times New Roman"/>
          <w:sz w:val="28"/>
          <w:szCs w:val="28"/>
        </w:rPr>
        <w:t xml:space="preserve">]. </w:t>
      </w:r>
    </w:p>
    <w:p w:rsidR="00771851" w:rsidRPr="007D7DC9" w:rsidRDefault="00771851" w:rsidP="007D7DC9">
      <w:pPr>
        <w:spacing w:line="360" w:lineRule="auto"/>
        <w:ind w:firstLine="708"/>
        <w:jc w:val="both"/>
        <w:rPr>
          <w:rFonts w:ascii="Times New Roman" w:hAnsi="Times New Roman" w:cs="Times New Roman"/>
          <w:sz w:val="28"/>
        </w:rPr>
      </w:pPr>
    </w:p>
    <w:p w:rsidR="001E6EFC" w:rsidRPr="005D559A"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1.3.2</w:t>
      </w:r>
      <w:r w:rsidRPr="005D559A">
        <w:rPr>
          <w:rFonts w:ascii="Times New Roman" w:hAnsi="Times New Roman" w:cs="Times New Roman"/>
          <w:sz w:val="28"/>
          <w:szCs w:val="28"/>
        </w:rPr>
        <w:t xml:space="preserve"> Біомаркери НКР на основі комп'ютерної томографії</w:t>
      </w: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даними ря</w:t>
      </w:r>
      <w:r w:rsidRPr="00715A64">
        <w:rPr>
          <w:rFonts w:ascii="Times New Roman" w:hAnsi="Times New Roman" w:cs="Times New Roman"/>
          <w:sz w:val="28"/>
          <w:szCs w:val="28"/>
        </w:rPr>
        <w:t xml:space="preserve">ду дослідників, </w:t>
      </w:r>
      <w:r>
        <w:rPr>
          <w:rFonts w:ascii="Times New Roman" w:hAnsi="Times New Roman" w:cs="Times New Roman"/>
          <w:sz w:val="28"/>
          <w:szCs w:val="28"/>
        </w:rPr>
        <w:tab/>
        <w:t>неорографічна фаза (</w:t>
      </w:r>
      <w:r w:rsidRPr="00715A64">
        <w:rPr>
          <w:rFonts w:ascii="Times New Roman" w:hAnsi="Times New Roman" w:cs="Times New Roman"/>
          <w:sz w:val="28"/>
          <w:szCs w:val="28"/>
        </w:rPr>
        <w:t>НФ</w:t>
      </w:r>
      <w:r>
        <w:rPr>
          <w:rFonts w:ascii="Times New Roman" w:hAnsi="Times New Roman" w:cs="Times New Roman"/>
          <w:sz w:val="28"/>
          <w:szCs w:val="28"/>
        </w:rPr>
        <w:t>)</w:t>
      </w:r>
      <w:r w:rsidRPr="00715A64">
        <w:rPr>
          <w:rFonts w:ascii="Times New Roman" w:hAnsi="Times New Roman" w:cs="Times New Roman"/>
          <w:sz w:val="28"/>
          <w:szCs w:val="28"/>
        </w:rPr>
        <w:t xml:space="preserve"> </w:t>
      </w:r>
      <w:r>
        <w:rPr>
          <w:rFonts w:ascii="Times New Roman" w:hAnsi="Times New Roman" w:cs="Times New Roman"/>
          <w:sz w:val="28"/>
          <w:szCs w:val="28"/>
        </w:rPr>
        <w:t xml:space="preserve">КТ </w:t>
      </w:r>
      <w:r w:rsidRPr="00715A64">
        <w:rPr>
          <w:rFonts w:ascii="Times New Roman" w:hAnsi="Times New Roman" w:cs="Times New Roman"/>
          <w:sz w:val="28"/>
          <w:szCs w:val="28"/>
        </w:rPr>
        <w:t>продемонструвала  найбільшу чутливість при виявленні</w:t>
      </w:r>
      <w:r>
        <w:rPr>
          <w:rFonts w:ascii="Times New Roman" w:hAnsi="Times New Roman" w:cs="Times New Roman"/>
          <w:sz w:val="28"/>
          <w:szCs w:val="28"/>
        </w:rPr>
        <w:t xml:space="preserve"> НКР, водночас існують дані про кращу діагностичну ефективність при поєднанні  </w:t>
      </w:r>
      <w:r w:rsidR="00771851">
        <w:rPr>
          <w:rFonts w:ascii="Times New Roman" w:hAnsi="Times New Roman" w:cs="Times New Roman"/>
          <w:sz w:val="28"/>
          <w:szCs w:val="28"/>
        </w:rPr>
        <w:t xml:space="preserve">зображень нативної фази, </w:t>
      </w:r>
      <w:r>
        <w:rPr>
          <w:rFonts w:ascii="Times New Roman" w:hAnsi="Times New Roman" w:cs="Times New Roman"/>
          <w:sz w:val="28"/>
          <w:szCs w:val="28"/>
        </w:rPr>
        <w:t xml:space="preserve"> </w:t>
      </w:r>
      <w:r w:rsidR="00771851">
        <w:rPr>
          <w:rFonts w:ascii="Times New Roman" w:hAnsi="Times New Roman" w:cs="Times New Roman"/>
          <w:sz w:val="28"/>
          <w:szCs w:val="28"/>
        </w:rPr>
        <w:t>кортико-медулярної фази (</w:t>
      </w:r>
      <w:r>
        <w:rPr>
          <w:rFonts w:ascii="Times New Roman" w:hAnsi="Times New Roman" w:cs="Times New Roman"/>
          <w:sz w:val="28"/>
          <w:szCs w:val="28"/>
        </w:rPr>
        <w:t>КМФ</w:t>
      </w:r>
      <w:r w:rsidR="00771851">
        <w:rPr>
          <w:rFonts w:ascii="Times New Roman" w:hAnsi="Times New Roman" w:cs="Times New Roman"/>
          <w:sz w:val="28"/>
          <w:szCs w:val="28"/>
        </w:rPr>
        <w:t>)</w:t>
      </w:r>
      <w:r>
        <w:rPr>
          <w:rFonts w:ascii="Times New Roman" w:hAnsi="Times New Roman" w:cs="Times New Roman"/>
          <w:sz w:val="28"/>
          <w:szCs w:val="28"/>
        </w:rPr>
        <w:t xml:space="preserve"> і </w:t>
      </w:r>
      <w:r w:rsidR="00771851">
        <w:rPr>
          <w:rFonts w:ascii="Times New Roman" w:hAnsi="Times New Roman" w:cs="Times New Roman"/>
          <w:sz w:val="28"/>
          <w:szCs w:val="28"/>
        </w:rPr>
        <w:t>нефрографічної фази (</w:t>
      </w:r>
      <w:r>
        <w:rPr>
          <w:rFonts w:ascii="Times New Roman" w:hAnsi="Times New Roman" w:cs="Times New Roman"/>
          <w:sz w:val="28"/>
          <w:szCs w:val="28"/>
        </w:rPr>
        <w:t>НФ</w:t>
      </w:r>
      <w:r w:rsidR="00771851">
        <w:rPr>
          <w:rFonts w:ascii="Times New Roman" w:hAnsi="Times New Roman" w:cs="Times New Roman"/>
          <w:sz w:val="28"/>
          <w:szCs w:val="28"/>
        </w:rPr>
        <w:t>)</w:t>
      </w:r>
      <w:r>
        <w:rPr>
          <w:rFonts w:ascii="Times New Roman" w:hAnsi="Times New Roman" w:cs="Times New Roman"/>
          <w:sz w:val="28"/>
          <w:szCs w:val="28"/>
        </w:rPr>
        <w:t xml:space="preserve"> [</w:t>
      </w:r>
      <w:r>
        <w:rPr>
          <w:rFonts w:ascii="Times-Roman" w:hAnsi="Times-Roman" w:cs="Times-Roman"/>
          <w:sz w:val="28"/>
          <w:szCs w:val="28"/>
        </w:rPr>
        <w:t>153</w:t>
      </w:r>
      <w:r w:rsidRPr="00AC56E5">
        <w:rPr>
          <w:rFonts w:ascii="Times New Roman" w:hAnsi="Times New Roman" w:cs="Times New Roman"/>
          <w:sz w:val="28"/>
          <w:szCs w:val="28"/>
        </w:rPr>
        <w:t xml:space="preserve">]. </w:t>
      </w:r>
      <w:r w:rsidRPr="00715A64">
        <w:rPr>
          <w:rFonts w:ascii="Times New Roman" w:hAnsi="Times New Roman" w:cs="Times New Roman"/>
          <w:sz w:val="28"/>
          <w:szCs w:val="28"/>
        </w:rPr>
        <w:t xml:space="preserve">КМФ </w:t>
      </w:r>
      <w:r>
        <w:rPr>
          <w:rFonts w:ascii="Times New Roman" w:hAnsi="Times New Roman" w:cs="Times New Roman"/>
          <w:sz w:val="28"/>
          <w:szCs w:val="28"/>
        </w:rPr>
        <w:t>несе важливу інформацію</w:t>
      </w:r>
      <w:r w:rsidRPr="00715A64">
        <w:rPr>
          <w:rFonts w:ascii="Times New Roman" w:hAnsi="Times New Roman" w:cs="Times New Roman"/>
          <w:sz w:val="28"/>
          <w:szCs w:val="28"/>
        </w:rPr>
        <w:t xml:space="preserve"> для оцінки судинної мережі</w:t>
      </w:r>
      <w:r>
        <w:rPr>
          <w:rFonts w:ascii="Times New Roman" w:hAnsi="Times New Roman" w:cs="Times New Roman"/>
          <w:sz w:val="28"/>
          <w:szCs w:val="28"/>
        </w:rPr>
        <w:t xml:space="preserve"> нирки та її пухлини</w:t>
      </w:r>
      <w:r w:rsidRPr="00715A64">
        <w:rPr>
          <w:rFonts w:ascii="Times New Roman" w:hAnsi="Times New Roman" w:cs="Times New Roman"/>
          <w:sz w:val="28"/>
          <w:szCs w:val="28"/>
        </w:rPr>
        <w:t xml:space="preserve">, </w:t>
      </w:r>
      <w:r>
        <w:rPr>
          <w:rFonts w:ascii="Times New Roman" w:hAnsi="Times New Roman" w:cs="Times New Roman"/>
          <w:sz w:val="28"/>
          <w:szCs w:val="28"/>
        </w:rPr>
        <w:t xml:space="preserve">крім цього, варіації контрастного </w:t>
      </w:r>
      <w:r w:rsidRPr="00715A64">
        <w:rPr>
          <w:rFonts w:ascii="Times New Roman" w:hAnsi="Times New Roman" w:cs="Times New Roman"/>
          <w:sz w:val="28"/>
          <w:szCs w:val="28"/>
        </w:rPr>
        <w:t xml:space="preserve">підсилення, </w:t>
      </w:r>
      <w:r>
        <w:rPr>
          <w:rFonts w:ascii="Times New Roman" w:hAnsi="Times New Roman" w:cs="Times New Roman"/>
          <w:sz w:val="28"/>
          <w:szCs w:val="28"/>
        </w:rPr>
        <w:t>протягом цієї фази</w:t>
      </w:r>
      <w:r w:rsidRPr="00715A64">
        <w:rPr>
          <w:rFonts w:ascii="Times New Roman" w:hAnsi="Times New Roman" w:cs="Times New Roman"/>
          <w:sz w:val="28"/>
          <w:szCs w:val="28"/>
        </w:rPr>
        <w:t xml:space="preserve">, також </w:t>
      </w:r>
      <w:r>
        <w:rPr>
          <w:rFonts w:ascii="Times New Roman" w:hAnsi="Times New Roman" w:cs="Times New Roman"/>
          <w:sz w:val="28"/>
          <w:szCs w:val="28"/>
        </w:rPr>
        <w:t xml:space="preserve">використовуються </w:t>
      </w:r>
      <w:r w:rsidRPr="00715A64">
        <w:rPr>
          <w:rFonts w:ascii="Times New Roman" w:hAnsi="Times New Roman" w:cs="Times New Roman"/>
          <w:sz w:val="28"/>
          <w:szCs w:val="28"/>
        </w:rPr>
        <w:t xml:space="preserve">для характеристики </w:t>
      </w:r>
      <w:r>
        <w:rPr>
          <w:rFonts w:ascii="Times New Roman" w:hAnsi="Times New Roman" w:cs="Times New Roman"/>
          <w:sz w:val="28"/>
          <w:szCs w:val="28"/>
        </w:rPr>
        <w:t>НКР [184</w:t>
      </w:r>
      <w:r w:rsidRPr="00715A64">
        <w:rPr>
          <w:rFonts w:ascii="Times New Roman" w:hAnsi="Times New Roman" w:cs="Times New Roman"/>
          <w:sz w:val="28"/>
          <w:szCs w:val="28"/>
        </w:rPr>
        <w:t xml:space="preserve">]. Однак, </w:t>
      </w:r>
      <w:r>
        <w:rPr>
          <w:rFonts w:ascii="Times New Roman" w:hAnsi="Times New Roman" w:cs="Times New Roman"/>
          <w:sz w:val="28"/>
          <w:szCs w:val="28"/>
        </w:rPr>
        <w:t>використання</w:t>
      </w:r>
      <w:r w:rsidRPr="00715A64">
        <w:rPr>
          <w:rFonts w:ascii="Times New Roman" w:hAnsi="Times New Roman" w:cs="Times New Roman"/>
          <w:sz w:val="28"/>
          <w:szCs w:val="28"/>
        </w:rPr>
        <w:t xml:space="preserve"> </w:t>
      </w:r>
      <w:r>
        <w:rPr>
          <w:rFonts w:ascii="Times New Roman" w:hAnsi="Times New Roman" w:cs="Times New Roman"/>
          <w:sz w:val="28"/>
          <w:szCs w:val="28"/>
        </w:rPr>
        <w:t>лише</w:t>
      </w:r>
      <w:r w:rsidRPr="00715A64">
        <w:rPr>
          <w:rFonts w:ascii="Times New Roman" w:hAnsi="Times New Roman" w:cs="Times New Roman"/>
          <w:sz w:val="28"/>
          <w:szCs w:val="28"/>
        </w:rPr>
        <w:t xml:space="preserve"> КМФ </w:t>
      </w:r>
      <w:r>
        <w:rPr>
          <w:rFonts w:ascii="Times New Roman" w:hAnsi="Times New Roman" w:cs="Times New Roman"/>
          <w:sz w:val="28"/>
          <w:szCs w:val="28"/>
        </w:rPr>
        <w:t xml:space="preserve">для виявлення НКР </w:t>
      </w:r>
      <w:r w:rsidRPr="00715A64">
        <w:rPr>
          <w:rFonts w:ascii="Times New Roman" w:hAnsi="Times New Roman" w:cs="Times New Roman"/>
          <w:sz w:val="28"/>
          <w:szCs w:val="28"/>
        </w:rPr>
        <w:t xml:space="preserve">може призвести </w:t>
      </w:r>
      <w:r>
        <w:rPr>
          <w:rFonts w:ascii="Times New Roman" w:hAnsi="Times New Roman" w:cs="Times New Roman"/>
          <w:sz w:val="28"/>
          <w:szCs w:val="28"/>
        </w:rPr>
        <w:t>як до хибно-</w:t>
      </w:r>
      <w:r w:rsidRPr="00791712">
        <w:rPr>
          <w:rFonts w:ascii="Times New Roman" w:hAnsi="Times New Roman" w:cs="Times New Roman"/>
          <w:sz w:val="28"/>
          <w:szCs w:val="28"/>
        </w:rPr>
        <w:t>негативних, так і до хи</w:t>
      </w:r>
      <w:r>
        <w:rPr>
          <w:rFonts w:ascii="Times New Roman" w:hAnsi="Times New Roman" w:cs="Times New Roman"/>
          <w:sz w:val="28"/>
          <w:szCs w:val="28"/>
        </w:rPr>
        <w:t>бно-позитивних діагнозів [218</w:t>
      </w:r>
      <w:r w:rsidRPr="00791712">
        <w:rPr>
          <w:rFonts w:ascii="Times New Roman" w:hAnsi="Times New Roman" w:cs="Times New Roman"/>
          <w:sz w:val="28"/>
          <w:szCs w:val="28"/>
        </w:rPr>
        <w:t>]. На КТ-зображеннях, після внутрішньовенного введення стандартної дози контрасту, більшість пухлин при НКР посилюються на</w:t>
      </w:r>
      <w:r w:rsidRPr="00772D56">
        <w:rPr>
          <w:rFonts w:ascii="Times New Roman" w:hAnsi="Times New Roman" w:cs="Times New Roman"/>
          <w:sz w:val="28"/>
          <w:szCs w:val="28"/>
        </w:rPr>
        <w:t xml:space="preserve"> понад 120 одиниць Хаунсфілда</w:t>
      </w:r>
      <w:r>
        <w:rPr>
          <w:rFonts w:ascii="Times New Roman" w:hAnsi="Times New Roman" w:cs="Times New Roman"/>
          <w:sz w:val="28"/>
          <w:szCs w:val="28"/>
        </w:rPr>
        <w:t xml:space="preserve"> – </w:t>
      </w:r>
      <w:r>
        <w:rPr>
          <w:rFonts w:ascii="Times New Roman" w:hAnsi="Times New Roman" w:cs="Times New Roman"/>
          <w:sz w:val="28"/>
          <w:szCs w:val="28"/>
          <w:lang w:val="en-US"/>
        </w:rPr>
        <w:t>Hounsfield</w:t>
      </w:r>
      <w:r w:rsidRPr="00772D56">
        <w:rPr>
          <w:rFonts w:ascii="Times New Roman" w:hAnsi="Times New Roman" w:cs="Times New Roman"/>
          <w:sz w:val="28"/>
          <w:szCs w:val="28"/>
        </w:rPr>
        <w:t xml:space="preserve"> </w:t>
      </w:r>
      <w:r>
        <w:rPr>
          <w:rFonts w:ascii="Times New Roman" w:hAnsi="Times New Roman" w:cs="Times New Roman"/>
          <w:sz w:val="28"/>
          <w:szCs w:val="28"/>
          <w:lang w:val="en-US"/>
        </w:rPr>
        <w:t>units</w:t>
      </w:r>
      <w:r>
        <w:rPr>
          <w:rFonts w:ascii="Times New Roman" w:hAnsi="Times New Roman" w:cs="Times New Roman"/>
          <w:sz w:val="28"/>
          <w:szCs w:val="28"/>
        </w:rPr>
        <w:t xml:space="preserve"> (</w:t>
      </w:r>
      <w:r w:rsidRPr="00772D56">
        <w:rPr>
          <w:rFonts w:ascii="Times New Roman" w:hAnsi="Times New Roman" w:cs="Times New Roman"/>
          <w:sz w:val="28"/>
          <w:szCs w:val="28"/>
        </w:rPr>
        <w:t>HU</w:t>
      </w:r>
      <w:r>
        <w:rPr>
          <w:rFonts w:ascii="Times New Roman" w:hAnsi="Times New Roman" w:cs="Times New Roman"/>
          <w:sz w:val="28"/>
          <w:szCs w:val="28"/>
        </w:rPr>
        <w:t xml:space="preserve">), проте </w:t>
      </w:r>
      <w:r w:rsidRPr="00772D56">
        <w:rPr>
          <w:rFonts w:ascii="Times New Roman" w:hAnsi="Times New Roman" w:cs="Times New Roman"/>
          <w:sz w:val="28"/>
          <w:szCs w:val="28"/>
        </w:rPr>
        <w:t xml:space="preserve">деякі </w:t>
      </w:r>
      <w:r w:rsidR="00771851">
        <w:rPr>
          <w:rFonts w:ascii="Times New Roman" w:hAnsi="Times New Roman" w:cs="Times New Roman"/>
          <w:sz w:val="28"/>
          <w:szCs w:val="28"/>
        </w:rPr>
        <w:t>новоутвори нирки</w:t>
      </w:r>
      <w:r w:rsidRPr="00772D56">
        <w:rPr>
          <w:rFonts w:ascii="Times New Roman" w:hAnsi="Times New Roman" w:cs="Times New Roman"/>
          <w:sz w:val="28"/>
          <w:szCs w:val="28"/>
        </w:rPr>
        <w:t xml:space="preserve">, такі як </w:t>
      </w:r>
      <w:r w:rsidR="00771851">
        <w:rPr>
          <w:rFonts w:ascii="Times New Roman" w:hAnsi="Times New Roman" w:cs="Times New Roman"/>
          <w:sz w:val="28"/>
          <w:szCs w:val="28"/>
        </w:rPr>
        <w:t>папілярний НКР (</w:t>
      </w:r>
      <w:r>
        <w:rPr>
          <w:rFonts w:ascii="Times New Roman" w:hAnsi="Times New Roman" w:cs="Times New Roman"/>
          <w:sz w:val="28"/>
          <w:szCs w:val="28"/>
        </w:rPr>
        <w:t>пНКР</w:t>
      </w:r>
      <w:r w:rsidR="00771851">
        <w:rPr>
          <w:rFonts w:ascii="Times New Roman" w:hAnsi="Times New Roman" w:cs="Times New Roman"/>
          <w:sz w:val="28"/>
          <w:szCs w:val="28"/>
        </w:rPr>
        <w:t>)</w:t>
      </w:r>
      <w:r w:rsidRPr="00772D56">
        <w:rPr>
          <w:rFonts w:ascii="Times New Roman" w:hAnsi="Times New Roman" w:cs="Times New Roman"/>
          <w:sz w:val="28"/>
          <w:szCs w:val="28"/>
        </w:rPr>
        <w:t xml:space="preserve"> і </w:t>
      </w:r>
      <w:r w:rsidR="00771851">
        <w:rPr>
          <w:rFonts w:ascii="Times New Roman" w:hAnsi="Times New Roman" w:cs="Times New Roman"/>
          <w:sz w:val="28"/>
          <w:szCs w:val="28"/>
        </w:rPr>
        <w:t>хромофобний НКР (</w:t>
      </w:r>
      <w:r>
        <w:rPr>
          <w:rFonts w:ascii="Times New Roman" w:hAnsi="Times New Roman" w:cs="Times New Roman"/>
          <w:sz w:val="28"/>
          <w:szCs w:val="28"/>
        </w:rPr>
        <w:t>хрНКР</w:t>
      </w:r>
      <w:r w:rsidR="00771851">
        <w:rPr>
          <w:rFonts w:ascii="Times New Roman" w:hAnsi="Times New Roman" w:cs="Times New Roman"/>
          <w:sz w:val="28"/>
          <w:szCs w:val="28"/>
        </w:rPr>
        <w:t>)</w:t>
      </w:r>
      <w:r w:rsidRPr="00772D56">
        <w:rPr>
          <w:rFonts w:ascii="Times New Roman" w:hAnsi="Times New Roman" w:cs="Times New Roman"/>
          <w:sz w:val="28"/>
          <w:szCs w:val="28"/>
        </w:rPr>
        <w:t xml:space="preserve">, є набагато менш </w:t>
      </w:r>
      <w:r>
        <w:rPr>
          <w:rFonts w:ascii="Times New Roman" w:hAnsi="Times New Roman" w:cs="Times New Roman"/>
          <w:sz w:val="28"/>
          <w:szCs w:val="28"/>
        </w:rPr>
        <w:t>васкуляризованими ніж скНКР</w:t>
      </w:r>
      <w:r w:rsidRPr="00772D56">
        <w:rPr>
          <w:rFonts w:ascii="Times New Roman" w:hAnsi="Times New Roman" w:cs="Times New Roman"/>
          <w:sz w:val="28"/>
          <w:szCs w:val="28"/>
        </w:rPr>
        <w:t xml:space="preserve"> </w:t>
      </w:r>
      <w:r>
        <w:rPr>
          <w:rFonts w:ascii="Times New Roman" w:hAnsi="Times New Roman" w:cs="Times New Roman"/>
          <w:sz w:val="28"/>
          <w:szCs w:val="28"/>
        </w:rPr>
        <w:t>і не так сильно підсилюються [</w:t>
      </w:r>
      <w:r>
        <w:rPr>
          <w:rFonts w:ascii="Times-Roman" w:hAnsi="Times-Roman" w:cs="Times-Roman"/>
          <w:sz w:val="28"/>
          <w:szCs w:val="28"/>
        </w:rPr>
        <w:t>177</w:t>
      </w:r>
      <w:r w:rsidRPr="00772D56">
        <w:rPr>
          <w:rFonts w:ascii="Times New Roman" w:hAnsi="Times New Roman" w:cs="Times New Roman"/>
          <w:sz w:val="28"/>
          <w:szCs w:val="28"/>
        </w:rPr>
        <w:t>].</w:t>
      </w:r>
      <w:r>
        <w:rPr>
          <w:rFonts w:ascii="Times New Roman" w:hAnsi="Times New Roman" w:cs="Times New Roman"/>
          <w:sz w:val="28"/>
          <w:szCs w:val="28"/>
        </w:rPr>
        <w:t xml:space="preserve"> </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sidRPr="00C6656F">
        <w:rPr>
          <w:rFonts w:ascii="Times New Roman" w:hAnsi="Times New Roman" w:cs="Times New Roman"/>
          <w:b/>
          <w:i/>
          <w:sz w:val="28"/>
          <w:szCs w:val="28"/>
        </w:rPr>
        <w:t>Променева щільність.</w:t>
      </w:r>
      <w:r>
        <w:rPr>
          <w:rFonts w:ascii="Times New Roman" w:hAnsi="Times New Roman" w:cs="Times New Roman"/>
          <w:b/>
          <w:sz w:val="28"/>
          <w:szCs w:val="28"/>
        </w:rPr>
        <w:t xml:space="preserve"> </w:t>
      </w:r>
      <w:r>
        <w:rPr>
          <w:rFonts w:ascii="Times New Roman" w:hAnsi="Times New Roman" w:cs="Times New Roman"/>
          <w:sz w:val="28"/>
          <w:szCs w:val="28"/>
        </w:rPr>
        <w:t xml:space="preserve">В останні роки з’явились роботи, які вивчали можливість застосування атенуації пухлини і показників на її основі у якості променевих діагностичних біомаркерів НКР. У своїй роботі </w:t>
      </w:r>
      <w:r>
        <w:rPr>
          <w:rFonts w:ascii="Times New Roman" w:eastAsia="Times New Roman" w:hAnsi="Times New Roman" w:cs="Times New Roman"/>
          <w:sz w:val="28"/>
          <w:szCs w:val="28"/>
          <w:lang w:eastAsia="uk-UA"/>
        </w:rPr>
        <w:t xml:space="preserve">Иванов П. і колеги при проведенні спіральної КТ для диференційної діагностики НКР, кіст і АМЛ виміряли щільність пухлини впродовж пре-контрастної фази, КМФ, НФ і </w:t>
      </w:r>
      <w:r w:rsidR="00771851">
        <w:rPr>
          <w:rFonts w:ascii="Times New Roman" w:eastAsia="Times New Roman" w:hAnsi="Times New Roman" w:cs="Times New Roman"/>
          <w:sz w:val="28"/>
          <w:szCs w:val="28"/>
          <w:lang w:eastAsia="uk-UA"/>
        </w:rPr>
        <w:t>екскреторної фази (</w:t>
      </w:r>
      <w:r>
        <w:rPr>
          <w:rFonts w:ascii="Times New Roman" w:eastAsia="Times New Roman" w:hAnsi="Times New Roman" w:cs="Times New Roman"/>
          <w:sz w:val="28"/>
          <w:szCs w:val="28"/>
          <w:lang w:eastAsia="uk-UA"/>
        </w:rPr>
        <w:t>ЕФ</w:t>
      </w:r>
      <w:r w:rsidR="0077185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n</w:t>
      </w:r>
      <w:r w:rsidR="00771851">
        <w:rPr>
          <w:rFonts w:ascii="Times New Roman" w:eastAsia="Times New Roman" w:hAnsi="Times New Roman" w:cs="Times New Roman"/>
          <w:sz w:val="28"/>
          <w:szCs w:val="28"/>
          <w:lang w:eastAsia="uk-UA"/>
        </w:rPr>
        <w:t>=107</w:t>
      </w:r>
      <w:r>
        <w:rPr>
          <w:rFonts w:ascii="Times New Roman" w:eastAsia="Times New Roman" w:hAnsi="Times New Roman" w:cs="Times New Roman"/>
          <w:sz w:val="28"/>
          <w:szCs w:val="28"/>
          <w:lang w:eastAsia="uk-UA"/>
        </w:rPr>
        <w:t>. В результаті було виявлено високу чутливість і специфічність НФ (наближені до 100%) при виявлені пухлин нирок, проте, не було проведено аналізу відмінностей у показнику щільності пухлини при різних гістологічних підтипах НКР [22]. У більш ґрунтовному дослідженні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=113) </w:t>
      </w:r>
      <w:r>
        <w:rPr>
          <w:rFonts w:ascii="Times New Roman" w:eastAsia="Times New Roman" w:hAnsi="Times New Roman" w:cs="Times New Roman"/>
          <w:sz w:val="28"/>
          <w:szCs w:val="28"/>
          <w:lang w:val="en-US" w:eastAsia="uk-UA"/>
        </w:rPr>
        <w:t>Zokalj</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xml:space="preserve">., констатували, що щільність пухлини &gt;74 </w:t>
      </w:r>
      <w:r>
        <w:rPr>
          <w:rFonts w:ascii="Times New Roman" w:eastAsia="Times New Roman" w:hAnsi="Times New Roman" w:cs="Times New Roman"/>
          <w:sz w:val="28"/>
          <w:szCs w:val="28"/>
          <w:lang w:val="en-US" w:eastAsia="uk-UA"/>
        </w:rPr>
        <w:t>HU</w:t>
      </w:r>
      <w:r>
        <w:rPr>
          <w:rFonts w:ascii="Times New Roman" w:eastAsia="Times New Roman" w:hAnsi="Times New Roman" w:cs="Times New Roman"/>
          <w:sz w:val="28"/>
          <w:szCs w:val="28"/>
          <w:lang w:eastAsia="uk-UA"/>
        </w:rPr>
        <w:t xml:space="preserve"> на КТ-</w:t>
      </w:r>
      <w:r>
        <w:rPr>
          <w:rFonts w:ascii="Times New Roman" w:eastAsia="Times New Roman" w:hAnsi="Times New Roman" w:cs="Times New Roman"/>
          <w:sz w:val="28"/>
          <w:szCs w:val="28"/>
          <w:lang w:eastAsia="uk-UA"/>
        </w:rPr>
        <w:lastRenderedPageBreak/>
        <w:t>зображеннях впродовж артеріальної фази потенційно може бути використана у якості біомаркеру скНКР, проте відсутність даних за інші гістологічні підтипи НКР та недостовірність даного</w:t>
      </w:r>
      <w:r w:rsidR="00771851">
        <w:rPr>
          <w:rFonts w:ascii="Times New Roman" w:eastAsia="Times New Roman" w:hAnsi="Times New Roman" w:cs="Times New Roman"/>
          <w:sz w:val="28"/>
          <w:szCs w:val="28"/>
          <w:lang w:eastAsia="uk-UA"/>
        </w:rPr>
        <w:t xml:space="preserve"> методу при диференціації з ОЦ (</w:t>
      </w:r>
      <w:r w:rsidR="00771851">
        <w:rPr>
          <w:rFonts w:ascii="Times New Roman" w:hAnsi="Times New Roman" w:cs="Times New Roman"/>
          <w:sz w:val="28"/>
          <w:szCs w:val="28"/>
        </w:rPr>
        <w:t xml:space="preserve">площа під кривою – </w:t>
      </w:r>
      <w:r w:rsidR="00771851">
        <w:rPr>
          <w:rFonts w:ascii="Times New Roman" w:hAnsi="Times New Roman" w:cs="Times New Roman"/>
          <w:sz w:val="28"/>
          <w:szCs w:val="28"/>
          <w:lang w:val="en-US"/>
        </w:rPr>
        <w:t>area</w:t>
      </w:r>
      <w:r w:rsidR="00771851" w:rsidRPr="00771851">
        <w:rPr>
          <w:rFonts w:ascii="Times New Roman" w:hAnsi="Times New Roman" w:cs="Times New Roman"/>
          <w:sz w:val="28"/>
          <w:szCs w:val="28"/>
        </w:rPr>
        <w:t xml:space="preserve"> </w:t>
      </w:r>
      <w:r w:rsidR="00771851">
        <w:rPr>
          <w:rFonts w:ascii="Times New Roman" w:hAnsi="Times New Roman" w:cs="Times New Roman"/>
          <w:sz w:val="28"/>
          <w:szCs w:val="28"/>
          <w:lang w:val="en-US"/>
        </w:rPr>
        <w:t>under</w:t>
      </w:r>
      <w:r w:rsidR="00771851" w:rsidRPr="00771851">
        <w:rPr>
          <w:rFonts w:ascii="Times New Roman" w:hAnsi="Times New Roman" w:cs="Times New Roman"/>
          <w:sz w:val="28"/>
          <w:szCs w:val="28"/>
        </w:rPr>
        <w:t xml:space="preserve"> </w:t>
      </w:r>
      <w:r w:rsidR="00771851">
        <w:rPr>
          <w:rFonts w:ascii="Times New Roman" w:hAnsi="Times New Roman" w:cs="Times New Roman"/>
          <w:sz w:val="28"/>
          <w:szCs w:val="28"/>
          <w:lang w:val="en-US"/>
        </w:rPr>
        <w:t>the</w:t>
      </w:r>
      <w:r w:rsidR="00771851" w:rsidRPr="00771851">
        <w:rPr>
          <w:rFonts w:ascii="Times New Roman" w:hAnsi="Times New Roman" w:cs="Times New Roman"/>
          <w:sz w:val="28"/>
          <w:szCs w:val="28"/>
        </w:rPr>
        <w:t xml:space="preserve"> </w:t>
      </w:r>
      <w:r w:rsidR="00771851">
        <w:rPr>
          <w:rFonts w:ascii="Times New Roman" w:hAnsi="Times New Roman" w:cs="Times New Roman"/>
          <w:sz w:val="28"/>
          <w:szCs w:val="28"/>
          <w:lang w:val="en-US"/>
        </w:rPr>
        <w:t>curve</w:t>
      </w:r>
      <w:r w:rsidR="00771851">
        <w:rPr>
          <w:rFonts w:ascii="Times New Roman" w:hAnsi="Times New Roman" w:cs="Times New Roman"/>
          <w:sz w:val="28"/>
          <w:szCs w:val="28"/>
        </w:rPr>
        <w:t xml:space="preserve">, </w:t>
      </w:r>
      <w:r w:rsidR="00771851" w:rsidRPr="00372DBA">
        <w:rPr>
          <w:rFonts w:ascii="Times New Roman" w:hAnsi="Times New Roman" w:cs="Times New Roman"/>
          <w:sz w:val="28"/>
          <w:szCs w:val="28"/>
        </w:rPr>
        <w:t>AUC</w:t>
      </w:r>
      <w:r w:rsidR="00771851">
        <w:rPr>
          <w:rFonts w:ascii="Times New Roman" w:eastAsia="Times New Roman" w:hAnsi="Times New Roman" w:cs="Times New Roman"/>
          <w:sz w:val="28"/>
          <w:szCs w:val="28"/>
          <w:lang w:eastAsia="uk-UA"/>
        </w:rPr>
        <w:t>&lt;0,5)</w:t>
      </w:r>
      <w:r>
        <w:rPr>
          <w:rFonts w:ascii="Times New Roman" w:eastAsia="Times New Roman" w:hAnsi="Times New Roman" w:cs="Times New Roman"/>
          <w:sz w:val="28"/>
          <w:szCs w:val="28"/>
          <w:lang w:eastAsia="uk-UA"/>
        </w:rPr>
        <w:t xml:space="preserve"> не дозволили запропонувати цей метод для ширшого застосування [469]. </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  лютому 2015 р. була опублікована робота  </w:t>
      </w:r>
      <w:r>
        <w:rPr>
          <w:rFonts w:ascii="Times New Roman" w:eastAsia="Times New Roman" w:hAnsi="Times New Roman" w:cs="Times New Roman"/>
          <w:sz w:val="28"/>
          <w:szCs w:val="28"/>
          <w:lang w:val="en-US" w:eastAsia="uk-UA"/>
        </w:rPr>
        <w:t>Chen</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F</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в якій були порівняні воксельні параметри посилення всієї пухлини на зображеннях 64-детекторного спірального КТ, отримані під час артеріальної і НФ та використані у якості потенційних променевих біомаркерів при диференціації конвенційного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=46) і пНКР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=15). Було виявлено, що середнє значення і медіана</w:t>
      </w:r>
      <w:r w:rsidR="00771851">
        <w:rPr>
          <w:rFonts w:ascii="Times New Roman" w:eastAsia="Times New Roman" w:hAnsi="Times New Roman" w:cs="Times New Roman"/>
          <w:sz w:val="28"/>
          <w:szCs w:val="28"/>
          <w:lang w:eastAsia="uk-UA"/>
        </w:rPr>
        <w:t xml:space="preserve"> інтенсивності сигналу (</w:t>
      </w:r>
      <w:r>
        <w:rPr>
          <w:rFonts w:ascii="Times New Roman" w:eastAsia="Times New Roman" w:hAnsi="Times New Roman" w:cs="Times New Roman"/>
          <w:sz w:val="28"/>
          <w:szCs w:val="28"/>
          <w:lang w:eastAsia="uk-UA"/>
        </w:rPr>
        <w:t>ІС</w:t>
      </w:r>
      <w:r w:rsidR="0077185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пухлини достовірно (</w:t>
      </w:r>
      <w:r>
        <w:rPr>
          <w:rFonts w:ascii="Times New Roman" w:eastAsia="Times New Roman" w:hAnsi="Times New Roman" w:cs="Times New Roman"/>
          <w:sz w:val="28"/>
          <w:szCs w:val="28"/>
          <w:lang w:val="en-US" w:eastAsia="uk-UA"/>
        </w:rPr>
        <w:t>p</w:t>
      </w:r>
      <w:r>
        <w:rPr>
          <w:rFonts w:ascii="Times New Roman" w:eastAsia="Times New Roman" w:hAnsi="Times New Roman" w:cs="Times New Roman"/>
          <w:sz w:val="28"/>
          <w:szCs w:val="28"/>
          <w:lang w:eastAsia="uk-UA"/>
        </w:rPr>
        <w:t xml:space="preserve">&lt;0,01) відрізнялись під час усіх фаз КТ, проте, брак даних про інші гістологічні підтипи НКР, ступені їх диференціації, а також про доброякісні новоутвори нирок, наклав суттєві обмеження на можливості практичного використання результатів цього дослідження [103]. </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Нещодавно </w:t>
      </w:r>
      <w:r w:rsidRPr="00C96FC2">
        <w:rPr>
          <w:rFonts w:ascii="Times New Roman" w:eastAsia="Times New Roman" w:hAnsi="Times New Roman" w:cs="Times New Roman"/>
          <w:sz w:val="28"/>
          <w:szCs w:val="28"/>
          <w:lang w:eastAsia="uk-UA"/>
        </w:rPr>
        <w:t xml:space="preserve">Xie </w:t>
      </w:r>
      <w:r w:rsidRPr="00C96FC2">
        <w:rPr>
          <w:rFonts w:ascii="Times New Roman" w:eastAsia="Times New Roman" w:hAnsi="Times New Roman" w:cs="Times New Roman"/>
          <w:sz w:val="28"/>
          <w:szCs w:val="28"/>
          <w:lang w:val="en-US" w:eastAsia="uk-UA"/>
        </w:rPr>
        <w:t>et</w:t>
      </w:r>
      <w:r w:rsidRPr="00C96FC2">
        <w:rPr>
          <w:rFonts w:ascii="Times New Roman" w:eastAsia="Times New Roman" w:hAnsi="Times New Roman" w:cs="Times New Roman"/>
          <w:sz w:val="28"/>
          <w:szCs w:val="28"/>
          <w:lang w:eastAsia="uk-UA"/>
        </w:rPr>
        <w:t xml:space="preserve"> </w:t>
      </w:r>
      <w:r w:rsidRPr="00C96FC2">
        <w:rPr>
          <w:rFonts w:ascii="Times New Roman" w:eastAsia="Times New Roman" w:hAnsi="Times New Roman" w:cs="Times New Roman"/>
          <w:sz w:val="28"/>
          <w:szCs w:val="28"/>
          <w:lang w:val="en-US" w:eastAsia="uk-UA"/>
        </w:rPr>
        <w:t>al</w:t>
      </w:r>
      <w:r w:rsidRPr="00C96FC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опублікували роботу, у якій продемонстрували потенціал застосування таких кількісних параметрів КТ з контрастуванням, як </w:t>
      </w:r>
      <w:r>
        <w:rPr>
          <w:rFonts w:ascii="Times New Roman" w:eastAsia="Times New Roman" w:hAnsi="Times New Roman" w:cs="Times New Roman"/>
          <w:sz w:val="28"/>
          <w:szCs w:val="28"/>
          <w:lang w:val="en-US" w:eastAsia="uk-UA"/>
        </w:rPr>
        <w:t>wash</w:t>
      </w:r>
      <w:r w:rsidRPr="00C96FC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en-US" w:eastAsia="uk-UA"/>
        </w:rPr>
        <w:t>in</w:t>
      </w:r>
      <w:r w:rsidRPr="00C96FC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та </w:t>
      </w:r>
      <w:r>
        <w:rPr>
          <w:rFonts w:ascii="Times New Roman" w:eastAsia="Times New Roman" w:hAnsi="Times New Roman" w:cs="Times New Roman"/>
          <w:sz w:val="28"/>
          <w:szCs w:val="28"/>
          <w:lang w:val="en-US" w:eastAsia="uk-UA"/>
        </w:rPr>
        <w:t>washout</w:t>
      </w:r>
      <w:r w:rsidRPr="00C96FC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 якості біомаркерів скНКР при диференціації з АМЛ із мал</w:t>
      </w:r>
      <w:r w:rsidR="00771851">
        <w:rPr>
          <w:rFonts w:ascii="Times New Roman" w:eastAsia="Times New Roman" w:hAnsi="Times New Roman" w:cs="Times New Roman"/>
          <w:sz w:val="28"/>
          <w:szCs w:val="28"/>
          <w:lang w:eastAsia="uk-UA"/>
        </w:rPr>
        <w:t>им вмістом жиру впродовж КМФ, НФ</w:t>
      </w:r>
      <w:r>
        <w:rPr>
          <w:rFonts w:ascii="Times New Roman" w:eastAsia="Times New Roman" w:hAnsi="Times New Roman" w:cs="Times New Roman"/>
          <w:sz w:val="28"/>
          <w:szCs w:val="28"/>
          <w:lang w:eastAsia="uk-UA"/>
        </w:rPr>
        <w:t xml:space="preserve"> та відтермінованої фаз. У хворих із скНКР у порівняні із пацієнтами з АМЛ було виявлено, достовірну різницю між показниками </w:t>
      </w:r>
      <w:r>
        <w:rPr>
          <w:rFonts w:ascii="Times New Roman" w:eastAsia="Times New Roman" w:hAnsi="Times New Roman" w:cs="Times New Roman"/>
          <w:sz w:val="28"/>
          <w:szCs w:val="28"/>
          <w:lang w:val="en-US" w:eastAsia="uk-UA"/>
        </w:rPr>
        <w:t>wash</w:t>
      </w:r>
      <w:r w:rsidRPr="00C96FC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val="en-US" w:eastAsia="uk-UA"/>
        </w:rPr>
        <w:t>in</w:t>
      </w:r>
      <w:r>
        <w:rPr>
          <w:rFonts w:ascii="Times New Roman" w:eastAsia="Times New Roman" w:hAnsi="Times New Roman" w:cs="Times New Roman"/>
          <w:sz w:val="28"/>
          <w:szCs w:val="28"/>
          <w:lang w:eastAsia="uk-UA"/>
        </w:rPr>
        <w:t xml:space="preserve"> </w:t>
      </w:r>
      <w:r w:rsidRPr="001764BE">
        <w:rPr>
          <w:rFonts w:ascii="Times New Roman" w:hAnsi="Times New Roman" w:cs="Times New Roman"/>
          <w:sz w:val="28"/>
          <w:szCs w:val="28"/>
          <w:shd w:val="clear" w:color="auto" w:fill="FFFFFF"/>
        </w:rPr>
        <w:t>(</w:t>
      </w:r>
      <w:r w:rsidRPr="00C96FC2">
        <w:rPr>
          <w:rFonts w:ascii="Times New Roman" w:hAnsi="Times New Roman" w:cs="Times New Roman"/>
          <w:sz w:val="28"/>
          <w:szCs w:val="28"/>
          <w:shd w:val="clear" w:color="auto" w:fill="FFFFFF"/>
          <w:lang w:val="en-US"/>
        </w:rPr>
        <w:t>Mann</w:t>
      </w:r>
      <w:r w:rsidRPr="001764BE">
        <w:rPr>
          <w:rFonts w:ascii="Times New Roman" w:hAnsi="Times New Roman" w:cs="Times New Roman"/>
          <w:sz w:val="28"/>
          <w:szCs w:val="28"/>
          <w:shd w:val="clear" w:color="auto" w:fill="FFFFFF"/>
        </w:rPr>
        <w:noBreakHyphen/>
      </w:r>
      <w:r w:rsidRPr="00C96FC2">
        <w:rPr>
          <w:rFonts w:ascii="Times New Roman" w:hAnsi="Times New Roman" w:cs="Times New Roman"/>
          <w:sz w:val="28"/>
          <w:szCs w:val="28"/>
          <w:shd w:val="clear" w:color="auto" w:fill="FFFFFF"/>
          <w:lang w:val="en-US"/>
        </w:rPr>
        <w:t>Whitney</w:t>
      </w:r>
      <w:r w:rsidRPr="001764BE">
        <w:rPr>
          <w:rFonts w:ascii="Times New Roman" w:hAnsi="Times New Roman" w:cs="Times New Roman"/>
          <w:sz w:val="28"/>
          <w:szCs w:val="28"/>
          <w:shd w:val="clear" w:color="auto" w:fill="FFFFFF"/>
        </w:rPr>
        <w:t xml:space="preserve"> </w:t>
      </w:r>
      <w:r w:rsidRPr="00C96FC2">
        <w:rPr>
          <w:rFonts w:ascii="Times New Roman" w:hAnsi="Times New Roman" w:cs="Times New Roman"/>
          <w:sz w:val="28"/>
          <w:szCs w:val="28"/>
          <w:shd w:val="clear" w:color="auto" w:fill="FFFFFF"/>
          <w:lang w:val="en-US"/>
        </w:rPr>
        <w:t>U</w:t>
      </w:r>
      <w:r w:rsidRPr="001764BE">
        <w:rPr>
          <w:rFonts w:ascii="Times New Roman" w:hAnsi="Times New Roman" w:cs="Times New Roman"/>
          <w:sz w:val="28"/>
          <w:szCs w:val="28"/>
          <w:shd w:val="clear" w:color="auto" w:fill="FFFFFF"/>
        </w:rPr>
        <w:t xml:space="preserve"> </w:t>
      </w:r>
      <w:r w:rsidRPr="00C96FC2">
        <w:rPr>
          <w:rFonts w:ascii="Times New Roman" w:hAnsi="Times New Roman" w:cs="Times New Roman"/>
          <w:sz w:val="28"/>
          <w:szCs w:val="28"/>
          <w:shd w:val="clear" w:color="auto" w:fill="FFFFFF"/>
          <w:lang w:val="en-US"/>
        </w:rPr>
        <w:t>test</w:t>
      </w:r>
      <w:r w:rsidRPr="001764BE">
        <w:rPr>
          <w:rFonts w:ascii="Times New Roman" w:hAnsi="Times New Roman" w:cs="Times New Roman"/>
          <w:sz w:val="28"/>
          <w:szCs w:val="28"/>
          <w:shd w:val="clear" w:color="auto" w:fill="FFFFFF"/>
        </w:rPr>
        <w:t xml:space="preserve">, </w:t>
      </w:r>
      <w:r w:rsidRPr="00C96FC2">
        <w:rPr>
          <w:rFonts w:ascii="Times New Roman" w:hAnsi="Times New Roman" w:cs="Times New Roman"/>
          <w:sz w:val="28"/>
          <w:szCs w:val="28"/>
          <w:shd w:val="clear" w:color="auto" w:fill="FFFFFF"/>
          <w:lang w:val="en-US"/>
        </w:rPr>
        <w:t>P</w:t>
      </w:r>
      <w:r w:rsidRPr="001764BE">
        <w:rPr>
          <w:rFonts w:ascii="Times New Roman" w:hAnsi="Times New Roman" w:cs="Times New Roman"/>
          <w:sz w:val="28"/>
          <w:szCs w:val="28"/>
          <w:shd w:val="clear" w:color="auto" w:fill="FFFFFF"/>
        </w:rPr>
        <w:t xml:space="preserve">=0.001) </w:t>
      </w:r>
      <w:r>
        <w:rPr>
          <w:rFonts w:ascii="Times New Roman" w:eastAsia="Times New Roman" w:hAnsi="Times New Roman" w:cs="Times New Roman"/>
          <w:sz w:val="28"/>
          <w:szCs w:val="28"/>
          <w:lang w:eastAsia="uk-UA"/>
        </w:rPr>
        <w:t xml:space="preserve">та </w:t>
      </w:r>
      <w:r>
        <w:rPr>
          <w:rFonts w:ascii="Times New Roman" w:eastAsia="Times New Roman" w:hAnsi="Times New Roman" w:cs="Times New Roman"/>
          <w:sz w:val="28"/>
          <w:szCs w:val="28"/>
          <w:lang w:val="en-US" w:eastAsia="uk-UA"/>
        </w:rPr>
        <w:t>washout</w:t>
      </w:r>
      <w:r>
        <w:rPr>
          <w:rFonts w:ascii="Times New Roman" w:eastAsia="Times New Roman" w:hAnsi="Times New Roman" w:cs="Times New Roman"/>
          <w:sz w:val="28"/>
          <w:szCs w:val="28"/>
          <w:lang w:eastAsia="uk-UA"/>
        </w:rPr>
        <w:t xml:space="preserve"> </w:t>
      </w:r>
      <w:r w:rsidRPr="001764BE">
        <w:rPr>
          <w:rFonts w:ascii="Times New Roman" w:hAnsi="Times New Roman" w:cs="Times New Roman"/>
          <w:sz w:val="28"/>
          <w:szCs w:val="28"/>
          <w:shd w:val="clear" w:color="auto" w:fill="FFFFFF"/>
        </w:rPr>
        <w:t>(</w:t>
      </w:r>
      <w:r w:rsidRPr="00C96FC2">
        <w:rPr>
          <w:rFonts w:ascii="Times New Roman" w:hAnsi="Times New Roman" w:cs="Times New Roman"/>
          <w:sz w:val="28"/>
          <w:szCs w:val="28"/>
          <w:shd w:val="clear" w:color="auto" w:fill="FFFFFF"/>
          <w:lang w:val="en-US"/>
        </w:rPr>
        <w:t>Mann</w:t>
      </w:r>
      <w:r w:rsidRPr="001764BE">
        <w:rPr>
          <w:rFonts w:ascii="Times New Roman" w:hAnsi="Times New Roman" w:cs="Times New Roman"/>
          <w:sz w:val="28"/>
          <w:szCs w:val="28"/>
          <w:shd w:val="clear" w:color="auto" w:fill="FFFFFF"/>
        </w:rPr>
        <w:noBreakHyphen/>
      </w:r>
      <w:r w:rsidRPr="00C96FC2">
        <w:rPr>
          <w:rFonts w:ascii="Times New Roman" w:hAnsi="Times New Roman" w:cs="Times New Roman"/>
          <w:sz w:val="28"/>
          <w:szCs w:val="28"/>
          <w:shd w:val="clear" w:color="auto" w:fill="FFFFFF"/>
          <w:lang w:val="en-US"/>
        </w:rPr>
        <w:t>Whitney</w:t>
      </w:r>
      <w:r w:rsidRPr="001764BE">
        <w:rPr>
          <w:rFonts w:ascii="Times New Roman" w:hAnsi="Times New Roman" w:cs="Times New Roman"/>
          <w:sz w:val="28"/>
          <w:szCs w:val="28"/>
          <w:shd w:val="clear" w:color="auto" w:fill="FFFFFF"/>
        </w:rPr>
        <w:t xml:space="preserve"> </w:t>
      </w:r>
      <w:r w:rsidRPr="00C96FC2">
        <w:rPr>
          <w:rFonts w:ascii="Times New Roman" w:hAnsi="Times New Roman" w:cs="Times New Roman"/>
          <w:sz w:val="28"/>
          <w:szCs w:val="28"/>
          <w:shd w:val="clear" w:color="auto" w:fill="FFFFFF"/>
          <w:lang w:val="en-US"/>
        </w:rPr>
        <w:t>U</w:t>
      </w:r>
      <w:r w:rsidRPr="001764BE">
        <w:rPr>
          <w:rFonts w:ascii="Times New Roman" w:hAnsi="Times New Roman" w:cs="Times New Roman"/>
          <w:sz w:val="28"/>
          <w:szCs w:val="28"/>
          <w:shd w:val="clear" w:color="auto" w:fill="FFFFFF"/>
        </w:rPr>
        <w:t xml:space="preserve"> </w:t>
      </w:r>
      <w:r w:rsidRPr="00C96FC2">
        <w:rPr>
          <w:rFonts w:ascii="Times New Roman" w:hAnsi="Times New Roman" w:cs="Times New Roman"/>
          <w:sz w:val="28"/>
          <w:szCs w:val="28"/>
          <w:shd w:val="clear" w:color="auto" w:fill="FFFFFF"/>
          <w:lang w:val="en-US"/>
        </w:rPr>
        <w:t>test</w:t>
      </w:r>
      <w:r w:rsidRPr="001764BE">
        <w:rPr>
          <w:rFonts w:ascii="Times New Roman" w:hAnsi="Times New Roman" w:cs="Times New Roman"/>
          <w:sz w:val="28"/>
          <w:szCs w:val="28"/>
          <w:shd w:val="clear" w:color="auto" w:fill="FFFFFF"/>
        </w:rPr>
        <w:t xml:space="preserve">, </w:t>
      </w:r>
      <w:r w:rsidRPr="00C96FC2">
        <w:rPr>
          <w:rFonts w:ascii="Times New Roman" w:hAnsi="Times New Roman" w:cs="Times New Roman"/>
          <w:sz w:val="28"/>
          <w:szCs w:val="28"/>
          <w:shd w:val="clear" w:color="auto" w:fill="FFFFFF"/>
          <w:lang w:val="en-US"/>
        </w:rPr>
        <w:t>P</w:t>
      </w:r>
      <w:r w:rsidRPr="001764BE">
        <w:rPr>
          <w:rFonts w:ascii="Times New Roman" w:hAnsi="Times New Roman" w:cs="Times New Roman"/>
          <w:sz w:val="28"/>
          <w:szCs w:val="28"/>
          <w:shd w:val="clear" w:color="auto" w:fill="FFFFFF"/>
        </w:rPr>
        <w:t>=0.010)</w:t>
      </w:r>
      <w:r>
        <w:rPr>
          <w:rFonts w:ascii="Times New Roman" w:hAnsi="Times New Roman" w:cs="Times New Roman"/>
          <w:sz w:val="28"/>
          <w:szCs w:val="28"/>
          <w:shd w:val="clear" w:color="auto" w:fill="FFFFFF"/>
        </w:rPr>
        <w:t xml:space="preserve"> на зображеннях із контрастним підсиленням. Проте, дослідження мало серйозні обмеження – відносно мала загальна </w:t>
      </w:r>
      <w:r w:rsidRPr="001764BE">
        <w:rPr>
          <w:rFonts w:ascii="Times New Roman" w:hAnsi="Times New Roman" w:cs="Times New Roman"/>
          <w:sz w:val="28"/>
          <w:szCs w:val="28"/>
          <w:shd w:val="clear" w:color="auto" w:fill="FFFFFF"/>
        </w:rPr>
        <w:t xml:space="preserve">кількість включених хворих (82 пацієнти) та </w:t>
      </w:r>
      <w:r>
        <w:rPr>
          <w:rFonts w:ascii="Times New Roman" w:hAnsi="Times New Roman" w:cs="Times New Roman"/>
          <w:sz w:val="28"/>
          <w:szCs w:val="28"/>
          <w:shd w:val="clear" w:color="auto" w:fill="FFFFFF"/>
        </w:rPr>
        <w:t xml:space="preserve">лише </w:t>
      </w:r>
      <w:r w:rsidRPr="001764BE">
        <w:rPr>
          <w:rFonts w:ascii="Times New Roman" w:hAnsi="Times New Roman" w:cs="Times New Roman"/>
          <w:sz w:val="28"/>
          <w:szCs w:val="28"/>
          <w:shd w:val="clear" w:color="auto" w:fill="FFFFFF"/>
        </w:rPr>
        <w:t>однин гістологічний підтип НКР [</w:t>
      </w:r>
      <w:r>
        <w:rPr>
          <w:rFonts w:ascii="Times New Roman" w:eastAsia="Times New Roman" w:hAnsi="Times New Roman" w:cs="Times New Roman"/>
          <w:sz w:val="28"/>
          <w:szCs w:val="28"/>
          <w:lang w:eastAsia="uk-UA"/>
        </w:rPr>
        <w:t>431</w:t>
      </w:r>
      <w:r w:rsidRPr="001764BE">
        <w:rPr>
          <w:rFonts w:ascii="Times New Roman" w:hAnsi="Times New Roman" w:cs="Times New Roman"/>
          <w:sz w:val="28"/>
          <w:szCs w:val="28"/>
          <w:shd w:val="clear" w:color="auto" w:fill="FFFFFF"/>
        </w:rPr>
        <w:t>].</w:t>
      </w:r>
      <w:r w:rsidRPr="001764BE">
        <w:rPr>
          <w:rFonts w:ascii="Times New Roman" w:eastAsia="Times New Roman" w:hAnsi="Times New Roman" w:cs="Times New Roman"/>
          <w:sz w:val="28"/>
          <w:szCs w:val="28"/>
          <w:lang w:eastAsia="uk-UA"/>
        </w:rPr>
        <w:t xml:space="preserve"> </w:t>
      </w:r>
      <w:r w:rsidRPr="00B01AB8">
        <w:rPr>
          <w:rFonts w:ascii="Times New Roman" w:hAnsi="Times New Roman" w:cs="Times New Roman"/>
          <w:sz w:val="28"/>
          <w:szCs w:val="28"/>
        </w:rPr>
        <w:t>Виявлення невеликих областей жиру за допомогою піксельного КТ-аналізу може допомогти ідентифікувати ці АМЛ, але це</w:t>
      </w:r>
      <w:r>
        <w:rPr>
          <w:rFonts w:ascii="Times New Roman" w:hAnsi="Times New Roman" w:cs="Times New Roman"/>
          <w:sz w:val="28"/>
          <w:szCs w:val="28"/>
        </w:rPr>
        <w:t xml:space="preserve"> – відносно нечутливий метод [377</w:t>
      </w:r>
      <w:r w:rsidRPr="00B01AB8">
        <w:rPr>
          <w:rFonts w:ascii="Times New Roman" w:hAnsi="Times New Roman" w:cs="Times New Roman"/>
          <w:sz w:val="28"/>
          <w:szCs w:val="28"/>
        </w:rPr>
        <w:t>].</w:t>
      </w:r>
      <w:r w:rsidRPr="00B01AB8">
        <w:rPr>
          <w:rFonts w:ascii="Times New Roman" w:eastAsia="Times New Roman" w:hAnsi="Times New Roman" w:cs="Times New Roman"/>
          <w:sz w:val="28"/>
          <w:szCs w:val="28"/>
          <w:lang w:eastAsia="uk-UA"/>
        </w:rPr>
        <w:t xml:space="preserve"> </w:t>
      </w: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діагностиці НКР за допомогою КТ існує застереження щодо розмірів новоутворення: </w:t>
      </w:r>
      <w:r>
        <w:rPr>
          <w:rFonts w:ascii="Times New Roman" w:hAnsi="Times New Roman" w:cs="Times New Roman"/>
          <w:sz w:val="28"/>
          <w:szCs w:val="28"/>
          <w:lang w:val="en-US"/>
        </w:rPr>
        <w:t>SRM</w:t>
      </w:r>
      <w:r>
        <w:rPr>
          <w:rFonts w:ascii="Times New Roman" w:hAnsi="Times New Roman" w:cs="Times New Roman"/>
          <w:sz w:val="28"/>
          <w:szCs w:val="28"/>
        </w:rPr>
        <w:t xml:space="preserve"> можуть мати більшу мінливість у зміні </w:t>
      </w:r>
      <w:r>
        <w:rPr>
          <w:rFonts w:ascii="Times New Roman" w:hAnsi="Times New Roman" w:cs="Times New Roman"/>
          <w:sz w:val="28"/>
          <w:szCs w:val="28"/>
        </w:rPr>
        <w:lastRenderedPageBreak/>
        <w:t xml:space="preserve">щільності відображеної в </w:t>
      </w:r>
      <w:r w:rsidRPr="008E5E32">
        <w:rPr>
          <w:rFonts w:ascii="Times New Roman" w:hAnsi="Times New Roman" w:cs="Times New Roman"/>
          <w:sz w:val="28"/>
          <w:szCs w:val="28"/>
        </w:rPr>
        <w:t>HU</w:t>
      </w:r>
      <w:r>
        <w:rPr>
          <w:rFonts w:ascii="Times New Roman" w:hAnsi="Times New Roman" w:cs="Times New Roman"/>
          <w:sz w:val="28"/>
          <w:szCs w:val="28"/>
        </w:rPr>
        <w:t xml:space="preserve">. </w:t>
      </w:r>
      <w:r>
        <w:rPr>
          <w:rFonts w:ascii="Times New Roman" w:hAnsi="Times New Roman" w:cs="Times New Roman"/>
          <w:sz w:val="28"/>
        </w:rPr>
        <w:t xml:space="preserve"> </w:t>
      </w:r>
      <w:r>
        <w:rPr>
          <w:rFonts w:ascii="Times New Roman" w:hAnsi="Times New Roman" w:cs="Times New Roman"/>
          <w:sz w:val="28"/>
          <w:szCs w:val="28"/>
        </w:rPr>
        <w:t>Це пояснюється тим</w:t>
      </w:r>
      <w:r w:rsidRPr="00185AEA">
        <w:rPr>
          <w:rFonts w:ascii="Times New Roman" w:hAnsi="Times New Roman" w:cs="Times New Roman"/>
          <w:sz w:val="28"/>
          <w:szCs w:val="28"/>
        </w:rPr>
        <w:t xml:space="preserve">, що товщина </w:t>
      </w:r>
      <w:r>
        <w:rPr>
          <w:rFonts w:ascii="Times New Roman" w:hAnsi="Times New Roman" w:cs="Times New Roman"/>
          <w:sz w:val="28"/>
          <w:szCs w:val="28"/>
        </w:rPr>
        <w:t>малих за розміром новоутворень</w:t>
      </w:r>
      <w:r w:rsidRPr="00185AEA">
        <w:rPr>
          <w:rFonts w:ascii="Times New Roman" w:hAnsi="Times New Roman" w:cs="Times New Roman"/>
          <w:sz w:val="28"/>
          <w:szCs w:val="28"/>
        </w:rPr>
        <w:t xml:space="preserve"> може бути аналогічна товщині зрізу КТ, а, отже, пікселі за межами осередку ураження</w:t>
      </w:r>
      <w:r>
        <w:rPr>
          <w:rFonts w:ascii="Times New Roman" w:hAnsi="Times New Roman" w:cs="Times New Roman"/>
          <w:sz w:val="28"/>
          <w:szCs w:val="28"/>
        </w:rPr>
        <w:t>, можуть бути включені в виміри</w:t>
      </w:r>
      <w:r w:rsidRPr="00185AEA">
        <w:rPr>
          <w:rFonts w:ascii="Times New Roman" w:hAnsi="Times New Roman" w:cs="Times New Roman"/>
          <w:sz w:val="28"/>
          <w:szCs w:val="28"/>
        </w:rPr>
        <w:t xml:space="preserve"> </w:t>
      </w:r>
      <w:r>
        <w:rPr>
          <w:rFonts w:ascii="Times New Roman" w:hAnsi="Times New Roman" w:cs="Times New Roman"/>
          <w:sz w:val="28"/>
          <w:szCs w:val="28"/>
        </w:rPr>
        <w:t>п</w:t>
      </w:r>
      <w:r w:rsidRPr="00185AEA">
        <w:rPr>
          <w:rFonts w:ascii="Times New Roman" w:hAnsi="Times New Roman" w:cs="Times New Roman"/>
          <w:sz w:val="28"/>
          <w:szCs w:val="28"/>
        </w:rPr>
        <w:t>ослаблення</w:t>
      </w:r>
      <w:r>
        <w:rPr>
          <w:rFonts w:ascii="Times New Roman" w:hAnsi="Times New Roman" w:cs="Times New Roman"/>
          <w:sz w:val="28"/>
          <w:szCs w:val="28"/>
        </w:rPr>
        <w:t xml:space="preserve"> зображення</w:t>
      </w:r>
      <w:r w:rsidRPr="00185AEA">
        <w:rPr>
          <w:rFonts w:ascii="Times New Roman" w:hAnsi="Times New Roman" w:cs="Times New Roman"/>
          <w:sz w:val="28"/>
          <w:szCs w:val="28"/>
        </w:rPr>
        <w:t xml:space="preserve"> (</w:t>
      </w:r>
      <w:r>
        <w:rPr>
          <w:rFonts w:ascii="Times New Roman" w:hAnsi="Times New Roman" w:cs="Times New Roman"/>
          <w:sz w:val="28"/>
          <w:szCs w:val="28"/>
        </w:rPr>
        <w:t xml:space="preserve">ефект часткового усереднення об’єму) </w:t>
      </w:r>
      <w:r w:rsidRPr="00742A25">
        <w:rPr>
          <w:rFonts w:ascii="Times New Roman" w:hAnsi="Times New Roman" w:cs="Times New Roman"/>
          <w:sz w:val="28"/>
          <w:szCs w:val="28"/>
        </w:rPr>
        <w:t>[</w:t>
      </w:r>
      <w:r>
        <w:rPr>
          <w:rFonts w:ascii="Times New Roman" w:eastAsia="Times New Roman" w:hAnsi="Times New Roman" w:cs="Times New Roman"/>
          <w:sz w:val="28"/>
          <w:szCs w:val="28"/>
          <w:lang w:eastAsia="uk-UA"/>
        </w:rPr>
        <w:t>282</w:t>
      </w:r>
      <w:r w:rsidRPr="00742A25">
        <w:rPr>
          <w:rFonts w:ascii="Times New Roman" w:hAnsi="Times New Roman" w:cs="Times New Roman"/>
          <w:sz w:val="28"/>
          <w:szCs w:val="28"/>
        </w:rPr>
        <w:t>]</w:t>
      </w:r>
      <w:r>
        <w:rPr>
          <w:rFonts w:ascii="Times New Roman" w:hAnsi="Times New Roman" w:cs="Times New Roman"/>
          <w:sz w:val="28"/>
          <w:szCs w:val="28"/>
        </w:rPr>
        <w:t>. Крім того, введення контрастних речовин протипоказане хворим із нирковою недостатністю.</w:t>
      </w:r>
      <w:r w:rsidRPr="00B01AB8">
        <w:rPr>
          <w:rFonts w:ascii="Times New Roman" w:hAnsi="Times New Roman" w:cs="Times New Roman"/>
          <w:sz w:val="28"/>
          <w:szCs w:val="28"/>
        </w:rPr>
        <w:t xml:space="preserve"> </w:t>
      </w:r>
    </w:p>
    <w:p w:rsidR="001E6EFC" w:rsidRPr="00D54793" w:rsidRDefault="001E6EFC" w:rsidP="001E6EFC">
      <w:pPr>
        <w:spacing w:line="360" w:lineRule="auto"/>
        <w:ind w:firstLine="708"/>
        <w:jc w:val="both"/>
        <w:rPr>
          <w:rFonts w:ascii="Times New Roman" w:hAnsi="Times New Roman" w:cs="Times New Roman"/>
          <w:sz w:val="28"/>
          <w:szCs w:val="28"/>
        </w:rPr>
      </w:pPr>
      <w:r w:rsidRPr="00C6656F">
        <w:rPr>
          <w:rFonts w:ascii="Times New Roman" w:hAnsi="Times New Roman" w:cs="Times New Roman"/>
          <w:b/>
          <w:i/>
          <w:sz w:val="28"/>
          <w:szCs w:val="28"/>
        </w:rPr>
        <w:t>Параметри перфузійної КТ.</w:t>
      </w:r>
      <w:r>
        <w:rPr>
          <w:rFonts w:ascii="Times New Roman" w:hAnsi="Times New Roman" w:cs="Times New Roman"/>
          <w:b/>
          <w:sz w:val="28"/>
          <w:szCs w:val="28"/>
        </w:rPr>
        <w:t xml:space="preserve"> </w:t>
      </w:r>
      <w:r>
        <w:rPr>
          <w:rFonts w:ascii="Times New Roman" w:hAnsi="Times New Roman" w:cs="Times New Roman"/>
          <w:sz w:val="28"/>
          <w:szCs w:val="28"/>
        </w:rPr>
        <w:t xml:space="preserve">Рядом дослідників була вивчена роль кількісних параметрів перфузійної КТ у якості променевих біомаркерів НКР. В проспективному дослідженні </w:t>
      </w:r>
      <w:r>
        <w:rPr>
          <w:rFonts w:ascii="Times New Roman" w:eastAsia="Times New Roman" w:hAnsi="Times New Roman" w:cs="Times New Roman"/>
          <w:sz w:val="28"/>
          <w:szCs w:val="28"/>
          <w:lang w:val="en-US" w:eastAsia="uk-UA"/>
        </w:rPr>
        <w:t>Chen</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=73) достовірну різницю у всіх параметрах перфузії було отримано у групах хворих без ниркової патології і з НКР (р&lt;0,01) та у підгрупах хворих з скНКР та пНКР (р&lt;0,05), проте, жодної різниці між показниками перфузії у хворих із скНКР і хрНКР та пНКР і хрНКР не спостерігалось. Крім цього, в дослідження не входили пацієнти з доброякісними пухлинами нирок [109]. За даними </w:t>
      </w:r>
      <w:r>
        <w:rPr>
          <w:rFonts w:ascii="Times New Roman" w:eastAsia="Times New Roman" w:hAnsi="Times New Roman" w:cs="Times New Roman"/>
          <w:sz w:val="28"/>
          <w:szCs w:val="28"/>
          <w:lang w:val="en-US" w:eastAsia="uk-UA"/>
        </w:rPr>
        <w:t>Reiner</w:t>
      </w:r>
      <w:r>
        <w:rPr>
          <w:rFonts w:ascii="Times New Roman" w:eastAsia="Times New Roman" w:hAnsi="Times New Roman" w:cs="Times New Roman"/>
          <w:sz w:val="28"/>
          <w:szCs w:val="28"/>
          <w:lang w:eastAsia="uk-UA"/>
        </w:rPr>
        <w:t xml:space="preserve"> та співавторів, у хворих із НКР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=50) не спостерігалось достовірного зв’язку між параметрами перфузії і ступенем диференціації пухлини за Fuhrman та </w:t>
      </w:r>
      <w:r>
        <w:rPr>
          <w:rFonts w:ascii="Times New Roman" w:eastAsia="Times New Roman" w:hAnsi="Times New Roman" w:cs="Times New Roman"/>
          <w:sz w:val="28"/>
          <w:szCs w:val="28"/>
          <w:lang w:val="en-US" w:eastAsia="uk-UA"/>
        </w:rPr>
        <w:t>pT</w:t>
      </w:r>
      <w:r>
        <w:rPr>
          <w:rFonts w:ascii="Times New Roman" w:eastAsia="Times New Roman" w:hAnsi="Times New Roman" w:cs="Times New Roman"/>
          <w:sz w:val="28"/>
          <w:szCs w:val="28"/>
          <w:lang w:eastAsia="uk-UA"/>
        </w:rPr>
        <w:t xml:space="preserve"> стадією пухлини за </w:t>
      </w:r>
      <w:r>
        <w:rPr>
          <w:rFonts w:ascii="Times New Roman" w:eastAsia="Times New Roman" w:hAnsi="Times New Roman" w:cs="Times New Roman"/>
          <w:sz w:val="28"/>
          <w:szCs w:val="28"/>
          <w:lang w:val="en-US" w:eastAsia="uk-UA"/>
        </w:rPr>
        <w:t>TNM</w:t>
      </w:r>
      <w:r>
        <w:rPr>
          <w:rFonts w:ascii="Times New Roman" w:eastAsia="Times New Roman" w:hAnsi="Times New Roman" w:cs="Times New Roman"/>
          <w:sz w:val="28"/>
          <w:szCs w:val="28"/>
          <w:lang w:eastAsia="uk-UA"/>
        </w:rPr>
        <w:t xml:space="preserve"> класифікацією. Водночас, цікавим спостереженням були значно вищі показники перфузії у хворих із НКР та &lt;50% некрозу від всього об’єму пухлини  у порівнянні із випадками з &gt;50% некрозу (р&lt;0,05) [352]. </w:t>
      </w:r>
    </w:p>
    <w:p w:rsidR="001E6EFC" w:rsidRPr="00771851" w:rsidRDefault="001E6EFC" w:rsidP="00771851">
      <w:pPr>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Chen </w:t>
      </w:r>
      <w:r>
        <w:rPr>
          <w:rFonts w:ascii="Times New Roman" w:eastAsia="Times New Roman" w:hAnsi="Times New Roman" w:cs="Times New Roman"/>
          <w:sz w:val="28"/>
          <w:szCs w:val="28"/>
          <w:lang w:val="en-US" w:eastAsia="uk-UA"/>
        </w:rPr>
        <w:t>C</w:t>
      </w:r>
      <w:r>
        <w:rPr>
          <w:rFonts w:ascii="Times New Roman" w:eastAsia="Times New Roman" w:hAnsi="Times New Roman" w:cs="Times New Roman"/>
          <w:sz w:val="28"/>
          <w:szCs w:val="28"/>
          <w:lang w:eastAsia="uk-UA"/>
        </w:rPr>
        <w:t>. та колегами було повідомлено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=85) про відсутність достовірної різниці у показниках КТ-перфузії у підгрупах хворих із пНКР і хрНКР, між пНКР і АМЛ із низьким вмістом жиру та між хрНКР і АМЛ (р&gt;0,05); в той же час була відмічена достовірна різниця між показниками перфузії у хворих із скНКР і пНКР (р&lt;0,01) та скНКР та хрНКР (р&lt;0,05) [102]. Необхідно зазначити, що небезпечним наслідком проведення перфузійної КТ є висока доза опромінення хворого: для абдомінальної ділянки волюметричний індекс дози перфузійної  КТ складає 180,1 мГр (еквівалент 180,1 мЗв), а звичайної динамічної КТ з контрастним посиленням в 25 разів </w:t>
      </w:r>
      <w:r>
        <w:rPr>
          <w:rFonts w:ascii="Times New Roman" w:eastAsia="Times New Roman" w:hAnsi="Times New Roman" w:cs="Times New Roman"/>
          <w:sz w:val="28"/>
          <w:szCs w:val="28"/>
          <w:lang w:eastAsia="uk-UA"/>
        </w:rPr>
        <w:lastRenderedPageBreak/>
        <w:t xml:space="preserve">менше – 7,2 мГр (7,2 мЗв) [126]. Крім цього, внутрішньовенне введення йодовмісних контрастних речовин може спричиняти важкі алергічні реакції. </w:t>
      </w:r>
    </w:p>
    <w:p w:rsidR="00805D5E" w:rsidRDefault="00805D5E" w:rsidP="001E6EFC">
      <w:pPr>
        <w:spacing w:line="360" w:lineRule="auto"/>
        <w:ind w:firstLine="708"/>
        <w:jc w:val="both"/>
        <w:rPr>
          <w:rFonts w:ascii="Times New Roman" w:hAnsi="Times New Roman" w:cs="Times New Roman"/>
          <w:sz w:val="28"/>
          <w:szCs w:val="28"/>
        </w:rPr>
      </w:pPr>
    </w:p>
    <w:p w:rsidR="001E6EFC" w:rsidRPr="005D559A"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1.3.3</w:t>
      </w:r>
      <w:r w:rsidRPr="005D559A">
        <w:rPr>
          <w:rFonts w:ascii="Times New Roman" w:hAnsi="Times New Roman" w:cs="Times New Roman"/>
          <w:sz w:val="28"/>
          <w:szCs w:val="28"/>
        </w:rPr>
        <w:t>. Біомаркери НКР на основі магнітно-резонансної томографії</w:t>
      </w:r>
    </w:p>
    <w:p w:rsidR="001E6EFC" w:rsidRDefault="001E6EFC" w:rsidP="001E6EFC">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Існує </w:t>
      </w:r>
      <w:r w:rsidR="003541C5">
        <w:rPr>
          <w:rFonts w:ascii="Times New Roman" w:hAnsi="Times New Roman" w:cs="Times New Roman"/>
          <w:sz w:val="28"/>
          <w:szCs w:val="28"/>
        </w:rPr>
        <w:t>ряд</w:t>
      </w:r>
      <w:r>
        <w:rPr>
          <w:rFonts w:ascii="Times New Roman" w:hAnsi="Times New Roman" w:cs="Times New Roman"/>
          <w:sz w:val="28"/>
          <w:szCs w:val="28"/>
        </w:rPr>
        <w:t xml:space="preserve"> досліджень, у яких висвітлена висока ефективність МРТ у діагностиці НКР, яка не поступається, а інколи навіть випереджує КТ. Так, за результатами ґрунтовного дослідження Щукіна Д.В., чутливість, специфічність та точність МРТ при діагностиці НКР  </w:t>
      </w:r>
      <w:r w:rsidRPr="003D63FD">
        <w:rPr>
          <w:rFonts w:ascii="Times New Roman" w:hAnsi="Times New Roman" w:cs="Times New Roman"/>
          <w:sz w:val="28"/>
          <w:szCs w:val="28"/>
        </w:rPr>
        <w:t>(</w:t>
      </w:r>
      <w:r>
        <w:rPr>
          <w:rFonts w:ascii="Times New Roman" w:hAnsi="Times New Roman" w:cs="Times New Roman"/>
          <w:sz w:val="28"/>
          <w:szCs w:val="28"/>
          <w:lang w:val="en-US"/>
        </w:rPr>
        <w:t>n</w:t>
      </w:r>
      <w:r w:rsidRPr="003D63FD">
        <w:rPr>
          <w:rFonts w:ascii="Times New Roman" w:hAnsi="Times New Roman" w:cs="Times New Roman"/>
          <w:sz w:val="28"/>
          <w:szCs w:val="28"/>
        </w:rPr>
        <w:t xml:space="preserve">=138) </w:t>
      </w:r>
      <w:r>
        <w:rPr>
          <w:rFonts w:ascii="Times New Roman" w:hAnsi="Times New Roman" w:cs="Times New Roman"/>
          <w:sz w:val="28"/>
          <w:szCs w:val="28"/>
        </w:rPr>
        <w:t xml:space="preserve">були достатньо високими і становили відповідно 89%, 90% та 90%, а  точність при диференціації кістозних, жирових та солідних ниркових мас складала 91% </w:t>
      </w:r>
      <w:r w:rsidRPr="003D63FD">
        <w:rPr>
          <w:rFonts w:ascii="Times New Roman" w:hAnsi="Times New Roman" w:cs="Times New Roman"/>
          <w:sz w:val="28"/>
          <w:szCs w:val="28"/>
        </w:rPr>
        <w:t>[</w:t>
      </w:r>
      <w:r>
        <w:rPr>
          <w:rFonts w:ascii="Times New Roman" w:hAnsi="Times New Roman" w:cs="Times New Roman"/>
          <w:sz w:val="28"/>
          <w:szCs w:val="28"/>
        </w:rPr>
        <w:t>74</w:t>
      </w:r>
      <w:r w:rsidRPr="003D63FD">
        <w:rPr>
          <w:rFonts w:ascii="Times New Roman" w:hAnsi="Times New Roman" w:cs="Times New Roman"/>
          <w:sz w:val="28"/>
          <w:szCs w:val="28"/>
        </w:rPr>
        <w:t>]</w:t>
      </w:r>
      <w:r>
        <w:rPr>
          <w:rFonts w:ascii="Times New Roman" w:hAnsi="Times New Roman" w:cs="Times New Roman"/>
          <w:sz w:val="28"/>
          <w:szCs w:val="28"/>
        </w:rPr>
        <w:t xml:space="preserve">. Крім цього, МРТ має переваги у порівнянні з КТ при характеристиці венозного ураження внаслідок НКР (чутливість та специфічність </w:t>
      </w:r>
      <w:r w:rsidRPr="00B01AB8">
        <w:rPr>
          <w:rFonts w:ascii="Times New Roman" w:hAnsi="Times New Roman" w:cs="Times New Roman"/>
          <w:sz w:val="28"/>
          <w:szCs w:val="28"/>
        </w:rPr>
        <w:t xml:space="preserve">90-100% </w:t>
      </w:r>
      <w:r>
        <w:rPr>
          <w:rFonts w:ascii="Times New Roman" w:hAnsi="Times New Roman" w:cs="Times New Roman"/>
          <w:sz w:val="28"/>
          <w:szCs w:val="28"/>
        </w:rPr>
        <w:t xml:space="preserve">для МРТ і близько </w:t>
      </w:r>
      <w:r w:rsidRPr="00B01AB8">
        <w:rPr>
          <w:rFonts w:ascii="Times New Roman" w:hAnsi="Times New Roman" w:cs="Times New Roman"/>
          <w:sz w:val="28"/>
          <w:szCs w:val="28"/>
        </w:rPr>
        <w:t>87%</w:t>
      </w:r>
      <w:r>
        <w:rPr>
          <w:rFonts w:ascii="Times New Roman" w:hAnsi="Times New Roman" w:cs="Times New Roman"/>
          <w:sz w:val="28"/>
          <w:szCs w:val="28"/>
        </w:rPr>
        <w:t xml:space="preserve"> для мультиспіральної КТ) </w:t>
      </w:r>
      <w:r w:rsidRPr="00A550AA">
        <w:rPr>
          <w:rFonts w:ascii="Times New Roman" w:hAnsi="Times New Roman" w:cs="Times New Roman"/>
          <w:sz w:val="28"/>
          <w:szCs w:val="28"/>
        </w:rPr>
        <w:t>[</w:t>
      </w:r>
      <w:r>
        <w:rPr>
          <w:rFonts w:ascii="Times New Roman" w:hAnsi="Times New Roman" w:cs="Times New Roman"/>
          <w:sz w:val="28"/>
          <w:szCs w:val="28"/>
        </w:rPr>
        <w:t>269</w:t>
      </w:r>
      <w:r w:rsidR="003541C5">
        <w:rPr>
          <w:rFonts w:ascii="Times New Roman" w:hAnsi="Times New Roman" w:cs="Times New Roman"/>
          <w:sz w:val="28"/>
          <w:szCs w:val="28"/>
        </w:rPr>
        <w:t>], також</w:t>
      </w:r>
      <w:r>
        <w:rPr>
          <w:rFonts w:ascii="Times New Roman" w:hAnsi="Times New Roman" w:cs="Times New Roman"/>
          <w:sz w:val="28"/>
          <w:szCs w:val="28"/>
        </w:rPr>
        <w:t xml:space="preserve"> при характеристиці </w:t>
      </w:r>
      <w:r>
        <w:rPr>
          <w:rFonts w:ascii="Times New Roman" w:hAnsi="Times New Roman" w:cs="Times New Roman"/>
          <w:sz w:val="28"/>
          <w:szCs w:val="28"/>
          <w:lang w:val="en-US"/>
        </w:rPr>
        <w:t>SRM</w:t>
      </w:r>
      <w:r w:rsidRPr="00ED0260">
        <w:rPr>
          <w:rFonts w:ascii="Times New Roman" w:hAnsi="Times New Roman" w:cs="Times New Roman"/>
          <w:sz w:val="28"/>
          <w:szCs w:val="28"/>
        </w:rPr>
        <w:t xml:space="preserve"> &lt;</w:t>
      </w:r>
      <w:r>
        <w:rPr>
          <w:rFonts w:ascii="Times New Roman" w:hAnsi="Times New Roman" w:cs="Times New Roman"/>
          <w:sz w:val="28"/>
          <w:szCs w:val="28"/>
        </w:rPr>
        <w:t xml:space="preserve"> 1 см у розмірі. Проте, на сьогоднішній день серед науковців і клініцистів н</w:t>
      </w:r>
      <w:r w:rsidRPr="00C17C48">
        <w:rPr>
          <w:rFonts w:ascii="Times New Roman" w:hAnsi="Times New Roman" w:cs="Times New Roman"/>
          <w:sz w:val="28"/>
          <w:szCs w:val="28"/>
        </w:rPr>
        <w:t xml:space="preserve">емає універсального узгодження щодо методу для кількісного визначення підсилення </w:t>
      </w:r>
      <w:r>
        <w:rPr>
          <w:rFonts w:ascii="Times New Roman" w:hAnsi="Times New Roman" w:cs="Times New Roman"/>
          <w:sz w:val="28"/>
          <w:szCs w:val="28"/>
        </w:rPr>
        <w:t xml:space="preserve">сигналу </w:t>
      </w:r>
      <w:r w:rsidRPr="00C17C48">
        <w:rPr>
          <w:rFonts w:ascii="Times New Roman" w:hAnsi="Times New Roman" w:cs="Times New Roman"/>
          <w:sz w:val="28"/>
          <w:szCs w:val="28"/>
        </w:rPr>
        <w:t>на МРТ</w:t>
      </w:r>
      <w:r>
        <w:rPr>
          <w:rFonts w:ascii="Times New Roman" w:hAnsi="Times New Roman" w:cs="Times New Roman"/>
          <w:sz w:val="28"/>
          <w:szCs w:val="28"/>
        </w:rPr>
        <w:t xml:space="preserve">-зображеннях, оскільки інтенсивність сигналу </w:t>
      </w:r>
      <w:r w:rsidRPr="00321FC8">
        <w:rPr>
          <w:rFonts w:ascii="Times New Roman" w:hAnsi="Times New Roman" w:cs="Times New Roman"/>
          <w:sz w:val="28"/>
          <w:szCs w:val="28"/>
        </w:rPr>
        <w:t xml:space="preserve">базується на відносній шкалі, а не на абсолютній щільності, як це має місце в шкалі одиниць </w:t>
      </w:r>
      <w:r>
        <w:rPr>
          <w:rFonts w:ascii="Times New Roman" w:hAnsi="Times New Roman" w:cs="Times New Roman"/>
          <w:sz w:val="28"/>
          <w:szCs w:val="28"/>
          <w:lang w:val="en-US"/>
        </w:rPr>
        <w:t>Hounsfield</w:t>
      </w:r>
      <w:r w:rsidRPr="00321FC8">
        <w:rPr>
          <w:rFonts w:ascii="Times New Roman" w:hAnsi="Times New Roman" w:cs="Times New Roman"/>
          <w:sz w:val="28"/>
          <w:szCs w:val="28"/>
        </w:rPr>
        <w:t>.</w:t>
      </w:r>
      <w:r>
        <w:rPr>
          <w:rFonts w:ascii="Times New Roman" w:hAnsi="Times New Roman" w:cs="Times New Roman"/>
          <w:sz w:val="28"/>
          <w:szCs w:val="28"/>
        </w:rPr>
        <w:t xml:space="preserve"> Б</w:t>
      </w:r>
      <w:r w:rsidRPr="00321FC8">
        <w:rPr>
          <w:rFonts w:ascii="Times New Roman" w:hAnsi="Times New Roman" w:cs="Times New Roman"/>
          <w:sz w:val="28"/>
          <w:szCs w:val="28"/>
        </w:rPr>
        <w:t xml:space="preserve">ільшість авторів рекомендують </w:t>
      </w:r>
      <w:r>
        <w:rPr>
          <w:rFonts w:ascii="Times New Roman" w:hAnsi="Times New Roman" w:cs="Times New Roman"/>
          <w:sz w:val="28"/>
          <w:szCs w:val="28"/>
        </w:rPr>
        <w:t>субстракцію</w:t>
      </w:r>
      <w:r w:rsidRPr="00321FC8">
        <w:rPr>
          <w:rFonts w:ascii="Times New Roman" w:hAnsi="Times New Roman" w:cs="Times New Roman"/>
          <w:sz w:val="28"/>
          <w:szCs w:val="28"/>
        </w:rPr>
        <w:t xml:space="preserve"> між </w:t>
      </w:r>
      <w:r>
        <w:rPr>
          <w:rFonts w:ascii="Times New Roman" w:hAnsi="Times New Roman" w:cs="Times New Roman"/>
          <w:sz w:val="28"/>
          <w:szCs w:val="28"/>
        </w:rPr>
        <w:t xml:space="preserve">пре- та пост-контрастними </w:t>
      </w:r>
      <w:r w:rsidRPr="00321FC8">
        <w:rPr>
          <w:rFonts w:ascii="Times New Roman" w:hAnsi="Times New Roman" w:cs="Times New Roman"/>
          <w:sz w:val="28"/>
          <w:szCs w:val="28"/>
        </w:rPr>
        <w:t xml:space="preserve">послідовностями МРТ, </w:t>
      </w:r>
      <w:r>
        <w:rPr>
          <w:rFonts w:ascii="Times New Roman" w:hAnsi="Times New Roman" w:cs="Times New Roman"/>
          <w:sz w:val="28"/>
          <w:szCs w:val="28"/>
        </w:rPr>
        <w:t>для</w:t>
      </w:r>
      <w:r w:rsidRPr="00321FC8">
        <w:rPr>
          <w:rFonts w:ascii="Times New Roman" w:hAnsi="Times New Roman" w:cs="Times New Roman"/>
          <w:sz w:val="28"/>
          <w:szCs w:val="28"/>
        </w:rPr>
        <w:t xml:space="preserve"> </w:t>
      </w:r>
      <w:r>
        <w:rPr>
          <w:rFonts w:ascii="Times New Roman" w:hAnsi="Times New Roman" w:cs="Times New Roman"/>
          <w:sz w:val="28"/>
          <w:szCs w:val="28"/>
        </w:rPr>
        <w:t>уникнення суб'єктивності</w:t>
      </w:r>
      <w:r w:rsidRPr="00321FC8">
        <w:rPr>
          <w:rFonts w:ascii="Times New Roman" w:hAnsi="Times New Roman" w:cs="Times New Roman"/>
          <w:sz w:val="28"/>
          <w:szCs w:val="28"/>
        </w:rPr>
        <w:t xml:space="preserve"> </w:t>
      </w:r>
      <w:r>
        <w:rPr>
          <w:rFonts w:ascii="Times New Roman" w:hAnsi="Times New Roman" w:cs="Times New Roman"/>
          <w:sz w:val="28"/>
          <w:szCs w:val="28"/>
        </w:rPr>
        <w:t>при оцінці</w:t>
      </w:r>
      <w:r w:rsidRPr="00321FC8">
        <w:rPr>
          <w:rFonts w:ascii="Times New Roman" w:hAnsi="Times New Roman" w:cs="Times New Roman"/>
          <w:sz w:val="28"/>
          <w:szCs w:val="28"/>
        </w:rPr>
        <w:t xml:space="preserve"> підсилення </w:t>
      </w:r>
      <w:r>
        <w:rPr>
          <w:rFonts w:ascii="Times New Roman" w:hAnsi="Times New Roman" w:cs="Times New Roman"/>
          <w:sz w:val="28"/>
          <w:szCs w:val="28"/>
        </w:rPr>
        <w:t>на зображеннях після введення контрастних речовин</w:t>
      </w:r>
      <w:r w:rsidRPr="00321FC8">
        <w:rPr>
          <w:rFonts w:ascii="Times New Roman" w:hAnsi="Times New Roman" w:cs="Times New Roman"/>
          <w:sz w:val="28"/>
          <w:szCs w:val="28"/>
        </w:rPr>
        <w:t>.</w:t>
      </w:r>
      <w:r>
        <w:rPr>
          <w:rFonts w:ascii="Times New Roman" w:hAnsi="Times New Roman" w:cs="Times New Roman"/>
          <w:sz w:val="28"/>
          <w:szCs w:val="28"/>
        </w:rPr>
        <w:t xml:space="preserve"> В деяких роботах </w:t>
      </w:r>
      <w:r w:rsidRPr="002F6B3A">
        <w:rPr>
          <w:rFonts w:ascii="Times New Roman" w:hAnsi="Times New Roman" w:cs="Times New Roman"/>
          <w:sz w:val="28"/>
          <w:szCs w:val="28"/>
        </w:rPr>
        <w:t xml:space="preserve">був рекомендований поріг збільшення інтенсивності сигналу </w:t>
      </w:r>
      <w:r>
        <w:rPr>
          <w:rFonts w:ascii="Times New Roman" w:hAnsi="Times New Roman" w:cs="Times New Roman"/>
          <w:sz w:val="28"/>
          <w:szCs w:val="28"/>
        </w:rPr>
        <w:t xml:space="preserve">на МРТ-зображеннях </w:t>
      </w:r>
      <w:r w:rsidRPr="002F6B3A">
        <w:rPr>
          <w:rFonts w:ascii="Times New Roman" w:hAnsi="Times New Roman" w:cs="Times New Roman"/>
          <w:sz w:val="28"/>
          <w:szCs w:val="28"/>
        </w:rPr>
        <w:t>на 15%</w:t>
      </w:r>
      <w:r>
        <w:rPr>
          <w:rFonts w:ascii="Times New Roman" w:hAnsi="Times New Roman" w:cs="Times New Roman"/>
          <w:sz w:val="28"/>
          <w:szCs w:val="28"/>
        </w:rPr>
        <w:t>, як ознака злоякісності при підозрі на НКР [</w:t>
      </w:r>
      <w:r>
        <w:rPr>
          <w:rFonts w:ascii="Times-Roman" w:hAnsi="Times-Roman" w:cs="Times-Roman"/>
          <w:sz w:val="28"/>
          <w:szCs w:val="28"/>
        </w:rPr>
        <w:t>173</w:t>
      </w:r>
      <w:r w:rsidRPr="002F6B3A">
        <w:rPr>
          <w:rFonts w:ascii="Times New Roman" w:hAnsi="Times New Roman" w:cs="Times New Roman"/>
          <w:sz w:val="28"/>
          <w:szCs w:val="28"/>
        </w:rPr>
        <w:t xml:space="preserve">]. </w:t>
      </w: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останні роки були спроби дослідити можливість застосування вимірюваних параметрів МРТ у якості біомаркерів </w:t>
      </w:r>
      <w:r w:rsidRPr="00C85CCC">
        <w:rPr>
          <w:rFonts w:ascii="Times New Roman" w:hAnsi="Times New Roman" w:cs="Times New Roman"/>
          <w:sz w:val="28"/>
          <w:szCs w:val="28"/>
        </w:rPr>
        <w:t xml:space="preserve">НКР. Так, у дослідженні, опублікованому навесні 2017 р., </w:t>
      </w:r>
      <w:r>
        <w:rPr>
          <w:rFonts w:ascii="Times New Roman" w:hAnsi="Times New Roman" w:cs="Times New Roman"/>
          <w:sz w:val="28"/>
          <w:szCs w:val="28"/>
        </w:rPr>
        <w:t xml:space="preserve">у яке увійшло 38 хворих з нирковими новоутвореннями, </w:t>
      </w:r>
      <w:r w:rsidRPr="00C85CCC">
        <w:rPr>
          <w:rFonts w:ascii="Times New Roman" w:eastAsia="Times New Roman" w:hAnsi="Times New Roman" w:cs="Times New Roman"/>
          <w:sz w:val="28"/>
          <w:szCs w:val="28"/>
          <w:lang w:eastAsia="uk-UA"/>
        </w:rPr>
        <w:t xml:space="preserve">Hassanen та група авторів </w:t>
      </w:r>
      <w:r>
        <w:rPr>
          <w:rFonts w:ascii="Times New Roman" w:eastAsia="Times New Roman" w:hAnsi="Times New Roman" w:cs="Times New Roman"/>
          <w:sz w:val="28"/>
          <w:szCs w:val="28"/>
          <w:lang w:eastAsia="uk-UA"/>
        </w:rPr>
        <w:t xml:space="preserve">продемонструвала, що вимірювані параметри МРТ проведеної з контрастним підсиленням, мають </w:t>
      </w:r>
      <w:r>
        <w:rPr>
          <w:rFonts w:ascii="Times New Roman" w:eastAsia="Times New Roman" w:hAnsi="Times New Roman" w:cs="Times New Roman"/>
          <w:sz w:val="28"/>
          <w:szCs w:val="28"/>
          <w:lang w:eastAsia="uk-UA"/>
        </w:rPr>
        <w:lastRenderedPageBreak/>
        <w:t xml:space="preserve">потенціал для використання у якості біомаркерів НКР. Проте, невелика кількість хворих включених в дослідження не дозволила отримати статистично значущих результатів </w:t>
      </w:r>
      <w:r w:rsidRPr="00C85CC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171</w:t>
      </w:r>
      <w:r w:rsidRPr="00C85CC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r>
        <w:rPr>
          <w:rFonts w:ascii="Times New Roman" w:hAnsi="Times New Roman" w:cs="Times New Roman"/>
          <w:sz w:val="28"/>
          <w:szCs w:val="28"/>
        </w:rPr>
        <w:t xml:space="preserve"> В рекомендаціях </w:t>
      </w:r>
      <w:r>
        <w:rPr>
          <w:rFonts w:ascii="Times New Roman" w:hAnsi="Times New Roman" w:cs="Times New Roman"/>
          <w:sz w:val="28"/>
          <w:szCs w:val="28"/>
          <w:lang w:val="en-US"/>
        </w:rPr>
        <w:t>EAU</w:t>
      </w:r>
      <w:r w:rsidRPr="00735088">
        <w:rPr>
          <w:rFonts w:ascii="Times New Roman" w:hAnsi="Times New Roman" w:cs="Times New Roman"/>
          <w:sz w:val="28"/>
          <w:szCs w:val="28"/>
        </w:rPr>
        <w:t xml:space="preserve"> </w:t>
      </w:r>
      <w:r>
        <w:rPr>
          <w:rFonts w:ascii="Times New Roman" w:hAnsi="Times New Roman" w:cs="Times New Roman"/>
          <w:sz w:val="28"/>
          <w:szCs w:val="28"/>
        </w:rPr>
        <w:t>з НКР за 2017 р., вказано, що така модальність МРТ, як дифузійно-зважені зображення (ДЗЗ) володіє потенціалом для диференційної діагностики НКР</w:t>
      </w:r>
      <w:r w:rsidRPr="00735088">
        <w:rPr>
          <w:rFonts w:ascii="Times New Roman" w:hAnsi="Times New Roman" w:cs="Times New Roman"/>
          <w:sz w:val="28"/>
          <w:szCs w:val="28"/>
        </w:rPr>
        <w:t xml:space="preserve"> [</w:t>
      </w:r>
      <w:r>
        <w:rPr>
          <w:rFonts w:ascii="Times New Roman" w:hAnsi="Times New Roman" w:cs="Times New Roman"/>
          <w:sz w:val="28"/>
          <w:szCs w:val="28"/>
        </w:rPr>
        <w:t>269</w:t>
      </w:r>
      <w:r w:rsidRPr="00735088">
        <w:rPr>
          <w:rFonts w:ascii="Times New Roman" w:hAnsi="Times New Roman" w:cs="Times New Roman"/>
          <w:sz w:val="28"/>
          <w:szCs w:val="28"/>
        </w:rPr>
        <w:t>]</w:t>
      </w:r>
      <w:r>
        <w:rPr>
          <w:rFonts w:ascii="Times New Roman" w:hAnsi="Times New Roman" w:cs="Times New Roman"/>
          <w:sz w:val="28"/>
          <w:szCs w:val="28"/>
        </w:rPr>
        <w:t>, проте у жодному  з досліджень не було наведено даних, достатніх для використання променевих біомаркерів НКР на основі</w:t>
      </w:r>
      <w:r w:rsidRPr="00735088">
        <w:rPr>
          <w:rFonts w:ascii="Times New Roman" w:hAnsi="Times New Roman" w:cs="Times New Roman"/>
          <w:sz w:val="28"/>
          <w:szCs w:val="28"/>
        </w:rPr>
        <w:t xml:space="preserve"> МРТ-зображень в широкій медичній практиці [</w:t>
      </w:r>
      <w:r>
        <w:rPr>
          <w:rFonts w:ascii="Times New Roman" w:hAnsi="Times New Roman" w:cs="Times New Roman"/>
          <w:sz w:val="28"/>
          <w:szCs w:val="28"/>
        </w:rPr>
        <w:t xml:space="preserve">151, </w:t>
      </w:r>
      <w:r>
        <w:rPr>
          <w:rFonts w:ascii="Times New Roman" w:eastAsia="Times New Roman" w:hAnsi="Times New Roman" w:cs="Times New Roman"/>
          <w:sz w:val="28"/>
          <w:szCs w:val="28"/>
          <w:lang w:eastAsia="uk-UA"/>
        </w:rPr>
        <w:t>252, 412,</w:t>
      </w:r>
      <w:r w:rsidRPr="0073508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458</w:t>
      </w:r>
      <w:r w:rsidRPr="00735088">
        <w:rPr>
          <w:rFonts w:ascii="Times New Roman" w:hAnsi="Times New Roman" w:cs="Times New Roman"/>
          <w:sz w:val="28"/>
          <w:szCs w:val="28"/>
        </w:rPr>
        <w:t>].</w:t>
      </w:r>
    </w:p>
    <w:p w:rsidR="001E6EFC" w:rsidRDefault="001E6EFC" w:rsidP="001E6EFC">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У зв’язку із великою кількістю модальностей МРТ, які застосовуються із варіабельними параметрами сканування при підозрі на НКР, кількість можливих для вимірювання кількісних параметрів МРТ-зображень є значно більшою, ніж при КТ. Крім цього, число таких потенційних променевих діагностичних біомаркерів НКР зростає завдяки можливості їх вимірювання впродовж різних фаз дослідження (до і після контрастування) [340]. Впродовж останніх років було проведено ряд досліджень, у яких вивчалась роль окремих вимірюваних параметрів мультимодальної МРТ, у якості потенційних променевих біомаркерів НКР для діагностики, диференціації та визначення гістологічного підтипу пухлини, систематизовану автором інформацію щодо яких наведено далі.</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sidRPr="00C6656F">
        <w:rPr>
          <w:rFonts w:ascii="Times New Roman" w:eastAsia="Times New Roman" w:hAnsi="Times New Roman" w:cs="Times New Roman"/>
          <w:b/>
          <w:i/>
          <w:sz w:val="28"/>
          <w:szCs w:val="28"/>
          <w:lang w:eastAsia="uk-UA"/>
        </w:rPr>
        <w:t>Інтенсивність сигналу Т1-ЗЗ та Т2-ЗЗ.</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uk-UA"/>
        </w:rPr>
        <w:t xml:space="preserve">ІС на зображеннях МРТ є детермінована чотирьома основними параметрами тканин: протонною щільністю, часом релаксації Т1, часом релаксації Т2 та кровотоком. У низці робіт була оцінена можливість застосування ІС пухлини та його співвідношень виміряних на Т1-ЗЗ та Т2-ЗЗ МРТ, у якості променевих біомаркерів НКР. Так, в роботі Щукіна Д.В. було виявлено, що чутливість якісних та кількісних параметрів Т1-ЗЗ та Т2-ЗЗ у виявлені НКР складали 89% та 90% відповідно. Водночас було констатовано, що НКР не мала вузькоспецифічних показників МР-сигналу у порівнянні із іншими новоутвореннями нирок [74]. В 2009 р. </w:t>
      </w:r>
      <w:r>
        <w:rPr>
          <w:rFonts w:ascii="Times New Roman" w:eastAsia="Times New Roman" w:hAnsi="Times New Roman" w:cs="Times New Roman"/>
          <w:sz w:val="28"/>
          <w:szCs w:val="28"/>
          <w:lang w:val="en-US" w:eastAsia="uk-UA"/>
        </w:rPr>
        <w:t>Oliva</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xml:space="preserve">., встановили, що на Т1-ЗЗ співвідношення ІС пухлини до кори нирки </w:t>
      </w:r>
      <w:r>
        <w:rPr>
          <w:rFonts w:ascii="Times New Roman" w:eastAsia="Times New Roman" w:hAnsi="Times New Roman" w:cs="Times New Roman"/>
          <w:sz w:val="28"/>
          <w:szCs w:val="28"/>
          <w:lang w:eastAsia="uk-UA"/>
        </w:rPr>
        <w:lastRenderedPageBreak/>
        <w:t>використаного у якості променевого біомаркеру НКР суттєво не відрізняється при конвенційному та пНКР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=49). Водночас, на Т2-ЗЗ спостерігалась різниця в середніх значеннях співвідношення ІС у групах із вказаними гістологічним підтипами: </w:t>
      </w:r>
      <w:r>
        <w:rPr>
          <w:rFonts w:ascii="Times New Roman" w:hAnsi="Times New Roman" w:cs="Times New Roman"/>
          <w:sz w:val="28"/>
          <w:szCs w:val="28"/>
        </w:rPr>
        <w:t>1,41±0,4 для скНКР та 0,67±0,2</w:t>
      </w:r>
      <w:r>
        <w:rPr>
          <w:rFonts w:ascii="Times New Roman" w:hAnsi="Times New Roman" w:cs="Times New Roman"/>
          <w:sz w:val="18"/>
          <w:szCs w:val="18"/>
        </w:rPr>
        <w:t xml:space="preserve"> </w:t>
      </w:r>
      <w:r>
        <w:rPr>
          <w:rFonts w:ascii="Times New Roman" w:hAnsi="Times New Roman" w:cs="Times New Roman"/>
          <w:sz w:val="28"/>
          <w:szCs w:val="28"/>
        </w:rPr>
        <w:t>для пНКР</w:t>
      </w:r>
      <w:r>
        <w:rPr>
          <w:rFonts w:ascii="Times New Roman" w:hAnsi="Times New Roman" w:cs="Times New Roman"/>
          <w:sz w:val="18"/>
          <w:szCs w:val="18"/>
        </w:rPr>
        <w:t xml:space="preserve"> </w:t>
      </w:r>
      <w:r>
        <w:rPr>
          <w:rFonts w:ascii="Times New Roman" w:hAnsi="Times New Roman" w:cs="Times New Roman"/>
          <w:sz w:val="28"/>
          <w:szCs w:val="28"/>
        </w:rPr>
        <w:t>(</w:t>
      </w:r>
      <w:r>
        <w:rPr>
          <w:rFonts w:ascii="Times New Roman" w:hAnsi="Times New Roman" w:cs="Times New Roman"/>
          <w:iCs/>
          <w:sz w:val="28"/>
          <w:szCs w:val="28"/>
        </w:rPr>
        <w:t>p</w:t>
      </w:r>
      <w:r>
        <w:rPr>
          <w:rFonts w:ascii="Times New Roman" w:hAnsi="Times New Roman" w:cs="Times New Roman"/>
          <w:sz w:val="28"/>
          <w:szCs w:val="28"/>
        </w:rPr>
        <w:t>&lt;0,05).</w:t>
      </w:r>
      <w:r>
        <w:rPr>
          <w:rFonts w:ascii="Times New Roman" w:eastAsia="Times New Roman" w:hAnsi="Times New Roman" w:cs="Times New Roman"/>
          <w:sz w:val="28"/>
          <w:szCs w:val="28"/>
          <w:lang w:eastAsia="uk-UA"/>
        </w:rPr>
        <w:t xml:space="preserve"> При цьому чутливість методу склала усього 54% [327].</w:t>
      </w:r>
    </w:p>
    <w:p w:rsidR="001E6EFC" w:rsidRPr="004F4443" w:rsidRDefault="001E6EFC" w:rsidP="001E6EFC">
      <w:pPr>
        <w:spacing w:line="360" w:lineRule="auto"/>
        <w:ind w:firstLine="708"/>
        <w:jc w:val="both"/>
        <w:rPr>
          <w:rFonts w:ascii="Times New Roman" w:eastAsia="Times New Roman" w:hAnsi="Times New Roman" w:cs="Times New Roman"/>
          <w:b/>
          <w:sz w:val="28"/>
          <w:szCs w:val="28"/>
          <w:lang w:eastAsia="uk-UA"/>
        </w:rPr>
      </w:pPr>
      <w:r>
        <w:rPr>
          <w:rFonts w:ascii="Times New Roman" w:eastAsia="Times New Roman" w:hAnsi="Times New Roman" w:cs="Times New Roman"/>
          <w:sz w:val="28"/>
          <w:szCs w:val="28"/>
          <w:lang w:eastAsia="uk-UA"/>
        </w:rPr>
        <w:t xml:space="preserve">Цього ж року була опублікована праця </w:t>
      </w:r>
      <w:r>
        <w:rPr>
          <w:rFonts w:ascii="Times New Roman" w:eastAsia="Times New Roman" w:hAnsi="Times New Roman" w:cs="Times New Roman"/>
          <w:sz w:val="28"/>
          <w:szCs w:val="28"/>
          <w:lang w:val="en-US" w:eastAsia="uk-UA"/>
        </w:rPr>
        <w:t>Sun</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xml:space="preserve">. (n=112), за результатами якої було отримано різницю у середніх показниках зміни ІС пухлини на контрастно посилених МРТ-зображеннях КМФ та НФ у порівнянні із </w:t>
      </w:r>
      <w:r w:rsidR="00771851">
        <w:rPr>
          <w:rFonts w:ascii="Times New Roman" w:eastAsia="Times New Roman" w:hAnsi="Times New Roman" w:cs="Times New Roman"/>
          <w:sz w:val="28"/>
          <w:szCs w:val="28"/>
          <w:lang w:eastAsia="uk-UA"/>
        </w:rPr>
        <w:t>пре-контрастними зображеннями (</w:t>
      </w:r>
      <w:r>
        <w:rPr>
          <w:rFonts w:ascii="Times New Roman" w:eastAsia="Times New Roman" w:hAnsi="Times New Roman" w:cs="Times New Roman"/>
          <w:sz w:val="28"/>
          <w:szCs w:val="28"/>
          <w:lang w:eastAsia="uk-UA"/>
        </w:rPr>
        <w:t>ПКЗ</w:t>
      </w:r>
      <w:r w:rsidR="0077185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у групах хворих із скНКР і пНКР високого та низького ступенів диференціації та хрНКР. Однак, діапазон отриманих значень у вказаних групах взаємонакладався, що поруч із відсутністю когорти хворих із доброякісними пухлинами нирок та контрольної групи, унеможливило повноцінний аналіз діагностичного потенціалу вказаних показників [386</w:t>
      </w:r>
      <w:r w:rsidRPr="002101AB">
        <w:rPr>
          <w:rFonts w:ascii="Times New Roman" w:eastAsia="Times New Roman" w:hAnsi="Times New Roman" w:cs="Times New Roman"/>
          <w:sz w:val="28"/>
          <w:szCs w:val="28"/>
          <w:lang w:eastAsia="uk-UA"/>
        </w:rPr>
        <w:t xml:space="preserve">]. </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своєму дослідженні </w:t>
      </w:r>
      <w:r>
        <w:rPr>
          <w:rFonts w:ascii="Times New Roman" w:eastAsia="Times New Roman" w:hAnsi="Times New Roman" w:cs="Times New Roman"/>
          <w:sz w:val="28"/>
          <w:szCs w:val="28"/>
          <w:lang w:val="en-US" w:eastAsia="uk-UA"/>
        </w:rPr>
        <w:t>Kim</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xml:space="preserve">., отримали достовірну різницю у середніх значеннях ІС геморагічних кіст та НКР на Т1-ЗЗ: 2.39 ± 0.99 проти 2.12 ± 0.84 відповідно (p = 0.088), проте, чутливість даного методу не перевищувала 56,5% [230]. У опублікованому в 2017 р. дослідженні </w:t>
      </w:r>
      <w:r>
        <w:rPr>
          <w:rFonts w:ascii="Times New Roman" w:eastAsia="Times New Roman" w:hAnsi="Times New Roman" w:cs="Times New Roman"/>
          <w:sz w:val="28"/>
          <w:szCs w:val="28"/>
          <w:lang w:val="en-US" w:eastAsia="uk-UA"/>
        </w:rPr>
        <w:t>Young</w:t>
      </w:r>
      <w:r>
        <w:rPr>
          <w:rFonts w:ascii="Times New Roman" w:eastAsia="Times New Roman" w:hAnsi="Times New Roman" w:cs="Times New Roman"/>
          <w:sz w:val="28"/>
          <w:szCs w:val="28"/>
          <w:lang w:eastAsia="uk-UA"/>
        </w:rPr>
        <w:t xml:space="preserve"> та співавтори отримали достовірну різницю в середніх значеннях ІС на контрастно посилених МРТ-зображеннях отриманих впродовж КМФ, НФ та ЕФ у хворих із скНКР, пНКР, хрНКР та ОЦ, проте отримані діапазони значень при доброякісних та злоякісних пухлинах знову таки взаємно накладались [448</w:t>
      </w:r>
      <w:r w:rsidRPr="009708A9">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Такі дані свідчать про обмежену роль променевих біомаркерів на основі ІС виміряних на Т1-ЗЗ та Т2-ЗЗ МРТ у якості окремих інструментів у диференційній діагностиці та визначенні гістологічних підтипів НКР.</w:t>
      </w:r>
    </w:p>
    <w:p w:rsidR="001E6EFC" w:rsidRPr="00365EC2" w:rsidRDefault="001E6EFC" w:rsidP="001E6EFC">
      <w:pPr>
        <w:spacing w:line="360" w:lineRule="auto"/>
        <w:ind w:firstLine="708"/>
        <w:jc w:val="both"/>
        <w:rPr>
          <w:rFonts w:ascii="Times New Roman" w:eastAsia="Times New Roman" w:hAnsi="Times New Roman" w:cs="Times New Roman"/>
          <w:b/>
          <w:sz w:val="28"/>
          <w:szCs w:val="28"/>
          <w:lang w:eastAsia="uk-UA"/>
        </w:rPr>
      </w:pPr>
      <w:r w:rsidRPr="00C6656F">
        <w:rPr>
          <w:rFonts w:ascii="Times New Roman" w:eastAsia="Times New Roman" w:hAnsi="Times New Roman" w:cs="Times New Roman"/>
          <w:b/>
          <w:i/>
          <w:sz w:val="28"/>
          <w:szCs w:val="28"/>
          <w:lang w:eastAsia="uk-UA"/>
        </w:rPr>
        <w:t>Парамерти перфузійної МРТ.</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uk-UA"/>
        </w:rPr>
        <w:t xml:space="preserve">У 2010 р. </w:t>
      </w:r>
      <w:r>
        <w:rPr>
          <w:rFonts w:ascii="Times New Roman" w:eastAsia="Times New Roman" w:hAnsi="Times New Roman" w:cs="Times New Roman"/>
          <w:sz w:val="28"/>
          <w:szCs w:val="28"/>
          <w:lang w:val="en-US" w:eastAsia="uk-UA"/>
        </w:rPr>
        <w:t>Notohamiprodjo</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xml:space="preserve">., встановили, що кількісні параметри </w:t>
      </w:r>
      <w:r w:rsidR="00771851">
        <w:rPr>
          <w:rFonts w:ascii="Times New Roman" w:eastAsia="Times New Roman" w:hAnsi="Times New Roman" w:cs="Times New Roman"/>
          <w:sz w:val="28"/>
          <w:szCs w:val="28"/>
          <w:lang w:eastAsia="uk-UA"/>
        </w:rPr>
        <w:t>перфузійної МРТ</w:t>
      </w:r>
      <w:r>
        <w:rPr>
          <w:rFonts w:ascii="Times New Roman" w:eastAsia="Times New Roman" w:hAnsi="Times New Roman" w:cs="Times New Roman"/>
          <w:sz w:val="28"/>
          <w:szCs w:val="28"/>
          <w:lang w:eastAsia="uk-UA"/>
        </w:rPr>
        <w:t xml:space="preserve"> нирок</w:t>
      </w:r>
      <w:r w:rsidR="00771851">
        <w:rPr>
          <w:rFonts w:ascii="Times New Roman" w:eastAsia="Times New Roman" w:hAnsi="Times New Roman" w:cs="Times New Roman"/>
          <w:sz w:val="28"/>
          <w:szCs w:val="28"/>
          <w:lang w:eastAsia="uk-UA"/>
        </w:rPr>
        <w:t xml:space="preserve"> (DCE-</w:t>
      </w:r>
      <w:r w:rsidR="00771851">
        <w:rPr>
          <w:rFonts w:ascii="Times New Roman" w:eastAsia="Times New Roman" w:hAnsi="Times New Roman" w:cs="Times New Roman"/>
          <w:sz w:val="28"/>
          <w:szCs w:val="28"/>
          <w:lang w:val="en-US" w:eastAsia="uk-UA"/>
        </w:rPr>
        <w:t>MRP</w:t>
      </w:r>
      <w:r w:rsidR="0077185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такі як потік плазми (</w:t>
      </w:r>
      <w:r>
        <w:rPr>
          <w:rFonts w:ascii="Times New Roman" w:eastAsia="Times New Roman" w:hAnsi="Times New Roman" w:cs="Times New Roman"/>
          <w:sz w:val="28"/>
          <w:szCs w:val="28"/>
          <w:lang w:val="en-US" w:eastAsia="uk-UA"/>
        </w:rPr>
        <w:t>F</w:t>
      </w:r>
      <w:r>
        <w:rPr>
          <w:rFonts w:ascii="Times New Roman" w:eastAsia="Times New Roman" w:hAnsi="Times New Roman" w:cs="Times New Roman"/>
          <w:sz w:val="28"/>
          <w:szCs w:val="28"/>
          <w:vertAlign w:val="subscript"/>
          <w:lang w:val="en-US" w:eastAsia="uk-UA"/>
        </w:rPr>
        <w:t>p</w:t>
      </w:r>
      <w:r>
        <w:rPr>
          <w:rFonts w:ascii="Times New Roman" w:eastAsia="Times New Roman" w:hAnsi="Times New Roman" w:cs="Times New Roman"/>
          <w:sz w:val="28"/>
          <w:szCs w:val="28"/>
          <w:lang w:eastAsia="uk-UA"/>
        </w:rPr>
        <w:t>) та потік екстракції (</w:t>
      </w:r>
      <w:r>
        <w:rPr>
          <w:rFonts w:ascii="Times New Roman" w:eastAsia="Times New Roman" w:hAnsi="Times New Roman" w:cs="Times New Roman"/>
          <w:sz w:val="28"/>
          <w:szCs w:val="28"/>
          <w:lang w:val="en-US" w:eastAsia="uk-UA"/>
        </w:rPr>
        <w:t>F</w:t>
      </w:r>
      <w:r>
        <w:rPr>
          <w:rFonts w:ascii="Times New Roman" w:eastAsia="Times New Roman" w:hAnsi="Times New Roman" w:cs="Times New Roman"/>
          <w:sz w:val="28"/>
          <w:szCs w:val="28"/>
          <w:vertAlign w:val="subscript"/>
          <w:lang w:eastAsia="uk-UA"/>
        </w:rPr>
        <w:t>Е</w:t>
      </w:r>
      <w:r>
        <w:rPr>
          <w:rFonts w:ascii="Times New Roman" w:eastAsia="Times New Roman" w:hAnsi="Times New Roman" w:cs="Times New Roman"/>
          <w:sz w:val="28"/>
          <w:szCs w:val="28"/>
          <w:lang w:eastAsia="uk-UA"/>
        </w:rPr>
        <w:t>) тканин НКР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=15) та нормальної ниркової паренхіми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=15) значно між собою відрізняються. Крім того, було </w:t>
      </w:r>
      <w:r>
        <w:rPr>
          <w:rFonts w:ascii="Times New Roman" w:eastAsia="Times New Roman" w:hAnsi="Times New Roman" w:cs="Times New Roman"/>
          <w:sz w:val="28"/>
          <w:szCs w:val="28"/>
          <w:lang w:eastAsia="uk-UA"/>
        </w:rPr>
        <w:lastRenderedPageBreak/>
        <w:t>повідомлено про існування специфічних співвідношень параметрів МР-перфузії, які були притаманні для скНКР чи пНКР. Проте, відносно невелика кількість хворих, не дозволила провести глибший аналіз [324]. В іншому невеликому дослідженні, у якому порівнювались параметри DCE-</w:t>
      </w:r>
      <w:r>
        <w:rPr>
          <w:rFonts w:ascii="Times New Roman" w:eastAsia="Times New Roman" w:hAnsi="Times New Roman" w:cs="Times New Roman"/>
          <w:sz w:val="28"/>
          <w:szCs w:val="28"/>
          <w:lang w:val="en-US" w:eastAsia="uk-UA"/>
        </w:rPr>
        <w:t>MRP</w:t>
      </w:r>
      <w:r>
        <w:rPr>
          <w:rFonts w:ascii="Times New Roman" w:eastAsia="Times New Roman" w:hAnsi="Times New Roman" w:cs="Times New Roman"/>
          <w:sz w:val="28"/>
          <w:szCs w:val="28"/>
          <w:lang w:eastAsia="uk-UA"/>
        </w:rPr>
        <w:t xml:space="preserve"> нирок у хворих з скНКР, пНКР та хрНКР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=21) було виявлено, що сурогатний параметр МР-перфузії значно відрізнявся при пухлинах ступенів диференціації </w:t>
      </w:r>
      <w:r>
        <w:rPr>
          <w:rFonts w:ascii="Times New Roman" w:eastAsia="Times New Roman" w:hAnsi="Times New Roman" w:cs="Times New Roman"/>
          <w:sz w:val="28"/>
          <w:szCs w:val="28"/>
          <w:lang w:val="en-US" w:eastAsia="uk-UA"/>
        </w:rPr>
        <w:t>G</w:t>
      </w:r>
      <w:r>
        <w:rPr>
          <w:rFonts w:ascii="Times New Roman" w:eastAsia="Times New Roman" w:hAnsi="Times New Roman" w:cs="Times New Roman"/>
          <w:sz w:val="28"/>
          <w:szCs w:val="28"/>
          <w:lang w:eastAsia="uk-UA"/>
        </w:rPr>
        <w:t xml:space="preserve">2 у порівнянні з </w:t>
      </w:r>
      <w:r>
        <w:rPr>
          <w:rFonts w:ascii="Times New Roman" w:eastAsia="Times New Roman" w:hAnsi="Times New Roman" w:cs="Times New Roman"/>
          <w:sz w:val="28"/>
          <w:szCs w:val="28"/>
          <w:lang w:val="en-US" w:eastAsia="uk-UA"/>
        </w:rPr>
        <w:t>G</w:t>
      </w:r>
      <w:r>
        <w:rPr>
          <w:rFonts w:ascii="Times New Roman" w:eastAsia="Times New Roman" w:hAnsi="Times New Roman" w:cs="Times New Roman"/>
          <w:sz w:val="28"/>
          <w:szCs w:val="28"/>
          <w:lang w:eastAsia="uk-UA"/>
        </w:rPr>
        <w:t xml:space="preserve">3 і становив відповідно 1,59±0,44 мл/гр/хв та 1,08±0, мл/гр/хв (p&lt;0,05). Водночас, в дослідження не входили хворі з ступенями диференціації </w:t>
      </w:r>
      <w:r>
        <w:rPr>
          <w:rFonts w:ascii="Times New Roman" w:eastAsia="Times New Roman" w:hAnsi="Times New Roman" w:cs="Times New Roman"/>
          <w:sz w:val="28"/>
          <w:szCs w:val="28"/>
          <w:lang w:val="en-US" w:eastAsia="uk-UA"/>
        </w:rPr>
        <w:t>G</w:t>
      </w:r>
      <w:r>
        <w:rPr>
          <w:rFonts w:ascii="Times New Roman" w:eastAsia="Times New Roman" w:hAnsi="Times New Roman" w:cs="Times New Roman"/>
          <w:sz w:val="28"/>
          <w:szCs w:val="28"/>
          <w:lang w:eastAsia="uk-UA"/>
        </w:rPr>
        <w:t xml:space="preserve">1 та </w:t>
      </w:r>
      <w:r>
        <w:rPr>
          <w:rFonts w:ascii="Times New Roman" w:eastAsia="Times New Roman" w:hAnsi="Times New Roman" w:cs="Times New Roman"/>
          <w:sz w:val="28"/>
          <w:szCs w:val="28"/>
          <w:lang w:val="en-US" w:eastAsia="uk-UA"/>
        </w:rPr>
        <w:t>G</w:t>
      </w:r>
      <w:r>
        <w:rPr>
          <w:rFonts w:ascii="Times New Roman" w:eastAsia="Times New Roman" w:hAnsi="Times New Roman" w:cs="Times New Roman"/>
          <w:sz w:val="28"/>
          <w:szCs w:val="28"/>
          <w:lang w:eastAsia="uk-UA"/>
        </w:rPr>
        <w:t xml:space="preserve">4, а в результатах не наведено показників МР-перфузії для окремих гістологічних підтипів НКР, що ставить під сумнів можливість практичного використання отриманих даних [333]. За даними </w:t>
      </w:r>
      <w:r>
        <w:rPr>
          <w:rFonts w:ascii="Times New Roman" w:eastAsia="Times New Roman" w:hAnsi="Times New Roman" w:cs="Times New Roman"/>
          <w:sz w:val="28"/>
          <w:szCs w:val="28"/>
          <w:lang w:val="en-US" w:eastAsia="uk-UA"/>
        </w:rPr>
        <w:t>Xu</w:t>
      </w:r>
      <w:r>
        <w:rPr>
          <w:rFonts w:ascii="Times New Roman" w:eastAsia="Times New Roman" w:hAnsi="Times New Roman" w:cs="Times New Roman"/>
          <w:sz w:val="28"/>
          <w:szCs w:val="28"/>
          <w:lang w:eastAsia="uk-UA"/>
        </w:rPr>
        <w:t xml:space="preserve"> та колег, була отримана статистично достовірна різниця (P&lt;0,05) між окремими параметрами МР-перфузії (K</w:t>
      </w:r>
      <w:r>
        <w:rPr>
          <w:rFonts w:ascii="Times New Roman" w:eastAsia="Times New Roman" w:hAnsi="Times New Roman" w:cs="Times New Roman"/>
          <w:sz w:val="28"/>
          <w:szCs w:val="28"/>
          <w:vertAlign w:val="superscript"/>
          <w:lang w:eastAsia="uk-UA"/>
        </w:rPr>
        <w:t>trans</w:t>
      </w:r>
      <w:r>
        <w:rPr>
          <w:rFonts w:ascii="Times New Roman" w:eastAsia="Times New Roman" w:hAnsi="Times New Roman" w:cs="Times New Roman"/>
          <w:sz w:val="28"/>
          <w:szCs w:val="28"/>
          <w:lang w:eastAsia="uk-UA"/>
        </w:rPr>
        <w:t>, K</w:t>
      </w:r>
      <w:r>
        <w:rPr>
          <w:rFonts w:ascii="Times New Roman" w:eastAsia="Times New Roman" w:hAnsi="Times New Roman" w:cs="Times New Roman"/>
          <w:sz w:val="28"/>
          <w:szCs w:val="28"/>
          <w:vertAlign w:val="subscript"/>
          <w:lang w:eastAsia="uk-UA"/>
        </w:rPr>
        <w:t>ep</w:t>
      </w:r>
      <w:r>
        <w:rPr>
          <w:rFonts w:ascii="Times New Roman" w:eastAsia="Times New Roman" w:hAnsi="Times New Roman" w:cs="Times New Roman"/>
          <w:sz w:val="28"/>
          <w:szCs w:val="28"/>
          <w:lang w:eastAsia="uk-UA"/>
        </w:rPr>
        <w:t xml:space="preserve"> та V</w:t>
      </w:r>
      <w:r>
        <w:rPr>
          <w:rFonts w:ascii="Times New Roman" w:eastAsia="Times New Roman" w:hAnsi="Times New Roman" w:cs="Times New Roman"/>
          <w:sz w:val="28"/>
          <w:szCs w:val="28"/>
          <w:vertAlign w:val="subscript"/>
          <w:lang w:eastAsia="uk-UA"/>
        </w:rPr>
        <w:t>e</w:t>
      </w:r>
      <w:r>
        <w:rPr>
          <w:rFonts w:ascii="Times New Roman" w:eastAsia="Times New Roman" w:hAnsi="Times New Roman" w:cs="Times New Roman"/>
          <w:sz w:val="28"/>
          <w:szCs w:val="28"/>
          <w:lang w:eastAsia="uk-UA"/>
        </w:rPr>
        <w:t>) у групах хворих із НКР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=33) та доброякісними пухлинами нирок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=13). Проте, доброякісні пухлини були представлені лише АМЛ, що обмежує потенційне практичне використання методу [435]. </w:t>
      </w: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цілому, складність інтерпретації отриманих результатів, значний час необхідний на їх обробку, необхідність введення контрастної речовини, що може мати наслідком розвиток такого важкого ускладнення, як </w:t>
      </w:r>
      <w:r w:rsidR="00996EB8">
        <w:rPr>
          <w:rFonts w:ascii="Times New Roman" w:hAnsi="Times New Roman" w:cs="Times New Roman"/>
          <w:sz w:val="28"/>
          <w:szCs w:val="28"/>
        </w:rPr>
        <w:t>нефрогенний системний склероз</w:t>
      </w:r>
      <w:r>
        <w:rPr>
          <w:rFonts w:ascii="Times New Roman" w:hAnsi="Times New Roman" w:cs="Times New Roman"/>
          <w:sz w:val="28"/>
          <w:szCs w:val="28"/>
        </w:rPr>
        <w:t xml:space="preserve"> і суттєво підвищує собівартість обстеження – є значними перепонами для реального застосування даної методики в широкій клінічній практиці.</w:t>
      </w:r>
    </w:p>
    <w:p w:rsidR="001E6EFC" w:rsidRPr="00E00D76" w:rsidRDefault="001E6EFC" w:rsidP="001E6EFC">
      <w:pPr>
        <w:spacing w:line="360" w:lineRule="auto"/>
        <w:ind w:firstLine="708"/>
        <w:jc w:val="both"/>
        <w:rPr>
          <w:rFonts w:ascii="Times New Roman" w:eastAsia="Times New Roman" w:hAnsi="Times New Roman" w:cs="Times New Roman"/>
          <w:b/>
          <w:sz w:val="28"/>
          <w:szCs w:val="28"/>
          <w:lang w:eastAsia="uk-UA"/>
        </w:rPr>
      </w:pPr>
      <w:r w:rsidRPr="00C6656F">
        <w:rPr>
          <w:rFonts w:ascii="Times New Roman" w:eastAsia="Times New Roman" w:hAnsi="Times New Roman" w:cs="Times New Roman"/>
          <w:b/>
          <w:i/>
          <w:sz w:val="28"/>
          <w:szCs w:val="28"/>
          <w:lang w:eastAsia="uk-UA"/>
        </w:rPr>
        <w:t>Дифузійно-зважені зображення.</w:t>
      </w:r>
      <w:r>
        <w:rPr>
          <w:rFonts w:ascii="Times New Roman" w:eastAsia="Times New Roman" w:hAnsi="Times New Roman" w:cs="Times New Roman"/>
          <w:b/>
          <w:sz w:val="28"/>
          <w:szCs w:val="28"/>
          <w:lang w:eastAsia="uk-UA"/>
        </w:rPr>
        <w:t xml:space="preserve"> </w:t>
      </w:r>
      <w:r>
        <w:rPr>
          <w:rFonts w:ascii="Times New Roman" w:eastAsia="Times New Roman" w:hAnsi="Times New Roman" w:cs="Times New Roman"/>
          <w:sz w:val="28"/>
          <w:szCs w:val="28"/>
          <w:lang w:eastAsia="uk-UA"/>
        </w:rPr>
        <w:t xml:space="preserve">ДЗЗ </w:t>
      </w:r>
      <w:r>
        <w:rPr>
          <w:rFonts w:ascii="Times New Roman" w:eastAsiaTheme="minorEastAsia" w:hAnsi="Times New Roman" w:cs="Times New Roman"/>
          <w:bCs/>
          <w:sz w:val="28"/>
          <w:szCs w:val="28"/>
        </w:rPr>
        <w:t xml:space="preserve">являють собою </w:t>
      </w:r>
      <w:r>
        <w:rPr>
          <w:rFonts w:ascii="Times New Roman" w:hAnsi="Times New Roman" w:cs="Times New Roman"/>
          <w:sz w:val="28"/>
          <w:szCs w:val="28"/>
        </w:rPr>
        <w:t xml:space="preserve">МРТ модальність, яка використовує сильні біполярні градієнти для посилення чутливості до термічно індукованого броунівського руху молекул водню і дозволяє вимірювати молекулярну дифузію в тканинах in vivo. У даний час майже всі доступні клінічні системи МРТ (1,5 T і 3 Т) мають можливість виконання модальності ДЗЗ на додаток до морфологічної та анатомічної візуалізації. На чорно-білих ДЗЗ тканини із обмеженою дифузією представлені світлішим </w:t>
      </w:r>
      <w:r>
        <w:rPr>
          <w:rFonts w:ascii="Times New Roman" w:hAnsi="Times New Roman" w:cs="Times New Roman"/>
          <w:sz w:val="28"/>
          <w:szCs w:val="28"/>
        </w:rPr>
        <w:lastRenderedPageBreak/>
        <w:t xml:space="preserve">діапазоном спектру, тоді, як ділянки із підвищеною дифузією мають темніший спектр. Це є зручним для візуальної інспекції МР-зображень з метою виявлення новоутворень, які зазвичай мають відмінну від здорових оточуючих тканин здатність до дифузії. </w:t>
      </w: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Вимірюваний коефіцієнт дифузії (ВКД) – це кількісний параметр, який вираховується із кольорових ВКД-карт, які автоматично створюються на основі ДЗЗ і застосовується в якості міри дифузії здорових та уражених тканин. Основним змінним параметром, який впливає на показник ВКД, є </w:t>
      </w:r>
      <w:r>
        <w:rPr>
          <w:rFonts w:ascii="Times New Roman" w:hAnsi="Times New Roman" w:cs="Times New Roman"/>
          <w:sz w:val="28"/>
          <w:szCs w:val="28"/>
          <w:lang w:val="en-US"/>
        </w:rPr>
        <w:t>b</w:t>
      </w:r>
      <w:r>
        <w:rPr>
          <w:rFonts w:ascii="Times New Roman" w:hAnsi="Times New Roman" w:cs="Times New Roman"/>
          <w:sz w:val="28"/>
          <w:szCs w:val="28"/>
        </w:rPr>
        <w:t xml:space="preserve">-значення, яке є фактором, що віддзеркалює силу і тривалість градієнтів, які застосовуються для генерування ДЗЗ. При цьому, чим вище </w:t>
      </w:r>
      <w:r>
        <w:rPr>
          <w:rFonts w:ascii="Times New Roman" w:hAnsi="Times New Roman" w:cs="Times New Roman"/>
          <w:sz w:val="28"/>
          <w:szCs w:val="28"/>
          <w:lang w:val="en-US"/>
        </w:rPr>
        <w:t>b</w:t>
      </w:r>
      <w:r>
        <w:rPr>
          <w:rFonts w:ascii="Times New Roman" w:hAnsi="Times New Roman" w:cs="Times New Roman"/>
          <w:sz w:val="28"/>
          <w:szCs w:val="28"/>
        </w:rPr>
        <w:t xml:space="preserve">-значення, тим сильніше виражений ефект дифузії внаслідок підвищення амплітуди і тривалості градієнту та подовження інтервалу між його імпульсами. Слід зазначити, що при вищих </w:t>
      </w:r>
      <w:r>
        <w:rPr>
          <w:rFonts w:ascii="Times New Roman" w:hAnsi="Times New Roman" w:cs="Times New Roman"/>
          <w:sz w:val="28"/>
          <w:szCs w:val="28"/>
          <w:lang w:val="en-US"/>
        </w:rPr>
        <w:t>b</w:t>
      </w:r>
      <w:r>
        <w:rPr>
          <w:rFonts w:ascii="Times New Roman" w:hAnsi="Times New Roman" w:cs="Times New Roman"/>
          <w:sz w:val="28"/>
          <w:szCs w:val="28"/>
        </w:rPr>
        <w:t xml:space="preserve">-значеннях збільшується ймовірність появи на ДЗЗ зображеннях механічних вібраційних артефактів, у зв’язку із чим в більшості випадків застосовується діапазон </w:t>
      </w:r>
      <w:r>
        <w:rPr>
          <w:rFonts w:ascii="Times New Roman" w:hAnsi="Times New Roman" w:cs="Times New Roman"/>
          <w:sz w:val="28"/>
          <w:szCs w:val="28"/>
          <w:lang w:val="en-US"/>
        </w:rPr>
        <w:t>b</w:t>
      </w:r>
      <w:r>
        <w:rPr>
          <w:rFonts w:ascii="Times New Roman" w:hAnsi="Times New Roman" w:cs="Times New Roman"/>
          <w:sz w:val="28"/>
          <w:szCs w:val="28"/>
        </w:rPr>
        <w:t>-значень в межах між 0 та 1000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Зазвичай використовуються одне, два чи три </w:t>
      </w:r>
      <w:r>
        <w:rPr>
          <w:rFonts w:ascii="Times New Roman" w:hAnsi="Times New Roman" w:cs="Times New Roman"/>
          <w:sz w:val="28"/>
          <w:szCs w:val="28"/>
          <w:lang w:val="en-US"/>
        </w:rPr>
        <w:t>b</w:t>
      </w:r>
      <w:r>
        <w:rPr>
          <w:rFonts w:ascii="Times New Roman" w:hAnsi="Times New Roman" w:cs="Times New Roman"/>
          <w:sz w:val="28"/>
          <w:szCs w:val="28"/>
        </w:rPr>
        <w:t>-значення [</w:t>
      </w:r>
      <w:r>
        <w:rPr>
          <w:rFonts w:ascii="Times New Roman" w:eastAsia="Times New Roman" w:hAnsi="Times New Roman" w:cs="Times New Roman"/>
          <w:sz w:val="28"/>
          <w:szCs w:val="28"/>
          <w:lang w:eastAsia="uk-UA"/>
        </w:rPr>
        <w:t>234</w:t>
      </w:r>
      <w:r>
        <w:rPr>
          <w:rFonts w:ascii="Times New Roman" w:hAnsi="Times New Roman" w:cs="Times New Roman"/>
          <w:sz w:val="28"/>
          <w:szCs w:val="28"/>
        </w:rPr>
        <w:t xml:space="preserve">]. </w:t>
      </w:r>
    </w:p>
    <w:p w:rsidR="001E6EFC" w:rsidRPr="00365EC2"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 теперішнього часу ДЗЗ в основному застосовувались для диференційної діагностики пухлин центральної нервової системи, проте, в останні роки були отримані обнадійливі дані щодо застосування цієї методики у діагностиці захворювань інших органів, у тому числі нирок [</w:t>
      </w:r>
      <w:r>
        <w:rPr>
          <w:rFonts w:ascii="Times New Roman" w:eastAsia="Times New Roman" w:hAnsi="Times New Roman" w:cs="Times New Roman"/>
          <w:sz w:val="28"/>
          <w:szCs w:val="28"/>
          <w:lang w:eastAsia="uk-UA"/>
        </w:rPr>
        <w:t>225, 246, 283</w:t>
      </w:r>
      <w:r>
        <w:rPr>
          <w:rFonts w:ascii="Times New Roman" w:hAnsi="Times New Roman" w:cs="Times New Roman"/>
          <w:sz w:val="28"/>
          <w:szCs w:val="28"/>
        </w:rPr>
        <w:t xml:space="preserve">]. Існують роботи, у яких досліджувалась можливість використання ВКД отриманого з ДЗЗ у якості діагностичного променевого біомаркеру НКР. Оскільки на сьогоднішній день не існує єдиного підходу у виборі  </w:t>
      </w:r>
      <w:r>
        <w:rPr>
          <w:rFonts w:ascii="Times New Roman" w:hAnsi="Times New Roman" w:cs="Times New Roman"/>
          <w:sz w:val="28"/>
          <w:szCs w:val="28"/>
          <w:lang w:val="en-US"/>
        </w:rPr>
        <w:t>b</w:t>
      </w:r>
      <w:r>
        <w:rPr>
          <w:rFonts w:ascii="Times New Roman" w:hAnsi="Times New Roman" w:cs="Times New Roman"/>
          <w:sz w:val="28"/>
          <w:szCs w:val="28"/>
        </w:rPr>
        <w:t xml:space="preserve">-значень для отримання ДЗЗ під час проведення МРТ у хворих із НКР, отримані результати проведених досліджень у більшості випадків не зпівставимі між собою, оскільки у дослідженнях використовувались різні </w:t>
      </w:r>
      <w:r>
        <w:rPr>
          <w:rFonts w:ascii="Times New Roman" w:hAnsi="Times New Roman" w:cs="Times New Roman"/>
          <w:sz w:val="28"/>
          <w:szCs w:val="28"/>
          <w:lang w:val="en-US"/>
        </w:rPr>
        <w:t>b</w:t>
      </w:r>
      <w:r>
        <w:rPr>
          <w:rFonts w:ascii="Times New Roman" w:hAnsi="Times New Roman" w:cs="Times New Roman"/>
          <w:sz w:val="28"/>
          <w:szCs w:val="28"/>
        </w:rPr>
        <w:t xml:space="preserve">-величини. Крім цього, не було опубліковано жодного дослідження, у якому би були представлені всі основні гістологічні підтипи НКР, підгрупи згідно </w:t>
      </w:r>
      <w:r w:rsidR="00B02037">
        <w:rPr>
          <w:rFonts w:ascii="Times New Roman" w:hAnsi="Times New Roman" w:cs="Times New Roman"/>
          <w:sz w:val="28"/>
          <w:szCs w:val="28"/>
        </w:rPr>
        <w:t>ступеня</w:t>
      </w:r>
      <w:r>
        <w:rPr>
          <w:rFonts w:ascii="Times New Roman" w:hAnsi="Times New Roman" w:cs="Times New Roman"/>
          <w:sz w:val="28"/>
          <w:szCs w:val="28"/>
        </w:rPr>
        <w:t xml:space="preserve"> диференціації даного ЗН за </w:t>
      </w:r>
      <w:r>
        <w:rPr>
          <w:rFonts w:ascii="Times New Roman" w:hAnsi="Times New Roman" w:cs="Times New Roman"/>
          <w:sz w:val="28"/>
          <w:szCs w:val="28"/>
          <w:lang w:val="en-US"/>
        </w:rPr>
        <w:t>Fuhrman</w:t>
      </w:r>
      <w:r>
        <w:rPr>
          <w:rFonts w:ascii="Times New Roman" w:hAnsi="Times New Roman" w:cs="Times New Roman"/>
          <w:sz w:val="28"/>
          <w:szCs w:val="28"/>
        </w:rPr>
        <w:t xml:space="preserve">, солідні доброякісні пухлини включно із </w:t>
      </w:r>
      <w:r>
        <w:rPr>
          <w:rFonts w:ascii="Times New Roman" w:hAnsi="Times New Roman" w:cs="Times New Roman"/>
          <w:sz w:val="28"/>
          <w:szCs w:val="28"/>
        </w:rPr>
        <w:lastRenderedPageBreak/>
        <w:t xml:space="preserve">ОЦ, АМЛ і ПА, кістозні новоутворення всіх ступенів за </w:t>
      </w:r>
      <w:r>
        <w:rPr>
          <w:rFonts w:ascii="Times New Roman" w:hAnsi="Times New Roman" w:cs="Times New Roman"/>
          <w:sz w:val="28"/>
          <w:szCs w:val="28"/>
          <w:lang w:val="en-US"/>
        </w:rPr>
        <w:t>Bosniak</w:t>
      </w:r>
      <w:r>
        <w:rPr>
          <w:rFonts w:ascii="Times New Roman" w:hAnsi="Times New Roman" w:cs="Times New Roman"/>
          <w:sz w:val="28"/>
          <w:szCs w:val="28"/>
        </w:rPr>
        <w:t xml:space="preserve"> та контрольна група із здоровою нирковою паренхімою, а отже повноцінно не проаналізований діагностичний потенціал ДЗЗ та ВКД.  </w:t>
      </w:r>
    </w:p>
    <w:p w:rsidR="001E6EFC" w:rsidRDefault="001E6EFC" w:rsidP="001E6EFC">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Так, у дослідженні </w:t>
      </w:r>
      <w:r>
        <w:rPr>
          <w:rFonts w:ascii="Times New Roman" w:eastAsia="Times New Roman" w:hAnsi="Times New Roman" w:cs="Times New Roman"/>
          <w:sz w:val="28"/>
          <w:szCs w:val="28"/>
          <w:lang w:val="en-US" w:eastAsia="uk-UA"/>
        </w:rPr>
        <w:t>Kilickesmez</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було отримано достовірну різницю (p&lt;0,05) у середніх значеннях ВКД нормальної ниркової паренхіми (</w:t>
      </w:r>
      <w:r>
        <w:rPr>
          <w:rFonts w:ascii="Times New Roman" w:hAnsi="Times New Roman" w:cs="Times New Roman"/>
          <w:color w:val="000000"/>
          <w:sz w:val="28"/>
          <w:szCs w:val="28"/>
          <w:shd w:val="clear" w:color="auto" w:fill="FFFFFF"/>
        </w:rPr>
        <w:t>2,08±0,22×10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 для кори нирки та 1,94±0,18×10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 для мозкового шару нирки),</w:t>
      </w:r>
      <w:r>
        <w:rPr>
          <w:rFonts w:ascii="Times New Roman" w:eastAsia="Times New Roman" w:hAnsi="Times New Roman" w:cs="Times New Roman"/>
          <w:sz w:val="28"/>
          <w:szCs w:val="28"/>
          <w:lang w:eastAsia="uk-UA"/>
        </w:rPr>
        <w:t xml:space="preserve"> солідного НКР (</w:t>
      </w:r>
      <w:r>
        <w:rPr>
          <w:rFonts w:ascii="Times New Roman" w:hAnsi="Times New Roman" w:cs="Times New Roman"/>
          <w:color w:val="000000"/>
          <w:sz w:val="28"/>
          <w:szCs w:val="28"/>
          <w:shd w:val="clear" w:color="auto" w:fill="FFFFFF"/>
        </w:rPr>
        <w:t>1,06±0,39×10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w:t>
      </w:r>
      <w:r>
        <w:rPr>
          <w:rFonts w:ascii="Times New Roman" w:eastAsia="Times New Roman" w:hAnsi="Times New Roman" w:cs="Times New Roman"/>
          <w:sz w:val="28"/>
          <w:szCs w:val="28"/>
          <w:lang w:eastAsia="uk-UA"/>
        </w:rPr>
        <w:t>, простих кіст нирок (</w:t>
      </w:r>
      <w:r>
        <w:rPr>
          <w:rFonts w:ascii="Times New Roman" w:hAnsi="Times New Roman" w:cs="Times New Roman"/>
          <w:color w:val="000000"/>
          <w:sz w:val="28"/>
          <w:szCs w:val="28"/>
          <w:shd w:val="clear" w:color="auto" w:fill="FFFFFF"/>
        </w:rPr>
        <w:t>2,94±0,20×10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w:t>
      </w:r>
      <w:r>
        <w:rPr>
          <w:rFonts w:ascii="Times New Roman" w:eastAsia="Times New Roman" w:hAnsi="Times New Roman" w:cs="Times New Roman"/>
          <w:sz w:val="28"/>
          <w:szCs w:val="28"/>
          <w:lang w:eastAsia="uk-UA"/>
        </w:rPr>
        <w:t xml:space="preserve"> та АМЛ (</w:t>
      </w:r>
      <w:r>
        <w:rPr>
          <w:rFonts w:ascii="Times New Roman" w:hAnsi="Times New Roman" w:cs="Times New Roman"/>
          <w:color w:val="000000"/>
          <w:sz w:val="28"/>
          <w:szCs w:val="28"/>
          <w:shd w:val="clear" w:color="auto" w:fill="FFFFFF"/>
        </w:rPr>
        <w:t>1,40±0,21×10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 xml:space="preserve">/сек) при застосуванні </w:t>
      </w:r>
      <w:r>
        <w:rPr>
          <w:rFonts w:ascii="Times New Roman" w:hAnsi="Times New Roman" w:cs="Times New Roman"/>
          <w:sz w:val="28"/>
          <w:szCs w:val="28"/>
          <w:lang w:val="en-US"/>
        </w:rPr>
        <w:t>b</w:t>
      </w:r>
      <w:r>
        <w:rPr>
          <w:rFonts w:ascii="Times New Roman" w:hAnsi="Times New Roman" w:cs="Times New Roman"/>
          <w:sz w:val="28"/>
          <w:szCs w:val="28"/>
        </w:rPr>
        <w:t>-величин 0, 500 та 1000 сек/мм</w:t>
      </w:r>
      <w:r>
        <w:rPr>
          <w:rFonts w:ascii="Times New Roman" w:hAnsi="Times New Roman" w:cs="Times New Roman"/>
          <w:sz w:val="28"/>
          <w:szCs w:val="28"/>
          <w:vertAlign w:val="superscript"/>
        </w:rPr>
        <w:t xml:space="preserve">2 </w:t>
      </w:r>
      <w:r>
        <w:rPr>
          <w:rFonts w:ascii="Times New Roman" w:hAnsi="Times New Roman" w:cs="Times New Roman"/>
          <w:sz w:val="28"/>
          <w:szCs w:val="28"/>
        </w:rPr>
        <w:t>[</w:t>
      </w:r>
      <w:r>
        <w:rPr>
          <w:rFonts w:ascii="Times New Roman" w:eastAsia="Times New Roman" w:hAnsi="Times New Roman" w:cs="Times New Roman"/>
          <w:sz w:val="28"/>
          <w:szCs w:val="28"/>
          <w:lang w:eastAsia="uk-UA"/>
        </w:rPr>
        <w:t>229</w:t>
      </w:r>
      <w:r>
        <w:rPr>
          <w:rFonts w:ascii="Times New Roman" w:hAnsi="Times New Roman" w:cs="Times New Roman"/>
          <w:sz w:val="28"/>
          <w:szCs w:val="28"/>
        </w:rPr>
        <w:t>]. В іншій роботі (</w:t>
      </w:r>
      <w:r>
        <w:rPr>
          <w:rFonts w:ascii="Times New Roman" w:hAnsi="Times New Roman" w:cs="Times New Roman"/>
          <w:sz w:val="28"/>
          <w:szCs w:val="28"/>
          <w:lang w:val="en-US"/>
        </w:rPr>
        <w:t>n</w:t>
      </w:r>
      <w:r>
        <w:rPr>
          <w:rFonts w:ascii="Times New Roman" w:hAnsi="Times New Roman" w:cs="Times New Roman"/>
          <w:sz w:val="28"/>
          <w:szCs w:val="28"/>
        </w:rPr>
        <w:t xml:space="preserve">=47) було отримано достовірну різницю </w:t>
      </w:r>
      <w:r>
        <w:rPr>
          <w:rFonts w:ascii="Times New Roman" w:eastAsia="Times New Roman" w:hAnsi="Times New Roman" w:cs="Times New Roman"/>
          <w:sz w:val="28"/>
          <w:szCs w:val="28"/>
          <w:lang w:eastAsia="uk-UA"/>
        </w:rPr>
        <w:t>(p&lt;0,05) між середніми показниками ВКД у хворих із НКР (</w:t>
      </w:r>
      <w:r>
        <w:rPr>
          <w:rFonts w:ascii="Times New Roman" w:hAnsi="Times New Roman" w:cs="Times New Roman"/>
          <w:color w:val="000000"/>
          <w:sz w:val="28"/>
          <w:szCs w:val="28"/>
          <w:shd w:val="clear" w:color="auto" w:fill="FFFFFF"/>
        </w:rPr>
        <w:t>2,71±2,35×10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w:t>
      </w:r>
      <w:r>
        <w:rPr>
          <w:rFonts w:ascii="Times New Roman" w:eastAsia="Times New Roman" w:hAnsi="Times New Roman" w:cs="Times New Roman"/>
          <w:sz w:val="28"/>
          <w:szCs w:val="28"/>
          <w:lang w:eastAsia="uk-UA"/>
        </w:rPr>
        <w:t xml:space="preserve"> та перехідно-клітинною карциномою (ПКК) ниркової миски (</w:t>
      </w:r>
      <w:r>
        <w:rPr>
          <w:rFonts w:ascii="Times New Roman" w:hAnsi="Times New Roman" w:cs="Times New Roman"/>
          <w:color w:val="000000"/>
          <w:sz w:val="28"/>
          <w:szCs w:val="28"/>
          <w:shd w:val="clear" w:color="auto" w:fill="FFFFFF"/>
        </w:rPr>
        <w:t>1,61±0,80×10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 xml:space="preserve">/сек), проте з дослідження були виключені хворі з доброякісними пухлинами нирок; при цьому </w:t>
      </w:r>
      <w:r>
        <w:rPr>
          <w:rFonts w:ascii="Times New Roman" w:hAnsi="Times New Roman" w:cs="Times New Roman"/>
          <w:sz w:val="28"/>
          <w:szCs w:val="28"/>
          <w:lang w:val="en-US"/>
        </w:rPr>
        <w:t>b</w:t>
      </w:r>
      <w:r>
        <w:rPr>
          <w:rFonts w:ascii="Times New Roman" w:hAnsi="Times New Roman" w:cs="Times New Roman"/>
          <w:sz w:val="28"/>
          <w:szCs w:val="28"/>
        </w:rPr>
        <w:t>-величини становили 0, 300 та 1000 сек/мм</w:t>
      </w:r>
      <w:r>
        <w:rPr>
          <w:rFonts w:ascii="Times New Roman" w:hAnsi="Times New Roman" w:cs="Times New Roman"/>
          <w:sz w:val="28"/>
          <w:szCs w:val="28"/>
          <w:vertAlign w:val="superscript"/>
        </w:rPr>
        <w:t>2</w:t>
      </w:r>
      <w:r>
        <w:rPr>
          <w:rFonts w:ascii="Times New Roman" w:hAnsi="Times New Roman" w:cs="Times New Roman"/>
          <w:color w:val="000000"/>
          <w:sz w:val="28"/>
          <w:szCs w:val="28"/>
          <w:shd w:val="clear" w:color="auto" w:fill="FFFFFF"/>
        </w:rPr>
        <w:t xml:space="preserve"> [</w:t>
      </w:r>
      <w:r>
        <w:rPr>
          <w:rFonts w:ascii="Times New Roman" w:eastAsia="Times New Roman" w:hAnsi="Times New Roman" w:cs="Times New Roman"/>
          <w:sz w:val="28"/>
          <w:szCs w:val="28"/>
          <w:lang w:eastAsia="uk-UA"/>
        </w:rPr>
        <w:t>339</w:t>
      </w:r>
      <w:r>
        <w:rPr>
          <w:rFonts w:ascii="Times New Roman" w:hAnsi="Times New Roman" w:cs="Times New Roman"/>
          <w:color w:val="000000"/>
          <w:sz w:val="28"/>
          <w:szCs w:val="28"/>
          <w:shd w:val="clear" w:color="auto" w:fill="FFFFFF"/>
        </w:rPr>
        <w:t xml:space="preserve">]. </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sidRPr="00280C4B">
        <w:rPr>
          <w:rFonts w:ascii="Times New Roman" w:eastAsia="Times New Roman" w:hAnsi="Times New Roman" w:cs="Times New Roman"/>
          <w:sz w:val="28"/>
          <w:szCs w:val="28"/>
          <w:lang w:eastAsia="uk-UA"/>
        </w:rPr>
        <w:t xml:space="preserve">Rosenkrantz та колеги у хворих із виключно конвенційним підтипом НКР отримали достовірну різницю у середніх значеннях ВКД при пухлинах високого та низького </w:t>
      </w:r>
      <w:r w:rsidR="00B02037">
        <w:rPr>
          <w:rFonts w:ascii="Times New Roman" w:eastAsia="Times New Roman" w:hAnsi="Times New Roman" w:cs="Times New Roman"/>
          <w:sz w:val="28"/>
          <w:szCs w:val="28"/>
          <w:lang w:eastAsia="uk-UA"/>
        </w:rPr>
        <w:t>ступеня</w:t>
      </w:r>
      <w:r w:rsidRPr="00280C4B">
        <w:rPr>
          <w:rFonts w:ascii="Times New Roman" w:eastAsia="Times New Roman" w:hAnsi="Times New Roman" w:cs="Times New Roman"/>
          <w:sz w:val="28"/>
          <w:szCs w:val="28"/>
          <w:lang w:eastAsia="uk-UA"/>
        </w:rPr>
        <w:t xml:space="preserve"> за Fuhrman: відповідно 2,24±0,50 </w:t>
      </w:r>
      <w:r w:rsidRPr="00280C4B">
        <w:rPr>
          <w:rFonts w:ascii="Times New Roman" w:hAnsi="Times New Roman" w:cs="Times New Roman"/>
          <w:color w:val="000000"/>
          <w:sz w:val="28"/>
          <w:szCs w:val="28"/>
          <w:shd w:val="clear" w:color="auto" w:fill="FFFFFF"/>
        </w:rPr>
        <w:t>×10</w:t>
      </w:r>
      <w:r w:rsidRPr="00280C4B">
        <w:rPr>
          <w:rFonts w:ascii="Times New Roman" w:hAnsi="Times New Roman" w:cs="Times New Roman"/>
          <w:color w:val="000000"/>
          <w:sz w:val="28"/>
          <w:szCs w:val="28"/>
          <w:shd w:val="clear" w:color="auto" w:fill="FFFFFF"/>
          <w:vertAlign w:val="superscript"/>
        </w:rPr>
        <w:t>-3</w:t>
      </w:r>
      <w:r w:rsidRPr="00280C4B">
        <w:rPr>
          <w:rFonts w:ascii="Times New Roman" w:hAnsi="Times New Roman" w:cs="Times New Roman"/>
          <w:color w:val="000000"/>
          <w:sz w:val="28"/>
          <w:szCs w:val="28"/>
          <w:shd w:val="clear" w:color="auto" w:fill="FFFFFF"/>
        </w:rPr>
        <w:t xml:space="preserve"> мм</w:t>
      </w:r>
      <w:r w:rsidRPr="00280C4B">
        <w:rPr>
          <w:rFonts w:ascii="Times New Roman" w:hAnsi="Times New Roman" w:cs="Times New Roman"/>
          <w:color w:val="000000"/>
          <w:sz w:val="28"/>
          <w:szCs w:val="28"/>
          <w:shd w:val="clear" w:color="auto" w:fill="FFFFFF"/>
          <w:vertAlign w:val="superscript"/>
        </w:rPr>
        <w:t>2</w:t>
      </w:r>
      <w:r w:rsidRPr="00280C4B">
        <w:rPr>
          <w:rFonts w:ascii="Times New Roman" w:hAnsi="Times New Roman" w:cs="Times New Roman"/>
          <w:color w:val="000000"/>
          <w:sz w:val="28"/>
          <w:szCs w:val="28"/>
          <w:shd w:val="clear" w:color="auto" w:fill="FFFFFF"/>
        </w:rPr>
        <w:t>/сек</w:t>
      </w:r>
      <w:r w:rsidRPr="00280C4B">
        <w:rPr>
          <w:rFonts w:ascii="Times New Roman" w:eastAsia="Times New Roman" w:hAnsi="Times New Roman" w:cs="Times New Roman"/>
          <w:sz w:val="28"/>
          <w:szCs w:val="28"/>
          <w:lang w:eastAsia="uk-UA"/>
        </w:rPr>
        <w:t xml:space="preserve"> проти 1,59±0,57 </w:t>
      </w:r>
      <w:r w:rsidRPr="00280C4B">
        <w:rPr>
          <w:rFonts w:ascii="Times New Roman" w:hAnsi="Times New Roman" w:cs="Times New Roman"/>
          <w:color w:val="000000"/>
          <w:sz w:val="28"/>
          <w:szCs w:val="28"/>
          <w:shd w:val="clear" w:color="auto" w:fill="FFFFFF"/>
        </w:rPr>
        <w:t>×10</w:t>
      </w:r>
      <w:r w:rsidRPr="00280C4B">
        <w:rPr>
          <w:rFonts w:ascii="Times New Roman" w:hAnsi="Times New Roman" w:cs="Times New Roman"/>
          <w:color w:val="000000"/>
          <w:sz w:val="28"/>
          <w:szCs w:val="28"/>
          <w:shd w:val="clear" w:color="auto" w:fill="FFFFFF"/>
          <w:vertAlign w:val="superscript"/>
        </w:rPr>
        <w:t>-3</w:t>
      </w:r>
      <w:r w:rsidRPr="00280C4B">
        <w:rPr>
          <w:rFonts w:ascii="Times New Roman" w:hAnsi="Times New Roman" w:cs="Times New Roman"/>
          <w:color w:val="000000"/>
          <w:sz w:val="28"/>
          <w:szCs w:val="28"/>
          <w:shd w:val="clear" w:color="auto" w:fill="FFFFFF"/>
        </w:rPr>
        <w:t xml:space="preserve"> мм</w:t>
      </w:r>
      <w:r w:rsidRPr="00280C4B">
        <w:rPr>
          <w:rFonts w:ascii="Times New Roman" w:hAnsi="Times New Roman" w:cs="Times New Roman"/>
          <w:color w:val="000000"/>
          <w:sz w:val="28"/>
          <w:szCs w:val="28"/>
          <w:shd w:val="clear" w:color="auto" w:fill="FFFFFF"/>
          <w:vertAlign w:val="superscript"/>
        </w:rPr>
        <w:t>2</w:t>
      </w:r>
      <w:r w:rsidRPr="00280C4B">
        <w:rPr>
          <w:rFonts w:ascii="Times New Roman" w:hAnsi="Times New Roman" w:cs="Times New Roman"/>
          <w:color w:val="000000"/>
          <w:sz w:val="28"/>
          <w:szCs w:val="28"/>
          <w:shd w:val="clear" w:color="auto" w:fill="FFFFFF"/>
        </w:rPr>
        <w:t>/сек</w:t>
      </w:r>
      <w:r w:rsidRPr="00280C4B">
        <w:rPr>
          <w:rFonts w:ascii="Times New Roman" w:eastAsia="Times New Roman" w:hAnsi="Times New Roman" w:cs="Times New Roman"/>
          <w:sz w:val="28"/>
          <w:szCs w:val="28"/>
          <w:lang w:eastAsia="uk-UA"/>
        </w:rPr>
        <w:t xml:space="preserve"> при </w:t>
      </w:r>
      <w:r w:rsidRPr="00280C4B">
        <w:rPr>
          <w:rFonts w:ascii="Times New Roman" w:hAnsi="Times New Roman" w:cs="Times New Roman"/>
          <w:sz w:val="28"/>
          <w:szCs w:val="28"/>
        </w:rPr>
        <w:t>b-величинах 0 і 400 сек/мм</w:t>
      </w:r>
      <w:r w:rsidRPr="00280C4B">
        <w:rPr>
          <w:rFonts w:ascii="Times New Roman" w:hAnsi="Times New Roman" w:cs="Times New Roman"/>
          <w:sz w:val="28"/>
          <w:szCs w:val="28"/>
          <w:vertAlign w:val="superscript"/>
        </w:rPr>
        <w:t>2</w:t>
      </w:r>
      <w:r w:rsidRPr="00280C4B">
        <w:rPr>
          <w:rFonts w:ascii="Times New Roman" w:eastAsia="Times New Roman" w:hAnsi="Times New Roman" w:cs="Times New Roman"/>
          <w:sz w:val="28"/>
          <w:szCs w:val="28"/>
          <w:lang w:eastAsia="uk-UA"/>
        </w:rPr>
        <w:t xml:space="preserve"> (p&lt;0,001) та 1,85±0,40 </w:t>
      </w:r>
      <w:r w:rsidRPr="00280C4B">
        <w:rPr>
          <w:rFonts w:ascii="Times New Roman" w:hAnsi="Times New Roman" w:cs="Times New Roman"/>
          <w:color w:val="000000"/>
          <w:sz w:val="28"/>
          <w:szCs w:val="28"/>
          <w:shd w:val="clear" w:color="auto" w:fill="FFFFFF"/>
        </w:rPr>
        <w:t>×10</w:t>
      </w:r>
      <w:r w:rsidRPr="00280C4B">
        <w:rPr>
          <w:rFonts w:ascii="Times New Roman" w:hAnsi="Times New Roman" w:cs="Times New Roman"/>
          <w:color w:val="000000"/>
          <w:sz w:val="28"/>
          <w:szCs w:val="28"/>
          <w:shd w:val="clear" w:color="auto" w:fill="FFFFFF"/>
          <w:vertAlign w:val="superscript"/>
        </w:rPr>
        <w:t>-3</w:t>
      </w:r>
      <w:r w:rsidRPr="00280C4B">
        <w:rPr>
          <w:rFonts w:ascii="Times New Roman" w:hAnsi="Times New Roman" w:cs="Times New Roman"/>
          <w:color w:val="000000"/>
          <w:sz w:val="28"/>
          <w:szCs w:val="28"/>
          <w:shd w:val="clear" w:color="auto" w:fill="FFFFFF"/>
        </w:rPr>
        <w:t xml:space="preserve"> мм</w:t>
      </w:r>
      <w:r w:rsidRPr="00280C4B">
        <w:rPr>
          <w:rFonts w:ascii="Times New Roman" w:hAnsi="Times New Roman" w:cs="Times New Roman"/>
          <w:color w:val="000000"/>
          <w:sz w:val="28"/>
          <w:szCs w:val="28"/>
          <w:shd w:val="clear" w:color="auto" w:fill="FFFFFF"/>
          <w:vertAlign w:val="superscript"/>
        </w:rPr>
        <w:t>2</w:t>
      </w:r>
      <w:r w:rsidRPr="00280C4B">
        <w:rPr>
          <w:rFonts w:ascii="Times New Roman" w:hAnsi="Times New Roman" w:cs="Times New Roman"/>
          <w:color w:val="000000"/>
          <w:sz w:val="28"/>
          <w:szCs w:val="28"/>
          <w:shd w:val="clear" w:color="auto" w:fill="FFFFFF"/>
        </w:rPr>
        <w:t>/сек</w:t>
      </w:r>
      <w:r w:rsidRPr="00280C4B">
        <w:rPr>
          <w:rFonts w:ascii="Times New Roman" w:eastAsia="Times New Roman" w:hAnsi="Times New Roman" w:cs="Times New Roman"/>
          <w:sz w:val="28"/>
          <w:szCs w:val="28"/>
          <w:lang w:eastAsia="uk-UA"/>
        </w:rPr>
        <w:t xml:space="preserve"> проти 1,28±0,48 </w:t>
      </w:r>
      <w:r w:rsidRPr="00280C4B">
        <w:rPr>
          <w:rFonts w:ascii="Times New Roman" w:hAnsi="Times New Roman" w:cs="Times New Roman"/>
          <w:color w:val="000000"/>
          <w:sz w:val="28"/>
          <w:szCs w:val="28"/>
          <w:shd w:val="clear" w:color="auto" w:fill="FFFFFF"/>
        </w:rPr>
        <w:t>×10</w:t>
      </w:r>
      <w:r w:rsidRPr="00280C4B">
        <w:rPr>
          <w:rFonts w:ascii="Times New Roman" w:hAnsi="Times New Roman" w:cs="Times New Roman"/>
          <w:color w:val="000000"/>
          <w:sz w:val="28"/>
          <w:szCs w:val="28"/>
          <w:shd w:val="clear" w:color="auto" w:fill="FFFFFF"/>
          <w:vertAlign w:val="superscript"/>
        </w:rPr>
        <w:t>-3</w:t>
      </w:r>
      <w:r w:rsidRPr="00280C4B">
        <w:rPr>
          <w:rFonts w:ascii="Times New Roman" w:hAnsi="Times New Roman" w:cs="Times New Roman"/>
          <w:color w:val="000000"/>
          <w:sz w:val="28"/>
          <w:szCs w:val="28"/>
          <w:shd w:val="clear" w:color="auto" w:fill="FFFFFF"/>
        </w:rPr>
        <w:t xml:space="preserve"> мм</w:t>
      </w:r>
      <w:r w:rsidRPr="00280C4B">
        <w:rPr>
          <w:rFonts w:ascii="Times New Roman" w:hAnsi="Times New Roman" w:cs="Times New Roman"/>
          <w:color w:val="000000"/>
          <w:sz w:val="28"/>
          <w:szCs w:val="28"/>
          <w:shd w:val="clear" w:color="auto" w:fill="FFFFFF"/>
          <w:vertAlign w:val="superscript"/>
        </w:rPr>
        <w:t>2</w:t>
      </w:r>
      <w:r w:rsidRPr="00280C4B">
        <w:rPr>
          <w:rFonts w:ascii="Times New Roman" w:hAnsi="Times New Roman" w:cs="Times New Roman"/>
          <w:color w:val="000000"/>
          <w:sz w:val="28"/>
          <w:szCs w:val="28"/>
          <w:shd w:val="clear" w:color="auto" w:fill="FFFFFF"/>
        </w:rPr>
        <w:t>/сек</w:t>
      </w:r>
      <w:r w:rsidRPr="00280C4B">
        <w:rPr>
          <w:rFonts w:ascii="Times New Roman" w:eastAsia="Times New Roman" w:hAnsi="Times New Roman" w:cs="Times New Roman"/>
          <w:sz w:val="28"/>
          <w:szCs w:val="28"/>
          <w:lang w:eastAsia="uk-UA"/>
        </w:rPr>
        <w:t xml:space="preserve"> при </w:t>
      </w:r>
      <w:r w:rsidRPr="00280C4B">
        <w:rPr>
          <w:rFonts w:ascii="Times New Roman" w:hAnsi="Times New Roman" w:cs="Times New Roman"/>
          <w:sz w:val="28"/>
          <w:szCs w:val="28"/>
        </w:rPr>
        <w:t>b-величинах 0 і 800 сек/мм</w:t>
      </w:r>
      <w:r w:rsidRPr="00280C4B">
        <w:rPr>
          <w:rFonts w:ascii="Times New Roman" w:hAnsi="Times New Roman" w:cs="Times New Roman"/>
          <w:sz w:val="28"/>
          <w:szCs w:val="28"/>
          <w:vertAlign w:val="superscript"/>
        </w:rPr>
        <w:t>2</w:t>
      </w:r>
      <w:r w:rsidRPr="00280C4B">
        <w:rPr>
          <w:rFonts w:ascii="Times New Roman" w:eastAsia="Times New Roman" w:hAnsi="Times New Roman" w:cs="Times New Roman"/>
          <w:sz w:val="28"/>
          <w:szCs w:val="28"/>
          <w:lang w:eastAsia="uk-UA"/>
        </w:rPr>
        <w:t xml:space="preserve"> (p&lt;0,001) [361].</w:t>
      </w:r>
      <w:r w:rsidRPr="0098384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При застосуванні </w:t>
      </w:r>
      <w:r>
        <w:rPr>
          <w:rFonts w:ascii="Times New Roman" w:hAnsi="Times New Roman" w:cs="Times New Roman"/>
          <w:sz w:val="28"/>
          <w:szCs w:val="28"/>
          <w:lang w:val="en-US"/>
        </w:rPr>
        <w:t>b</w:t>
      </w:r>
      <w:r>
        <w:rPr>
          <w:rFonts w:ascii="Times New Roman" w:hAnsi="Times New Roman" w:cs="Times New Roman"/>
          <w:sz w:val="28"/>
          <w:szCs w:val="28"/>
        </w:rPr>
        <w:t>-величин 100, 600 та 1000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w:t>
      </w:r>
      <w:r>
        <w:rPr>
          <w:rFonts w:ascii="Times New Roman" w:eastAsia="Times New Roman" w:hAnsi="Times New Roman" w:cs="Times New Roman"/>
          <w:sz w:val="28"/>
          <w:szCs w:val="28"/>
          <w:lang w:val="en-US" w:eastAsia="uk-UA"/>
        </w:rPr>
        <w:t>Do</w:t>
      </w:r>
      <w:r>
        <w:rPr>
          <w:rFonts w:ascii="Times New Roman" w:eastAsia="Times New Roman" w:hAnsi="Times New Roman" w:cs="Times New Roman"/>
          <w:sz w:val="28"/>
          <w:szCs w:val="28"/>
          <w:lang w:eastAsia="uk-UA"/>
        </w:rPr>
        <w:t>ğ</w:t>
      </w:r>
      <w:r>
        <w:rPr>
          <w:rFonts w:ascii="Times New Roman" w:eastAsia="Times New Roman" w:hAnsi="Times New Roman" w:cs="Times New Roman"/>
          <w:sz w:val="28"/>
          <w:szCs w:val="28"/>
          <w:lang w:val="en-US" w:eastAsia="uk-UA"/>
        </w:rPr>
        <w:t>anay</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xml:space="preserve">. при диференціації НКР та доброякісних пухлин нирок (ОЦ та АМЛ) за допомогою ВКД отримали окремо для кожного із цих значень досить низькі показники специфічності – відповідно 31,4% (95% ДІ=16,9-49,3), 48,5% (95% ДІ=31,4-66,0) та 45,7% (95% ДІ=28,8-63,4) [136]. </w:t>
      </w:r>
    </w:p>
    <w:p w:rsidR="001E6EFC" w:rsidRDefault="001E6EFC" w:rsidP="001E6EFC">
      <w:pPr>
        <w:spacing w:line="360" w:lineRule="auto"/>
        <w:ind w:firstLine="708"/>
        <w:jc w:val="both"/>
        <w:rPr>
          <w:rFonts w:ascii="Times New Roman" w:hAnsi="Times New Roman" w:cs="Times New Roman"/>
          <w:color w:val="000000"/>
          <w:sz w:val="28"/>
          <w:szCs w:val="28"/>
          <w:shd w:val="clear" w:color="auto" w:fill="FFFFFF"/>
        </w:rPr>
      </w:pPr>
      <w:r>
        <w:rPr>
          <w:rFonts w:ascii="Times New Roman" w:eastAsia="Times New Roman" w:hAnsi="Times New Roman" w:cs="Times New Roman"/>
          <w:sz w:val="28"/>
          <w:szCs w:val="28"/>
          <w:lang w:eastAsia="uk-UA"/>
        </w:rPr>
        <w:t xml:space="preserve">За результатами дослідження </w:t>
      </w:r>
      <w:r>
        <w:rPr>
          <w:rFonts w:ascii="Times New Roman" w:eastAsia="Times New Roman" w:hAnsi="Times New Roman" w:cs="Times New Roman"/>
          <w:sz w:val="28"/>
          <w:szCs w:val="28"/>
          <w:lang w:val="en-US" w:eastAsia="uk-UA"/>
        </w:rPr>
        <w:t>Goyal</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=33), при використанні </w:t>
      </w:r>
      <w:r>
        <w:rPr>
          <w:rFonts w:ascii="Times New Roman" w:hAnsi="Times New Roman" w:cs="Times New Roman"/>
          <w:sz w:val="28"/>
          <w:szCs w:val="28"/>
          <w:lang w:val="en-US"/>
        </w:rPr>
        <w:t>b</w:t>
      </w:r>
      <w:r>
        <w:rPr>
          <w:rFonts w:ascii="Times New Roman" w:hAnsi="Times New Roman" w:cs="Times New Roman"/>
          <w:sz w:val="28"/>
          <w:szCs w:val="28"/>
        </w:rPr>
        <w:t>-величин 0 і 500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середні значення ВКД при скНКР та несвітлоклітинному НКР значно відрізнялись і становили відповідно 1,62 та 1,04 </w:t>
      </w:r>
      <w:r>
        <w:rPr>
          <w:rFonts w:ascii="Times New Roman" w:hAnsi="Times New Roman" w:cs="Times New Roman"/>
          <w:color w:val="000000"/>
          <w:sz w:val="28"/>
          <w:szCs w:val="28"/>
          <w:shd w:val="clear" w:color="auto" w:fill="FFFFFF"/>
        </w:rPr>
        <w:t>×10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 (р=0,005).</w:t>
      </w:r>
      <w:r w:rsidR="00996EB8">
        <w:rPr>
          <w:rFonts w:ascii="Times New Roman" w:hAnsi="Times New Roman" w:cs="Times New Roman"/>
          <w:color w:val="000000"/>
          <w:sz w:val="28"/>
          <w:szCs w:val="28"/>
          <w:shd w:val="clear" w:color="auto" w:fill="FFFFFF"/>
        </w:rPr>
        <w:t xml:space="preserve"> Проте, при диференціації ск</w:t>
      </w:r>
      <w:r>
        <w:rPr>
          <w:rFonts w:ascii="Times New Roman" w:hAnsi="Times New Roman" w:cs="Times New Roman"/>
          <w:color w:val="000000"/>
          <w:sz w:val="28"/>
          <w:szCs w:val="28"/>
          <w:shd w:val="clear" w:color="auto" w:fill="FFFFFF"/>
        </w:rPr>
        <w:t xml:space="preserve">НКР від інших гістологічних підтипів, </w:t>
      </w:r>
      <w:r>
        <w:rPr>
          <w:rFonts w:ascii="Times New Roman" w:hAnsi="Times New Roman" w:cs="Times New Roman"/>
          <w:color w:val="000000"/>
          <w:sz w:val="28"/>
          <w:szCs w:val="28"/>
          <w:shd w:val="clear" w:color="auto" w:fill="FFFFFF"/>
          <w:lang w:val="en-US"/>
        </w:rPr>
        <w:t>ROC</w:t>
      </w:r>
      <w:r>
        <w:rPr>
          <w:rFonts w:ascii="Times New Roman" w:hAnsi="Times New Roman" w:cs="Times New Roman"/>
          <w:color w:val="000000"/>
          <w:sz w:val="28"/>
          <w:szCs w:val="28"/>
          <w:shd w:val="clear" w:color="auto" w:fill="FFFFFF"/>
        </w:rPr>
        <w:t xml:space="preserve"> аналіз продемонстрував чутливість даного </w:t>
      </w:r>
      <w:r>
        <w:rPr>
          <w:rFonts w:ascii="Times New Roman" w:hAnsi="Times New Roman" w:cs="Times New Roman"/>
          <w:color w:val="000000"/>
          <w:sz w:val="28"/>
          <w:szCs w:val="28"/>
          <w:shd w:val="clear" w:color="auto" w:fill="FFFFFF"/>
        </w:rPr>
        <w:lastRenderedPageBreak/>
        <w:t>методу всього 68,8% [</w:t>
      </w:r>
      <w:r>
        <w:rPr>
          <w:rFonts w:ascii="Times New Roman" w:eastAsia="Times New Roman" w:hAnsi="Times New Roman" w:cs="Times New Roman"/>
          <w:sz w:val="28"/>
          <w:szCs w:val="28"/>
          <w:lang w:eastAsia="uk-UA"/>
        </w:rPr>
        <w:t>163</w:t>
      </w:r>
      <w:r>
        <w:rPr>
          <w:rFonts w:ascii="Times New Roman" w:hAnsi="Times New Roman" w:cs="Times New Roman"/>
          <w:color w:val="000000"/>
          <w:sz w:val="28"/>
          <w:szCs w:val="28"/>
          <w:shd w:val="clear" w:color="auto" w:fill="FFFFFF"/>
        </w:rPr>
        <w:t xml:space="preserve">]. </w:t>
      </w:r>
      <w:r>
        <w:rPr>
          <w:rFonts w:ascii="Times New Roman" w:eastAsia="Times New Roman" w:hAnsi="Times New Roman" w:cs="Times New Roman"/>
          <w:sz w:val="28"/>
          <w:szCs w:val="28"/>
          <w:lang w:eastAsia="uk-UA"/>
        </w:rPr>
        <w:t xml:space="preserve">Згідно даних цьогож автора, при диференціації фокальних запальних уражень ниркової паренхіми та НКР </w:t>
      </w:r>
      <w:r>
        <w:rPr>
          <w:rFonts w:ascii="Times New Roman" w:hAnsi="Times New Roman" w:cs="Times New Roman"/>
          <w:sz w:val="28"/>
          <w:szCs w:val="28"/>
          <w:lang w:val="en-US"/>
        </w:rPr>
        <w:t>b</w:t>
      </w:r>
      <w:r>
        <w:rPr>
          <w:rFonts w:ascii="Times New Roman" w:hAnsi="Times New Roman" w:cs="Times New Roman"/>
          <w:sz w:val="28"/>
          <w:szCs w:val="28"/>
        </w:rPr>
        <w:t>-величинах 0 і 500 сек/мм</w:t>
      </w:r>
      <w:r>
        <w:rPr>
          <w:rFonts w:ascii="Times New Roman" w:hAnsi="Times New Roman" w:cs="Times New Roman"/>
          <w:sz w:val="28"/>
          <w:szCs w:val="28"/>
          <w:vertAlign w:val="superscript"/>
        </w:rPr>
        <w:t>2</w:t>
      </w:r>
      <w:r>
        <w:rPr>
          <w:rFonts w:ascii="Times New Roman" w:hAnsi="Times New Roman" w:cs="Times New Roman"/>
          <w:sz w:val="28"/>
          <w:szCs w:val="28"/>
        </w:rPr>
        <w:t>, було отримано 100% чутливість та 78,1% специфічність при граничній величині ВКД 1,41</w:t>
      </w:r>
      <w:r>
        <w:rPr>
          <w:rFonts w:ascii="Times New Roman" w:hAnsi="Times New Roman" w:cs="Times New Roman"/>
          <w:color w:val="000000"/>
          <w:sz w:val="28"/>
          <w:szCs w:val="28"/>
          <w:shd w:val="clear" w:color="auto" w:fill="FFFFFF"/>
        </w:rPr>
        <w:t>×10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 [</w:t>
      </w:r>
      <w:r>
        <w:rPr>
          <w:rFonts w:ascii="Times New Roman" w:eastAsia="Times New Roman" w:hAnsi="Times New Roman" w:cs="Times New Roman"/>
          <w:sz w:val="28"/>
          <w:szCs w:val="28"/>
          <w:lang w:eastAsia="uk-UA"/>
        </w:rPr>
        <w:t>164</w:t>
      </w:r>
      <w:r>
        <w:rPr>
          <w:rFonts w:ascii="Times New Roman" w:hAnsi="Times New Roman" w:cs="Times New Roman"/>
          <w:color w:val="000000"/>
          <w:sz w:val="28"/>
          <w:szCs w:val="28"/>
          <w:shd w:val="clear" w:color="auto" w:fill="FFFFFF"/>
        </w:rPr>
        <w:t xml:space="preserve">]. </w:t>
      </w: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2014 р. </w:t>
      </w:r>
      <w:r>
        <w:rPr>
          <w:rFonts w:ascii="Times New Roman" w:eastAsia="Times New Roman" w:hAnsi="Times New Roman" w:cs="Times New Roman"/>
          <w:sz w:val="28"/>
          <w:szCs w:val="28"/>
          <w:lang w:val="en-US" w:eastAsia="uk-UA"/>
        </w:rPr>
        <w:t>Sevcenco</w:t>
      </w:r>
      <w:r w:rsidRPr="00286EE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sidRPr="00286EE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sidRPr="00286EE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повідомили, що при використанні</w:t>
      </w:r>
      <w:r>
        <w:rPr>
          <w:rFonts w:ascii="Times New Roman" w:hAnsi="Times New Roman" w:cs="Times New Roman"/>
          <w:sz w:val="28"/>
          <w:szCs w:val="28"/>
        </w:rPr>
        <w:t xml:space="preserve"> </w:t>
      </w:r>
      <w:r>
        <w:rPr>
          <w:rFonts w:ascii="Times New Roman" w:hAnsi="Times New Roman" w:cs="Times New Roman"/>
          <w:sz w:val="28"/>
          <w:szCs w:val="28"/>
          <w:lang w:val="en-US"/>
        </w:rPr>
        <w:t>b</w:t>
      </w:r>
      <w:r>
        <w:rPr>
          <w:rFonts w:ascii="Times New Roman" w:hAnsi="Times New Roman" w:cs="Times New Roman"/>
          <w:sz w:val="28"/>
          <w:szCs w:val="28"/>
        </w:rPr>
        <w:t>-величин 0, 500 та 1000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та МР-сканера потужністю 3Т для дослідження 60 хворих із 71 пухлиною нирок (серед яких 46 пухлин являли собою </w:t>
      </w:r>
      <w:r>
        <w:rPr>
          <w:rFonts w:ascii="Times New Roman" w:hAnsi="Times New Roman" w:cs="Times New Roman"/>
          <w:sz w:val="28"/>
          <w:szCs w:val="28"/>
          <w:lang w:val="en-US"/>
        </w:rPr>
        <w:t>SRM</w:t>
      </w:r>
      <w:r>
        <w:rPr>
          <w:rFonts w:ascii="Times New Roman" w:hAnsi="Times New Roman" w:cs="Times New Roman"/>
          <w:sz w:val="28"/>
          <w:szCs w:val="28"/>
        </w:rPr>
        <w:t>), чутливість і специфічність ДЗЗ-МРТ при диференціації пНКР від не-папілярних гістологічних підтипів НКР становили лише 64,3% (95% ДІ=35,1–87,2) та 77,1 (95% ДІ=59,9–89,6%) відповідно. Крім цього не спостерігалось достовірних відмінностей у величинах ВКД між НКР та доброякісними пухлинами нирок (</w:t>
      </w:r>
      <w:r>
        <w:rPr>
          <w:rFonts w:ascii="Times New Roman" w:hAnsi="Times New Roman" w:cs="Times New Roman"/>
          <w:sz w:val="28"/>
          <w:szCs w:val="28"/>
          <w:lang w:val="en-US"/>
        </w:rPr>
        <w:t>p</w:t>
      </w:r>
      <w:r>
        <w:rPr>
          <w:rFonts w:ascii="Times New Roman" w:hAnsi="Times New Roman" w:cs="Times New Roman"/>
          <w:sz w:val="28"/>
          <w:szCs w:val="28"/>
        </w:rPr>
        <w:t>=0,45)[</w:t>
      </w:r>
      <w:r>
        <w:rPr>
          <w:rFonts w:ascii="Times New Roman" w:eastAsia="Times New Roman" w:hAnsi="Times New Roman" w:cs="Times New Roman"/>
          <w:sz w:val="28"/>
          <w:szCs w:val="28"/>
          <w:lang w:eastAsia="uk-UA"/>
        </w:rPr>
        <w:t>369</w:t>
      </w:r>
      <w:r>
        <w:rPr>
          <w:rFonts w:ascii="Times New Roman" w:hAnsi="Times New Roman" w:cs="Times New Roman"/>
          <w:sz w:val="28"/>
          <w:szCs w:val="28"/>
        </w:rPr>
        <w:t>]. Іншими авторами було повідомлено (</w:t>
      </w:r>
      <w:r>
        <w:rPr>
          <w:rFonts w:ascii="Times New Roman" w:hAnsi="Times New Roman" w:cs="Times New Roman"/>
          <w:sz w:val="28"/>
          <w:szCs w:val="28"/>
          <w:lang w:val="en-US"/>
        </w:rPr>
        <w:t>n</w:t>
      </w:r>
      <w:r>
        <w:rPr>
          <w:rFonts w:ascii="Times New Roman" w:hAnsi="Times New Roman" w:cs="Times New Roman"/>
          <w:sz w:val="28"/>
          <w:szCs w:val="28"/>
        </w:rPr>
        <w:t xml:space="preserve">=80) про відсутність асоціацій між кількісними показниками мультипараметричної МРТ (включно із ВКД) та ступенем диференціації пНКР та хрНКР при </w:t>
      </w:r>
      <w:r>
        <w:rPr>
          <w:rFonts w:ascii="Times New Roman" w:hAnsi="Times New Roman" w:cs="Times New Roman"/>
          <w:sz w:val="28"/>
          <w:szCs w:val="28"/>
          <w:lang w:val="en-US"/>
        </w:rPr>
        <w:t>b</w:t>
      </w:r>
      <w:r>
        <w:rPr>
          <w:rFonts w:ascii="Times New Roman" w:hAnsi="Times New Roman" w:cs="Times New Roman"/>
          <w:sz w:val="28"/>
          <w:szCs w:val="28"/>
        </w:rPr>
        <w:t>-величинах 0, 100, 400 та 800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120</w:t>
      </w:r>
      <w:r>
        <w:rPr>
          <w:rFonts w:ascii="Times New Roman" w:hAnsi="Times New Roman" w:cs="Times New Roman"/>
          <w:sz w:val="28"/>
          <w:szCs w:val="28"/>
        </w:rPr>
        <w:t xml:space="preserve">]. </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У дослідженні </w:t>
      </w:r>
      <w:r>
        <w:rPr>
          <w:rFonts w:ascii="Times New Roman" w:eastAsia="Times New Roman" w:hAnsi="Times New Roman" w:cs="Times New Roman"/>
          <w:sz w:val="28"/>
          <w:szCs w:val="28"/>
          <w:lang w:val="en-US" w:eastAsia="uk-UA"/>
        </w:rPr>
        <w:t>Wen</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=85) при </w:t>
      </w:r>
      <w:r>
        <w:rPr>
          <w:rFonts w:ascii="Times New Roman" w:hAnsi="Times New Roman" w:cs="Times New Roman"/>
          <w:sz w:val="28"/>
          <w:szCs w:val="28"/>
          <w:lang w:val="en-US"/>
        </w:rPr>
        <w:t>b</w:t>
      </w:r>
      <w:r>
        <w:rPr>
          <w:rFonts w:ascii="Times New Roman" w:hAnsi="Times New Roman" w:cs="Times New Roman"/>
          <w:sz w:val="28"/>
          <w:szCs w:val="28"/>
        </w:rPr>
        <w:t>-величині 800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було отримано достовірну різницю у середніх значеннях ВКД між НКР та АМЛ: відповідно </w:t>
      </w:r>
      <w:r>
        <w:rPr>
          <w:rFonts w:ascii="Times New Roman" w:hAnsi="Times New Roman" w:cs="Times New Roman"/>
          <w:color w:val="000000"/>
          <w:sz w:val="28"/>
          <w:szCs w:val="28"/>
          <w:shd w:val="clear" w:color="auto" w:fill="FFFFFF"/>
        </w:rPr>
        <w:t>1,42</w:t>
      </w:r>
      <w:r>
        <w:rPr>
          <w:rFonts w:ascii="Times New Roman" w:hAnsi="Times New Roman" w:cs="Times New Roman"/>
          <w:sz w:val="28"/>
          <w:szCs w:val="28"/>
        </w:rPr>
        <w:t>±0,16</w:t>
      </w:r>
      <w:r>
        <w:rPr>
          <w:rFonts w:ascii="Times New Roman" w:hAnsi="Times New Roman" w:cs="Times New Roman"/>
          <w:color w:val="000000"/>
          <w:sz w:val="28"/>
          <w:szCs w:val="28"/>
          <w:shd w:val="clear" w:color="auto" w:fill="FFFFFF"/>
        </w:rPr>
        <w:t>×10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w:t>
      </w:r>
      <w:r>
        <w:rPr>
          <w:rFonts w:ascii="Times New Roman" w:hAnsi="Times New Roman" w:cs="Times New Roman"/>
          <w:sz w:val="28"/>
          <w:szCs w:val="28"/>
        </w:rPr>
        <w:t xml:space="preserve"> </w:t>
      </w:r>
      <w:r>
        <w:rPr>
          <w:rFonts w:ascii="Times New Roman" w:hAnsi="Times New Roman" w:cs="Times New Roman"/>
          <w:color w:val="000000"/>
          <w:sz w:val="28"/>
          <w:szCs w:val="28"/>
          <w:shd w:val="clear" w:color="auto" w:fill="FFFFFF"/>
        </w:rPr>
        <w:t xml:space="preserve">проти </w:t>
      </w:r>
      <w:r>
        <w:rPr>
          <w:rFonts w:ascii="Times New Roman" w:hAnsi="Times New Roman" w:cs="Times New Roman"/>
          <w:sz w:val="28"/>
          <w:szCs w:val="28"/>
        </w:rPr>
        <w:t>1,83±0,35</w:t>
      </w:r>
      <w:r>
        <w:rPr>
          <w:rFonts w:ascii="Times New Roman" w:hAnsi="Times New Roman" w:cs="Times New Roman"/>
          <w:color w:val="000000"/>
          <w:sz w:val="28"/>
          <w:szCs w:val="28"/>
          <w:shd w:val="clear" w:color="auto" w:fill="FFFFFF"/>
        </w:rPr>
        <w:t>×10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/сек (</w:t>
      </w:r>
      <w:r>
        <w:rPr>
          <w:rFonts w:ascii="Times New Roman" w:hAnsi="Times New Roman" w:cs="Times New Roman"/>
          <w:color w:val="000000"/>
          <w:sz w:val="28"/>
          <w:szCs w:val="28"/>
          <w:shd w:val="clear" w:color="auto" w:fill="FFFFFF"/>
          <w:lang w:val="en-US"/>
        </w:rPr>
        <w:t>p</w:t>
      </w:r>
      <w:r>
        <w:rPr>
          <w:rFonts w:ascii="Times New Roman" w:hAnsi="Times New Roman" w:cs="Times New Roman"/>
          <w:color w:val="000000"/>
          <w:sz w:val="28"/>
          <w:szCs w:val="28"/>
          <w:shd w:val="clear" w:color="auto" w:fill="FFFFFF"/>
        </w:rPr>
        <w:t>&lt;0,001). Проте, в даному дослідженні не було проаналізовано показники ВКД при різних гістологічних підтипах та ступенях ядерної атипії НКР, не було включено інші доброякісні пухлини нирок [</w:t>
      </w:r>
      <w:r>
        <w:rPr>
          <w:rFonts w:ascii="Times New Roman" w:eastAsia="Times New Roman" w:hAnsi="Times New Roman" w:cs="Times New Roman"/>
          <w:sz w:val="28"/>
          <w:szCs w:val="28"/>
          <w:lang w:eastAsia="uk-UA"/>
        </w:rPr>
        <w:t>419</w:t>
      </w:r>
      <w:r>
        <w:rPr>
          <w:rFonts w:ascii="Times New Roman" w:hAnsi="Times New Roman" w:cs="Times New Roman"/>
          <w:color w:val="000000"/>
          <w:sz w:val="28"/>
          <w:szCs w:val="28"/>
          <w:shd w:val="clear" w:color="auto" w:fill="FFFFFF"/>
        </w:rPr>
        <w:t xml:space="preserve">]. Високий потенціал застосування ВКД при диференціації скНКР та АМЛ із низьким вмістом жиру при </w:t>
      </w:r>
      <w:r>
        <w:rPr>
          <w:rFonts w:ascii="Times New Roman" w:hAnsi="Times New Roman" w:cs="Times New Roman"/>
          <w:sz w:val="28"/>
          <w:szCs w:val="28"/>
          <w:lang w:val="en-US"/>
        </w:rPr>
        <w:t>b</w:t>
      </w:r>
      <w:r>
        <w:rPr>
          <w:rFonts w:ascii="Times New Roman" w:hAnsi="Times New Roman" w:cs="Times New Roman"/>
          <w:sz w:val="28"/>
          <w:szCs w:val="28"/>
        </w:rPr>
        <w:t>-величинах 0 та 800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також був підтверджений в дослідженні </w:t>
      </w:r>
      <w:r>
        <w:rPr>
          <w:rFonts w:ascii="Times New Roman" w:eastAsia="Times New Roman" w:hAnsi="Times New Roman" w:cs="Times New Roman"/>
          <w:sz w:val="28"/>
          <w:szCs w:val="28"/>
          <w:lang w:val="en-US" w:eastAsia="uk-UA"/>
        </w:rPr>
        <w:t>Ding</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Pr>
          <w:rFonts w:ascii="Times New Roman" w:eastAsia="Times New Roman" w:hAnsi="Times New Roman" w:cs="Times New Roman"/>
          <w:sz w:val="28"/>
          <w:szCs w:val="28"/>
          <w:lang w:eastAsia="uk-UA"/>
        </w:rPr>
        <w:t xml:space="preserve"> [134]. </w:t>
      </w:r>
    </w:p>
    <w:p w:rsidR="001E6EFC" w:rsidRDefault="001E6EFC" w:rsidP="001E6EFC">
      <w:pPr>
        <w:spacing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У квітні 2017 р. була опублікована робота, згідно результатів якої, диференціювання солідних і кістозних НКР та доброякісних пухлин нирок за допомогою ВКД при </w:t>
      </w:r>
      <w:r>
        <w:rPr>
          <w:rFonts w:ascii="Times New Roman" w:hAnsi="Times New Roman" w:cs="Times New Roman"/>
          <w:sz w:val="28"/>
          <w:szCs w:val="28"/>
          <w:lang w:val="en-US"/>
        </w:rPr>
        <w:t>b</w:t>
      </w:r>
      <w:r>
        <w:rPr>
          <w:rFonts w:ascii="Times New Roman" w:hAnsi="Times New Roman" w:cs="Times New Roman"/>
          <w:sz w:val="28"/>
          <w:szCs w:val="28"/>
        </w:rPr>
        <w:t>-величинах 600 та 1000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 xml:space="preserve">демонструвало 67% чутливість та 77% специфічність при </w:t>
      </w:r>
      <w:r>
        <w:rPr>
          <w:rFonts w:ascii="Times New Roman" w:hAnsi="Times New Roman" w:cs="Times New Roman"/>
          <w:sz w:val="28"/>
          <w:szCs w:val="28"/>
        </w:rPr>
        <w:t xml:space="preserve">пороговій величині ВКД 1,5 </w:t>
      </w:r>
      <w:r>
        <w:rPr>
          <w:rFonts w:ascii="Times New Roman" w:hAnsi="Times New Roman" w:cs="Times New Roman"/>
          <w:color w:val="000000"/>
          <w:sz w:val="28"/>
          <w:szCs w:val="28"/>
          <w:shd w:val="clear" w:color="auto" w:fill="FFFFFF"/>
        </w:rPr>
        <w:t>×10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 xml:space="preserve">/сек </w:t>
      </w:r>
      <w:r>
        <w:rPr>
          <w:rFonts w:ascii="Times New Roman" w:hAnsi="Times New Roman" w:cs="Times New Roman"/>
          <w:sz w:val="28"/>
          <w:szCs w:val="28"/>
        </w:rPr>
        <w:t xml:space="preserve">для </w:t>
      </w:r>
      <w:r>
        <w:rPr>
          <w:rFonts w:ascii="Times New Roman" w:hAnsi="Times New Roman" w:cs="Times New Roman"/>
          <w:sz w:val="28"/>
          <w:szCs w:val="28"/>
          <w:lang w:val="en-US"/>
        </w:rPr>
        <w:t>b</w:t>
      </w:r>
      <w:r>
        <w:rPr>
          <w:rFonts w:ascii="Times New Roman" w:hAnsi="Times New Roman" w:cs="Times New Roman"/>
          <w:sz w:val="28"/>
          <w:szCs w:val="28"/>
        </w:rPr>
        <w:t>=600 сек/мм</w:t>
      </w:r>
      <w:r>
        <w:rPr>
          <w:rFonts w:ascii="Times New Roman" w:hAnsi="Times New Roman" w:cs="Times New Roman"/>
          <w:sz w:val="28"/>
          <w:szCs w:val="28"/>
          <w:vertAlign w:val="superscript"/>
        </w:rPr>
        <w:t xml:space="preserve">2 </w:t>
      </w:r>
      <w:r>
        <w:rPr>
          <w:rFonts w:ascii="Times New Roman" w:hAnsi="Times New Roman" w:cs="Times New Roman"/>
          <w:sz w:val="28"/>
          <w:szCs w:val="28"/>
        </w:rPr>
        <w:t xml:space="preserve">та 1,99 </w:t>
      </w:r>
      <w:r>
        <w:rPr>
          <w:rFonts w:ascii="Times New Roman" w:hAnsi="Times New Roman" w:cs="Times New Roman"/>
          <w:color w:val="000000"/>
          <w:sz w:val="28"/>
          <w:szCs w:val="28"/>
          <w:shd w:val="clear" w:color="auto" w:fill="FFFFFF"/>
        </w:rPr>
        <w:t>×10</w:t>
      </w:r>
      <w:r>
        <w:rPr>
          <w:rFonts w:ascii="Times New Roman" w:hAnsi="Times New Roman" w:cs="Times New Roman"/>
          <w:color w:val="000000"/>
          <w:sz w:val="28"/>
          <w:szCs w:val="28"/>
          <w:shd w:val="clear" w:color="auto" w:fill="FFFFFF"/>
          <w:vertAlign w:val="superscript"/>
        </w:rPr>
        <w:t>-3</w:t>
      </w:r>
      <w:r>
        <w:rPr>
          <w:rFonts w:ascii="Times New Roman" w:hAnsi="Times New Roman" w:cs="Times New Roman"/>
          <w:color w:val="000000"/>
          <w:sz w:val="28"/>
          <w:szCs w:val="28"/>
          <w:shd w:val="clear" w:color="auto" w:fill="FFFFFF"/>
        </w:rPr>
        <w:t xml:space="preserve"> мм</w:t>
      </w:r>
      <w:r>
        <w:rPr>
          <w:rFonts w:ascii="Times New Roman" w:hAnsi="Times New Roman" w:cs="Times New Roman"/>
          <w:color w:val="000000"/>
          <w:sz w:val="28"/>
          <w:szCs w:val="28"/>
          <w:shd w:val="clear" w:color="auto" w:fill="FFFFFF"/>
          <w:vertAlign w:val="superscript"/>
        </w:rPr>
        <w:t>2</w:t>
      </w:r>
      <w:r>
        <w:rPr>
          <w:rFonts w:ascii="Times New Roman" w:hAnsi="Times New Roman" w:cs="Times New Roman"/>
          <w:color w:val="000000"/>
          <w:sz w:val="28"/>
          <w:szCs w:val="28"/>
          <w:shd w:val="clear" w:color="auto" w:fill="FFFFFF"/>
        </w:rPr>
        <w:t xml:space="preserve">/сек </w:t>
      </w:r>
      <w:r>
        <w:rPr>
          <w:rFonts w:ascii="Times New Roman" w:hAnsi="Times New Roman" w:cs="Times New Roman"/>
          <w:sz w:val="28"/>
          <w:szCs w:val="28"/>
        </w:rPr>
        <w:t xml:space="preserve">для </w:t>
      </w:r>
      <w:r>
        <w:rPr>
          <w:rFonts w:ascii="Times New Roman" w:hAnsi="Times New Roman" w:cs="Times New Roman"/>
          <w:sz w:val="28"/>
          <w:szCs w:val="28"/>
          <w:lang w:val="en-US"/>
        </w:rPr>
        <w:t>b</w:t>
      </w:r>
      <w:r>
        <w:rPr>
          <w:rFonts w:ascii="Times New Roman" w:hAnsi="Times New Roman" w:cs="Times New Roman"/>
          <w:sz w:val="28"/>
          <w:szCs w:val="28"/>
        </w:rPr>
        <w:t>=1000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Значення </w:t>
      </w:r>
      <w:r>
        <w:rPr>
          <w:rFonts w:ascii="Times New Roman" w:hAnsi="Times New Roman" w:cs="Times New Roman"/>
          <w:sz w:val="28"/>
          <w:szCs w:val="28"/>
        </w:rPr>
        <w:lastRenderedPageBreak/>
        <w:t>ВКД різних гістологічних підтипів та ступенів диференціації НКР у вказаній роботі аналізу не піддавались [</w:t>
      </w:r>
      <w:r>
        <w:rPr>
          <w:rFonts w:ascii="Times New Roman" w:eastAsia="Times New Roman" w:hAnsi="Times New Roman" w:cs="Times New Roman"/>
          <w:sz w:val="28"/>
          <w:szCs w:val="28"/>
          <w:lang w:eastAsia="uk-UA"/>
        </w:rPr>
        <w:t>332</w:t>
      </w:r>
      <w:r>
        <w:rPr>
          <w:rFonts w:ascii="Times New Roman" w:hAnsi="Times New Roman" w:cs="Times New Roman"/>
          <w:sz w:val="28"/>
          <w:szCs w:val="28"/>
        </w:rPr>
        <w:t xml:space="preserve">]. У нещодавно представленій роботі авторам вдалось отримати достовірну різницю у середніх значеннях ВКД при НКР високого та низького </w:t>
      </w:r>
      <w:r w:rsidR="00B02037">
        <w:rPr>
          <w:rFonts w:ascii="Times New Roman" w:hAnsi="Times New Roman" w:cs="Times New Roman"/>
          <w:sz w:val="28"/>
          <w:szCs w:val="28"/>
        </w:rPr>
        <w:t>ступеня</w:t>
      </w:r>
      <w:r>
        <w:rPr>
          <w:rFonts w:ascii="Times New Roman" w:hAnsi="Times New Roman" w:cs="Times New Roman"/>
          <w:sz w:val="28"/>
          <w:szCs w:val="28"/>
        </w:rPr>
        <w:t xml:space="preserve"> диференціації за Fuhrman (</w:t>
      </w:r>
      <w:r>
        <w:rPr>
          <w:rFonts w:ascii="Times New Roman" w:hAnsi="Times New Roman" w:cs="Times New Roman"/>
          <w:sz w:val="28"/>
          <w:szCs w:val="28"/>
          <w:lang w:val="en-US"/>
        </w:rPr>
        <w:t>n</w:t>
      </w:r>
      <w:r>
        <w:rPr>
          <w:rFonts w:ascii="Times New Roman" w:hAnsi="Times New Roman" w:cs="Times New Roman"/>
          <w:sz w:val="28"/>
          <w:szCs w:val="28"/>
        </w:rPr>
        <w:t xml:space="preserve">=33), при </w:t>
      </w:r>
      <w:r>
        <w:rPr>
          <w:rFonts w:ascii="Times New Roman" w:hAnsi="Times New Roman" w:cs="Times New Roman"/>
          <w:sz w:val="28"/>
          <w:szCs w:val="28"/>
          <w:lang w:val="en-US"/>
        </w:rPr>
        <w:t>b</w:t>
      </w:r>
      <w:r>
        <w:rPr>
          <w:rFonts w:ascii="Times New Roman" w:hAnsi="Times New Roman" w:cs="Times New Roman"/>
          <w:sz w:val="28"/>
          <w:szCs w:val="28"/>
        </w:rPr>
        <w:t>-величинах 0 та 800 сек/мм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проте, гістологічний підтип даного ЗН був обмежений лише конвенційним варіантом, в дослідження не включали доброякісні пухлини нирок та контрольну групу із здоровими нирками  [</w:t>
      </w:r>
      <w:r>
        <w:rPr>
          <w:rFonts w:ascii="Times New Roman" w:eastAsia="Times New Roman" w:hAnsi="Times New Roman" w:cs="Times New Roman"/>
          <w:sz w:val="28"/>
          <w:szCs w:val="28"/>
          <w:lang w:eastAsia="uk-UA"/>
        </w:rPr>
        <w:t>373</w:t>
      </w:r>
      <w:r>
        <w:rPr>
          <w:rFonts w:ascii="Times New Roman" w:hAnsi="Times New Roman" w:cs="Times New Roman"/>
          <w:sz w:val="28"/>
          <w:szCs w:val="28"/>
        </w:rPr>
        <w:t>].</w:t>
      </w:r>
    </w:p>
    <w:p w:rsidR="001E6EFC" w:rsidRPr="00B96C8F" w:rsidRDefault="001E6EFC" w:rsidP="00321B8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Таким чином, подальше вивчення можливості застосування ДЗЗ та ВКД, зокрема при найменш вивчених </w:t>
      </w:r>
      <w:r>
        <w:rPr>
          <w:rFonts w:ascii="Times New Roman" w:hAnsi="Times New Roman" w:cs="Times New Roman"/>
          <w:sz w:val="28"/>
          <w:szCs w:val="28"/>
          <w:lang w:val="en-US"/>
        </w:rPr>
        <w:t>b</w:t>
      </w:r>
      <w:r>
        <w:rPr>
          <w:rFonts w:ascii="Times New Roman" w:hAnsi="Times New Roman" w:cs="Times New Roman"/>
          <w:sz w:val="28"/>
          <w:szCs w:val="28"/>
        </w:rPr>
        <w:t>-величинах (зокрема при 0 та 800 сек/мм</w:t>
      </w:r>
      <w:r>
        <w:rPr>
          <w:rFonts w:ascii="Times New Roman" w:hAnsi="Times New Roman" w:cs="Times New Roman"/>
          <w:sz w:val="28"/>
          <w:szCs w:val="28"/>
          <w:vertAlign w:val="superscript"/>
        </w:rPr>
        <w:t>2</w:t>
      </w:r>
      <w:r>
        <w:rPr>
          <w:rFonts w:ascii="Times New Roman" w:hAnsi="Times New Roman" w:cs="Times New Roman"/>
          <w:sz w:val="28"/>
          <w:szCs w:val="28"/>
        </w:rPr>
        <w:t>), у якості діагностичних променевих біомаркерів НКР для підвищення ефективності діагностики та диференціації даного захворювання, становить високо актуальне питання сучасної онкоурології.</w:t>
      </w:r>
    </w:p>
    <w:p w:rsidR="00996EB8" w:rsidRDefault="00996EB8" w:rsidP="001E6EFC">
      <w:pPr>
        <w:spacing w:line="360" w:lineRule="auto"/>
        <w:ind w:firstLine="708"/>
        <w:rPr>
          <w:rFonts w:ascii="Times New Roman" w:hAnsi="Times New Roman" w:cs="Times New Roman"/>
          <w:sz w:val="28"/>
        </w:rPr>
      </w:pPr>
    </w:p>
    <w:p w:rsidR="001E6EFC" w:rsidRDefault="001E6EFC" w:rsidP="001E6EFC">
      <w:pPr>
        <w:spacing w:line="360" w:lineRule="auto"/>
        <w:ind w:firstLine="708"/>
        <w:rPr>
          <w:rFonts w:ascii="Times New Roman" w:hAnsi="Times New Roman" w:cs="Times New Roman"/>
          <w:sz w:val="28"/>
        </w:rPr>
      </w:pPr>
      <w:r>
        <w:rPr>
          <w:rFonts w:ascii="Times New Roman" w:hAnsi="Times New Roman" w:cs="Times New Roman"/>
          <w:sz w:val="28"/>
        </w:rPr>
        <w:t>1.3.4. Потенційні молекулярні</w:t>
      </w:r>
      <w:r w:rsidRPr="00EA0B12">
        <w:rPr>
          <w:rFonts w:ascii="Times New Roman" w:hAnsi="Times New Roman" w:cs="Times New Roman"/>
          <w:sz w:val="28"/>
        </w:rPr>
        <w:t xml:space="preserve"> </w:t>
      </w:r>
      <w:r>
        <w:rPr>
          <w:rFonts w:ascii="Times New Roman" w:hAnsi="Times New Roman" w:cs="Times New Roman"/>
          <w:sz w:val="28"/>
        </w:rPr>
        <w:t xml:space="preserve">діагностичні біомаркери </w:t>
      </w:r>
      <w:r w:rsidRPr="00EA0B12">
        <w:rPr>
          <w:rFonts w:ascii="Times New Roman" w:hAnsi="Times New Roman" w:cs="Times New Roman"/>
          <w:sz w:val="28"/>
        </w:rPr>
        <w:t>НКР</w:t>
      </w:r>
    </w:p>
    <w:p w:rsidR="001E6EFC" w:rsidRPr="00A10C50" w:rsidRDefault="001E6EFC" w:rsidP="001E6EFC">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Як було зазначено раніше, на сьогоднішній день не існує біомаркерів НКР, які б могли бути застосовані у рутинній клінічній практиці. Водночас, велика кількість проведених досліджень продемонструвала потенційно важливу роль окремих молекулярних сполук у діагностиці, передбаченні перебігу захворювання та прогнозуванні виживання хворих із даною  патологією, які можуть претендувати на роль біомаркерів НКР у випадку більш ґрунтовних досліджень. Окрім класифікації за функцією (діагностичні, прогностичні, передбачення), виділяють три основні категорії молекулярних біомаркерів НКР в залежності від середовища, в якому вони визначаються: </w:t>
      </w:r>
      <w:r w:rsidRPr="00A10C50">
        <w:rPr>
          <w:rFonts w:ascii="Times New Roman" w:hAnsi="Times New Roman" w:cs="Times New Roman"/>
          <w:sz w:val="28"/>
          <w:szCs w:val="28"/>
        </w:rPr>
        <w:t>тканинні</w:t>
      </w:r>
      <w:r>
        <w:rPr>
          <w:rFonts w:ascii="Times New Roman" w:hAnsi="Times New Roman" w:cs="Times New Roman"/>
          <w:sz w:val="28"/>
          <w:szCs w:val="28"/>
        </w:rPr>
        <w:t xml:space="preserve"> біомаркери, біомаркери циркулюючі в крові, </w:t>
      </w:r>
      <w:r w:rsidRPr="00A10C50">
        <w:rPr>
          <w:rFonts w:ascii="Times New Roman" w:hAnsi="Times New Roman" w:cs="Times New Roman"/>
          <w:sz w:val="28"/>
          <w:szCs w:val="28"/>
        </w:rPr>
        <w:t>біомаркери циркулюючі в сечі.</w:t>
      </w:r>
    </w:p>
    <w:p w:rsidR="001E6EFC" w:rsidRPr="00E00D76" w:rsidRDefault="001E6EFC" w:rsidP="001E6EFC">
      <w:pPr>
        <w:spacing w:line="360" w:lineRule="auto"/>
        <w:ind w:firstLine="708"/>
        <w:jc w:val="both"/>
        <w:rPr>
          <w:rFonts w:ascii="Times New Roman" w:hAnsi="Times New Roman" w:cs="Times New Roman"/>
          <w:b/>
          <w:sz w:val="28"/>
        </w:rPr>
      </w:pPr>
      <w:r>
        <w:rPr>
          <w:rFonts w:ascii="Times New Roman" w:hAnsi="Times New Roman" w:cs="Times New Roman"/>
          <w:sz w:val="28"/>
        </w:rPr>
        <w:t xml:space="preserve">Існує ряд робіт, в яких вивчалась цінність цих молекулярних сполук у якості біомаркерів НКР. Так, в 2007 р. </w:t>
      </w:r>
      <w:r w:rsidRPr="00C05B64">
        <w:rPr>
          <w:rFonts w:ascii="Times New Roman" w:hAnsi="Times New Roman" w:cs="Times New Roman"/>
          <w:sz w:val="28"/>
          <w:szCs w:val="28"/>
          <w:lang w:val="en-US"/>
        </w:rPr>
        <w:t>Gottardo</w:t>
      </w:r>
      <w:r w:rsidRPr="00944B18">
        <w:rPr>
          <w:rFonts w:ascii="Times New Roman" w:hAnsi="Times New Roman" w:cs="Times New Roman"/>
          <w:sz w:val="28"/>
          <w:szCs w:val="28"/>
        </w:rPr>
        <w:t xml:space="preserve"> </w:t>
      </w:r>
      <w:r w:rsidRPr="00C05B64">
        <w:rPr>
          <w:rFonts w:ascii="Times New Roman" w:hAnsi="Times New Roman" w:cs="Times New Roman"/>
          <w:sz w:val="28"/>
          <w:szCs w:val="28"/>
          <w:lang w:val="en-US"/>
        </w:rPr>
        <w:t>et</w:t>
      </w:r>
      <w:r w:rsidRPr="00944B18">
        <w:rPr>
          <w:rFonts w:ascii="Times New Roman" w:hAnsi="Times New Roman" w:cs="Times New Roman"/>
          <w:sz w:val="28"/>
          <w:szCs w:val="28"/>
        </w:rPr>
        <w:t xml:space="preserve"> </w:t>
      </w:r>
      <w:r w:rsidRPr="00C05B64">
        <w:rPr>
          <w:rFonts w:ascii="Times New Roman" w:hAnsi="Times New Roman" w:cs="Times New Roman"/>
          <w:sz w:val="28"/>
          <w:szCs w:val="28"/>
          <w:lang w:val="en-US"/>
        </w:rPr>
        <w:t>al</w:t>
      </w:r>
      <w:r>
        <w:rPr>
          <w:rFonts w:ascii="Times New Roman" w:hAnsi="Times New Roman" w:cs="Times New Roman"/>
          <w:sz w:val="28"/>
          <w:szCs w:val="28"/>
        </w:rPr>
        <w:t xml:space="preserve"> повідомили, що композиція із чотирьох міР </w:t>
      </w:r>
      <w:r w:rsidRPr="00512528">
        <w:rPr>
          <w:rFonts w:ascii="Times New Roman" w:hAnsi="Times New Roman" w:cs="Times New Roman"/>
          <w:sz w:val="28"/>
          <w:szCs w:val="28"/>
          <w:shd w:val="clear" w:color="auto" w:fill="FAFAFA"/>
        </w:rPr>
        <w:t>(</w:t>
      </w:r>
      <w:r w:rsidRPr="00627D55">
        <w:rPr>
          <w:rStyle w:val="Emphasis"/>
          <w:rFonts w:ascii="Times New Roman" w:hAnsi="Times New Roman" w:cs="Times New Roman"/>
          <w:sz w:val="28"/>
          <w:szCs w:val="28"/>
          <w:shd w:val="clear" w:color="auto" w:fill="FAFAFA"/>
          <w:lang w:val="en-US"/>
        </w:rPr>
        <w:t>miR</w:t>
      </w:r>
      <w:r w:rsidRPr="00627D55">
        <w:rPr>
          <w:rStyle w:val="Emphasis"/>
          <w:rFonts w:ascii="Times New Roman" w:hAnsi="Times New Roman" w:cs="Times New Roman"/>
          <w:sz w:val="28"/>
          <w:szCs w:val="28"/>
          <w:shd w:val="clear" w:color="auto" w:fill="FAFAFA"/>
        </w:rPr>
        <w:t>-27, -28, -185,</w:t>
      </w:r>
      <w:r w:rsidRPr="00627D55">
        <w:rPr>
          <w:rFonts w:ascii="Times New Roman" w:hAnsi="Times New Roman" w:cs="Times New Roman"/>
          <w:i/>
          <w:sz w:val="28"/>
          <w:szCs w:val="28"/>
          <w:shd w:val="clear" w:color="auto" w:fill="FAFAFA"/>
        </w:rPr>
        <w:t xml:space="preserve"> -</w:t>
      </w:r>
      <w:r w:rsidRPr="00627D55">
        <w:rPr>
          <w:rStyle w:val="Emphasis"/>
          <w:rFonts w:ascii="Times New Roman" w:hAnsi="Times New Roman" w:cs="Times New Roman"/>
          <w:sz w:val="28"/>
          <w:szCs w:val="28"/>
          <w:shd w:val="clear" w:color="auto" w:fill="FAFAFA"/>
          <w:lang w:val="en-US"/>
        </w:rPr>
        <w:t>let</w:t>
      </w:r>
      <w:r w:rsidRPr="00627D55">
        <w:rPr>
          <w:rStyle w:val="Emphasis"/>
          <w:rFonts w:ascii="Times New Roman" w:hAnsi="Times New Roman" w:cs="Times New Roman"/>
          <w:sz w:val="28"/>
          <w:szCs w:val="28"/>
          <w:shd w:val="clear" w:color="auto" w:fill="FAFAFA"/>
        </w:rPr>
        <w:t>-7</w:t>
      </w:r>
      <w:r w:rsidRPr="00627D55">
        <w:rPr>
          <w:rStyle w:val="Emphasis"/>
          <w:rFonts w:ascii="Times New Roman" w:hAnsi="Times New Roman" w:cs="Times New Roman"/>
          <w:sz w:val="28"/>
          <w:szCs w:val="28"/>
          <w:shd w:val="clear" w:color="auto" w:fill="FAFAFA"/>
          <w:lang w:val="en-US"/>
        </w:rPr>
        <w:t>f</w:t>
      </w:r>
      <w:r w:rsidRPr="00627D55">
        <w:rPr>
          <w:rStyle w:val="Emphasis"/>
          <w:rFonts w:ascii="Times New Roman" w:hAnsi="Times New Roman" w:cs="Times New Roman"/>
          <w:sz w:val="28"/>
          <w:szCs w:val="28"/>
          <w:shd w:val="clear" w:color="auto" w:fill="FAFAFA"/>
        </w:rPr>
        <w:t>-2</w:t>
      </w:r>
      <w:r w:rsidRPr="00627D55">
        <w:rPr>
          <w:rFonts w:ascii="Times New Roman" w:hAnsi="Times New Roman" w:cs="Times New Roman"/>
          <w:sz w:val="28"/>
          <w:szCs w:val="28"/>
          <w:shd w:val="clear" w:color="auto" w:fill="FAFAFA"/>
        </w:rPr>
        <w:t xml:space="preserve">) </w:t>
      </w:r>
      <w:r>
        <w:rPr>
          <w:rFonts w:ascii="Times New Roman" w:hAnsi="Times New Roman" w:cs="Times New Roman"/>
          <w:sz w:val="28"/>
          <w:szCs w:val="28"/>
          <w:shd w:val="clear" w:color="auto" w:fill="FAFAFA"/>
        </w:rPr>
        <w:t xml:space="preserve">була значно більше </w:t>
      </w:r>
      <w:r>
        <w:rPr>
          <w:rFonts w:ascii="Times New Roman" w:hAnsi="Times New Roman" w:cs="Times New Roman"/>
          <w:sz w:val="28"/>
          <w:szCs w:val="28"/>
          <w:shd w:val="clear" w:color="auto" w:fill="FAFAFA"/>
        </w:rPr>
        <w:lastRenderedPageBreak/>
        <w:t xml:space="preserve">експресована у тканинах НКР у порівнянні із тканинами здорової нирки </w:t>
      </w:r>
      <w:r w:rsidRPr="00512528">
        <w:rPr>
          <w:rFonts w:ascii="Times New Roman" w:hAnsi="Times New Roman" w:cs="Times New Roman"/>
          <w:sz w:val="28"/>
          <w:szCs w:val="28"/>
          <w:shd w:val="clear" w:color="auto" w:fill="FAFAFA"/>
        </w:rPr>
        <w:t>(</w:t>
      </w:r>
      <w:r w:rsidRPr="00627D55">
        <w:rPr>
          <w:rStyle w:val="Emphasis"/>
          <w:rFonts w:ascii="Times New Roman" w:hAnsi="Times New Roman" w:cs="Times New Roman"/>
          <w:sz w:val="28"/>
          <w:szCs w:val="28"/>
          <w:shd w:val="clear" w:color="auto" w:fill="FAFAFA"/>
        </w:rPr>
        <w:t>Р</w:t>
      </w:r>
      <w:r>
        <w:rPr>
          <w:rFonts w:ascii="Times New Roman" w:hAnsi="Times New Roman" w:cs="Times New Roman"/>
          <w:sz w:val="28"/>
          <w:szCs w:val="28"/>
          <w:shd w:val="clear" w:color="auto" w:fill="FAFAFA"/>
        </w:rPr>
        <w:t>&lt;0,05) [</w:t>
      </w:r>
      <w:r>
        <w:rPr>
          <w:rFonts w:ascii="Times New Roman" w:eastAsia="Times New Roman" w:hAnsi="Times New Roman" w:cs="Times New Roman"/>
          <w:color w:val="000000" w:themeColor="text1"/>
          <w:sz w:val="28"/>
          <w:szCs w:val="28"/>
          <w:lang w:eastAsia="uk-UA"/>
        </w:rPr>
        <w:t>161</w:t>
      </w:r>
      <w:r w:rsidRPr="00512528">
        <w:rPr>
          <w:rFonts w:ascii="Times New Roman" w:hAnsi="Times New Roman" w:cs="Times New Roman"/>
          <w:sz w:val="28"/>
          <w:szCs w:val="28"/>
          <w:shd w:val="clear" w:color="auto" w:fill="FAFAFA"/>
        </w:rPr>
        <w:t xml:space="preserve">]. </w:t>
      </w:r>
      <w:r w:rsidRPr="00C05B64">
        <w:rPr>
          <w:rFonts w:ascii="Times New Roman" w:hAnsi="Times New Roman" w:cs="Times New Roman"/>
          <w:sz w:val="28"/>
          <w:szCs w:val="28"/>
          <w:shd w:val="clear" w:color="auto" w:fill="FAFAFA"/>
          <w:lang w:val="en-US"/>
        </w:rPr>
        <w:t>Nakada</w:t>
      </w:r>
      <w:r>
        <w:rPr>
          <w:rFonts w:ascii="Times New Roman" w:hAnsi="Times New Roman" w:cs="Times New Roman"/>
          <w:sz w:val="28"/>
          <w:szCs w:val="28"/>
          <w:shd w:val="clear" w:color="auto" w:fill="FAFAFA"/>
        </w:rPr>
        <w:t xml:space="preserve"> та співавтори визначили, що 43 міРНК були по різному експресовані у тканинних зразках НКР та здорової нирки: 37 міР були достовірно менш експресовані та 6 були більше експресовані</w:t>
      </w:r>
      <w:r w:rsidRPr="00512528">
        <w:rPr>
          <w:rFonts w:ascii="Times New Roman" w:hAnsi="Times New Roman" w:cs="Times New Roman"/>
          <w:sz w:val="28"/>
          <w:szCs w:val="28"/>
          <w:shd w:val="clear" w:color="auto" w:fill="FAFAFA"/>
        </w:rPr>
        <w:t xml:space="preserve"> </w:t>
      </w:r>
      <w:r>
        <w:rPr>
          <w:rFonts w:ascii="Times New Roman" w:hAnsi="Times New Roman" w:cs="Times New Roman"/>
          <w:sz w:val="28"/>
          <w:szCs w:val="28"/>
          <w:shd w:val="clear" w:color="auto" w:fill="FAFAFA"/>
        </w:rPr>
        <w:t xml:space="preserve">при скНКР, найменша експресія спостерігалась у </w:t>
      </w:r>
      <w:r>
        <w:rPr>
          <w:rFonts w:ascii="Times New Roman" w:hAnsi="Times New Roman" w:cs="Times New Roman"/>
          <w:sz w:val="28"/>
          <w:szCs w:val="28"/>
          <w:shd w:val="clear" w:color="auto" w:fill="F9F9F9"/>
        </w:rPr>
        <w:t>міР</w:t>
      </w:r>
      <w:r w:rsidRPr="00512528">
        <w:rPr>
          <w:rFonts w:ascii="Times New Roman" w:hAnsi="Times New Roman" w:cs="Times New Roman"/>
          <w:sz w:val="28"/>
          <w:szCs w:val="28"/>
          <w:shd w:val="clear" w:color="auto" w:fill="F9F9F9"/>
        </w:rPr>
        <w:t xml:space="preserve">-141 </w:t>
      </w:r>
      <w:r>
        <w:rPr>
          <w:rFonts w:ascii="Times New Roman" w:hAnsi="Times New Roman" w:cs="Times New Roman"/>
          <w:sz w:val="28"/>
          <w:szCs w:val="28"/>
          <w:shd w:val="clear" w:color="auto" w:fill="F9F9F9"/>
        </w:rPr>
        <w:t>та</w:t>
      </w:r>
      <w:r w:rsidRPr="00512528">
        <w:rPr>
          <w:rFonts w:ascii="Times New Roman" w:hAnsi="Times New Roman" w:cs="Times New Roman"/>
          <w:sz w:val="28"/>
          <w:szCs w:val="28"/>
          <w:shd w:val="clear" w:color="auto" w:fill="F9F9F9"/>
        </w:rPr>
        <w:t xml:space="preserve"> </w:t>
      </w:r>
      <w:r>
        <w:rPr>
          <w:rFonts w:ascii="Times New Roman" w:hAnsi="Times New Roman" w:cs="Times New Roman"/>
          <w:sz w:val="28"/>
          <w:szCs w:val="28"/>
          <w:shd w:val="clear" w:color="auto" w:fill="F9F9F9"/>
        </w:rPr>
        <w:t>міР</w:t>
      </w:r>
      <w:r w:rsidRPr="00512528">
        <w:rPr>
          <w:rFonts w:ascii="Times New Roman" w:hAnsi="Times New Roman" w:cs="Times New Roman"/>
          <w:sz w:val="28"/>
          <w:szCs w:val="28"/>
          <w:shd w:val="clear" w:color="auto" w:fill="F9F9F9"/>
        </w:rPr>
        <w:t>-200</w:t>
      </w:r>
      <w:r w:rsidRPr="00C05B64">
        <w:rPr>
          <w:rFonts w:ascii="Times New Roman" w:hAnsi="Times New Roman" w:cs="Times New Roman"/>
          <w:sz w:val="28"/>
          <w:szCs w:val="28"/>
          <w:shd w:val="clear" w:color="auto" w:fill="F9F9F9"/>
          <w:lang w:val="en-US"/>
        </w:rPr>
        <w:t>c</w:t>
      </w:r>
      <w:r>
        <w:rPr>
          <w:rFonts w:ascii="Times New Roman" w:hAnsi="Times New Roman" w:cs="Times New Roman"/>
          <w:sz w:val="28"/>
          <w:szCs w:val="28"/>
          <w:shd w:val="clear" w:color="auto" w:fill="F9F9F9"/>
        </w:rPr>
        <w:t xml:space="preserve"> [</w:t>
      </w:r>
      <w:r>
        <w:rPr>
          <w:rFonts w:ascii="Times New Roman" w:eastAsia="Times New Roman" w:hAnsi="Times New Roman" w:cs="Times New Roman"/>
          <w:color w:val="000000" w:themeColor="text1"/>
          <w:sz w:val="28"/>
          <w:szCs w:val="28"/>
          <w:lang w:eastAsia="uk-UA"/>
        </w:rPr>
        <w:t>316</w:t>
      </w:r>
      <w:r w:rsidRPr="00631311">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rPr>
        <w:t xml:space="preserve"> В іншому дослідженні </w:t>
      </w:r>
      <w:r w:rsidRPr="00BE7DE2">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n</w:t>
      </w:r>
      <w:r w:rsidRPr="00BE7DE2">
        <w:rPr>
          <w:rFonts w:ascii="Times New Roman" w:hAnsi="Times New Roman" w:cs="Times New Roman"/>
          <w:sz w:val="28"/>
          <w:szCs w:val="28"/>
          <w:shd w:val="clear" w:color="auto" w:fill="F9F9F9"/>
        </w:rPr>
        <w:t>=84)</w:t>
      </w:r>
      <w:r>
        <w:rPr>
          <w:rFonts w:ascii="Times New Roman" w:hAnsi="Times New Roman" w:cs="Times New Roman"/>
          <w:sz w:val="28"/>
          <w:szCs w:val="28"/>
          <w:shd w:val="clear" w:color="auto" w:fill="F9F9F9"/>
        </w:rPr>
        <w:t xml:space="preserve"> міР-1233 була підвищено експресована у хворих із НКР (визначена в тканинах та сироватці) у порівнянні із здоровими особами (визначена в сироватці), що дозволило діагностувати пухлину із 77,4% чутливістю та 37,6% специфічністю та з </w:t>
      </w:r>
      <w:r w:rsidRPr="00C05B64">
        <w:rPr>
          <w:rFonts w:ascii="Times New Roman" w:hAnsi="Times New Roman" w:cs="Times New Roman"/>
          <w:sz w:val="28"/>
          <w:szCs w:val="28"/>
          <w:shd w:val="clear" w:color="auto" w:fill="FFFFFF"/>
          <w:lang w:val="en-US"/>
        </w:rPr>
        <w:t>AUC</w:t>
      </w:r>
      <w:r>
        <w:rPr>
          <w:rFonts w:ascii="Times New Roman" w:hAnsi="Times New Roman" w:cs="Times New Roman"/>
          <w:sz w:val="28"/>
          <w:szCs w:val="28"/>
          <w:shd w:val="clear" w:color="auto" w:fill="FFFFFF"/>
        </w:rPr>
        <w:t>=0,</w:t>
      </w:r>
      <w:r w:rsidRPr="00BE7DE2">
        <w:rPr>
          <w:rFonts w:ascii="Times New Roman" w:hAnsi="Times New Roman" w:cs="Times New Roman"/>
          <w:sz w:val="28"/>
          <w:szCs w:val="28"/>
          <w:shd w:val="clear" w:color="auto" w:fill="FFFFFF"/>
        </w:rPr>
        <w:t>588</w:t>
      </w:r>
      <w:r>
        <w:rPr>
          <w:rFonts w:ascii="Times New Roman" w:hAnsi="Times New Roman" w:cs="Times New Roman"/>
          <w:sz w:val="28"/>
          <w:szCs w:val="28"/>
          <w:shd w:val="clear" w:color="auto" w:fill="FFFFFF"/>
        </w:rPr>
        <w:t xml:space="preserve"> [</w:t>
      </w:r>
      <w:r>
        <w:rPr>
          <w:rFonts w:ascii="Times New Roman" w:eastAsia="Times New Roman" w:hAnsi="Times New Roman" w:cs="Times New Roman"/>
          <w:color w:val="000000" w:themeColor="text1"/>
          <w:sz w:val="28"/>
          <w:szCs w:val="28"/>
          <w:lang w:eastAsia="uk-UA"/>
        </w:rPr>
        <w:t>428</w:t>
      </w:r>
      <w:r w:rsidRPr="00BE7DE2">
        <w:rPr>
          <w:rFonts w:ascii="Times New Roman" w:hAnsi="Times New Roman" w:cs="Times New Roman"/>
          <w:sz w:val="28"/>
          <w:szCs w:val="28"/>
          <w:shd w:val="clear" w:color="auto" w:fill="FFFFFF"/>
        </w:rPr>
        <w:t xml:space="preserve">]. </w:t>
      </w:r>
      <w:r w:rsidRPr="00C05B64">
        <w:rPr>
          <w:rFonts w:ascii="Times New Roman" w:hAnsi="Times New Roman" w:cs="Times New Roman"/>
          <w:sz w:val="28"/>
          <w:szCs w:val="28"/>
          <w:shd w:val="clear" w:color="auto" w:fill="FFFFFF"/>
          <w:lang w:val="en-US"/>
        </w:rPr>
        <w:t>Faragalla</w:t>
      </w:r>
      <w:r w:rsidRPr="00BE7DE2">
        <w:rPr>
          <w:rFonts w:ascii="Times New Roman" w:hAnsi="Times New Roman" w:cs="Times New Roman"/>
          <w:sz w:val="28"/>
          <w:szCs w:val="28"/>
          <w:shd w:val="clear" w:color="auto" w:fill="FFFFFF"/>
        </w:rPr>
        <w:t xml:space="preserve"> </w:t>
      </w:r>
      <w:r w:rsidRPr="00C05B64">
        <w:rPr>
          <w:rFonts w:ascii="Times New Roman" w:hAnsi="Times New Roman" w:cs="Times New Roman"/>
          <w:sz w:val="28"/>
          <w:szCs w:val="28"/>
          <w:shd w:val="clear" w:color="auto" w:fill="FFFFFF"/>
          <w:lang w:val="en-US"/>
        </w:rPr>
        <w:t>et</w:t>
      </w:r>
      <w:r w:rsidRPr="00BE7DE2">
        <w:rPr>
          <w:rFonts w:ascii="Times New Roman" w:hAnsi="Times New Roman" w:cs="Times New Roman"/>
          <w:sz w:val="28"/>
          <w:szCs w:val="28"/>
          <w:shd w:val="clear" w:color="auto" w:fill="FFFFFF"/>
        </w:rPr>
        <w:t xml:space="preserve"> </w:t>
      </w:r>
      <w:r w:rsidRPr="00C05B64">
        <w:rPr>
          <w:rFonts w:ascii="Times New Roman" w:hAnsi="Times New Roman" w:cs="Times New Roman"/>
          <w:sz w:val="28"/>
          <w:szCs w:val="28"/>
          <w:shd w:val="clear" w:color="auto" w:fill="FFFFFF"/>
          <w:lang w:val="en-US"/>
        </w:rPr>
        <w:t>al</w:t>
      </w:r>
      <w:r>
        <w:rPr>
          <w:rFonts w:ascii="Times New Roman" w:hAnsi="Times New Roman" w:cs="Times New Roman"/>
          <w:sz w:val="28"/>
          <w:szCs w:val="28"/>
          <w:shd w:val="clear" w:color="auto" w:fill="FFFFFF"/>
        </w:rPr>
        <w:t xml:space="preserve"> в 2012 р. виявили, що визначення експресії міР-21 дозволяє проводити диференціацію між НКР та онкоцитомою із чутливістю 90% </w:t>
      </w:r>
      <w:r w:rsidRPr="00DF258A">
        <w:rPr>
          <w:rFonts w:ascii="Times New Roman" w:hAnsi="Times New Roman" w:cs="Times New Roman"/>
          <w:sz w:val="28"/>
          <w:szCs w:val="28"/>
          <w:shd w:val="clear" w:color="auto" w:fill="FAFAFA"/>
        </w:rPr>
        <w:t>(95% ДІ=63,9-98,1%)</w:t>
      </w:r>
      <w:r>
        <w:rPr>
          <w:rFonts w:ascii="Times New Roman" w:hAnsi="Times New Roman" w:cs="Times New Roman"/>
          <w:sz w:val="28"/>
          <w:szCs w:val="28"/>
          <w:shd w:val="clear" w:color="auto" w:fill="FAFAFA"/>
        </w:rPr>
        <w:t xml:space="preserve"> та специфічністю </w:t>
      </w:r>
      <w:r w:rsidRPr="00DF258A">
        <w:rPr>
          <w:rFonts w:ascii="Times New Roman" w:hAnsi="Times New Roman" w:cs="Times New Roman"/>
          <w:sz w:val="28"/>
          <w:szCs w:val="28"/>
          <w:shd w:val="clear" w:color="auto" w:fill="FAFAFA"/>
        </w:rPr>
        <w:t>83% (95% ДІ=53,5-97,6%)</w:t>
      </w:r>
      <w:r>
        <w:rPr>
          <w:rFonts w:ascii="Times New Roman" w:hAnsi="Times New Roman" w:cs="Times New Roman"/>
          <w:sz w:val="28"/>
          <w:szCs w:val="28"/>
          <w:shd w:val="clear" w:color="auto" w:fill="FAFAFA"/>
        </w:rPr>
        <w:t>, проте, невідомо, чи у дослідження входили пацієнти із кістозним НКР, і крім цього, не включались хворі із іншими доброякісними пухлинами нирки, що суттєво обмежує практичне застосування отриманих результатів</w:t>
      </w:r>
      <w:r w:rsidRPr="00DF258A">
        <w:rPr>
          <w:rFonts w:ascii="Times New Roman" w:hAnsi="Times New Roman" w:cs="Times New Roman"/>
          <w:sz w:val="28"/>
          <w:szCs w:val="28"/>
          <w:shd w:val="clear" w:color="auto" w:fill="FAFAFA"/>
        </w:rPr>
        <w:t xml:space="preserve"> </w:t>
      </w:r>
      <w:r>
        <w:rPr>
          <w:rFonts w:ascii="Times New Roman" w:hAnsi="Times New Roman" w:cs="Times New Roman"/>
          <w:sz w:val="28"/>
          <w:szCs w:val="28"/>
          <w:shd w:val="clear" w:color="auto" w:fill="FAFAFA"/>
        </w:rPr>
        <w:t>[</w:t>
      </w:r>
      <w:r>
        <w:rPr>
          <w:rFonts w:ascii="Times New Roman" w:eastAsia="Times New Roman" w:hAnsi="Times New Roman" w:cs="Times New Roman"/>
          <w:color w:val="000000" w:themeColor="text1"/>
          <w:sz w:val="28"/>
          <w:szCs w:val="28"/>
          <w:lang w:eastAsia="uk-UA"/>
        </w:rPr>
        <w:t>140</w:t>
      </w:r>
      <w:r w:rsidRPr="00DF258A">
        <w:rPr>
          <w:rFonts w:ascii="Times New Roman" w:hAnsi="Times New Roman" w:cs="Times New Roman"/>
          <w:sz w:val="28"/>
          <w:szCs w:val="28"/>
          <w:shd w:val="clear" w:color="auto" w:fill="FAFAFA"/>
        </w:rPr>
        <w:t xml:space="preserve">]. </w:t>
      </w:r>
    </w:p>
    <w:p w:rsidR="001E6EFC" w:rsidRDefault="001E6EFC" w:rsidP="001E6EFC">
      <w:pPr>
        <w:spacing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AFAFA"/>
        </w:rPr>
        <w:t xml:space="preserve">У своєму дослідженні </w:t>
      </w:r>
      <w:r w:rsidRPr="00C05B64">
        <w:rPr>
          <w:rFonts w:ascii="Times New Roman" w:hAnsi="Times New Roman" w:cs="Times New Roman"/>
          <w:sz w:val="28"/>
          <w:szCs w:val="28"/>
          <w:shd w:val="clear" w:color="auto" w:fill="FFFFFF"/>
          <w:lang w:val="en-US"/>
        </w:rPr>
        <w:t>Redova</w:t>
      </w:r>
      <w:r>
        <w:rPr>
          <w:rFonts w:ascii="Times New Roman" w:hAnsi="Times New Roman" w:cs="Times New Roman"/>
          <w:sz w:val="28"/>
          <w:szCs w:val="28"/>
          <w:shd w:val="clear" w:color="auto" w:fill="FFFFFF"/>
        </w:rPr>
        <w:t xml:space="preserve"> та колеги відмічали, що експресія міР</w:t>
      </w:r>
      <w:r w:rsidRPr="00715209">
        <w:rPr>
          <w:rFonts w:ascii="Times New Roman" w:hAnsi="Times New Roman" w:cs="Times New Roman"/>
          <w:sz w:val="28"/>
          <w:szCs w:val="28"/>
          <w:shd w:val="clear" w:color="auto" w:fill="FFFFFF"/>
        </w:rPr>
        <w:t>-378</w:t>
      </w:r>
      <w:r>
        <w:rPr>
          <w:rFonts w:ascii="Times New Roman" w:hAnsi="Times New Roman" w:cs="Times New Roman"/>
          <w:sz w:val="28"/>
          <w:szCs w:val="28"/>
          <w:shd w:val="clear" w:color="auto" w:fill="FFFFFF"/>
        </w:rPr>
        <w:t xml:space="preserve"> була підвищена </w:t>
      </w:r>
      <w:r w:rsidRPr="00715209">
        <w:rPr>
          <w:rFonts w:ascii="Times New Roman" w:hAnsi="Times New Roman" w:cs="Times New Roman"/>
          <w:sz w:val="28"/>
          <w:szCs w:val="28"/>
          <w:shd w:val="clear" w:color="auto" w:fill="FFFFFF"/>
        </w:rPr>
        <w:t>(</w:t>
      </w:r>
      <w:r w:rsidRPr="00C05B64">
        <w:rPr>
          <w:rFonts w:ascii="Times New Roman" w:hAnsi="Times New Roman" w:cs="Times New Roman"/>
          <w:sz w:val="28"/>
          <w:szCs w:val="28"/>
          <w:shd w:val="clear" w:color="auto" w:fill="FFFFFF"/>
          <w:lang w:val="en-US"/>
        </w:rPr>
        <w:t>AUC</w:t>
      </w:r>
      <w:r>
        <w:rPr>
          <w:rFonts w:ascii="Times New Roman" w:hAnsi="Times New Roman" w:cs="Times New Roman"/>
          <w:sz w:val="28"/>
          <w:szCs w:val="28"/>
          <w:shd w:val="clear" w:color="auto" w:fill="FFFFFF"/>
        </w:rPr>
        <w:t>=0,71;</w:t>
      </w:r>
      <w:r w:rsidRPr="00715209">
        <w:rPr>
          <w:rFonts w:ascii="Times New Roman" w:hAnsi="Times New Roman" w:cs="Times New Roman"/>
          <w:sz w:val="28"/>
          <w:szCs w:val="28"/>
          <w:shd w:val="clear" w:color="auto" w:fill="FFFFFF"/>
        </w:rPr>
        <w:t xml:space="preserve"> Р=</w:t>
      </w:r>
      <w:r>
        <w:rPr>
          <w:rFonts w:ascii="Times New Roman" w:hAnsi="Times New Roman" w:cs="Times New Roman"/>
          <w:sz w:val="28"/>
          <w:szCs w:val="28"/>
          <w:shd w:val="clear" w:color="auto" w:fill="FFFFFF"/>
        </w:rPr>
        <w:t>0,</w:t>
      </w:r>
      <w:r w:rsidRPr="00715209">
        <w:rPr>
          <w:rFonts w:ascii="Times New Roman" w:hAnsi="Times New Roman" w:cs="Times New Roman"/>
          <w:sz w:val="28"/>
          <w:szCs w:val="28"/>
          <w:shd w:val="clear" w:color="auto" w:fill="FFFFFF"/>
        </w:rPr>
        <w:t>0003)</w:t>
      </w:r>
      <w:r>
        <w:rPr>
          <w:rFonts w:ascii="Times New Roman" w:hAnsi="Times New Roman" w:cs="Times New Roman"/>
          <w:sz w:val="28"/>
          <w:szCs w:val="28"/>
          <w:shd w:val="clear" w:color="auto" w:fill="FFFFFF"/>
        </w:rPr>
        <w:t xml:space="preserve">, а міР-451 була знижена </w:t>
      </w:r>
      <w:r w:rsidRPr="00715209">
        <w:rPr>
          <w:rFonts w:ascii="Times New Roman" w:hAnsi="Times New Roman" w:cs="Times New Roman"/>
          <w:sz w:val="28"/>
          <w:szCs w:val="28"/>
          <w:shd w:val="clear" w:color="auto" w:fill="FFFFFF"/>
        </w:rPr>
        <w:t>(</w:t>
      </w:r>
      <w:r w:rsidRPr="00C05B64">
        <w:rPr>
          <w:rFonts w:ascii="Times New Roman" w:hAnsi="Times New Roman" w:cs="Times New Roman"/>
          <w:sz w:val="28"/>
          <w:szCs w:val="28"/>
          <w:shd w:val="clear" w:color="auto" w:fill="FFFFFF"/>
          <w:lang w:val="en-US"/>
        </w:rPr>
        <w:t>AUC</w:t>
      </w:r>
      <w:r>
        <w:rPr>
          <w:rFonts w:ascii="Times New Roman" w:hAnsi="Times New Roman" w:cs="Times New Roman"/>
          <w:sz w:val="28"/>
          <w:szCs w:val="28"/>
          <w:shd w:val="clear" w:color="auto" w:fill="FFFFFF"/>
        </w:rPr>
        <w:t>=0,77;</w:t>
      </w:r>
      <w:r w:rsidRPr="00715209">
        <w:rPr>
          <w:rFonts w:ascii="Times New Roman" w:hAnsi="Times New Roman" w:cs="Times New Roman"/>
          <w:sz w:val="28"/>
          <w:szCs w:val="28"/>
          <w:shd w:val="clear" w:color="auto" w:fill="FFFFFF"/>
        </w:rPr>
        <w:t xml:space="preserve"> Р&lt;</w:t>
      </w:r>
      <w:r>
        <w:rPr>
          <w:rFonts w:ascii="Times New Roman" w:hAnsi="Times New Roman" w:cs="Times New Roman"/>
          <w:sz w:val="28"/>
          <w:szCs w:val="28"/>
          <w:shd w:val="clear" w:color="auto" w:fill="FFFFFF"/>
        </w:rPr>
        <w:t>0,0001</w:t>
      </w:r>
      <w:r w:rsidRPr="00715209">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в сироватці хворих із НКР, у порівнянні із здоровим контролем. Комбіноване використання вказаних міРНК дозволило діагностувати НКР із чутливістю, специфічністю відповідно 81% та</w:t>
      </w:r>
      <w:r w:rsidRPr="00715209">
        <w:rPr>
          <w:rFonts w:ascii="Times New Roman" w:hAnsi="Times New Roman" w:cs="Times New Roman"/>
          <w:sz w:val="28"/>
          <w:szCs w:val="28"/>
          <w:shd w:val="clear" w:color="auto" w:fill="FFFFFF"/>
        </w:rPr>
        <w:t xml:space="preserve"> 83%</w:t>
      </w:r>
      <w:r>
        <w:rPr>
          <w:rFonts w:ascii="Times New Roman" w:hAnsi="Times New Roman" w:cs="Times New Roman"/>
          <w:sz w:val="28"/>
          <w:szCs w:val="28"/>
          <w:shd w:val="clear" w:color="auto" w:fill="FFFFFF"/>
        </w:rPr>
        <w:t xml:space="preserve"> при </w:t>
      </w:r>
      <w:r w:rsidRPr="00C05B64">
        <w:rPr>
          <w:rFonts w:ascii="Times New Roman" w:hAnsi="Times New Roman" w:cs="Times New Roman"/>
          <w:sz w:val="28"/>
          <w:szCs w:val="28"/>
          <w:shd w:val="clear" w:color="auto" w:fill="FFFFFF"/>
          <w:lang w:val="en-US"/>
        </w:rPr>
        <w:t>AUC</w:t>
      </w:r>
      <w:r>
        <w:rPr>
          <w:rFonts w:ascii="Times New Roman" w:hAnsi="Times New Roman" w:cs="Times New Roman"/>
          <w:sz w:val="28"/>
          <w:szCs w:val="28"/>
          <w:shd w:val="clear" w:color="auto" w:fill="FFFFFF"/>
        </w:rPr>
        <w:t>=0,</w:t>
      </w:r>
      <w:r w:rsidRPr="00715209">
        <w:rPr>
          <w:rFonts w:ascii="Times New Roman" w:hAnsi="Times New Roman" w:cs="Times New Roman"/>
          <w:sz w:val="28"/>
          <w:szCs w:val="28"/>
          <w:shd w:val="clear" w:color="auto" w:fill="FFFFFF"/>
        </w:rPr>
        <w:t>86</w:t>
      </w:r>
      <w:r>
        <w:rPr>
          <w:rFonts w:ascii="Times New Roman" w:hAnsi="Times New Roman" w:cs="Times New Roman"/>
          <w:sz w:val="28"/>
          <w:szCs w:val="28"/>
          <w:shd w:val="clear" w:color="auto" w:fill="FFFFFF"/>
        </w:rPr>
        <w:t xml:space="preserve"> [</w:t>
      </w:r>
      <w:r>
        <w:rPr>
          <w:rFonts w:ascii="Times New Roman" w:eastAsia="Times New Roman" w:hAnsi="Times New Roman" w:cs="Times New Roman"/>
          <w:color w:val="000000" w:themeColor="text1"/>
          <w:sz w:val="28"/>
          <w:szCs w:val="28"/>
          <w:lang w:eastAsia="uk-UA"/>
        </w:rPr>
        <w:t>351</w:t>
      </w:r>
      <w:r w:rsidRPr="00715209">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В іншій роботі було з’ясовано, що у тканинах пухлини </w:t>
      </w:r>
      <w:r w:rsidRPr="00FD7EB3">
        <w:rPr>
          <w:rFonts w:ascii="Times New Roman" w:hAnsi="Times New Roman" w:cs="Times New Roman"/>
          <w:sz w:val="28"/>
          <w:szCs w:val="28"/>
          <w:shd w:val="clear" w:color="auto" w:fill="FFFFFF"/>
        </w:rPr>
        <w:t>(</w:t>
      </w:r>
      <w:r w:rsidRPr="00C05B64">
        <w:rPr>
          <w:rFonts w:ascii="Times New Roman" w:hAnsi="Times New Roman" w:cs="Times New Roman"/>
          <w:sz w:val="28"/>
          <w:szCs w:val="28"/>
          <w:shd w:val="clear" w:color="auto" w:fill="FFFFFF"/>
          <w:lang w:val="en-US"/>
        </w:rPr>
        <w:t>p</w:t>
      </w:r>
      <w:r w:rsidRPr="00FD7EB3">
        <w:rPr>
          <w:rFonts w:ascii="Times New Roman" w:hAnsi="Times New Roman" w:cs="Times New Roman"/>
          <w:sz w:val="28"/>
          <w:szCs w:val="28"/>
          <w:shd w:val="clear" w:color="auto" w:fill="FFFFFF"/>
        </w:rPr>
        <w:t xml:space="preserve">=0,004) </w:t>
      </w:r>
      <w:r>
        <w:rPr>
          <w:rFonts w:ascii="Times New Roman" w:hAnsi="Times New Roman" w:cs="Times New Roman"/>
          <w:sz w:val="28"/>
          <w:szCs w:val="28"/>
          <w:shd w:val="clear" w:color="auto" w:fill="FFFFFF"/>
        </w:rPr>
        <w:t xml:space="preserve">та сироватці крові </w:t>
      </w:r>
      <w:r w:rsidRPr="00FD7EB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en-US"/>
        </w:rPr>
        <w:t>p</w:t>
      </w:r>
      <w:r>
        <w:rPr>
          <w:rFonts w:ascii="Times New Roman" w:hAnsi="Times New Roman" w:cs="Times New Roman"/>
          <w:sz w:val="28"/>
          <w:szCs w:val="28"/>
          <w:shd w:val="clear" w:color="auto" w:fill="FFFFFF"/>
        </w:rPr>
        <w:t>&lt;0,</w:t>
      </w:r>
      <w:r w:rsidRPr="00FD7EB3">
        <w:rPr>
          <w:rFonts w:ascii="Times New Roman" w:hAnsi="Times New Roman" w:cs="Times New Roman"/>
          <w:sz w:val="28"/>
          <w:szCs w:val="28"/>
          <w:shd w:val="clear" w:color="auto" w:fill="FFFFFF"/>
        </w:rPr>
        <w:t xml:space="preserve">001) </w:t>
      </w:r>
      <w:r>
        <w:rPr>
          <w:rFonts w:ascii="Times New Roman" w:hAnsi="Times New Roman" w:cs="Times New Roman"/>
          <w:sz w:val="28"/>
          <w:szCs w:val="28"/>
          <w:shd w:val="clear" w:color="auto" w:fill="FFFFFF"/>
        </w:rPr>
        <w:t xml:space="preserve">хворих із НКР, експресія міР-210 була значно вищою у порівнянні із здоровим контролем, при цьому чутливість, специфічність та  </w:t>
      </w:r>
      <w:r w:rsidRPr="00C05B64">
        <w:rPr>
          <w:rFonts w:ascii="Times New Roman" w:hAnsi="Times New Roman" w:cs="Times New Roman"/>
          <w:sz w:val="28"/>
          <w:szCs w:val="28"/>
          <w:shd w:val="clear" w:color="auto" w:fill="FFFFFF"/>
          <w:lang w:val="en-US"/>
        </w:rPr>
        <w:t>AUC</w:t>
      </w:r>
      <w:r>
        <w:rPr>
          <w:rFonts w:ascii="Times New Roman" w:hAnsi="Times New Roman" w:cs="Times New Roman"/>
          <w:sz w:val="28"/>
          <w:szCs w:val="28"/>
          <w:shd w:val="clear" w:color="auto" w:fill="FFFFFF"/>
        </w:rPr>
        <w:t xml:space="preserve"> методу складали відповідно 81,</w:t>
      </w:r>
      <w:r w:rsidRPr="00FD7EB3">
        <w:rPr>
          <w:rFonts w:ascii="Times New Roman" w:hAnsi="Times New Roman" w:cs="Times New Roman"/>
          <w:sz w:val="28"/>
          <w:szCs w:val="28"/>
          <w:shd w:val="clear" w:color="auto" w:fill="FFFFFF"/>
        </w:rPr>
        <w:t>0%</w:t>
      </w:r>
      <w:r>
        <w:rPr>
          <w:rFonts w:ascii="Times New Roman" w:hAnsi="Times New Roman" w:cs="Times New Roman"/>
          <w:sz w:val="28"/>
          <w:szCs w:val="28"/>
          <w:shd w:val="clear" w:color="auto" w:fill="FFFFFF"/>
        </w:rPr>
        <w:t>, 79,</w:t>
      </w:r>
      <w:r w:rsidRPr="00FD7EB3">
        <w:rPr>
          <w:rFonts w:ascii="Times New Roman" w:hAnsi="Times New Roman" w:cs="Times New Roman"/>
          <w:sz w:val="28"/>
          <w:szCs w:val="28"/>
          <w:shd w:val="clear" w:color="auto" w:fill="FFFFFF"/>
        </w:rPr>
        <w:t xml:space="preserve">4% </w:t>
      </w:r>
      <w:r>
        <w:rPr>
          <w:rFonts w:ascii="Times New Roman" w:hAnsi="Times New Roman" w:cs="Times New Roman"/>
          <w:sz w:val="28"/>
          <w:szCs w:val="28"/>
          <w:shd w:val="clear" w:color="auto" w:fill="FFFFFF"/>
        </w:rPr>
        <w:t>та</w:t>
      </w:r>
      <w:r w:rsidRPr="00FD7EB3">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0,</w:t>
      </w:r>
      <w:r w:rsidRPr="00FD7EB3">
        <w:rPr>
          <w:rFonts w:ascii="Times New Roman" w:hAnsi="Times New Roman" w:cs="Times New Roman"/>
          <w:sz w:val="28"/>
          <w:szCs w:val="28"/>
          <w:shd w:val="clear" w:color="auto" w:fill="FFFFFF"/>
        </w:rPr>
        <w:t>874</w:t>
      </w:r>
      <w:r>
        <w:rPr>
          <w:rFonts w:ascii="Times New Roman" w:hAnsi="Times New Roman" w:cs="Times New Roman"/>
          <w:sz w:val="28"/>
          <w:szCs w:val="28"/>
          <w:shd w:val="clear" w:color="auto" w:fill="FFFFFF"/>
        </w:rPr>
        <w:t>. Крім цього, експресія міР-210 у хворих із НКР значно знижувалась через 1 тиждень після нефректомії [</w:t>
      </w:r>
      <w:r>
        <w:rPr>
          <w:rFonts w:ascii="Times New Roman" w:eastAsia="Times New Roman" w:hAnsi="Times New Roman" w:cs="Times New Roman"/>
          <w:color w:val="000000" w:themeColor="text1"/>
          <w:sz w:val="28"/>
          <w:szCs w:val="28"/>
          <w:lang w:eastAsia="uk-UA"/>
        </w:rPr>
        <w:t>462</w:t>
      </w:r>
      <w:r w:rsidRPr="00FD7EB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Проте, за даними інших авторів дані показники були дещо гіршими і складали: чутливість – 65%, специфічність – 83% та </w:t>
      </w:r>
      <w:r w:rsidRPr="00C05B64">
        <w:rPr>
          <w:rFonts w:ascii="Times New Roman" w:hAnsi="Times New Roman" w:cs="Times New Roman"/>
          <w:sz w:val="28"/>
          <w:szCs w:val="28"/>
          <w:shd w:val="clear" w:color="auto" w:fill="FFFFFF"/>
          <w:lang w:val="en-US"/>
        </w:rPr>
        <w:t>AUC</w:t>
      </w:r>
      <w:r w:rsidRPr="00AC3B3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0,</w:t>
      </w:r>
      <w:r w:rsidRPr="00AC3B3C">
        <w:rPr>
          <w:rFonts w:ascii="Times New Roman" w:hAnsi="Times New Roman" w:cs="Times New Roman"/>
          <w:sz w:val="28"/>
          <w:szCs w:val="28"/>
          <w:shd w:val="clear" w:color="auto" w:fill="FFFFFF"/>
        </w:rPr>
        <w:t>77 (95% ДІ=</w:t>
      </w:r>
      <w:r>
        <w:rPr>
          <w:rFonts w:ascii="Times New Roman" w:hAnsi="Times New Roman" w:cs="Times New Roman"/>
          <w:sz w:val="28"/>
          <w:szCs w:val="28"/>
          <w:shd w:val="clear" w:color="auto" w:fill="FFFFFF"/>
        </w:rPr>
        <w:t>0,65-0,</w:t>
      </w:r>
      <w:r w:rsidRPr="00AC3B3C">
        <w:rPr>
          <w:rFonts w:ascii="Times New Roman" w:hAnsi="Times New Roman" w:cs="Times New Roman"/>
          <w:sz w:val="28"/>
          <w:szCs w:val="28"/>
          <w:shd w:val="clear" w:color="auto" w:fill="FFFFFF"/>
        </w:rPr>
        <w:t>89)</w:t>
      </w:r>
      <w:r>
        <w:rPr>
          <w:rFonts w:ascii="Times New Roman" w:hAnsi="Times New Roman" w:cs="Times New Roman"/>
          <w:sz w:val="28"/>
          <w:szCs w:val="28"/>
          <w:shd w:val="clear" w:color="auto" w:fill="FFFFFF"/>
        </w:rPr>
        <w:t xml:space="preserve"> [</w:t>
      </w:r>
      <w:r>
        <w:rPr>
          <w:rFonts w:ascii="Times New Roman" w:eastAsia="Times New Roman" w:hAnsi="Times New Roman" w:cs="Times New Roman"/>
          <w:color w:val="000000" w:themeColor="text1"/>
          <w:sz w:val="28"/>
          <w:szCs w:val="28"/>
          <w:lang w:eastAsia="uk-UA"/>
        </w:rPr>
        <w:t>206</w:t>
      </w:r>
      <w:r w:rsidRPr="00AC3B3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p>
    <w:p w:rsidR="001E6EFC" w:rsidRPr="004F543E" w:rsidRDefault="001E6EFC" w:rsidP="001E6EFC">
      <w:pPr>
        <w:spacing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lastRenderedPageBreak/>
        <w:t xml:space="preserve">В 2014 р. </w:t>
      </w:r>
      <w:r w:rsidRPr="00C05B64">
        <w:rPr>
          <w:rFonts w:ascii="Times New Roman" w:hAnsi="Times New Roman" w:cs="Times New Roman"/>
          <w:sz w:val="28"/>
          <w:szCs w:val="28"/>
          <w:shd w:val="clear" w:color="auto" w:fill="FFFFFF"/>
          <w:lang w:val="en-US"/>
        </w:rPr>
        <w:t>Chen</w:t>
      </w:r>
      <w:r w:rsidRPr="00A36C58">
        <w:rPr>
          <w:rFonts w:ascii="Times New Roman" w:hAnsi="Times New Roman" w:cs="Times New Roman"/>
          <w:sz w:val="28"/>
          <w:szCs w:val="28"/>
          <w:shd w:val="clear" w:color="auto" w:fill="FFFFFF"/>
        </w:rPr>
        <w:t xml:space="preserve"> </w:t>
      </w:r>
      <w:r w:rsidRPr="00C05B64">
        <w:rPr>
          <w:rFonts w:ascii="Times New Roman" w:hAnsi="Times New Roman" w:cs="Times New Roman"/>
          <w:sz w:val="28"/>
          <w:szCs w:val="28"/>
          <w:shd w:val="clear" w:color="auto" w:fill="FFFFFF"/>
          <w:lang w:val="en-US"/>
        </w:rPr>
        <w:t>et</w:t>
      </w:r>
      <w:r w:rsidRPr="00A36C58">
        <w:rPr>
          <w:rFonts w:ascii="Times New Roman" w:hAnsi="Times New Roman" w:cs="Times New Roman"/>
          <w:sz w:val="28"/>
          <w:szCs w:val="28"/>
          <w:shd w:val="clear" w:color="auto" w:fill="FFFFFF"/>
        </w:rPr>
        <w:t xml:space="preserve"> </w:t>
      </w:r>
      <w:r w:rsidRPr="00C05B64">
        <w:rPr>
          <w:rFonts w:ascii="Times New Roman" w:hAnsi="Times New Roman" w:cs="Times New Roman"/>
          <w:sz w:val="28"/>
          <w:szCs w:val="28"/>
          <w:shd w:val="clear" w:color="auto" w:fill="FFFFFF"/>
          <w:lang w:val="en-US"/>
        </w:rPr>
        <w:t>al</w:t>
      </w:r>
      <w:r>
        <w:rPr>
          <w:rFonts w:ascii="Times New Roman" w:hAnsi="Times New Roman" w:cs="Times New Roman"/>
          <w:sz w:val="28"/>
          <w:szCs w:val="28"/>
          <w:shd w:val="clear" w:color="auto" w:fill="FFFFFF"/>
        </w:rPr>
        <w:t xml:space="preserve"> довели, що тканинна експресія міР</w:t>
      </w:r>
      <w:r w:rsidRPr="00A36C58">
        <w:rPr>
          <w:rFonts w:ascii="Times New Roman" w:hAnsi="Times New Roman" w:cs="Times New Roman"/>
          <w:spacing w:val="2"/>
          <w:sz w:val="28"/>
          <w:szCs w:val="28"/>
          <w:shd w:val="clear" w:color="auto" w:fill="FCFCFC"/>
        </w:rPr>
        <w:t>-129-3</w:t>
      </w:r>
      <w:r w:rsidRPr="00C05B64">
        <w:rPr>
          <w:rFonts w:ascii="Times New Roman" w:hAnsi="Times New Roman" w:cs="Times New Roman"/>
          <w:spacing w:val="2"/>
          <w:sz w:val="28"/>
          <w:szCs w:val="28"/>
          <w:shd w:val="clear" w:color="auto" w:fill="FCFCFC"/>
          <w:lang w:val="en-US"/>
        </w:rPr>
        <w:t>p</w:t>
      </w:r>
      <w:r>
        <w:rPr>
          <w:rFonts w:ascii="Times New Roman" w:hAnsi="Times New Roman" w:cs="Times New Roman"/>
          <w:spacing w:val="2"/>
          <w:sz w:val="28"/>
          <w:szCs w:val="28"/>
          <w:shd w:val="clear" w:color="auto" w:fill="FCFCFC"/>
        </w:rPr>
        <w:t xml:space="preserve"> на відміну від міР</w:t>
      </w:r>
      <w:r w:rsidRPr="00A36C58">
        <w:rPr>
          <w:rFonts w:ascii="Times New Roman" w:hAnsi="Times New Roman" w:cs="Times New Roman"/>
          <w:spacing w:val="2"/>
          <w:sz w:val="28"/>
          <w:szCs w:val="28"/>
          <w:shd w:val="clear" w:color="auto" w:fill="FCFCFC"/>
        </w:rPr>
        <w:t>-129-5</w:t>
      </w:r>
      <w:r w:rsidRPr="00C05B64">
        <w:rPr>
          <w:rFonts w:ascii="Times New Roman" w:hAnsi="Times New Roman" w:cs="Times New Roman"/>
          <w:spacing w:val="2"/>
          <w:sz w:val="28"/>
          <w:szCs w:val="28"/>
          <w:shd w:val="clear" w:color="auto" w:fill="FCFCFC"/>
          <w:lang w:val="en-US"/>
        </w:rPr>
        <w:t>p</w:t>
      </w:r>
      <w:r>
        <w:rPr>
          <w:rFonts w:ascii="Times New Roman" w:hAnsi="Times New Roman" w:cs="Times New Roman"/>
          <w:spacing w:val="2"/>
          <w:sz w:val="28"/>
          <w:szCs w:val="28"/>
          <w:shd w:val="clear" w:color="auto" w:fill="FCFCFC"/>
        </w:rPr>
        <w:t xml:space="preserve"> була значно знижена у випадках скНКР та хрНКР у порівнянні із здоровим контролем, точність даного методу при діагностиці конвенційного НКР складала 73,5% [</w:t>
      </w:r>
      <w:r>
        <w:rPr>
          <w:rFonts w:ascii="Times New Roman" w:eastAsia="Times New Roman" w:hAnsi="Times New Roman" w:cs="Times New Roman"/>
          <w:color w:val="000000" w:themeColor="text1"/>
          <w:sz w:val="28"/>
          <w:szCs w:val="28"/>
          <w:lang w:eastAsia="uk-UA"/>
        </w:rPr>
        <w:t>106</w:t>
      </w:r>
      <w:r w:rsidRPr="00A36C58">
        <w:rPr>
          <w:rFonts w:ascii="Times New Roman" w:hAnsi="Times New Roman" w:cs="Times New Roman"/>
          <w:spacing w:val="2"/>
          <w:sz w:val="28"/>
          <w:szCs w:val="28"/>
          <w:shd w:val="clear" w:color="auto" w:fill="FCFCFC"/>
        </w:rPr>
        <w:t>].</w:t>
      </w:r>
      <w:r>
        <w:rPr>
          <w:rFonts w:ascii="Times New Roman" w:hAnsi="Times New Roman" w:cs="Times New Roman"/>
          <w:spacing w:val="2"/>
          <w:sz w:val="28"/>
          <w:szCs w:val="28"/>
          <w:shd w:val="clear" w:color="auto" w:fill="FCFCFC"/>
        </w:rPr>
        <w:t xml:space="preserve"> </w:t>
      </w:r>
      <w:r>
        <w:rPr>
          <w:rStyle w:val="apple-converted-space"/>
          <w:rFonts w:ascii="Times New Roman" w:hAnsi="Times New Roman" w:cs="Times New Roman"/>
          <w:sz w:val="28"/>
          <w:szCs w:val="28"/>
          <w:shd w:val="clear" w:color="auto" w:fill="FFFFFF"/>
        </w:rPr>
        <w:t xml:space="preserve">При визначенні в комбінації експресії міР-210 та міР-378 у сироватці (при НКР відзначалась підвищена експресія обох міРНК у порівнянні із здоровим контролем), чутливість та специфічність при діагностиці НКР складали відповідно 80% та 78%. Рівні обох міРНК достовірно знижувались через три місяці після радикальної нефректомії </w:t>
      </w:r>
      <w:r w:rsidRPr="00110D61">
        <w:rPr>
          <w:rFonts w:ascii="Times New Roman" w:hAnsi="Times New Roman" w:cs="Times New Roman"/>
          <w:sz w:val="28"/>
          <w:szCs w:val="28"/>
          <w:shd w:val="clear" w:color="auto" w:fill="FFFFFF"/>
        </w:rPr>
        <w:t>(</w:t>
      </w:r>
      <w:r w:rsidRPr="00C05B64">
        <w:rPr>
          <w:rFonts w:ascii="Times New Roman" w:hAnsi="Times New Roman" w:cs="Times New Roman"/>
          <w:iCs/>
          <w:sz w:val="28"/>
          <w:szCs w:val="28"/>
          <w:shd w:val="clear" w:color="auto" w:fill="FFFFFF"/>
          <w:lang w:val="en-US"/>
        </w:rPr>
        <w:t>p</w:t>
      </w:r>
      <w:r w:rsidRPr="00110D61">
        <w:rPr>
          <w:rFonts w:ascii="Times New Roman" w:hAnsi="Times New Roman" w:cs="Times New Roman"/>
          <w:sz w:val="28"/>
          <w:szCs w:val="28"/>
          <w:shd w:val="clear" w:color="auto" w:fill="FFFFFF"/>
        </w:rPr>
        <w:t>&lt;0,</w:t>
      </w:r>
      <w:r>
        <w:rPr>
          <w:rFonts w:ascii="Times New Roman" w:hAnsi="Times New Roman" w:cs="Times New Roman"/>
          <w:sz w:val="28"/>
          <w:szCs w:val="28"/>
          <w:shd w:val="clear" w:color="auto" w:fill="FFFFFF"/>
        </w:rPr>
        <w:t>0001) [</w:t>
      </w:r>
      <w:r>
        <w:rPr>
          <w:rFonts w:ascii="Times New Roman" w:eastAsia="Times New Roman" w:hAnsi="Times New Roman" w:cs="Times New Roman"/>
          <w:color w:val="000000" w:themeColor="text1"/>
          <w:sz w:val="28"/>
          <w:szCs w:val="28"/>
          <w:lang w:eastAsia="uk-UA"/>
        </w:rPr>
        <w:t>142</w:t>
      </w:r>
      <w:r w:rsidRPr="00110D6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Слід зазначити, що в наведені вище дослідження не були включені хворі із доброякісними пухлинами нирок, що значно обмежує практичне використання запропонованих методик в диференційній діагностиці НКР. </w:t>
      </w:r>
      <w:r w:rsidRPr="00060437">
        <w:rPr>
          <w:rFonts w:ascii="Times New Roman" w:hAnsi="Times New Roman" w:cs="Times New Roman"/>
          <w:color w:val="000000" w:themeColor="text1"/>
          <w:sz w:val="28"/>
          <w:szCs w:val="28"/>
        </w:rPr>
        <w:t xml:space="preserve">Строй О.О. та співавтори визначили, що експресія мікроРНК-508-3р в крові хворих із НКР є достовірно нижчою, ніж у хворих із доброякісними пухлинами нирок та у </w:t>
      </w:r>
      <w:r>
        <w:rPr>
          <w:rFonts w:ascii="Times New Roman" w:hAnsi="Times New Roman" w:cs="Times New Roman"/>
          <w:color w:val="000000" w:themeColor="text1"/>
          <w:sz w:val="28"/>
          <w:szCs w:val="28"/>
        </w:rPr>
        <w:t xml:space="preserve">здорових осіб, що дозволило діагностувати НКР із чутливістю 84% та специфічністю 91% </w:t>
      </w:r>
      <w:r w:rsidRPr="004F543E">
        <w:rPr>
          <w:rFonts w:ascii="Times New Roman" w:hAnsi="Times New Roman" w:cs="Times New Roman"/>
          <w:color w:val="000000" w:themeColor="text1"/>
          <w:sz w:val="28"/>
          <w:szCs w:val="28"/>
        </w:rPr>
        <w:t>[</w:t>
      </w:r>
      <w:r>
        <w:rPr>
          <w:rFonts w:ascii="Times New Roman" w:eastAsia="Times New Roman" w:hAnsi="Times New Roman" w:cs="Times New Roman"/>
          <w:sz w:val="28"/>
          <w:szCs w:val="28"/>
          <w:lang w:eastAsia="uk-UA"/>
        </w:rPr>
        <w:t>64</w:t>
      </w:r>
      <w:r w:rsidRPr="004F543E">
        <w:rPr>
          <w:rFonts w:ascii="Times New Roman" w:hAnsi="Times New Roman" w:cs="Times New Roman"/>
          <w:color w:val="000000" w:themeColor="text1"/>
          <w:sz w:val="28"/>
          <w:szCs w:val="28"/>
        </w:rPr>
        <w:t>].</w:t>
      </w:r>
    </w:p>
    <w:p w:rsidR="001E6EFC" w:rsidRPr="000A169D" w:rsidRDefault="001E6EFC" w:rsidP="001E6EFC">
      <w:pPr>
        <w:spacing w:line="360" w:lineRule="auto"/>
        <w:ind w:firstLine="708"/>
        <w:jc w:val="both"/>
        <w:rPr>
          <w:rStyle w:val="apple-converted-space"/>
          <w:rFonts w:ascii="Times New Roman" w:hAnsi="Times New Roman" w:cs="Times New Roman"/>
          <w:sz w:val="28"/>
          <w:szCs w:val="28"/>
          <w:shd w:val="clear" w:color="auto" w:fill="FFFFFF"/>
        </w:rPr>
      </w:pPr>
      <w:r>
        <w:rPr>
          <w:rStyle w:val="apple-converted-space"/>
          <w:rFonts w:ascii="Times New Roman" w:hAnsi="Times New Roman" w:cs="Times New Roman"/>
          <w:sz w:val="28"/>
          <w:szCs w:val="28"/>
          <w:shd w:val="clear" w:color="auto" w:fill="FFFFFF"/>
        </w:rPr>
        <w:t xml:space="preserve">Досить точну, проте занадто комплексну методику молекулярної класифікації НКР на основі визначення тканинної експресії міРНК запропонував </w:t>
      </w:r>
      <w:r w:rsidRPr="00C05B64">
        <w:rPr>
          <w:rFonts w:ascii="Times New Roman" w:hAnsi="Times New Roman" w:cs="Times New Roman"/>
          <w:sz w:val="28"/>
          <w:szCs w:val="28"/>
          <w:shd w:val="clear" w:color="auto" w:fill="FFFFFF"/>
          <w:lang w:val="en-US"/>
        </w:rPr>
        <w:t>Youssef</w:t>
      </w:r>
      <w:r w:rsidRPr="0041796E">
        <w:rPr>
          <w:rFonts w:ascii="Times New Roman" w:hAnsi="Times New Roman" w:cs="Times New Roman"/>
          <w:sz w:val="28"/>
          <w:szCs w:val="28"/>
          <w:shd w:val="clear" w:color="auto" w:fill="FFFFFF"/>
        </w:rPr>
        <w:t xml:space="preserve"> </w:t>
      </w:r>
      <w:r w:rsidRPr="00C05B64">
        <w:rPr>
          <w:rFonts w:ascii="Times New Roman" w:hAnsi="Times New Roman" w:cs="Times New Roman"/>
          <w:sz w:val="28"/>
          <w:szCs w:val="28"/>
          <w:shd w:val="clear" w:color="auto" w:fill="FFFFFF"/>
          <w:lang w:val="en-US"/>
        </w:rPr>
        <w:t>et</w:t>
      </w:r>
      <w:r w:rsidRPr="0041796E">
        <w:rPr>
          <w:rFonts w:ascii="Times New Roman" w:hAnsi="Times New Roman" w:cs="Times New Roman"/>
          <w:sz w:val="28"/>
          <w:szCs w:val="28"/>
          <w:shd w:val="clear" w:color="auto" w:fill="FFFFFF"/>
        </w:rPr>
        <w:t xml:space="preserve"> </w:t>
      </w:r>
      <w:r w:rsidRPr="00C05B64">
        <w:rPr>
          <w:rFonts w:ascii="Times New Roman" w:hAnsi="Times New Roman" w:cs="Times New Roman"/>
          <w:sz w:val="28"/>
          <w:szCs w:val="28"/>
          <w:shd w:val="clear" w:color="auto" w:fill="FFFFFF"/>
          <w:lang w:val="en-US"/>
        </w:rPr>
        <w:t>al</w:t>
      </w:r>
      <w:r>
        <w:rPr>
          <w:rFonts w:ascii="Times New Roman" w:hAnsi="Times New Roman" w:cs="Times New Roman"/>
          <w:sz w:val="28"/>
          <w:szCs w:val="28"/>
          <w:shd w:val="clear" w:color="auto" w:fill="FFFFFF"/>
        </w:rPr>
        <w:t xml:space="preserve">, яка для диференціації гістологічних підтипів НКР із онкоцитомою та здоровими тканинами вимагає визначення молекулярного профілю із 15 міРНК, що дозволяє діагностувати НКР із 97% чутливістю, 100% специфічністю та 97% точністю. При валідації даного методу показник точності складав 90% </w:t>
      </w:r>
      <w:r w:rsidRPr="00E1670C">
        <w:rPr>
          <w:rFonts w:ascii="Times New Roman" w:hAnsi="Times New Roman" w:cs="Times New Roman"/>
          <w:sz w:val="28"/>
          <w:szCs w:val="28"/>
          <w:shd w:val="clear" w:color="auto" w:fill="FAFAFA"/>
        </w:rPr>
        <w:t>[</w:t>
      </w:r>
      <w:r>
        <w:rPr>
          <w:rFonts w:ascii="Times New Roman" w:eastAsia="Times New Roman" w:hAnsi="Times New Roman" w:cs="Times New Roman"/>
          <w:color w:val="000000" w:themeColor="text1"/>
          <w:sz w:val="28"/>
          <w:szCs w:val="28"/>
          <w:lang w:eastAsia="uk-UA"/>
        </w:rPr>
        <w:t>450</w:t>
      </w:r>
      <w:r w:rsidRPr="00E1670C">
        <w:rPr>
          <w:rFonts w:ascii="Times New Roman" w:hAnsi="Times New Roman" w:cs="Times New Roman"/>
          <w:sz w:val="28"/>
          <w:szCs w:val="28"/>
          <w:shd w:val="clear" w:color="auto" w:fill="FAFAFA"/>
        </w:rPr>
        <w:t>].</w:t>
      </w:r>
      <w:r w:rsidRPr="00C05B64">
        <w:rPr>
          <w:rStyle w:val="apple-converted-space"/>
          <w:rFonts w:ascii="Helvetica" w:hAnsi="Helvetica"/>
          <w:sz w:val="21"/>
          <w:szCs w:val="21"/>
          <w:shd w:val="clear" w:color="auto" w:fill="FAFAFA"/>
          <w:lang w:val="en-US"/>
        </w:rPr>
        <w:t> </w:t>
      </w:r>
      <w:r w:rsidRPr="00E1670C">
        <w:rPr>
          <w:rStyle w:val="apple-converted-space"/>
          <w:rFonts w:ascii="Times New Roman" w:hAnsi="Times New Roman" w:cs="Times New Roman"/>
          <w:sz w:val="28"/>
          <w:szCs w:val="28"/>
          <w:shd w:val="clear" w:color="auto" w:fill="FAFAFA"/>
        </w:rPr>
        <w:t>Проте,</w:t>
      </w:r>
      <w:r>
        <w:rPr>
          <w:rStyle w:val="apple-converted-space"/>
          <w:sz w:val="21"/>
          <w:szCs w:val="21"/>
          <w:shd w:val="clear" w:color="auto" w:fill="FAFAFA"/>
        </w:rPr>
        <w:t xml:space="preserve"> </w:t>
      </w:r>
      <w:r>
        <w:rPr>
          <w:rStyle w:val="apple-converted-space"/>
          <w:rFonts w:ascii="Times New Roman" w:hAnsi="Times New Roman" w:cs="Times New Roman"/>
          <w:sz w:val="28"/>
          <w:szCs w:val="28"/>
          <w:shd w:val="clear" w:color="auto" w:fill="FAFAFA"/>
        </w:rPr>
        <w:t>в</w:t>
      </w:r>
      <w:r w:rsidRPr="00E1670C">
        <w:rPr>
          <w:rStyle w:val="apple-converted-space"/>
          <w:rFonts w:ascii="Times New Roman" w:hAnsi="Times New Roman" w:cs="Times New Roman"/>
          <w:sz w:val="28"/>
          <w:szCs w:val="28"/>
          <w:shd w:val="clear" w:color="auto" w:fill="FAFAFA"/>
        </w:rPr>
        <w:t xml:space="preserve">раховуючи </w:t>
      </w:r>
      <w:r>
        <w:rPr>
          <w:rStyle w:val="apple-converted-space"/>
          <w:rFonts w:ascii="Times New Roman" w:hAnsi="Times New Roman" w:cs="Times New Roman"/>
          <w:sz w:val="28"/>
          <w:szCs w:val="28"/>
          <w:shd w:val="clear" w:color="auto" w:fill="FAFAFA"/>
        </w:rPr>
        <w:t xml:space="preserve">високу собівартість даного дослідження, викликає сумнів можливість його реального застосування на практиці. Крім цього, в дослідження не включались інші поширені доброяксні пухлини нирок, такі, як АМЛ та ПА, що є важливим для диференційної діагностики НКР. Існує ряд інших робіт, у яких для діагностики даного ЗН було запропоноване молекулярне профілювання, проте на сьогоднішній день отримані результати мають більш науковий ніж практичний потенціал застосування </w:t>
      </w:r>
      <w:r w:rsidRPr="0037583A">
        <w:rPr>
          <w:rStyle w:val="apple-converted-space"/>
          <w:rFonts w:ascii="Times New Roman" w:hAnsi="Times New Roman" w:cs="Times New Roman"/>
          <w:sz w:val="28"/>
          <w:szCs w:val="28"/>
          <w:shd w:val="clear" w:color="auto" w:fill="FAFAFA"/>
        </w:rPr>
        <w:t>[</w:t>
      </w:r>
      <w:r>
        <w:rPr>
          <w:rFonts w:ascii="Times New Roman" w:eastAsia="Times New Roman" w:hAnsi="Times New Roman" w:cs="Times New Roman"/>
          <w:color w:val="000000" w:themeColor="text1"/>
          <w:sz w:val="28"/>
          <w:szCs w:val="28"/>
          <w:lang w:eastAsia="uk-UA"/>
        </w:rPr>
        <w:t>172, 343, 421, 438</w:t>
      </w:r>
      <w:r w:rsidRPr="0037583A">
        <w:rPr>
          <w:rStyle w:val="apple-converted-space"/>
          <w:rFonts w:ascii="Times New Roman" w:hAnsi="Times New Roman" w:cs="Times New Roman"/>
          <w:sz w:val="28"/>
          <w:szCs w:val="28"/>
          <w:shd w:val="clear" w:color="auto" w:fill="FAFAFA"/>
        </w:rPr>
        <w:t>]</w:t>
      </w:r>
      <w:r>
        <w:rPr>
          <w:rStyle w:val="apple-converted-space"/>
          <w:rFonts w:ascii="Times New Roman" w:hAnsi="Times New Roman" w:cs="Times New Roman"/>
          <w:sz w:val="28"/>
          <w:szCs w:val="28"/>
          <w:shd w:val="clear" w:color="auto" w:fill="FAFAFA"/>
        </w:rPr>
        <w:t>.</w:t>
      </w:r>
    </w:p>
    <w:p w:rsidR="001E6EFC" w:rsidRDefault="001E6EFC" w:rsidP="001E6EFC">
      <w:pPr>
        <w:spacing w:line="360" w:lineRule="auto"/>
        <w:ind w:firstLine="708"/>
        <w:jc w:val="both"/>
        <w:rPr>
          <w:rStyle w:val="apple-converted-space"/>
          <w:rFonts w:ascii="Times New Roman" w:hAnsi="Times New Roman" w:cs="Times New Roman"/>
          <w:sz w:val="28"/>
          <w:szCs w:val="28"/>
          <w:shd w:val="clear" w:color="auto" w:fill="FFFFFF"/>
        </w:rPr>
      </w:pPr>
      <w:r>
        <w:rPr>
          <w:rStyle w:val="apple-converted-space"/>
          <w:rFonts w:ascii="Times New Roman" w:hAnsi="Times New Roman" w:cs="Times New Roman"/>
          <w:sz w:val="28"/>
          <w:szCs w:val="28"/>
          <w:shd w:val="clear" w:color="auto" w:fill="FFFFFF"/>
        </w:rPr>
        <w:lastRenderedPageBreak/>
        <w:t>Не зважаючи на низку проведених досліджень, у яких вивчалась експресія міРНК у крові та тканинах пухлини при НКР, не існує ґрунтовних робіт, які б фокусувались на визначенні міРНК у сечі хворих із даною патологією. Враховуючи, що сеча – це біологічний матеріал, який може бути отриманий неінвазійним шляхом, пошук біомаркерів НКР в даному середовищі складає значний науковий інтерес. Крім цього, для таких онкоурологічних захворювань, як ПКК та рак простати, в сечі</w:t>
      </w:r>
      <w:r w:rsidRPr="00610C54">
        <w:rPr>
          <w:rStyle w:val="apple-converted-space"/>
          <w:rFonts w:ascii="Times New Roman" w:hAnsi="Times New Roman" w:cs="Times New Roman"/>
          <w:sz w:val="28"/>
          <w:szCs w:val="28"/>
          <w:shd w:val="clear" w:color="auto" w:fill="FFFFFF"/>
        </w:rPr>
        <w:t xml:space="preserve"> </w:t>
      </w:r>
      <w:r>
        <w:rPr>
          <w:rStyle w:val="apple-converted-space"/>
          <w:rFonts w:ascii="Times New Roman" w:hAnsi="Times New Roman" w:cs="Times New Roman"/>
          <w:sz w:val="28"/>
          <w:szCs w:val="28"/>
          <w:shd w:val="clear" w:color="auto" w:fill="FFFFFF"/>
        </w:rPr>
        <w:t xml:space="preserve">вже було знайдено біомаркери </w:t>
      </w:r>
      <w:r w:rsidRPr="00610C54">
        <w:rPr>
          <w:rStyle w:val="apple-converted-space"/>
          <w:rFonts w:ascii="Times New Roman" w:hAnsi="Times New Roman" w:cs="Times New Roman"/>
          <w:sz w:val="28"/>
          <w:szCs w:val="28"/>
          <w:shd w:val="clear" w:color="auto" w:fill="FFFFFF"/>
        </w:rPr>
        <w:t>[</w:t>
      </w:r>
      <w:r>
        <w:rPr>
          <w:rStyle w:val="apple-converted-space"/>
          <w:rFonts w:ascii="Times New Roman" w:hAnsi="Times New Roman" w:cs="Times New Roman"/>
          <w:sz w:val="28"/>
          <w:szCs w:val="28"/>
          <w:shd w:val="clear" w:color="auto" w:fill="FFFFFF"/>
        </w:rPr>
        <w:t xml:space="preserve">87, </w:t>
      </w:r>
      <w:r>
        <w:rPr>
          <w:rFonts w:ascii="Times New Roman" w:eastAsia="Times New Roman" w:hAnsi="Times New Roman" w:cs="Times New Roman"/>
          <w:sz w:val="28"/>
          <w:szCs w:val="28"/>
          <w:lang w:eastAsia="uk-UA"/>
        </w:rPr>
        <w:t>263, 285</w:t>
      </w:r>
      <w:r w:rsidRPr="00610C54">
        <w:rPr>
          <w:rStyle w:val="apple-converted-space"/>
          <w:rFonts w:ascii="Times New Roman" w:hAnsi="Times New Roman" w:cs="Times New Roman"/>
          <w:sz w:val="28"/>
          <w:szCs w:val="28"/>
          <w:shd w:val="clear" w:color="auto" w:fill="FFFFFF"/>
        </w:rPr>
        <w:t>]</w:t>
      </w:r>
      <w:r>
        <w:rPr>
          <w:rStyle w:val="apple-converted-space"/>
          <w:rFonts w:ascii="Times New Roman" w:hAnsi="Times New Roman" w:cs="Times New Roman"/>
          <w:sz w:val="28"/>
          <w:szCs w:val="28"/>
          <w:shd w:val="clear" w:color="auto" w:fill="FFFFFF"/>
        </w:rPr>
        <w:t xml:space="preserve">. </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color w:val="000000" w:themeColor="text1"/>
          <w:sz w:val="28"/>
          <w:szCs w:val="28"/>
        </w:rPr>
        <w:t xml:space="preserve">Нещодавно </w:t>
      </w:r>
      <w:r w:rsidRPr="00981822">
        <w:rPr>
          <w:rFonts w:ascii="Times New Roman" w:hAnsi="Times New Roman"/>
          <w:color w:val="000000"/>
          <w:sz w:val="28"/>
          <w:szCs w:val="28"/>
          <w:lang w:val="en-US" w:eastAsia="uk-UA"/>
        </w:rPr>
        <w:t>von</w:t>
      </w:r>
      <w:r w:rsidRPr="009E6C7E">
        <w:rPr>
          <w:rFonts w:ascii="Times New Roman" w:hAnsi="Times New Roman"/>
          <w:color w:val="000000"/>
          <w:sz w:val="28"/>
          <w:szCs w:val="28"/>
          <w:lang w:eastAsia="uk-UA"/>
        </w:rPr>
        <w:t xml:space="preserve"> </w:t>
      </w:r>
      <w:r w:rsidRPr="007810F0">
        <w:rPr>
          <w:rFonts w:ascii="Times New Roman" w:eastAsia="Times New Roman" w:hAnsi="Times New Roman" w:cs="Times New Roman"/>
          <w:sz w:val="28"/>
          <w:szCs w:val="28"/>
          <w:lang w:val="en-US" w:eastAsia="uk-UA"/>
        </w:rPr>
        <w:t>Brandenstein</w:t>
      </w:r>
      <w:r>
        <w:rPr>
          <w:rFonts w:ascii="Times New Roman" w:eastAsia="Times New Roman" w:hAnsi="Times New Roman" w:cs="Times New Roman"/>
          <w:sz w:val="28"/>
          <w:szCs w:val="28"/>
          <w:lang w:eastAsia="uk-UA"/>
        </w:rPr>
        <w:t xml:space="preserve"> та співавторами було опубліковане дослідження із відносно невеликою кількістю хворих із НКР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=18</w:t>
      </w:r>
      <w:r w:rsidRPr="007810F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та здорових осіб (</w:t>
      </w:r>
      <w:r>
        <w:rPr>
          <w:rFonts w:ascii="Times New Roman" w:eastAsia="Times New Roman" w:hAnsi="Times New Roman" w:cs="Times New Roman"/>
          <w:sz w:val="28"/>
          <w:szCs w:val="28"/>
          <w:lang w:val="en-US" w:eastAsia="uk-UA"/>
        </w:rPr>
        <w:t>n</w:t>
      </w:r>
      <w:r w:rsidRPr="007810F0">
        <w:rPr>
          <w:rFonts w:ascii="Times New Roman" w:eastAsia="Times New Roman" w:hAnsi="Times New Roman" w:cs="Times New Roman"/>
          <w:sz w:val="28"/>
          <w:szCs w:val="28"/>
          <w:lang w:eastAsia="uk-UA"/>
        </w:rPr>
        <w:t>=5)</w:t>
      </w:r>
      <w:r>
        <w:rPr>
          <w:rFonts w:ascii="Times New Roman" w:eastAsia="Times New Roman" w:hAnsi="Times New Roman" w:cs="Times New Roman"/>
          <w:sz w:val="28"/>
          <w:szCs w:val="28"/>
          <w:lang w:eastAsia="uk-UA"/>
        </w:rPr>
        <w:t xml:space="preserve">, в сечі яких за допомогою полімеразно-ланцюгової реакції (ПЛР) була знайдена експресія міР-15а, проте, невелика кількість осіб включених в дослідження не дозволила виконати ґрунтовний статистичний аналіз </w:t>
      </w:r>
      <w:r w:rsidRPr="007810F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407</w:t>
      </w:r>
      <w:r w:rsidRPr="007810F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У зв’язку із наведеними даними, автором було визначено доцільним провести подальші дослідження із визначення міР-15а в сечі хворих із НКР, доброякісними новоутвореннями нирок та здорових волонтерів. </w:t>
      </w:r>
    </w:p>
    <w:p w:rsidR="001E6EFC" w:rsidRDefault="001E6EFC" w:rsidP="001E6EFC">
      <w:pPr>
        <w:spacing w:line="360" w:lineRule="auto"/>
        <w:jc w:val="both"/>
        <w:rPr>
          <w:rFonts w:ascii="Times New Roman" w:hAnsi="Times New Roman" w:cs="Times New Roman"/>
          <w:sz w:val="28"/>
        </w:rPr>
      </w:pPr>
    </w:p>
    <w:p w:rsidR="001E6EFC" w:rsidRDefault="001E6EFC" w:rsidP="001E6EFC">
      <w:pPr>
        <w:spacing w:line="360" w:lineRule="auto"/>
        <w:ind w:firstLine="708"/>
        <w:rPr>
          <w:rFonts w:ascii="Times New Roman" w:hAnsi="Times New Roman" w:cs="Times New Roman"/>
          <w:sz w:val="28"/>
        </w:rPr>
      </w:pPr>
      <w:r>
        <w:rPr>
          <w:rFonts w:ascii="Times New Roman" w:hAnsi="Times New Roman" w:cs="Times New Roman"/>
          <w:sz w:val="28"/>
        </w:rPr>
        <w:t>1.3.5</w:t>
      </w:r>
      <w:r w:rsidRPr="00EA0B12">
        <w:rPr>
          <w:rFonts w:ascii="Times New Roman" w:hAnsi="Times New Roman" w:cs="Times New Roman"/>
          <w:sz w:val="28"/>
        </w:rPr>
        <w:t xml:space="preserve">. </w:t>
      </w:r>
      <w:r>
        <w:rPr>
          <w:rFonts w:ascii="Times New Roman" w:hAnsi="Times New Roman" w:cs="Times New Roman"/>
          <w:sz w:val="28"/>
        </w:rPr>
        <w:t>Роль біомаркерів при лікуванні</w:t>
      </w:r>
      <w:r w:rsidRPr="00EA0B12">
        <w:rPr>
          <w:rFonts w:ascii="Times New Roman" w:hAnsi="Times New Roman" w:cs="Times New Roman"/>
          <w:sz w:val="28"/>
        </w:rPr>
        <w:t xml:space="preserve"> локалізованих форм НКР</w:t>
      </w:r>
    </w:p>
    <w:p w:rsidR="001E6EFC" w:rsidRDefault="001E6EFC" w:rsidP="001E6EFC">
      <w:pPr>
        <w:spacing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Клінічна оцінка наявності метастазів НКР в лімфатичних вузлах є значною клінічною проблемою, оскільки базується лише на ознаках їх збільшення на КТ/МРТ зображеннях, або при інтра-оперативній пальпації. При цьому, у менш ніж 20% підозрілих лімфатичних вузлах дійсно виявляються метастази при патологічному дослідженні </w:t>
      </w:r>
      <w:r w:rsidRPr="00104794">
        <w:rPr>
          <w:rFonts w:ascii="Times New Roman" w:hAnsi="Times New Roman" w:cs="Times New Roman"/>
          <w:color w:val="000000"/>
          <w:sz w:val="28"/>
          <w:szCs w:val="28"/>
        </w:rPr>
        <w:t>[</w:t>
      </w:r>
      <w:r>
        <w:rPr>
          <w:rFonts w:ascii="Times New Roman" w:eastAsia="Times New Roman" w:hAnsi="Times New Roman" w:cs="Times New Roman"/>
          <w:sz w:val="28"/>
          <w:szCs w:val="28"/>
          <w:lang w:eastAsia="uk-UA"/>
        </w:rPr>
        <w:t>89</w:t>
      </w:r>
      <w:r w:rsidRPr="00104794">
        <w:rPr>
          <w:rFonts w:ascii="Times New Roman" w:hAnsi="Times New Roman" w:cs="Times New Roman"/>
          <w:color w:val="000000"/>
          <w:sz w:val="28"/>
          <w:szCs w:val="28"/>
        </w:rPr>
        <w:t>]</w:t>
      </w:r>
      <w:r>
        <w:rPr>
          <w:rFonts w:ascii="Times New Roman" w:hAnsi="Times New Roman" w:cs="Times New Roman"/>
          <w:color w:val="000000"/>
          <w:sz w:val="28"/>
          <w:szCs w:val="28"/>
        </w:rPr>
        <w:t xml:space="preserve">. Більш  цього – як КТ так і МРТ не здатні достовірно виявляти метастази в лімфатичних вузлах нормального розміру і </w:t>
      </w:r>
      <w:r w:rsidRPr="00104794">
        <w:rPr>
          <w:rFonts w:ascii="Times New Roman" w:hAnsi="Times New Roman" w:cs="Times New Roman"/>
          <w:color w:val="000000"/>
          <w:sz w:val="28"/>
          <w:szCs w:val="28"/>
        </w:rPr>
        <w:t>форми</w:t>
      </w:r>
      <w:r>
        <w:rPr>
          <w:rFonts w:ascii="Times New Roman" w:hAnsi="Times New Roman" w:cs="Times New Roman"/>
          <w:color w:val="000000"/>
          <w:sz w:val="28"/>
          <w:szCs w:val="28"/>
        </w:rPr>
        <w:t xml:space="preserve">, ситуацію погіршує відсутність специфічних діагностичних біомаркерів. </w:t>
      </w:r>
    </w:p>
    <w:p w:rsidR="001E6EFC" w:rsidRPr="000F2ADF" w:rsidRDefault="001E6EFC" w:rsidP="001E6EFC">
      <w:pPr>
        <w:spacing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 зв’язку з руйнуванням тканин пухлини під час абляції рекомендується попереднє проведення ЧПБ для верифікації діагнозу, а також для отримання </w:t>
      </w:r>
      <w:r>
        <w:rPr>
          <w:rFonts w:ascii="Times New Roman" w:hAnsi="Times New Roman" w:cs="Times New Roman"/>
          <w:color w:val="000000"/>
          <w:sz w:val="28"/>
          <w:szCs w:val="28"/>
        </w:rPr>
        <w:lastRenderedPageBreak/>
        <w:t xml:space="preserve">інформації про гістологічний підтип пухлини, який є незалежним прогностичним чинником і важливим фактором при виборі подальшої системної терапії у разі її необхідності </w:t>
      </w:r>
      <w:r w:rsidRPr="007244F1">
        <w:rPr>
          <w:rFonts w:ascii="Times New Roman" w:hAnsi="Times New Roman" w:cs="Times New Roman"/>
          <w:color w:val="000000"/>
          <w:sz w:val="28"/>
          <w:szCs w:val="28"/>
        </w:rPr>
        <w:t>[</w:t>
      </w:r>
      <w:r>
        <w:rPr>
          <w:rFonts w:ascii="Times New Roman" w:hAnsi="Times New Roman" w:cs="Times New Roman"/>
          <w:sz w:val="28"/>
          <w:szCs w:val="28"/>
        </w:rPr>
        <w:t>397</w:t>
      </w:r>
      <w:r w:rsidRPr="007244F1">
        <w:rPr>
          <w:rFonts w:ascii="Times New Roman" w:hAnsi="Times New Roman" w:cs="Times New Roman"/>
          <w:color w:val="000000"/>
          <w:sz w:val="28"/>
          <w:szCs w:val="28"/>
        </w:rPr>
        <w:t>]</w:t>
      </w:r>
      <w:r>
        <w:rPr>
          <w:rFonts w:ascii="Times New Roman" w:hAnsi="Times New Roman" w:cs="Times New Roman"/>
          <w:color w:val="000000"/>
          <w:sz w:val="28"/>
          <w:szCs w:val="28"/>
        </w:rPr>
        <w:t xml:space="preserve">. Такі дані свідчать про важливість інформації про гістологічний підтип НКР етапі підготовки хворого до лікування, а значна частка недіагностичних ЧПБ зумовлюють пошук діагностичного біомаркеру, на основі якого можна було б встановлювати підтип цього ЗН неінвазійним шляхом. </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color w:val="000000"/>
          <w:sz w:val="28"/>
          <w:szCs w:val="28"/>
        </w:rPr>
        <w:t>Окрему клінічну дилему складають кістозні маси класу ІІ</w:t>
      </w:r>
      <w:r>
        <w:rPr>
          <w:rFonts w:ascii="Times New Roman" w:hAnsi="Times New Roman" w:cs="Times New Roman"/>
          <w:color w:val="000000"/>
          <w:sz w:val="28"/>
          <w:szCs w:val="28"/>
          <w:lang w:val="en-US"/>
        </w:rPr>
        <w:t>F</w:t>
      </w:r>
      <w:r>
        <w:rPr>
          <w:rFonts w:ascii="Times New Roman" w:hAnsi="Times New Roman" w:cs="Times New Roman"/>
          <w:color w:val="000000"/>
          <w:sz w:val="28"/>
          <w:szCs w:val="28"/>
        </w:rPr>
        <w:t xml:space="preserve">, які несуть суттєвий потенціал злоякісності (18-25%) </w:t>
      </w:r>
      <w:r w:rsidRPr="003778C3">
        <w:rPr>
          <w:rFonts w:ascii="Times New Roman" w:hAnsi="Times New Roman" w:cs="Times New Roman"/>
          <w:color w:val="000000"/>
          <w:sz w:val="28"/>
          <w:szCs w:val="28"/>
        </w:rPr>
        <w:t>[</w:t>
      </w:r>
      <w:r>
        <w:rPr>
          <w:rFonts w:ascii="Times New Roman" w:hAnsi="Times New Roman" w:cs="Times New Roman"/>
          <w:color w:val="000000"/>
          <w:sz w:val="28"/>
          <w:szCs w:val="28"/>
        </w:rPr>
        <w:t>9,</w:t>
      </w:r>
      <w:r w:rsidRPr="008F3F7A">
        <w:rPr>
          <w:rFonts w:ascii="Times New Roman" w:hAnsi="Times New Roman" w:cs="Times New Roman"/>
          <w:color w:val="000000"/>
          <w:sz w:val="28"/>
          <w:szCs w:val="28"/>
        </w:rPr>
        <w:t xml:space="preserve"> </w:t>
      </w:r>
      <w:r>
        <w:rPr>
          <w:rFonts w:ascii="Times New Roman" w:eastAsia="Times New Roman" w:hAnsi="Times New Roman" w:cs="Times New Roman"/>
          <w:sz w:val="28"/>
          <w:szCs w:val="28"/>
          <w:lang w:eastAsia="uk-UA"/>
        </w:rPr>
        <w:t>380</w:t>
      </w:r>
      <w:r w:rsidRPr="003778C3">
        <w:rPr>
          <w:rFonts w:ascii="Times New Roman" w:eastAsia="Times New Roman" w:hAnsi="Times New Roman" w:cs="Times New Roman"/>
          <w:sz w:val="28"/>
          <w:szCs w:val="28"/>
          <w:lang w:eastAsia="uk-UA"/>
        </w:rPr>
        <w:t>]</w:t>
      </w:r>
      <w:r>
        <w:rPr>
          <w:rFonts w:ascii="Times New Roman" w:hAnsi="Times New Roman" w:cs="Times New Roman"/>
          <w:color w:val="000000"/>
          <w:sz w:val="28"/>
          <w:szCs w:val="28"/>
        </w:rPr>
        <w:t>. Результати останніх досліджень свідчать, що 11-16% кіст категорії ІІ</w:t>
      </w:r>
      <w:r>
        <w:rPr>
          <w:rFonts w:ascii="Times New Roman" w:hAnsi="Times New Roman" w:cs="Times New Roman"/>
          <w:color w:val="000000"/>
          <w:sz w:val="28"/>
          <w:szCs w:val="28"/>
          <w:lang w:val="en-US"/>
        </w:rPr>
        <w:t>F</w:t>
      </w:r>
      <w:r>
        <w:rPr>
          <w:rFonts w:ascii="Times New Roman" w:hAnsi="Times New Roman" w:cs="Times New Roman"/>
          <w:color w:val="000000"/>
          <w:sz w:val="28"/>
          <w:szCs w:val="28"/>
        </w:rPr>
        <w:t xml:space="preserve"> прогресують до НКР впродовж періоду спостереження від 6 місяців до 3,2 років </w:t>
      </w:r>
      <w:r w:rsidRPr="003778C3">
        <w:rPr>
          <w:rFonts w:ascii="Times New Roman" w:hAnsi="Times New Roman" w:cs="Times New Roman"/>
          <w:color w:val="000000"/>
          <w:sz w:val="28"/>
          <w:szCs w:val="28"/>
        </w:rPr>
        <w:t>[</w:t>
      </w:r>
      <w:r>
        <w:rPr>
          <w:rFonts w:ascii="Times New Roman" w:hAnsi="Times New Roman" w:cs="Times New Roman"/>
          <w:color w:val="000000"/>
          <w:sz w:val="28"/>
          <w:szCs w:val="28"/>
        </w:rPr>
        <w:t xml:space="preserve">165, </w:t>
      </w:r>
      <w:r>
        <w:rPr>
          <w:rFonts w:ascii="Times New Roman" w:eastAsia="Times New Roman" w:hAnsi="Times New Roman" w:cs="Times New Roman"/>
          <w:sz w:val="28"/>
          <w:szCs w:val="28"/>
          <w:lang w:eastAsia="uk-UA"/>
        </w:rPr>
        <w:t>182</w:t>
      </w:r>
      <w:r w:rsidRPr="003778C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В той час, як ЧПБ демонструє недостатню діагностичну ефективність у цій когорті хворих </w:t>
      </w:r>
      <w:r w:rsidRPr="00FC21D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243, 280], не існує біомаркерів, які б дозволили виділяти кісти класу </w:t>
      </w:r>
      <w:r>
        <w:rPr>
          <w:rFonts w:ascii="Times New Roman" w:hAnsi="Times New Roman" w:cs="Times New Roman"/>
          <w:color w:val="000000"/>
          <w:sz w:val="28"/>
          <w:szCs w:val="28"/>
        </w:rPr>
        <w:t>ІІ</w:t>
      </w:r>
      <w:r>
        <w:rPr>
          <w:rFonts w:ascii="Times New Roman" w:hAnsi="Times New Roman" w:cs="Times New Roman"/>
          <w:color w:val="000000"/>
          <w:sz w:val="28"/>
          <w:szCs w:val="28"/>
          <w:lang w:val="en-US"/>
        </w:rPr>
        <w:t>F</w:t>
      </w:r>
      <w:r>
        <w:rPr>
          <w:rFonts w:ascii="Times New Roman" w:eastAsia="Times New Roman" w:hAnsi="Times New Roman" w:cs="Times New Roman"/>
          <w:sz w:val="28"/>
          <w:szCs w:val="28"/>
          <w:lang w:eastAsia="uk-UA"/>
        </w:rPr>
        <w:t xml:space="preserve"> із найбільшим злоякісним потенціалом, що б зумовило можливість проведення хірургічного лікування на ранній стадії захворювання або детермінувало більш прискіпливе спостереження.</w:t>
      </w:r>
    </w:p>
    <w:p w:rsidR="001E6EFC" w:rsidRPr="009004BE" w:rsidRDefault="001E6EFC" w:rsidP="009004BE">
      <w:pPr>
        <w:spacing w:line="360" w:lineRule="auto"/>
        <w:ind w:firstLine="708"/>
        <w:jc w:val="both"/>
        <w:rPr>
          <w:rFonts w:ascii="Times New Roman" w:hAnsi="Times New Roman" w:cs="Times New Roman"/>
          <w:b/>
          <w:color w:val="000000"/>
          <w:sz w:val="28"/>
          <w:szCs w:val="28"/>
        </w:rPr>
      </w:pPr>
      <w:r w:rsidRPr="0093264F">
        <w:rPr>
          <w:rFonts w:ascii="Times New Roman" w:hAnsi="Times New Roman"/>
          <w:color w:val="000000"/>
          <w:sz w:val="28"/>
          <w:szCs w:val="28"/>
        </w:rPr>
        <w:t xml:space="preserve">Літературні дані щодо ефективності </w:t>
      </w:r>
      <w:r>
        <w:rPr>
          <w:rFonts w:ascii="Times New Roman" w:hAnsi="Times New Roman"/>
          <w:color w:val="000000"/>
          <w:sz w:val="28"/>
          <w:szCs w:val="28"/>
        </w:rPr>
        <w:t>С</w:t>
      </w:r>
      <w:r w:rsidRPr="0093264F">
        <w:rPr>
          <w:rFonts w:ascii="Times New Roman" w:hAnsi="Times New Roman"/>
          <w:color w:val="000000"/>
          <w:sz w:val="28"/>
          <w:szCs w:val="28"/>
        </w:rPr>
        <w:t>ЕНА виконаної при підготовці хворих із НКР до нефректомії часто є суперечливими, зокрема стосовно об’єму інтраопераційної крововтрати та гемотрансфузій, операційного часу, ускладнень та виживаності [</w:t>
      </w:r>
      <w:r>
        <w:rPr>
          <w:rFonts w:ascii="Times New Roman" w:hAnsi="Times New Roman"/>
          <w:color w:val="000000"/>
          <w:sz w:val="28"/>
          <w:szCs w:val="28"/>
        </w:rPr>
        <w:t xml:space="preserve">21, </w:t>
      </w:r>
      <w:r>
        <w:rPr>
          <w:rFonts w:ascii="Times New Roman" w:eastAsia="Times New Roman" w:hAnsi="Times New Roman"/>
          <w:sz w:val="28"/>
          <w:szCs w:val="28"/>
        </w:rPr>
        <w:t>298</w:t>
      </w:r>
      <w:r w:rsidRPr="0093264F">
        <w:rPr>
          <w:rFonts w:ascii="Times New Roman" w:hAnsi="Times New Roman"/>
          <w:color w:val="000000"/>
          <w:sz w:val="28"/>
          <w:szCs w:val="28"/>
        </w:rPr>
        <w:t>]</w:t>
      </w:r>
      <w:r w:rsidRPr="0093264F">
        <w:rPr>
          <w:rFonts w:ascii="Times New Roman" w:eastAsia="Times New Roman" w:hAnsi="Times New Roman"/>
          <w:sz w:val="24"/>
          <w:szCs w:val="24"/>
          <w:lang w:eastAsia="uk-UA"/>
        </w:rPr>
        <w:t>.</w:t>
      </w:r>
      <w:r w:rsidRPr="0093264F">
        <w:rPr>
          <w:rFonts w:ascii="Times New Roman" w:hAnsi="Times New Roman"/>
          <w:color w:val="000000"/>
          <w:sz w:val="28"/>
          <w:szCs w:val="28"/>
        </w:rPr>
        <w:t xml:space="preserve"> Так, за результатами </w:t>
      </w:r>
      <w:r w:rsidRPr="0093264F">
        <w:rPr>
          <w:rFonts w:ascii="Times New Roman" w:hAnsi="Times New Roman"/>
          <w:sz w:val="28"/>
          <w:szCs w:val="28"/>
          <w:shd w:val="clear" w:color="auto" w:fill="FFFFFF"/>
        </w:rPr>
        <w:t>Schwartz та співавторів,</w:t>
      </w:r>
      <w:r w:rsidRPr="0093264F">
        <w:rPr>
          <w:rFonts w:ascii="Arial" w:hAnsi="Arial" w:cs="Arial"/>
          <w:sz w:val="20"/>
          <w:szCs w:val="20"/>
          <w:shd w:val="clear" w:color="auto" w:fill="FFFFFF"/>
        </w:rPr>
        <w:t xml:space="preserve"> </w:t>
      </w:r>
      <w:r w:rsidRPr="0093264F">
        <w:rPr>
          <w:rFonts w:ascii="Times New Roman" w:hAnsi="Times New Roman"/>
          <w:sz w:val="28"/>
          <w:szCs w:val="28"/>
          <w:shd w:val="clear" w:color="auto" w:fill="FFFFFF"/>
        </w:rPr>
        <w:t>оціночна інтраопераційна</w:t>
      </w:r>
      <w:r w:rsidRPr="0093264F">
        <w:rPr>
          <w:rFonts w:ascii="Arial" w:hAnsi="Arial" w:cs="Arial"/>
          <w:sz w:val="20"/>
          <w:szCs w:val="20"/>
          <w:shd w:val="clear" w:color="auto" w:fill="FFFFFF"/>
        </w:rPr>
        <w:t xml:space="preserve"> </w:t>
      </w:r>
      <w:r w:rsidRPr="0093264F">
        <w:rPr>
          <w:rFonts w:ascii="Times New Roman" w:hAnsi="Times New Roman"/>
          <w:sz w:val="28"/>
          <w:szCs w:val="28"/>
          <w:shd w:val="clear" w:color="auto" w:fill="FFFFFF"/>
        </w:rPr>
        <w:t xml:space="preserve">крововтрата (ОІК) при виконанні радикальної нефректомії у хворих із НКР після </w:t>
      </w:r>
      <w:r>
        <w:rPr>
          <w:rFonts w:ascii="Times New Roman" w:hAnsi="Times New Roman"/>
          <w:sz w:val="28"/>
          <w:szCs w:val="28"/>
          <w:shd w:val="clear" w:color="auto" w:fill="FFFFFF"/>
        </w:rPr>
        <w:t>С</w:t>
      </w:r>
      <w:r w:rsidRPr="0093264F">
        <w:rPr>
          <w:rFonts w:ascii="Times New Roman" w:hAnsi="Times New Roman"/>
          <w:sz w:val="28"/>
          <w:szCs w:val="28"/>
          <w:shd w:val="clear" w:color="auto" w:fill="FFFFFF"/>
        </w:rPr>
        <w:t xml:space="preserve">ЕНА при середньому розмірі пухлини 11,2 см значно варіювалась в межах 100-5000 мл </w:t>
      </w:r>
      <w:r>
        <w:rPr>
          <w:rFonts w:ascii="Times New Roman" w:eastAsia="Times New Roman" w:hAnsi="Times New Roman"/>
          <w:sz w:val="28"/>
          <w:szCs w:val="28"/>
          <w:lang w:eastAsia="uk-UA"/>
        </w:rPr>
        <w:t>[</w:t>
      </w:r>
      <w:r>
        <w:rPr>
          <w:rFonts w:ascii="Times New Roman" w:eastAsia="Times New Roman" w:hAnsi="Times New Roman"/>
          <w:sz w:val="28"/>
          <w:szCs w:val="28"/>
        </w:rPr>
        <w:t>367</w:t>
      </w:r>
      <w:r w:rsidRPr="0093264F">
        <w:rPr>
          <w:rFonts w:ascii="Times New Roman" w:eastAsia="Times New Roman" w:hAnsi="Times New Roman"/>
          <w:sz w:val="28"/>
          <w:szCs w:val="28"/>
          <w:lang w:eastAsia="uk-UA"/>
        </w:rPr>
        <w:t>]</w:t>
      </w:r>
      <w:r w:rsidRPr="0093264F">
        <w:rPr>
          <w:rFonts w:ascii="Times New Roman" w:hAnsi="Times New Roman"/>
          <w:sz w:val="28"/>
          <w:szCs w:val="28"/>
          <w:shd w:val="clear" w:color="auto" w:fill="FFFFFF"/>
        </w:rPr>
        <w:t>.</w:t>
      </w:r>
      <w:r w:rsidRPr="00653291">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З</w:t>
      </w:r>
      <w:r w:rsidRPr="0093264F">
        <w:rPr>
          <w:rFonts w:ascii="Times New Roman" w:eastAsia="Times New Roman" w:hAnsi="Times New Roman"/>
          <w:sz w:val="28"/>
          <w:szCs w:val="28"/>
          <w:lang w:eastAsia="uk-UA"/>
        </w:rPr>
        <w:t xml:space="preserve">а даними Suad та співавторів, середні об’єми ОІК та інтраопераційних гемотрансфузій складали всього 300 мл </w:t>
      </w:r>
      <w:r>
        <w:rPr>
          <w:rFonts w:ascii="Times New Roman" w:eastAsia="Times New Roman" w:hAnsi="Times New Roman"/>
          <w:sz w:val="28"/>
          <w:szCs w:val="28"/>
          <w:lang w:eastAsia="uk-UA"/>
        </w:rPr>
        <w:t>та 250 мл відповідно [</w:t>
      </w:r>
      <w:r>
        <w:rPr>
          <w:rFonts w:ascii="Times New Roman" w:eastAsia="Times New Roman" w:hAnsi="Times New Roman"/>
          <w:sz w:val="28"/>
          <w:szCs w:val="28"/>
        </w:rPr>
        <w:t>208</w:t>
      </w:r>
      <w:r w:rsidRPr="0093264F">
        <w:rPr>
          <w:rFonts w:ascii="Times New Roman" w:eastAsia="Times New Roman" w:hAnsi="Times New Roman"/>
          <w:sz w:val="28"/>
          <w:szCs w:val="28"/>
          <w:lang w:eastAsia="uk-UA"/>
        </w:rPr>
        <w:t>].</w:t>
      </w:r>
      <w:r>
        <w:rPr>
          <w:rFonts w:ascii="Times New Roman" w:hAnsi="Times New Roman" w:cs="Times New Roman"/>
          <w:sz w:val="28"/>
          <w:szCs w:val="28"/>
        </w:rPr>
        <w:t xml:space="preserve"> </w:t>
      </w:r>
      <w:r w:rsidRPr="0093264F">
        <w:rPr>
          <w:rFonts w:ascii="Times New Roman" w:hAnsi="Times New Roman"/>
          <w:sz w:val="28"/>
          <w:szCs w:val="28"/>
          <w:shd w:val="clear" w:color="auto" w:fill="FFFFFF"/>
        </w:rPr>
        <w:t xml:space="preserve"> В іншому нещодавньому дослідженні проведеному на чолі з </w:t>
      </w:r>
      <w:r w:rsidRPr="0093264F">
        <w:rPr>
          <w:rFonts w:ascii="Times New Roman" w:eastAsia="Times New Roman" w:hAnsi="Times New Roman"/>
          <w:sz w:val="28"/>
          <w:szCs w:val="28"/>
          <w:lang w:eastAsia="uk-UA"/>
        </w:rPr>
        <w:t xml:space="preserve">Ramaswamy, було встановлено, що об’єм гемотрансфузій після </w:t>
      </w:r>
      <w:r>
        <w:rPr>
          <w:rFonts w:ascii="Times New Roman" w:eastAsia="Times New Roman" w:hAnsi="Times New Roman"/>
          <w:sz w:val="28"/>
          <w:szCs w:val="28"/>
          <w:lang w:eastAsia="uk-UA"/>
        </w:rPr>
        <w:t>радикальної</w:t>
      </w:r>
      <w:r w:rsidRPr="0093264F">
        <w:rPr>
          <w:rFonts w:ascii="Times New Roman" w:eastAsia="Times New Roman" w:hAnsi="Times New Roman"/>
          <w:sz w:val="28"/>
          <w:szCs w:val="28"/>
          <w:lang w:eastAsia="uk-UA"/>
        </w:rPr>
        <w:t xml:space="preserve"> нефректомії у хворих із НКР при виконаній тотальній </w:t>
      </w:r>
      <w:r>
        <w:rPr>
          <w:rFonts w:ascii="Times New Roman" w:eastAsia="Times New Roman" w:hAnsi="Times New Roman"/>
          <w:sz w:val="28"/>
          <w:szCs w:val="28"/>
          <w:lang w:eastAsia="uk-UA"/>
        </w:rPr>
        <w:t>С</w:t>
      </w:r>
      <w:r w:rsidRPr="0093264F">
        <w:rPr>
          <w:rFonts w:ascii="Times New Roman" w:eastAsia="Times New Roman" w:hAnsi="Times New Roman"/>
          <w:sz w:val="28"/>
          <w:szCs w:val="28"/>
          <w:lang w:eastAsia="uk-UA"/>
        </w:rPr>
        <w:t xml:space="preserve">ЕНА </w:t>
      </w:r>
      <w:r>
        <w:rPr>
          <w:rFonts w:ascii="Times New Roman" w:eastAsia="Times New Roman" w:hAnsi="Times New Roman"/>
          <w:sz w:val="28"/>
          <w:szCs w:val="28"/>
          <w:lang w:eastAsia="uk-UA"/>
        </w:rPr>
        <w:t xml:space="preserve">був ще більш </w:t>
      </w:r>
      <w:r w:rsidRPr="0093264F">
        <w:rPr>
          <w:rFonts w:ascii="Times New Roman" w:eastAsia="Times New Roman" w:hAnsi="Times New Roman"/>
          <w:sz w:val="28"/>
          <w:szCs w:val="28"/>
          <w:lang w:eastAsia="uk-UA"/>
        </w:rPr>
        <w:t>варіабельним і складав від 222 до 1050 мл</w:t>
      </w:r>
      <w:r>
        <w:rPr>
          <w:rFonts w:ascii="Times New Roman" w:eastAsia="Times New Roman" w:hAnsi="Times New Roman"/>
          <w:sz w:val="28"/>
          <w:szCs w:val="28"/>
          <w:lang w:eastAsia="uk-UA"/>
        </w:rPr>
        <w:t xml:space="preserve"> [</w:t>
      </w:r>
      <w:r>
        <w:rPr>
          <w:rFonts w:ascii="Times New Roman" w:eastAsia="Times New Roman" w:hAnsi="Times New Roman"/>
          <w:sz w:val="28"/>
          <w:szCs w:val="28"/>
        </w:rPr>
        <w:t>348</w:t>
      </w:r>
      <w:r w:rsidRPr="0093264F">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w:t>
      </w:r>
      <w:r>
        <w:rPr>
          <w:rFonts w:ascii="Times New Roman" w:hAnsi="Times New Roman" w:cs="Times New Roman"/>
          <w:sz w:val="28"/>
          <w:szCs w:val="28"/>
        </w:rPr>
        <w:t xml:space="preserve">На сьогоднішній день все ще не існує біомаркерів, які б дозволяли передбачати </w:t>
      </w:r>
      <w:r>
        <w:rPr>
          <w:rFonts w:ascii="Times New Roman" w:hAnsi="Times New Roman" w:cs="Times New Roman"/>
          <w:sz w:val="28"/>
          <w:szCs w:val="28"/>
        </w:rPr>
        <w:lastRenderedPageBreak/>
        <w:t xml:space="preserve">інтра-операційну крововтрату, а також визначати покази до ре-емболізації, при СЕНА, проведеній у якості підготовки до нефректомії, що обмежує клінічне застосування цього методу. </w:t>
      </w:r>
      <w:r w:rsidR="009004BE">
        <w:rPr>
          <w:rFonts w:ascii="Times New Roman" w:hAnsi="Times New Roman" w:cs="Times New Roman"/>
          <w:sz w:val="28"/>
          <w:szCs w:val="28"/>
        </w:rPr>
        <w:t xml:space="preserve"> В останні роки з’явились роботи,  у яких висвітлений високий діагностичний потенціал таких кількісних параметрів доплер-УЗД, як артеріальний та венозний індекси резистентності (ІР) у якості потенційних променевих біомаркерів НКР, а також діабетичної та обструктивної нефропатії </w:t>
      </w:r>
      <w:r w:rsidR="009004BE" w:rsidRPr="00084626">
        <w:rPr>
          <w:rFonts w:ascii="Times New Roman" w:hAnsi="Times New Roman" w:cs="Times New Roman"/>
          <w:sz w:val="28"/>
          <w:szCs w:val="28"/>
        </w:rPr>
        <w:t>[</w:t>
      </w:r>
      <w:r w:rsidR="009004BE">
        <w:rPr>
          <w:rFonts w:ascii="Times New Roman" w:eastAsia="Times New Roman" w:hAnsi="Times New Roman" w:cs="Times New Roman"/>
          <w:sz w:val="28"/>
          <w:szCs w:val="28"/>
          <w:lang w:eastAsia="uk-UA"/>
        </w:rPr>
        <w:t>75, 233, 388, 403</w:t>
      </w:r>
      <w:r w:rsidR="009004BE" w:rsidRPr="00084626">
        <w:rPr>
          <w:rFonts w:ascii="Times New Roman" w:hAnsi="Times New Roman" w:cs="Times New Roman"/>
          <w:sz w:val="28"/>
          <w:szCs w:val="28"/>
        </w:rPr>
        <w:t>]</w:t>
      </w:r>
      <w:r w:rsidR="009004BE">
        <w:rPr>
          <w:rFonts w:ascii="Times New Roman" w:hAnsi="Times New Roman" w:cs="Times New Roman"/>
          <w:sz w:val="28"/>
          <w:szCs w:val="28"/>
        </w:rPr>
        <w:t>. У зв’язку з цим автором було припущено, що визначення даних параметрів може надати цінну інформацію для про зміни кровопостачання нирки після проведеної СЕНА, передбачати об’єм інтраопераційної крововтрати та визначати покази до ре-емболізації.</w:t>
      </w:r>
      <w:r w:rsidR="009004BE">
        <w:rPr>
          <w:rFonts w:ascii="Times New Roman" w:hAnsi="Times New Roman" w:cs="Times New Roman"/>
          <w:b/>
          <w:color w:val="000000"/>
          <w:sz w:val="28"/>
          <w:szCs w:val="28"/>
        </w:rPr>
        <w:t xml:space="preserve"> </w:t>
      </w:r>
    </w:p>
    <w:p w:rsidR="001E6EFC" w:rsidRPr="00854AB1" w:rsidRDefault="001E6EFC" w:rsidP="001E6EFC">
      <w:pPr>
        <w:spacing w:line="360" w:lineRule="auto"/>
        <w:ind w:firstLine="708"/>
        <w:jc w:val="both"/>
        <w:rPr>
          <w:rFonts w:ascii="Times New Roman" w:hAnsi="Times New Roman" w:cs="Times New Roman"/>
          <w:b/>
          <w:color w:val="000000"/>
          <w:sz w:val="28"/>
          <w:szCs w:val="28"/>
        </w:rPr>
      </w:pPr>
      <w:r>
        <w:rPr>
          <w:rFonts w:ascii="Times New Roman" w:hAnsi="Times New Roman" w:cs="Times New Roman"/>
          <w:color w:val="000000"/>
          <w:sz w:val="28"/>
          <w:szCs w:val="28"/>
        </w:rPr>
        <w:t>Активне спостереження може бути запропоноване у якості альтернативи хірургічному чи медикаментозному лікуванню хворим старшого віку із локалізованим НКР та важкою супутньою патологією, у разі розміру пухлини ≤4 см та її відносно низькою агресивністю.</w:t>
      </w:r>
      <w:r>
        <w:rPr>
          <w:rFonts w:ascii="Times New Roman" w:hAnsi="Times New Roman" w:cs="Times New Roman"/>
          <w:b/>
          <w:color w:val="000000"/>
          <w:sz w:val="28"/>
          <w:szCs w:val="28"/>
        </w:rPr>
        <w:t xml:space="preserve"> </w:t>
      </w:r>
      <w:r>
        <w:rPr>
          <w:rFonts w:ascii="Times New Roman" w:hAnsi="Times New Roman" w:cs="Times New Roman"/>
          <w:color w:val="000000"/>
          <w:sz w:val="28"/>
          <w:szCs w:val="28"/>
        </w:rPr>
        <w:t xml:space="preserve">Враховуючи значні відмінності у біологічній поведінці різних гістологічних підтипів НКР, включаючи здатність до метастазування </w:t>
      </w:r>
      <w:r w:rsidRPr="00947C24">
        <w:rPr>
          <w:rFonts w:ascii="Times New Roman" w:hAnsi="Times New Roman" w:cs="Times New Roman"/>
          <w:color w:val="000000"/>
          <w:sz w:val="28"/>
          <w:szCs w:val="28"/>
        </w:rPr>
        <w:t>[</w:t>
      </w:r>
      <w:r>
        <w:rPr>
          <w:rFonts w:ascii="Times New Roman" w:eastAsia="Times New Roman" w:hAnsi="Times New Roman" w:cs="Times New Roman"/>
          <w:sz w:val="28"/>
          <w:szCs w:val="28"/>
          <w:lang w:eastAsia="uk-UA"/>
        </w:rPr>
        <w:t>125</w:t>
      </w:r>
      <w:r w:rsidRPr="00947C24">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Pr="00947C24">
        <w:rPr>
          <w:rFonts w:ascii="Times New Roman" w:hAnsi="Times New Roman" w:cs="Times New Roman"/>
          <w:color w:val="000000"/>
          <w:sz w:val="28"/>
          <w:szCs w:val="28"/>
        </w:rPr>
        <w:t>та</w:t>
      </w:r>
      <w:r>
        <w:rPr>
          <w:rFonts w:ascii="Times New Roman" w:hAnsi="Times New Roman" w:cs="Times New Roman"/>
          <w:color w:val="000000"/>
          <w:sz w:val="28"/>
          <w:szCs w:val="28"/>
        </w:rPr>
        <w:t xml:space="preserve"> темп росту пухлини </w:t>
      </w:r>
      <w:r w:rsidRPr="00947C24">
        <w:rPr>
          <w:rFonts w:ascii="Times New Roman" w:hAnsi="Times New Roman" w:cs="Times New Roman"/>
          <w:color w:val="000000"/>
          <w:sz w:val="28"/>
          <w:szCs w:val="28"/>
        </w:rPr>
        <w:t>[</w:t>
      </w:r>
      <w:r>
        <w:rPr>
          <w:rFonts w:ascii="Times New Roman" w:eastAsia="Times New Roman" w:hAnsi="Times New Roman" w:cs="Times New Roman"/>
          <w:sz w:val="28"/>
          <w:szCs w:val="28"/>
          <w:lang w:eastAsia="uk-UA"/>
        </w:rPr>
        <w:t>256</w:t>
      </w:r>
      <w:r w:rsidRPr="00947C24">
        <w:rPr>
          <w:rFonts w:ascii="Times New Roman" w:hAnsi="Times New Roman" w:cs="Times New Roman"/>
          <w:color w:val="000000"/>
          <w:sz w:val="28"/>
          <w:szCs w:val="28"/>
        </w:rPr>
        <w:t>]</w:t>
      </w:r>
      <w:r>
        <w:rPr>
          <w:rFonts w:ascii="Times New Roman" w:hAnsi="Times New Roman" w:cs="Times New Roman"/>
          <w:color w:val="000000"/>
          <w:sz w:val="28"/>
          <w:szCs w:val="28"/>
        </w:rPr>
        <w:t>,</w:t>
      </w:r>
      <w:r w:rsidRPr="00947C24">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не викликає сумніву потреба у новітньому біомаркері, який би володів здатністю точно та неінвазивно визначати гістологічний підтип та ступінь диференціації ЗН що є надважливим для ретельного відбору хворих для АС. </w:t>
      </w:r>
    </w:p>
    <w:p w:rsidR="001E6EFC" w:rsidRPr="0028490C" w:rsidRDefault="001E6EFC" w:rsidP="001E6EFC">
      <w:pPr>
        <w:spacing w:line="360" w:lineRule="auto"/>
        <w:jc w:val="both"/>
        <w:rPr>
          <w:rFonts w:ascii="Times New Roman" w:hAnsi="Times New Roman" w:cs="Times New Roman"/>
          <w:color w:val="000000"/>
          <w:sz w:val="28"/>
          <w:szCs w:val="28"/>
        </w:rPr>
      </w:pP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1.3.6. Променеві біомаркери у виявленні локального рецидиву</w:t>
      </w:r>
      <w:r w:rsidRPr="0028490C">
        <w:rPr>
          <w:rFonts w:ascii="Times New Roman" w:hAnsi="Times New Roman" w:cs="Times New Roman"/>
          <w:sz w:val="28"/>
          <w:szCs w:val="28"/>
        </w:rPr>
        <w:t xml:space="preserve"> НКР</w:t>
      </w:r>
    </w:p>
    <w:p w:rsidR="001E6EFC"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Однією із основних проблем в питанні діагностики локального рецидиву (ЛР) НКР є важкість постановки діагнозу за допомогою існуючих променевих методів, у зв’язку із післяопераційними та десмопластичними змінами тканин</w:t>
      </w:r>
      <w:r w:rsidRPr="003F0A23">
        <w:rPr>
          <w:rFonts w:ascii="Times New Roman" w:hAnsi="Times New Roman" w:cs="Times New Roman"/>
          <w:sz w:val="28"/>
          <w:szCs w:val="28"/>
        </w:rPr>
        <w:t xml:space="preserve"> </w:t>
      </w:r>
      <w:r>
        <w:rPr>
          <w:rFonts w:ascii="Times New Roman" w:hAnsi="Times New Roman" w:cs="Times New Roman"/>
          <w:sz w:val="28"/>
          <w:szCs w:val="28"/>
        </w:rPr>
        <w:t xml:space="preserve">та відсутністю специфічних діагностичних біомаркерів. Так, у дослідженні </w:t>
      </w:r>
      <w:r>
        <w:rPr>
          <w:rFonts w:ascii="Times New Roman" w:eastAsia="Times New Roman" w:hAnsi="Times New Roman" w:cs="Times New Roman"/>
          <w:sz w:val="28"/>
          <w:szCs w:val="28"/>
          <w:lang w:val="en-US" w:eastAsia="uk-UA"/>
        </w:rPr>
        <w:t>Lang</w:t>
      </w:r>
      <w:r w:rsidRPr="003F0A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et</w:t>
      </w:r>
      <w:r w:rsidRPr="003F0A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en-US" w:eastAsia="uk-UA"/>
        </w:rPr>
        <w:t>al</w:t>
      </w:r>
      <w:r w:rsidRPr="003F0A2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у якості потенційного променевого біомаркеру рецидиву НКР було використано параметри променевої щільності підозрілої ділянки. При цьому, отримані значення накладались у всіх окрім КМФ фазах КТ, як у хворих із </w:t>
      </w:r>
      <w:r>
        <w:rPr>
          <w:rFonts w:ascii="Times New Roman" w:eastAsia="Times New Roman" w:hAnsi="Times New Roman" w:cs="Times New Roman"/>
          <w:sz w:val="28"/>
          <w:szCs w:val="28"/>
          <w:lang w:eastAsia="uk-UA"/>
        </w:rPr>
        <w:lastRenderedPageBreak/>
        <w:t>рецидивом, так і у випадках десмопластичної тканинної реакції, а невелика кількість пацієнтів із рецидивом НКР (</w:t>
      </w:r>
      <w:r>
        <w:rPr>
          <w:rFonts w:ascii="Times New Roman" w:eastAsia="Times New Roman" w:hAnsi="Times New Roman" w:cs="Times New Roman"/>
          <w:sz w:val="28"/>
          <w:szCs w:val="28"/>
          <w:lang w:val="en-US" w:eastAsia="uk-UA"/>
        </w:rPr>
        <w:t>n</w:t>
      </w:r>
      <w:r>
        <w:rPr>
          <w:rFonts w:ascii="Times New Roman" w:eastAsia="Times New Roman" w:hAnsi="Times New Roman" w:cs="Times New Roman"/>
          <w:sz w:val="28"/>
          <w:szCs w:val="28"/>
          <w:lang w:eastAsia="uk-UA"/>
        </w:rPr>
        <w:t xml:space="preserve">=2) не дозволила провести статистичної обробки отриманих результатів </w:t>
      </w:r>
      <w:r w:rsidRPr="003F0A23">
        <w:rPr>
          <w:rFonts w:ascii="Times New Roman" w:hAnsi="Times New Roman" w:cs="Times New Roman"/>
          <w:sz w:val="28"/>
          <w:szCs w:val="28"/>
        </w:rPr>
        <w:t>[</w:t>
      </w:r>
      <w:r>
        <w:rPr>
          <w:rFonts w:ascii="Times New Roman" w:eastAsia="Times New Roman" w:hAnsi="Times New Roman" w:cs="Times New Roman"/>
          <w:sz w:val="28"/>
          <w:szCs w:val="28"/>
          <w:lang w:eastAsia="uk-UA"/>
        </w:rPr>
        <w:t>244</w:t>
      </w:r>
      <w:r w:rsidRPr="003F0A23">
        <w:rPr>
          <w:rFonts w:ascii="Times New Roman" w:hAnsi="Times New Roman" w:cs="Times New Roman"/>
          <w:sz w:val="28"/>
          <w:szCs w:val="28"/>
        </w:rPr>
        <w:t>]</w:t>
      </w:r>
      <w:r>
        <w:rPr>
          <w:rFonts w:ascii="Times New Roman" w:eastAsia="Times New Roman" w:hAnsi="Times New Roman" w:cs="Times New Roman"/>
          <w:sz w:val="28"/>
          <w:szCs w:val="28"/>
          <w:lang w:eastAsia="uk-UA"/>
        </w:rPr>
        <w:t xml:space="preserve">. У світлі розвитку локальної десмопластичної реакції тканин при НКР важливими є повідомлення про випадки периренального фіброзу, променева картина якого симулювала НКР </w:t>
      </w:r>
      <w:r w:rsidRPr="009B37E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241</w:t>
      </w:r>
      <w:r w:rsidRPr="009B37E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rsidR="001E6EFC" w:rsidRPr="00E00D76" w:rsidRDefault="001E6EFC" w:rsidP="001E6EFC">
      <w:pPr>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 даними </w:t>
      </w:r>
      <w:r w:rsidRPr="00AD635E">
        <w:rPr>
          <w:rFonts w:ascii="Times New Roman" w:eastAsia="Times New Roman" w:hAnsi="Times New Roman" w:cs="Times New Roman"/>
          <w:sz w:val="28"/>
          <w:szCs w:val="28"/>
          <w:lang w:val="en-US" w:eastAsia="uk-UA"/>
        </w:rPr>
        <w:t>Jain</w:t>
      </w:r>
      <w:r w:rsidRPr="00F92222">
        <w:rPr>
          <w:rFonts w:ascii="Times New Roman" w:eastAsia="Times New Roman" w:hAnsi="Times New Roman" w:cs="Times New Roman"/>
          <w:sz w:val="28"/>
          <w:szCs w:val="28"/>
          <w:lang w:eastAsia="uk-UA"/>
        </w:rPr>
        <w:t xml:space="preserve"> </w:t>
      </w:r>
      <w:r w:rsidRPr="00AD635E">
        <w:rPr>
          <w:rFonts w:ascii="Times New Roman" w:eastAsia="Times New Roman" w:hAnsi="Times New Roman" w:cs="Times New Roman"/>
          <w:sz w:val="28"/>
          <w:szCs w:val="28"/>
          <w:lang w:eastAsia="uk-UA"/>
        </w:rPr>
        <w:t xml:space="preserve">та колег, </w:t>
      </w:r>
      <w:r>
        <w:rPr>
          <w:rFonts w:ascii="Times New Roman" w:eastAsia="Times New Roman" w:hAnsi="Times New Roman" w:cs="Times New Roman"/>
          <w:sz w:val="28"/>
          <w:szCs w:val="28"/>
          <w:lang w:eastAsia="uk-UA"/>
        </w:rPr>
        <w:t xml:space="preserve">застосування мультифазної КТ дозволило ідентифікувати метастатичне ураження нирки внаслідок НКР лише у 9% хворих на зображеннях артеріальної фази і у такої ж частини хворих на зображеннях портальної фази </w:t>
      </w:r>
      <w:r w:rsidRPr="00F9222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209</w:t>
      </w:r>
      <w:r w:rsidRPr="00F9222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Відомо, що точність у виявленні рецидиву НКР у регіональні лімфатичні вузли за допомогою контрастно підсилених КТ чи МРТ не перевищує 88% </w:t>
      </w:r>
      <w:r w:rsidRPr="00F92222">
        <w:rPr>
          <w:rFonts w:ascii="Times New Roman" w:hAnsi="Times New Roman" w:cs="Times New Roman"/>
          <w:sz w:val="28"/>
          <w:szCs w:val="28"/>
        </w:rPr>
        <w:t>[</w:t>
      </w:r>
      <w:r>
        <w:rPr>
          <w:rFonts w:ascii="Times New Roman" w:eastAsia="Times New Roman" w:hAnsi="Times New Roman" w:cs="Times New Roman"/>
          <w:sz w:val="28"/>
          <w:szCs w:val="28"/>
          <w:lang w:eastAsia="uk-UA"/>
        </w:rPr>
        <w:t>166</w:t>
      </w:r>
      <w:r w:rsidRPr="00F92222">
        <w:rPr>
          <w:rFonts w:ascii="Times New Roman" w:hAnsi="Times New Roman" w:cs="Times New Roman"/>
          <w:sz w:val="28"/>
          <w:szCs w:val="28"/>
        </w:rPr>
        <w:t>]</w:t>
      </w:r>
      <w:r>
        <w:rPr>
          <w:rFonts w:ascii="Times New Roman" w:hAnsi="Times New Roman" w:cs="Times New Roman"/>
          <w:sz w:val="28"/>
          <w:szCs w:val="28"/>
        </w:rPr>
        <w:t xml:space="preserve">. Kang et al виявили, що застосування ПЕТ дозволяє виявляти метастази у ретроперитонеальні лімфовузли чи  рецидив НКР в нирковому ложі лише із 75% чутливістю </w:t>
      </w:r>
      <w:r w:rsidRPr="009B37EA">
        <w:rPr>
          <w:rFonts w:ascii="Times New Roman" w:hAnsi="Times New Roman" w:cs="Times New Roman"/>
          <w:sz w:val="28"/>
          <w:szCs w:val="28"/>
        </w:rPr>
        <w:t>[</w:t>
      </w:r>
      <w:r>
        <w:rPr>
          <w:rFonts w:ascii="Times New Roman" w:eastAsia="Times New Roman" w:hAnsi="Times New Roman" w:cs="Times New Roman"/>
          <w:sz w:val="28"/>
          <w:szCs w:val="28"/>
          <w:lang w:eastAsia="uk-UA"/>
        </w:rPr>
        <w:t>219</w:t>
      </w:r>
      <w:r w:rsidRPr="009B37EA">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 xml:space="preserve">В останні роки рядом дослідників повідомлялось про високий потенціал біомаркерів на основі ДЗЗ у виявленні метастатичного поширення у лімфовузли при колоректальному раку, пухлинах голови та шиї та раку молочної залози </w:t>
      </w:r>
      <w:r w:rsidRPr="00D676E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262, 288, 440</w:t>
      </w:r>
      <w:r w:rsidRPr="00D676E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rsidR="001E6EFC" w:rsidRDefault="001E6EFC" w:rsidP="001E6EFC">
      <w:pPr>
        <w:spacing w:line="360" w:lineRule="auto"/>
        <w:ind w:firstLine="708"/>
        <w:jc w:val="both"/>
        <w:rPr>
          <w:rFonts w:ascii="Times New Roman" w:hAnsi="Times New Roman" w:cs="Times New Roman"/>
          <w:sz w:val="28"/>
          <w:szCs w:val="28"/>
        </w:rPr>
      </w:pP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1.3.7</w:t>
      </w:r>
      <w:r w:rsidRPr="0028490C">
        <w:rPr>
          <w:rFonts w:ascii="Times New Roman" w:hAnsi="Times New Roman" w:cs="Times New Roman"/>
          <w:sz w:val="28"/>
          <w:szCs w:val="28"/>
        </w:rPr>
        <w:t xml:space="preserve">. </w:t>
      </w:r>
      <w:r>
        <w:rPr>
          <w:rFonts w:ascii="Times New Roman" w:hAnsi="Times New Roman" w:cs="Times New Roman"/>
          <w:sz w:val="28"/>
          <w:szCs w:val="28"/>
        </w:rPr>
        <w:t>Б</w:t>
      </w:r>
      <w:r w:rsidRPr="00196F96">
        <w:rPr>
          <w:rFonts w:ascii="Times New Roman" w:hAnsi="Times New Roman" w:cs="Times New Roman"/>
          <w:sz w:val="28"/>
          <w:szCs w:val="28"/>
        </w:rPr>
        <w:t xml:space="preserve">іомаркери у </w:t>
      </w:r>
      <w:r>
        <w:rPr>
          <w:rFonts w:ascii="Times New Roman" w:hAnsi="Times New Roman" w:cs="Times New Roman"/>
          <w:sz w:val="28"/>
          <w:szCs w:val="28"/>
        </w:rPr>
        <w:t>прогнозуванні</w:t>
      </w:r>
      <w:r w:rsidRPr="00196F96">
        <w:rPr>
          <w:rFonts w:ascii="Times New Roman" w:hAnsi="Times New Roman" w:cs="Times New Roman"/>
          <w:sz w:val="28"/>
          <w:szCs w:val="28"/>
        </w:rPr>
        <w:t xml:space="preserve"> ефективності системної терапії НКР</w:t>
      </w:r>
    </w:p>
    <w:p w:rsidR="001E6EFC" w:rsidRPr="008D4D48" w:rsidRDefault="001E6EFC" w:rsidP="001E6EFC">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Не зважаючи на появу нових медикаментозних засобів, на сьогоднішній день терапевтична відповідь при застосуванні препаратів для системного лікування мНКР знаходиться в межах 3-31% </w:t>
      </w:r>
      <w:r w:rsidRPr="000F6BC7">
        <w:rPr>
          <w:rFonts w:ascii="Times New Roman" w:hAnsi="Times New Roman" w:cs="Times New Roman"/>
          <w:sz w:val="28"/>
          <w:szCs w:val="28"/>
        </w:rPr>
        <w:t>[</w:t>
      </w:r>
      <w:r>
        <w:rPr>
          <w:rFonts w:ascii="Times New Roman" w:hAnsi="Times New Roman" w:cs="Times New Roman"/>
          <w:sz w:val="28"/>
          <w:szCs w:val="28"/>
        </w:rPr>
        <w:t>115</w:t>
      </w:r>
      <w:r w:rsidRPr="000F6BC7">
        <w:rPr>
          <w:rFonts w:ascii="Times New Roman" w:hAnsi="Times New Roman" w:cs="Times New Roman"/>
          <w:sz w:val="28"/>
          <w:szCs w:val="28"/>
        </w:rPr>
        <w:t>]</w:t>
      </w:r>
      <w:r>
        <w:rPr>
          <w:rFonts w:ascii="Times New Roman" w:hAnsi="Times New Roman" w:cs="Times New Roman"/>
          <w:sz w:val="28"/>
          <w:szCs w:val="28"/>
        </w:rPr>
        <w:t>. На сьогоднішній день одним із найактуальніших питань при застосуванні системної терапії у лікуванні хворих із мНКР є передбачення ранньої терапевтичної відповіді на дію одного, чи комбінацію медикаментозних  агентів, що б дозволило уникнути дороговартісного лікування із потенційними серйозними побічними ефектами.</w:t>
      </w:r>
      <w:r w:rsidRPr="00F36414">
        <w:rPr>
          <w:rFonts w:ascii="Times New Roman" w:hAnsi="Times New Roman" w:cs="Times New Roman"/>
          <w:sz w:val="28"/>
          <w:szCs w:val="28"/>
        </w:rPr>
        <w:t xml:space="preserve"> </w:t>
      </w:r>
      <w:r>
        <w:rPr>
          <w:rFonts w:ascii="Times New Roman" w:hAnsi="Times New Roman" w:cs="Times New Roman"/>
          <w:sz w:val="28"/>
          <w:szCs w:val="28"/>
        </w:rPr>
        <w:t xml:space="preserve">Проте, типові критерії </w:t>
      </w:r>
      <w:r w:rsidRPr="00AB1823">
        <w:rPr>
          <w:rFonts w:ascii="Times New Roman" w:hAnsi="Times New Roman" w:cs="Times New Roman"/>
          <w:color w:val="000000"/>
          <w:sz w:val="28"/>
          <w:szCs w:val="28"/>
          <w:shd w:val="clear" w:color="auto" w:fill="FFFFFF"/>
        </w:rPr>
        <w:t>RECIST</w:t>
      </w:r>
      <w:r>
        <w:rPr>
          <w:rFonts w:ascii="Times New Roman" w:hAnsi="Times New Roman" w:cs="Times New Roman"/>
          <w:color w:val="000000"/>
          <w:sz w:val="28"/>
          <w:szCs w:val="28"/>
          <w:shd w:val="clear" w:color="auto" w:fill="FFFFFF"/>
        </w:rPr>
        <w:t xml:space="preserve">, які на даний момент застосовуються для оцінки </w:t>
      </w:r>
      <w:r w:rsidR="00B02037">
        <w:rPr>
          <w:rFonts w:ascii="Times New Roman" w:hAnsi="Times New Roman" w:cs="Times New Roman"/>
          <w:color w:val="000000"/>
          <w:sz w:val="28"/>
          <w:szCs w:val="28"/>
          <w:shd w:val="clear" w:color="auto" w:fill="FFFFFF"/>
        </w:rPr>
        <w:t>ступеня</w:t>
      </w:r>
      <w:r>
        <w:rPr>
          <w:rFonts w:ascii="Times New Roman" w:hAnsi="Times New Roman" w:cs="Times New Roman"/>
          <w:color w:val="000000"/>
          <w:sz w:val="28"/>
          <w:szCs w:val="28"/>
          <w:shd w:val="clear" w:color="auto" w:fill="FFFFFF"/>
        </w:rPr>
        <w:t xml:space="preserve"> терапевтичної відповіді при системному лікуванні НКР, не </w:t>
      </w:r>
      <w:r>
        <w:rPr>
          <w:rFonts w:ascii="Times New Roman" w:hAnsi="Times New Roman" w:cs="Times New Roman"/>
          <w:color w:val="000000"/>
          <w:sz w:val="28"/>
          <w:szCs w:val="28"/>
          <w:shd w:val="clear" w:color="auto" w:fill="FFFFFF"/>
        </w:rPr>
        <w:lastRenderedPageBreak/>
        <w:t>дозволяють повноцінно характеризувати глибинні зміни, що відбуваються в тканинах пухлини під дією таргетних агентів, а отже, із достатньою точністю характеризувати чи передбачати ефект такої терапії</w:t>
      </w:r>
      <w:r w:rsidR="009004BE">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sidR="009004BE">
        <w:rPr>
          <w:rFonts w:ascii="Times New Roman" w:hAnsi="Times New Roman" w:cs="Times New Roman"/>
          <w:color w:val="000000"/>
          <w:sz w:val="28"/>
          <w:szCs w:val="28"/>
          <w:shd w:val="clear" w:color="auto" w:fill="FFFFFF"/>
        </w:rPr>
        <w:t xml:space="preserve">Це ж стосується інших відомих критеріїв, які застосовуються з цією ж метою при мНКР, таких, як </w:t>
      </w:r>
      <w:r w:rsidR="009004BE">
        <w:rPr>
          <w:rFonts w:ascii="Times New Roman" w:hAnsi="Times New Roman" w:cs="Times New Roman"/>
          <w:color w:val="000000"/>
          <w:sz w:val="28"/>
          <w:szCs w:val="28"/>
          <w:shd w:val="clear" w:color="auto" w:fill="FFFFFF"/>
          <w:lang w:val="en-US"/>
        </w:rPr>
        <w:t>Choi</w:t>
      </w:r>
      <w:r w:rsidR="009004BE" w:rsidRPr="009E6C7E">
        <w:rPr>
          <w:rFonts w:ascii="Times New Roman" w:hAnsi="Times New Roman" w:cs="Times New Roman"/>
          <w:color w:val="000000"/>
          <w:sz w:val="28"/>
          <w:szCs w:val="28"/>
          <w:shd w:val="clear" w:color="auto" w:fill="FFFFFF"/>
        </w:rPr>
        <w:t xml:space="preserve">, </w:t>
      </w:r>
      <w:r w:rsidR="009004BE">
        <w:rPr>
          <w:rFonts w:ascii="Times New Roman" w:hAnsi="Times New Roman" w:cs="Times New Roman"/>
          <w:color w:val="000000"/>
          <w:sz w:val="28"/>
          <w:szCs w:val="28"/>
          <w:shd w:val="clear" w:color="auto" w:fill="FFFFFF"/>
          <w:lang w:val="en-US"/>
        </w:rPr>
        <w:t>mChoi</w:t>
      </w:r>
      <w:r w:rsidR="009004BE">
        <w:rPr>
          <w:rFonts w:ascii="Times New Roman" w:hAnsi="Times New Roman" w:cs="Times New Roman"/>
          <w:color w:val="000000"/>
          <w:sz w:val="28"/>
          <w:szCs w:val="28"/>
          <w:shd w:val="clear" w:color="auto" w:fill="FFFFFF"/>
        </w:rPr>
        <w:t xml:space="preserve"> (</w:t>
      </w:r>
      <w:r w:rsidR="009004BE" w:rsidRPr="00087FCA">
        <w:rPr>
          <w:rFonts w:ascii="Times New Roman" w:hAnsi="Times New Roman" w:cs="Times New Roman"/>
          <w:color w:val="000000"/>
          <w:sz w:val="28"/>
          <w:szCs w:val="28"/>
          <w:shd w:val="clear" w:color="auto" w:fill="FFFFFF"/>
        </w:rPr>
        <w:t>modified Choi</w:t>
      </w:r>
      <w:r w:rsidR="009004BE">
        <w:rPr>
          <w:rFonts w:ascii="Times New Roman" w:hAnsi="Times New Roman" w:cs="Times New Roman"/>
          <w:color w:val="000000"/>
          <w:sz w:val="28"/>
          <w:szCs w:val="28"/>
          <w:shd w:val="clear" w:color="auto" w:fill="FFFFFF"/>
        </w:rPr>
        <w:t>)</w:t>
      </w:r>
      <w:r w:rsidR="009004BE" w:rsidRPr="009E6C7E">
        <w:rPr>
          <w:rFonts w:ascii="Times New Roman" w:hAnsi="Times New Roman" w:cs="Times New Roman"/>
          <w:color w:val="000000"/>
          <w:sz w:val="28"/>
          <w:szCs w:val="28"/>
          <w:shd w:val="clear" w:color="auto" w:fill="FFFFFF"/>
        </w:rPr>
        <w:t xml:space="preserve"> та </w:t>
      </w:r>
      <w:r w:rsidR="009004BE">
        <w:rPr>
          <w:rFonts w:ascii="Times New Roman" w:hAnsi="Times New Roman" w:cs="Times New Roman"/>
          <w:color w:val="000000"/>
          <w:sz w:val="28"/>
          <w:szCs w:val="28"/>
          <w:shd w:val="clear" w:color="auto" w:fill="FFFFFF"/>
          <w:lang w:val="en-US"/>
        </w:rPr>
        <w:t>MASS</w:t>
      </w:r>
      <w:r w:rsidR="009004BE">
        <w:rPr>
          <w:rFonts w:ascii="Times New Roman" w:hAnsi="Times New Roman" w:cs="Times New Roman"/>
          <w:color w:val="000000"/>
          <w:sz w:val="28"/>
          <w:szCs w:val="28"/>
          <w:shd w:val="clear" w:color="auto" w:fill="FFFFFF"/>
        </w:rPr>
        <w:t xml:space="preserve"> (</w:t>
      </w:r>
      <w:r w:rsidR="009004BE" w:rsidRPr="00087FCA">
        <w:rPr>
          <w:rFonts w:ascii="Times New Roman" w:hAnsi="Times New Roman" w:cs="Times New Roman"/>
          <w:color w:val="000000"/>
          <w:sz w:val="28"/>
          <w:szCs w:val="28"/>
          <w:shd w:val="clear" w:color="auto" w:fill="FFFFFF"/>
        </w:rPr>
        <w:t>Morphology, Attenuation, Size, and Structure</w:t>
      </w:r>
      <w:r w:rsidR="009004BE">
        <w:rPr>
          <w:rFonts w:ascii="Times New Roman" w:hAnsi="Times New Roman" w:cs="Times New Roman"/>
          <w:color w:val="000000"/>
          <w:sz w:val="28"/>
          <w:szCs w:val="28"/>
          <w:shd w:val="clear" w:color="auto" w:fill="FFFFFF"/>
        </w:rPr>
        <w:t xml:space="preserve">) </w:t>
      </w:r>
      <w:r w:rsidRPr="005C3046">
        <w:rPr>
          <w:rFonts w:ascii="Times New Roman" w:hAnsi="Times New Roman" w:cs="Times New Roman"/>
          <w:color w:val="000000"/>
          <w:sz w:val="28"/>
          <w:szCs w:val="28"/>
          <w:shd w:val="clear" w:color="auto" w:fill="FFFFFF"/>
        </w:rPr>
        <w:t>[</w:t>
      </w:r>
      <w:r>
        <w:rPr>
          <w:rFonts w:ascii="Times New Roman" w:eastAsia="Times New Roman" w:hAnsi="Times New Roman" w:cs="Times New Roman"/>
          <w:sz w:val="28"/>
          <w:szCs w:val="28"/>
          <w:lang w:eastAsia="uk-UA"/>
        </w:rPr>
        <w:t>409</w:t>
      </w:r>
      <w:r w:rsidRPr="005C3046">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sidR="009004BE">
        <w:rPr>
          <w:rFonts w:ascii="Times New Roman" w:hAnsi="Times New Roman" w:cs="Times New Roman"/>
          <w:color w:val="000000"/>
          <w:sz w:val="28"/>
          <w:szCs w:val="28"/>
          <w:shd w:val="clear" w:color="auto" w:fill="FFFFFF"/>
        </w:rPr>
        <w:t xml:space="preserve">Так, </w:t>
      </w:r>
      <w:r w:rsidR="009004BE">
        <w:rPr>
          <w:rFonts w:ascii="Times New Roman" w:hAnsi="Times New Roman" w:cs="Times New Roman"/>
          <w:sz w:val="28"/>
          <w:szCs w:val="28"/>
        </w:rPr>
        <w:t>з</w:t>
      </w:r>
      <w:r>
        <w:rPr>
          <w:rFonts w:ascii="Times New Roman" w:hAnsi="Times New Roman" w:cs="Times New Roman"/>
          <w:sz w:val="28"/>
          <w:szCs w:val="28"/>
        </w:rPr>
        <w:t xml:space="preserve">а даними </w:t>
      </w:r>
      <w:r>
        <w:rPr>
          <w:rFonts w:ascii="Times New Roman" w:eastAsia="Times New Roman" w:hAnsi="Times New Roman" w:cs="Times New Roman"/>
          <w:sz w:val="28"/>
          <w:szCs w:val="28"/>
          <w:lang w:val="en-US" w:eastAsia="uk-UA"/>
        </w:rPr>
        <w:t>Nathan</w:t>
      </w:r>
      <w:r>
        <w:rPr>
          <w:rFonts w:ascii="Times New Roman" w:eastAsia="Times New Roman" w:hAnsi="Times New Roman" w:cs="Times New Roman"/>
          <w:sz w:val="28"/>
          <w:szCs w:val="28"/>
          <w:lang w:eastAsia="uk-UA"/>
        </w:rPr>
        <w:t xml:space="preserve"> та колег, параметри критеріїв </w:t>
      </w:r>
      <w:r w:rsidRPr="00AB1823">
        <w:rPr>
          <w:rFonts w:ascii="Times New Roman" w:hAnsi="Times New Roman" w:cs="Times New Roman"/>
          <w:color w:val="000000"/>
          <w:sz w:val="28"/>
          <w:szCs w:val="28"/>
          <w:shd w:val="clear" w:color="auto" w:fill="FFFFFF"/>
        </w:rPr>
        <w:t>RECIST</w:t>
      </w:r>
      <w:r>
        <w:rPr>
          <w:rFonts w:ascii="Times New Roman" w:hAnsi="Times New Roman" w:cs="Times New Roman"/>
          <w:color w:val="000000"/>
          <w:sz w:val="28"/>
          <w:szCs w:val="28"/>
          <w:shd w:val="clear" w:color="auto" w:fill="FFFFFF"/>
        </w:rPr>
        <w:t xml:space="preserve"> не мали відмінностей у хворих із мНКР</w:t>
      </w:r>
      <w:r w:rsidRPr="00340E15">
        <w:rPr>
          <w:rFonts w:ascii="Times New Roman" w:hAnsi="Times New Roman" w:cs="Times New Roman"/>
          <w:sz w:val="28"/>
        </w:rPr>
        <w:t xml:space="preserve"> (</w:t>
      </w:r>
      <w:r>
        <w:rPr>
          <w:rFonts w:ascii="Times New Roman" w:hAnsi="Times New Roman" w:cs="Times New Roman"/>
          <w:sz w:val="28"/>
        </w:rPr>
        <w:t>які отримували сунітініб чи цедіраніб</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n</w:t>
      </w:r>
      <w:r>
        <w:rPr>
          <w:rFonts w:ascii="Times New Roman" w:hAnsi="Times New Roman" w:cs="Times New Roman"/>
          <w:color w:val="000000"/>
          <w:sz w:val="28"/>
          <w:szCs w:val="28"/>
          <w:shd w:val="clear" w:color="auto" w:fill="FFFFFF"/>
        </w:rPr>
        <w:t>=32</w:t>
      </w:r>
      <w:r w:rsidRPr="00340E15">
        <w:rPr>
          <w:rFonts w:ascii="Times New Roman" w:hAnsi="Times New Roman" w:cs="Times New Roman"/>
          <w:sz w:val="28"/>
        </w:rPr>
        <w:t>)</w:t>
      </w:r>
      <w:r>
        <w:rPr>
          <w:rFonts w:ascii="Times New Roman" w:hAnsi="Times New Roman" w:cs="Times New Roman"/>
          <w:color w:val="000000"/>
          <w:sz w:val="28"/>
          <w:szCs w:val="28"/>
          <w:shd w:val="clear" w:color="auto" w:fill="FFFFFF"/>
        </w:rPr>
        <w:t xml:space="preserve"> та тривалим або ж коротким часом до прогресу – </w:t>
      </w:r>
      <w:r>
        <w:rPr>
          <w:rFonts w:ascii="Times New Roman" w:hAnsi="Times New Roman" w:cs="Times New Roman"/>
          <w:sz w:val="28"/>
          <w:lang w:val="en-US"/>
        </w:rPr>
        <w:t>time</w:t>
      </w:r>
      <w:r w:rsidRPr="008A41B1">
        <w:rPr>
          <w:rFonts w:ascii="Times New Roman" w:hAnsi="Times New Roman" w:cs="Times New Roman"/>
          <w:sz w:val="28"/>
        </w:rPr>
        <w:t xml:space="preserve"> </w:t>
      </w:r>
      <w:r>
        <w:rPr>
          <w:rFonts w:ascii="Times New Roman" w:hAnsi="Times New Roman" w:cs="Times New Roman"/>
          <w:sz w:val="28"/>
          <w:lang w:val="en-US"/>
        </w:rPr>
        <w:t>to</w:t>
      </w:r>
      <w:r w:rsidRPr="008A41B1">
        <w:rPr>
          <w:rFonts w:ascii="Times New Roman" w:hAnsi="Times New Roman" w:cs="Times New Roman"/>
          <w:sz w:val="28"/>
        </w:rPr>
        <w:t xml:space="preserve"> </w:t>
      </w:r>
      <w:r>
        <w:rPr>
          <w:rFonts w:ascii="Times New Roman" w:hAnsi="Times New Roman" w:cs="Times New Roman"/>
          <w:sz w:val="28"/>
          <w:lang w:val="en-US"/>
        </w:rPr>
        <w:t>progression</w:t>
      </w:r>
      <w:r>
        <w:rPr>
          <w:rFonts w:ascii="Times New Roman" w:hAnsi="Times New Roman" w:cs="Times New Roman"/>
          <w:color w:val="000000"/>
          <w:sz w:val="28"/>
          <w:szCs w:val="28"/>
          <w:shd w:val="clear" w:color="auto" w:fill="FFFFFF"/>
        </w:rPr>
        <w:t xml:space="preserve"> (</w:t>
      </w:r>
      <w:r w:rsidRPr="00523ABE">
        <w:rPr>
          <w:rFonts w:ascii="Times New Roman" w:hAnsi="Times New Roman" w:cs="Times New Roman"/>
          <w:sz w:val="28"/>
        </w:rPr>
        <w:t>TTP</w:t>
      </w:r>
      <w:r>
        <w:rPr>
          <w:rFonts w:ascii="Times New Roman" w:hAnsi="Times New Roman" w:cs="Times New Roman"/>
          <w:sz w:val="28"/>
        </w:rPr>
        <w:t xml:space="preserve">) захворювання. Крім цього, критерії </w:t>
      </w:r>
      <w:r>
        <w:rPr>
          <w:rFonts w:ascii="Times New Roman" w:hAnsi="Times New Roman" w:cs="Times New Roman"/>
          <w:color w:val="000000"/>
          <w:sz w:val="28"/>
          <w:szCs w:val="28"/>
          <w:shd w:val="clear" w:color="auto" w:fill="FFFFFF"/>
          <w:lang w:val="en-US"/>
        </w:rPr>
        <w:t>Choi</w:t>
      </w:r>
      <w:r>
        <w:rPr>
          <w:rFonts w:ascii="Times New Roman" w:hAnsi="Times New Roman" w:cs="Times New Roman"/>
          <w:color w:val="000000"/>
          <w:sz w:val="28"/>
          <w:szCs w:val="28"/>
          <w:shd w:val="clear" w:color="auto" w:fill="FFFFFF"/>
        </w:rPr>
        <w:t xml:space="preserve"> також не дозволяли проводити таку диференціацію</w:t>
      </w:r>
      <w:r>
        <w:rPr>
          <w:rFonts w:ascii="Times New Roman" w:hAnsi="Times New Roman" w:cs="Times New Roman"/>
          <w:sz w:val="28"/>
        </w:rPr>
        <w:t xml:space="preserve"> </w:t>
      </w:r>
      <w:r w:rsidRPr="008A41B1">
        <w:rPr>
          <w:rFonts w:ascii="Times New Roman" w:hAnsi="Times New Roman" w:cs="Times New Roman"/>
          <w:color w:val="000000"/>
          <w:sz w:val="28"/>
          <w:szCs w:val="28"/>
          <w:shd w:val="clear" w:color="auto" w:fill="FFFFFF"/>
        </w:rPr>
        <w:t>[</w:t>
      </w:r>
      <w:r>
        <w:rPr>
          <w:rFonts w:ascii="Times New Roman" w:eastAsia="Times New Roman" w:hAnsi="Times New Roman" w:cs="Times New Roman"/>
          <w:sz w:val="28"/>
          <w:szCs w:val="28"/>
          <w:lang w:eastAsia="uk-UA"/>
        </w:rPr>
        <w:t>320</w:t>
      </w:r>
      <w:r w:rsidRPr="008A41B1">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p>
    <w:p w:rsidR="009004BE" w:rsidRDefault="001E6EFC" w:rsidP="00321B82">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На жаль, не зважаючи на наведені вище дані, пошук біомаркеру, який би дозволяв достатньо точно передбачати ступінь терапевтичної відповіді при використанні агентів для системної терапії хворих із мНКР все ще залишається відкритим науковим питанням, дослідження на цю тематику</w:t>
      </w:r>
      <w:r w:rsidRPr="001B435F">
        <w:rPr>
          <w:rFonts w:ascii="Times New Roman" w:hAnsi="Times New Roman" w:cs="Times New Roman"/>
          <w:sz w:val="28"/>
          <w:szCs w:val="28"/>
        </w:rPr>
        <w:t xml:space="preserve"> тривають (</w:t>
      </w:r>
      <w:r w:rsidRPr="001B435F">
        <w:rPr>
          <w:rFonts w:ascii="Times New Roman" w:hAnsi="Times New Roman" w:cs="Times New Roman"/>
          <w:color w:val="000000"/>
          <w:sz w:val="28"/>
          <w:szCs w:val="28"/>
          <w:shd w:val="clear" w:color="auto" w:fill="FFFFFF"/>
        </w:rPr>
        <w:t>NCT01224288, NCT01926990, NCT03097601, NCT</w:t>
      </w:r>
      <w:r>
        <w:rPr>
          <w:rFonts w:ascii="Times New Roman" w:hAnsi="Times New Roman" w:cs="Times New Roman"/>
          <w:color w:val="000000"/>
          <w:sz w:val="28"/>
          <w:szCs w:val="28"/>
          <w:shd w:val="clear" w:color="auto" w:fill="FFFFFF"/>
        </w:rPr>
        <w:t xml:space="preserve">02570789). </w:t>
      </w:r>
    </w:p>
    <w:p w:rsidR="001E6EFC" w:rsidRPr="00002967"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Нещодавно з’явились повідомлення про високий потенціал параметрів дифузії МРТ у якості новітніх променевих біомаркерів при оцінці ранньої терапевтичної відповіді при лікуванні інших ЗН, зокрема раку простати та колоректальному раку [247, </w:t>
      </w:r>
      <w:r>
        <w:rPr>
          <w:rFonts w:ascii="Times New Roman" w:eastAsia="Times New Roman" w:hAnsi="Times New Roman" w:cs="Times New Roman"/>
          <w:sz w:val="28"/>
          <w:szCs w:val="28"/>
          <w:lang w:eastAsia="uk-UA"/>
        </w:rPr>
        <w:t>342</w:t>
      </w:r>
      <w:r>
        <w:rPr>
          <w:rFonts w:ascii="Times New Roman" w:hAnsi="Times New Roman" w:cs="Times New Roman"/>
          <w:sz w:val="28"/>
          <w:szCs w:val="28"/>
        </w:rPr>
        <w:t>], що відкриває нові перспективи для дослідження в контексті нирково-клітинного раку.</w:t>
      </w:r>
    </w:p>
    <w:p w:rsidR="001E6EFC" w:rsidRPr="004E7B79" w:rsidRDefault="001E6EFC" w:rsidP="001E6EFC">
      <w:pPr>
        <w:autoSpaceDE w:val="0"/>
        <w:autoSpaceDN w:val="0"/>
        <w:adjustRightInd w:val="0"/>
        <w:spacing w:after="0" w:line="360" w:lineRule="auto"/>
        <w:rPr>
          <w:rFonts w:ascii="Times New Roman" w:hAnsi="Times New Roman" w:cs="Times New Roman"/>
          <w:sz w:val="28"/>
          <w:szCs w:val="28"/>
        </w:rPr>
      </w:pPr>
    </w:p>
    <w:p w:rsidR="001E6EFC" w:rsidRDefault="001E6EFC" w:rsidP="001E6EFC">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Автором було ретельно проаналізовано та систематизовано наукові праці, що були наведені у дисертації. Із даних отриманих в ході проведених на сьогоднішній день наукових досліджень випливає, що </w:t>
      </w:r>
      <w:r w:rsidRPr="00BB55C8">
        <w:rPr>
          <w:rFonts w:ascii="Times New Roman" w:hAnsi="Times New Roman" w:cs="Times New Roman"/>
          <w:sz w:val="28"/>
          <w:szCs w:val="28"/>
        </w:rPr>
        <w:t>захворюваність на НКР в Україні і</w:t>
      </w:r>
      <w:r>
        <w:rPr>
          <w:rFonts w:ascii="Times New Roman" w:hAnsi="Times New Roman" w:cs="Times New Roman"/>
          <w:sz w:val="28"/>
          <w:szCs w:val="28"/>
        </w:rPr>
        <w:t xml:space="preserve"> світі невпинно зростає.</w:t>
      </w:r>
      <w:r w:rsidRPr="00BB55C8">
        <w:rPr>
          <w:rFonts w:ascii="Times New Roman" w:hAnsi="Times New Roman" w:cs="Times New Roman"/>
          <w:sz w:val="28"/>
          <w:szCs w:val="28"/>
        </w:rPr>
        <w:t xml:space="preserve"> </w:t>
      </w:r>
      <w:r>
        <w:rPr>
          <w:rFonts w:ascii="Times New Roman" w:hAnsi="Times New Roman" w:cs="Times New Roman"/>
          <w:sz w:val="28"/>
          <w:szCs w:val="28"/>
        </w:rPr>
        <w:t>В</w:t>
      </w:r>
      <w:r w:rsidRPr="00BB55C8">
        <w:rPr>
          <w:rFonts w:ascii="Times New Roman" w:hAnsi="Times New Roman" w:cs="Times New Roman"/>
          <w:sz w:val="28"/>
          <w:szCs w:val="28"/>
        </w:rPr>
        <w:t>одночас</w:t>
      </w:r>
      <w:r>
        <w:rPr>
          <w:rFonts w:ascii="Times New Roman" w:hAnsi="Times New Roman" w:cs="Times New Roman"/>
          <w:sz w:val="28"/>
          <w:szCs w:val="28"/>
        </w:rPr>
        <w:t>,</w:t>
      </w:r>
      <w:r w:rsidRPr="00BB55C8">
        <w:rPr>
          <w:rFonts w:ascii="Times New Roman" w:hAnsi="Times New Roman" w:cs="Times New Roman"/>
          <w:sz w:val="28"/>
          <w:szCs w:val="28"/>
        </w:rPr>
        <w:t xml:space="preserve"> не зважаючи на широке застосування нових методів діагностики і лікування НКР, смертність від цього ЗН залишається на майже незмінному рівн</w:t>
      </w:r>
      <w:r>
        <w:rPr>
          <w:rFonts w:ascii="Times New Roman" w:hAnsi="Times New Roman" w:cs="Times New Roman"/>
          <w:sz w:val="28"/>
          <w:szCs w:val="28"/>
        </w:rPr>
        <w:t>і,</w:t>
      </w:r>
      <w:r w:rsidRPr="00BB55C8">
        <w:rPr>
          <w:rFonts w:ascii="Times New Roman" w:hAnsi="Times New Roman" w:cs="Times New Roman"/>
          <w:sz w:val="28"/>
          <w:szCs w:val="28"/>
        </w:rPr>
        <w:t xml:space="preserve"> прогнозується глобальне безперервне зростання захворюваності на НКР впродов</w:t>
      </w:r>
      <w:r>
        <w:rPr>
          <w:rFonts w:ascii="Times New Roman" w:hAnsi="Times New Roman" w:cs="Times New Roman"/>
          <w:sz w:val="28"/>
          <w:szCs w:val="28"/>
        </w:rPr>
        <w:t>ж наступних десятиліть. О</w:t>
      </w:r>
      <w:r w:rsidRPr="00E41F1D">
        <w:rPr>
          <w:rFonts w:ascii="Times New Roman" w:hAnsi="Times New Roman" w:cs="Times New Roman"/>
          <w:sz w:val="28"/>
          <w:szCs w:val="28"/>
        </w:rPr>
        <w:t xml:space="preserve">тримані знання у ділянці молекулярного патогенезу НКР </w:t>
      </w:r>
      <w:r w:rsidRPr="00E41F1D">
        <w:rPr>
          <w:rFonts w:ascii="Times New Roman" w:hAnsi="Times New Roman" w:cs="Times New Roman"/>
          <w:sz w:val="28"/>
          <w:szCs w:val="28"/>
        </w:rPr>
        <w:lastRenderedPageBreak/>
        <w:t xml:space="preserve">свідчать про існування множинних генетичних механізмів розвитку даного ЗН, які визначають біологічну поведінку пухлини, перебіг захворювання, </w:t>
      </w:r>
      <w:r>
        <w:rPr>
          <w:rFonts w:ascii="Times New Roman" w:hAnsi="Times New Roman" w:cs="Times New Roman"/>
          <w:sz w:val="28"/>
          <w:szCs w:val="28"/>
        </w:rPr>
        <w:t>онкологічні результати</w:t>
      </w:r>
      <w:r w:rsidRPr="00E41F1D">
        <w:rPr>
          <w:rFonts w:ascii="Times New Roman" w:hAnsi="Times New Roman" w:cs="Times New Roman"/>
          <w:sz w:val="28"/>
          <w:szCs w:val="28"/>
        </w:rPr>
        <w:t xml:space="preserve"> лікування та прогноз</w:t>
      </w:r>
      <w:r>
        <w:rPr>
          <w:rFonts w:ascii="Times New Roman" w:hAnsi="Times New Roman" w:cs="Times New Roman"/>
          <w:sz w:val="28"/>
          <w:szCs w:val="28"/>
        </w:rPr>
        <w:t>. Відомо,</w:t>
      </w:r>
      <w:r w:rsidRPr="00E41F1D">
        <w:rPr>
          <w:rFonts w:ascii="Times New Roman" w:hAnsi="Times New Roman" w:cs="Times New Roman"/>
          <w:sz w:val="28"/>
          <w:szCs w:val="28"/>
        </w:rPr>
        <w:t xml:space="preserve"> що такі молекулярні механізми є відмінними при різних гістологічних підтипах НКР</w:t>
      </w:r>
      <w:r>
        <w:rPr>
          <w:rFonts w:ascii="Times New Roman" w:hAnsi="Times New Roman" w:cs="Times New Roman"/>
          <w:sz w:val="28"/>
          <w:szCs w:val="28"/>
        </w:rPr>
        <w:t>.</w:t>
      </w:r>
      <w:r w:rsidRPr="00E41F1D">
        <w:rPr>
          <w:rFonts w:ascii="Times New Roman" w:hAnsi="Times New Roman" w:cs="Times New Roman"/>
          <w:sz w:val="28"/>
          <w:szCs w:val="28"/>
        </w:rPr>
        <w:t xml:space="preserve"> </w:t>
      </w:r>
      <w:r>
        <w:rPr>
          <w:rFonts w:ascii="Times New Roman" w:hAnsi="Times New Roman" w:cs="Times New Roman"/>
          <w:sz w:val="28"/>
          <w:szCs w:val="28"/>
        </w:rPr>
        <w:t>У</w:t>
      </w:r>
      <w:r w:rsidRPr="00E41F1D">
        <w:rPr>
          <w:rFonts w:ascii="Times New Roman" w:hAnsi="Times New Roman" w:cs="Times New Roman"/>
          <w:sz w:val="28"/>
          <w:szCs w:val="28"/>
        </w:rPr>
        <w:t xml:space="preserve"> зв’язку з </w:t>
      </w:r>
      <w:r>
        <w:rPr>
          <w:rFonts w:ascii="Times New Roman" w:hAnsi="Times New Roman" w:cs="Times New Roman"/>
          <w:sz w:val="28"/>
          <w:szCs w:val="28"/>
        </w:rPr>
        <w:t>цим</w:t>
      </w:r>
      <w:r w:rsidRPr="00E41F1D">
        <w:rPr>
          <w:rFonts w:ascii="Times New Roman" w:hAnsi="Times New Roman" w:cs="Times New Roman"/>
          <w:sz w:val="28"/>
          <w:szCs w:val="28"/>
        </w:rPr>
        <w:t xml:space="preserve"> констатується зміщення п</w:t>
      </w:r>
      <w:r>
        <w:rPr>
          <w:rFonts w:ascii="Times New Roman" w:hAnsi="Times New Roman" w:cs="Times New Roman"/>
          <w:sz w:val="28"/>
          <w:szCs w:val="28"/>
        </w:rPr>
        <w:t>арадигми ведення хворих із НКР</w:t>
      </w:r>
      <w:r w:rsidRPr="00E41F1D">
        <w:rPr>
          <w:rFonts w:ascii="Times New Roman" w:hAnsi="Times New Roman" w:cs="Times New Roman"/>
          <w:sz w:val="28"/>
          <w:szCs w:val="28"/>
        </w:rPr>
        <w:t xml:space="preserve"> в сторону персоналізованої та точної медицини, яка базується на урахуванні таких параметрів пухлини, як гістологічний підтип згідно новітньої класифікації ВОО</w:t>
      </w:r>
      <w:r>
        <w:rPr>
          <w:rFonts w:ascii="Times New Roman" w:hAnsi="Times New Roman" w:cs="Times New Roman"/>
          <w:sz w:val="28"/>
          <w:szCs w:val="28"/>
        </w:rPr>
        <w:t>З</w:t>
      </w:r>
      <w:r w:rsidRPr="00E41F1D">
        <w:rPr>
          <w:rFonts w:ascii="Times New Roman" w:hAnsi="Times New Roman" w:cs="Times New Roman"/>
          <w:sz w:val="28"/>
          <w:szCs w:val="28"/>
        </w:rPr>
        <w:t xml:space="preserve"> та ступінь її диференціації</w:t>
      </w:r>
      <w:r>
        <w:rPr>
          <w:rFonts w:ascii="Times New Roman" w:hAnsi="Times New Roman" w:cs="Times New Roman"/>
          <w:sz w:val="28"/>
          <w:szCs w:val="28"/>
        </w:rPr>
        <w:t>, що є важливим</w:t>
      </w:r>
      <w:r w:rsidRPr="00E41F1D">
        <w:rPr>
          <w:rFonts w:ascii="Times New Roman" w:hAnsi="Times New Roman" w:cs="Times New Roman"/>
          <w:sz w:val="28"/>
          <w:szCs w:val="28"/>
        </w:rPr>
        <w:t xml:space="preserve"> для оптим</w:t>
      </w:r>
      <w:r>
        <w:rPr>
          <w:rFonts w:ascii="Times New Roman" w:hAnsi="Times New Roman" w:cs="Times New Roman"/>
          <w:sz w:val="28"/>
          <w:szCs w:val="28"/>
        </w:rPr>
        <w:t>ізації лікувальної тактики та</w:t>
      </w:r>
      <w:r w:rsidRPr="00E41F1D">
        <w:rPr>
          <w:rFonts w:ascii="Times New Roman" w:hAnsi="Times New Roman" w:cs="Times New Roman"/>
          <w:sz w:val="28"/>
          <w:szCs w:val="28"/>
        </w:rPr>
        <w:t xml:space="preserve"> інтенсивності спостереження</w:t>
      </w:r>
      <w:r>
        <w:rPr>
          <w:rFonts w:ascii="Times New Roman" w:hAnsi="Times New Roman" w:cs="Times New Roman"/>
          <w:sz w:val="28"/>
          <w:szCs w:val="28"/>
        </w:rPr>
        <w:t xml:space="preserve">. </w:t>
      </w:r>
    </w:p>
    <w:p w:rsidR="001E6EFC" w:rsidRDefault="001E6EFC" w:rsidP="001E6E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жаль, с</w:t>
      </w:r>
      <w:r w:rsidRPr="00E41F1D">
        <w:rPr>
          <w:rFonts w:ascii="Times New Roman" w:hAnsi="Times New Roman" w:cs="Times New Roman"/>
          <w:sz w:val="28"/>
          <w:szCs w:val="28"/>
        </w:rPr>
        <w:t xml:space="preserve">учасні методи </w:t>
      </w:r>
      <w:r>
        <w:rPr>
          <w:rFonts w:ascii="Times New Roman" w:hAnsi="Times New Roman" w:cs="Times New Roman"/>
          <w:sz w:val="28"/>
          <w:szCs w:val="28"/>
        </w:rPr>
        <w:t xml:space="preserve">променевої </w:t>
      </w:r>
      <w:r w:rsidRPr="00E41F1D">
        <w:rPr>
          <w:rFonts w:ascii="Times New Roman" w:hAnsi="Times New Roman" w:cs="Times New Roman"/>
          <w:sz w:val="28"/>
          <w:szCs w:val="28"/>
        </w:rPr>
        <w:t xml:space="preserve">діагностики </w:t>
      </w:r>
      <w:r>
        <w:rPr>
          <w:rFonts w:ascii="Times New Roman" w:hAnsi="Times New Roman" w:cs="Times New Roman"/>
          <w:sz w:val="28"/>
          <w:szCs w:val="28"/>
        </w:rPr>
        <w:t xml:space="preserve">все ще </w:t>
      </w:r>
      <w:r w:rsidRPr="00E41F1D">
        <w:rPr>
          <w:rFonts w:ascii="Times New Roman" w:hAnsi="Times New Roman" w:cs="Times New Roman"/>
          <w:sz w:val="28"/>
          <w:szCs w:val="28"/>
        </w:rPr>
        <w:t xml:space="preserve">не дозволяють достовірно диференціювати НКР та </w:t>
      </w:r>
      <w:r>
        <w:rPr>
          <w:rFonts w:ascii="Times New Roman" w:hAnsi="Times New Roman" w:cs="Times New Roman"/>
          <w:sz w:val="28"/>
          <w:szCs w:val="28"/>
        </w:rPr>
        <w:t xml:space="preserve">цілий </w:t>
      </w:r>
      <w:r w:rsidRPr="00E41F1D">
        <w:rPr>
          <w:rFonts w:ascii="Times New Roman" w:hAnsi="Times New Roman" w:cs="Times New Roman"/>
          <w:sz w:val="28"/>
          <w:szCs w:val="28"/>
        </w:rPr>
        <w:t>спектр доброякісних новоутворень н</w:t>
      </w:r>
      <w:r>
        <w:rPr>
          <w:rFonts w:ascii="Times New Roman" w:hAnsi="Times New Roman" w:cs="Times New Roman"/>
          <w:sz w:val="28"/>
          <w:szCs w:val="28"/>
        </w:rPr>
        <w:t>ирок, результатом чого є високі рівні</w:t>
      </w:r>
      <w:r w:rsidRPr="00E41F1D">
        <w:rPr>
          <w:rFonts w:ascii="Times New Roman" w:hAnsi="Times New Roman" w:cs="Times New Roman"/>
          <w:sz w:val="28"/>
          <w:szCs w:val="28"/>
        </w:rPr>
        <w:t xml:space="preserve"> хибно позитивних </w:t>
      </w:r>
      <w:r>
        <w:rPr>
          <w:rFonts w:ascii="Times New Roman" w:hAnsi="Times New Roman" w:cs="Times New Roman"/>
          <w:sz w:val="28"/>
          <w:szCs w:val="28"/>
        </w:rPr>
        <w:t>діагнозів</w:t>
      </w:r>
      <w:r w:rsidRPr="00E41F1D">
        <w:rPr>
          <w:rFonts w:ascii="Times New Roman" w:hAnsi="Times New Roman" w:cs="Times New Roman"/>
          <w:sz w:val="28"/>
          <w:szCs w:val="28"/>
        </w:rPr>
        <w:t xml:space="preserve"> та хірургічних втручань за відсутності в дійсності зло</w:t>
      </w:r>
      <w:r>
        <w:rPr>
          <w:rFonts w:ascii="Times New Roman" w:hAnsi="Times New Roman" w:cs="Times New Roman"/>
          <w:sz w:val="28"/>
          <w:szCs w:val="28"/>
        </w:rPr>
        <w:t>якісного неопластичного процесу. Крім цього, значне радіаційне опромінення хворих під час виконання діагностичних процедур (КТ, ПЕТ) може провокувати розвиток радіаційно-індукованого раку. Водночас,</w:t>
      </w:r>
      <w:r w:rsidRPr="00E41F1D">
        <w:rPr>
          <w:rFonts w:ascii="Times New Roman" w:hAnsi="Times New Roman" w:cs="Times New Roman"/>
          <w:sz w:val="28"/>
          <w:szCs w:val="28"/>
        </w:rPr>
        <w:t xml:space="preserve"> </w:t>
      </w:r>
      <w:r>
        <w:rPr>
          <w:rFonts w:ascii="Times New Roman" w:hAnsi="Times New Roman" w:cs="Times New Roman"/>
          <w:sz w:val="28"/>
          <w:szCs w:val="28"/>
        </w:rPr>
        <w:t xml:space="preserve">ЧПБ застосована для діагностики НКР у значній частині випадків є неінформативною, навіть при виконанні повторної процедури. В даному контексті </w:t>
      </w:r>
      <w:r w:rsidRPr="00E41F1D">
        <w:rPr>
          <w:rFonts w:ascii="Times New Roman" w:hAnsi="Times New Roman" w:cs="Times New Roman"/>
          <w:sz w:val="28"/>
          <w:szCs w:val="28"/>
        </w:rPr>
        <w:t xml:space="preserve">диференційна діагностика </w:t>
      </w:r>
      <w:r w:rsidRPr="00E41F1D">
        <w:rPr>
          <w:rFonts w:ascii="Times New Roman" w:hAnsi="Times New Roman" w:cs="Times New Roman"/>
          <w:sz w:val="28"/>
          <w:szCs w:val="28"/>
          <w:lang w:val="en-US"/>
        </w:rPr>
        <w:t>SRM</w:t>
      </w:r>
      <w:r>
        <w:rPr>
          <w:rFonts w:ascii="Times New Roman" w:hAnsi="Times New Roman" w:cs="Times New Roman"/>
          <w:sz w:val="28"/>
          <w:szCs w:val="28"/>
        </w:rPr>
        <w:t xml:space="preserve"> становить ще більшу діагностичну дилему. Не зважаючи на численні дослідження, молекулярний біомаркер</w:t>
      </w:r>
      <w:r w:rsidRPr="00E41F1D">
        <w:rPr>
          <w:rFonts w:ascii="Times New Roman" w:hAnsi="Times New Roman" w:cs="Times New Roman"/>
          <w:sz w:val="28"/>
          <w:szCs w:val="28"/>
        </w:rPr>
        <w:t>, який би дозволяв з д</w:t>
      </w:r>
      <w:r>
        <w:rPr>
          <w:rFonts w:ascii="Times New Roman" w:hAnsi="Times New Roman" w:cs="Times New Roman"/>
          <w:sz w:val="28"/>
          <w:szCs w:val="28"/>
        </w:rPr>
        <w:t>остатньою точністю та</w:t>
      </w:r>
      <w:r w:rsidRPr="00E41F1D">
        <w:rPr>
          <w:rFonts w:ascii="Times New Roman" w:hAnsi="Times New Roman" w:cs="Times New Roman"/>
          <w:sz w:val="28"/>
          <w:szCs w:val="28"/>
        </w:rPr>
        <w:t xml:space="preserve"> неінвазивно проводити </w:t>
      </w:r>
      <w:r>
        <w:rPr>
          <w:rFonts w:ascii="Times New Roman" w:hAnsi="Times New Roman" w:cs="Times New Roman"/>
          <w:sz w:val="28"/>
          <w:szCs w:val="28"/>
        </w:rPr>
        <w:t xml:space="preserve">скринінг, </w:t>
      </w:r>
      <w:r w:rsidRPr="00E41F1D">
        <w:rPr>
          <w:rFonts w:ascii="Times New Roman" w:hAnsi="Times New Roman" w:cs="Times New Roman"/>
          <w:sz w:val="28"/>
          <w:szCs w:val="28"/>
        </w:rPr>
        <w:t>ранню та диференційну діагностику</w:t>
      </w:r>
      <w:r>
        <w:rPr>
          <w:rFonts w:ascii="Times New Roman" w:hAnsi="Times New Roman" w:cs="Times New Roman"/>
          <w:sz w:val="28"/>
          <w:szCs w:val="28"/>
        </w:rPr>
        <w:t xml:space="preserve"> НКР</w:t>
      </w:r>
      <w:r w:rsidRPr="00E41F1D">
        <w:rPr>
          <w:rFonts w:ascii="Times New Roman" w:hAnsi="Times New Roman" w:cs="Times New Roman"/>
          <w:sz w:val="28"/>
          <w:szCs w:val="28"/>
        </w:rPr>
        <w:t xml:space="preserve">, </w:t>
      </w:r>
      <w:r>
        <w:rPr>
          <w:rFonts w:ascii="Times New Roman" w:hAnsi="Times New Roman" w:cs="Times New Roman"/>
          <w:sz w:val="28"/>
          <w:szCs w:val="28"/>
        </w:rPr>
        <w:t xml:space="preserve">проводити післяопераційний моніторниг та своєчасне виявлення рецидиву захворювання все ще не є знайдений. Відсутність чітких променевих ознак локального рецидиву НКР та недосконалість системи </w:t>
      </w:r>
      <w:r>
        <w:rPr>
          <w:rFonts w:ascii="Times New Roman" w:hAnsi="Times New Roman" w:cs="Times New Roman"/>
          <w:sz w:val="28"/>
          <w:szCs w:val="28"/>
          <w:lang w:val="en-US"/>
        </w:rPr>
        <w:t>RECIST</w:t>
      </w:r>
      <w:r w:rsidRPr="00E5383B">
        <w:rPr>
          <w:rFonts w:ascii="Times New Roman" w:hAnsi="Times New Roman" w:cs="Times New Roman"/>
          <w:sz w:val="28"/>
          <w:szCs w:val="28"/>
        </w:rPr>
        <w:t xml:space="preserve"> </w:t>
      </w:r>
      <w:r>
        <w:rPr>
          <w:rFonts w:ascii="Times New Roman" w:hAnsi="Times New Roman" w:cs="Times New Roman"/>
          <w:sz w:val="28"/>
          <w:szCs w:val="28"/>
        </w:rPr>
        <w:t xml:space="preserve">для оцінки ранньої терапевтичної відповіді при лікуванні поширених форм НКР потребує подальших ґрунтовних досліджень. Не зважаючи на доведено важливу роль генетичних механізмів у перебігу НКР, жоден із вивчених молекулярних біомаркерів цього захворювання все ще не є включений у існуючі прогностичні системи, оскільки не покращував їх точність. </w:t>
      </w:r>
    </w:p>
    <w:p w:rsidR="001E6EFC" w:rsidRPr="0084666C" w:rsidRDefault="001E6EFC" w:rsidP="001E6EFC">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Враховуючи сказане, питання персоналізованих підходів до ведення хворих із НКР у світлі точної медицини ставить нові виклики перед клініцистами та науковцями, а пошук новітніх променевих та молекулярних біомаркерів даного захворювання, застосування яких би дозволило оптимізувати та підвищити ефективність діагностично-лікувальних алгоритмів та точність прогностичних систем потребує подальших ґрунтовних досліджень і є актуальною проблемою урології.</w:t>
      </w:r>
    </w:p>
    <w:p w:rsidR="001E6EFC" w:rsidRDefault="001E6EFC" w:rsidP="001E6EFC"/>
    <w:p w:rsidR="006F3224" w:rsidRDefault="006F3224" w:rsidP="00D150F2">
      <w:pPr>
        <w:adjustRightInd w:val="0"/>
        <w:snapToGrid w:val="0"/>
        <w:spacing w:line="360" w:lineRule="auto"/>
        <w:jc w:val="both"/>
        <w:rPr>
          <w:rFonts w:ascii="Times New Roman" w:hAnsi="Times New Roman" w:cs="Times New Roman"/>
          <w:sz w:val="28"/>
          <w:szCs w:val="28"/>
          <w:lang w:eastAsia="ru-RU"/>
        </w:rPr>
      </w:pPr>
    </w:p>
    <w:p w:rsidR="00207AD7" w:rsidRDefault="00207AD7" w:rsidP="00D150F2">
      <w:pPr>
        <w:adjustRightInd w:val="0"/>
        <w:snapToGrid w:val="0"/>
        <w:spacing w:line="360" w:lineRule="auto"/>
        <w:jc w:val="both"/>
        <w:rPr>
          <w:rFonts w:ascii="Times New Roman" w:hAnsi="Times New Roman" w:cs="Times New Roman"/>
          <w:sz w:val="28"/>
          <w:szCs w:val="28"/>
          <w:lang w:eastAsia="ru-RU"/>
        </w:rPr>
      </w:pPr>
    </w:p>
    <w:p w:rsidR="00207AD7" w:rsidRDefault="00207AD7" w:rsidP="00D150F2">
      <w:pPr>
        <w:adjustRightInd w:val="0"/>
        <w:snapToGrid w:val="0"/>
        <w:spacing w:line="360" w:lineRule="auto"/>
        <w:jc w:val="both"/>
        <w:rPr>
          <w:rFonts w:ascii="Times New Roman" w:hAnsi="Times New Roman" w:cs="Times New Roman"/>
          <w:sz w:val="28"/>
          <w:szCs w:val="28"/>
          <w:lang w:eastAsia="ru-RU"/>
        </w:rPr>
      </w:pPr>
    </w:p>
    <w:p w:rsidR="00207AD7" w:rsidRDefault="00207AD7"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996EB8" w:rsidRDefault="00996EB8" w:rsidP="00D150F2">
      <w:pPr>
        <w:adjustRightInd w:val="0"/>
        <w:snapToGrid w:val="0"/>
        <w:spacing w:line="360" w:lineRule="auto"/>
        <w:jc w:val="both"/>
        <w:rPr>
          <w:rFonts w:ascii="Times New Roman" w:hAnsi="Times New Roman" w:cs="Times New Roman"/>
          <w:sz w:val="28"/>
          <w:szCs w:val="28"/>
          <w:lang w:eastAsia="ru-RU"/>
        </w:rPr>
      </w:pPr>
    </w:p>
    <w:p w:rsidR="00B84AB9" w:rsidRPr="00260BAB" w:rsidRDefault="00B84AB9" w:rsidP="00B84AB9">
      <w:pPr>
        <w:spacing w:line="360" w:lineRule="auto"/>
        <w:contextualSpacing/>
        <w:rPr>
          <w:rFonts w:ascii="Times New Roman" w:hAnsi="Times New Roman" w:cs="Times New Roman"/>
          <w:b/>
          <w:sz w:val="28"/>
        </w:rPr>
      </w:pPr>
      <w:r w:rsidRPr="00260BAB">
        <w:rPr>
          <w:rFonts w:ascii="Times New Roman" w:hAnsi="Times New Roman" w:cs="Times New Roman"/>
          <w:b/>
          <w:sz w:val="28"/>
        </w:rPr>
        <w:lastRenderedPageBreak/>
        <w:t xml:space="preserve">РОЗДІЛ 2. </w:t>
      </w:r>
      <w:r w:rsidRPr="00E61CC6">
        <w:rPr>
          <w:rFonts w:ascii="Times New Roman" w:hAnsi="Times New Roman"/>
          <w:b/>
          <w:sz w:val="28"/>
          <w:szCs w:val="28"/>
        </w:rPr>
        <w:t>МАТЕРІАЛИ ТА МЕТОДИ ДОСЛІДЖЕННЯ</w:t>
      </w:r>
    </w:p>
    <w:p w:rsidR="00B84AB9" w:rsidRDefault="00B84AB9" w:rsidP="00B84AB9">
      <w:pPr>
        <w:spacing w:line="360" w:lineRule="auto"/>
        <w:contextualSpacing/>
        <w:rPr>
          <w:rFonts w:ascii="Times New Roman" w:hAnsi="Times New Roman" w:cs="Times New Roman"/>
          <w:sz w:val="28"/>
        </w:rPr>
      </w:pPr>
    </w:p>
    <w:p w:rsidR="00B84AB9" w:rsidRDefault="00B84AB9" w:rsidP="00B84AB9">
      <w:pPr>
        <w:spacing w:line="360" w:lineRule="auto"/>
        <w:contextualSpacing/>
        <w:jc w:val="both"/>
        <w:rPr>
          <w:rFonts w:ascii="Times New Roman" w:hAnsi="Times New Roman" w:cs="Times New Roman"/>
          <w:sz w:val="28"/>
          <w:szCs w:val="28"/>
        </w:rPr>
      </w:pPr>
      <w:r>
        <w:rPr>
          <w:rFonts w:ascii="Times New Roman" w:hAnsi="Times New Roman" w:cs="Times New Roman"/>
          <w:sz w:val="28"/>
        </w:rPr>
        <w:tab/>
      </w:r>
      <w:r w:rsidRPr="008C7B07">
        <w:rPr>
          <w:rFonts w:ascii="Times New Roman" w:hAnsi="Times New Roman" w:cs="Times New Roman"/>
          <w:sz w:val="28"/>
        </w:rPr>
        <w:t>Дані, що наведені у роботі</w:t>
      </w:r>
      <w:r>
        <w:rPr>
          <w:rFonts w:ascii="Times New Roman" w:hAnsi="Times New Roman" w:cs="Times New Roman"/>
          <w:sz w:val="28"/>
        </w:rPr>
        <w:t>,</w:t>
      </w:r>
      <w:r w:rsidRPr="008C7B07">
        <w:rPr>
          <w:rFonts w:ascii="Times New Roman" w:hAnsi="Times New Roman" w:cs="Times New Roman"/>
          <w:sz w:val="28"/>
        </w:rPr>
        <w:t xml:space="preserve"> </w:t>
      </w:r>
      <w:r w:rsidRPr="008C7B07">
        <w:rPr>
          <w:rFonts w:ascii="Times New Roman" w:hAnsi="Times New Roman" w:cs="Times New Roman"/>
          <w:sz w:val="28"/>
          <w:szCs w:val="28"/>
        </w:rPr>
        <w:t xml:space="preserve">ґрунтуються на </w:t>
      </w:r>
      <w:r>
        <w:rPr>
          <w:rFonts w:ascii="Times New Roman" w:hAnsi="Times New Roman" w:cs="Times New Roman"/>
          <w:sz w:val="28"/>
          <w:szCs w:val="28"/>
        </w:rPr>
        <w:t>результатах</w:t>
      </w:r>
      <w:r w:rsidRPr="008C7B07">
        <w:rPr>
          <w:rFonts w:ascii="Times New Roman" w:hAnsi="Times New Roman" w:cs="Times New Roman"/>
          <w:sz w:val="28"/>
          <w:szCs w:val="28"/>
        </w:rPr>
        <w:t xml:space="preserve"> аналізу</w:t>
      </w:r>
      <w:r>
        <w:rPr>
          <w:rFonts w:ascii="Times New Roman" w:hAnsi="Times New Roman" w:cs="Times New Roman"/>
          <w:sz w:val="28"/>
          <w:szCs w:val="28"/>
        </w:rPr>
        <w:t xml:space="preserve"> клінічних</w:t>
      </w:r>
      <w:r w:rsidR="00BC2EB1">
        <w:rPr>
          <w:rFonts w:ascii="Times New Roman" w:hAnsi="Times New Roman" w:cs="Times New Roman"/>
          <w:sz w:val="28"/>
          <w:szCs w:val="28"/>
        </w:rPr>
        <w:t>,</w:t>
      </w:r>
      <w:r>
        <w:rPr>
          <w:rFonts w:ascii="Times New Roman" w:hAnsi="Times New Roman" w:cs="Times New Roman"/>
          <w:sz w:val="28"/>
          <w:szCs w:val="28"/>
        </w:rPr>
        <w:t xml:space="preserve"> лабораторних та інструментальних методів дослідження та ефективності лікування хворих із пухлинами нирки, зокрема НКР. Дослідження проводилось на базах </w:t>
      </w:r>
      <w:r w:rsidRPr="008C7B07">
        <w:rPr>
          <w:rFonts w:ascii="Times New Roman" w:hAnsi="Times New Roman" w:cs="Times New Roman"/>
          <w:sz w:val="28"/>
          <w:szCs w:val="28"/>
        </w:rPr>
        <w:t xml:space="preserve">кафедр урології, радіології та </w:t>
      </w:r>
      <w:r>
        <w:rPr>
          <w:rFonts w:ascii="Times New Roman" w:hAnsi="Times New Roman" w:cs="Times New Roman"/>
          <w:sz w:val="28"/>
          <w:szCs w:val="28"/>
        </w:rPr>
        <w:t>патологічної анатомії</w:t>
      </w:r>
      <w:r w:rsidRPr="008C7B07">
        <w:rPr>
          <w:rFonts w:ascii="Times New Roman" w:hAnsi="Times New Roman" w:cs="Times New Roman"/>
          <w:sz w:val="28"/>
          <w:szCs w:val="28"/>
        </w:rPr>
        <w:t xml:space="preserve"> Львівського національного медичного університету ім. Данила Галицького, </w:t>
      </w:r>
      <w:r w:rsidRPr="001B1465">
        <w:rPr>
          <w:rFonts w:ascii="Times New Roman" w:hAnsi="Times New Roman"/>
          <w:sz w:val="28"/>
          <w:szCs w:val="28"/>
        </w:rPr>
        <w:t>урол</w:t>
      </w:r>
      <w:r w:rsidRPr="00BC3E58">
        <w:rPr>
          <w:rFonts w:ascii="Times New Roman" w:hAnsi="Times New Roman"/>
          <w:sz w:val="28"/>
          <w:szCs w:val="28"/>
        </w:rPr>
        <w:t>огічного відділення</w:t>
      </w:r>
      <w:r>
        <w:rPr>
          <w:rFonts w:ascii="Times New Roman" w:hAnsi="Times New Roman"/>
          <w:sz w:val="28"/>
          <w:szCs w:val="28"/>
        </w:rPr>
        <w:t xml:space="preserve"> Львівської обласної клінічної лікарні,</w:t>
      </w:r>
      <w:r w:rsidRPr="00BC3E58">
        <w:rPr>
          <w:rFonts w:ascii="Times New Roman" w:hAnsi="Times New Roman"/>
          <w:sz w:val="28"/>
          <w:szCs w:val="28"/>
        </w:rPr>
        <w:t xml:space="preserve"> </w:t>
      </w:r>
      <w:r w:rsidRPr="008C7B07">
        <w:rPr>
          <w:rFonts w:ascii="Times New Roman" w:hAnsi="Times New Roman" w:cs="Times New Roman"/>
          <w:sz w:val="28"/>
          <w:szCs w:val="28"/>
        </w:rPr>
        <w:t>відд</w:t>
      </w:r>
      <w:r>
        <w:rPr>
          <w:rFonts w:ascii="Times New Roman" w:hAnsi="Times New Roman" w:cs="Times New Roman"/>
          <w:sz w:val="28"/>
          <w:szCs w:val="28"/>
        </w:rPr>
        <w:t>ілень урології та патологічної анатомії Клінічної міської комунальної лікарні</w:t>
      </w:r>
      <w:r w:rsidRPr="008C7B07">
        <w:rPr>
          <w:rFonts w:ascii="Times New Roman" w:hAnsi="Times New Roman" w:cs="Times New Roman"/>
          <w:sz w:val="28"/>
          <w:szCs w:val="28"/>
        </w:rPr>
        <w:t xml:space="preserve"> </w:t>
      </w:r>
      <w:r>
        <w:rPr>
          <w:rFonts w:ascii="Times New Roman" w:hAnsi="Times New Roman" w:cs="Times New Roman"/>
          <w:sz w:val="28"/>
          <w:szCs w:val="28"/>
        </w:rPr>
        <w:t>швидкої медичної допомоги м. Львова</w:t>
      </w:r>
      <w:r w:rsidRPr="008C7B07">
        <w:rPr>
          <w:rFonts w:ascii="Times New Roman" w:hAnsi="Times New Roman" w:cs="Times New Roman"/>
          <w:sz w:val="28"/>
          <w:szCs w:val="28"/>
        </w:rPr>
        <w:t xml:space="preserve">, </w:t>
      </w:r>
      <w:r>
        <w:rPr>
          <w:rFonts w:ascii="Times New Roman" w:hAnsi="Times New Roman" w:cs="Times New Roman"/>
          <w:sz w:val="28"/>
          <w:szCs w:val="28"/>
        </w:rPr>
        <w:t xml:space="preserve">відділення урології Львівського державного онкологічного регіонального лікувально-діагностичного центру, </w:t>
      </w:r>
      <w:r w:rsidRPr="008C7B07">
        <w:rPr>
          <w:rFonts w:ascii="Times New Roman" w:hAnsi="Times New Roman" w:cs="Times New Roman"/>
          <w:sz w:val="28"/>
          <w:szCs w:val="28"/>
        </w:rPr>
        <w:t>лабораторії молекулярно-генетичного аналізу відділу загальної та молекулярної патофізіології Інституту фізіології НАМН імені О.О.Богомольця, м. Київ, кабінетів МРТ та КТ медичног</w:t>
      </w:r>
      <w:r>
        <w:rPr>
          <w:rFonts w:ascii="Times New Roman" w:hAnsi="Times New Roman" w:cs="Times New Roman"/>
          <w:sz w:val="28"/>
          <w:szCs w:val="28"/>
        </w:rPr>
        <w:t xml:space="preserve">о центру «Євроклінік», м. Львів,  </w:t>
      </w:r>
      <w:r w:rsidRPr="00452C2D">
        <w:rPr>
          <w:rFonts w:ascii="Times New Roman" w:hAnsi="Times New Roman" w:cs="Times New Roman"/>
          <w:sz w:val="28"/>
          <w:szCs w:val="28"/>
        </w:rPr>
        <w:t>відділу променевої діагностики Шпиталю Швєнтей Родзіни</w:t>
      </w:r>
      <w:r>
        <w:rPr>
          <w:rFonts w:ascii="Times New Roman" w:hAnsi="Times New Roman" w:cs="Times New Roman"/>
          <w:sz w:val="28"/>
          <w:szCs w:val="28"/>
        </w:rPr>
        <w:t xml:space="preserve">, </w:t>
      </w:r>
      <w:r w:rsidRPr="00452C2D">
        <w:rPr>
          <w:rFonts w:ascii="Times New Roman" w:hAnsi="Times New Roman" w:cs="Times New Roman"/>
          <w:sz w:val="28"/>
          <w:szCs w:val="28"/>
        </w:rPr>
        <w:t>м. Ж</w:t>
      </w:r>
      <w:r>
        <w:rPr>
          <w:rFonts w:ascii="Times New Roman" w:hAnsi="Times New Roman" w:cs="Times New Roman"/>
          <w:sz w:val="28"/>
          <w:szCs w:val="28"/>
        </w:rPr>
        <w:t>ешів, Польща,</w:t>
      </w:r>
      <w:r w:rsidRPr="00452C2D">
        <w:rPr>
          <w:rFonts w:ascii="Times New Roman" w:hAnsi="Times New Roman" w:cs="Times New Roman"/>
          <w:sz w:val="28"/>
          <w:szCs w:val="28"/>
        </w:rPr>
        <w:t xml:space="preserve"> відділення променевої діагностики Клінічного воєводського шпиталю ім. Св. Ядвігі Крульовей, м. Ж</w:t>
      </w:r>
      <w:r>
        <w:rPr>
          <w:rFonts w:ascii="Times New Roman" w:hAnsi="Times New Roman" w:cs="Times New Roman"/>
          <w:sz w:val="28"/>
          <w:szCs w:val="28"/>
        </w:rPr>
        <w:t>ешів, Польща та клініки урології Вроцлавського медичного університету, м. Вроцлав, Польща</w:t>
      </w:r>
    </w:p>
    <w:p w:rsidR="00B84AB9" w:rsidRPr="009C0300" w:rsidRDefault="00B84AB9" w:rsidP="00B84AB9">
      <w:pPr>
        <w:spacing w:line="360" w:lineRule="auto"/>
        <w:ind w:firstLine="708"/>
        <w:contextualSpacing/>
        <w:jc w:val="both"/>
        <w:rPr>
          <w:rFonts w:ascii="Times New Roman" w:hAnsi="Times New Roman" w:cs="Times New Roman"/>
          <w:sz w:val="28"/>
          <w:szCs w:val="28"/>
          <w:highlight w:val="yellow"/>
        </w:rPr>
      </w:pPr>
      <w:r w:rsidRPr="00E2575E">
        <w:rPr>
          <w:rFonts w:ascii="Times New Roman" w:hAnsi="Times New Roman" w:cs="Times New Roman"/>
          <w:sz w:val="28"/>
          <w:szCs w:val="28"/>
        </w:rPr>
        <w:t>Наукову обробку клінічн</w:t>
      </w:r>
      <w:r>
        <w:rPr>
          <w:rFonts w:ascii="Times New Roman" w:hAnsi="Times New Roman" w:cs="Times New Roman"/>
          <w:sz w:val="28"/>
          <w:szCs w:val="28"/>
        </w:rPr>
        <w:t xml:space="preserve">ого </w:t>
      </w:r>
      <w:r w:rsidRPr="00E2575E">
        <w:rPr>
          <w:rFonts w:ascii="Times New Roman" w:hAnsi="Times New Roman" w:cs="Times New Roman"/>
          <w:sz w:val="28"/>
          <w:szCs w:val="28"/>
        </w:rPr>
        <w:t xml:space="preserve">матеріалу проведено особисто автором під керівництвом наукового консультанта, </w:t>
      </w:r>
      <w:r>
        <w:rPr>
          <w:rFonts w:ascii="Times New Roman" w:hAnsi="Times New Roman" w:cs="Times New Roman"/>
          <w:sz w:val="28"/>
          <w:szCs w:val="28"/>
        </w:rPr>
        <w:t>завідувача кафедри урології ЛНМУ ім. Данила Галицького</w:t>
      </w:r>
      <w:r w:rsidRPr="00E2575E">
        <w:rPr>
          <w:rFonts w:ascii="Times New Roman" w:hAnsi="Times New Roman" w:cs="Times New Roman"/>
          <w:sz w:val="28"/>
          <w:szCs w:val="28"/>
        </w:rPr>
        <w:t xml:space="preserve">, доктора медичних наук, професора </w:t>
      </w:r>
      <w:r>
        <w:rPr>
          <w:rFonts w:ascii="Times New Roman" w:hAnsi="Times New Roman" w:cs="Times New Roman"/>
          <w:sz w:val="28"/>
          <w:szCs w:val="28"/>
        </w:rPr>
        <w:t xml:space="preserve">Ю.Б. Бориса. </w:t>
      </w:r>
      <w:r w:rsidRPr="009C0300">
        <w:rPr>
          <w:rFonts w:ascii="Times New Roman" w:hAnsi="Times New Roman" w:cs="Times New Roman"/>
          <w:sz w:val="28"/>
          <w:szCs w:val="28"/>
        </w:rPr>
        <w:t>Дослідження було проведене в період з 2013 по 2018</w:t>
      </w:r>
      <w:r>
        <w:rPr>
          <w:rFonts w:ascii="Times New Roman" w:hAnsi="Times New Roman" w:cs="Times New Roman"/>
          <w:sz w:val="28"/>
          <w:szCs w:val="28"/>
        </w:rPr>
        <w:t xml:space="preserve"> рр. на основі опрацювання даних обстежень, результатів </w:t>
      </w:r>
      <w:r w:rsidRPr="009C0300">
        <w:rPr>
          <w:rFonts w:ascii="Times New Roman" w:hAnsi="Times New Roman" w:cs="Times New Roman"/>
          <w:sz w:val="28"/>
          <w:szCs w:val="28"/>
        </w:rPr>
        <w:t>лікування</w:t>
      </w:r>
      <w:r>
        <w:rPr>
          <w:rFonts w:ascii="Times New Roman" w:hAnsi="Times New Roman" w:cs="Times New Roman"/>
          <w:sz w:val="28"/>
          <w:szCs w:val="28"/>
        </w:rPr>
        <w:t xml:space="preserve"> та архівних даних історій хворіб (архівні дані з 2008 по 2018 р.)</w:t>
      </w:r>
      <w:r w:rsidRPr="009C0300">
        <w:rPr>
          <w:rFonts w:ascii="Times New Roman" w:hAnsi="Times New Roman" w:cs="Times New Roman"/>
          <w:sz w:val="28"/>
          <w:szCs w:val="28"/>
        </w:rPr>
        <w:t xml:space="preserve"> </w:t>
      </w:r>
      <w:r w:rsidR="003E156D">
        <w:rPr>
          <w:rFonts w:ascii="Times New Roman" w:hAnsi="Times New Roman" w:cs="Times New Roman"/>
          <w:sz w:val="28"/>
          <w:szCs w:val="28"/>
        </w:rPr>
        <w:t xml:space="preserve">863 хворих з пухлинами нирок, з них: </w:t>
      </w:r>
      <w:r>
        <w:rPr>
          <w:rFonts w:ascii="Times New Roman" w:hAnsi="Times New Roman" w:cs="Times New Roman"/>
          <w:sz w:val="28"/>
          <w:szCs w:val="28"/>
        </w:rPr>
        <w:t>423</w:t>
      </w:r>
      <w:r w:rsidRPr="009C0300">
        <w:rPr>
          <w:rFonts w:ascii="Times New Roman" w:hAnsi="Times New Roman" w:cs="Times New Roman"/>
          <w:sz w:val="28"/>
          <w:szCs w:val="28"/>
        </w:rPr>
        <w:t xml:space="preserve"> хворих з солідним НКР, </w:t>
      </w:r>
      <w:r>
        <w:rPr>
          <w:rFonts w:ascii="Times New Roman" w:hAnsi="Times New Roman" w:cs="Times New Roman"/>
          <w:sz w:val="28"/>
          <w:szCs w:val="28"/>
        </w:rPr>
        <w:t>45 пацієнтів із ПКК ниркової миски, 87</w:t>
      </w:r>
      <w:r w:rsidRPr="009C0300">
        <w:rPr>
          <w:rFonts w:ascii="Times New Roman" w:hAnsi="Times New Roman" w:cs="Times New Roman"/>
          <w:sz w:val="28"/>
          <w:szCs w:val="28"/>
        </w:rPr>
        <w:t xml:space="preserve"> з солідними доброякісними пухлинами нирок, </w:t>
      </w:r>
      <w:r>
        <w:rPr>
          <w:rFonts w:ascii="Times New Roman" w:hAnsi="Times New Roman" w:cs="Times New Roman"/>
          <w:sz w:val="28"/>
          <w:szCs w:val="28"/>
        </w:rPr>
        <w:t>142 пацієнтів з кістозним НКР, 166</w:t>
      </w:r>
      <w:r w:rsidRPr="009C0300">
        <w:rPr>
          <w:rFonts w:ascii="Times New Roman" w:hAnsi="Times New Roman" w:cs="Times New Roman"/>
          <w:sz w:val="28"/>
          <w:szCs w:val="28"/>
        </w:rPr>
        <w:t xml:space="preserve"> </w:t>
      </w:r>
      <w:r>
        <w:rPr>
          <w:rFonts w:ascii="Times New Roman" w:hAnsi="Times New Roman" w:cs="Times New Roman"/>
          <w:sz w:val="28"/>
          <w:szCs w:val="28"/>
        </w:rPr>
        <w:t xml:space="preserve">хворих </w:t>
      </w:r>
      <w:r w:rsidRPr="009C0300">
        <w:rPr>
          <w:rFonts w:ascii="Times New Roman" w:hAnsi="Times New Roman" w:cs="Times New Roman"/>
          <w:sz w:val="28"/>
          <w:szCs w:val="28"/>
        </w:rPr>
        <w:t xml:space="preserve">із </w:t>
      </w:r>
      <w:r w:rsidR="003E156D">
        <w:rPr>
          <w:rFonts w:ascii="Times New Roman" w:hAnsi="Times New Roman" w:cs="Times New Roman"/>
          <w:sz w:val="28"/>
          <w:szCs w:val="28"/>
        </w:rPr>
        <w:t xml:space="preserve">доброякісними нирковими кістами. Крім цього, дослідження включало </w:t>
      </w:r>
      <w:r>
        <w:rPr>
          <w:rFonts w:ascii="Times New Roman" w:hAnsi="Times New Roman" w:cs="Times New Roman"/>
          <w:sz w:val="28"/>
          <w:szCs w:val="28"/>
        </w:rPr>
        <w:t>60 о</w:t>
      </w:r>
      <w:r w:rsidR="003E156D">
        <w:rPr>
          <w:rFonts w:ascii="Times New Roman" w:hAnsi="Times New Roman" w:cs="Times New Roman"/>
          <w:sz w:val="28"/>
          <w:szCs w:val="28"/>
        </w:rPr>
        <w:t xml:space="preserve">сіб без ниркової патології; </w:t>
      </w:r>
      <w:r>
        <w:rPr>
          <w:rFonts w:ascii="Times New Roman" w:hAnsi="Times New Roman" w:cs="Times New Roman"/>
          <w:sz w:val="28"/>
          <w:szCs w:val="28"/>
        </w:rPr>
        <w:t>64</w:t>
      </w:r>
      <w:r w:rsidRPr="009C0300">
        <w:rPr>
          <w:rFonts w:ascii="Times New Roman" w:hAnsi="Times New Roman" w:cs="Times New Roman"/>
          <w:sz w:val="28"/>
          <w:szCs w:val="28"/>
        </w:rPr>
        <w:t xml:space="preserve"> п</w:t>
      </w:r>
      <w:r w:rsidR="003E156D">
        <w:rPr>
          <w:rFonts w:ascii="Times New Roman" w:hAnsi="Times New Roman" w:cs="Times New Roman"/>
          <w:sz w:val="28"/>
          <w:szCs w:val="28"/>
        </w:rPr>
        <w:t>арафінізованих тканинних зразки</w:t>
      </w:r>
      <w:r w:rsidRPr="009C0300">
        <w:rPr>
          <w:rFonts w:ascii="Times New Roman" w:hAnsi="Times New Roman" w:cs="Times New Roman"/>
          <w:sz w:val="28"/>
          <w:szCs w:val="28"/>
        </w:rPr>
        <w:t xml:space="preserve"> </w:t>
      </w:r>
      <w:r>
        <w:rPr>
          <w:rFonts w:ascii="Times New Roman" w:hAnsi="Times New Roman" w:cs="Times New Roman"/>
          <w:sz w:val="28"/>
          <w:szCs w:val="28"/>
        </w:rPr>
        <w:t>НКР</w:t>
      </w:r>
      <w:r w:rsidRPr="009C0300">
        <w:rPr>
          <w:rFonts w:ascii="Times New Roman" w:hAnsi="Times New Roman" w:cs="Times New Roman"/>
          <w:sz w:val="28"/>
          <w:szCs w:val="28"/>
        </w:rPr>
        <w:t xml:space="preserve"> та </w:t>
      </w:r>
      <w:r>
        <w:rPr>
          <w:rFonts w:ascii="Times New Roman" w:hAnsi="Times New Roman" w:cs="Times New Roman"/>
          <w:sz w:val="28"/>
          <w:szCs w:val="28"/>
        </w:rPr>
        <w:t xml:space="preserve">15 </w:t>
      </w:r>
      <w:r w:rsidR="003E156D">
        <w:rPr>
          <w:rFonts w:ascii="Times New Roman" w:hAnsi="Times New Roman" w:cs="Times New Roman"/>
          <w:sz w:val="28"/>
          <w:szCs w:val="28"/>
        </w:rPr>
        <w:t xml:space="preserve">зразків </w:t>
      </w:r>
      <w:r w:rsidRPr="009C0300">
        <w:rPr>
          <w:rFonts w:ascii="Times New Roman" w:hAnsi="Times New Roman" w:cs="Times New Roman"/>
          <w:sz w:val="28"/>
          <w:szCs w:val="28"/>
        </w:rPr>
        <w:t>неураженої ниркової паренхіми.</w:t>
      </w:r>
    </w:p>
    <w:p w:rsidR="00B84AB9" w:rsidRDefault="00B84AB9" w:rsidP="00B84AB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Робота була виконана у відповідності до загальноприйнятих світових і вітчизняних норм</w:t>
      </w:r>
      <w:r w:rsidRPr="00E2575E">
        <w:rPr>
          <w:rFonts w:ascii="Times New Roman" w:hAnsi="Times New Roman" w:cs="Times New Roman"/>
          <w:sz w:val="28"/>
          <w:szCs w:val="28"/>
        </w:rPr>
        <w:t xml:space="preserve"> здійснення досліджень у</w:t>
      </w:r>
      <w:r>
        <w:rPr>
          <w:rFonts w:ascii="Times New Roman" w:hAnsi="Times New Roman" w:cs="Times New Roman"/>
          <w:sz w:val="28"/>
          <w:szCs w:val="28"/>
        </w:rPr>
        <w:t xml:space="preserve"> галузі біології і медицини, базованих на положенні</w:t>
      </w:r>
      <w:r w:rsidRPr="00E2575E">
        <w:rPr>
          <w:rFonts w:ascii="Times New Roman" w:hAnsi="Times New Roman" w:cs="Times New Roman"/>
          <w:sz w:val="28"/>
          <w:szCs w:val="28"/>
        </w:rPr>
        <w:t xml:space="preserve"> ВООЗ, Міжнародної ради медичних </w:t>
      </w:r>
      <w:r>
        <w:rPr>
          <w:rFonts w:ascii="Times New Roman" w:hAnsi="Times New Roman" w:cs="Times New Roman"/>
          <w:sz w:val="28"/>
          <w:szCs w:val="28"/>
        </w:rPr>
        <w:t>наукових товариств, Міжнародному кодексі</w:t>
      </w:r>
      <w:r w:rsidRPr="00E2575E">
        <w:rPr>
          <w:rFonts w:ascii="Times New Roman" w:hAnsi="Times New Roman" w:cs="Times New Roman"/>
          <w:sz w:val="28"/>
          <w:szCs w:val="28"/>
        </w:rPr>
        <w:t xml:space="preserve"> медичної етики (1983 р.), </w:t>
      </w:r>
      <w:r>
        <w:rPr>
          <w:rFonts w:ascii="Times New Roman" w:hAnsi="Times New Roman" w:cs="Times New Roman"/>
          <w:sz w:val="28"/>
          <w:szCs w:val="28"/>
        </w:rPr>
        <w:t>Ґельсінській декларації, прийнятій</w:t>
      </w:r>
      <w:r w:rsidRPr="00E2575E">
        <w:rPr>
          <w:rFonts w:ascii="Times New Roman" w:hAnsi="Times New Roman" w:cs="Times New Roman"/>
          <w:sz w:val="28"/>
          <w:szCs w:val="28"/>
        </w:rPr>
        <w:t xml:space="preserve"> Генеральною асамблеєю Всесвітньої медичної асоціації, Конвенції Ради Європи про права людини та біомедицину (1997 р.), </w:t>
      </w:r>
      <w:r>
        <w:rPr>
          <w:rFonts w:ascii="Times New Roman" w:hAnsi="Times New Roman" w:cs="Times New Roman"/>
          <w:sz w:val="28"/>
          <w:szCs w:val="28"/>
        </w:rPr>
        <w:t>вимогах</w:t>
      </w:r>
      <w:r w:rsidRPr="00E2575E">
        <w:rPr>
          <w:rFonts w:ascii="Times New Roman" w:hAnsi="Times New Roman" w:cs="Times New Roman"/>
          <w:sz w:val="28"/>
          <w:szCs w:val="28"/>
        </w:rPr>
        <w:t xml:space="preserve"> і нормам ICH GSP (2002 р.), типовим положенн</w:t>
      </w:r>
      <w:r>
        <w:rPr>
          <w:rFonts w:ascii="Times New Roman" w:hAnsi="Times New Roman" w:cs="Times New Roman"/>
          <w:sz w:val="28"/>
          <w:szCs w:val="28"/>
        </w:rPr>
        <w:t>ям з питань етики МОЗ України №690 від 23.09.2009</w:t>
      </w:r>
      <w:r w:rsidRPr="00E2575E">
        <w:rPr>
          <w:rFonts w:ascii="Times New Roman" w:hAnsi="Times New Roman" w:cs="Times New Roman"/>
          <w:sz w:val="28"/>
          <w:szCs w:val="28"/>
        </w:rPr>
        <w:t xml:space="preserve"> р.</w:t>
      </w:r>
      <w:r>
        <w:rPr>
          <w:rFonts w:ascii="Times New Roman" w:hAnsi="Times New Roman" w:cs="Times New Roman"/>
          <w:sz w:val="28"/>
          <w:szCs w:val="28"/>
        </w:rPr>
        <w:t xml:space="preserve"> (із змінами внесеними згідно з Наказами МОЗ, редакція від 31.12.2015 р.) та законах України та дозволено комісією з питань етики </w:t>
      </w:r>
      <w:r w:rsidRPr="00D356DB">
        <w:rPr>
          <w:rFonts w:ascii="Times New Roman" w:hAnsi="Times New Roman" w:cs="Times New Roman"/>
          <w:sz w:val="28"/>
          <w:szCs w:val="28"/>
        </w:rPr>
        <w:t>Львівського національного медичного університету імені Данила Галицького</w:t>
      </w:r>
      <w:r>
        <w:rPr>
          <w:rFonts w:ascii="Times New Roman" w:hAnsi="Times New Roman" w:cs="Times New Roman"/>
          <w:sz w:val="28"/>
          <w:szCs w:val="28"/>
        </w:rPr>
        <w:t xml:space="preserve"> (протокол №5 від 25.05.2015 р.).</w:t>
      </w:r>
      <w:r w:rsidRPr="00E2575E">
        <w:rPr>
          <w:rFonts w:ascii="Times New Roman" w:hAnsi="Times New Roman" w:cs="Times New Roman"/>
          <w:sz w:val="28"/>
          <w:szCs w:val="28"/>
        </w:rPr>
        <w:t xml:space="preserve"> </w:t>
      </w:r>
      <w:r>
        <w:rPr>
          <w:rFonts w:ascii="Times New Roman" w:hAnsi="Times New Roman" w:cs="Times New Roman"/>
          <w:sz w:val="28"/>
          <w:szCs w:val="28"/>
        </w:rPr>
        <w:t>У</w:t>
      </w:r>
      <w:r w:rsidRPr="00E2575E">
        <w:rPr>
          <w:rFonts w:ascii="Times New Roman" w:hAnsi="Times New Roman" w:cs="Times New Roman"/>
          <w:sz w:val="28"/>
          <w:szCs w:val="28"/>
        </w:rPr>
        <w:t xml:space="preserve"> кожному конкретному випадку </w:t>
      </w:r>
      <w:r>
        <w:rPr>
          <w:rFonts w:ascii="Times New Roman" w:hAnsi="Times New Roman" w:cs="Times New Roman"/>
          <w:sz w:val="28"/>
          <w:szCs w:val="28"/>
        </w:rPr>
        <w:t>х</w:t>
      </w:r>
      <w:r w:rsidRPr="00E2575E">
        <w:rPr>
          <w:rFonts w:ascii="Times New Roman" w:hAnsi="Times New Roman" w:cs="Times New Roman"/>
          <w:sz w:val="28"/>
          <w:szCs w:val="28"/>
        </w:rPr>
        <w:t xml:space="preserve">ворі або відповідальні особи давали </w:t>
      </w:r>
      <w:r>
        <w:rPr>
          <w:rFonts w:ascii="Times New Roman" w:hAnsi="Times New Roman" w:cs="Times New Roman"/>
          <w:sz w:val="28"/>
          <w:szCs w:val="28"/>
        </w:rPr>
        <w:t>письмову згоду на здійснення оперативного втручання</w:t>
      </w:r>
      <w:r w:rsidRPr="00E2575E">
        <w:rPr>
          <w:rFonts w:ascii="Times New Roman" w:hAnsi="Times New Roman" w:cs="Times New Roman"/>
          <w:sz w:val="28"/>
          <w:szCs w:val="28"/>
        </w:rPr>
        <w:t>.</w:t>
      </w:r>
    </w:p>
    <w:p w:rsidR="0084666C" w:rsidRDefault="00B84AB9" w:rsidP="00B84AB9">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 xml:space="preserve">Діагностично-лікувальні заходи здійснювались </w:t>
      </w:r>
      <w:r w:rsidRPr="009B0604">
        <w:rPr>
          <w:rFonts w:ascii="Times New Roman" w:hAnsi="Times New Roman" w:cs="Times New Roman"/>
          <w:sz w:val="28"/>
          <w:szCs w:val="28"/>
        </w:rPr>
        <w:t>за уніфікованим клінічним протоколом Міністерства охорони здоров’я України, № 554 від 17.09.2007 р.,</w:t>
      </w:r>
      <w:r w:rsidRPr="00044D7A">
        <w:rPr>
          <w:rFonts w:ascii="Times New Roman" w:hAnsi="Times New Roman" w:cs="Times New Roman"/>
          <w:sz w:val="24"/>
          <w:szCs w:val="24"/>
        </w:rPr>
        <w:t xml:space="preserve"> </w:t>
      </w:r>
      <w:r w:rsidRPr="00A678C2">
        <w:rPr>
          <w:rFonts w:ascii="Times New Roman" w:hAnsi="Times New Roman" w:cs="Times New Roman"/>
          <w:sz w:val="28"/>
          <w:szCs w:val="28"/>
        </w:rPr>
        <w:t>та</w:t>
      </w:r>
      <w:r>
        <w:rPr>
          <w:rFonts w:ascii="Times New Roman" w:hAnsi="Times New Roman" w:cs="Times New Roman"/>
          <w:sz w:val="24"/>
          <w:szCs w:val="24"/>
        </w:rPr>
        <w:t xml:space="preserve"> </w:t>
      </w:r>
      <w:r>
        <w:rPr>
          <w:rFonts w:ascii="Times New Roman" w:hAnsi="Times New Roman" w:cs="Times New Roman"/>
          <w:sz w:val="28"/>
        </w:rPr>
        <w:t>у відповідності до наказу Міністерства охорони здоров’я України №247 від 28.03.2016 р. «</w:t>
      </w:r>
      <w:r w:rsidRPr="006C20B2">
        <w:rPr>
          <w:rFonts w:ascii="Times New Roman" w:hAnsi="Times New Roman" w:cs="Times New Roman"/>
          <w:sz w:val="28"/>
        </w:rPr>
        <w:t>Уніфікований клінічний протокол первинної, вторинної (спеціалізованої), третинної (високоспеціалізованої) медичної допомоги</w:t>
      </w:r>
      <w:r>
        <w:rPr>
          <w:rFonts w:ascii="Times New Roman" w:hAnsi="Times New Roman" w:cs="Times New Roman"/>
          <w:sz w:val="28"/>
        </w:rPr>
        <w:t>» та адаптованої клінічної настанови, заснованої на доказах</w:t>
      </w:r>
      <w:r w:rsidRPr="006C20B2">
        <w:rPr>
          <w:rFonts w:ascii="Times New Roman" w:hAnsi="Times New Roman" w:cs="Times New Roman"/>
          <w:sz w:val="28"/>
        </w:rPr>
        <w:t xml:space="preserve"> «Рак нирки».</w:t>
      </w:r>
      <w:r>
        <w:rPr>
          <w:rFonts w:ascii="Times New Roman" w:hAnsi="Times New Roman" w:cs="Times New Roman"/>
          <w:sz w:val="28"/>
        </w:rPr>
        <w:t xml:space="preserve"> </w:t>
      </w:r>
    </w:p>
    <w:p w:rsidR="00B84AB9" w:rsidRDefault="00B84AB9" w:rsidP="0026312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rPr>
        <w:t xml:space="preserve">Стадіювання НКР здійснювалась на основі даних променевих методів обстежень (КТ/МРТ) та згідно міжнародної системи </w:t>
      </w:r>
      <w:r w:rsidRPr="00A01AA7">
        <w:rPr>
          <w:rFonts w:ascii="Times New Roman" w:hAnsi="Times New Roman" w:cs="Times New Roman"/>
          <w:sz w:val="28"/>
          <w:lang w:val="en-US"/>
        </w:rPr>
        <w:t>TNM</w:t>
      </w:r>
      <w:r>
        <w:rPr>
          <w:rFonts w:ascii="Times New Roman" w:hAnsi="Times New Roman" w:cs="Times New Roman"/>
          <w:sz w:val="28"/>
        </w:rPr>
        <w:t xml:space="preserve"> </w:t>
      </w:r>
      <w:r w:rsidRPr="00A01AA7">
        <w:rPr>
          <w:rFonts w:ascii="Times New Roman" w:hAnsi="Times New Roman" w:cs="Times New Roman"/>
          <w:sz w:val="28"/>
          <w:szCs w:val="28"/>
        </w:rPr>
        <w:t>AJCC</w:t>
      </w:r>
      <w:r>
        <w:rPr>
          <w:rFonts w:ascii="Times New Roman" w:hAnsi="Times New Roman" w:cs="Times New Roman"/>
          <w:sz w:val="28"/>
          <w:szCs w:val="28"/>
        </w:rPr>
        <w:t xml:space="preserve"> версії 2017 р. </w:t>
      </w:r>
      <w:r w:rsidRPr="00A01AA7">
        <w:rPr>
          <w:rFonts w:ascii="Times New Roman" w:hAnsi="Times New Roman" w:cs="Times New Roman"/>
          <w:sz w:val="28"/>
          <w:szCs w:val="28"/>
        </w:rPr>
        <w:t>[</w:t>
      </w:r>
      <w:r w:rsidR="001F1B83">
        <w:rPr>
          <w:rFonts w:ascii="Times New Roman" w:hAnsi="Times New Roman" w:cs="Times New Roman"/>
          <w:sz w:val="28"/>
          <w:szCs w:val="28"/>
        </w:rPr>
        <w:t>95</w:t>
      </w:r>
      <w:r w:rsidRPr="00A01AA7">
        <w:rPr>
          <w:rFonts w:ascii="Times New Roman" w:hAnsi="Times New Roman" w:cs="Times New Roman"/>
          <w:sz w:val="28"/>
          <w:szCs w:val="28"/>
        </w:rPr>
        <w:t>]</w:t>
      </w:r>
      <w:r w:rsidR="00263124">
        <w:rPr>
          <w:rFonts w:ascii="Times New Roman" w:hAnsi="Times New Roman" w:cs="Times New Roman"/>
          <w:sz w:val="28"/>
          <w:szCs w:val="28"/>
        </w:rPr>
        <w:t>.</w:t>
      </w:r>
    </w:p>
    <w:p w:rsidR="00B84AB9" w:rsidRPr="00263124" w:rsidRDefault="00B84AB9" w:rsidP="00263124">
      <w:pPr>
        <w:spacing w:line="360" w:lineRule="auto"/>
        <w:ind w:firstLine="708"/>
        <w:jc w:val="both"/>
        <w:rPr>
          <w:rFonts w:ascii="Times New Roman" w:hAnsi="Times New Roman" w:cs="Times New Roman"/>
          <w:sz w:val="28"/>
          <w:szCs w:val="28"/>
        </w:rPr>
      </w:pPr>
      <w:r>
        <w:rPr>
          <w:rFonts w:ascii="Times New Roman" w:hAnsi="Times New Roman" w:cs="Times New Roman"/>
          <w:sz w:val="28"/>
        </w:rPr>
        <w:t xml:space="preserve">Для фіксації, накопичення та збереження даних отриманих під час збору анамнезу, комплексного обстеження, пери-оперативних клінічних показників та післяопераційних результатів лікування, автором була створена електронна база даних на основі програмного забезпечення </w:t>
      </w:r>
      <w:r>
        <w:rPr>
          <w:rFonts w:ascii="Times New Roman" w:hAnsi="Times New Roman" w:cs="Times New Roman"/>
          <w:sz w:val="28"/>
          <w:lang w:val="en-US"/>
        </w:rPr>
        <w:t>Microsoft</w:t>
      </w:r>
      <w:r w:rsidRPr="00732DF5">
        <w:rPr>
          <w:rFonts w:ascii="Times New Roman" w:hAnsi="Times New Roman" w:cs="Times New Roman"/>
          <w:sz w:val="28"/>
        </w:rPr>
        <w:t xml:space="preserve"> </w:t>
      </w:r>
      <w:r>
        <w:rPr>
          <w:rFonts w:ascii="Times New Roman" w:hAnsi="Times New Roman" w:cs="Times New Roman"/>
          <w:sz w:val="28"/>
          <w:lang w:val="en-US"/>
        </w:rPr>
        <w:t>Excel</w:t>
      </w:r>
      <w:r w:rsidRPr="00732DF5">
        <w:rPr>
          <w:rFonts w:ascii="Times New Roman" w:hAnsi="Times New Roman" w:cs="Times New Roman"/>
          <w:sz w:val="28"/>
        </w:rPr>
        <w:t xml:space="preserve"> 2016</w:t>
      </w:r>
      <w:r>
        <w:rPr>
          <w:rFonts w:ascii="Times New Roman" w:hAnsi="Times New Roman" w:cs="Times New Roman"/>
          <w:sz w:val="28"/>
        </w:rPr>
        <w:t>, куди вносилась уся необхідна інформація.</w:t>
      </w:r>
      <w:r w:rsidRPr="00460727">
        <w:rPr>
          <w:rFonts w:ascii="Times New Roman" w:hAnsi="Times New Roman" w:cs="Times New Roman"/>
          <w:sz w:val="28"/>
          <w:szCs w:val="28"/>
        </w:rPr>
        <w:t xml:space="preserve"> Усі прилади в процесі виконання дослідження пройшли метрологічну перевірку.</w:t>
      </w:r>
    </w:p>
    <w:p w:rsidR="00B84AB9" w:rsidRDefault="00B84AB9" w:rsidP="00B84AB9">
      <w:pPr>
        <w:spacing w:line="360" w:lineRule="auto"/>
        <w:contextualSpacing/>
        <w:rPr>
          <w:rFonts w:ascii="Times New Roman" w:hAnsi="Times New Roman"/>
          <w:b/>
          <w:sz w:val="28"/>
          <w:szCs w:val="28"/>
        </w:rPr>
      </w:pPr>
      <w:r w:rsidRPr="00F928C8">
        <w:rPr>
          <w:rFonts w:ascii="Times New Roman" w:hAnsi="Times New Roman" w:cs="Times New Roman"/>
          <w:b/>
          <w:sz w:val="28"/>
        </w:rPr>
        <w:lastRenderedPageBreak/>
        <w:t xml:space="preserve">2.1. </w:t>
      </w:r>
      <w:r w:rsidRPr="00F928C8">
        <w:rPr>
          <w:rFonts w:ascii="Times New Roman" w:hAnsi="Times New Roman"/>
          <w:b/>
          <w:sz w:val="28"/>
          <w:szCs w:val="28"/>
        </w:rPr>
        <w:t>Загальна характеристика матеріалу</w:t>
      </w:r>
    </w:p>
    <w:p w:rsidR="00B84AB9" w:rsidRDefault="00B84AB9" w:rsidP="00B84AB9">
      <w:pPr>
        <w:spacing w:line="360" w:lineRule="auto"/>
        <w:ind w:firstLine="708"/>
        <w:contextualSpacing/>
        <w:jc w:val="both"/>
        <w:rPr>
          <w:rFonts w:ascii="Times New Roman" w:hAnsi="Times New Roman"/>
          <w:sz w:val="28"/>
          <w:szCs w:val="28"/>
        </w:rPr>
      </w:pPr>
    </w:p>
    <w:p w:rsidR="0084666C" w:rsidRPr="000417A3" w:rsidRDefault="00B84AB9" w:rsidP="0084666C">
      <w:pPr>
        <w:spacing w:line="360" w:lineRule="auto"/>
        <w:ind w:firstLine="708"/>
        <w:contextualSpacing/>
        <w:jc w:val="both"/>
        <w:rPr>
          <w:rFonts w:ascii="Times New Roman" w:hAnsi="Times New Roman" w:cs="Times New Roman"/>
          <w:sz w:val="28"/>
        </w:rPr>
      </w:pPr>
      <w:r>
        <w:rPr>
          <w:rFonts w:ascii="Times New Roman" w:hAnsi="Times New Roman"/>
          <w:sz w:val="28"/>
          <w:szCs w:val="28"/>
        </w:rPr>
        <w:t xml:space="preserve">Загальну характеристику досліджуваних хворих із пухлинами нирок </w:t>
      </w:r>
      <w:r w:rsidR="00544220">
        <w:rPr>
          <w:rFonts w:ascii="Times New Roman" w:hAnsi="Times New Roman"/>
          <w:sz w:val="28"/>
          <w:szCs w:val="28"/>
        </w:rPr>
        <w:t>наведено у таблиці 2.1</w:t>
      </w:r>
      <w:r>
        <w:rPr>
          <w:rFonts w:ascii="Times New Roman" w:hAnsi="Times New Roman"/>
          <w:sz w:val="28"/>
          <w:szCs w:val="28"/>
        </w:rPr>
        <w:t>.</w:t>
      </w:r>
      <w:r w:rsidRPr="00F928C8">
        <w:rPr>
          <w:rFonts w:ascii="Times New Roman" w:hAnsi="Times New Roman" w:cs="Times New Roman"/>
          <w:sz w:val="28"/>
        </w:rPr>
        <w:t xml:space="preserve"> </w:t>
      </w:r>
      <w:r w:rsidR="0084666C" w:rsidRPr="000417A3">
        <w:rPr>
          <w:rFonts w:ascii="Times New Roman" w:hAnsi="Times New Roman" w:cs="Times New Roman"/>
          <w:sz w:val="28"/>
        </w:rPr>
        <w:t>Я</w:t>
      </w:r>
      <w:r w:rsidR="0084666C">
        <w:rPr>
          <w:rFonts w:ascii="Times New Roman" w:hAnsi="Times New Roman" w:cs="Times New Roman"/>
          <w:sz w:val="28"/>
        </w:rPr>
        <w:t xml:space="preserve">к випливає із наведених даних, співвідношення чоловіків та жінок із НКР було 2,11:1, що в цілому відповідає загальносвітовим епідеміологічним тенденціям. </w:t>
      </w:r>
    </w:p>
    <w:p w:rsidR="003E3164" w:rsidRDefault="003E3164" w:rsidP="0084666C">
      <w:pPr>
        <w:spacing w:line="360" w:lineRule="auto"/>
        <w:contextualSpacing/>
        <w:jc w:val="both"/>
        <w:rPr>
          <w:rFonts w:ascii="Times New Roman" w:hAnsi="Times New Roman" w:cs="Times New Roman"/>
          <w:sz w:val="28"/>
        </w:rPr>
      </w:pPr>
    </w:p>
    <w:p w:rsidR="00B84AB9" w:rsidRDefault="00544220" w:rsidP="00B84AB9">
      <w:pPr>
        <w:spacing w:line="360" w:lineRule="auto"/>
        <w:contextualSpacing/>
        <w:jc w:val="right"/>
        <w:rPr>
          <w:rFonts w:ascii="Times New Roman" w:hAnsi="Times New Roman" w:cs="Times New Roman"/>
          <w:sz w:val="28"/>
        </w:rPr>
      </w:pPr>
      <w:r>
        <w:rPr>
          <w:rFonts w:ascii="Times New Roman" w:hAnsi="Times New Roman" w:cs="Times New Roman"/>
          <w:sz w:val="28"/>
        </w:rPr>
        <w:t>Таблиця 2.1</w:t>
      </w:r>
    </w:p>
    <w:p w:rsidR="00B84AB9" w:rsidRDefault="00B84AB9" w:rsidP="00B84AB9">
      <w:pPr>
        <w:spacing w:line="360" w:lineRule="auto"/>
        <w:contextualSpacing/>
        <w:jc w:val="center"/>
        <w:rPr>
          <w:rFonts w:ascii="Times New Roman" w:hAnsi="Times New Roman" w:cs="Times New Roman"/>
          <w:sz w:val="28"/>
        </w:rPr>
      </w:pPr>
      <w:r>
        <w:rPr>
          <w:rFonts w:ascii="Times New Roman" w:hAnsi="Times New Roman" w:cs="Times New Roman"/>
          <w:sz w:val="28"/>
        </w:rPr>
        <w:t>Загальна характеристика досліджуваних хворих із пухлинами нирок</w:t>
      </w:r>
    </w:p>
    <w:tbl>
      <w:tblPr>
        <w:tblStyle w:val="TableGrid"/>
        <w:tblW w:w="0" w:type="auto"/>
        <w:tblLook w:val="04A0" w:firstRow="1" w:lastRow="0" w:firstColumn="1" w:lastColumn="0" w:noHBand="0" w:noVBand="1"/>
      </w:tblPr>
      <w:tblGrid>
        <w:gridCol w:w="6799"/>
        <w:gridCol w:w="2545"/>
      </w:tblGrid>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b/>
                <w:sz w:val="28"/>
                <w:szCs w:val="28"/>
              </w:rPr>
            </w:pPr>
            <w:r w:rsidRPr="00EF1350">
              <w:rPr>
                <w:rFonts w:ascii="Times New Roman" w:hAnsi="Times New Roman" w:cs="Times New Roman"/>
                <w:b/>
                <w:sz w:val="28"/>
                <w:szCs w:val="28"/>
              </w:rPr>
              <w:t>Тип пухлини/характеристика</w:t>
            </w:r>
          </w:p>
        </w:tc>
        <w:tc>
          <w:tcPr>
            <w:tcW w:w="2545" w:type="dxa"/>
          </w:tcPr>
          <w:p w:rsidR="00B84AB9" w:rsidRPr="008357D6" w:rsidRDefault="00B84AB9" w:rsidP="001F0C51">
            <w:pPr>
              <w:spacing w:line="276" w:lineRule="auto"/>
              <w:jc w:val="both"/>
              <w:rPr>
                <w:rFonts w:ascii="Times New Roman" w:hAnsi="Times New Roman" w:cs="Times New Roman"/>
                <w:b/>
                <w:sz w:val="28"/>
                <w:szCs w:val="28"/>
              </w:rPr>
            </w:pPr>
            <w:r w:rsidRPr="008357D6">
              <w:rPr>
                <w:rFonts w:ascii="Times New Roman" w:hAnsi="Times New Roman" w:cs="Times New Roman"/>
                <w:b/>
                <w:sz w:val="28"/>
                <w:szCs w:val="28"/>
              </w:rPr>
              <w:t>Показник</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b/>
                <w:sz w:val="28"/>
                <w:szCs w:val="28"/>
              </w:rPr>
            </w:pPr>
            <w:r w:rsidRPr="00EF1350">
              <w:rPr>
                <w:rFonts w:ascii="Times New Roman" w:hAnsi="Times New Roman" w:cs="Times New Roman"/>
                <w:b/>
                <w:sz w:val="28"/>
                <w:szCs w:val="28"/>
              </w:rPr>
              <w:t>Солідний НКР</w:t>
            </w:r>
          </w:p>
        </w:tc>
        <w:tc>
          <w:tcPr>
            <w:tcW w:w="2545" w:type="dxa"/>
          </w:tcPr>
          <w:p w:rsidR="00B84AB9" w:rsidRPr="009B6BF8"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n=423</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вік</w:t>
            </w:r>
          </w:p>
        </w:tc>
        <w:tc>
          <w:tcPr>
            <w:tcW w:w="2545" w:type="dxa"/>
          </w:tcPr>
          <w:p w:rsidR="00B84AB9" w:rsidRPr="008357D6" w:rsidRDefault="00B84AB9" w:rsidP="001F0C51">
            <w:pPr>
              <w:rPr>
                <w:rFonts w:ascii="Times New Roman" w:hAnsi="Times New Roman" w:cs="Times New Roman"/>
                <w:sz w:val="28"/>
                <w:szCs w:val="28"/>
              </w:rPr>
            </w:pPr>
            <w:r>
              <w:rPr>
                <w:rFonts w:ascii="Times New Roman" w:hAnsi="Times New Roman" w:cs="Times New Roman"/>
                <w:sz w:val="28"/>
                <w:szCs w:val="28"/>
              </w:rPr>
              <w:t>59,34±6,11</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Чоловіки</w:t>
            </w:r>
          </w:p>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Жінки</w:t>
            </w:r>
          </w:p>
        </w:tc>
        <w:tc>
          <w:tcPr>
            <w:tcW w:w="2545" w:type="dxa"/>
          </w:tcPr>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287 (67,85%)</w:t>
            </w:r>
          </w:p>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136 (32,15%)</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розмір пухлини</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6,43±3,83</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b/>
                <w:sz w:val="28"/>
                <w:szCs w:val="28"/>
              </w:rPr>
            </w:pPr>
            <w:r w:rsidRPr="00EF1350">
              <w:rPr>
                <w:rFonts w:ascii="Times New Roman" w:hAnsi="Times New Roman" w:cs="Times New Roman"/>
                <w:b/>
                <w:sz w:val="28"/>
                <w:szCs w:val="28"/>
              </w:rPr>
              <w:t>Кістозний НКР</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n=142</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вік</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57,45±9,64</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Чоловіки</w:t>
            </w:r>
          </w:p>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Жінки</w:t>
            </w:r>
          </w:p>
        </w:tc>
        <w:tc>
          <w:tcPr>
            <w:tcW w:w="2545" w:type="dxa"/>
          </w:tcPr>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95 (66,90%)</w:t>
            </w:r>
          </w:p>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47 (33,10%)</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розмір пухлини</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5,35±3,81</w:t>
            </w:r>
          </w:p>
        </w:tc>
      </w:tr>
      <w:tr w:rsidR="00B84AB9" w:rsidRPr="008357D6" w:rsidTr="001F0C51">
        <w:tc>
          <w:tcPr>
            <w:tcW w:w="6799" w:type="dxa"/>
          </w:tcPr>
          <w:p w:rsidR="00B84AB9" w:rsidRPr="00EF1350" w:rsidRDefault="00B84AB9" w:rsidP="001F0C51">
            <w:pPr>
              <w:spacing w:line="276" w:lineRule="auto"/>
              <w:rPr>
                <w:rFonts w:ascii="Times New Roman" w:hAnsi="Times New Roman" w:cs="Times New Roman"/>
                <w:b/>
                <w:sz w:val="28"/>
                <w:szCs w:val="28"/>
              </w:rPr>
            </w:pPr>
            <w:r w:rsidRPr="00EF1350">
              <w:rPr>
                <w:rFonts w:ascii="Times New Roman" w:hAnsi="Times New Roman" w:cs="Times New Roman"/>
                <w:b/>
                <w:sz w:val="28"/>
                <w:szCs w:val="28"/>
              </w:rPr>
              <w:t>Перехідно-клітинна карцинома ниркової миски</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n=45</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вік</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56,33±9,46</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Чоловіки</w:t>
            </w:r>
          </w:p>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Жінки</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28 (62,22%)</w:t>
            </w:r>
          </w:p>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17 (37,78%)</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розмір пухлини</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Pr>
                <w:rFonts w:ascii="Times New Roman" w:hAnsi="Times New Roman"/>
                <w:sz w:val="28"/>
                <w:szCs w:val="28"/>
              </w:rPr>
              <w:t>4,34</w:t>
            </w:r>
            <w:r w:rsidRPr="00FC5277">
              <w:rPr>
                <w:rFonts w:ascii="Times New Roman" w:hAnsi="Times New Roman"/>
                <w:sz w:val="28"/>
                <w:szCs w:val="28"/>
              </w:rPr>
              <w:sym w:font="Symbol" w:char="F0B1"/>
            </w:r>
            <w:r>
              <w:rPr>
                <w:rFonts w:ascii="Times New Roman" w:hAnsi="Times New Roman"/>
                <w:sz w:val="28"/>
                <w:szCs w:val="28"/>
              </w:rPr>
              <w:t>2,48</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b/>
                <w:sz w:val="28"/>
                <w:szCs w:val="28"/>
              </w:rPr>
            </w:pPr>
            <w:r w:rsidRPr="00EF1350">
              <w:rPr>
                <w:rFonts w:ascii="Times New Roman" w:hAnsi="Times New Roman" w:cs="Times New Roman"/>
                <w:b/>
                <w:sz w:val="28"/>
                <w:szCs w:val="28"/>
              </w:rPr>
              <w:t>Доброякісні солідні пухлини нирки</w:t>
            </w:r>
          </w:p>
        </w:tc>
        <w:tc>
          <w:tcPr>
            <w:tcW w:w="2545" w:type="dxa"/>
          </w:tcPr>
          <w:p w:rsidR="00B84AB9" w:rsidRPr="008357D6"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n=87</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вік</w:t>
            </w:r>
          </w:p>
        </w:tc>
        <w:tc>
          <w:tcPr>
            <w:tcW w:w="2545" w:type="dxa"/>
          </w:tcPr>
          <w:p w:rsidR="00B84AB9" w:rsidRDefault="00B84AB9" w:rsidP="001F0C51">
            <w:pPr>
              <w:rPr>
                <w:rFonts w:ascii="Times New Roman" w:hAnsi="Times New Roman" w:cs="Times New Roman"/>
                <w:sz w:val="28"/>
                <w:szCs w:val="28"/>
              </w:rPr>
            </w:pPr>
            <w:r>
              <w:rPr>
                <w:rFonts w:ascii="Times New Roman" w:hAnsi="Times New Roman" w:cs="Times New Roman"/>
                <w:sz w:val="28"/>
                <w:szCs w:val="28"/>
              </w:rPr>
              <w:t>56,45±7,8</w:t>
            </w:r>
            <w:r w:rsidRPr="00CB3FB6">
              <w:rPr>
                <w:rFonts w:ascii="Times New Roman" w:hAnsi="Times New Roman" w:cs="Times New Roman"/>
                <w:sz w:val="28"/>
                <w:szCs w:val="28"/>
              </w:rPr>
              <w:t>1</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Чоловіки</w:t>
            </w:r>
          </w:p>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Жінки</w:t>
            </w:r>
          </w:p>
        </w:tc>
        <w:tc>
          <w:tcPr>
            <w:tcW w:w="2545" w:type="dxa"/>
          </w:tcPr>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39 (44,83%)</w:t>
            </w:r>
          </w:p>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48 (55,17%)</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розмір пухлини</w:t>
            </w:r>
          </w:p>
        </w:tc>
        <w:tc>
          <w:tcPr>
            <w:tcW w:w="2545" w:type="dxa"/>
          </w:tcPr>
          <w:p w:rsidR="00B84AB9" w:rsidRDefault="00B84AB9" w:rsidP="001F0C51">
            <w:pPr>
              <w:spacing w:line="276" w:lineRule="auto"/>
              <w:jc w:val="both"/>
              <w:rPr>
                <w:rFonts w:ascii="Times New Roman" w:hAnsi="Times New Roman" w:cs="Times New Roman"/>
                <w:sz w:val="28"/>
                <w:szCs w:val="28"/>
              </w:rPr>
            </w:pPr>
            <w:r>
              <w:rPr>
                <w:rFonts w:ascii="Times New Roman" w:hAnsi="Times New Roman"/>
                <w:sz w:val="28"/>
                <w:szCs w:val="28"/>
              </w:rPr>
              <w:t>4,89</w:t>
            </w:r>
            <w:r w:rsidRPr="00FC5277">
              <w:rPr>
                <w:rFonts w:ascii="Times New Roman" w:hAnsi="Times New Roman"/>
                <w:sz w:val="28"/>
                <w:szCs w:val="28"/>
              </w:rPr>
              <w:sym w:font="Symbol" w:char="F0B1"/>
            </w:r>
            <w:r>
              <w:rPr>
                <w:rFonts w:ascii="Times New Roman" w:hAnsi="Times New Roman"/>
                <w:sz w:val="28"/>
                <w:szCs w:val="28"/>
              </w:rPr>
              <w:t>2,71</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b/>
                <w:sz w:val="28"/>
                <w:szCs w:val="28"/>
              </w:rPr>
            </w:pPr>
            <w:r w:rsidRPr="00EF1350">
              <w:rPr>
                <w:rFonts w:ascii="Times New Roman" w:hAnsi="Times New Roman" w:cs="Times New Roman"/>
                <w:b/>
                <w:sz w:val="28"/>
                <w:szCs w:val="28"/>
              </w:rPr>
              <w:t>Доброякісні кісти нирок</w:t>
            </w:r>
          </w:p>
        </w:tc>
        <w:tc>
          <w:tcPr>
            <w:tcW w:w="2545" w:type="dxa"/>
          </w:tcPr>
          <w:p w:rsidR="00B84AB9"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n=166</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вік</w:t>
            </w:r>
          </w:p>
        </w:tc>
        <w:tc>
          <w:tcPr>
            <w:tcW w:w="2545" w:type="dxa"/>
          </w:tcPr>
          <w:p w:rsidR="00B84AB9" w:rsidRPr="00F00266" w:rsidRDefault="00B84AB9"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43,56±7,56</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Чоловіки</w:t>
            </w:r>
          </w:p>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Жінки</w:t>
            </w:r>
          </w:p>
        </w:tc>
        <w:tc>
          <w:tcPr>
            <w:tcW w:w="2545" w:type="dxa"/>
          </w:tcPr>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80 (48,19%)</w:t>
            </w:r>
          </w:p>
          <w:p w:rsidR="00B84AB9" w:rsidRPr="00A05641" w:rsidRDefault="00B84AB9" w:rsidP="001F0C51">
            <w:pPr>
              <w:spacing w:line="276" w:lineRule="auto"/>
              <w:jc w:val="both"/>
              <w:rPr>
                <w:rFonts w:ascii="Times New Roman" w:hAnsi="Times New Roman" w:cs="Times New Roman"/>
                <w:sz w:val="28"/>
                <w:szCs w:val="28"/>
              </w:rPr>
            </w:pPr>
            <w:r w:rsidRPr="008357D6">
              <w:rPr>
                <w:rFonts w:ascii="Times New Roman" w:hAnsi="Times New Roman" w:cs="Times New Roman"/>
                <w:sz w:val="28"/>
                <w:szCs w:val="28"/>
              </w:rPr>
              <w:t>n=</w:t>
            </w:r>
            <w:r>
              <w:rPr>
                <w:rFonts w:ascii="Times New Roman" w:hAnsi="Times New Roman" w:cs="Times New Roman"/>
                <w:sz w:val="28"/>
                <w:szCs w:val="28"/>
              </w:rPr>
              <w:t>86 (51,81%)</w:t>
            </w:r>
          </w:p>
        </w:tc>
      </w:tr>
      <w:tr w:rsidR="00B84AB9" w:rsidRPr="008357D6" w:rsidTr="001F0C51">
        <w:tc>
          <w:tcPr>
            <w:tcW w:w="6799" w:type="dxa"/>
          </w:tcPr>
          <w:p w:rsidR="00B84AB9" w:rsidRPr="00EF1350" w:rsidRDefault="00B84AB9" w:rsidP="001F0C51">
            <w:pPr>
              <w:spacing w:line="276" w:lineRule="auto"/>
              <w:jc w:val="both"/>
              <w:rPr>
                <w:rFonts w:ascii="Times New Roman" w:hAnsi="Times New Roman" w:cs="Times New Roman"/>
                <w:sz w:val="28"/>
                <w:szCs w:val="28"/>
              </w:rPr>
            </w:pPr>
            <w:r w:rsidRPr="00EF1350">
              <w:rPr>
                <w:rFonts w:ascii="Times New Roman" w:hAnsi="Times New Roman" w:cs="Times New Roman"/>
                <w:sz w:val="28"/>
                <w:szCs w:val="28"/>
              </w:rPr>
              <w:t>Середній розмір пухлини</w:t>
            </w:r>
          </w:p>
        </w:tc>
        <w:tc>
          <w:tcPr>
            <w:tcW w:w="2545" w:type="dxa"/>
          </w:tcPr>
          <w:p w:rsidR="00B84AB9" w:rsidRPr="00F00266" w:rsidRDefault="00B84AB9" w:rsidP="001F0C51">
            <w:pPr>
              <w:spacing w:line="276" w:lineRule="auto"/>
              <w:rPr>
                <w:rFonts w:ascii="Times New Roman" w:hAnsi="Times New Roman" w:cs="Times New Roman"/>
                <w:sz w:val="28"/>
                <w:szCs w:val="28"/>
              </w:rPr>
            </w:pPr>
            <w:r>
              <w:rPr>
                <w:rFonts w:ascii="Times New Roman" w:hAnsi="Times New Roman" w:cs="Times New Roman"/>
                <w:sz w:val="28"/>
                <w:szCs w:val="28"/>
              </w:rPr>
              <w:t>4,17±2,83</w:t>
            </w:r>
          </w:p>
        </w:tc>
      </w:tr>
    </w:tbl>
    <w:p w:rsidR="00B84AB9" w:rsidRDefault="00B84AB9" w:rsidP="00B84AB9">
      <w:pPr>
        <w:spacing w:line="360" w:lineRule="auto"/>
        <w:contextualSpacing/>
        <w:rPr>
          <w:rFonts w:ascii="Times New Roman" w:hAnsi="Times New Roman" w:cs="Times New Roman"/>
          <w:b/>
          <w:sz w:val="28"/>
        </w:rPr>
      </w:pPr>
      <w:r w:rsidRPr="00500106">
        <w:rPr>
          <w:rFonts w:ascii="Times New Roman" w:hAnsi="Times New Roman" w:cs="Times New Roman"/>
          <w:b/>
          <w:sz w:val="28"/>
        </w:rPr>
        <w:lastRenderedPageBreak/>
        <w:t xml:space="preserve">2.2. </w:t>
      </w:r>
      <w:r w:rsidRPr="00562753">
        <w:rPr>
          <w:rFonts w:ascii="Times New Roman" w:hAnsi="Times New Roman" w:cs="Times New Roman"/>
          <w:b/>
          <w:sz w:val="28"/>
        </w:rPr>
        <w:t>Характеристика методів обстеження досліджуваних хворих</w:t>
      </w:r>
    </w:p>
    <w:p w:rsidR="00B84AB9" w:rsidRPr="00500106" w:rsidRDefault="00B84AB9" w:rsidP="00B84AB9">
      <w:pPr>
        <w:spacing w:line="360" w:lineRule="auto"/>
        <w:contextualSpacing/>
        <w:rPr>
          <w:rFonts w:ascii="Times New Roman" w:hAnsi="Times New Roman" w:cs="Times New Roman"/>
          <w:b/>
          <w:sz w:val="28"/>
        </w:rPr>
      </w:pPr>
    </w:p>
    <w:p w:rsidR="00B84AB9" w:rsidRPr="0084666C" w:rsidRDefault="00B84AB9" w:rsidP="0084666C">
      <w:pPr>
        <w:spacing w:after="0" w:line="360" w:lineRule="auto"/>
        <w:ind w:firstLine="720"/>
        <w:jc w:val="both"/>
        <w:rPr>
          <w:rFonts w:ascii="Times New Roman" w:hAnsi="Times New Roman"/>
          <w:sz w:val="28"/>
          <w:szCs w:val="28"/>
        </w:rPr>
      </w:pPr>
      <w:r w:rsidRPr="00045C13">
        <w:rPr>
          <w:rFonts w:ascii="Times New Roman" w:hAnsi="Times New Roman"/>
          <w:sz w:val="28"/>
          <w:szCs w:val="28"/>
        </w:rPr>
        <w:t>Усім хворим п</w:t>
      </w:r>
      <w:r>
        <w:rPr>
          <w:rFonts w:ascii="Times New Roman" w:hAnsi="Times New Roman"/>
          <w:sz w:val="28"/>
          <w:szCs w:val="28"/>
        </w:rPr>
        <w:t xml:space="preserve">роводили комплексне обстеження. </w:t>
      </w:r>
      <w:r>
        <w:rPr>
          <w:rFonts w:ascii="Times New Roman" w:hAnsi="Times New Roman" w:cs="Times New Roman"/>
          <w:sz w:val="28"/>
          <w:szCs w:val="28"/>
        </w:rPr>
        <w:t>Об’єктивізація загального стану хворих із НКР здійснювалась за допомогою Ш</w:t>
      </w:r>
      <w:r w:rsidRPr="00260BAB">
        <w:rPr>
          <w:rFonts w:ascii="Times New Roman" w:hAnsi="Times New Roman" w:cs="Times New Roman"/>
          <w:sz w:val="28"/>
          <w:szCs w:val="28"/>
        </w:rPr>
        <w:t xml:space="preserve">кали </w:t>
      </w:r>
      <w:r>
        <w:rPr>
          <w:rFonts w:ascii="Times New Roman" w:hAnsi="Times New Roman" w:cs="Times New Roman"/>
          <w:sz w:val="28"/>
          <w:szCs w:val="28"/>
        </w:rPr>
        <w:t>індексації дієздатност</w:t>
      </w:r>
      <w:r w:rsidR="00263124">
        <w:rPr>
          <w:rFonts w:ascii="Times New Roman" w:hAnsi="Times New Roman" w:cs="Times New Roman"/>
          <w:sz w:val="28"/>
          <w:szCs w:val="28"/>
        </w:rPr>
        <w:t xml:space="preserve">і Karnofsky </w:t>
      </w:r>
      <w:r w:rsidRPr="008308C1">
        <w:rPr>
          <w:rFonts w:ascii="Times New Roman" w:hAnsi="Times New Roman" w:cs="Times New Roman"/>
          <w:sz w:val="28"/>
          <w:szCs w:val="28"/>
        </w:rPr>
        <w:t>[</w:t>
      </w:r>
      <w:r w:rsidR="001F1B83">
        <w:rPr>
          <w:rFonts w:ascii="Times New Roman" w:eastAsia="Times New Roman" w:hAnsi="Times New Roman" w:cs="Times New Roman"/>
          <w:sz w:val="28"/>
          <w:szCs w:val="28"/>
          <w:lang w:eastAsia="uk-UA"/>
        </w:rPr>
        <w:t>344</w:t>
      </w:r>
      <w:r w:rsidRPr="008308C1">
        <w:rPr>
          <w:rFonts w:ascii="Times New Roman" w:hAnsi="Times New Roman" w:cs="Times New Roman"/>
          <w:sz w:val="28"/>
          <w:szCs w:val="28"/>
        </w:rPr>
        <w:t>]</w:t>
      </w:r>
      <w:r>
        <w:rPr>
          <w:rFonts w:ascii="Times New Roman" w:hAnsi="Times New Roman" w:cs="Times New Roman"/>
          <w:sz w:val="28"/>
          <w:szCs w:val="28"/>
        </w:rPr>
        <w:t>.</w:t>
      </w:r>
    </w:p>
    <w:p w:rsidR="00263124" w:rsidRDefault="00263124" w:rsidP="00B84AB9">
      <w:pPr>
        <w:spacing w:line="360" w:lineRule="auto"/>
        <w:contextualSpacing/>
        <w:rPr>
          <w:rFonts w:ascii="Times New Roman" w:hAnsi="Times New Roman" w:cs="Times New Roman"/>
          <w:sz w:val="28"/>
        </w:rPr>
      </w:pPr>
    </w:p>
    <w:p w:rsidR="00B84AB9" w:rsidRDefault="00B84AB9" w:rsidP="00B84AB9">
      <w:pPr>
        <w:spacing w:line="360" w:lineRule="auto"/>
        <w:contextualSpacing/>
        <w:rPr>
          <w:rFonts w:ascii="Times New Roman" w:hAnsi="Times New Roman" w:cs="Times New Roman"/>
          <w:sz w:val="28"/>
        </w:rPr>
      </w:pPr>
      <w:r>
        <w:rPr>
          <w:rFonts w:ascii="Times New Roman" w:hAnsi="Times New Roman" w:cs="Times New Roman"/>
          <w:sz w:val="28"/>
        </w:rPr>
        <w:tab/>
        <w:t>2.2</w:t>
      </w:r>
      <w:r w:rsidRPr="00EA0B12">
        <w:rPr>
          <w:rFonts w:ascii="Times New Roman" w:hAnsi="Times New Roman" w:cs="Times New Roman"/>
          <w:sz w:val="28"/>
        </w:rPr>
        <w:t>.1. Лабораторні методи дослідження</w:t>
      </w:r>
    </w:p>
    <w:p w:rsidR="00B84AB9" w:rsidRPr="00045C13" w:rsidRDefault="00B84AB9" w:rsidP="00B84AB9">
      <w:pPr>
        <w:spacing w:after="0" w:line="360" w:lineRule="auto"/>
        <w:ind w:firstLine="720"/>
        <w:jc w:val="both"/>
        <w:rPr>
          <w:rFonts w:ascii="Times New Roman" w:hAnsi="Times New Roman"/>
          <w:sz w:val="28"/>
          <w:szCs w:val="28"/>
        </w:rPr>
      </w:pPr>
      <w:r w:rsidRPr="00045C13">
        <w:rPr>
          <w:rFonts w:ascii="Times New Roman" w:hAnsi="Times New Roman"/>
          <w:sz w:val="28"/>
          <w:szCs w:val="28"/>
        </w:rPr>
        <w:t xml:space="preserve">Загально-клінічні дослідження включали визначення таких показників: у </w:t>
      </w:r>
      <w:r>
        <w:rPr>
          <w:rFonts w:ascii="Times New Roman" w:hAnsi="Times New Roman"/>
          <w:sz w:val="28"/>
          <w:szCs w:val="28"/>
        </w:rPr>
        <w:t xml:space="preserve">загальному аналізі </w:t>
      </w:r>
      <w:r w:rsidRPr="00045C13">
        <w:rPr>
          <w:rFonts w:ascii="Times New Roman" w:hAnsi="Times New Roman"/>
          <w:sz w:val="28"/>
          <w:szCs w:val="28"/>
        </w:rPr>
        <w:t xml:space="preserve">крові – рівня лейкоцитів, еритроцитів, гемоглобіну, лейкоцитарної формули, кількості тромбоцитів, ШОЕ; </w:t>
      </w:r>
      <w:r>
        <w:rPr>
          <w:rFonts w:ascii="Times New Roman" w:hAnsi="Times New Roman"/>
          <w:sz w:val="28"/>
          <w:szCs w:val="28"/>
        </w:rPr>
        <w:t xml:space="preserve">загальний аналіз крові на цукор; </w:t>
      </w:r>
      <w:r w:rsidRPr="00045C13">
        <w:rPr>
          <w:rFonts w:ascii="Times New Roman" w:hAnsi="Times New Roman"/>
          <w:sz w:val="28"/>
          <w:szCs w:val="28"/>
        </w:rPr>
        <w:t>у</w:t>
      </w:r>
      <w:r>
        <w:rPr>
          <w:rFonts w:ascii="Times New Roman" w:hAnsi="Times New Roman"/>
          <w:sz w:val="28"/>
          <w:szCs w:val="28"/>
        </w:rPr>
        <w:t xml:space="preserve"> загальному аналізі</w:t>
      </w:r>
      <w:r w:rsidRPr="00045C13">
        <w:rPr>
          <w:rFonts w:ascii="Times New Roman" w:hAnsi="Times New Roman"/>
          <w:sz w:val="28"/>
          <w:szCs w:val="28"/>
        </w:rPr>
        <w:t xml:space="preserve"> сеч</w:t>
      </w:r>
      <w:r w:rsidR="00BC2EB1">
        <w:rPr>
          <w:rFonts w:ascii="Times New Roman" w:hAnsi="Times New Roman"/>
          <w:sz w:val="28"/>
          <w:szCs w:val="28"/>
        </w:rPr>
        <w:t>і – питомої ваги, рН, наявності</w:t>
      </w:r>
      <w:r w:rsidRPr="00045C13">
        <w:rPr>
          <w:rFonts w:ascii="Times New Roman" w:hAnsi="Times New Roman"/>
          <w:sz w:val="28"/>
          <w:szCs w:val="28"/>
        </w:rPr>
        <w:t xml:space="preserve"> білка, лейкоцитів, еритроцитів, епітеліальних клітин, бактеріурії та інших патологічних домішок</w:t>
      </w:r>
      <w:r>
        <w:rPr>
          <w:rFonts w:ascii="Times New Roman" w:hAnsi="Times New Roman"/>
          <w:sz w:val="28"/>
          <w:szCs w:val="28"/>
        </w:rPr>
        <w:t xml:space="preserve">; у біохімічному аналізі крові – білкові фракції, рівні сечовини, креатиніну, глюкози, білірубіну та електролітів </w:t>
      </w:r>
      <w:r>
        <w:rPr>
          <w:rFonts w:ascii="Times New Roman" w:hAnsi="Times New Roman"/>
          <w:sz w:val="28"/>
          <w:szCs w:val="28"/>
          <w:lang w:val="en-US"/>
        </w:rPr>
        <w:t>K</w:t>
      </w:r>
      <w:r w:rsidRPr="00045C13">
        <w:rPr>
          <w:rFonts w:ascii="Times New Roman" w:hAnsi="Times New Roman"/>
          <w:sz w:val="28"/>
          <w:szCs w:val="28"/>
          <w:vertAlign w:val="superscript"/>
        </w:rPr>
        <w:t>+</w:t>
      </w:r>
      <w:r>
        <w:rPr>
          <w:rFonts w:ascii="Times New Roman" w:hAnsi="Times New Roman"/>
          <w:sz w:val="28"/>
          <w:szCs w:val="28"/>
        </w:rPr>
        <w:t>, Na</w:t>
      </w:r>
      <w:r w:rsidRPr="00045C13">
        <w:rPr>
          <w:rFonts w:ascii="Times New Roman" w:hAnsi="Times New Roman"/>
          <w:sz w:val="28"/>
          <w:szCs w:val="28"/>
          <w:vertAlign w:val="superscript"/>
        </w:rPr>
        <w:t>+</w:t>
      </w:r>
      <w:r>
        <w:rPr>
          <w:rFonts w:ascii="Times New Roman" w:hAnsi="Times New Roman"/>
          <w:sz w:val="28"/>
          <w:szCs w:val="28"/>
        </w:rPr>
        <w:t>, Ca2</w:t>
      </w:r>
      <w:r w:rsidRPr="00045C13">
        <w:rPr>
          <w:rFonts w:ascii="Times New Roman" w:hAnsi="Times New Roman"/>
          <w:sz w:val="28"/>
          <w:szCs w:val="28"/>
          <w:vertAlign w:val="superscript"/>
        </w:rPr>
        <w:t>+</w:t>
      </w:r>
      <w:r>
        <w:rPr>
          <w:rFonts w:ascii="Times New Roman" w:hAnsi="Times New Roman"/>
          <w:sz w:val="28"/>
          <w:szCs w:val="28"/>
        </w:rPr>
        <w:t>, Cl</w:t>
      </w:r>
      <w:r w:rsidRPr="00045C13">
        <w:rPr>
          <w:rFonts w:ascii="Times New Roman" w:hAnsi="Times New Roman"/>
          <w:sz w:val="28"/>
          <w:szCs w:val="28"/>
          <w:vertAlign w:val="superscript"/>
        </w:rPr>
        <w:t>-</w:t>
      </w:r>
      <w:r>
        <w:rPr>
          <w:rFonts w:ascii="Times New Roman" w:hAnsi="Times New Roman"/>
          <w:sz w:val="28"/>
          <w:szCs w:val="28"/>
        </w:rPr>
        <w:t>; в коагулограмі – протромбіновий час, протромбіновий індекс, загальний фібриноген, фібриноген «Б»; етаноловий тест, HbS Ag та</w:t>
      </w:r>
      <w:r w:rsidRPr="0096402C">
        <w:rPr>
          <w:rFonts w:ascii="Times New Roman" w:hAnsi="Times New Roman"/>
          <w:sz w:val="28"/>
          <w:szCs w:val="28"/>
        </w:rPr>
        <w:t xml:space="preserve"> RW</w:t>
      </w:r>
      <w:r>
        <w:rPr>
          <w:rFonts w:ascii="Times New Roman" w:hAnsi="Times New Roman"/>
          <w:sz w:val="28"/>
          <w:szCs w:val="28"/>
        </w:rPr>
        <w:t>. Вказані вище дослідження проводились за загальноприйнятими відомими методиками.</w:t>
      </w:r>
    </w:p>
    <w:p w:rsidR="00B84AB9" w:rsidRPr="00045C13" w:rsidRDefault="00B84AB9" w:rsidP="00B84AB9">
      <w:pPr>
        <w:spacing w:line="360" w:lineRule="auto"/>
        <w:contextualSpacing/>
        <w:rPr>
          <w:rFonts w:ascii="Times New Roman" w:hAnsi="Times New Roman" w:cs="Times New Roman"/>
          <w:sz w:val="28"/>
        </w:rPr>
      </w:pPr>
    </w:p>
    <w:p w:rsidR="00B84AB9" w:rsidRDefault="00B84AB9" w:rsidP="00B84AB9">
      <w:pPr>
        <w:spacing w:line="360" w:lineRule="auto"/>
        <w:ind w:firstLine="708"/>
        <w:contextualSpacing/>
        <w:rPr>
          <w:rFonts w:ascii="Times New Roman" w:hAnsi="Times New Roman" w:cs="Times New Roman"/>
          <w:sz w:val="28"/>
        </w:rPr>
      </w:pPr>
      <w:r>
        <w:rPr>
          <w:rFonts w:ascii="Times New Roman" w:hAnsi="Times New Roman" w:cs="Times New Roman"/>
          <w:sz w:val="28"/>
        </w:rPr>
        <w:t>2.2.2. Ультразвукова діагностика (УЗД)</w:t>
      </w:r>
    </w:p>
    <w:p w:rsidR="00B84AB9" w:rsidRDefault="00B84AB9" w:rsidP="00263124">
      <w:pPr>
        <w:spacing w:line="360" w:lineRule="auto"/>
        <w:contextualSpacing/>
        <w:jc w:val="both"/>
        <w:rPr>
          <w:rFonts w:ascii="Times New Roman" w:hAnsi="Times New Roman" w:cs="Times New Roman"/>
          <w:sz w:val="28"/>
        </w:rPr>
      </w:pPr>
      <w:r>
        <w:rPr>
          <w:rFonts w:ascii="Times New Roman" w:hAnsi="Times New Roman" w:cs="Times New Roman"/>
          <w:sz w:val="28"/>
        </w:rPr>
        <w:tab/>
        <w:t>Ультразвукове дослідження</w:t>
      </w:r>
      <w:r>
        <w:rPr>
          <w:rFonts w:ascii="Times New Roman" w:hAnsi="Times New Roman" w:cs="Times New Roman"/>
          <w:sz w:val="28"/>
          <w:szCs w:val="28"/>
        </w:rPr>
        <w:t xml:space="preserve"> </w:t>
      </w:r>
      <w:r>
        <w:rPr>
          <w:rFonts w:ascii="Times New Roman" w:hAnsi="Times New Roman" w:cs="Times New Roman"/>
          <w:sz w:val="28"/>
        </w:rPr>
        <w:t>проводили за допомогою сканерів</w:t>
      </w:r>
      <w:r w:rsidRPr="00305637">
        <w:rPr>
          <w:rFonts w:ascii="Times New Roman" w:hAnsi="Times New Roman" w:cs="Times New Roman"/>
          <w:sz w:val="28"/>
        </w:rPr>
        <w:t xml:space="preserve"> </w:t>
      </w:r>
      <w:r w:rsidRPr="00305637">
        <w:rPr>
          <w:rFonts w:ascii="Times New Roman" w:hAnsi="Times New Roman" w:cs="Times New Roman"/>
          <w:sz w:val="28"/>
          <w:lang w:val="en-US"/>
        </w:rPr>
        <w:t>Sonoline</w:t>
      </w:r>
      <w:r w:rsidRPr="00722B6D">
        <w:rPr>
          <w:rFonts w:ascii="Times New Roman" w:hAnsi="Times New Roman" w:cs="Times New Roman"/>
          <w:sz w:val="28"/>
        </w:rPr>
        <w:t xml:space="preserve"> </w:t>
      </w:r>
      <w:r w:rsidRPr="00305637">
        <w:rPr>
          <w:rFonts w:ascii="Times New Roman" w:hAnsi="Times New Roman" w:cs="Times New Roman"/>
          <w:sz w:val="28"/>
          <w:lang w:val="en-US"/>
        </w:rPr>
        <w:t>SI</w:t>
      </w:r>
      <w:r w:rsidRPr="00722B6D">
        <w:rPr>
          <w:rFonts w:ascii="Times New Roman" w:hAnsi="Times New Roman" w:cs="Times New Roman"/>
          <w:sz w:val="28"/>
        </w:rPr>
        <w:t>-450 (</w:t>
      </w:r>
      <w:r w:rsidRPr="00305637">
        <w:rPr>
          <w:rFonts w:ascii="Times New Roman" w:hAnsi="Times New Roman" w:cs="Times New Roman"/>
          <w:sz w:val="28"/>
          <w:lang w:val="en-US"/>
        </w:rPr>
        <w:t>Siemens</w:t>
      </w:r>
      <w:r w:rsidRPr="00722B6D">
        <w:rPr>
          <w:rFonts w:ascii="Times New Roman" w:hAnsi="Times New Roman" w:cs="Times New Roman"/>
          <w:sz w:val="28"/>
          <w:vertAlign w:val="superscript"/>
        </w:rPr>
        <w:t>®</w:t>
      </w:r>
      <w:r>
        <w:rPr>
          <w:rFonts w:ascii="Times New Roman" w:hAnsi="Times New Roman" w:cs="Times New Roman"/>
          <w:sz w:val="28"/>
        </w:rPr>
        <w:t>, Німеччина</w:t>
      </w:r>
      <w:r w:rsidRPr="00722B6D">
        <w:rPr>
          <w:rFonts w:ascii="Times New Roman" w:hAnsi="Times New Roman" w:cs="Times New Roman"/>
          <w:sz w:val="28"/>
        </w:rPr>
        <w:t>)</w:t>
      </w:r>
      <w:r>
        <w:rPr>
          <w:rFonts w:ascii="Times New Roman" w:hAnsi="Times New Roman" w:cs="Times New Roman"/>
          <w:sz w:val="28"/>
        </w:rPr>
        <w:t>,</w:t>
      </w:r>
      <w:r w:rsidRPr="00722B6D">
        <w:rPr>
          <w:rFonts w:ascii="Times New Roman" w:hAnsi="Times New Roman" w:cs="Times New Roman"/>
          <w:sz w:val="28"/>
        </w:rPr>
        <w:t xml:space="preserve"> </w:t>
      </w:r>
      <w:r w:rsidRPr="00272BDE">
        <w:rPr>
          <w:rFonts w:ascii="Times New Roman" w:hAnsi="Times New Roman" w:cs="Times New Roman"/>
          <w:sz w:val="28"/>
        </w:rPr>
        <w:t>Xario ultrasound machine</w:t>
      </w:r>
      <w:r>
        <w:rPr>
          <w:rFonts w:ascii="Times New Roman" w:hAnsi="Times New Roman" w:cs="Times New Roman"/>
          <w:sz w:val="28"/>
        </w:rPr>
        <w:t xml:space="preserve"> (</w:t>
      </w:r>
      <w:r w:rsidRPr="00272BDE">
        <w:rPr>
          <w:rFonts w:ascii="Times New Roman" w:hAnsi="Times New Roman" w:cs="Times New Roman"/>
          <w:sz w:val="28"/>
        </w:rPr>
        <w:t xml:space="preserve">Toshiba, </w:t>
      </w:r>
      <w:r>
        <w:rPr>
          <w:rFonts w:ascii="Times New Roman" w:hAnsi="Times New Roman" w:cs="Times New Roman"/>
          <w:sz w:val="28"/>
        </w:rPr>
        <w:t>Японія)</w:t>
      </w:r>
      <w:r w:rsidRPr="00272BDE">
        <w:rPr>
          <w:rFonts w:ascii="Times New Roman" w:hAnsi="Times New Roman" w:cs="Times New Roman"/>
          <w:sz w:val="28"/>
        </w:rPr>
        <w:t xml:space="preserve"> </w:t>
      </w:r>
      <w:r>
        <w:rPr>
          <w:rFonts w:ascii="Times New Roman" w:hAnsi="Times New Roman" w:cs="Times New Roman"/>
          <w:sz w:val="28"/>
        </w:rPr>
        <w:t>та конвекційних</w:t>
      </w:r>
      <w:r w:rsidRPr="00305637">
        <w:rPr>
          <w:rFonts w:ascii="Times New Roman" w:hAnsi="Times New Roman" w:cs="Times New Roman"/>
          <w:sz w:val="28"/>
        </w:rPr>
        <w:t xml:space="preserve"> </w:t>
      </w:r>
      <w:r>
        <w:rPr>
          <w:rFonts w:ascii="Times New Roman" w:hAnsi="Times New Roman" w:cs="Times New Roman"/>
          <w:sz w:val="28"/>
        </w:rPr>
        <w:t>УЗД-датчиків</w:t>
      </w:r>
      <w:r w:rsidRPr="00305637">
        <w:rPr>
          <w:rFonts w:ascii="Times New Roman" w:hAnsi="Times New Roman" w:cs="Times New Roman"/>
          <w:sz w:val="28"/>
        </w:rPr>
        <w:t xml:space="preserve"> частотою </w:t>
      </w:r>
      <w:r>
        <w:rPr>
          <w:rFonts w:ascii="Times New Roman" w:hAnsi="Times New Roman" w:cs="Times New Roman"/>
          <w:sz w:val="28"/>
        </w:rPr>
        <w:t xml:space="preserve">3,5 МГц, 4,5 МГц та </w:t>
      </w:r>
      <w:r w:rsidRPr="00305637">
        <w:rPr>
          <w:rFonts w:ascii="Times New Roman" w:hAnsi="Times New Roman" w:cs="Times New Roman"/>
          <w:sz w:val="28"/>
        </w:rPr>
        <w:t>5 МГц.</w:t>
      </w:r>
      <w:r>
        <w:rPr>
          <w:rFonts w:ascii="Times New Roman" w:hAnsi="Times New Roman" w:cs="Times New Roman"/>
          <w:sz w:val="28"/>
        </w:rPr>
        <w:t xml:space="preserve"> </w:t>
      </w:r>
      <w:r>
        <w:rPr>
          <w:rFonts w:ascii="Times New Roman" w:hAnsi="Times New Roman" w:cs="Times New Roman"/>
          <w:sz w:val="28"/>
          <w:szCs w:val="28"/>
        </w:rPr>
        <w:t>УЗД органів черевної порожнини та заочеревинного простору дозволяло ідентифікувати наявність новоутворення в нирці, а також диференціювати його солідну або кістозну природу.</w:t>
      </w:r>
      <w:r>
        <w:rPr>
          <w:rFonts w:ascii="Times New Roman" w:hAnsi="Times New Roman" w:cs="Times New Roman"/>
          <w:sz w:val="28"/>
        </w:rPr>
        <w:t xml:space="preserve"> УЗД проводили для первинної характеристики пухлинного вогнища і для</w:t>
      </w:r>
      <w:r w:rsidRPr="00305637">
        <w:rPr>
          <w:rFonts w:ascii="Times New Roman" w:hAnsi="Times New Roman" w:cs="Times New Roman"/>
          <w:sz w:val="28"/>
        </w:rPr>
        <w:t xml:space="preserve"> </w:t>
      </w:r>
      <w:r>
        <w:rPr>
          <w:rFonts w:ascii="Times New Roman" w:hAnsi="Times New Roman" w:cs="Times New Roman"/>
          <w:sz w:val="28"/>
        </w:rPr>
        <w:t xml:space="preserve">встановлення </w:t>
      </w:r>
      <w:r w:rsidRPr="00E937A7">
        <w:rPr>
          <w:rFonts w:ascii="Times New Roman" w:hAnsi="Times New Roman" w:cs="Times New Roman"/>
          <w:sz w:val="28"/>
        </w:rPr>
        <w:t>розмірів пухлини</w:t>
      </w:r>
      <w:r>
        <w:rPr>
          <w:rFonts w:ascii="Times New Roman" w:hAnsi="Times New Roman" w:cs="Times New Roman"/>
          <w:sz w:val="28"/>
        </w:rPr>
        <w:t xml:space="preserve">, </w:t>
      </w:r>
      <w:r w:rsidRPr="00E937A7">
        <w:rPr>
          <w:rFonts w:ascii="Times New Roman" w:hAnsi="Times New Roman" w:cs="Times New Roman"/>
          <w:sz w:val="28"/>
        </w:rPr>
        <w:t>її ф</w:t>
      </w:r>
      <w:r>
        <w:rPr>
          <w:rFonts w:ascii="Times New Roman" w:hAnsi="Times New Roman" w:cs="Times New Roman"/>
          <w:sz w:val="28"/>
        </w:rPr>
        <w:t xml:space="preserve">орми, положення, чіткості країв, наявності ділянок некрозу, </w:t>
      </w:r>
      <w:r w:rsidRPr="00E937A7">
        <w:rPr>
          <w:rFonts w:ascii="Times New Roman" w:hAnsi="Times New Roman" w:cs="Times New Roman"/>
          <w:sz w:val="28"/>
        </w:rPr>
        <w:t>наявності мультицентри</w:t>
      </w:r>
      <w:r>
        <w:rPr>
          <w:rFonts w:ascii="Times New Roman" w:hAnsi="Times New Roman" w:cs="Times New Roman"/>
          <w:sz w:val="28"/>
        </w:rPr>
        <w:t xml:space="preserve">чного росту, </w:t>
      </w:r>
      <w:r w:rsidRPr="00E937A7">
        <w:rPr>
          <w:rFonts w:ascii="Times New Roman" w:hAnsi="Times New Roman" w:cs="Times New Roman"/>
          <w:sz w:val="28"/>
        </w:rPr>
        <w:t>інвазії в ниркові та позаниркові тканини (наднирникову залозу, п</w:t>
      </w:r>
      <w:r>
        <w:rPr>
          <w:rFonts w:ascii="Times New Roman" w:hAnsi="Times New Roman" w:cs="Times New Roman"/>
          <w:sz w:val="28"/>
        </w:rPr>
        <w:t>а</w:t>
      </w:r>
      <w:r w:rsidRPr="00E937A7">
        <w:rPr>
          <w:rFonts w:ascii="Times New Roman" w:hAnsi="Times New Roman" w:cs="Times New Roman"/>
          <w:sz w:val="28"/>
        </w:rPr>
        <w:t xml:space="preserve">ранефральну жирову клітковину); наявність та розмір венозного поширення пухлинного тромбу; ознак депозитування пухлини в регіонарних лімфатичних вузлах; </w:t>
      </w:r>
      <w:r w:rsidRPr="00E937A7">
        <w:rPr>
          <w:rFonts w:ascii="Times New Roman" w:hAnsi="Times New Roman" w:cs="Times New Roman"/>
          <w:sz w:val="28"/>
        </w:rPr>
        <w:lastRenderedPageBreak/>
        <w:t>анато</w:t>
      </w:r>
      <w:r>
        <w:rPr>
          <w:rFonts w:ascii="Times New Roman" w:hAnsi="Times New Roman" w:cs="Times New Roman"/>
          <w:sz w:val="28"/>
        </w:rPr>
        <w:t>мо-фізіологічного стану нирок. Крім цього, У</w:t>
      </w:r>
      <w:r w:rsidRPr="00305637">
        <w:rPr>
          <w:rFonts w:ascii="Times New Roman" w:hAnsi="Times New Roman" w:cs="Times New Roman"/>
          <w:sz w:val="28"/>
        </w:rPr>
        <w:t>З</w:t>
      </w:r>
      <w:r>
        <w:rPr>
          <w:rFonts w:ascii="Times New Roman" w:hAnsi="Times New Roman" w:cs="Times New Roman"/>
          <w:sz w:val="28"/>
        </w:rPr>
        <w:t>Д застосовувалось</w:t>
      </w:r>
      <w:r w:rsidRPr="00305637">
        <w:rPr>
          <w:rFonts w:ascii="Times New Roman" w:hAnsi="Times New Roman" w:cs="Times New Roman"/>
          <w:sz w:val="28"/>
        </w:rPr>
        <w:t xml:space="preserve"> для топографічної оцінки віддалених метастатичних уражень. Оскільки УЗД не може бути застосованим для визначення стадії НКР </w:t>
      </w:r>
      <w:r w:rsidRPr="00305637">
        <w:rPr>
          <w:rFonts w:ascii="Times New Roman" w:hAnsi="Times New Roman" w:cs="Times New Roman"/>
          <w:sz w:val="28"/>
          <w:szCs w:val="28"/>
        </w:rPr>
        <w:t>[</w:t>
      </w:r>
      <w:r w:rsidR="001F1B83">
        <w:rPr>
          <w:rFonts w:ascii="Times-Roman" w:hAnsi="Times-Roman" w:cs="Times-Roman"/>
          <w:sz w:val="28"/>
          <w:szCs w:val="28"/>
        </w:rPr>
        <w:t>175</w:t>
      </w:r>
      <w:r w:rsidRPr="00305637">
        <w:rPr>
          <w:rFonts w:ascii="Times New Roman" w:hAnsi="Times New Roman" w:cs="Times New Roman"/>
          <w:sz w:val="28"/>
          <w:szCs w:val="28"/>
        </w:rPr>
        <w:t>]</w:t>
      </w:r>
      <w:r w:rsidRPr="00305637">
        <w:rPr>
          <w:rFonts w:ascii="Times New Roman" w:hAnsi="Times New Roman" w:cs="Times New Roman"/>
          <w:sz w:val="28"/>
        </w:rPr>
        <w:t>, його завжди використовували в комплексі із іншими променевими методами діагностики, такими як КТ чи/та МРТ.  УЗ проводили у B-режимі, при якому відбиті ультразвукові імпульси відображаються на моніторі</w:t>
      </w:r>
      <w:r>
        <w:rPr>
          <w:rFonts w:ascii="Times New Roman" w:hAnsi="Times New Roman" w:cs="Times New Roman"/>
          <w:sz w:val="28"/>
        </w:rPr>
        <w:t>,</w:t>
      </w:r>
      <w:r w:rsidRPr="00305637">
        <w:rPr>
          <w:rFonts w:ascii="Times New Roman" w:hAnsi="Times New Roman" w:cs="Times New Roman"/>
          <w:sz w:val="28"/>
        </w:rPr>
        <w:t xml:space="preserve"> як ділянки різної яскравості (градації сірого коль</w:t>
      </w:r>
      <w:r>
        <w:rPr>
          <w:rFonts w:ascii="Times New Roman" w:hAnsi="Times New Roman" w:cs="Times New Roman"/>
          <w:sz w:val="28"/>
        </w:rPr>
        <w:t>ору), пропорційні</w:t>
      </w:r>
      <w:r w:rsidRPr="00305637">
        <w:rPr>
          <w:rFonts w:ascii="Times New Roman" w:hAnsi="Times New Roman" w:cs="Times New Roman"/>
          <w:sz w:val="28"/>
        </w:rPr>
        <w:t xml:space="preserve"> їх інтенсивності. Звукові хвилі передаються в тканину паралельно або віялоподібно, відображені ехо-сигнали повертаються до передавача і враховуються порядково, відповідно до часу їх повернення. </w:t>
      </w:r>
      <w:r>
        <w:rPr>
          <w:rFonts w:ascii="Times New Roman" w:hAnsi="Times New Roman" w:cs="Times New Roman"/>
          <w:sz w:val="28"/>
        </w:rPr>
        <w:t>Новоутворення класифікувались як гомогенні, та гетерогенні та відносно до нормальної паренхіми нирки, як ізо-, гіп</w:t>
      </w:r>
      <w:r w:rsidR="00263124">
        <w:rPr>
          <w:rFonts w:ascii="Times New Roman" w:hAnsi="Times New Roman" w:cs="Times New Roman"/>
          <w:sz w:val="28"/>
        </w:rPr>
        <w:t>о- та гіперехогенні.</w:t>
      </w:r>
    </w:p>
    <w:p w:rsidR="00B84AB9" w:rsidRDefault="00B84AB9" w:rsidP="00B84AB9">
      <w:pPr>
        <w:spacing w:line="360" w:lineRule="auto"/>
        <w:contextualSpacing/>
        <w:jc w:val="both"/>
        <w:rPr>
          <w:rFonts w:ascii="Times New Roman" w:hAnsi="Times New Roman" w:cs="Times New Roman"/>
          <w:sz w:val="28"/>
        </w:rPr>
      </w:pPr>
      <w:r>
        <w:rPr>
          <w:rFonts w:ascii="Times New Roman" w:hAnsi="Times New Roman" w:cs="Times New Roman"/>
          <w:sz w:val="28"/>
        </w:rPr>
        <w:tab/>
        <w:t xml:space="preserve">Кольорове допплерографічне сканування над ділянкою новоутворення виконувались за допомогою конвексного датчику 4,5 </w:t>
      </w:r>
      <w:r w:rsidRPr="006C3100">
        <w:rPr>
          <w:rFonts w:ascii="Times New Roman" w:hAnsi="Times New Roman" w:cs="Times New Roman"/>
          <w:sz w:val="28"/>
        </w:rPr>
        <w:t xml:space="preserve">МГц </w:t>
      </w:r>
      <w:r>
        <w:rPr>
          <w:rFonts w:ascii="Times New Roman" w:hAnsi="Times New Roman" w:cs="Times New Roman"/>
          <w:sz w:val="28"/>
        </w:rPr>
        <w:t xml:space="preserve"> у положенні хворого на спині та в латеральній позиції. Визначення ІР проводилось згідно формули:</w:t>
      </w:r>
    </w:p>
    <w:p w:rsidR="00B84AB9" w:rsidRDefault="00B84AB9" w:rsidP="00B84AB9">
      <w:pPr>
        <w:spacing w:line="360" w:lineRule="auto"/>
        <w:contextualSpacing/>
        <w:jc w:val="both"/>
        <w:rPr>
          <w:rFonts w:ascii="Times New Roman" w:hAnsi="Times New Roman" w:cs="Times New Roman"/>
          <w:sz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534"/>
      </w:tblGrid>
      <w:tr w:rsidR="00B84AB9" w:rsidTr="003E3164">
        <w:tc>
          <w:tcPr>
            <w:tcW w:w="4820" w:type="dxa"/>
          </w:tcPr>
          <w:p w:rsidR="00B84AB9" w:rsidRPr="00D77822" w:rsidRDefault="00B84AB9" w:rsidP="001F0C51">
            <w:pPr>
              <w:spacing w:line="360" w:lineRule="auto"/>
              <w:contextualSpacing/>
              <w:jc w:val="both"/>
              <w:rPr>
                <w:rFonts w:ascii="Times New Roman" w:hAnsi="Times New Roman" w:cs="Times New Roman"/>
                <w:sz w:val="28"/>
              </w:rPr>
            </w:pPr>
            <m:oMathPara>
              <m:oMath>
                <m:r>
                  <w:rPr>
                    <w:rFonts w:ascii="Cambria Math" w:hAnsi="Cambria Math" w:cs="Times New Roman"/>
                    <w:sz w:val="28"/>
                  </w:rPr>
                  <m:t>ІР=</m:t>
                </m:r>
                <m:f>
                  <m:fPr>
                    <m:ctrlPr>
                      <w:rPr>
                        <w:rFonts w:ascii="Cambria Math" w:hAnsi="Cambria Math" w:cs="Times New Roman"/>
                        <w:i/>
                        <w:sz w:val="28"/>
                      </w:rPr>
                    </m:ctrlPr>
                  </m:fPr>
                  <m:num>
                    <m:r>
                      <w:rPr>
                        <w:rFonts w:ascii="Cambria Math" w:hAnsi="Cambria Math" w:cs="Times New Roman"/>
                        <w:sz w:val="28"/>
                      </w:rPr>
                      <m:t>ПСШ-КДШ</m:t>
                    </m:r>
                  </m:num>
                  <m:den>
                    <m:r>
                      <w:rPr>
                        <w:rFonts w:ascii="Cambria Math" w:hAnsi="Cambria Math" w:cs="Times New Roman"/>
                        <w:sz w:val="28"/>
                      </w:rPr>
                      <m:t>ПСШ</m:t>
                    </m:r>
                  </m:den>
                </m:f>
              </m:oMath>
            </m:oMathPara>
          </w:p>
          <w:p w:rsidR="00B84AB9" w:rsidRPr="002448D3" w:rsidRDefault="00B84AB9" w:rsidP="001F0C51">
            <w:pPr>
              <w:spacing w:line="360" w:lineRule="auto"/>
              <w:ind w:firstLine="708"/>
              <w:jc w:val="both"/>
              <w:rPr>
                <w:rFonts w:ascii="Times New Roman" w:hAnsi="Times New Roman" w:cs="Times New Roman"/>
                <w:sz w:val="28"/>
                <w:szCs w:val="28"/>
              </w:rPr>
            </w:pPr>
          </w:p>
          <w:p w:rsidR="00B84AB9" w:rsidRDefault="00B84AB9" w:rsidP="001F0C51">
            <w:pPr>
              <w:spacing w:line="360" w:lineRule="auto"/>
              <w:jc w:val="both"/>
              <w:rPr>
                <w:rFonts w:ascii="Times New Roman" w:hAnsi="Times New Roman" w:cs="Times New Roman"/>
                <w:sz w:val="28"/>
                <w:szCs w:val="28"/>
              </w:rPr>
            </w:pPr>
            <w:r>
              <w:rPr>
                <w:rFonts w:ascii="Times New Roman" w:hAnsi="Times New Roman" w:cs="Times New Roman"/>
                <w:sz w:val="28"/>
                <w:szCs w:val="28"/>
              </w:rPr>
              <w:t>де ІР – індекс резистентності;</w:t>
            </w:r>
          </w:p>
          <w:p w:rsidR="00B84AB9" w:rsidRDefault="00B84AB9" w:rsidP="001F0C51">
            <w:pPr>
              <w:spacing w:line="360" w:lineRule="auto"/>
              <w:jc w:val="both"/>
              <w:rPr>
                <w:rFonts w:ascii="Times New Roman" w:hAnsi="Times New Roman" w:cs="Times New Roman"/>
                <w:sz w:val="28"/>
                <w:szCs w:val="28"/>
              </w:rPr>
            </w:pPr>
            <w:r>
              <w:rPr>
                <w:rFonts w:ascii="Times New Roman" w:hAnsi="Times New Roman" w:cs="Times New Roman"/>
                <w:sz w:val="28"/>
                <w:szCs w:val="28"/>
              </w:rPr>
              <w:t>ПСШ – пікова систолічна швидкість;</w:t>
            </w:r>
          </w:p>
          <w:p w:rsidR="00B84AB9" w:rsidRDefault="00B84AB9" w:rsidP="001F0C51">
            <w:pPr>
              <w:spacing w:line="360" w:lineRule="auto"/>
              <w:jc w:val="both"/>
              <w:rPr>
                <w:rFonts w:ascii="Times New Roman" w:hAnsi="Times New Roman" w:cs="Times New Roman"/>
                <w:sz w:val="28"/>
                <w:szCs w:val="28"/>
              </w:rPr>
            </w:pPr>
            <w:r>
              <w:rPr>
                <w:rFonts w:ascii="Times New Roman" w:hAnsi="Times New Roman" w:cs="Times New Roman"/>
                <w:sz w:val="28"/>
                <w:szCs w:val="28"/>
              </w:rPr>
              <w:t>КДШ – кінцева діастолічна швидкість.</w:t>
            </w:r>
          </w:p>
          <w:p w:rsidR="003E3164" w:rsidRPr="00930D31" w:rsidRDefault="003E3164" w:rsidP="001F0C51">
            <w:pPr>
              <w:spacing w:line="360" w:lineRule="auto"/>
              <w:jc w:val="both"/>
              <w:rPr>
                <w:rFonts w:ascii="Times New Roman" w:hAnsi="Times New Roman" w:cs="Times New Roman"/>
                <w:sz w:val="28"/>
                <w:szCs w:val="28"/>
              </w:rPr>
            </w:pPr>
          </w:p>
        </w:tc>
        <w:tc>
          <w:tcPr>
            <w:tcW w:w="4534" w:type="dxa"/>
          </w:tcPr>
          <w:p w:rsidR="00B84AB9" w:rsidRPr="00FE0F5E" w:rsidRDefault="00B84AB9" w:rsidP="001F0C51">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(2.1)</w:t>
            </w:r>
          </w:p>
        </w:tc>
      </w:tr>
    </w:tbl>
    <w:p w:rsidR="00B84AB9" w:rsidRPr="005117D5" w:rsidRDefault="00B84AB9" w:rsidP="00B84AB9">
      <w:pPr>
        <w:spacing w:line="360" w:lineRule="auto"/>
        <w:contextualSpacing/>
        <w:rPr>
          <w:rFonts w:ascii="Times New Roman" w:hAnsi="Times New Roman" w:cs="Times New Roman"/>
          <w:sz w:val="28"/>
        </w:rPr>
      </w:pPr>
      <w:r>
        <w:rPr>
          <w:rFonts w:ascii="Times New Roman" w:hAnsi="Times New Roman" w:cs="Times New Roman"/>
          <w:sz w:val="28"/>
        </w:rPr>
        <w:tab/>
        <w:t>2.2.3</w:t>
      </w:r>
      <w:r w:rsidRPr="00EA0B12">
        <w:rPr>
          <w:rFonts w:ascii="Times New Roman" w:hAnsi="Times New Roman" w:cs="Times New Roman"/>
          <w:sz w:val="28"/>
        </w:rPr>
        <w:t xml:space="preserve">. </w:t>
      </w:r>
      <w:r>
        <w:rPr>
          <w:rFonts w:ascii="Times New Roman" w:hAnsi="Times New Roman" w:cs="Times New Roman"/>
          <w:sz w:val="28"/>
        </w:rPr>
        <w:t>Оглядова рентгенографія та екскреторна урографія</w:t>
      </w:r>
    </w:p>
    <w:p w:rsidR="00B84AB9" w:rsidRPr="002B1C21" w:rsidRDefault="00B84AB9" w:rsidP="00805D5E">
      <w:pPr>
        <w:spacing w:line="360" w:lineRule="auto"/>
        <w:contextualSpacing/>
        <w:jc w:val="both"/>
        <w:rPr>
          <w:rFonts w:ascii="Times New Roman" w:hAnsi="Times New Roman" w:cs="Times New Roman"/>
          <w:sz w:val="28"/>
        </w:rPr>
      </w:pPr>
      <w:r>
        <w:rPr>
          <w:rFonts w:ascii="Times New Roman" w:hAnsi="Times New Roman" w:cs="Times New Roman"/>
          <w:sz w:val="28"/>
        </w:rPr>
        <w:tab/>
        <w:t>У хворих з НКР екскреторна урографія застосовувалась для оцінки морфо-функціонального стану нирок і сечовивідних шляхів та наявності компресії збиральної системи нирки новоутворенням; оглядова рентгенографія грудної клітки проводилась для діагностики метастатичних уражень легень. Обстеження виконувались за стандартними методиками.</w:t>
      </w:r>
    </w:p>
    <w:p w:rsidR="00B84AB9" w:rsidRDefault="00B84AB9" w:rsidP="00B84AB9">
      <w:pPr>
        <w:spacing w:line="360" w:lineRule="auto"/>
        <w:ind w:firstLine="708"/>
        <w:contextualSpacing/>
        <w:rPr>
          <w:rFonts w:ascii="Times New Roman" w:hAnsi="Times New Roman" w:cs="Times New Roman"/>
          <w:sz w:val="28"/>
        </w:rPr>
      </w:pPr>
      <w:r>
        <w:rPr>
          <w:rFonts w:ascii="Times New Roman" w:hAnsi="Times New Roman" w:cs="Times New Roman"/>
          <w:sz w:val="28"/>
        </w:rPr>
        <w:lastRenderedPageBreak/>
        <w:t>2.2.4. К</w:t>
      </w:r>
      <w:r w:rsidRPr="00EA0B12">
        <w:rPr>
          <w:rFonts w:ascii="Times New Roman" w:hAnsi="Times New Roman" w:cs="Times New Roman"/>
          <w:sz w:val="28"/>
        </w:rPr>
        <w:t>омп’ютерна томографія</w:t>
      </w:r>
      <w:r>
        <w:rPr>
          <w:rFonts w:ascii="Times New Roman" w:hAnsi="Times New Roman" w:cs="Times New Roman"/>
          <w:sz w:val="28"/>
        </w:rPr>
        <w:t xml:space="preserve"> (КТ)</w:t>
      </w:r>
    </w:p>
    <w:p w:rsidR="00B84AB9" w:rsidRPr="00E937A7" w:rsidRDefault="00B84AB9" w:rsidP="00B84AB9">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К</w:t>
      </w:r>
      <w:r w:rsidRPr="00EA0B12">
        <w:rPr>
          <w:rFonts w:ascii="Times New Roman" w:hAnsi="Times New Roman" w:cs="Times New Roman"/>
          <w:sz w:val="28"/>
        </w:rPr>
        <w:t>омп’ютерна томографія</w:t>
      </w:r>
      <w:r>
        <w:rPr>
          <w:rFonts w:ascii="Times New Roman" w:hAnsi="Times New Roman" w:cs="Times New Roman"/>
          <w:sz w:val="28"/>
        </w:rPr>
        <w:t xml:space="preserve"> виконувалась за допомогою мультиспірального комп’ютерного томографа B</w:t>
      </w:r>
      <w:r w:rsidRPr="00180EB7">
        <w:rPr>
          <w:rFonts w:ascii="Times New Roman" w:hAnsi="Times New Roman" w:cs="Times New Roman"/>
          <w:sz w:val="28"/>
        </w:rPr>
        <w:t>rightSpeed</w:t>
      </w:r>
      <w:r w:rsidRPr="007A0B53">
        <w:rPr>
          <w:rFonts w:ascii="Times New Roman" w:hAnsi="Times New Roman" w:cs="Times New Roman"/>
          <w:sz w:val="28"/>
        </w:rPr>
        <w:t xml:space="preserve"> 16 (</w:t>
      </w:r>
      <w:r>
        <w:rPr>
          <w:rFonts w:ascii="Times New Roman" w:hAnsi="Times New Roman" w:cs="Times New Roman"/>
          <w:sz w:val="28"/>
          <w:lang w:val="en-US"/>
        </w:rPr>
        <w:t>General</w:t>
      </w:r>
      <w:r w:rsidRPr="007A0B53">
        <w:rPr>
          <w:rFonts w:ascii="Times New Roman" w:hAnsi="Times New Roman" w:cs="Times New Roman"/>
          <w:sz w:val="28"/>
        </w:rPr>
        <w:t xml:space="preserve"> </w:t>
      </w:r>
      <w:r>
        <w:rPr>
          <w:rFonts w:ascii="Times New Roman" w:hAnsi="Times New Roman" w:cs="Times New Roman"/>
          <w:sz w:val="28"/>
          <w:lang w:val="en-US"/>
        </w:rPr>
        <w:t>Electric</w:t>
      </w:r>
      <w:r w:rsidRPr="007A0B53">
        <w:rPr>
          <w:rFonts w:ascii="Times New Roman" w:hAnsi="Times New Roman" w:cs="Times New Roman"/>
          <w:sz w:val="28"/>
          <w:vertAlign w:val="superscript"/>
        </w:rPr>
        <w:t>®</w:t>
      </w:r>
      <w:r>
        <w:rPr>
          <w:rFonts w:ascii="Times New Roman" w:hAnsi="Times New Roman" w:cs="Times New Roman"/>
          <w:sz w:val="28"/>
        </w:rPr>
        <w:t xml:space="preserve">, США). КТ черевної порожнини і тазу проводилась для поглибленої топографічної характеристики пухлинного вогнища включаючи визначення </w:t>
      </w:r>
      <w:r w:rsidRPr="00E937A7">
        <w:rPr>
          <w:rFonts w:ascii="Times New Roman" w:hAnsi="Times New Roman" w:cs="Times New Roman"/>
          <w:sz w:val="28"/>
        </w:rPr>
        <w:t>розмірів новоутворення</w:t>
      </w:r>
      <w:r>
        <w:rPr>
          <w:rFonts w:ascii="Times New Roman" w:hAnsi="Times New Roman" w:cs="Times New Roman"/>
          <w:sz w:val="28"/>
        </w:rPr>
        <w:t xml:space="preserve">, </w:t>
      </w:r>
      <w:r w:rsidRPr="00E937A7">
        <w:rPr>
          <w:rFonts w:ascii="Times New Roman" w:hAnsi="Times New Roman" w:cs="Times New Roman"/>
          <w:sz w:val="28"/>
        </w:rPr>
        <w:t xml:space="preserve">його </w:t>
      </w:r>
      <w:r>
        <w:rPr>
          <w:rFonts w:ascii="Times New Roman" w:hAnsi="Times New Roman" w:cs="Times New Roman"/>
          <w:sz w:val="28"/>
        </w:rPr>
        <w:t xml:space="preserve">форми, положення, </w:t>
      </w:r>
      <w:r w:rsidRPr="00E937A7">
        <w:rPr>
          <w:rFonts w:ascii="Times New Roman" w:hAnsi="Times New Roman" w:cs="Times New Roman"/>
          <w:sz w:val="28"/>
        </w:rPr>
        <w:t>присутності некротичних ділянок</w:t>
      </w:r>
      <w:r>
        <w:rPr>
          <w:rFonts w:ascii="Times New Roman" w:hAnsi="Times New Roman" w:cs="Times New Roman"/>
          <w:sz w:val="28"/>
        </w:rPr>
        <w:t xml:space="preserve">, </w:t>
      </w:r>
      <w:r w:rsidRPr="00E937A7">
        <w:rPr>
          <w:rFonts w:ascii="Times New Roman" w:hAnsi="Times New Roman" w:cs="Times New Roman"/>
          <w:sz w:val="28"/>
        </w:rPr>
        <w:t>ноду</w:t>
      </w:r>
      <w:r>
        <w:rPr>
          <w:rFonts w:ascii="Times New Roman" w:hAnsi="Times New Roman" w:cs="Times New Roman"/>
          <w:sz w:val="28"/>
        </w:rPr>
        <w:t xml:space="preserve">лярного контрастного підсилення, нечітких країв, наявності кістозних компонентів, </w:t>
      </w:r>
      <w:r w:rsidRPr="00E937A7">
        <w:rPr>
          <w:rFonts w:ascii="Times New Roman" w:hAnsi="Times New Roman" w:cs="Times New Roman"/>
          <w:sz w:val="28"/>
        </w:rPr>
        <w:t>високої васкуляризації</w:t>
      </w:r>
      <w:r>
        <w:rPr>
          <w:rFonts w:ascii="Times New Roman" w:hAnsi="Times New Roman" w:cs="Times New Roman"/>
          <w:sz w:val="28"/>
        </w:rPr>
        <w:t xml:space="preserve">, кальцифікацій, </w:t>
      </w:r>
      <w:r w:rsidRPr="00E937A7">
        <w:rPr>
          <w:rFonts w:ascii="Times New Roman" w:hAnsi="Times New Roman" w:cs="Times New Roman"/>
          <w:sz w:val="28"/>
        </w:rPr>
        <w:t>на</w:t>
      </w:r>
      <w:r>
        <w:rPr>
          <w:rFonts w:ascii="Times New Roman" w:hAnsi="Times New Roman" w:cs="Times New Roman"/>
          <w:sz w:val="28"/>
        </w:rPr>
        <w:t xml:space="preserve">явності мультицентричного росту, </w:t>
      </w:r>
      <w:r w:rsidRPr="00E937A7">
        <w:rPr>
          <w:rFonts w:ascii="Times New Roman" w:hAnsi="Times New Roman" w:cs="Times New Roman"/>
          <w:sz w:val="28"/>
        </w:rPr>
        <w:t>інвазії в збиральну систему/синус нирки</w:t>
      </w:r>
      <w:r>
        <w:rPr>
          <w:rFonts w:ascii="Times New Roman" w:hAnsi="Times New Roman" w:cs="Times New Roman"/>
          <w:sz w:val="28"/>
        </w:rPr>
        <w:t xml:space="preserve">, </w:t>
      </w:r>
      <w:r w:rsidRPr="00E937A7">
        <w:rPr>
          <w:rFonts w:ascii="Times New Roman" w:hAnsi="Times New Roman" w:cs="Times New Roman"/>
          <w:sz w:val="28"/>
        </w:rPr>
        <w:t>поширення в навколишні тканини</w:t>
      </w:r>
      <w:r>
        <w:rPr>
          <w:rFonts w:ascii="Times New Roman" w:hAnsi="Times New Roman" w:cs="Times New Roman"/>
          <w:sz w:val="28"/>
        </w:rPr>
        <w:t xml:space="preserve"> включно з наднирковою залозою;</w:t>
      </w:r>
      <w:r w:rsidRPr="00E937A7">
        <w:rPr>
          <w:rFonts w:ascii="Times New Roman" w:hAnsi="Times New Roman" w:cs="Times New Roman"/>
          <w:sz w:val="28"/>
        </w:rPr>
        <w:t xml:space="preserve"> розміру та поширення пухлинного тромбу в ниркову і порожнисту вени;</w:t>
      </w:r>
      <w:r>
        <w:rPr>
          <w:rFonts w:ascii="Times New Roman" w:hAnsi="Times New Roman" w:cs="Times New Roman"/>
          <w:sz w:val="28"/>
        </w:rPr>
        <w:t xml:space="preserve"> </w:t>
      </w:r>
      <w:r w:rsidRPr="00E937A7">
        <w:rPr>
          <w:rFonts w:ascii="Times New Roman" w:hAnsi="Times New Roman" w:cs="Times New Roman"/>
          <w:sz w:val="28"/>
        </w:rPr>
        <w:t>стан регіонарних лімфатичних вузлів.</w:t>
      </w:r>
      <w:r>
        <w:rPr>
          <w:rFonts w:ascii="Times New Roman" w:hAnsi="Times New Roman" w:cs="Times New Roman"/>
          <w:sz w:val="28"/>
        </w:rPr>
        <w:t xml:space="preserve"> КТ грудної клітки проводили для діагностики віддалених метастазів НКР у легені за загальноприйнятою методикою.</w:t>
      </w:r>
      <w:r w:rsidRPr="00882083">
        <w:rPr>
          <w:rFonts w:ascii="Times New Roman" w:hAnsi="Times New Roman" w:cs="Times New Roman"/>
          <w:sz w:val="28"/>
        </w:rPr>
        <w:t xml:space="preserve"> </w:t>
      </w:r>
    </w:p>
    <w:p w:rsidR="00B84AB9" w:rsidRDefault="00B84AB9" w:rsidP="00263124">
      <w:pPr>
        <w:spacing w:line="360" w:lineRule="auto"/>
        <w:contextualSpacing/>
        <w:jc w:val="both"/>
        <w:rPr>
          <w:rFonts w:ascii="Times New Roman" w:hAnsi="Times New Roman" w:cs="Times New Roman"/>
          <w:sz w:val="28"/>
        </w:rPr>
      </w:pPr>
      <w:r>
        <w:rPr>
          <w:rFonts w:ascii="Times New Roman" w:hAnsi="Times New Roman" w:cs="Times New Roman"/>
          <w:sz w:val="28"/>
        </w:rPr>
        <w:tab/>
        <w:t xml:space="preserve">Для характеристики кістозних новоутворень нирки застосовували загальноприйняту класифікацію за </w:t>
      </w:r>
      <w:r>
        <w:rPr>
          <w:rFonts w:ascii="Times New Roman" w:hAnsi="Times New Roman" w:cs="Times New Roman"/>
          <w:sz w:val="28"/>
          <w:lang w:val="en-US"/>
        </w:rPr>
        <w:t>Bosniak</w:t>
      </w:r>
      <w:r w:rsidRPr="00A335A9">
        <w:rPr>
          <w:rFonts w:ascii="Times New Roman" w:hAnsi="Times New Roman" w:cs="Times New Roman"/>
          <w:sz w:val="28"/>
        </w:rPr>
        <w:t xml:space="preserve"> [</w:t>
      </w:r>
      <w:r w:rsidR="001F1B83">
        <w:rPr>
          <w:rFonts w:ascii="Times New Roman" w:eastAsia="Times New Roman" w:hAnsi="Times New Roman" w:cs="Times New Roman"/>
          <w:sz w:val="28"/>
          <w:szCs w:val="28"/>
          <w:lang w:eastAsia="uk-UA"/>
        </w:rPr>
        <w:t>93, 203</w:t>
      </w:r>
      <w:r w:rsidRPr="00A335A9">
        <w:rPr>
          <w:rFonts w:ascii="Times New Roman" w:hAnsi="Times New Roman" w:cs="Times New Roman"/>
          <w:sz w:val="28"/>
        </w:rPr>
        <w:t>]</w:t>
      </w:r>
      <w:r>
        <w:rPr>
          <w:rFonts w:ascii="Times New Roman" w:hAnsi="Times New Roman" w:cs="Times New Roman"/>
          <w:sz w:val="28"/>
        </w:rPr>
        <w:t>, на основі якої встановлювали категорію кісти та обира</w:t>
      </w:r>
      <w:r w:rsidR="00263124">
        <w:rPr>
          <w:rFonts w:ascii="Times New Roman" w:hAnsi="Times New Roman" w:cs="Times New Roman"/>
          <w:sz w:val="28"/>
        </w:rPr>
        <w:t>ли тактику подальшого лікування.</w:t>
      </w:r>
      <w:r w:rsidR="00263124" w:rsidRPr="00263124">
        <w:rPr>
          <w:rFonts w:ascii="Times New Roman" w:hAnsi="Times New Roman" w:cs="Times New Roman"/>
          <w:sz w:val="28"/>
          <w:lang w:val="ru-RU"/>
        </w:rPr>
        <w:t xml:space="preserve"> </w:t>
      </w:r>
      <w:r>
        <w:rPr>
          <w:rFonts w:ascii="Times New Roman" w:hAnsi="Times New Roman" w:cs="Times New Roman"/>
          <w:sz w:val="28"/>
        </w:rPr>
        <w:t xml:space="preserve">При цьому, згідно останніх рекомендацій </w:t>
      </w:r>
      <w:r>
        <w:rPr>
          <w:rFonts w:ascii="Times New Roman" w:hAnsi="Times New Roman" w:cs="Times New Roman"/>
          <w:sz w:val="28"/>
          <w:lang w:val="en-US"/>
        </w:rPr>
        <w:t>EAU</w:t>
      </w:r>
      <w:r>
        <w:rPr>
          <w:rFonts w:ascii="Times New Roman" w:hAnsi="Times New Roman" w:cs="Times New Roman"/>
          <w:sz w:val="28"/>
        </w:rPr>
        <w:t>, кісти класів І та ІІ не вимагали подальшого спостереження, кісти класу ІІ</w:t>
      </w:r>
      <w:r>
        <w:rPr>
          <w:rFonts w:ascii="Times New Roman" w:hAnsi="Times New Roman" w:cs="Times New Roman"/>
          <w:sz w:val="28"/>
          <w:lang w:val="en-US"/>
        </w:rPr>
        <w:t>F</w:t>
      </w:r>
      <w:r w:rsidRPr="00E937A7">
        <w:rPr>
          <w:rFonts w:ascii="Times New Roman" w:hAnsi="Times New Roman" w:cs="Times New Roman"/>
          <w:sz w:val="28"/>
        </w:rPr>
        <w:t xml:space="preserve"> </w:t>
      </w:r>
      <w:r>
        <w:rPr>
          <w:rFonts w:ascii="Times New Roman" w:hAnsi="Times New Roman" w:cs="Times New Roman"/>
          <w:sz w:val="28"/>
        </w:rPr>
        <w:t xml:space="preserve">активно спостерігались, а кісти класів ІІІ та </w:t>
      </w:r>
      <w:r>
        <w:rPr>
          <w:rFonts w:ascii="Times New Roman" w:hAnsi="Times New Roman" w:cs="Times New Roman"/>
          <w:sz w:val="28"/>
          <w:lang w:val="en-US"/>
        </w:rPr>
        <w:t>IV</w:t>
      </w:r>
      <w:r>
        <w:rPr>
          <w:rFonts w:ascii="Times New Roman" w:hAnsi="Times New Roman" w:cs="Times New Roman"/>
          <w:sz w:val="28"/>
        </w:rPr>
        <w:t xml:space="preserve">, трактувались, як кістозний НКР і підлягали хірургічному лікуванню </w:t>
      </w:r>
      <w:r w:rsidRPr="00925166">
        <w:rPr>
          <w:rFonts w:ascii="Times New Roman" w:hAnsi="Times New Roman" w:cs="Times New Roman"/>
          <w:sz w:val="28"/>
        </w:rPr>
        <w:t>[</w:t>
      </w:r>
      <w:r w:rsidR="001F1B83">
        <w:rPr>
          <w:rFonts w:ascii="Times New Roman" w:hAnsi="Times New Roman" w:cs="Times New Roman"/>
          <w:sz w:val="28"/>
          <w:szCs w:val="28"/>
        </w:rPr>
        <w:t>269</w:t>
      </w:r>
      <w:r w:rsidRPr="00925166">
        <w:rPr>
          <w:rFonts w:ascii="Times New Roman" w:hAnsi="Times New Roman" w:cs="Times New Roman"/>
          <w:sz w:val="28"/>
          <w:szCs w:val="28"/>
        </w:rPr>
        <w:t>]</w:t>
      </w:r>
      <w:r>
        <w:rPr>
          <w:rFonts w:ascii="Times New Roman" w:hAnsi="Times New Roman" w:cs="Times New Roman"/>
          <w:sz w:val="28"/>
        </w:rPr>
        <w:t>.</w:t>
      </w:r>
    </w:p>
    <w:p w:rsidR="00B84AB9" w:rsidRDefault="00B84AB9" w:rsidP="00B84AB9">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Для с</w:t>
      </w:r>
      <w:r w:rsidRPr="00882083">
        <w:rPr>
          <w:rFonts w:ascii="Times New Roman" w:hAnsi="Times New Roman" w:cs="Times New Roman"/>
          <w:sz w:val="28"/>
        </w:rPr>
        <w:t>канування</w:t>
      </w:r>
      <w:r w:rsidRPr="00431AB3">
        <w:rPr>
          <w:rFonts w:ascii="Times New Roman" w:hAnsi="Times New Roman" w:cs="Times New Roman"/>
          <w:sz w:val="28"/>
        </w:rPr>
        <w:t xml:space="preserve"> </w:t>
      </w:r>
      <w:r>
        <w:rPr>
          <w:rFonts w:ascii="Times New Roman" w:hAnsi="Times New Roman" w:cs="Times New Roman"/>
          <w:sz w:val="28"/>
        </w:rPr>
        <w:t xml:space="preserve">черевної порожнини і тазу, при положенні хворого лежачи на спині, використовуючи рекомендований виробником протокол із наступними параметрами: спіральна щільність=5,0 мм, </w:t>
      </w:r>
      <w:r w:rsidRPr="00431AB3">
        <w:rPr>
          <w:rFonts w:ascii="Times New Roman" w:hAnsi="Times New Roman" w:cs="Times New Roman"/>
          <w:sz w:val="28"/>
        </w:rPr>
        <w:t xml:space="preserve">крок=1,375:1, </w:t>
      </w:r>
      <w:r>
        <w:rPr>
          <w:rFonts w:ascii="Times New Roman" w:hAnsi="Times New Roman" w:cs="Times New Roman"/>
          <w:sz w:val="28"/>
        </w:rPr>
        <w:t xml:space="preserve">швидкість=27,50 мм/оберт, інтервал=5,0 мм, кут нахилу гентрі=80,0°, </w:t>
      </w:r>
      <w:r>
        <w:rPr>
          <w:rFonts w:ascii="Times New Roman" w:hAnsi="Times New Roman" w:cs="Times New Roman"/>
          <w:sz w:val="28"/>
          <w:lang w:val="en-US"/>
        </w:rPr>
        <w:t>FOV</w:t>
      </w:r>
      <w:r>
        <w:rPr>
          <w:rFonts w:ascii="Times New Roman" w:hAnsi="Times New Roman" w:cs="Times New Roman"/>
          <w:sz w:val="28"/>
        </w:rPr>
        <w:t>=46×46 см,</w:t>
      </w:r>
      <w:r w:rsidRPr="00925166">
        <w:rPr>
          <w:rFonts w:ascii="Times New Roman" w:hAnsi="Times New Roman" w:cs="Times New Roman"/>
          <w:sz w:val="28"/>
        </w:rPr>
        <w:t xml:space="preserve"> </w:t>
      </w:r>
      <w:r>
        <w:rPr>
          <w:rFonts w:ascii="Times New Roman" w:hAnsi="Times New Roman" w:cs="Times New Roman"/>
          <w:sz w:val="28"/>
          <w:lang w:val="en-US"/>
        </w:rPr>
        <w:t>kV</w:t>
      </w:r>
      <w:r w:rsidRPr="00431AB3">
        <w:rPr>
          <w:rFonts w:ascii="Times New Roman" w:hAnsi="Times New Roman" w:cs="Times New Roman"/>
          <w:sz w:val="28"/>
        </w:rPr>
        <w:t xml:space="preserve">=130, </w:t>
      </w:r>
      <w:r>
        <w:rPr>
          <w:rFonts w:ascii="Times New Roman" w:hAnsi="Times New Roman" w:cs="Times New Roman"/>
          <w:sz w:val="28"/>
          <w:lang w:val="en-US"/>
        </w:rPr>
        <w:t>mA</w:t>
      </w:r>
      <w:r>
        <w:rPr>
          <w:rFonts w:ascii="Times New Roman" w:hAnsi="Times New Roman" w:cs="Times New Roman"/>
          <w:sz w:val="28"/>
        </w:rPr>
        <w:t xml:space="preserve">=350, загальна доза=6-16 мЗв, загальний час обстеження складав в середньому </w:t>
      </w:r>
      <w:r w:rsidR="00544220">
        <w:rPr>
          <w:rFonts w:ascii="Times New Roman" w:hAnsi="Times New Roman" w:cs="Times New Roman"/>
          <w:sz w:val="28"/>
        </w:rPr>
        <w:t>8</w:t>
      </w:r>
      <w:r>
        <w:rPr>
          <w:rFonts w:ascii="Times New Roman" w:hAnsi="Times New Roman" w:cs="Times New Roman"/>
          <w:sz w:val="28"/>
        </w:rPr>
        <w:t xml:space="preserve"> хвилин</w:t>
      </w:r>
      <w:r w:rsidRPr="00431AB3">
        <w:rPr>
          <w:rFonts w:ascii="Times New Roman" w:hAnsi="Times New Roman" w:cs="Times New Roman"/>
          <w:sz w:val="28"/>
        </w:rPr>
        <w:t>.</w:t>
      </w:r>
      <w:r>
        <w:rPr>
          <w:rFonts w:ascii="Times New Roman" w:hAnsi="Times New Roman" w:cs="Times New Roman"/>
          <w:sz w:val="28"/>
        </w:rPr>
        <w:t xml:space="preserve"> Протокол включав чотири фази: перед введенням контрастної речовини</w:t>
      </w:r>
      <w:r w:rsidRPr="0088396B">
        <w:rPr>
          <w:rFonts w:ascii="Times New Roman" w:hAnsi="Times New Roman" w:cs="Times New Roman"/>
          <w:sz w:val="28"/>
        </w:rPr>
        <w:t xml:space="preserve"> </w:t>
      </w:r>
      <w:r>
        <w:rPr>
          <w:rFonts w:ascii="Times New Roman" w:hAnsi="Times New Roman" w:cs="Times New Roman"/>
          <w:sz w:val="28"/>
        </w:rPr>
        <w:t>–</w:t>
      </w:r>
      <w:r w:rsidRPr="0088396B">
        <w:rPr>
          <w:rFonts w:ascii="Times New Roman" w:hAnsi="Times New Roman" w:cs="Times New Roman"/>
          <w:sz w:val="28"/>
        </w:rPr>
        <w:t xml:space="preserve"> </w:t>
      </w:r>
      <w:r>
        <w:rPr>
          <w:rFonts w:ascii="Times New Roman" w:hAnsi="Times New Roman" w:cs="Times New Roman"/>
          <w:sz w:val="28"/>
        </w:rPr>
        <w:t>пре-контрастне зображення (ПКЗ), впр</w:t>
      </w:r>
      <w:r w:rsidR="00263124">
        <w:rPr>
          <w:rFonts w:ascii="Times New Roman" w:hAnsi="Times New Roman" w:cs="Times New Roman"/>
          <w:sz w:val="28"/>
        </w:rPr>
        <w:t>одовж КМФ, НФ та ЕФ.</w:t>
      </w:r>
    </w:p>
    <w:p w:rsidR="00B84AB9" w:rsidRDefault="00B84AB9" w:rsidP="00263124">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lastRenderedPageBreak/>
        <w:t>У якості контрастної речовини застосовували йопромід або йогексол у розрахунку 1-1,2 мл на 1 кг маси тіла, який внутрішньовенно вводили за допомогою</w:t>
      </w:r>
      <w:r w:rsidRPr="00BD22A5">
        <w:rPr>
          <w:rFonts w:ascii="Times New Roman" w:hAnsi="Times New Roman" w:cs="Times New Roman"/>
          <w:sz w:val="28"/>
        </w:rPr>
        <w:t xml:space="preserve"> </w:t>
      </w:r>
      <w:r>
        <w:rPr>
          <w:rFonts w:ascii="Times New Roman" w:hAnsi="Times New Roman" w:cs="Times New Roman"/>
          <w:sz w:val="28"/>
        </w:rPr>
        <w:t xml:space="preserve">автоматичного інжектора контрасту </w:t>
      </w:r>
      <w:r>
        <w:rPr>
          <w:rFonts w:ascii="Times New Roman" w:hAnsi="Times New Roman" w:cs="Times New Roman"/>
          <w:sz w:val="28"/>
          <w:lang w:val="en-US"/>
        </w:rPr>
        <w:t>Dual</w:t>
      </w:r>
      <w:r w:rsidRPr="007A0B53">
        <w:rPr>
          <w:rFonts w:ascii="Times New Roman" w:hAnsi="Times New Roman" w:cs="Times New Roman"/>
          <w:sz w:val="28"/>
        </w:rPr>
        <w:t xml:space="preserve"> </w:t>
      </w:r>
      <w:r>
        <w:rPr>
          <w:rFonts w:ascii="Times New Roman" w:hAnsi="Times New Roman" w:cs="Times New Roman"/>
          <w:sz w:val="28"/>
          <w:lang w:val="en-US"/>
        </w:rPr>
        <w:t>Shot</w:t>
      </w:r>
      <w:r w:rsidRPr="007A0B53">
        <w:rPr>
          <w:rFonts w:ascii="Times New Roman" w:hAnsi="Times New Roman" w:cs="Times New Roman"/>
          <w:sz w:val="28"/>
        </w:rPr>
        <w:t xml:space="preserve"> </w:t>
      </w:r>
      <w:r>
        <w:rPr>
          <w:rFonts w:ascii="Times New Roman" w:hAnsi="Times New Roman" w:cs="Times New Roman"/>
          <w:sz w:val="28"/>
          <w:lang w:val="en-US"/>
        </w:rPr>
        <w:t>alpha</w:t>
      </w:r>
      <w:r w:rsidRPr="007A0B53">
        <w:rPr>
          <w:rFonts w:ascii="Times New Roman" w:hAnsi="Times New Roman" w:cs="Times New Roman"/>
          <w:sz w:val="28"/>
        </w:rPr>
        <w:t xml:space="preserve"> 7 (</w:t>
      </w:r>
      <w:r>
        <w:rPr>
          <w:rFonts w:ascii="Times New Roman" w:hAnsi="Times New Roman" w:cs="Times New Roman"/>
          <w:sz w:val="28"/>
        </w:rPr>
        <w:t>Nemoto</w:t>
      </w:r>
      <w:r w:rsidRPr="007A0B53">
        <w:rPr>
          <w:rFonts w:ascii="Times New Roman" w:hAnsi="Times New Roman" w:cs="Times New Roman"/>
          <w:sz w:val="28"/>
          <w:vertAlign w:val="superscript"/>
        </w:rPr>
        <w:t>®</w:t>
      </w:r>
      <w:r w:rsidRPr="007A0B53">
        <w:rPr>
          <w:rFonts w:ascii="Times New Roman" w:hAnsi="Times New Roman" w:cs="Times New Roman"/>
          <w:sz w:val="28"/>
        </w:rPr>
        <w:t>, Я</w:t>
      </w:r>
      <w:r>
        <w:rPr>
          <w:rFonts w:ascii="Times New Roman" w:hAnsi="Times New Roman" w:cs="Times New Roman"/>
          <w:sz w:val="28"/>
        </w:rPr>
        <w:t>понія). Побічних реакцій після введення контрастної речовини у жодному випадку не спостерігалось. Обстеження проводилось натще, після споживання 1,5 рідини впродовж перед скануванням. Наявність у хворих ниркової недостатності, вагітності та алергічних реакцій на контраст були протипоказами до введення контрастних речовин.</w:t>
      </w:r>
    </w:p>
    <w:p w:rsidR="00263124" w:rsidRPr="00321B82" w:rsidRDefault="00B84AB9" w:rsidP="00321B82">
      <w:pPr>
        <w:spacing w:line="360" w:lineRule="auto"/>
        <w:ind w:firstLine="708"/>
        <w:contextualSpacing/>
        <w:jc w:val="both"/>
        <w:rPr>
          <w:rFonts w:ascii="Times New Roman" w:hAnsi="Times New Roman" w:cs="Times New Roman"/>
          <w:sz w:val="28"/>
        </w:rPr>
      </w:pPr>
      <w:r w:rsidRPr="00D5686B">
        <w:rPr>
          <w:rFonts w:ascii="Times New Roman" w:hAnsi="Times New Roman" w:cs="Times New Roman"/>
          <w:sz w:val="28"/>
        </w:rPr>
        <w:t xml:space="preserve">Ниркові новоутворення на КТ-зображеннях </w:t>
      </w:r>
      <w:r>
        <w:rPr>
          <w:rFonts w:ascii="Times New Roman" w:hAnsi="Times New Roman" w:cs="Times New Roman"/>
          <w:sz w:val="28"/>
        </w:rPr>
        <w:t xml:space="preserve">класифікувались як гомогенні та гетерогенні та по відношенню до нормальної ниркової паренхіми, як ізо-, гіпер-, та гіпоатенуйовані. У всіх випадках проводили </w:t>
      </w:r>
      <w:r w:rsidRPr="00557FD7">
        <w:rPr>
          <w:rFonts w:ascii="Times New Roman" w:hAnsi="Times New Roman" w:cs="Times New Roman"/>
          <w:sz w:val="28"/>
        </w:rPr>
        <w:t xml:space="preserve">кількісне вимірювання атенуації над ділянкою </w:t>
      </w:r>
      <w:r>
        <w:rPr>
          <w:rFonts w:ascii="Times New Roman" w:hAnsi="Times New Roman" w:cs="Times New Roman"/>
          <w:sz w:val="28"/>
        </w:rPr>
        <w:t xml:space="preserve">новоутворення: на анатомічно відповідних між собою ПКЗ та зображеннях отриманих впродовж КМФ, НФ і ЕФ розміщуючи область зацікавлення (ОЗ) над ділянкою пухлини, ретельно повторюючи її контур (оминаючи ділянки некрозу або кістозних включень при солідних варіантах), реєстрували променеву щільність тканин новоутворення в </w:t>
      </w:r>
      <w:r>
        <w:rPr>
          <w:rFonts w:ascii="Times New Roman" w:hAnsi="Times New Roman" w:cs="Times New Roman"/>
          <w:sz w:val="28"/>
          <w:lang w:val="en-US"/>
        </w:rPr>
        <w:t>HU</w:t>
      </w:r>
      <w:r w:rsidR="00321B82" w:rsidRPr="00321B82">
        <w:rPr>
          <w:rFonts w:ascii="Times New Roman" w:hAnsi="Times New Roman" w:cs="Times New Roman"/>
          <w:sz w:val="28"/>
        </w:rPr>
        <w:t>.</w:t>
      </w:r>
    </w:p>
    <w:p w:rsidR="00B84AB9" w:rsidRDefault="00B84AB9" w:rsidP="0084666C">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 xml:space="preserve">У випадку вираженої гетерогенності новоутворення, ОЗ розташовували над ділянкою із найвищим значенням променевої щільності. У випадку кіст категорій за </w:t>
      </w:r>
      <w:r>
        <w:rPr>
          <w:rFonts w:ascii="Times New Roman" w:hAnsi="Times New Roman" w:cs="Times New Roman"/>
          <w:sz w:val="28"/>
          <w:lang w:val="en-US"/>
        </w:rPr>
        <w:t>Bosniak</w:t>
      </w:r>
      <w:r w:rsidRPr="009E6C7E">
        <w:rPr>
          <w:rFonts w:ascii="Times New Roman" w:hAnsi="Times New Roman" w:cs="Times New Roman"/>
          <w:sz w:val="28"/>
          <w:lang w:val="ru-RU"/>
        </w:rPr>
        <w:t xml:space="preserve"> </w:t>
      </w:r>
      <w:r>
        <w:rPr>
          <w:rFonts w:ascii="Times New Roman" w:hAnsi="Times New Roman" w:cs="Times New Roman"/>
          <w:sz w:val="28"/>
        </w:rPr>
        <w:t>І, ІІ та ІІ</w:t>
      </w:r>
      <w:r>
        <w:rPr>
          <w:rFonts w:ascii="Times New Roman" w:hAnsi="Times New Roman" w:cs="Times New Roman"/>
          <w:sz w:val="28"/>
          <w:lang w:val="en-US"/>
        </w:rPr>
        <w:t>F</w:t>
      </w:r>
      <w:r w:rsidRPr="009E6C7E">
        <w:rPr>
          <w:rFonts w:ascii="Times New Roman" w:hAnsi="Times New Roman" w:cs="Times New Roman"/>
          <w:sz w:val="28"/>
          <w:lang w:val="ru-RU"/>
        </w:rPr>
        <w:t xml:space="preserve"> </w:t>
      </w:r>
      <w:r>
        <w:rPr>
          <w:rFonts w:ascii="Times New Roman" w:hAnsi="Times New Roman" w:cs="Times New Roman"/>
          <w:sz w:val="28"/>
        </w:rPr>
        <w:t xml:space="preserve">область зацікавлення розміщували над кістою, ретельно повторюючи її контур. Для кіст категорій за </w:t>
      </w:r>
      <w:r>
        <w:rPr>
          <w:rFonts w:ascii="Times New Roman" w:hAnsi="Times New Roman" w:cs="Times New Roman"/>
          <w:sz w:val="28"/>
          <w:lang w:val="en-US"/>
        </w:rPr>
        <w:t>Bosniak</w:t>
      </w:r>
      <w:r>
        <w:rPr>
          <w:rFonts w:ascii="Times New Roman" w:hAnsi="Times New Roman" w:cs="Times New Roman"/>
          <w:sz w:val="28"/>
        </w:rPr>
        <w:t xml:space="preserve"> ІІІ та </w:t>
      </w:r>
      <w:r>
        <w:rPr>
          <w:rFonts w:ascii="Times New Roman" w:hAnsi="Times New Roman" w:cs="Times New Roman"/>
          <w:sz w:val="28"/>
          <w:lang w:val="en-US"/>
        </w:rPr>
        <w:t>IV</w:t>
      </w:r>
      <w:r>
        <w:rPr>
          <w:rFonts w:ascii="Times New Roman" w:hAnsi="Times New Roman" w:cs="Times New Roman"/>
          <w:sz w:val="28"/>
        </w:rPr>
        <w:t xml:space="preserve"> додатково до цього проводили вимірювання окремо тканинного компоненту (потовщених перегородок, стінок), розміщуючи ОЗ над ділянкою із найбільшим значенням променевої щільності. Таким чином для кожної пухлини проводили трьох-разове вимірювання, після чого на основі отриманих даних вираховували середн</w:t>
      </w:r>
      <w:r w:rsidR="0084666C">
        <w:rPr>
          <w:rFonts w:ascii="Times New Roman" w:hAnsi="Times New Roman" w:cs="Times New Roman"/>
          <w:sz w:val="28"/>
        </w:rPr>
        <w:t xml:space="preserve">є арифметичне. </w:t>
      </w:r>
    </w:p>
    <w:p w:rsidR="00321B82" w:rsidRDefault="00B84AB9" w:rsidP="0084666C">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Відношення променевої щільності (ВПЩ) новоутворення до нормальної паренхіми обчислювали як відношення ІС новоутворення до ІС інта</w:t>
      </w:r>
      <w:r w:rsidR="00BC2EB1">
        <w:rPr>
          <w:rFonts w:ascii="Times New Roman" w:hAnsi="Times New Roman" w:cs="Times New Roman"/>
          <w:sz w:val="28"/>
        </w:rPr>
        <w:t>ктної ниркової паренхіми контрлат</w:t>
      </w:r>
      <w:r>
        <w:rPr>
          <w:rFonts w:ascii="Times New Roman" w:hAnsi="Times New Roman" w:cs="Times New Roman"/>
          <w:sz w:val="28"/>
        </w:rPr>
        <w:t xml:space="preserve">еральної нирки. Для цього, ОЗ діаметром в середньому 1,5±0,5 см розташовували над симетричною ділянкою здорової </w:t>
      </w:r>
      <w:r>
        <w:rPr>
          <w:rFonts w:ascii="Times New Roman" w:hAnsi="Times New Roman" w:cs="Times New Roman"/>
          <w:sz w:val="28"/>
        </w:rPr>
        <w:lastRenderedPageBreak/>
        <w:t>ниркової паренхіми контралатеральної нирки і аналогічним до пухлини способом проводили заміри</w:t>
      </w:r>
      <w:r w:rsidR="00321B82" w:rsidRPr="00321B82">
        <w:rPr>
          <w:rFonts w:ascii="Times New Roman" w:hAnsi="Times New Roman" w:cs="Times New Roman"/>
          <w:sz w:val="28"/>
          <w:lang w:val="ru-RU"/>
        </w:rPr>
        <w:t xml:space="preserve"> </w:t>
      </w:r>
      <w:r w:rsidR="00544220">
        <w:rPr>
          <w:rFonts w:ascii="Times New Roman" w:hAnsi="Times New Roman" w:cs="Times New Roman"/>
          <w:sz w:val="28"/>
        </w:rPr>
        <w:t>(рис. 2.1</w:t>
      </w:r>
      <w:r w:rsidR="00321B82">
        <w:rPr>
          <w:rFonts w:ascii="Times New Roman" w:hAnsi="Times New Roman" w:cs="Times New Roman"/>
          <w:sz w:val="28"/>
        </w:rPr>
        <w:t>).</w:t>
      </w:r>
      <w:r>
        <w:rPr>
          <w:rFonts w:ascii="Times New Roman" w:hAnsi="Times New Roman" w:cs="Times New Roman"/>
          <w:sz w:val="28"/>
        </w:rPr>
        <w:t xml:space="preserve"> </w:t>
      </w:r>
    </w:p>
    <w:p w:rsidR="00321B82" w:rsidRDefault="00321B82" w:rsidP="00321B82">
      <w:pPr>
        <w:spacing w:line="360" w:lineRule="auto"/>
        <w:ind w:firstLine="708"/>
        <w:contextualSpacing/>
        <w:jc w:val="both"/>
        <w:rPr>
          <w:rFonts w:ascii="Times New Roman" w:hAnsi="Times New Roman" w:cs="Times New Roman"/>
          <w:sz w:val="28"/>
        </w:rPr>
      </w:pPr>
    </w:p>
    <w:p w:rsidR="00321B82" w:rsidRPr="002B1C21" w:rsidRDefault="00321B82" w:rsidP="00321B82">
      <w:pPr>
        <w:spacing w:line="360" w:lineRule="auto"/>
        <w:contextualSpacing/>
        <w:jc w:val="center"/>
        <w:rPr>
          <w:rFonts w:ascii="Times New Roman" w:hAnsi="Times New Roman" w:cs="Times New Roman"/>
          <w:sz w:val="28"/>
          <w:lang w:val="en-US"/>
        </w:rPr>
      </w:pPr>
      <w:r>
        <w:rPr>
          <w:rFonts w:ascii="Times New Roman" w:hAnsi="Times New Roman" w:cs="Times New Roman"/>
          <w:noProof/>
          <w:sz w:val="28"/>
          <w:lang w:val="en-US"/>
        </w:rPr>
        <w:drawing>
          <wp:inline distT="0" distB="0" distL="0" distR="0" wp14:anchorId="76665702" wp14:editId="4F24EBD3">
            <wp:extent cx="4410075" cy="3515236"/>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ТІК.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15514" cy="3519572"/>
                    </a:xfrm>
                    <a:prstGeom prst="rect">
                      <a:avLst/>
                    </a:prstGeom>
                  </pic:spPr>
                </pic:pic>
              </a:graphicData>
            </a:graphic>
          </wp:inline>
        </w:drawing>
      </w:r>
    </w:p>
    <w:p w:rsidR="00321B82" w:rsidRDefault="00544220" w:rsidP="00321B82">
      <w:pPr>
        <w:spacing w:line="360" w:lineRule="auto"/>
        <w:contextualSpacing/>
        <w:jc w:val="both"/>
        <w:rPr>
          <w:rFonts w:ascii="Times New Roman" w:hAnsi="Times New Roman" w:cs="Times New Roman"/>
          <w:sz w:val="28"/>
        </w:rPr>
      </w:pPr>
      <w:r>
        <w:rPr>
          <w:rFonts w:ascii="Times New Roman" w:hAnsi="Times New Roman" w:cs="Times New Roman"/>
          <w:sz w:val="28"/>
        </w:rPr>
        <w:t>Рис. 2.1</w:t>
      </w:r>
      <w:r w:rsidR="00321B82" w:rsidRPr="00682F11">
        <w:rPr>
          <w:rFonts w:ascii="Times New Roman" w:hAnsi="Times New Roman" w:cs="Times New Roman"/>
          <w:sz w:val="28"/>
        </w:rPr>
        <w:t xml:space="preserve">. </w:t>
      </w:r>
      <w:r w:rsidR="00321B82">
        <w:rPr>
          <w:rFonts w:ascii="Times New Roman" w:hAnsi="Times New Roman" w:cs="Times New Roman"/>
          <w:sz w:val="28"/>
        </w:rPr>
        <w:t>КТ хворого</w:t>
      </w:r>
      <w:r w:rsidR="00321B82" w:rsidRPr="00682F11">
        <w:rPr>
          <w:rFonts w:ascii="Times New Roman" w:hAnsi="Times New Roman" w:cs="Times New Roman"/>
          <w:sz w:val="28"/>
        </w:rPr>
        <w:t xml:space="preserve"> К., 53 роки, </w:t>
      </w:r>
      <w:r w:rsidR="00321B82">
        <w:rPr>
          <w:rFonts w:ascii="Times New Roman" w:hAnsi="Times New Roman" w:cs="Times New Roman"/>
          <w:sz w:val="28"/>
        </w:rPr>
        <w:t xml:space="preserve">аксіальна проекція, область зацікавлення розміщена над ділянкою негомогоенної, гіпоінтенсивної на всіх фазах  пухлини розміром 4,0 см заднього сегменту лівої нирки (еліпс). А: пре-контрастне зображення, середня атенуація =47,35 </w:t>
      </w:r>
      <w:r w:rsidR="00321B82">
        <w:rPr>
          <w:rFonts w:ascii="Times New Roman" w:hAnsi="Times New Roman" w:cs="Times New Roman"/>
          <w:sz w:val="28"/>
          <w:lang w:val="en-US"/>
        </w:rPr>
        <w:t>HU</w:t>
      </w:r>
      <w:r w:rsidR="00321B82">
        <w:rPr>
          <w:rFonts w:ascii="Times New Roman" w:hAnsi="Times New Roman" w:cs="Times New Roman"/>
          <w:sz w:val="28"/>
        </w:rPr>
        <w:t xml:space="preserve">; Б: кортико-медулярна фаза, атенуація=120,72 </w:t>
      </w:r>
      <w:r w:rsidR="00321B82">
        <w:rPr>
          <w:rFonts w:ascii="Times New Roman" w:hAnsi="Times New Roman" w:cs="Times New Roman"/>
          <w:sz w:val="28"/>
          <w:lang w:val="en-US"/>
        </w:rPr>
        <w:t>HU</w:t>
      </w:r>
      <w:r w:rsidR="00321B82">
        <w:rPr>
          <w:rFonts w:ascii="Times New Roman" w:hAnsi="Times New Roman" w:cs="Times New Roman"/>
          <w:sz w:val="28"/>
        </w:rPr>
        <w:t>; В: нефрографічна фаза, атенуація=98,56</w:t>
      </w:r>
      <w:r w:rsidR="00321B82" w:rsidRPr="00682F11">
        <w:rPr>
          <w:rFonts w:ascii="Times New Roman" w:hAnsi="Times New Roman" w:cs="Times New Roman"/>
          <w:sz w:val="28"/>
        </w:rPr>
        <w:t xml:space="preserve"> </w:t>
      </w:r>
      <w:r w:rsidR="00321B82">
        <w:rPr>
          <w:rFonts w:ascii="Times New Roman" w:hAnsi="Times New Roman" w:cs="Times New Roman"/>
          <w:sz w:val="28"/>
          <w:lang w:val="en-US"/>
        </w:rPr>
        <w:t>HU</w:t>
      </w:r>
      <w:r w:rsidR="00321B82">
        <w:rPr>
          <w:rFonts w:ascii="Times New Roman" w:hAnsi="Times New Roman" w:cs="Times New Roman"/>
          <w:sz w:val="28"/>
        </w:rPr>
        <w:t xml:space="preserve">; Г: екскреторна фаза, атенуація=72,12 </w:t>
      </w:r>
      <w:r w:rsidR="00321B82">
        <w:rPr>
          <w:rFonts w:ascii="Times New Roman" w:hAnsi="Times New Roman" w:cs="Times New Roman"/>
          <w:sz w:val="28"/>
          <w:lang w:val="en-US"/>
        </w:rPr>
        <w:t>HU</w:t>
      </w:r>
      <w:r w:rsidR="00321B82">
        <w:rPr>
          <w:rFonts w:ascii="Times New Roman" w:hAnsi="Times New Roman" w:cs="Times New Roman"/>
          <w:sz w:val="28"/>
        </w:rPr>
        <w:t xml:space="preserve">. Патоморологчний </w:t>
      </w:r>
      <w:r w:rsidR="00321B82" w:rsidRPr="00682F11">
        <w:rPr>
          <w:rFonts w:ascii="Times New Roman" w:hAnsi="Times New Roman" w:cs="Times New Roman"/>
          <w:sz w:val="28"/>
        </w:rPr>
        <w:t xml:space="preserve">діагноз: </w:t>
      </w:r>
      <w:r w:rsidR="00321B82">
        <w:rPr>
          <w:rFonts w:ascii="Times New Roman" w:hAnsi="Times New Roman" w:cs="Times New Roman"/>
          <w:sz w:val="28"/>
        </w:rPr>
        <w:t>скНКР лівої нирки, Т1</w:t>
      </w:r>
      <w:r w:rsidR="00321B82" w:rsidRPr="009E6C7E">
        <w:rPr>
          <w:rFonts w:ascii="Times New Roman" w:hAnsi="Times New Roman" w:cs="Times New Roman"/>
          <w:sz w:val="28"/>
        </w:rPr>
        <w:t>а</w:t>
      </w:r>
      <w:r w:rsidR="00321B82" w:rsidRPr="00682F11">
        <w:rPr>
          <w:rFonts w:ascii="Times New Roman" w:hAnsi="Times New Roman" w:cs="Times New Roman"/>
          <w:sz w:val="28"/>
          <w:lang w:val="en-US"/>
        </w:rPr>
        <w:t>N</w:t>
      </w:r>
      <w:r w:rsidR="00321B82" w:rsidRPr="00682F11">
        <w:rPr>
          <w:rFonts w:ascii="Times New Roman" w:hAnsi="Times New Roman" w:cs="Times New Roman"/>
          <w:sz w:val="28"/>
        </w:rPr>
        <w:t>0</w:t>
      </w:r>
      <w:r w:rsidR="00321B82" w:rsidRPr="00682F11">
        <w:rPr>
          <w:rFonts w:ascii="Times New Roman" w:hAnsi="Times New Roman" w:cs="Times New Roman"/>
          <w:sz w:val="28"/>
          <w:lang w:val="en-US"/>
        </w:rPr>
        <w:t>M</w:t>
      </w:r>
      <w:r w:rsidR="00321B82" w:rsidRPr="00682F11">
        <w:rPr>
          <w:rFonts w:ascii="Times New Roman" w:hAnsi="Times New Roman" w:cs="Times New Roman"/>
          <w:sz w:val="28"/>
        </w:rPr>
        <w:t xml:space="preserve">0, ІІ ступінь за </w:t>
      </w:r>
      <w:r w:rsidR="00321B82" w:rsidRPr="00682F11">
        <w:rPr>
          <w:rFonts w:ascii="Times New Roman" w:hAnsi="Times New Roman" w:cs="Times New Roman"/>
          <w:sz w:val="28"/>
          <w:lang w:val="en-US"/>
        </w:rPr>
        <w:t>Furhman</w:t>
      </w:r>
      <w:r w:rsidR="00321B82">
        <w:rPr>
          <w:rFonts w:ascii="Times New Roman" w:hAnsi="Times New Roman" w:cs="Times New Roman"/>
          <w:sz w:val="28"/>
        </w:rPr>
        <w:t>.</w:t>
      </w:r>
    </w:p>
    <w:p w:rsidR="00321B82" w:rsidRDefault="00321B82" w:rsidP="00321B82">
      <w:pPr>
        <w:spacing w:line="360" w:lineRule="auto"/>
        <w:contextualSpacing/>
        <w:jc w:val="both"/>
        <w:rPr>
          <w:rFonts w:ascii="Times New Roman" w:hAnsi="Times New Roman" w:cs="Times New Roman"/>
          <w:sz w:val="28"/>
        </w:rPr>
      </w:pPr>
    </w:p>
    <w:p w:rsidR="00B84AB9" w:rsidRDefault="00B84AB9" w:rsidP="0084666C">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 xml:space="preserve">На основі отриманих показників </w:t>
      </w:r>
      <w:r w:rsidR="00F2472B">
        <w:rPr>
          <w:rFonts w:ascii="Times New Roman" w:hAnsi="Times New Roman" w:cs="Times New Roman"/>
          <w:sz w:val="28"/>
        </w:rPr>
        <w:t xml:space="preserve">ІС та </w:t>
      </w:r>
      <w:r>
        <w:rPr>
          <w:rFonts w:ascii="Times New Roman" w:hAnsi="Times New Roman" w:cs="Times New Roman"/>
          <w:sz w:val="28"/>
        </w:rPr>
        <w:t xml:space="preserve">ВПЩ під час різних фаз, у пакеті </w:t>
      </w:r>
      <w:r>
        <w:rPr>
          <w:rFonts w:ascii="Times New Roman" w:hAnsi="Times New Roman" w:cs="Times New Roman"/>
          <w:sz w:val="28"/>
          <w:lang w:val="en-US"/>
        </w:rPr>
        <w:t>Microsoft</w:t>
      </w:r>
      <w:r w:rsidRPr="00F015AD">
        <w:rPr>
          <w:rFonts w:ascii="Times New Roman" w:hAnsi="Times New Roman" w:cs="Times New Roman"/>
          <w:sz w:val="28"/>
        </w:rPr>
        <w:t xml:space="preserve"> </w:t>
      </w:r>
      <w:r>
        <w:rPr>
          <w:rFonts w:ascii="Times New Roman" w:hAnsi="Times New Roman" w:cs="Times New Roman"/>
          <w:sz w:val="28"/>
          <w:lang w:val="en-US"/>
        </w:rPr>
        <w:t>Excel</w:t>
      </w:r>
      <w:r w:rsidRPr="00732DF5">
        <w:rPr>
          <w:rFonts w:ascii="Times New Roman" w:hAnsi="Times New Roman" w:cs="Times New Roman"/>
          <w:sz w:val="28"/>
        </w:rPr>
        <w:t xml:space="preserve"> </w:t>
      </w:r>
      <w:r w:rsidRPr="00F015AD">
        <w:rPr>
          <w:rFonts w:ascii="Times New Roman" w:hAnsi="Times New Roman" w:cs="Times New Roman"/>
          <w:sz w:val="28"/>
        </w:rPr>
        <w:t xml:space="preserve">2016 </w:t>
      </w:r>
      <w:r>
        <w:rPr>
          <w:rFonts w:ascii="Times New Roman" w:hAnsi="Times New Roman" w:cs="Times New Roman"/>
          <w:sz w:val="28"/>
        </w:rPr>
        <w:t xml:space="preserve">будували часові криві інтенсивності – </w:t>
      </w:r>
      <w:r>
        <w:rPr>
          <w:rFonts w:ascii="Times New Roman" w:hAnsi="Times New Roman" w:cs="Times New Roman"/>
          <w:sz w:val="28"/>
          <w:lang w:val="en-US"/>
        </w:rPr>
        <w:t>time</w:t>
      </w:r>
      <w:r w:rsidRPr="00C70688">
        <w:rPr>
          <w:rFonts w:ascii="Times New Roman" w:hAnsi="Times New Roman" w:cs="Times New Roman"/>
          <w:sz w:val="28"/>
        </w:rPr>
        <w:t>-</w:t>
      </w:r>
      <w:r>
        <w:rPr>
          <w:rFonts w:ascii="Times New Roman" w:hAnsi="Times New Roman" w:cs="Times New Roman"/>
          <w:sz w:val="28"/>
          <w:lang w:val="en-US"/>
        </w:rPr>
        <w:t>intensity</w:t>
      </w:r>
      <w:r w:rsidRPr="00C70688">
        <w:rPr>
          <w:rFonts w:ascii="Times New Roman" w:hAnsi="Times New Roman" w:cs="Times New Roman"/>
          <w:sz w:val="28"/>
        </w:rPr>
        <w:t xml:space="preserve"> </w:t>
      </w:r>
      <w:r>
        <w:rPr>
          <w:rFonts w:ascii="Times New Roman" w:hAnsi="Times New Roman" w:cs="Times New Roman"/>
          <w:sz w:val="28"/>
          <w:lang w:val="en-US"/>
        </w:rPr>
        <w:t>curve</w:t>
      </w:r>
      <w:r w:rsidRPr="00C70688">
        <w:rPr>
          <w:rFonts w:ascii="Times New Roman" w:hAnsi="Times New Roman" w:cs="Times New Roman"/>
          <w:sz w:val="28"/>
        </w:rPr>
        <w:t xml:space="preserve"> (</w:t>
      </w:r>
      <w:r>
        <w:rPr>
          <w:rFonts w:ascii="Times New Roman" w:hAnsi="Times New Roman" w:cs="Times New Roman"/>
          <w:sz w:val="28"/>
          <w:lang w:val="en-US"/>
        </w:rPr>
        <w:t>TIK</w:t>
      </w:r>
      <w:r w:rsidRPr="00C70688">
        <w:rPr>
          <w:rFonts w:ascii="Times New Roman" w:hAnsi="Times New Roman" w:cs="Times New Roman"/>
          <w:sz w:val="28"/>
        </w:rPr>
        <w:t>)</w:t>
      </w:r>
      <w:r>
        <w:rPr>
          <w:rFonts w:ascii="Times New Roman" w:hAnsi="Times New Roman" w:cs="Times New Roman"/>
          <w:sz w:val="28"/>
        </w:rPr>
        <w:t xml:space="preserve"> сигналу пухл</w:t>
      </w:r>
      <w:r w:rsidR="00544220">
        <w:rPr>
          <w:rFonts w:ascii="Times New Roman" w:hAnsi="Times New Roman" w:cs="Times New Roman"/>
          <w:sz w:val="28"/>
        </w:rPr>
        <w:t>ини (рис. 2.2</w:t>
      </w:r>
      <w:r w:rsidR="0084666C">
        <w:rPr>
          <w:rFonts w:ascii="Times New Roman" w:hAnsi="Times New Roman" w:cs="Times New Roman"/>
          <w:sz w:val="28"/>
        </w:rPr>
        <w:t xml:space="preserve">). </w:t>
      </w:r>
    </w:p>
    <w:p w:rsidR="0084666C" w:rsidRPr="008B0E6D" w:rsidRDefault="0084666C" w:rsidP="0084666C">
      <w:pPr>
        <w:spacing w:line="360" w:lineRule="auto"/>
        <w:ind w:firstLine="708"/>
        <w:contextualSpacing/>
        <w:jc w:val="both"/>
        <w:rPr>
          <w:rFonts w:ascii="Times New Roman" w:hAnsi="Times New Roman" w:cs="Times New Roman"/>
          <w:sz w:val="28"/>
        </w:rPr>
      </w:pPr>
    </w:p>
    <w:p w:rsidR="00B84AB9" w:rsidRDefault="00B84AB9" w:rsidP="00B84AB9">
      <w:pPr>
        <w:spacing w:line="360" w:lineRule="auto"/>
        <w:contextualSpacing/>
        <w:jc w:val="center"/>
        <w:rPr>
          <w:rFonts w:ascii="Times New Roman" w:hAnsi="Times New Roman" w:cs="Times New Roman"/>
          <w:sz w:val="28"/>
        </w:rPr>
      </w:pPr>
      <w:r>
        <w:rPr>
          <w:noProof/>
          <w:lang w:val="en-US"/>
        </w:rPr>
        <w:lastRenderedPageBreak/>
        <w:drawing>
          <wp:inline distT="0" distB="0" distL="0" distR="0" wp14:anchorId="06D44D07" wp14:editId="199BA8E9">
            <wp:extent cx="4572000" cy="27432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84AB9" w:rsidRDefault="00544220" w:rsidP="00B84AB9">
      <w:pPr>
        <w:spacing w:line="360" w:lineRule="auto"/>
        <w:contextualSpacing/>
        <w:jc w:val="both"/>
        <w:rPr>
          <w:rFonts w:ascii="Times New Roman" w:hAnsi="Times New Roman" w:cs="Times New Roman"/>
          <w:sz w:val="28"/>
        </w:rPr>
      </w:pPr>
      <w:r>
        <w:rPr>
          <w:rFonts w:ascii="Times New Roman" w:hAnsi="Times New Roman" w:cs="Times New Roman"/>
          <w:sz w:val="28"/>
        </w:rPr>
        <w:t>Рис. 2.2</w:t>
      </w:r>
      <w:r w:rsidR="00B84AB9" w:rsidRPr="00682F11">
        <w:rPr>
          <w:rFonts w:ascii="Times New Roman" w:hAnsi="Times New Roman" w:cs="Times New Roman"/>
          <w:sz w:val="28"/>
        </w:rPr>
        <w:t>.</w:t>
      </w:r>
      <w:r w:rsidR="00B84AB9">
        <w:rPr>
          <w:rFonts w:ascii="Times New Roman" w:hAnsi="Times New Roman" w:cs="Times New Roman"/>
          <w:sz w:val="28"/>
        </w:rPr>
        <w:t xml:space="preserve"> Часова крива інтенсивності сигналу над пухлиною на КТ-зображеннях. Той же хворий.</w:t>
      </w:r>
    </w:p>
    <w:p w:rsidR="00B84AB9" w:rsidRDefault="00B84AB9" w:rsidP="00B84AB9">
      <w:pPr>
        <w:spacing w:line="360" w:lineRule="auto"/>
        <w:ind w:firstLine="708"/>
        <w:contextualSpacing/>
        <w:jc w:val="both"/>
        <w:rPr>
          <w:rFonts w:ascii="Times New Roman" w:hAnsi="Times New Roman" w:cs="Times New Roman"/>
          <w:sz w:val="28"/>
        </w:rPr>
      </w:pPr>
    </w:p>
    <w:p w:rsidR="00B84AB9" w:rsidRDefault="00B84AB9" w:rsidP="00B84AB9">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При проведенні КТ, для отримання референтних значень ІС нормальної ниркової паренхіми, ОЗ розміром в середньому 1,5±0,4 см розташовували над паренхімою неураженої нирки відібраних хворих без ниркової патології, які проходили КТ-обстеження че</w:t>
      </w:r>
      <w:r w:rsidR="00BC2EB1">
        <w:rPr>
          <w:rFonts w:ascii="Times New Roman" w:hAnsi="Times New Roman" w:cs="Times New Roman"/>
          <w:sz w:val="28"/>
        </w:rPr>
        <w:t xml:space="preserve">ревної порожнини з контрастом, </w:t>
      </w:r>
      <w:r>
        <w:rPr>
          <w:rFonts w:ascii="Times New Roman" w:hAnsi="Times New Roman" w:cs="Times New Roman"/>
          <w:sz w:val="28"/>
        </w:rPr>
        <w:t>при підозрі на захворювання поза межами сечовидільної системи, після чого виконували реєстрацію показників променевої щільності. Вказаним методом проводили трьох-разові виміри, після чого з отриманих даних вираховувалось середнє арифметичне.</w:t>
      </w:r>
    </w:p>
    <w:p w:rsidR="00B84AB9" w:rsidRDefault="00B84AB9" w:rsidP="00B84AB9">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 xml:space="preserve">Для роботи із КТ-зображеннями використовували програмні пакети </w:t>
      </w:r>
      <w:r>
        <w:rPr>
          <w:rFonts w:ascii="Times New Roman" w:hAnsi="Times New Roman" w:cs="Times New Roman"/>
          <w:sz w:val="28"/>
          <w:lang w:val="en-US"/>
        </w:rPr>
        <w:t>RadiAnt</w:t>
      </w:r>
      <w:r w:rsidRPr="008B0E6D">
        <w:rPr>
          <w:rFonts w:ascii="Times New Roman" w:hAnsi="Times New Roman" w:cs="Times New Roman"/>
          <w:sz w:val="28"/>
        </w:rPr>
        <w:t xml:space="preserve"> </w:t>
      </w:r>
      <w:r>
        <w:rPr>
          <w:rFonts w:ascii="Times New Roman" w:hAnsi="Times New Roman" w:cs="Times New Roman"/>
          <w:sz w:val="28"/>
          <w:lang w:val="en-US"/>
        </w:rPr>
        <w:t>DICOM</w:t>
      </w:r>
      <w:r w:rsidRPr="008B0E6D">
        <w:rPr>
          <w:rFonts w:ascii="Times New Roman" w:hAnsi="Times New Roman" w:cs="Times New Roman"/>
          <w:sz w:val="28"/>
        </w:rPr>
        <w:t xml:space="preserve"> </w:t>
      </w:r>
      <w:r>
        <w:rPr>
          <w:rFonts w:ascii="Times New Roman" w:hAnsi="Times New Roman" w:cs="Times New Roman"/>
          <w:sz w:val="28"/>
          <w:lang w:val="en-US"/>
        </w:rPr>
        <w:t>Viewer</w:t>
      </w:r>
      <w:r w:rsidRPr="008B0E6D">
        <w:rPr>
          <w:rFonts w:ascii="Times New Roman" w:hAnsi="Times New Roman" w:cs="Times New Roman"/>
          <w:sz w:val="28"/>
        </w:rPr>
        <w:t xml:space="preserve"> 4</w:t>
      </w:r>
      <w:r>
        <w:rPr>
          <w:rFonts w:ascii="Times New Roman" w:hAnsi="Times New Roman" w:cs="Times New Roman"/>
          <w:sz w:val="28"/>
        </w:rPr>
        <w:t xml:space="preserve">.0.3 та </w:t>
      </w:r>
      <w:r>
        <w:rPr>
          <w:rFonts w:ascii="Times New Roman" w:hAnsi="Times New Roman" w:cs="Times New Roman"/>
          <w:sz w:val="28"/>
          <w:lang w:val="en-US"/>
        </w:rPr>
        <w:t>eFilm</w:t>
      </w:r>
      <w:r w:rsidRPr="008B0E6D">
        <w:rPr>
          <w:rFonts w:ascii="Times New Roman" w:hAnsi="Times New Roman" w:cs="Times New Roman"/>
          <w:sz w:val="28"/>
        </w:rPr>
        <w:t xml:space="preserve"> </w:t>
      </w:r>
      <w:r>
        <w:rPr>
          <w:rFonts w:ascii="Times New Roman" w:hAnsi="Times New Roman" w:cs="Times New Roman"/>
          <w:sz w:val="28"/>
          <w:lang w:val="en-US"/>
        </w:rPr>
        <w:t>Workstation</w:t>
      </w:r>
      <w:r w:rsidRPr="008B0E6D">
        <w:rPr>
          <w:rFonts w:ascii="Times New Roman" w:hAnsi="Times New Roman" w:cs="Times New Roman"/>
          <w:sz w:val="28"/>
        </w:rPr>
        <w:t xml:space="preserve"> 4</w:t>
      </w:r>
      <w:r>
        <w:rPr>
          <w:rFonts w:ascii="Times New Roman" w:hAnsi="Times New Roman" w:cs="Times New Roman"/>
          <w:sz w:val="28"/>
        </w:rPr>
        <w:t>.1.0.</w:t>
      </w:r>
    </w:p>
    <w:p w:rsidR="00B84AB9" w:rsidRDefault="00B84AB9" w:rsidP="00B84AB9">
      <w:pPr>
        <w:spacing w:line="360" w:lineRule="auto"/>
        <w:contextualSpacing/>
        <w:rPr>
          <w:rFonts w:ascii="Times New Roman" w:hAnsi="Times New Roman" w:cs="Times New Roman"/>
          <w:sz w:val="28"/>
        </w:rPr>
      </w:pPr>
    </w:p>
    <w:p w:rsidR="00B84AB9" w:rsidRDefault="00B84AB9" w:rsidP="00B84AB9">
      <w:pPr>
        <w:spacing w:line="360" w:lineRule="auto"/>
        <w:ind w:firstLine="708"/>
        <w:contextualSpacing/>
        <w:rPr>
          <w:rFonts w:ascii="Times New Roman" w:hAnsi="Times New Roman" w:cs="Times New Roman"/>
          <w:sz w:val="28"/>
        </w:rPr>
      </w:pPr>
      <w:r>
        <w:rPr>
          <w:rFonts w:ascii="Times New Roman" w:hAnsi="Times New Roman" w:cs="Times New Roman"/>
          <w:sz w:val="28"/>
        </w:rPr>
        <w:t>2.2.5</w:t>
      </w:r>
      <w:r w:rsidRPr="00EA0B12">
        <w:rPr>
          <w:rFonts w:ascii="Times New Roman" w:hAnsi="Times New Roman" w:cs="Times New Roman"/>
          <w:sz w:val="28"/>
        </w:rPr>
        <w:t>. Магнітно-резонансна томографія</w:t>
      </w:r>
      <w:r>
        <w:rPr>
          <w:rFonts w:ascii="Times New Roman" w:hAnsi="Times New Roman" w:cs="Times New Roman"/>
          <w:sz w:val="28"/>
        </w:rPr>
        <w:t xml:space="preserve"> (МРТ)</w:t>
      </w:r>
    </w:p>
    <w:p w:rsidR="00B84AB9" w:rsidRDefault="00B84AB9" w:rsidP="00B84AB9">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 xml:space="preserve">МРТ черевної порожнини і тазу проводилась у якості альтернативи комп’ютерній томографії у разі неможливості її проведення (алергія на йодовмісні контрастні речовини, ниркова недостатність, з метою уникнення іонізуючого опромінення), чи у комплексі з нею, використовуючи апарат </w:t>
      </w:r>
      <w:r>
        <w:rPr>
          <w:rFonts w:ascii="Times New Roman" w:hAnsi="Times New Roman" w:cs="Times New Roman"/>
          <w:sz w:val="28"/>
          <w:lang w:val="en-US"/>
        </w:rPr>
        <w:t>Signa</w:t>
      </w:r>
      <w:r w:rsidRPr="00204A31">
        <w:rPr>
          <w:rFonts w:ascii="Times New Roman" w:hAnsi="Times New Roman" w:cs="Times New Roman"/>
          <w:sz w:val="28"/>
        </w:rPr>
        <w:t xml:space="preserve"> </w:t>
      </w:r>
      <w:r>
        <w:rPr>
          <w:rFonts w:ascii="Times New Roman" w:hAnsi="Times New Roman" w:cs="Times New Roman"/>
          <w:sz w:val="28"/>
          <w:lang w:val="en-US"/>
        </w:rPr>
        <w:t>DFxt</w:t>
      </w:r>
      <w:r>
        <w:rPr>
          <w:rFonts w:ascii="Times New Roman" w:hAnsi="Times New Roman" w:cs="Times New Roman"/>
          <w:sz w:val="28"/>
        </w:rPr>
        <w:t xml:space="preserve"> 1,5T</w:t>
      </w:r>
      <w:r w:rsidRPr="007A0B53">
        <w:rPr>
          <w:rFonts w:ascii="Times New Roman" w:hAnsi="Times New Roman" w:cs="Times New Roman"/>
          <w:sz w:val="28"/>
        </w:rPr>
        <w:t xml:space="preserve"> (</w:t>
      </w:r>
      <w:r>
        <w:rPr>
          <w:rFonts w:ascii="Times New Roman" w:hAnsi="Times New Roman" w:cs="Times New Roman"/>
          <w:sz w:val="28"/>
          <w:lang w:val="en-US"/>
        </w:rPr>
        <w:t>General</w:t>
      </w:r>
      <w:r w:rsidRPr="007A0B53">
        <w:rPr>
          <w:rFonts w:ascii="Times New Roman" w:hAnsi="Times New Roman" w:cs="Times New Roman"/>
          <w:sz w:val="28"/>
        </w:rPr>
        <w:t xml:space="preserve"> </w:t>
      </w:r>
      <w:r>
        <w:rPr>
          <w:rFonts w:ascii="Times New Roman" w:hAnsi="Times New Roman" w:cs="Times New Roman"/>
          <w:sz w:val="28"/>
          <w:lang w:val="en-US"/>
        </w:rPr>
        <w:t>Electric</w:t>
      </w:r>
      <w:r w:rsidRPr="007A0B53">
        <w:rPr>
          <w:rFonts w:ascii="Times New Roman" w:hAnsi="Times New Roman" w:cs="Times New Roman"/>
          <w:sz w:val="28"/>
          <w:vertAlign w:val="superscript"/>
        </w:rPr>
        <w:t>®</w:t>
      </w:r>
      <w:r>
        <w:rPr>
          <w:rFonts w:ascii="Times New Roman" w:hAnsi="Times New Roman" w:cs="Times New Roman"/>
          <w:sz w:val="28"/>
        </w:rPr>
        <w:t>, США)</w:t>
      </w:r>
      <w:r w:rsidRPr="00646D6A">
        <w:rPr>
          <w:sz w:val="28"/>
          <w:szCs w:val="28"/>
        </w:rPr>
        <w:t xml:space="preserve"> </w:t>
      </w:r>
      <w:r w:rsidRPr="00646D6A">
        <w:rPr>
          <w:rFonts w:ascii="Times New Roman" w:hAnsi="Times New Roman" w:cs="Times New Roman"/>
          <w:sz w:val="28"/>
          <w:szCs w:val="28"/>
        </w:rPr>
        <w:t>та восьмиканальну котушку</w:t>
      </w:r>
      <w:r w:rsidRPr="00646D6A">
        <w:rPr>
          <w:rFonts w:ascii="Times New Roman" w:hAnsi="Times New Roman" w:cs="Times New Roman"/>
          <w:sz w:val="28"/>
        </w:rPr>
        <w:t>.</w:t>
      </w:r>
      <w:r>
        <w:rPr>
          <w:rFonts w:ascii="Times New Roman" w:hAnsi="Times New Roman" w:cs="Times New Roman"/>
          <w:sz w:val="28"/>
        </w:rPr>
        <w:t xml:space="preserve"> Дослідження проводилось для визначення параметрів пухлинного вогнища включаючи </w:t>
      </w:r>
      <w:r>
        <w:rPr>
          <w:rFonts w:ascii="Times New Roman" w:hAnsi="Times New Roman" w:cs="Times New Roman"/>
          <w:sz w:val="28"/>
        </w:rPr>
        <w:lastRenderedPageBreak/>
        <w:t xml:space="preserve">визначення: </w:t>
      </w:r>
      <w:r w:rsidRPr="00431AB3">
        <w:rPr>
          <w:rFonts w:ascii="Times New Roman" w:hAnsi="Times New Roman" w:cs="Times New Roman"/>
          <w:sz w:val="28"/>
        </w:rPr>
        <w:t>розмірів пухлини</w:t>
      </w:r>
      <w:r>
        <w:rPr>
          <w:rFonts w:ascii="Times New Roman" w:hAnsi="Times New Roman" w:cs="Times New Roman"/>
          <w:sz w:val="28"/>
        </w:rPr>
        <w:t xml:space="preserve">, </w:t>
      </w:r>
      <w:r w:rsidRPr="00431AB3">
        <w:rPr>
          <w:rFonts w:ascii="Times New Roman" w:hAnsi="Times New Roman" w:cs="Times New Roman"/>
          <w:sz w:val="28"/>
        </w:rPr>
        <w:t xml:space="preserve">її </w:t>
      </w:r>
      <w:r>
        <w:rPr>
          <w:rFonts w:ascii="Times New Roman" w:hAnsi="Times New Roman" w:cs="Times New Roman"/>
          <w:sz w:val="28"/>
        </w:rPr>
        <w:t>форми, положення, наявності</w:t>
      </w:r>
      <w:r w:rsidRPr="00431AB3">
        <w:rPr>
          <w:rFonts w:ascii="Times New Roman" w:hAnsi="Times New Roman" w:cs="Times New Roman"/>
          <w:sz w:val="28"/>
        </w:rPr>
        <w:t xml:space="preserve"> </w:t>
      </w:r>
      <w:r>
        <w:rPr>
          <w:rFonts w:ascii="Times New Roman" w:hAnsi="Times New Roman" w:cs="Times New Roman"/>
          <w:sz w:val="28"/>
        </w:rPr>
        <w:t xml:space="preserve">зон некрозу, </w:t>
      </w:r>
      <w:r w:rsidRPr="00431AB3">
        <w:rPr>
          <w:rFonts w:ascii="Times New Roman" w:hAnsi="Times New Roman" w:cs="Times New Roman"/>
          <w:sz w:val="28"/>
        </w:rPr>
        <w:t>ноду</w:t>
      </w:r>
      <w:r>
        <w:rPr>
          <w:rFonts w:ascii="Times New Roman" w:hAnsi="Times New Roman" w:cs="Times New Roman"/>
          <w:sz w:val="28"/>
        </w:rPr>
        <w:t xml:space="preserve">лярного контрастного підсилення, нечітких країв, наявності кістозних компонентів, </w:t>
      </w:r>
      <w:r w:rsidRPr="00431AB3">
        <w:rPr>
          <w:rFonts w:ascii="Times New Roman" w:hAnsi="Times New Roman" w:cs="Times New Roman"/>
          <w:sz w:val="28"/>
        </w:rPr>
        <w:t>високої васкуляризації</w:t>
      </w:r>
      <w:r>
        <w:rPr>
          <w:rFonts w:ascii="Times New Roman" w:hAnsi="Times New Roman" w:cs="Times New Roman"/>
          <w:sz w:val="28"/>
        </w:rPr>
        <w:t xml:space="preserve">, мультицентричного росту, </w:t>
      </w:r>
      <w:r w:rsidRPr="00431AB3">
        <w:rPr>
          <w:rFonts w:ascii="Times New Roman" w:hAnsi="Times New Roman" w:cs="Times New Roman"/>
          <w:sz w:val="28"/>
        </w:rPr>
        <w:t>інвазії в збиральну систему/синус нирки</w:t>
      </w:r>
      <w:r>
        <w:rPr>
          <w:rFonts w:ascii="Times New Roman" w:hAnsi="Times New Roman" w:cs="Times New Roman"/>
          <w:sz w:val="28"/>
        </w:rPr>
        <w:t xml:space="preserve">/надниркову залозу, </w:t>
      </w:r>
      <w:r w:rsidRPr="00431AB3">
        <w:rPr>
          <w:rFonts w:ascii="Times New Roman" w:hAnsi="Times New Roman" w:cs="Times New Roman"/>
          <w:sz w:val="28"/>
        </w:rPr>
        <w:t xml:space="preserve">поширення </w:t>
      </w:r>
      <w:r>
        <w:rPr>
          <w:rFonts w:ascii="Times New Roman" w:hAnsi="Times New Roman" w:cs="Times New Roman"/>
          <w:sz w:val="28"/>
        </w:rPr>
        <w:t xml:space="preserve">в </w:t>
      </w:r>
      <w:r w:rsidRPr="00431AB3">
        <w:rPr>
          <w:rFonts w:ascii="Times New Roman" w:hAnsi="Times New Roman" w:cs="Times New Roman"/>
          <w:sz w:val="28"/>
        </w:rPr>
        <w:t>навколишні тканини</w:t>
      </w:r>
      <w:r>
        <w:rPr>
          <w:rFonts w:ascii="Times New Roman" w:hAnsi="Times New Roman" w:cs="Times New Roman"/>
          <w:sz w:val="28"/>
        </w:rPr>
        <w:t xml:space="preserve"> та поза межі фасції</w:t>
      </w:r>
      <w:r w:rsidRPr="00431AB3">
        <w:rPr>
          <w:rFonts w:ascii="Times New Roman" w:hAnsi="Times New Roman" w:cs="Times New Roman"/>
          <w:sz w:val="28"/>
        </w:rPr>
        <w:t xml:space="preserve"> </w:t>
      </w:r>
      <w:r>
        <w:rPr>
          <w:rFonts w:ascii="Times New Roman" w:hAnsi="Times New Roman" w:cs="Times New Roman"/>
          <w:sz w:val="28"/>
          <w:lang w:val="en-US"/>
        </w:rPr>
        <w:t>Gerota</w:t>
      </w:r>
      <w:r w:rsidRPr="00431AB3">
        <w:rPr>
          <w:rFonts w:ascii="Times New Roman" w:hAnsi="Times New Roman" w:cs="Times New Roman"/>
          <w:sz w:val="28"/>
        </w:rPr>
        <w:t>; розміру та поширення пухлинного тромбу в ниркову і порожнисту вени; стан регіонарних лімфатичних вузлів.</w:t>
      </w:r>
      <w:r>
        <w:rPr>
          <w:rFonts w:ascii="Times New Roman" w:hAnsi="Times New Roman" w:cs="Times New Roman"/>
          <w:sz w:val="28"/>
        </w:rPr>
        <w:t xml:space="preserve"> </w:t>
      </w:r>
    </w:p>
    <w:p w:rsidR="00B84AB9" w:rsidRPr="00A62F9F" w:rsidRDefault="00B84AB9" w:rsidP="00B84AB9">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Класифікація кіст</w:t>
      </w:r>
      <w:r w:rsidRPr="00A62F9F">
        <w:rPr>
          <w:rFonts w:ascii="Times New Roman" w:hAnsi="Times New Roman" w:cs="Times New Roman"/>
          <w:sz w:val="28"/>
        </w:rPr>
        <w:t xml:space="preserve"> </w:t>
      </w:r>
      <w:r>
        <w:rPr>
          <w:rFonts w:ascii="Times New Roman" w:hAnsi="Times New Roman" w:cs="Times New Roman"/>
          <w:sz w:val="28"/>
        </w:rPr>
        <w:t xml:space="preserve">за </w:t>
      </w:r>
      <w:r>
        <w:rPr>
          <w:rFonts w:ascii="Times New Roman" w:hAnsi="Times New Roman" w:cs="Times New Roman"/>
          <w:sz w:val="28"/>
          <w:lang w:val="en-US"/>
        </w:rPr>
        <w:t>Bosniak</w:t>
      </w:r>
      <w:r>
        <w:rPr>
          <w:rFonts w:ascii="Times New Roman" w:hAnsi="Times New Roman" w:cs="Times New Roman"/>
          <w:sz w:val="28"/>
        </w:rPr>
        <w:t xml:space="preserve"> початково була розроблена для використання із КТ, проте чисельні дослідження довели її еквівалентну ефективність</w:t>
      </w:r>
      <w:r w:rsidRPr="00A62F9F">
        <w:rPr>
          <w:rFonts w:ascii="Times New Roman" w:hAnsi="Times New Roman" w:cs="Times New Roman"/>
          <w:sz w:val="28"/>
        </w:rPr>
        <w:t xml:space="preserve"> (</w:t>
      </w:r>
      <w:r>
        <w:rPr>
          <w:rFonts w:ascii="Times New Roman" w:hAnsi="Times New Roman" w:cs="Times New Roman"/>
          <w:sz w:val="28"/>
        </w:rPr>
        <w:t xml:space="preserve">і навіть деякі переваги) при застосуванні із МРТ </w:t>
      </w:r>
      <w:r w:rsidRPr="00A62F9F">
        <w:rPr>
          <w:rFonts w:ascii="Times New Roman" w:hAnsi="Times New Roman" w:cs="Times New Roman"/>
          <w:sz w:val="28"/>
        </w:rPr>
        <w:t>[</w:t>
      </w:r>
      <w:r w:rsidR="001F1B83">
        <w:rPr>
          <w:rFonts w:ascii="Times New Roman" w:hAnsi="Times New Roman" w:cs="Times New Roman"/>
          <w:sz w:val="28"/>
        </w:rPr>
        <w:t xml:space="preserve">116, </w:t>
      </w:r>
      <w:r w:rsidR="001F1B83">
        <w:rPr>
          <w:rFonts w:ascii="Times New Roman" w:eastAsia="Times New Roman" w:hAnsi="Times New Roman" w:cs="Times New Roman"/>
          <w:sz w:val="28"/>
          <w:szCs w:val="28"/>
          <w:lang w:eastAsia="uk-UA"/>
        </w:rPr>
        <w:t>144,</w:t>
      </w:r>
      <w:r w:rsidRPr="00A62F9F">
        <w:rPr>
          <w:rFonts w:ascii="Times New Roman" w:eastAsia="Times New Roman" w:hAnsi="Times New Roman" w:cs="Times New Roman"/>
          <w:sz w:val="28"/>
          <w:szCs w:val="28"/>
          <w:lang w:eastAsia="uk-UA"/>
        </w:rPr>
        <w:t xml:space="preserve"> </w:t>
      </w:r>
      <w:r w:rsidR="001F1B83">
        <w:rPr>
          <w:rFonts w:ascii="Times New Roman" w:eastAsia="Times New Roman" w:hAnsi="Times New Roman" w:cs="Times New Roman"/>
          <w:sz w:val="28"/>
          <w:szCs w:val="28"/>
          <w:lang w:eastAsia="uk-UA"/>
        </w:rPr>
        <w:t>297</w:t>
      </w:r>
      <w:r w:rsidRPr="00A62F9F">
        <w:rPr>
          <w:rFonts w:ascii="Times New Roman" w:hAnsi="Times New Roman" w:cs="Times New Roman"/>
          <w:sz w:val="28"/>
        </w:rPr>
        <w:t>]</w:t>
      </w:r>
      <w:r>
        <w:rPr>
          <w:rFonts w:ascii="Times New Roman" w:hAnsi="Times New Roman" w:cs="Times New Roman"/>
          <w:sz w:val="28"/>
        </w:rPr>
        <w:t>. Тому, нами була застосована вказана класифікація для характеристики ниркових кіст і при виконанні даного дослідження.</w:t>
      </w:r>
      <w:r w:rsidRPr="00A179DA">
        <w:rPr>
          <w:rFonts w:ascii="Times New Roman" w:hAnsi="Times New Roman" w:cs="Times New Roman"/>
          <w:sz w:val="28"/>
        </w:rPr>
        <w:t xml:space="preserve"> </w:t>
      </w:r>
    </w:p>
    <w:p w:rsidR="0084666C" w:rsidRDefault="00B84AB9" w:rsidP="00321B82">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rPr>
        <w:t xml:space="preserve">Для виконання МРТ черевної порожнини та тазу застосовували </w:t>
      </w:r>
      <w:r w:rsidR="00263124">
        <w:rPr>
          <w:rFonts w:ascii="Times New Roman" w:hAnsi="Times New Roman" w:cs="Times New Roman"/>
          <w:sz w:val="28"/>
        </w:rPr>
        <w:t xml:space="preserve">стандартний протокол сканування черевної порожнини </w:t>
      </w:r>
      <w:r w:rsidR="00263124">
        <w:rPr>
          <w:rFonts w:ascii="Times New Roman" w:hAnsi="Times New Roman" w:cs="Times New Roman"/>
          <w:sz w:val="28"/>
          <w:lang w:val="ru-RU"/>
        </w:rPr>
        <w:t>[</w:t>
      </w:r>
      <w:r w:rsidR="00263124" w:rsidRPr="00263124">
        <w:rPr>
          <w:rFonts w:ascii="Times New Roman" w:hAnsi="Times New Roman" w:cs="Times New Roman"/>
          <w:sz w:val="28"/>
          <w:lang w:val="ru-RU"/>
        </w:rPr>
        <w:t>21</w:t>
      </w:r>
      <w:r w:rsidR="00263124">
        <w:rPr>
          <w:rFonts w:ascii="Times New Roman" w:hAnsi="Times New Roman" w:cs="Times New Roman"/>
          <w:sz w:val="28"/>
          <w:lang w:val="ru-RU"/>
        </w:rPr>
        <w:t>]</w:t>
      </w:r>
      <w:r w:rsidR="00263124">
        <w:rPr>
          <w:rFonts w:ascii="Times New Roman" w:hAnsi="Times New Roman" w:cs="Times New Roman"/>
          <w:sz w:val="28"/>
        </w:rPr>
        <w:t>.</w:t>
      </w:r>
      <w:r w:rsidR="00263124" w:rsidRPr="00263124">
        <w:rPr>
          <w:rFonts w:ascii="Times New Roman" w:hAnsi="Times New Roman" w:cs="Times New Roman"/>
          <w:sz w:val="28"/>
          <w:szCs w:val="28"/>
          <w:lang w:val="ru-RU"/>
        </w:rPr>
        <w:t xml:space="preserve"> </w:t>
      </w:r>
      <w:r>
        <w:rPr>
          <w:rFonts w:ascii="Times New Roman" w:hAnsi="Times New Roman" w:cs="Times New Roman"/>
          <w:sz w:val="28"/>
          <w:szCs w:val="28"/>
        </w:rPr>
        <w:t xml:space="preserve">Додатково, згідно методики автора, виконували </w:t>
      </w:r>
      <w:r>
        <w:rPr>
          <w:rFonts w:ascii="Times New Roman" w:eastAsiaTheme="minorEastAsia" w:hAnsi="Times New Roman" w:cs="Times New Roman"/>
          <w:bCs/>
          <w:sz w:val="28"/>
          <w:szCs w:val="28"/>
        </w:rPr>
        <w:t>аксіальні</w:t>
      </w:r>
      <w:r w:rsidRPr="00F22748">
        <w:rPr>
          <w:rFonts w:ascii="Times New Roman" w:eastAsiaTheme="minorEastAsia" w:hAnsi="Times New Roman" w:cs="Times New Roman"/>
          <w:bCs/>
          <w:sz w:val="28"/>
          <w:szCs w:val="28"/>
        </w:rPr>
        <w:t xml:space="preserve"> </w:t>
      </w:r>
      <w:r>
        <w:rPr>
          <w:rFonts w:ascii="Times New Roman" w:eastAsiaTheme="minorEastAsia" w:hAnsi="Times New Roman" w:cs="Times New Roman"/>
          <w:bCs/>
          <w:sz w:val="28"/>
          <w:szCs w:val="28"/>
        </w:rPr>
        <w:t xml:space="preserve">дифузійно-зважені зображення (ДЗЗ). </w:t>
      </w:r>
      <w:r>
        <w:rPr>
          <w:rFonts w:ascii="Times New Roman" w:eastAsiaTheme="minorEastAsia" w:hAnsi="Times New Roman" w:cs="Times New Roman"/>
          <w:sz w:val="28"/>
          <w:szCs w:val="28"/>
        </w:rPr>
        <w:t xml:space="preserve">ДЗЗ отримували </w:t>
      </w:r>
      <w:r w:rsidRPr="00807530">
        <w:rPr>
          <w:rFonts w:ascii="Times New Roman" w:eastAsiaTheme="minorEastAsia" w:hAnsi="Times New Roman" w:cs="Times New Roman"/>
          <w:sz w:val="28"/>
          <w:szCs w:val="28"/>
        </w:rPr>
        <w:t xml:space="preserve">з наступними параметрами: TR = 12000 мс, TE = 90 мс, </w:t>
      </w:r>
      <w:r>
        <w:rPr>
          <w:rFonts w:ascii="Times New Roman" w:eastAsiaTheme="minorEastAsia" w:hAnsi="Times New Roman" w:cs="Times New Roman"/>
          <w:sz w:val="28"/>
          <w:szCs w:val="28"/>
          <w:lang w:val="en-US"/>
        </w:rPr>
        <w:t>FOV</w:t>
      </w:r>
      <w:r w:rsidRPr="00F22748">
        <w:rPr>
          <w:rFonts w:ascii="Times New Roman" w:eastAsiaTheme="minorEastAsia" w:hAnsi="Times New Roman" w:cs="Times New Roman"/>
          <w:sz w:val="28"/>
          <w:szCs w:val="28"/>
        </w:rPr>
        <w:t xml:space="preserve"> </w:t>
      </w:r>
      <w:r w:rsidRPr="00807530">
        <w:rPr>
          <w:rFonts w:ascii="Times New Roman" w:eastAsiaTheme="minorEastAsia" w:hAnsi="Times New Roman" w:cs="Times New Roman"/>
          <w:sz w:val="28"/>
          <w:szCs w:val="28"/>
        </w:rPr>
        <w:t xml:space="preserve">= 40 см × 40 см; матриця = 200 × 192; NEX = 3; пропускна здатність = 250 кГц, напрямок дифузії = зріз, товщина зрізу = 6,0 мм, міжсканувальний розрив = 1,0 мм з </w:t>
      </w:r>
      <w:r>
        <w:rPr>
          <w:rFonts w:ascii="Times New Roman" w:eastAsiaTheme="minorEastAsia" w:hAnsi="Times New Roman" w:cs="Times New Roman"/>
          <w:sz w:val="28"/>
          <w:szCs w:val="28"/>
          <w:lang w:val="en-US"/>
        </w:rPr>
        <w:t>b</w:t>
      </w:r>
      <w:r w:rsidRPr="00807530">
        <w:rPr>
          <w:rFonts w:ascii="Times New Roman" w:eastAsiaTheme="minorEastAsia" w:hAnsi="Times New Roman" w:cs="Times New Roman"/>
          <w:sz w:val="28"/>
          <w:szCs w:val="28"/>
        </w:rPr>
        <w:t>-</w:t>
      </w:r>
      <w:r>
        <w:rPr>
          <w:rFonts w:ascii="Times New Roman" w:hAnsi="Times New Roman" w:cs="Times New Roman"/>
          <w:sz w:val="28"/>
          <w:szCs w:val="28"/>
        </w:rPr>
        <w:t>значенням</w:t>
      </w:r>
      <w:r w:rsidR="00124E7D">
        <w:rPr>
          <w:rFonts w:ascii="Times New Roman" w:hAnsi="Times New Roman" w:cs="Times New Roman"/>
          <w:sz w:val="28"/>
          <w:szCs w:val="28"/>
        </w:rPr>
        <w:t>и</w:t>
      </w:r>
      <w:r>
        <w:rPr>
          <w:rFonts w:ascii="Times New Roman" w:hAnsi="Times New Roman" w:cs="Times New Roman"/>
          <w:sz w:val="28"/>
          <w:szCs w:val="28"/>
        </w:rPr>
        <w:t xml:space="preserve"> 0 та</w:t>
      </w:r>
      <w:r w:rsidRPr="00807530">
        <w:rPr>
          <w:rFonts w:ascii="Times New Roman" w:hAnsi="Times New Roman" w:cs="Times New Roman"/>
          <w:sz w:val="28"/>
          <w:szCs w:val="28"/>
        </w:rPr>
        <w:t xml:space="preserve"> 8</w:t>
      </w:r>
      <w:r w:rsidRPr="00807530">
        <w:rPr>
          <w:rFonts w:ascii="Times New Roman" w:eastAsiaTheme="minorEastAsia" w:hAnsi="Times New Roman" w:cs="Times New Roman"/>
          <w:sz w:val="28"/>
          <w:szCs w:val="28"/>
        </w:rPr>
        <w:t xml:space="preserve">00 </w:t>
      </w:r>
      <w:r w:rsidRPr="00807530">
        <w:rPr>
          <w:rFonts w:ascii="Times New Roman" w:hAnsi="Times New Roman" w:cs="Times New Roman"/>
          <w:sz w:val="28"/>
          <w:szCs w:val="28"/>
        </w:rPr>
        <w:t>с</w:t>
      </w:r>
      <w:r>
        <w:rPr>
          <w:rFonts w:ascii="Times New Roman" w:hAnsi="Times New Roman" w:cs="Times New Roman"/>
          <w:sz w:val="28"/>
          <w:szCs w:val="28"/>
        </w:rPr>
        <w:t>ек</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мм</w:t>
      </w:r>
      <w:r w:rsidRPr="00807530">
        <w:rPr>
          <w:rFonts w:ascii="Times New Roman" w:eastAsiaTheme="minorEastAsia" w:hAnsi="Times New Roman" w:cs="Times New Roman"/>
          <w:sz w:val="28"/>
          <w:szCs w:val="28"/>
          <w:vertAlign w:val="superscript"/>
        </w:rPr>
        <w:t>2</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 xml:space="preserve"> ДЗЗ проводилися до введення контрастних речовин, за допомогою одномоментної ехо-планарної послідовності зображень з технікою паралельної візуалізації та насичення жиру протягом однієї затрим</w:t>
      </w:r>
      <w:r>
        <w:rPr>
          <w:rFonts w:ascii="Times New Roman" w:eastAsiaTheme="minorEastAsia" w:hAnsi="Times New Roman" w:cs="Times New Roman"/>
          <w:sz w:val="28"/>
          <w:szCs w:val="28"/>
        </w:rPr>
        <w:t xml:space="preserve">ки дихання; додатковий час дослідження складав </w:t>
      </w:r>
      <w:r w:rsidRPr="00807530">
        <w:rPr>
          <w:rFonts w:ascii="Times New Roman" w:eastAsiaTheme="minorEastAsia" w:hAnsi="Times New Roman" w:cs="Times New Roman"/>
          <w:sz w:val="28"/>
          <w:szCs w:val="28"/>
        </w:rPr>
        <w:t>17 с.</w:t>
      </w:r>
      <w:r>
        <w:rPr>
          <w:rFonts w:ascii="Times New Roman" w:hAnsi="Times New Roman" w:cs="Times New Roman"/>
          <w:sz w:val="28"/>
          <w:szCs w:val="28"/>
        </w:rPr>
        <w:t xml:space="preserve"> </w:t>
      </w:r>
      <w:r w:rsidRPr="00F22748">
        <w:rPr>
          <w:rFonts w:ascii="Times New Roman" w:hAnsi="Times New Roman" w:cs="Times New Roman"/>
          <w:sz w:val="28"/>
          <w:szCs w:val="28"/>
        </w:rPr>
        <w:t>Середня тривалість МРТ обстеження становила 35 хвилин.</w:t>
      </w:r>
    </w:p>
    <w:p w:rsidR="0084666C" w:rsidRDefault="00B84AB9" w:rsidP="0084666C">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rPr>
        <w:t>Ниркові новоутворення на МРТ</w:t>
      </w:r>
      <w:r w:rsidRPr="00D5686B">
        <w:rPr>
          <w:rFonts w:ascii="Times New Roman" w:hAnsi="Times New Roman" w:cs="Times New Roman"/>
          <w:sz w:val="28"/>
        </w:rPr>
        <w:t xml:space="preserve">-зображеннях </w:t>
      </w:r>
      <w:r>
        <w:rPr>
          <w:rFonts w:ascii="Times New Roman" w:hAnsi="Times New Roman" w:cs="Times New Roman"/>
          <w:sz w:val="28"/>
        </w:rPr>
        <w:t xml:space="preserve">класифікувались як гомогенні та гетерогенні та по відношенню до нормальної ниркової паренхіми, як ізо-, гіпер-, та гіпоінтенсивні. Після ідентифікації пухлини на Т1-ЗЗ та Т2-ЗЗ у всіх випадках проводили визначення </w:t>
      </w:r>
      <w:r>
        <w:rPr>
          <w:rFonts w:ascii="Times New Roman" w:hAnsi="Times New Roman" w:cs="Times New Roman"/>
          <w:sz w:val="28"/>
          <w:szCs w:val="28"/>
        </w:rPr>
        <w:t xml:space="preserve">інтенсивності сигналу (ІС) над ділянкою пухлини та здорової ниркової паренхіми на ДЗЗ за тим же принципом, що і при КТ. Після цього </w:t>
      </w:r>
      <w:r w:rsidRPr="00F22748">
        <w:rPr>
          <w:rFonts w:ascii="Times New Roman" w:hAnsi="Times New Roman" w:cs="Times New Roman"/>
          <w:sz w:val="28"/>
          <w:szCs w:val="28"/>
        </w:rPr>
        <w:t xml:space="preserve">з  </w:t>
      </w:r>
      <w:r>
        <w:rPr>
          <w:rFonts w:ascii="Times New Roman" w:hAnsi="Times New Roman" w:cs="Times New Roman"/>
          <w:sz w:val="28"/>
          <w:szCs w:val="28"/>
        </w:rPr>
        <w:t xml:space="preserve">кольорових </w:t>
      </w:r>
      <w:r w:rsidRPr="00F22748">
        <w:rPr>
          <w:rFonts w:ascii="Times New Roman" w:hAnsi="Times New Roman" w:cs="Times New Roman"/>
          <w:sz w:val="28"/>
          <w:szCs w:val="28"/>
        </w:rPr>
        <w:t>карт</w:t>
      </w:r>
      <w:r>
        <w:rPr>
          <w:rFonts w:ascii="Times New Roman" w:hAnsi="Times New Roman" w:cs="Times New Roman"/>
          <w:sz w:val="28"/>
          <w:szCs w:val="28"/>
        </w:rPr>
        <w:t>,</w:t>
      </w:r>
      <w:r w:rsidRPr="00121478">
        <w:rPr>
          <w:rFonts w:ascii="Times New Roman" w:hAnsi="Times New Roman" w:cs="Times New Roman"/>
          <w:sz w:val="28"/>
          <w:szCs w:val="28"/>
        </w:rPr>
        <w:t xml:space="preserve"> </w:t>
      </w:r>
      <w:r>
        <w:rPr>
          <w:rFonts w:ascii="Times New Roman" w:hAnsi="Times New Roman" w:cs="Times New Roman"/>
          <w:sz w:val="28"/>
          <w:szCs w:val="28"/>
        </w:rPr>
        <w:t>що</w:t>
      </w:r>
      <w:r w:rsidRPr="00F22748">
        <w:rPr>
          <w:rFonts w:ascii="Times New Roman" w:hAnsi="Times New Roman" w:cs="Times New Roman"/>
          <w:sz w:val="28"/>
          <w:szCs w:val="28"/>
        </w:rPr>
        <w:t xml:space="preserve"> автоматично генерувались на робочій станції на основі ДЗЗ обчислювався</w:t>
      </w:r>
      <w:r>
        <w:rPr>
          <w:rFonts w:ascii="Times New Roman" w:hAnsi="Times New Roman" w:cs="Times New Roman"/>
          <w:sz w:val="28"/>
          <w:szCs w:val="28"/>
        </w:rPr>
        <w:t xml:space="preserve"> їх кількісний </w:t>
      </w:r>
      <w:r>
        <w:rPr>
          <w:rFonts w:ascii="Times New Roman" w:hAnsi="Times New Roman" w:cs="Times New Roman"/>
          <w:sz w:val="28"/>
          <w:szCs w:val="28"/>
        </w:rPr>
        <w:lastRenderedPageBreak/>
        <w:t>параметр – вимірюваний коефіцієнт дифузії (</w:t>
      </w:r>
      <w:r w:rsidRPr="00F22748">
        <w:rPr>
          <w:rFonts w:ascii="Times New Roman" w:hAnsi="Times New Roman" w:cs="Times New Roman"/>
          <w:sz w:val="28"/>
          <w:szCs w:val="28"/>
        </w:rPr>
        <w:t>ВКД</w:t>
      </w:r>
      <w:r>
        <w:rPr>
          <w:rFonts w:ascii="Times New Roman" w:hAnsi="Times New Roman" w:cs="Times New Roman"/>
          <w:sz w:val="28"/>
          <w:szCs w:val="28"/>
        </w:rPr>
        <w:t>), який</w:t>
      </w:r>
      <w:r w:rsidRPr="00F22748">
        <w:rPr>
          <w:rFonts w:ascii="Times New Roman" w:hAnsi="Times New Roman" w:cs="Times New Roman"/>
          <w:sz w:val="28"/>
          <w:szCs w:val="28"/>
        </w:rPr>
        <w:t xml:space="preserve"> використ</w:t>
      </w:r>
      <w:r>
        <w:rPr>
          <w:rFonts w:ascii="Times New Roman" w:hAnsi="Times New Roman" w:cs="Times New Roman"/>
          <w:sz w:val="28"/>
          <w:szCs w:val="28"/>
        </w:rPr>
        <w:t>овувався в якості міри дифуз</w:t>
      </w:r>
      <w:r w:rsidR="0084666C">
        <w:rPr>
          <w:rFonts w:ascii="Times New Roman" w:hAnsi="Times New Roman" w:cs="Times New Roman"/>
          <w:sz w:val="28"/>
          <w:szCs w:val="28"/>
        </w:rPr>
        <w:t>ії здорових та уражених тканин.</w:t>
      </w:r>
    </w:p>
    <w:p w:rsidR="00B84AB9" w:rsidRPr="00F22748" w:rsidRDefault="00B84AB9" w:rsidP="00B84AB9">
      <w:pPr>
        <w:spacing w:line="360" w:lineRule="auto"/>
        <w:ind w:firstLine="708"/>
        <w:jc w:val="both"/>
        <w:rPr>
          <w:rFonts w:ascii="Times New Roman" w:hAnsi="Times New Roman" w:cs="Times New Roman"/>
          <w:sz w:val="28"/>
          <w:szCs w:val="28"/>
        </w:rPr>
      </w:pPr>
      <w:r w:rsidRPr="00F22748">
        <w:rPr>
          <w:rFonts w:ascii="Times New Roman" w:hAnsi="Times New Roman" w:cs="Times New Roman"/>
          <w:sz w:val="28"/>
          <w:szCs w:val="28"/>
        </w:rPr>
        <w:t>ВКД розраховувався з</w:t>
      </w:r>
      <w:r>
        <w:rPr>
          <w:rFonts w:ascii="Times New Roman" w:hAnsi="Times New Roman" w:cs="Times New Roman"/>
          <w:sz w:val="28"/>
          <w:szCs w:val="28"/>
        </w:rPr>
        <w:t>а наступною формулою</w:t>
      </w:r>
      <w:r w:rsidRPr="00F22748">
        <w:rPr>
          <w:rFonts w:ascii="Times New Roman" w:hAnsi="Times New Roman" w:cs="Times New Roman"/>
          <w:sz w:val="28"/>
          <w:szCs w:val="28"/>
        </w:rPr>
        <w:t>:</w:t>
      </w:r>
    </w:p>
    <w:p w:rsidR="00B84AB9" w:rsidRDefault="00B84AB9" w:rsidP="00B84AB9">
      <w:pPr>
        <w:spacing w:line="360" w:lineRule="auto"/>
        <w:ind w:firstLine="708"/>
        <w:jc w:val="both"/>
        <w:rPr>
          <w:rFonts w:ascii="Times New Roman" w:eastAsiaTheme="minorEastAsia" w:hAnsi="Times New Roman" w:cs="Times New Roman"/>
          <w:sz w:val="28"/>
          <w:szCs w:val="28"/>
        </w:rPr>
      </w:pPr>
      <w:r w:rsidRPr="00F22748">
        <w:rPr>
          <w:rFonts w:ascii="Times New Roman" w:hAnsi="Times New Roman" w:cs="Times New Roman"/>
          <w:sz w:val="28"/>
          <w:szCs w:val="28"/>
        </w:rPr>
        <w:t xml:space="preserve"> </w:t>
      </w:r>
      <w:r>
        <w:rPr>
          <w:rFonts w:ascii="Times New Roman" w:hAnsi="Times New Roman" w:cs="Times New Roman"/>
          <w:sz w:val="28"/>
          <w:szCs w:val="28"/>
        </w:rPr>
        <w:t xml:space="preserve">ВКД = </w:t>
      </w:r>
      <m:oMath>
        <m:f>
          <m:fPr>
            <m:ctrlPr>
              <w:rPr>
                <w:rFonts w:ascii="Cambria Math" w:hAnsi="Cambria Math" w:cs="Times New Roman"/>
                <w:i/>
                <w:sz w:val="28"/>
                <w:szCs w:val="28"/>
              </w:rPr>
            </m:ctrlPr>
          </m:fPr>
          <m:num>
            <m:r>
              <w:rPr>
                <w:rFonts w:ascii="Cambria Math" w:hAnsi="Cambria Math" w:cs="Times New Roman"/>
                <w:sz w:val="28"/>
                <w:szCs w:val="28"/>
                <w:lang w:val="en-US"/>
              </w:rPr>
              <m:t>In</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rPr>
                          <m:t>0</m:t>
                        </m:r>
                      </m:sub>
                    </m:sSub>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rPr>
                          <m:t>1</m:t>
                        </m:r>
                      </m:sub>
                    </m:sSub>
                  </m:den>
                </m:f>
              </m:e>
            </m:d>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0</m:t>
                </m:r>
              </m:sub>
            </m:sSub>
            <m:r>
              <w:rPr>
                <w:rFonts w:ascii="Cambria Math" w:hAnsi="Cambria Math" w:cs="Times New Roman"/>
                <w:sz w:val="28"/>
                <w:szCs w:val="28"/>
              </w:rPr>
              <m:t>)</m:t>
            </m:r>
          </m:den>
        </m:f>
      </m:oMath>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Pr>
          <w:rFonts w:ascii="Times New Roman" w:hAnsi="Times New Roman" w:cs="Times New Roman"/>
          <w:sz w:val="28"/>
          <w:szCs w:val="28"/>
        </w:rPr>
        <w:t>(2.2)</w:t>
      </w:r>
    </w:p>
    <w:p w:rsidR="00B84AB9" w:rsidRDefault="00B84AB9" w:rsidP="00B84AB9">
      <w:pPr>
        <w:spacing w:line="360"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 </w:t>
      </w:r>
      <w:r>
        <w:rPr>
          <w:rFonts w:ascii="Times New Roman" w:hAnsi="Times New Roman" w:cs="Times New Roman"/>
          <w:sz w:val="28"/>
          <w:szCs w:val="28"/>
        </w:rPr>
        <w:t>ВКД – вимірюваний коефіцієнт дифузії,</w:t>
      </w:r>
    </w:p>
    <w:p w:rsidR="00B84AB9" w:rsidRDefault="00B84AB9" w:rsidP="00B84AB9">
      <w:pPr>
        <w:spacing w:line="360" w:lineRule="auto"/>
        <w:ind w:firstLine="708"/>
        <w:jc w:val="both"/>
        <w:rPr>
          <w:rFonts w:ascii="Times New Roman" w:hAnsi="Times New Roman" w:cs="Times New Roman"/>
          <w:color w:val="000000"/>
          <w:sz w:val="28"/>
          <w:szCs w:val="28"/>
          <w:shd w:val="clear" w:color="auto" w:fill="FFFFFF"/>
        </w:rPr>
      </w:pPr>
      <w:r w:rsidRPr="002B68F0">
        <w:rPr>
          <w:rFonts w:ascii="Times New Roman" w:hAnsi="Times New Roman" w:cs="Times New Roman"/>
          <w:i/>
          <w:iCs/>
          <w:color w:val="000000"/>
          <w:sz w:val="28"/>
          <w:szCs w:val="28"/>
          <w:shd w:val="clear" w:color="auto" w:fill="FFFFFF"/>
          <w:lang w:val="en-US"/>
        </w:rPr>
        <w:t>S</w:t>
      </w:r>
      <w:r w:rsidRPr="002B68F0">
        <w:rPr>
          <w:rFonts w:ascii="Times New Roman" w:hAnsi="Times New Roman" w:cs="Times New Roman"/>
          <w:color w:val="000000"/>
          <w:sz w:val="28"/>
          <w:szCs w:val="28"/>
          <w:shd w:val="clear" w:color="auto" w:fill="FFFFFF"/>
          <w:vertAlign w:val="subscript"/>
        </w:rPr>
        <w:t>0</w:t>
      </w:r>
      <w:r w:rsidRPr="002B68F0">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rPr>
        <w:t>та</w:t>
      </w:r>
      <w:r w:rsidRPr="002B68F0">
        <w:rPr>
          <w:rFonts w:ascii="Times New Roman" w:hAnsi="Times New Roman" w:cs="Times New Roman"/>
          <w:color w:val="000000"/>
          <w:sz w:val="28"/>
          <w:szCs w:val="28"/>
          <w:shd w:val="clear" w:color="auto" w:fill="FFFFFF"/>
          <w:lang w:val="en-US"/>
        </w:rPr>
        <w:t> </w:t>
      </w:r>
      <w:r w:rsidRPr="002B68F0">
        <w:rPr>
          <w:rFonts w:ascii="Times New Roman" w:hAnsi="Times New Roman" w:cs="Times New Roman"/>
          <w:i/>
          <w:iCs/>
          <w:color w:val="000000"/>
          <w:sz w:val="28"/>
          <w:szCs w:val="28"/>
          <w:shd w:val="clear" w:color="auto" w:fill="FFFFFF"/>
          <w:lang w:val="en-US"/>
        </w:rPr>
        <w:t>S</w:t>
      </w:r>
      <w:r w:rsidRPr="002B68F0">
        <w:rPr>
          <w:rFonts w:ascii="Times New Roman" w:hAnsi="Times New Roman" w:cs="Times New Roman"/>
          <w:color w:val="000000"/>
          <w:sz w:val="28"/>
          <w:szCs w:val="28"/>
          <w:shd w:val="clear" w:color="auto" w:fill="FFFFFF"/>
          <w:vertAlign w:val="subscript"/>
        </w:rPr>
        <w:t>1</w:t>
      </w:r>
      <w:r w:rsidRPr="002B68F0">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rPr>
        <w:t xml:space="preserve">– інтенсивність сигналу отримана при </w:t>
      </w:r>
      <w:r w:rsidRPr="002B68F0">
        <w:rPr>
          <w:rFonts w:ascii="Times New Roman" w:hAnsi="Times New Roman" w:cs="Times New Roman"/>
          <w:i/>
          <w:iCs/>
          <w:color w:val="000000"/>
          <w:sz w:val="28"/>
          <w:szCs w:val="28"/>
          <w:shd w:val="clear" w:color="auto" w:fill="FFFFFF"/>
          <w:lang w:val="en-US"/>
        </w:rPr>
        <w:t>b</w:t>
      </w:r>
      <w:r w:rsidRPr="00031C02">
        <w:rPr>
          <w:rFonts w:ascii="Times New Roman" w:hAnsi="Times New Roman" w:cs="Times New Roman"/>
          <w:color w:val="000000"/>
          <w:sz w:val="28"/>
          <w:szCs w:val="28"/>
          <w:shd w:val="clear" w:color="auto" w:fill="FFFFFF"/>
        </w:rPr>
        <w:t>-значеннях</w:t>
      </w:r>
      <w:r w:rsidRPr="002B68F0">
        <w:rPr>
          <w:rFonts w:ascii="Times New Roman" w:hAnsi="Times New Roman" w:cs="Times New Roman"/>
          <w:i/>
          <w:iCs/>
          <w:color w:val="000000"/>
          <w:sz w:val="28"/>
          <w:szCs w:val="28"/>
          <w:shd w:val="clear" w:color="auto" w:fill="FFFFFF"/>
        </w:rPr>
        <w:t xml:space="preserve"> </w:t>
      </w:r>
      <w:r w:rsidRPr="002B68F0">
        <w:rPr>
          <w:rFonts w:ascii="Times New Roman" w:hAnsi="Times New Roman" w:cs="Times New Roman"/>
          <w:i/>
          <w:iCs/>
          <w:color w:val="000000"/>
          <w:sz w:val="28"/>
          <w:szCs w:val="28"/>
          <w:shd w:val="clear" w:color="auto" w:fill="FFFFFF"/>
          <w:lang w:val="en-US"/>
        </w:rPr>
        <w:t>b</w:t>
      </w:r>
      <w:r w:rsidRPr="002B68F0">
        <w:rPr>
          <w:rFonts w:ascii="Times New Roman" w:hAnsi="Times New Roman" w:cs="Times New Roman"/>
          <w:color w:val="000000"/>
          <w:sz w:val="28"/>
          <w:szCs w:val="28"/>
          <w:shd w:val="clear" w:color="auto" w:fill="FFFFFF"/>
          <w:vertAlign w:val="subscript"/>
        </w:rPr>
        <w:t>0</w:t>
      </w:r>
      <w:r w:rsidRPr="002B68F0">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rPr>
        <w:t>та</w:t>
      </w:r>
      <w:r w:rsidRPr="002B68F0">
        <w:rPr>
          <w:rFonts w:ascii="Times New Roman" w:hAnsi="Times New Roman" w:cs="Times New Roman"/>
          <w:color w:val="000000"/>
          <w:sz w:val="28"/>
          <w:szCs w:val="28"/>
          <w:shd w:val="clear" w:color="auto" w:fill="FFFFFF"/>
          <w:lang w:val="en-US"/>
        </w:rPr>
        <w:t> </w:t>
      </w:r>
      <w:r w:rsidRPr="002B68F0">
        <w:rPr>
          <w:rFonts w:ascii="Times New Roman" w:hAnsi="Times New Roman" w:cs="Times New Roman"/>
          <w:i/>
          <w:iCs/>
          <w:color w:val="000000"/>
          <w:sz w:val="28"/>
          <w:szCs w:val="28"/>
          <w:shd w:val="clear" w:color="auto" w:fill="FFFFFF"/>
          <w:lang w:val="en-US"/>
        </w:rPr>
        <w:t>b</w:t>
      </w:r>
      <w:r w:rsidRPr="002B68F0">
        <w:rPr>
          <w:rFonts w:ascii="Times New Roman" w:hAnsi="Times New Roman" w:cs="Times New Roman"/>
          <w:color w:val="000000"/>
          <w:sz w:val="28"/>
          <w:szCs w:val="28"/>
          <w:shd w:val="clear" w:color="auto" w:fill="FFFFFF"/>
          <w:vertAlign w:val="subscript"/>
        </w:rPr>
        <w:t>1</w:t>
      </w:r>
      <w:r>
        <w:rPr>
          <w:rFonts w:ascii="Times New Roman" w:hAnsi="Times New Roman" w:cs="Times New Roman"/>
          <w:color w:val="000000"/>
          <w:sz w:val="28"/>
          <w:szCs w:val="28"/>
          <w:shd w:val="clear" w:color="auto" w:fill="FFFFFF"/>
        </w:rPr>
        <w:t>.</w:t>
      </w:r>
    </w:p>
    <w:p w:rsidR="00544220" w:rsidRPr="00544220" w:rsidRDefault="00544220" w:rsidP="00544220">
      <w:pPr>
        <w:spacing w:line="360" w:lineRule="auto"/>
        <w:ind w:firstLine="708"/>
        <w:jc w:val="both"/>
        <w:rPr>
          <w:rFonts w:ascii="Times New Roman" w:hAnsi="Times New Roman" w:cs="Times New Roman"/>
          <w:sz w:val="28"/>
          <w:szCs w:val="28"/>
        </w:rPr>
      </w:pPr>
      <w:r w:rsidRPr="00F22748">
        <w:rPr>
          <w:rFonts w:ascii="Times New Roman" w:hAnsi="Times New Roman" w:cs="Times New Roman"/>
          <w:sz w:val="28"/>
          <w:szCs w:val="28"/>
        </w:rPr>
        <w:t xml:space="preserve">Для обчислення ВКД пухлини встановлювали </w:t>
      </w:r>
      <w:r>
        <w:rPr>
          <w:rFonts w:ascii="Times New Roman" w:hAnsi="Times New Roman" w:cs="Times New Roman"/>
          <w:sz w:val="28"/>
          <w:szCs w:val="28"/>
        </w:rPr>
        <w:t>ОЗ</w:t>
      </w:r>
      <w:r w:rsidRPr="00F22748">
        <w:rPr>
          <w:rFonts w:ascii="Times New Roman" w:hAnsi="Times New Roman" w:cs="Times New Roman"/>
          <w:sz w:val="28"/>
          <w:szCs w:val="28"/>
        </w:rPr>
        <w:t xml:space="preserve"> на ВКД-карті над ділянкою новоутвору ретельно повторюючи його контури, після чого проводили виміри. При наявності зон некрозу </w:t>
      </w:r>
      <w:r>
        <w:rPr>
          <w:rFonts w:ascii="Times New Roman" w:hAnsi="Times New Roman" w:cs="Times New Roman"/>
          <w:sz w:val="28"/>
          <w:szCs w:val="28"/>
        </w:rPr>
        <w:t>їх оминали, встановлюючи</w:t>
      </w:r>
      <w:r w:rsidRPr="00F22748">
        <w:rPr>
          <w:rFonts w:ascii="Times New Roman" w:hAnsi="Times New Roman" w:cs="Times New Roman"/>
          <w:sz w:val="28"/>
          <w:szCs w:val="28"/>
        </w:rPr>
        <w:t xml:space="preserve"> ОЗ</w:t>
      </w:r>
      <w:r>
        <w:rPr>
          <w:rFonts w:ascii="Times New Roman" w:hAnsi="Times New Roman" w:cs="Times New Roman"/>
          <w:sz w:val="28"/>
          <w:szCs w:val="28"/>
        </w:rPr>
        <w:t xml:space="preserve"> </w:t>
      </w:r>
      <w:r w:rsidRPr="00F22748">
        <w:rPr>
          <w:rFonts w:ascii="Times New Roman" w:hAnsi="Times New Roman" w:cs="Times New Roman"/>
          <w:sz w:val="28"/>
          <w:szCs w:val="28"/>
        </w:rPr>
        <w:t>над ділянкою із найменшим значенням ВКД</w:t>
      </w:r>
      <w:r>
        <w:rPr>
          <w:rFonts w:ascii="Times New Roman" w:hAnsi="Times New Roman" w:cs="Times New Roman"/>
          <w:sz w:val="28"/>
          <w:szCs w:val="28"/>
        </w:rPr>
        <w:t xml:space="preserve"> (рис 2.3)</w:t>
      </w:r>
      <w:r w:rsidRPr="008A5999">
        <w:rPr>
          <w:rFonts w:ascii="Times New Roman" w:hAnsi="Times New Roman" w:cs="Times New Roman"/>
          <w:sz w:val="28"/>
          <w:szCs w:val="28"/>
        </w:rPr>
        <w:t>.</w:t>
      </w:r>
      <w:r w:rsidRPr="00F22748">
        <w:rPr>
          <w:rFonts w:ascii="Times New Roman" w:hAnsi="Times New Roman" w:cs="Times New Roman"/>
          <w:sz w:val="28"/>
          <w:szCs w:val="28"/>
        </w:rPr>
        <w:t xml:space="preserve"> </w:t>
      </w:r>
    </w:p>
    <w:tbl>
      <w:tblPr>
        <w:tblStyle w:val="TableGrid"/>
        <w:tblW w:w="94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85"/>
        <w:gridCol w:w="3119"/>
        <w:gridCol w:w="3242"/>
      </w:tblGrid>
      <w:tr w:rsidR="0084666C" w:rsidRPr="00031C02" w:rsidTr="00120122">
        <w:trPr>
          <w:trHeight w:val="3008"/>
        </w:trPr>
        <w:tc>
          <w:tcPr>
            <w:tcW w:w="3085" w:type="dxa"/>
          </w:tcPr>
          <w:p w:rsidR="0084666C" w:rsidRPr="00031C02" w:rsidRDefault="0084666C" w:rsidP="00120122">
            <w:pPr>
              <w:pStyle w:val="NoSpacing"/>
              <w:rPr>
                <w:rFonts w:ascii="Times New Roman CYR" w:hAnsi="Times New Roman CYR" w:cs="Times New Roman"/>
                <w:b/>
                <w:bCs/>
                <w:sz w:val="28"/>
                <w:szCs w:val="28"/>
              </w:rPr>
            </w:pPr>
            <w:r w:rsidRPr="004A0EAA">
              <w:rPr>
                <w:rFonts w:ascii="Times New Roman CYR" w:hAnsi="Times New Roman CYR" w:cs="Times New Roman"/>
                <w:b/>
                <w:bCs/>
                <w:noProof/>
                <w:sz w:val="28"/>
                <w:szCs w:val="28"/>
                <w:lang w:val="en-US"/>
              </w:rPr>
              <w:drawing>
                <wp:inline distT="0" distB="0" distL="0" distR="0" wp14:anchorId="1A54AFAE" wp14:editId="3DE4538B">
                  <wp:extent cx="1831858" cy="1800000"/>
                  <wp:effectExtent l="0" t="0" r="0" b="0"/>
                  <wp:docPr id="11" name="Рисунок 5" descr="C:\Users\VITER\Диск Google\Papers\Polish Journla of Radiology\pics\tiff\2 ax t2 frfs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TER\Диск Google\Papers\Polish Journla of Radiology\pics\tiff\2 ax t2 frfse.tif"/>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4740" t="35071" r="40757" b="11374"/>
                          <a:stretch/>
                        </pic:blipFill>
                        <pic:spPr bwMode="auto">
                          <a:xfrm>
                            <a:off x="0" y="0"/>
                            <a:ext cx="1831858" cy="1800000"/>
                          </a:xfrm>
                          <a:prstGeom prst="rect">
                            <a:avLst/>
                          </a:prstGeom>
                          <a:noFill/>
                          <a:ln>
                            <a:noFill/>
                          </a:ln>
                          <a:extLst>
                            <a:ext uri="{53640926-AAD7-44D8-BBD7-CCE9431645EC}">
                              <a14:shadowObscured xmlns:a14="http://schemas.microsoft.com/office/drawing/2010/main"/>
                            </a:ext>
                          </a:extLst>
                        </pic:spPr>
                      </pic:pic>
                    </a:graphicData>
                  </a:graphic>
                </wp:inline>
              </w:drawing>
            </w:r>
          </w:p>
          <w:p w:rsidR="0084666C" w:rsidRPr="00031C02" w:rsidRDefault="0084666C" w:rsidP="00120122">
            <w:pPr>
              <w:pStyle w:val="NoSpacing"/>
              <w:rPr>
                <w:rFonts w:ascii="Times New Roman CYR" w:hAnsi="Times New Roman CYR" w:cs="Times New Roman"/>
                <w:b/>
                <w:bCs/>
                <w:sz w:val="28"/>
                <w:szCs w:val="28"/>
              </w:rPr>
            </w:pPr>
            <w:r w:rsidRPr="004A0EAA">
              <w:rPr>
                <w:rFonts w:ascii="Times New Roman CYR" w:hAnsi="Times New Roman CYR" w:cs="Times New Roman"/>
                <w:bCs/>
                <w:color w:val="FFFFFF" w:themeColor="background1"/>
                <w:sz w:val="28"/>
                <w:szCs w:val="28"/>
                <w:highlight w:val="black"/>
                <w:lang w:val="en-US"/>
              </w:rPr>
              <w:t>A</w:t>
            </w:r>
          </w:p>
        </w:tc>
        <w:tc>
          <w:tcPr>
            <w:tcW w:w="3119" w:type="dxa"/>
          </w:tcPr>
          <w:p w:rsidR="0084666C" w:rsidRPr="00031C02" w:rsidRDefault="0084666C" w:rsidP="00120122">
            <w:pPr>
              <w:pStyle w:val="NoSpacing"/>
              <w:rPr>
                <w:rFonts w:ascii="Times New Roman CYR" w:hAnsi="Times New Roman CYR" w:cs="Times New Roman"/>
                <w:b/>
                <w:bCs/>
                <w:sz w:val="28"/>
                <w:szCs w:val="28"/>
              </w:rPr>
            </w:pPr>
            <w:r w:rsidRPr="004A0EAA">
              <w:rPr>
                <w:rFonts w:ascii="Times New Roman CYR" w:hAnsi="Times New Roman CYR" w:cs="Times New Roman"/>
                <w:b/>
                <w:bCs/>
                <w:noProof/>
                <w:sz w:val="28"/>
                <w:szCs w:val="28"/>
                <w:lang w:val="en-US"/>
              </w:rPr>
              <w:drawing>
                <wp:inline distT="0" distB="0" distL="0" distR="0" wp14:anchorId="7B65D136" wp14:editId="0C17FD08">
                  <wp:extent cx="1848651" cy="1800000"/>
                  <wp:effectExtent l="0" t="0" r="0" b="0"/>
                  <wp:docPr id="15" name="Рисунок 6" descr="C:\Users\VITER\Диск Google\Papers\Polish Journla of Radiology\pics\tiff\2 dw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TER\Диск Google\Papers\Polish Journla of Radiology\pics\tiff\2 dwi.tif"/>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828" t="35406" r="41627" b="11483"/>
                          <a:stretch/>
                        </pic:blipFill>
                        <pic:spPr bwMode="auto">
                          <a:xfrm>
                            <a:off x="0" y="0"/>
                            <a:ext cx="1848651" cy="1800000"/>
                          </a:xfrm>
                          <a:prstGeom prst="rect">
                            <a:avLst/>
                          </a:prstGeom>
                          <a:noFill/>
                          <a:ln>
                            <a:noFill/>
                          </a:ln>
                          <a:extLst>
                            <a:ext uri="{53640926-AAD7-44D8-BBD7-CCE9431645EC}">
                              <a14:shadowObscured xmlns:a14="http://schemas.microsoft.com/office/drawing/2010/main"/>
                            </a:ext>
                          </a:extLst>
                        </pic:spPr>
                      </pic:pic>
                    </a:graphicData>
                  </a:graphic>
                </wp:inline>
              </w:drawing>
            </w:r>
          </w:p>
          <w:p w:rsidR="0084666C" w:rsidRPr="004A0EAA" w:rsidRDefault="0084666C" w:rsidP="00120122">
            <w:pPr>
              <w:pStyle w:val="NoSpacing"/>
              <w:rPr>
                <w:rFonts w:ascii="Times New Roman CYR" w:hAnsi="Times New Roman CYR" w:cs="Times New Roman"/>
                <w:bCs/>
                <w:color w:val="FFFFFF" w:themeColor="background1"/>
                <w:sz w:val="28"/>
                <w:szCs w:val="28"/>
              </w:rPr>
            </w:pPr>
            <w:r w:rsidRPr="004A0EAA">
              <w:rPr>
                <w:rFonts w:ascii="Times New Roman CYR" w:hAnsi="Times New Roman CYR" w:cs="Times New Roman"/>
                <w:bCs/>
                <w:color w:val="FFFFFF" w:themeColor="background1"/>
                <w:sz w:val="28"/>
                <w:szCs w:val="28"/>
                <w:highlight w:val="black"/>
                <w:lang w:val="en-US"/>
              </w:rPr>
              <w:t>B</w:t>
            </w:r>
          </w:p>
        </w:tc>
        <w:tc>
          <w:tcPr>
            <w:tcW w:w="3242" w:type="dxa"/>
          </w:tcPr>
          <w:p w:rsidR="0084666C" w:rsidRPr="004A0EAA" w:rsidRDefault="0084666C" w:rsidP="00120122">
            <w:pPr>
              <w:pStyle w:val="NoSpacing"/>
              <w:rPr>
                <w:rFonts w:ascii="Times New Roman CYR" w:hAnsi="Times New Roman CYR" w:cs="Times New Roman"/>
                <w:b/>
                <w:bCs/>
                <w:noProof/>
                <w:sz w:val="28"/>
                <w:szCs w:val="28"/>
                <w:lang w:eastAsia="uk-UA"/>
              </w:rPr>
            </w:pPr>
            <w:r>
              <w:rPr>
                <w:rFonts w:ascii="Times New Roman CYR" w:hAnsi="Times New Roman CYR" w:cs="Times New Roman"/>
                <w:b/>
                <w:bCs/>
                <w:noProof/>
                <w:sz w:val="28"/>
                <w:szCs w:val="28"/>
                <w:lang w:val="en-US"/>
              </w:rPr>
              <w:drawing>
                <wp:inline distT="0" distB="0" distL="0" distR="0" wp14:anchorId="0F52CB7D" wp14:editId="76553AFF">
                  <wp:extent cx="1722857" cy="18000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1.jpg"/>
                          <pic:cNvPicPr/>
                        </pic:nvPicPr>
                        <pic:blipFill>
                          <a:blip r:embed="rId12">
                            <a:extLst>
                              <a:ext uri="{28A0092B-C50C-407E-A947-70E740481C1C}">
                                <a14:useLocalDpi xmlns:a14="http://schemas.microsoft.com/office/drawing/2010/main" val="0"/>
                              </a:ext>
                            </a:extLst>
                          </a:blip>
                          <a:stretch>
                            <a:fillRect/>
                          </a:stretch>
                        </pic:blipFill>
                        <pic:spPr>
                          <a:xfrm>
                            <a:off x="0" y="0"/>
                            <a:ext cx="1722857" cy="1800000"/>
                          </a:xfrm>
                          <a:prstGeom prst="rect">
                            <a:avLst/>
                          </a:prstGeom>
                        </pic:spPr>
                      </pic:pic>
                    </a:graphicData>
                  </a:graphic>
                </wp:inline>
              </w:drawing>
            </w:r>
          </w:p>
          <w:p w:rsidR="0084666C" w:rsidRPr="004A0EAA" w:rsidRDefault="0084666C" w:rsidP="00120122">
            <w:pPr>
              <w:pStyle w:val="NoSpacing"/>
              <w:rPr>
                <w:rFonts w:ascii="Times New Roman CYR" w:hAnsi="Times New Roman CYR" w:cs="Times New Roman"/>
                <w:b/>
                <w:bCs/>
                <w:noProof/>
                <w:sz w:val="28"/>
                <w:szCs w:val="28"/>
                <w:lang w:eastAsia="uk-UA"/>
              </w:rPr>
            </w:pPr>
            <w:r w:rsidRPr="004A0EAA">
              <w:rPr>
                <w:rFonts w:ascii="Times New Roman CYR" w:hAnsi="Times New Roman CYR" w:cs="Times New Roman"/>
                <w:bCs/>
                <w:color w:val="FFFFFF" w:themeColor="background1"/>
                <w:sz w:val="28"/>
                <w:szCs w:val="28"/>
                <w:highlight w:val="black"/>
                <w:lang w:val="en-US"/>
              </w:rPr>
              <w:t>C</w:t>
            </w:r>
          </w:p>
        </w:tc>
      </w:tr>
    </w:tbl>
    <w:p w:rsidR="0084666C" w:rsidRPr="00AF4B0A" w:rsidRDefault="00544220" w:rsidP="00F66D6D">
      <w:pPr>
        <w:pStyle w:val="NoSpacing"/>
        <w:spacing w:line="360" w:lineRule="auto"/>
        <w:jc w:val="both"/>
        <w:rPr>
          <w:rFonts w:ascii="Times New Roman" w:hAnsi="Times New Roman" w:cs="Times New Roman"/>
          <w:sz w:val="28"/>
        </w:rPr>
      </w:pPr>
      <w:r>
        <w:rPr>
          <w:rFonts w:ascii="Times New Roman" w:hAnsi="Times New Roman" w:cs="Times New Roman"/>
          <w:sz w:val="28"/>
          <w:szCs w:val="28"/>
        </w:rPr>
        <w:t>Рис. 2.3</w:t>
      </w:r>
      <w:r w:rsidR="0084666C">
        <w:rPr>
          <w:rFonts w:ascii="Times New Roman" w:hAnsi="Times New Roman" w:cs="Times New Roman"/>
          <w:sz w:val="28"/>
          <w:szCs w:val="28"/>
        </w:rPr>
        <w:t xml:space="preserve">. МРТ хворого Н., 59 років. </w:t>
      </w:r>
      <w:r w:rsidR="0084666C" w:rsidRPr="00256EBC">
        <w:rPr>
          <w:rFonts w:ascii="Times New Roman CYR" w:hAnsi="Times New Roman CYR" w:cs="Times New Roman"/>
          <w:bCs/>
          <w:sz w:val="28"/>
          <w:szCs w:val="28"/>
        </w:rPr>
        <w:t xml:space="preserve">А: </w:t>
      </w:r>
      <w:r w:rsidR="0084666C">
        <w:rPr>
          <w:rFonts w:ascii="Times New Roman CYR" w:hAnsi="Times New Roman CYR"/>
          <w:bCs/>
          <w:sz w:val="28"/>
          <w:szCs w:val="28"/>
        </w:rPr>
        <w:t>аксіальне</w:t>
      </w:r>
      <w:r w:rsidR="0084666C" w:rsidRPr="00256EBC">
        <w:rPr>
          <w:rFonts w:ascii="Times New Roman CYR" w:hAnsi="Times New Roman CYR"/>
          <w:bCs/>
          <w:sz w:val="28"/>
          <w:szCs w:val="28"/>
        </w:rPr>
        <w:t xml:space="preserve"> Т2-</w:t>
      </w:r>
      <w:r w:rsidR="0084666C">
        <w:rPr>
          <w:rFonts w:ascii="Times New Roman CYR" w:hAnsi="Times New Roman CYR"/>
          <w:bCs/>
          <w:sz w:val="28"/>
          <w:szCs w:val="28"/>
        </w:rPr>
        <w:t>ЗЗ</w:t>
      </w:r>
      <w:r w:rsidR="0084666C" w:rsidRPr="00256EBC">
        <w:rPr>
          <w:rFonts w:ascii="Times New Roman CYR" w:hAnsi="Times New Roman CYR"/>
          <w:bCs/>
          <w:sz w:val="28"/>
          <w:szCs w:val="28"/>
        </w:rPr>
        <w:t>, велике негомогенне ураження правої ни</w:t>
      </w:r>
      <w:r w:rsidR="0084666C">
        <w:rPr>
          <w:rFonts w:ascii="Times New Roman CYR" w:hAnsi="Times New Roman CYR"/>
          <w:bCs/>
          <w:sz w:val="28"/>
          <w:szCs w:val="28"/>
        </w:rPr>
        <w:t>рки розміром 4,1 см з областю гіперінтенсивності</w:t>
      </w:r>
      <w:r w:rsidR="0084666C" w:rsidRPr="00256EBC">
        <w:rPr>
          <w:rFonts w:ascii="Times New Roman CYR" w:hAnsi="Times New Roman CYR"/>
          <w:bCs/>
          <w:sz w:val="28"/>
          <w:szCs w:val="28"/>
        </w:rPr>
        <w:t xml:space="preserve"> у задньому сегменті (стрілка); В: </w:t>
      </w:r>
      <w:r w:rsidR="0084666C">
        <w:rPr>
          <w:rFonts w:ascii="Times New Roman CYR" w:hAnsi="Times New Roman CYR"/>
          <w:bCs/>
          <w:sz w:val="28"/>
          <w:szCs w:val="28"/>
        </w:rPr>
        <w:t>ДЗЗ</w:t>
      </w:r>
      <w:r w:rsidR="0084666C" w:rsidRPr="00256EBC">
        <w:rPr>
          <w:rFonts w:ascii="Times New Roman CYR" w:hAnsi="Times New Roman CYR"/>
          <w:bCs/>
          <w:sz w:val="28"/>
          <w:szCs w:val="28"/>
        </w:rPr>
        <w:t>, зона значної гіперінтенсивності у задньому сегменті правої нирки</w:t>
      </w:r>
      <w:r w:rsidR="0084666C">
        <w:rPr>
          <w:rFonts w:ascii="Times New Roman CYR" w:hAnsi="Times New Roman CYR"/>
          <w:bCs/>
          <w:sz w:val="28"/>
          <w:szCs w:val="28"/>
        </w:rPr>
        <w:t xml:space="preserve"> </w:t>
      </w:r>
      <w:r w:rsidR="0084666C" w:rsidRPr="00256EBC">
        <w:rPr>
          <w:rFonts w:ascii="Times New Roman CYR" w:hAnsi="Times New Roman CYR"/>
          <w:bCs/>
          <w:sz w:val="28"/>
          <w:szCs w:val="28"/>
        </w:rPr>
        <w:t xml:space="preserve">(стрілки), </w:t>
      </w:r>
      <w:r w:rsidR="0084666C" w:rsidRPr="00256EBC">
        <w:rPr>
          <w:rFonts w:ascii="Times New Roman CYR" w:hAnsi="Times New Roman CYR"/>
          <w:bCs/>
          <w:sz w:val="28"/>
          <w:szCs w:val="28"/>
          <w:lang w:val="en-US"/>
        </w:rPr>
        <w:t>b</w:t>
      </w:r>
      <w:r w:rsidR="0084666C" w:rsidRPr="00256EBC">
        <w:rPr>
          <w:rFonts w:ascii="Times New Roman CYR" w:hAnsi="Times New Roman CYR"/>
          <w:bCs/>
          <w:sz w:val="28"/>
          <w:szCs w:val="28"/>
        </w:rPr>
        <w:t>-</w:t>
      </w:r>
      <w:r w:rsidR="0084666C">
        <w:rPr>
          <w:rFonts w:ascii="Times New Roman CYR" w:hAnsi="Times New Roman CYR"/>
          <w:bCs/>
          <w:sz w:val="28"/>
          <w:szCs w:val="28"/>
        </w:rPr>
        <w:t>значення</w:t>
      </w:r>
      <w:r w:rsidR="0084666C" w:rsidRPr="00256EBC">
        <w:rPr>
          <w:rFonts w:ascii="Times New Roman CYR" w:hAnsi="Times New Roman CYR"/>
          <w:bCs/>
          <w:sz w:val="28"/>
          <w:szCs w:val="28"/>
        </w:rPr>
        <w:t>=</w:t>
      </w:r>
      <w:r w:rsidR="0084666C">
        <w:rPr>
          <w:rFonts w:ascii="Times New Roman CYR" w:hAnsi="Times New Roman CYR"/>
          <w:bCs/>
          <w:sz w:val="28"/>
          <w:szCs w:val="28"/>
        </w:rPr>
        <w:t xml:space="preserve">0 та </w:t>
      </w:r>
      <w:r w:rsidR="0084666C" w:rsidRPr="00256EBC">
        <w:rPr>
          <w:rFonts w:ascii="Times New Roman CYR" w:hAnsi="Times New Roman CYR"/>
          <w:bCs/>
          <w:sz w:val="28"/>
          <w:szCs w:val="28"/>
        </w:rPr>
        <w:t xml:space="preserve">800 </w:t>
      </w:r>
      <w:r w:rsidR="0084666C" w:rsidRPr="00807530">
        <w:rPr>
          <w:rFonts w:ascii="Times New Roman" w:hAnsi="Times New Roman" w:cs="Times New Roman"/>
          <w:sz w:val="28"/>
          <w:szCs w:val="28"/>
        </w:rPr>
        <w:t>с</w:t>
      </w:r>
      <w:r w:rsidR="0084666C">
        <w:rPr>
          <w:rFonts w:ascii="Times New Roman" w:hAnsi="Times New Roman" w:cs="Times New Roman"/>
          <w:sz w:val="28"/>
          <w:szCs w:val="28"/>
        </w:rPr>
        <w:t>ек</w:t>
      </w:r>
      <w:r w:rsidR="0084666C">
        <w:rPr>
          <w:rFonts w:ascii="Times New Roman" w:eastAsiaTheme="minorEastAsia" w:hAnsi="Times New Roman" w:cs="Times New Roman"/>
          <w:sz w:val="28"/>
          <w:szCs w:val="28"/>
        </w:rPr>
        <w:t>/</w:t>
      </w:r>
      <w:r w:rsidR="0084666C" w:rsidRPr="00807530">
        <w:rPr>
          <w:rFonts w:ascii="Times New Roman" w:eastAsiaTheme="minorEastAsia" w:hAnsi="Times New Roman" w:cs="Times New Roman"/>
          <w:sz w:val="28"/>
          <w:szCs w:val="28"/>
        </w:rPr>
        <w:t>мм</w:t>
      </w:r>
      <w:r w:rsidR="0084666C" w:rsidRPr="00807530">
        <w:rPr>
          <w:rFonts w:ascii="Times New Roman" w:eastAsiaTheme="minorEastAsia" w:hAnsi="Times New Roman" w:cs="Times New Roman"/>
          <w:sz w:val="28"/>
          <w:szCs w:val="28"/>
          <w:vertAlign w:val="superscript"/>
        </w:rPr>
        <w:t>2</w:t>
      </w:r>
      <w:r w:rsidR="0084666C" w:rsidRPr="00256EBC">
        <w:rPr>
          <w:rFonts w:ascii="Times New Roman CYR" w:hAnsi="Times New Roman CYR"/>
          <w:bCs/>
          <w:sz w:val="28"/>
          <w:szCs w:val="28"/>
        </w:rPr>
        <w:t xml:space="preserve">; С: ВКД-карта із </w:t>
      </w:r>
      <w:r w:rsidR="0084666C">
        <w:rPr>
          <w:rFonts w:ascii="Times New Roman CYR" w:hAnsi="Times New Roman CYR"/>
          <w:bCs/>
          <w:sz w:val="28"/>
          <w:szCs w:val="28"/>
        </w:rPr>
        <w:t>ОЗ</w:t>
      </w:r>
      <w:r w:rsidR="0084666C" w:rsidRPr="00256EBC">
        <w:rPr>
          <w:rFonts w:ascii="Times New Roman CYR" w:hAnsi="Times New Roman CYR"/>
          <w:bCs/>
          <w:sz w:val="28"/>
          <w:szCs w:val="28"/>
        </w:rPr>
        <w:t xml:space="preserve"> над гіпоінтенсивною зоною у задньому сегменті правої нирки (стрілка), яка відповідає гіперінтенсивній зоні на ДЗЗ. У даній зоні ВКД має найнижчий показник -</w:t>
      </w:r>
      <w:r w:rsidR="0084666C">
        <w:rPr>
          <w:rFonts w:ascii="Times New Roman CYR" w:hAnsi="Times New Roman CYR"/>
          <w:bCs/>
          <w:sz w:val="28"/>
          <w:szCs w:val="28"/>
        </w:rPr>
        <w:t xml:space="preserve"> 1,69</w:t>
      </w:r>
      <w:r w:rsidR="0084666C" w:rsidRPr="00256EBC">
        <w:rPr>
          <w:rFonts w:ascii="Times New Roman CYR" w:hAnsi="Times New Roman CYR"/>
          <w:bCs/>
          <w:sz w:val="28"/>
          <w:szCs w:val="28"/>
        </w:rPr>
        <w:t>×10</w:t>
      </w:r>
      <w:r w:rsidR="0084666C" w:rsidRPr="00256EBC">
        <w:rPr>
          <w:rFonts w:ascii="Times New Roman CYR" w:hAnsi="Times New Roman CYR"/>
          <w:bCs/>
          <w:sz w:val="28"/>
          <w:szCs w:val="28"/>
          <w:vertAlign w:val="superscript"/>
        </w:rPr>
        <w:t>−3</w:t>
      </w:r>
      <w:r w:rsidR="0084666C" w:rsidRPr="00256EBC">
        <w:rPr>
          <w:rFonts w:ascii="Times New Roman CYR" w:hAnsi="Times New Roman CYR"/>
          <w:bCs/>
          <w:sz w:val="28"/>
          <w:szCs w:val="28"/>
        </w:rPr>
        <w:t xml:space="preserve"> мм</w:t>
      </w:r>
      <w:r w:rsidR="0084666C" w:rsidRPr="00256EBC">
        <w:rPr>
          <w:rFonts w:ascii="Times New Roman CYR" w:hAnsi="Times New Roman CYR"/>
          <w:bCs/>
          <w:sz w:val="28"/>
          <w:szCs w:val="28"/>
          <w:vertAlign w:val="superscript"/>
        </w:rPr>
        <w:t>2</w:t>
      </w:r>
      <w:r w:rsidR="0084666C" w:rsidRPr="00256EBC">
        <w:rPr>
          <w:rFonts w:ascii="Times New Roman CYR" w:hAnsi="Times New Roman CYR"/>
          <w:bCs/>
          <w:sz w:val="28"/>
          <w:szCs w:val="28"/>
        </w:rPr>
        <w:t>/с.</w:t>
      </w:r>
      <w:r w:rsidR="0084666C" w:rsidRPr="00256EBC">
        <w:rPr>
          <w:rFonts w:ascii="Times New Roman CYR" w:hAnsi="Times New Roman CYR"/>
          <w:b/>
          <w:bCs/>
          <w:sz w:val="28"/>
          <w:szCs w:val="28"/>
        </w:rPr>
        <w:t xml:space="preserve"> </w:t>
      </w:r>
      <w:r w:rsidR="0084666C">
        <w:rPr>
          <w:rFonts w:ascii="Times New Roman" w:hAnsi="Times New Roman" w:cs="Times New Roman"/>
          <w:sz w:val="28"/>
        </w:rPr>
        <w:t xml:space="preserve">Патоморологчний </w:t>
      </w:r>
      <w:r w:rsidR="0084666C" w:rsidRPr="00682F11">
        <w:rPr>
          <w:rFonts w:ascii="Times New Roman" w:hAnsi="Times New Roman" w:cs="Times New Roman"/>
          <w:sz w:val="28"/>
        </w:rPr>
        <w:t xml:space="preserve">діагноз: </w:t>
      </w:r>
      <w:r w:rsidR="0084666C">
        <w:rPr>
          <w:rFonts w:ascii="Times New Roman" w:hAnsi="Times New Roman" w:cs="Times New Roman"/>
          <w:sz w:val="28"/>
        </w:rPr>
        <w:t>скНКР лівої нирки, Т1</w:t>
      </w:r>
      <w:r w:rsidR="0084666C">
        <w:rPr>
          <w:rFonts w:ascii="Times New Roman" w:hAnsi="Times New Roman" w:cs="Times New Roman"/>
          <w:sz w:val="28"/>
          <w:lang w:val="en-US"/>
        </w:rPr>
        <w:t>b</w:t>
      </w:r>
      <w:r w:rsidR="0084666C" w:rsidRPr="00682F11">
        <w:rPr>
          <w:rFonts w:ascii="Times New Roman" w:hAnsi="Times New Roman" w:cs="Times New Roman"/>
          <w:sz w:val="28"/>
          <w:lang w:val="en-US"/>
        </w:rPr>
        <w:t>N</w:t>
      </w:r>
      <w:r w:rsidR="0084666C" w:rsidRPr="00682F11">
        <w:rPr>
          <w:rFonts w:ascii="Times New Roman" w:hAnsi="Times New Roman" w:cs="Times New Roman"/>
          <w:sz w:val="28"/>
        </w:rPr>
        <w:t>0</w:t>
      </w:r>
      <w:r w:rsidR="0084666C" w:rsidRPr="00682F11">
        <w:rPr>
          <w:rFonts w:ascii="Times New Roman" w:hAnsi="Times New Roman" w:cs="Times New Roman"/>
          <w:sz w:val="28"/>
          <w:lang w:val="en-US"/>
        </w:rPr>
        <w:t>M</w:t>
      </w:r>
      <w:r w:rsidR="0084666C">
        <w:rPr>
          <w:rFonts w:ascii="Times New Roman" w:hAnsi="Times New Roman" w:cs="Times New Roman"/>
          <w:sz w:val="28"/>
        </w:rPr>
        <w:t xml:space="preserve">0, </w:t>
      </w:r>
      <w:r w:rsidR="0084666C" w:rsidRPr="00682F11">
        <w:rPr>
          <w:rFonts w:ascii="Times New Roman" w:hAnsi="Times New Roman" w:cs="Times New Roman"/>
          <w:sz w:val="28"/>
        </w:rPr>
        <w:t>І</w:t>
      </w:r>
      <w:r w:rsidR="0084666C">
        <w:rPr>
          <w:rFonts w:ascii="Times New Roman" w:hAnsi="Times New Roman" w:cs="Times New Roman"/>
          <w:sz w:val="28"/>
        </w:rPr>
        <w:t>ІІ</w:t>
      </w:r>
      <w:r w:rsidR="0084666C" w:rsidRPr="00682F11">
        <w:rPr>
          <w:rFonts w:ascii="Times New Roman" w:hAnsi="Times New Roman" w:cs="Times New Roman"/>
          <w:sz w:val="28"/>
        </w:rPr>
        <w:t xml:space="preserve"> ступінь за </w:t>
      </w:r>
      <w:r w:rsidR="0084666C" w:rsidRPr="00682F11">
        <w:rPr>
          <w:rFonts w:ascii="Times New Roman" w:hAnsi="Times New Roman" w:cs="Times New Roman"/>
          <w:sz w:val="28"/>
          <w:lang w:val="en-US"/>
        </w:rPr>
        <w:t>Furhman</w:t>
      </w:r>
    </w:p>
    <w:p w:rsidR="00321B82" w:rsidRPr="00F66D6D" w:rsidRDefault="00321B82" w:rsidP="00F66D6D">
      <w:pPr>
        <w:pStyle w:val="NoSpacing"/>
        <w:spacing w:line="360" w:lineRule="auto"/>
        <w:jc w:val="both"/>
        <w:rPr>
          <w:rFonts w:ascii="Times New Roman CYR" w:hAnsi="Times New Roman CYR"/>
          <w:b/>
          <w:bCs/>
          <w:sz w:val="28"/>
          <w:szCs w:val="28"/>
        </w:rPr>
      </w:pPr>
    </w:p>
    <w:p w:rsidR="00B84AB9" w:rsidRDefault="00B84AB9" w:rsidP="00F66D6D">
      <w:pPr>
        <w:spacing w:line="360" w:lineRule="auto"/>
        <w:ind w:firstLine="708"/>
        <w:jc w:val="both"/>
        <w:rPr>
          <w:rFonts w:ascii="Times New Roman" w:hAnsi="Times New Roman" w:cs="Times New Roman"/>
          <w:sz w:val="28"/>
        </w:rPr>
      </w:pPr>
      <w:r w:rsidRPr="00F22748">
        <w:rPr>
          <w:rFonts w:ascii="Times New Roman" w:hAnsi="Times New Roman" w:cs="Times New Roman"/>
          <w:sz w:val="28"/>
          <w:szCs w:val="28"/>
        </w:rPr>
        <w:t xml:space="preserve">Додатково проводили  вимір </w:t>
      </w:r>
      <w:r>
        <w:rPr>
          <w:rFonts w:ascii="Times New Roman" w:hAnsi="Times New Roman" w:cs="Times New Roman"/>
          <w:sz w:val="28"/>
          <w:szCs w:val="28"/>
        </w:rPr>
        <w:t xml:space="preserve">ІС та </w:t>
      </w:r>
      <w:r w:rsidRPr="00F22748">
        <w:rPr>
          <w:rFonts w:ascii="Times New Roman" w:hAnsi="Times New Roman" w:cs="Times New Roman"/>
          <w:sz w:val="28"/>
          <w:szCs w:val="28"/>
        </w:rPr>
        <w:t xml:space="preserve">ВКД нормальної ниркової паренхіми </w:t>
      </w:r>
      <w:r>
        <w:rPr>
          <w:rFonts w:ascii="Times New Roman" w:hAnsi="Times New Roman" w:cs="Times New Roman"/>
          <w:sz w:val="28"/>
          <w:szCs w:val="28"/>
        </w:rPr>
        <w:t>розміщуючи</w:t>
      </w:r>
      <w:r w:rsidRPr="00F22748">
        <w:rPr>
          <w:rFonts w:ascii="Times New Roman" w:hAnsi="Times New Roman" w:cs="Times New Roman"/>
          <w:sz w:val="28"/>
          <w:szCs w:val="28"/>
        </w:rPr>
        <w:t xml:space="preserve"> </w:t>
      </w:r>
      <w:r>
        <w:rPr>
          <w:rFonts w:ascii="Times New Roman" w:hAnsi="Times New Roman" w:cs="Times New Roman"/>
          <w:sz w:val="28"/>
          <w:szCs w:val="28"/>
        </w:rPr>
        <w:t xml:space="preserve">на МРТ-зображеннях </w:t>
      </w:r>
      <w:r w:rsidRPr="00F22748">
        <w:rPr>
          <w:rFonts w:ascii="Times New Roman" w:hAnsi="Times New Roman" w:cs="Times New Roman"/>
          <w:sz w:val="28"/>
          <w:szCs w:val="28"/>
        </w:rPr>
        <w:t xml:space="preserve">ОЗ </w:t>
      </w:r>
      <w:r>
        <w:rPr>
          <w:rFonts w:ascii="Times New Roman" w:hAnsi="Times New Roman" w:cs="Times New Roman"/>
          <w:sz w:val="28"/>
          <w:szCs w:val="28"/>
        </w:rPr>
        <w:t xml:space="preserve">діаметром в середньому 1,5±0,5 см над </w:t>
      </w:r>
      <w:r>
        <w:rPr>
          <w:rFonts w:ascii="Times New Roman" w:hAnsi="Times New Roman" w:cs="Times New Roman"/>
          <w:sz w:val="28"/>
          <w:szCs w:val="28"/>
        </w:rPr>
        <w:lastRenderedPageBreak/>
        <w:t xml:space="preserve">симетричною ділянкою здорової </w:t>
      </w:r>
      <w:r w:rsidRPr="00F22748">
        <w:rPr>
          <w:rFonts w:ascii="Times New Roman" w:hAnsi="Times New Roman" w:cs="Times New Roman"/>
          <w:sz w:val="28"/>
          <w:szCs w:val="28"/>
        </w:rPr>
        <w:t xml:space="preserve">контрлатеральної нирки. </w:t>
      </w:r>
      <w:r>
        <w:rPr>
          <w:rFonts w:ascii="Times New Roman" w:hAnsi="Times New Roman" w:cs="Times New Roman"/>
          <w:sz w:val="28"/>
        </w:rPr>
        <w:t xml:space="preserve">Таким чином проводили трьох-разові виміри, після чого з отриманих даних вираховували середнє арифметичне. Для роботи із ВКД-зображеннями використовували програмний пакет робочої станції </w:t>
      </w:r>
      <w:r w:rsidRPr="00121478">
        <w:rPr>
          <w:rFonts w:ascii="Times New Roman" w:hAnsi="Times New Roman" w:cs="Times New Roman"/>
          <w:sz w:val="28"/>
          <w:szCs w:val="28"/>
        </w:rPr>
        <w:t>Functool 4,</w:t>
      </w:r>
      <w:r w:rsidRPr="008A5999">
        <w:rPr>
          <w:rFonts w:ascii="Times New Roman" w:hAnsi="Times New Roman" w:cs="Times New Roman"/>
          <w:sz w:val="28"/>
          <w:szCs w:val="28"/>
        </w:rPr>
        <w:t>5</w:t>
      </w:r>
      <w:r>
        <w:rPr>
          <w:rFonts w:ascii="Times New Roman" w:hAnsi="Times New Roman" w:cs="Times New Roman"/>
          <w:sz w:val="28"/>
          <w:szCs w:val="28"/>
        </w:rPr>
        <w:t xml:space="preserve">. </w:t>
      </w:r>
      <w:r>
        <w:rPr>
          <w:rFonts w:ascii="Times New Roman" w:hAnsi="Times New Roman" w:cs="Times New Roman"/>
          <w:sz w:val="28"/>
        </w:rPr>
        <w:t xml:space="preserve">Для роботи із МРТ-зображеннями використовували програмні пакети </w:t>
      </w:r>
      <w:r>
        <w:rPr>
          <w:rFonts w:ascii="Times New Roman" w:hAnsi="Times New Roman" w:cs="Times New Roman"/>
          <w:sz w:val="28"/>
          <w:lang w:val="en-US"/>
        </w:rPr>
        <w:t>RadiAnt</w:t>
      </w:r>
      <w:r w:rsidRPr="008B0E6D">
        <w:rPr>
          <w:rFonts w:ascii="Times New Roman" w:hAnsi="Times New Roman" w:cs="Times New Roman"/>
          <w:sz w:val="28"/>
        </w:rPr>
        <w:t xml:space="preserve"> </w:t>
      </w:r>
      <w:r>
        <w:rPr>
          <w:rFonts w:ascii="Times New Roman" w:hAnsi="Times New Roman" w:cs="Times New Roman"/>
          <w:sz w:val="28"/>
          <w:lang w:val="en-US"/>
        </w:rPr>
        <w:t>DICOM</w:t>
      </w:r>
      <w:r w:rsidRPr="008B0E6D">
        <w:rPr>
          <w:rFonts w:ascii="Times New Roman" w:hAnsi="Times New Roman" w:cs="Times New Roman"/>
          <w:sz w:val="28"/>
        </w:rPr>
        <w:t xml:space="preserve"> </w:t>
      </w:r>
      <w:r>
        <w:rPr>
          <w:rFonts w:ascii="Times New Roman" w:hAnsi="Times New Roman" w:cs="Times New Roman"/>
          <w:sz w:val="28"/>
          <w:lang w:val="en-US"/>
        </w:rPr>
        <w:t>Viewer</w:t>
      </w:r>
      <w:r w:rsidRPr="008B0E6D">
        <w:rPr>
          <w:rFonts w:ascii="Times New Roman" w:hAnsi="Times New Roman" w:cs="Times New Roman"/>
          <w:sz w:val="28"/>
        </w:rPr>
        <w:t xml:space="preserve"> 4</w:t>
      </w:r>
      <w:r>
        <w:rPr>
          <w:rFonts w:ascii="Times New Roman" w:hAnsi="Times New Roman" w:cs="Times New Roman"/>
          <w:sz w:val="28"/>
        </w:rPr>
        <w:t xml:space="preserve">.0.3 та </w:t>
      </w:r>
      <w:r>
        <w:rPr>
          <w:rFonts w:ascii="Times New Roman" w:hAnsi="Times New Roman" w:cs="Times New Roman"/>
          <w:sz w:val="28"/>
          <w:lang w:val="en-US"/>
        </w:rPr>
        <w:t>eFilm</w:t>
      </w:r>
      <w:r w:rsidRPr="008B0E6D">
        <w:rPr>
          <w:rFonts w:ascii="Times New Roman" w:hAnsi="Times New Roman" w:cs="Times New Roman"/>
          <w:sz w:val="28"/>
        </w:rPr>
        <w:t xml:space="preserve"> </w:t>
      </w:r>
      <w:r>
        <w:rPr>
          <w:rFonts w:ascii="Times New Roman" w:hAnsi="Times New Roman" w:cs="Times New Roman"/>
          <w:sz w:val="28"/>
          <w:lang w:val="en-US"/>
        </w:rPr>
        <w:t>Workstation</w:t>
      </w:r>
      <w:r w:rsidRPr="008B0E6D">
        <w:rPr>
          <w:rFonts w:ascii="Times New Roman" w:hAnsi="Times New Roman" w:cs="Times New Roman"/>
          <w:sz w:val="28"/>
        </w:rPr>
        <w:t xml:space="preserve"> 4</w:t>
      </w:r>
      <w:r>
        <w:rPr>
          <w:rFonts w:ascii="Times New Roman" w:hAnsi="Times New Roman" w:cs="Times New Roman"/>
          <w:sz w:val="28"/>
        </w:rPr>
        <w:t>.1.0.</w:t>
      </w:r>
    </w:p>
    <w:p w:rsidR="00F66D6D" w:rsidRPr="00EA0B12" w:rsidRDefault="00F66D6D" w:rsidP="00F66D6D">
      <w:pPr>
        <w:spacing w:line="360" w:lineRule="auto"/>
        <w:ind w:firstLine="708"/>
        <w:jc w:val="both"/>
        <w:rPr>
          <w:rFonts w:ascii="Times New Roman" w:hAnsi="Times New Roman" w:cs="Times New Roman"/>
          <w:sz w:val="28"/>
        </w:rPr>
      </w:pPr>
    </w:p>
    <w:p w:rsidR="00B84AB9" w:rsidRDefault="00B84AB9" w:rsidP="00B84AB9">
      <w:pPr>
        <w:spacing w:line="360" w:lineRule="auto"/>
        <w:contextualSpacing/>
        <w:rPr>
          <w:rFonts w:ascii="Times New Roman" w:hAnsi="Times New Roman" w:cs="Times New Roman"/>
          <w:sz w:val="28"/>
        </w:rPr>
      </w:pPr>
      <w:r>
        <w:rPr>
          <w:rFonts w:ascii="Times New Roman" w:hAnsi="Times New Roman" w:cs="Times New Roman"/>
          <w:sz w:val="28"/>
        </w:rPr>
        <w:tab/>
        <w:t>2.2.6</w:t>
      </w:r>
      <w:r w:rsidRPr="00EA0B12">
        <w:rPr>
          <w:rFonts w:ascii="Times New Roman" w:hAnsi="Times New Roman" w:cs="Times New Roman"/>
          <w:sz w:val="28"/>
        </w:rPr>
        <w:t xml:space="preserve">. </w:t>
      </w:r>
      <w:r>
        <w:rPr>
          <w:rFonts w:ascii="Times New Roman" w:hAnsi="Times New Roman" w:cs="Times New Roman"/>
          <w:sz w:val="28"/>
        </w:rPr>
        <w:t>Патоморфологічні методи</w:t>
      </w:r>
      <w:r w:rsidRPr="00EA0B12">
        <w:rPr>
          <w:rFonts w:ascii="Times New Roman" w:hAnsi="Times New Roman" w:cs="Times New Roman"/>
          <w:sz w:val="28"/>
        </w:rPr>
        <w:t xml:space="preserve"> досліджень</w:t>
      </w:r>
    </w:p>
    <w:p w:rsidR="00B84AB9" w:rsidRDefault="00B84AB9" w:rsidP="00B84AB9">
      <w:pPr>
        <w:spacing w:line="360" w:lineRule="auto"/>
        <w:contextualSpacing/>
        <w:jc w:val="both"/>
        <w:rPr>
          <w:rFonts w:ascii="Times New Roman" w:hAnsi="Times New Roman" w:cs="Times New Roman"/>
          <w:sz w:val="28"/>
          <w:szCs w:val="28"/>
        </w:rPr>
      </w:pPr>
      <w:r>
        <w:rPr>
          <w:rFonts w:ascii="Times New Roman" w:hAnsi="Times New Roman" w:cs="Times New Roman"/>
          <w:sz w:val="28"/>
        </w:rPr>
        <w:tab/>
        <w:t xml:space="preserve">Патоморфологічна характеристика пухлин здійснювалась на базі кафедри патологічної анатомії ЛНМУ ім. Данила Галицького та відділення </w:t>
      </w:r>
      <w:r>
        <w:rPr>
          <w:rFonts w:ascii="Times New Roman" w:hAnsi="Times New Roman" w:cs="Times New Roman"/>
          <w:sz w:val="28"/>
          <w:szCs w:val="28"/>
        </w:rPr>
        <w:t>патологічної анатомії Клінічної міської комунальної лікарні</w:t>
      </w:r>
      <w:r w:rsidRPr="008C7B07">
        <w:rPr>
          <w:rFonts w:ascii="Times New Roman" w:hAnsi="Times New Roman" w:cs="Times New Roman"/>
          <w:sz w:val="28"/>
          <w:szCs w:val="28"/>
        </w:rPr>
        <w:t xml:space="preserve"> </w:t>
      </w:r>
      <w:r>
        <w:rPr>
          <w:rFonts w:ascii="Times New Roman" w:hAnsi="Times New Roman" w:cs="Times New Roman"/>
          <w:sz w:val="28"/>
          <w:szCs w:val="28"/>
        </w:rPr>
        <w:t>швидкої медичної допомоги м. Львова та їх архівів.</w:t>
      </w:r>
    </w:p>
    <w:p w:rsidR="00B84AB9" w:rsidRDefault="00B84AB9" w:rsidP="0026312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Фіксації тканин для подальшого гістологічного дослідження проводили при температурі 18-20°С, температура фіксуючого розчину для гістохімічних досліджень складала 0-4°С (у холодильнику) для уповільнення аутолітичних процесів і зниження швидкості можливої дифузії досліджуваної речовини. Для хімічної фіксації тканин, яку проводили при кімнатній температурі і використовували нейтральний (забуферений) 10% розч</w:t>
      </w:r>
      <w:r w:rsidR="00332DBD">
        <w:rPr>
          <w:rFonts w:ascii="Times New Roman" w:hAnsi="Times New Roman" w:cs="Times New Roman"/>
          <w:sz w:val="28"/>
          <w:szCs w:val="28"/>
        </w:rPr>
        <w:t>ин формаліну протягом 24-48 год, після чого проводилась ф</w:t>
      </w:r>
      <w:r w:rsidR="00263124">
        <w:rPr>
          <w:rFonts w:ascii="Times New Roman" w:hAnsi="Times New Roman" w:cs="Times New Roman"/>
          <w:sz w:val="28"/>
          <w:szCs w:val="28"/>
        </w:rPr>
        <w:t>іксація матеріалу.</w:t>
      </w:r>
    </w:p>
    <w:p w:rsidR="00E908D6" w:rsidRDefault="00B84AB9" w:rsidP="00332DB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гістологічної класифікації НКР використовували класифікацію ВООЗ від 2016 р. </w:t>
      </w:r>
      <w:r w:rsidRPr="00A01AA7">
        <w:rPr>
          <w:rFonts w:ascii="Times New Roman" w:hAnsi="Times New Roman" w:cs="Times New Roman"/>
          <w:sz w:val="28"/>
          <w:szCs w:val="28"/>
        </w:rPr>
        <w:t>[</w:t>
      </w:r>
      <w:r w:rsidR="001F1B83">
        <w:rPr>
          <w:rFonts w:ascii="Times New Roman" w:eastAsia="Times New Roman" w:hAnsi="Times New Roman" w:cs="Times New Roman"/>
          <w:sz w:val="28"/>
          <w:szCs w:val="28"/>
          <w:lang w:eastAsia="uk-UA"/>
        </w:rPr>
        <w:t>289</w:t>
      </w:r>
      <w:r w:rsidR="00332DBD">
        <w:rPr>
          <w:rFonts w:ascii="Times New Roman" w:hAnsi="Times New Roman" w:cs="Times New Roman"/>
          <w:sz w:val="28"/>
          <w:szCs w:val="28"/>
        </w:rPr>
        <w:t>].</w:t>
      </w:r>
      <w:r w:rsidRPr="00A01AA7">
        <w:rPr>
          <w:rFonts w:ascii="Times New Roman" w:hAnsi="Times New Roman" w:cs="Times New Roman"/>
          <w:sz w:val="28"/>
          <w:szCs w:val="28"/>
        </w:rPr>
        <w:t xml:space="preserve"> </w:t>
      </w:r>
      <w:r>
        <w:rPr>
          <w:rFonts w:ascii="Times New Roman" w:hAnsi="Times New Roman" w:cs="Times New Roman"/>
          <w:sz w:val="28"/>
          <w:szCs w:val="28"/>
        </w:rPr>
        <w:t xml:space="preserve">Для визначення </w:t>
      </w:r>
      <w:r w:rsidR="00B02037">
        <w:rPr>
          <w:rFonts w:ascii="Times New Roman" w:hAnsi="Times New Roman" w:cs="Times New Roman"/>
          <w:sz w:val="28"/>
          <w:szCs w:val="28"/>
        </w:rPr>
        <w:t>ступеня</w:t>
      </w:r>
      <w:r>
        <w:rPr>
          <w:rFonts w:ascii="Times New Roman" w:hAnsi="Times New Roman" w:cs="Times New Roman"/>
          <w:sz w:val="28"/>
          <w:szCs w:val="28"/>
        </w:rPr>
        <w:t xml:space="preserve"> диференціації НКР використовували класифікацію за </w:t>
      </w:r>
      <w:r>
        <w:rPr>
          <w:rFonts w:ascii="Times New Roman" w:hAnsi="Times New Roman" w:cs="Times New Roman"/>
          <w:sz w:val="28"/>
          <w:szCs w:val="28"/>
          <w:lang w:val="en-US"/>
        </w:rPr>
        <w:t>Fuhrman</w:t>
      </w:r>
      <w:r>
        <w:rPr>
          <w:rFonts w:ascii="Times New Roman" w:hAnsi="Times New Roman" w:cs="Times New Roman"/>
          <w:sz w:val="28"/>
          <w:szCs w:val="28"/>
        </w:rPr>
        <w:t>, яка засновується на критеріях ядерної ат</w:t>
      </w:r>
      <w:r w:rsidR="00E342E1">
        <w:rPr>
          <w:rFonts w:ascii="Times New Roman" w:hAnsi="Times New Roman" w:cs="Times New Roman"/>
          <w:sz w:val="28"/>
          <w:szCs w:val="28"/>
        </w:rPr>
        <w:t>ипії клітин пухлини (таблиця 2.7</w:t>
      </w:r>
      <w:r>
        <w:rPr>
          <w:rFonts w:ascii="Times New Roman" w:hAnsi="Times New Roman" w:cs="Times New Roman"/>
          <w:sz w:val="28"/>
          <w:szCs w:val="28"/>
        </w:rPr>
        <w:t>). Оскільки було доведено, що прогностична цін</w:t>
      </w:r>
      <w:r w:rsidR="00BC2EB1">
        <w:rPr>
          <w:rFonts w:ascii="Times New Roman" w:hAnsi="Times New Roman" w:cs="Times New Roman"/>
          <w:sz w:val="28"/>
          <w:szCs w:val="28"/>
        </w:rPr>
        <w:t>ність чотирьох- та двоступенево</w:t>
      </w:r>
      <w:r>
        <w:rPr>
          <w:rFonts w:ascii="Times New Roman" w:hAnsi="Times New Roman" w:cs="Times New Roman"/>
          <w:sz w:val="28"/>
          <w:szCs w:val="28"/>
        </w:rPr>
        <w:t xml:space="preserve">ї систем за </w:t>
      </w:r>
      <w:r>
        <w:rPr>
          <w:rFonts w:ascii="Times New Roman" w:hAnsi="Times New Roman" w:cs="Times New Roman"/>
          <w:sz w:val="28"/>
          <w:szCs w:val="28"/>
          <w:lang w:val="en-US"/>
        </w:rPr>
        <w:t>Fuhrman</w:t>
      </w:r>
      <w:r>
        <w:rPr>
          <w:rFonts w:ascii="Times New Roman" w:hAnsi="Times New Roman" w:cs="Times New Roman"/>
          <w:sz w:val="28"/>
          <w:szCs w:val="28"/>
        </w:rPr>
        <w:t xml:space="preserve"> є еквівалентною </w:t>
      </w:r>
      <w:r w:rsidRPr="006C3137">
        <w:rPr>
          <w:rFonts w:ascii="Times New Roman" w:hAnsi="Times New Roman" w:cs="Times New Roman"/>
          <w:sz w:val="28"/>
          <w:szCs w:val="28"/>
        </w:rPr>
        <w:t>[</w:t>
      </w:r>
      <w:r w:rsidR="001F1B83">
        <w:rPr>
          <w:rFonts w:ascii="Times New Roman" w:hAnsi="Times New Roman" w:cs="Times New Roman"/>
          <w:sz w:val="28"/>
          <w:szCs w:val="28"/>
        </w:rPr>
        <w:t xml:space="preserve">187, </w:t>
      </w:r>
      <w:r w:rsidR="001F1B83">
        <w:rPr>
          <w:rFonts w:ascii="Times New Roman" w:eastAsia="Times New Roman" w:hAnsi="Times New Roman" w:cs="Times New Roman"/>
          <w:sz w:val="28"/>
          <w:szCs w:val="28"/>
          <w:lang w:eastAsia="uk-UA"/>
        </w:rPr>
        <w:t>384</w:t>
      </w:r>
      <w:r w:rsidRPr="006C3137">
        <w:rPr>
          <w:rFonts w:ascii="Times New Roman" w:hAnsi="Times New Roman" w:cs="Times New Roman"/>
          <w:sz w:val="28"/>
          <w:szCs w:val="28"/>
        </w:rPr>
        <w:t>]</w:t>
      </w:r>
      <w:r>
        <w:rPr>
          <w:rFonts w:ascii="Times New Roman" w:hAnsi="Times New Roman" w:cs="Times New Roman"/>
          <w:sz w:val="28"/>
          <w:szCs w:val="28"/>
        </w:rPr>
        <w:t xml:space="preserve">, І та ІІ ступені були об’єднані у якості високодиференційованих пухлин, а ІІІ та </w:t>
      </w:r>
      <w:r>
        <w:rPr>
          <w:rFonts w:ascii="Times New Roman" w:hAnsi="Times New Roman" w:cs="Times New Roman"/>
          <w:sz w:val="28"/>
          <w:szCs w:val="28"/>
          <w:lang w:val="en-US"/>
        </w:rPr>
        <w:t>IV</w:t>
      </w:r>
      <w:r w:rsidRPr="006C3137">
        <w:rPr>
          <w:rFonts w:ascii="Times New Roman" w:hAnsi="Times New Roman" w:cs="Times New Roman"/>
          <w:sz w:val="28"/>
          <w:szCs w:val="28"/>
        </w:rPr>
        <w:t xml:space="preserve"> </w:t>
      </w:r>
      <w:r>
        <w:rPr>
          <w:rFonts w:ascii="Times New Roman" w:hAnsi="Times New Roman" w:cs="Times New Roman"/>
          <w:sz w:val="28"/>
          <w:szCs w:val="28"/>
        </w:rPr>
        <w:t>ступені були об’єднані у якості низькодиференційованих.</w:t>
      </w:r>
    </w:p>
    <w:p w:rsidR="00332DBD" w:rsidRDefault="00332DBD" w:rsidP="00332DBD">
      <w:pPr>
        <w:spacing w:line="360" w:lineRule="auto"/>
        <w:ind w:firstLine="708"/>
        <w:jc w:val="both"/>
        <w:rPr>
          <w:rFonts w:ascii="Times New Roman" w:hAnsi="Times New Roman" w:cs="Times New Roman"/>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332DBD" w:rsidTr="00332DBD">
        <w:tc>
          <w:tcPr>
            <w:tcW w:w="4672" w:type="dxa"/>
          </w:tcPr>
          <w:p w:rsidR="00332DBD" w:rsidRDefault="00332DBD" w:rsidP="00332DBD">
            <w:pPr>
              <w:spacing w:line="360" w:lineRule="auto"/>
              <w:jc w:val="both"/>
              <w:rPr>
                <w:rFonts w:ascii="Times New Roman" w:hAnsi="Times New Roman" w:cs="Times New Roman"/>
                <w:sz w:val="28"/>
                <w:szCs w:val="28"/>
              </w:rPr>
            </w:pPr>
            <w:r w:rsidRPr="00A01AA7">
              <w:rPr>
                <w:rFonts w:ascii="Times New Roman" w:hAnsi="Times New Roman" w:cs="Times New Roman"/>
                <w:noProof/>
                <w:lang w:val="en-US"/>
              </w:rPr>
              <w:lastRenderedPageBreak/>
              <mc:AlternateContent>
                <mc:Choice Requires="wps">
                  <w:drawing>
                    <wp:anchor distT="0" distB="0" distL="114300" distR="114300" simplePos="0" relativeHeight="251659264" behindDoc="0" locked="0" layoutInCell="1" allowOverlap="1" wp14:anchorId="23E2FD7B" wp14:editId="56231580">
                      <wp:simplePos x="0" y="0"/>
                      <wp:positionH relativeFrom="column">
                        <wp:posOffset>-38519</wp:posOffset>
                      </wp:positionH>
                      <wp:positionV relativeFrom="paragraph">
                        <wp:posOffset>-78920</wp:posOffset>
                      </wp:positionV>
                      <wp:extent cx="1828800" cy="1828800"/>
                      <wp:effectExtent l="0" t="0" r="0" b="0"/>
                      <wp:wrapNone/>
                      <wp:docPr id="17" name="Надпись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7B5A1D" w:rsidRPr="00332DBD" w:rsidRDefault="007B5A1D" w:rsidP="00E908D6">
                                  <w:pPr>
                                    <w:spacing w:after="0" w:line="360" w:lineRule="auto"/>
                                    <w:rPr>
                                      <w:rFonts w:ascii="Times New Roman" w:hAnsi="Times New Roman" w:cs="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32DBD">
                                    <w:rPr>
                                      <w:rFonts w:ascii="Times New Roman" w:hAnsi="Times New Roman" w:cs="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23E2FD7B" id="_x0000_t202" coordsize="21600,21600" o:spt="202" path="m,l,21600r21600,l21600,xe">
                      <v:stroke joinstyle="miter"/>
                      <v:path gradientshapeok="t" o:connecttype="rect"/>
                    </v:shapetype>
                    <v:shape id="Надпись 17" o:spid="_x0000_s1026" type="#_x0000_t202" style="position:absolute;left:0;text-align:left;margin-left:-3.05pt;margin-top:-6.2pt;width:2in;height:2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" filled="f" stroked="f">
                      <v:textbox style="mso-fit-shape-to-text:t">
                        <w:txbxContent>
                          <w:p w:rsidR="007B5A1D" w:rsidRPr="00332DBD" w:rsidRDefault="007B5A1D" w:rsidP="00E908D6">
                            <w:pPr>
                              <w:spacing w:after="0" w:line="360" w:lineRule="auto"/>
                              <w:rPr>
                                <w:rFonts w:ascii="Times New Roman" w:hAnsi="Times New Roman" w:cs="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32DBD">
                              <w:rPr>
                                <w:rFonts w:ascii="Times New Roman" w:hAnsi="Times New Roman" w:cs="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v:shape>
                  </w:pict>
                </mc:Fallback>
              </mc:AlternateContent>
            </w:r>
            <w:r w:rsidRPr="00A01AA7">
              <w:rPr>
                <w:rFonts w:ascii="Times New Roman" w:hAnsi="Times New Roman" w:cs="Times New Roman"/>
                <w:noProof/>
                <w:sz w:val="28"/>
                <w:szCs w:val="28"/>
                <w:lang w:val="en-US"/>
              </w:rPr>
              <w:drawing>
                <wp:inline distT="0" distB="0" distL="0" distR="0" wp14:anchorId="2C720EEE" wp14:editId="2EB399A1">
                  <wp:extent cx="2734573" cy="1866995"/>
                  <wp:effectExtent l="0" t="0" r="8890" b="0"/>
                  <wp:docPr id="23" name="Рисунок 23" descr="C:\Users\HOME\AppData\Local\Microsoft\Windows\INetCache\Content.Word\m0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HOME\AppData\Local\Microsoft\Windows\INetCache\Content.Word\m03a.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48864" cy="1876752"/>
                          </a:xfrm>
                          <a:prstGeom prst="rect">
                            <a:avLst/>
                          </a:prstGeom>
                          <a:noFill/>
                          <a:ln>
                            <a:noFill/>
                          </a:ln>
                        </pic:spPr>
                      </pic:pic>
                    </a:graphicData>
                  </a:graphic>
                </wp:inline>
              </w:drawing>
            </w:r>
          </w:p>
        </w:tc>
        <w:tc>
          <w:tcPr>
            <w:tcW w:w="4672" w:type="dxa"/>
          </w:tcPr>
          <w:p w:rsidR="00332DBD" w:rsidRDefault="00332DBD" w:rsidP="00332DBD">
            <w:pPr>
              <w:spacing w:line="360" w:lineRule="auto"/>
              <w:jc w:val="both"/>
              <w:rPr>
                <w:rFonts w:ascii="Times New Roman" w:hAnsi="Times New Roman" w:cs="Times New Roman"/>
                <w:sz w:val="28"/>
                <w:szCs w:val="28"/>
              </w:rPr>
            </w:pPr>
            <w:r w:rsidRPr="00A01AA7">
              <w:rPr>
                <w:rFonts w:ascii="Times New Roman" w:hAnsi="Times New Roman" w:cs="Times New Roman"/>
                <w:noProof/>
                <w:lang w:val="en-US"/>
              </w:rPr>
              <mc:AlternateContent>
                <mc:Choice Requires="wps">
                  <w:drawing>
                    <wp:anchor distT="0" distB="0" distL="114300" distR="114300" simplePos="0" relativeHeight="251660288" behindDoc="0" locked="0" layoutInCell="1" allowOverlap="1" wp14:anchorId="4B82B762" wp14:editId="70C20317">
                      <wp:simplePos x="0" y="0"/>
                      <wp:positionH relativeFrom="column">
                        <wp:posOffset>-33858</wp:posOffset>
                      </wp:positionH>
                      <wp:positionV relativeFrom="paragraph">
                        <wp:posOffset>-78201</wp:posOffset>
                      </wp:positionV>
                      <wp:extent cx="6115050" cy="4067175"/>
                      <wp:effectExtent l="0" t="0" r="0" b="0"/>
                      <wp:wrapNone/>
                      <wp:docPr id="18" name="Надпись 18"/>
                      <wp:cNvGraphicFramePr/>
                      <a:graphic xmlns:a="http://schemas.openxmlformats.org/drawingml/2006/main">
                        <a:graphicData uri="http://schemas.microsoft.com/office/word/2010/wordprocessingShape">
                          <wps:wsp>
                            <wps:cNvSpPr txBox="1"/>
                            <wps:spPr>
                              <a:xfrm>
                                <a:off x="0" y="0"/>
                                <a:ext cx="6115050" cy="4067175"/>
                              </a:xfrm>
                              <a:prstGeom prst="rect">
                                <a:avLst/>
                              </a:prstGeom>
                              <a:noFill/>
                              <a:ln>
                                <a:noFill/>
                              </a:ln>
                            </wps:spPr>
                            <wps:txbx>
                              <w:txbxContent>
                                <w:p w:rsidR="007B5A1D" w:rsidRPr="00332DBD" w:rsidRDefault="007B5A1D" w:rsidP="00E908D6">
                                  <w:pPr>
                                    <w:spacing w:after="0" w:line="360" w:lineRule="auto"/>
                                    <w:jc w:val="center"/>
                                    <w:rPr>
                                      <w:rFonts w:ascii="Times New Roman" w:hAnsi="Times New Roman" w:cs="Times New Roman"/>
                                      <w:noProof/>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32DBD">
                                    <w:rPr>
                                      <w:rFonts w:ascii="Times New Roman" w:hAnsi="Times New Roman" w:cs="Times New Roman"/>
                                      <w:noProof/>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4B82B762" id="Надпись 18" o:spid="_x0000_s1027" type="#_x0000_t202" style="position:absolute;left:0;text-align:left;margin-left:-2.65pt;margin-top:-6.15pt;width:481.5pt;height:320.25pt;z-index:2516602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" filled="f" stroked="f">
                      <v:textbox style="mso-fit-shape-to-text:t">
                        <w:txbxContent>
                          <w:p w:rsidR="007B5A1D" w:rsidRPr="00332DBD" w:rsidRDefault="007B5A1D" w:rsidP="00E908D6">
                            <w:pPr>
                              <w:spacing w:after="0" w:line="360" w:lineRule="auto"/>
                              <w:jc w:val="center"/>
                              <w:rPr>
                                <w:rFonts w:ascii="Times New Roman" w:hAnsi="Times New Roman" w:cs="Times New Roman"/>
                                <w:noProof/>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32DBD">
                              <w:rPr>
                                <w:rFonts w:ascii="Times New Roman" w:hAnsi="Times New Roman" w:cs="Times New Roman"/>
                                <w:noProof/>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v:shape>
                  </w:pict>
                </mc:Fallback>
              </mc:AlternateContent>
            </w:r>
            <w:r w:rsidRPr="00A01AA7">
              <w:rPr>
                <w:rFonts w:ascii="Times New Roman" w:hAnsi="Times New Roman" w:cs="Times New Roman"/>
                <w:noProof/>
                <w:sz w:val="28"/>
                <w:szCs w:val="28"/>
                <w:lang w:val="en-US"/>
              </w:rPr>
              <w:drawing>
                <wp:inline distT="0" distB="0" distL="0" distR="0" wp14:anchorId="450131CA" wp14:editId="59DFFE6E">
                  <wp:extent cx="2710715" cy="1802921"/>
                  <wp:effectExtent l="0" t="0" r="0" b="6985"/>
                  <wp:docPr id="24" name="Рисунок 24" descr="C:\Users\HOME\AppData\Local\Microsoft\Windows\INetCache\Content.Word\m1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HOME\AppData\Local\Microsoft\Windows\INetCache\Content.Word\m15a.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34583" cy="1818796"/>
                          </a:xfrm>
                          <a:prstGeom prst="rect">
                            <a:avLst/>
                          </a:prstGeom>
                          <a:noFill/>
                          <a:ln>
                            <a:noFill/>
                          </a:ln>
                        </pic:spPr>
                      </pic:pic>
                    </a:graphicData>
                  </a:graphic>
                </wp:inline>
              </w:drawing>
            </w:r>
          </w:p>
        </w:tc>
      </w:tr>
      <w:tr w:rsidR="00332DBD" w:rsidTr="00332DBD">
        <w:tc>
          <w:tcPr>
            <w:tcW w:w="4672" w:type="dxa"/>
          </w:tcPr>
          <w:p w:rsidR="00332DBD" w:rsidRDefault="00332DBD" w:rsidP="00332DBD">
            <w:pPr>
              <w:spacing w:line="360" w:lineRule="auto"/>
              <w:jc w:val="both"/>
              <w:rPr>
                <w:rFonts w:ascii="Times New Roman" w:hAnsi="Times New Roman" w:cs="Times New Roman"/>
                <w:sz w:val="28"/>
                <w:szCs w:val="28"/>
              </w:rPr>
            </w:pPr>
            <w:r w:rsidRPr="00A01AA7">
              <w:rPr>
                <w:rFonts w:ascii="Times New Roman" w:hAnsi="Times New Roman" w:cs="Times New Roman"/>
                <w:noProof/>
                <w:lang w:val="en-US"/>
              </w:rPr>
              <mc:AlternateContent>
                <mc:Choice Requires="wps">
                  <w:drawing>
                    <wp:anchor distT="0" distB="0" distL="114300" distR="114300" simplePos="0" relativeHeight="251661312" behindDoc="0" locked="0" layoutInCell="1" allowOverlap="1" wp14:anchorId="5734F628" wp14:editId="25D44150">
                      <wp:simplePos x="0" y="0"/>
                      <wp:positionH relativeFrom="column">
                        <wp:posOffset>50537</wp:posOffset>
                      </wp:positionH>
                      <wp:positionV relativeFrom="paragraph">
                        <wp:posOffset>-47829</wp:posOffset>
                      </wp:positionV>
                      <wp:extent cx="1828800" cy="1828800"/>
                      <wp:effectExtent l="0" t="0" r="0" b="0"/>
                      <wp:wrapNone/>
                      <wp:docPr id="19" name="Надпись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7B5A1D" w:rsidRPr="00332DBD" w:rsidRDefault="007B5A1D" w:rsidP="00E908D6">
                                  <w:pPr>
                                    <w:spacing w:after="0" w:line="360" w:lineRule="auto"/>
                                    <w:rPr>
                                      <w:rFonts w:ascii="Times New Roman" w:hAnsi="Times New Roman" w:cs="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32DBD">
                                    <w:rPr>
                                      <w:rFonts w:ascii="Times New Roman" w:hAnsi="Times New Roman" w:cs="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5734F628" id="Надпись 19" o:spid="_x0000_s1028" type="#_x0000_t202" style="position:absolute;left:0;text-align:left;margin-left:4pt;margin-top:-3.75pt;width:2in;height:2in;z-index:251661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" filled="f" stroked="f">
                      <v:textbox style="mso-fit-shape-to-text:t">
                        <w:txbxContent>
                          <w:p w:rsidR="007B5A1D" w:rsidRPr="00332DBD" w:rsidRDefault="007B5A1D" w:rsidP="00E908D6">
                            <w:pPr>
                              <w:spacing w:after="0" w:line="360" w:lineRule="auto"/>
                              <w:rPr>
                                <w:rFonts w:ascii="Times New Roman" w:hAnsi="Times New Roman" w:cs="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32DBD">
                              <w:rPr>
                                <w:rFonts w:ascii="Times New Roman" w:hAnsi="Times New Roman" w:cs="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v:shape>
                  </w:pict>
                </mc:Fallback>
              </mc:AlternateContent>
            </w:r>
            <w:r w:rsidRPr="00A01AA7">
              <w:rPr>
                <w:rFonts w:ascii="Times New Roman" w:hAnsi="Times New Roman" w:cs="Times New Roman"/>
                <w:noProof/>
                <w:sz w:val="28"/>
                <w:szCs w:val="28"/>
                <w:lang w:val="en-US"/>
              </w:rPr>
              <w:drawing>
                <wp:inline distT="0" distB="0" distL="0" distR="0" wp14:anchorId="4023E228" wp14:editId="3BA7DF57">
                  <wp:extent cx="2743200" cy="1797416"/>
                  <wp:effectExtent l="0" t="0" r="0" b="0"/>
                  <wp:docPr id="27" name="Рисунок 27" descr="C:\Users\HOME\AppData\Local\Microsoft\Windows\INetCache\Content.Word\m2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HOME\AppData\Local\Microsoft\Windows\INetCache\Content.Word\m20a.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57319" cy="1806667"/>
                          </a:xfrm>
                          <a:prstGeom prst="rect">
                            <a:avLst/>
                          </a:prstGeom>
                          <a:noFill/>
                          <a:ln>
                            <a:noFill/>
                          </a:ln>
                        </pic:spPr>
                      </pic:pic>
                    </a:graphicData>
                  </a:graphic>
                </wp:inline>
              </w:drawing>
            </w:r>
          </w:p>
        </w:tc>
        <w:tc>
          <w:tcPr>
            <w:tcW w:w="4672" w:type="dxa"/>
          </w:tcPr>
          <w:p w:rsidR="00332DBD" w:rsidRDefault="00332DBD" w:rsidP="00332DBD">
            <w:pPr>
              <w:spacing w:line="360" w:lineRule="auto"/>
              <w:jc w:val="both"/>
              <w:rPr>
                <w:rFonts w:ascii="Times New Roman" w:hAnsi="Times New Roman" w:cs="Times New Roman"/>
                <w:sz w:val="28"/>
                <w:szCs w:val="28"/>
              </w:rPr>
            </w:pPr>
            <w:r w:rsidRPr="00A01AA7">
              <w:rPr>
                <w:rFonts w:ascii="Times New Roman" w:hAnsi="Times New Roman" w:cs="Times New Roman"/>
                <w:noProof/>
                <w:lang w:val="en-US"/>
              </w:rPr>
              <mc:AlternateContent>
                <mc:Choice Requires="wps">
                  <w:drawing>
                    <wp:anchor distT="0" distB="0" distL="114300" distR="114300" simplePos="0" relativeHeight="251785216" behindDoc="0" locked="0" layoutInCell="1" allowOverlap="1" wp14:anchorId="1B189DB3" wp14:editId="1A669C78">
                      <wp:simplePos x="0" y="0"/>
                      <wp:positionH relativeFrom="column">
                        <wp:posOffset>22177</wp:posOffset>
                      </wp:positionH>
                      <wp:positionV relativeFrom="paragraph">
                        <wp:posOffset>-76379</wp:posOffset>
                      </wp:positionV>
                      <wp:extent cx="1828800" cy="1828800"/>
                      <wp:effectExtent l="0" t="0" r="0" b="0"/>
                      <wp:wrapNone/>
                      <wp:docPr id="1" name="Надпись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7B5A1D" w:rsidRPr="00CD6917" w:rsidRDefault="007B5A1D" w:rsidP="00E908D6">
                                  <w:pPr>
                                    <w:spacing w:after="0" w:line="360" w:lineRule="auto"/>
                                    <w:rPr>
                                      <w:rFonts w:ascii="Times New Roman" w:hAnsi="Times New Roman" w:cs="Times New Roman"/>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1B189DB3" id="_x0000_s1029" type="#_x0000_t202" style="position:absolute;left:0;text-align:left;margin-left:1.75pt;margin-top:-6pt;width:2in;height:2in;z-index:2517852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" filled="f" stroked="f">
                      <v:textbox style="mso-fit-shape-to-text:t">
                        <w:txbxContent>
                          <w:p w:rsidR="007B5A1D" w:rsidRPr="00CD6917" w:rsidRDefault="007B5A1D" w:rsidP="00E908D6">
                            <w:pPr>
                              <w:spacing w:after="0" w:line="360" w:lineRule="auto"/>
                              <w:rPr>
                                <w:rFonts w:ascii="Times New Roman" w:hAnsi="Times New Roman" w:cs="Times New Roman"/>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v:shape>
                  </w:pict>
                </mc:Fallback>
              </mc:AlternateContent>
            </w:r>
            <w:r w:rsidRPr="00A01AA7">
              <w:rPr>
                <w:rFonts w:ascii="Times New Roman" w:hAnsi="Times New Roman" w:cs="Times New Roman"/>
                <w:noProof/>
                <w:sz w:val="28"/>
                <w:szCs w:val="28"/>
                <w:lang w:val="en-US"/>
              </w:rPr>
              <w:drawing>
                <wp:inline distT="0" distB="0" distL="0" distR="0" wp14:anchorId="70A5EC3C" wp14:editId="28649BF4">
                  <wp:extent cx="2699055" cy="1828800"/>
                  <wp:effectExtent l="0" t="0" r="6350" b="0"/>
                  <wp:docPr id="28" name="Рисунок 28" descr="C:\Users\HOME\AppData\Local\Microsoft\Windows\INetCache\Content.Word\m1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HOME\AppData\Local\Microsoft\Windows\INetCache\Content.Word\m11a.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10211" cy="1836359"/>
                          </a:xfrm>
                          <a:prstGeom prst="rect">
                            <a:avLst/>
                          </a:prstGeom>
                          <a:noFill/>
                          <a:ln>
                            <a:noFill/>
                          </a:ln>
                        </pic:spPr>
                      </pic:pic>
                    </a:graphicData>
                  </a:graphic>
                </wp:inline>
              </w:drawing>
            </w:r>
          </w:p>
        </w:tc>
      </w:tr>
    </w:tbl>
    <w:p w:rsidR="00E908D6" w:rsidRDefault="00544220" w:rsidP="00332DBD">
      <w:pPr>
        <w:spacing w:line="360" w:lineRule="auto"/>
        <w:jc w:val="both"/>
        <w:rPr>
          <w:rFonts w:ascii="Times New Roman" w:hAnsi="Times New Roman" w:cs="Times New Roman"/>
          <w:sz w:val="28"/>
          <w:szCs w:val="28"/>
        </w:rPr>
      </w:pPr>
      <w:r>
        <w:rPr>
          <w:rFonts w:ascii="Times New Roman" w:hAnsi="Times New Roman" w:cs="Times New Roman"/>
          <w:sz w:val="28"/>
          <w:szCs w:val="28"/>
        </w:rPr>
        <w:t>Рис. 2.4</w:t>
      </w:r>
      <w:r w:rsidR="00E908D6" w:rsidRPr="00A01AA7">
        <w:rPr>
          <w:rFonts w:ascii="Times New Roman" w:hAnsi="Times New Roman" w:cs="Times New Roman"/>
          <w:sz w:val="28"/>
          <w:szCs w:val="28"/>
        </w:rPr>
        <w:t xml:space="preserve">. </w:t>
      </w:r>
      <w:r w:rsidR="00E908D6">
        <w:rPr>
          <w:rFonts w:ascii="Times New Roman" w:hAnsi="Times New Roman" w:cs="Times New Roman"/>
          <w:sz w:val="28"/>
          <w:szCs w:val="28"/>
        </w:rPr>
        <w:t xml:space="preserve">Мікрофотографія, </w:t>
      </w:r>
      <w:r w:rsidR="00332DBD">
        <w:rPr>
          <w:rFonts w:ascii="Times New Roman" w:hAnsi="Times New Roman" w:cs="Times New Roman"/>
          <w:sz w:val="28"/>
          <w:szCs w:val="28"/>
        </w:rPr>
        <w:t>з</w:t>
      </w:r>
      <w:r w:rsidR="00332DBD" w:rsidRPr="00A01AA7">
        <w:rPr>
          <w:rFonts w:ascii="Times New Roman" w:hAnsi="Times New Roman" w:cs="Times New Roman"/>
          <w:sz w:val="28"/>
          <w:szCs w:val="28"/>
        </w:rPr>
        <w:t>абарвлення гемато</w:t>
      </w:r>
      <w:r w:rsidR="00332DBD">
        <w:rPr>
          <w:rFonts w:ascii="Times New Roman" w:hAnsi="Times New Roman" w:cs="Times New Roman"/>
          <w:sz w:val="28"/>
          <w:szCs w:val="28"/>
        </w:rPr>
        <w:t xml:space="preserve">ксилін-еозином, збільшення ×100, </w:t>
      </w:r>
      <w:r w:rsidR="00E908D6">
        <w:rPr>
          <w:rFonts w:ascii="Times New Roman" w:hAnsi="Times New Roman" w:cs="Times New Roman"/>
          <w:sz w:val="28"/>
          <w:szCs w:val="28"/>
        </w:rPr>
        <w:t>г</w:t>
      </w:r>
      <w:r w:rsidR="00E908D6" w:rsidRPr="00A01AA7">
        <w:rPr>
          <w:rFonts w:ascii="Times New Roman" w:hAnsi="Times New Roman" w:cs="Times New Roman"/>
          <w:sz w:val="28"/>
          <w:szCs w:val="28"/>
        </w:rPr>
        <w:t xml:space="preserve">істологічна картина при: А – </w:t>
      </w:r>
      <w:r w:rsidR="00E908D6">
        <w:rPr>
          <w:rFonts w:ascii="Times New Roman" w:hAnsi="Times New Roman" w:cs="Times New Roman"/>
          <w:sz w:val="28"/>
          <w:szCs w:val="28"/>
        </w:rPr>
        <w:t xml:space="preserve">хворий П., 58 років, </w:t>
      </w:r>
      <w:r w:rsidR="00E908D6" w:rsidRPr="00A01AA7">
        <w:rPr>
          <w:rFonts w:ascii="Times New Roman" w:hAnsi="Times New Roman" w:cs="Times New Roman"/>
          <w:sz w:val="28"/>
          <w:szCs w:val="28"/>
        </w:rPr>
        <w:t xml:space="preserve">високодиференційований скНКР; Б – </w:t>
      </w:r>
      <w:r w:rsidR="00E908D6">
        <w:rPr>
          <w:rFonts w:ascii="Times New Roman" w:hAnsi="Times New Roman" w:cs="Times New Roman"/>
          <w:sz w:val="28"/>
          <w:szCs w:val="28"/>
        </w:rPr>
        <w:t xml:space="preserve">хворий Н., 62 роки, </w:t>
      </w:r>
      <w:r w:rsidR="00E908D6" w:rsidRPr="00A01AA7">
        <w:rPr>
          <w:rFonts w:ascii="Times New Roman" w:hAnsi="Times New Roman" w:cs="Times New Roman"/>
          <w:sz w:val="28"/>
          <w:szCs w:val="28"/>
        </w:rPr>
        <w:t>низькодиференційований скНКР з ознаками кистоутворення</w:t>
      </w:r>
      <w:r w:rsidR="00332DBD">
        <w:rPr>
          <w:rFonts w:ascii="Times New Roman" w:hAnsi="Times New Roman" w:cs="Times New Roman"/>
          <w:sz w:val="28"/>
          <w:szCs w:val="28"/>
        </w:rPr>
        <w:t xml:space="preserve"> та розповсюдженими геморагіями;</w:t>
      </w:r>
      <w:r w:rsidR="00E908D6" w:rsidRPr="00A01AA7">
        <w:rPr>
          <w:rFonts w:ascii="Times New Roman" w:hAnsi="Times New Roman" w:cs="Times New Roman"/>
          <w:sz w:val="28"/>
          <w:szCs w:val="28"/>
        </w:rPr>
        <w:t xml:space="preserve">  </w:t>
      </w:r>
      <w:r w:rsidR="00332DBD">
        <w:rPr>
          <w:rFonts w:ascii="Times New Roman" w:hAnsi="Times New Roman" w:cs="Times New Roman"/>
          <w:sz w:val="28"/>
          <w:szCs w:val="28"/>
        </w:rPr>
        <w:t>В –</w:t>
      </w:r>
      <w:r w:rsidR="00332DBD" w:rsidRPr="00A01AA7">
        <w:rPr>
          <w:rFonts w:ascii="Times New Roman" w:hAnsi="Times New Roman" w:cs="Times New Roman"/>
          <w:sz w:val="28"/>
          <w:szCs w:val="28"/>
        </w:rPr>
        <w:t xml:space="preserve"> низькодиференційованому папілярному</w:t>
      </w:r>
      <w:r w:rsidR="00332DBD">
        <w:rPr>
          <w:rFonts w:ascii="Times New Roman" w:hAnsi="Times New Roman" w:cs="Times New Roman"/>
          <w:sz w:val="28"/>
          <w:szCs w:val="28"/>
        </w:rPr>
        <w:t xml:space="preserve"> НКР, тубуло-папілярний варіант у хворого Р., 63 роки,</w:t>
      </w:r>
      <w:r w:rsidR="00332DBD" w:rsidRPr="00A01AA7">
        <w:rPr>
          <w:rFonts w:ascii="Times New Roman" w:hAnsi="Times New Roman" w:cs="Times New Roman"/>
          <w:sz w:val="28"/>
          <w:szCs w:val="28"/>
        </w:rPr>
        <w:t xml:space="preserve"> забарвлення гематоксил</w:t>
      </w:r>
      <w:r w:rsidR="00332DBD">
        <w:rPr>
          <w:rFonts w:ascii="Times New Roman" w:hAnsi="Times New Roman" w:cs="Times New Roman"/>
          <w:sz w:val="28"/>
          <w:szCs w:val="28"/>
        </w:rPr>
        <w:t>ін-еозином, збільшення ×400 та (</w:t>
      </w:r>
      <w:r w:rsidR="00332DBD" w:rsidRPr="00A01AA7">
        <w:rPr>
          <w:rFonts w:ascii="Times New Roman" w:hAnsi="Times New Roman" w:cs="Times New Roman"/>
          <w:sz w:val="28"/>
          <w:szCs w:val="28"/>
        </w:rPr>
        <w:t xml:space="preserve">Г) низькодиференційованому хромофобному НКР, </w:t>
      </w:r>
      <w:r w:rsidR="00332DBD">
        <w:rPr>
          <w:rFonts w:ascii="Times New Roman" w:hAnsi="Times New Roman" w:cs="Times New Roman"/>
          <w:sz w:val="28"/>
          <w:szCs w:val="28"/>
        </w:rPr>
        <w:t>у хворого К., 67 років.</w:t>
      </w:r>
    </w:p>
    <w:p w:rsidR="00332DBD" w:rsidRPr="00332DBD" w:rsidRDefault="00332DBD" w:rsidP="00332DBD">
      <w:pPr>
        <w:spacing w:line="360" w:lineRule="auto"/>
        <w:jc w:val="both"/>
        <w:rPr>
          <w:rFonts w:ascii="Times New Roman" w:hAnsi="Times New Roman" w:cs="Times New Roman"/>
          <w:sz w:val="28"/>
          <w:szCs w:val="28"/>
        </w:rPr>
      </w:pPr>
    </w:p>
    <w:p w:rsidR="00E908D6" w:rsidRPr="00544220" w:rsidRDefault="00E908D6" w:rsidP="00544220">
      <w:pPr>
        <w:spacing w:line="360" w:lineRule="auto"/>
        <w:ind w:firstLine="708"/>
        <w:contextualSpacing/>
        <w:rPr>
          <w:rFonts w:ascii="Times New Roman" w:hAnsi="Times New Roman" w:cs="Times New Roman"/>
          <w:sz w:val="28"/>
        </w:rPr>
      </w:pPr>
      <w:r>
        <w:rPr>
          <w:rFonts w:ascii="Times New Roman" w:hAnsi="Times New Roman" w:cs="Times New Roman"/>
          <w:sz w:val="28"/>
        </w:rPr>
        <w:t xml:space="preserve">2.2.7. </w:t>
      </w:r>
      <w:r w:rsidR="00332DBD">
        <w:rPr>
          <w:rFonts w:ascii="Times New Roman" w:hAnsi="Times New Roman" w:cs="Times New Roman"/>
          <w:sz w:val="28"/>
        </w:rPr>
        <w:t>Молекулярні</w:t>
      </w:r>
      <w:r>
        <w:rPr>
          <w:rFonts w:ascii="Times New Roman" w:hAnsi="Times New Roman" w:cs="Times New Roman"/>
          <w:sz w:val="28"/>
        </w:rPr>
        <w:t xml:space="preserve"> методи досліджень</w:t>
      </w:r>
    </w:p>
    <w:p w:rsidR="00E908D6" w:rsidRPr="00321B82" w:rsidRDefault="00E908D6" w:rsidP="00321B82">
      <w:pPr>
        <w:spacing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Дослідження мікроРКН та вільної РНК в сечі</w:t>
      </w:r>
      <w:r w:rsidR="00321B82">
        <w:rPr>
          <w:rFonts w:ascii="Times New Roman" w:hAnsi="Times New Roman" w:cs="Times New Roman"/>
          <w:b/>
          <w:sz w:val="28"/>
          <w:szCs w:val="28"/>
        </w:rPr>
        <w:t xml:space="preserve">. </w:t>
      </w:r>
      <w:r w:rsidRPr="00C2579B">
        <w:rPr>
          <w:rFonts w:ascii="Times New Roman" w:hAnsi="Times New Roman" w:cs="Times New Roman"/>
          <w:sz w:val="28"/>
          <w:szCs w:val="28"/>
        </w:rPr>
        <w:t>Для дослідження рівнів експресії мРНК-15а та вільної РНК в сечі в стерильний контейнер збирали 100-150 мл ранішньої сечі</w:t>
      </w:r>
      <w:r>
        <w:rPr>
          <w:rFonts w:ascii="Times New Roman" w:hAnsi="Times New Roman" w:cs="Times New Roman"/>
          <w:sz w:val="28"/>
          <w:szCs w:val="28"/>
        </w:rPr>
        <w:t xml:space="preserve"> хворих із пухлинами нирок та здорових волонтерів, після чого стерильним шприцом відбирали 5-7 мл сечі та розміщували її в стерильній вакуумній пробірці ємністю 9 мл </w:t>
      </w:r>
      <w:r w:rsidRPr="008470EA">
        <w:rPr>
          <w:rFonts w:ascii="Times New Roman" w:hAnsi="Times New Roman" w:cs="Times New Roman"/>
          <w:sz w:val="28"/>
          <w:szCs w:val="28"/>
        </w:rPr>
        <w:t>(</w:t>
      </w:r>
      <w:r>
        <w:rPr>
          <w:rFonts w:ascii="Times New Roman" w:hAnsi="Times New Roman" w:cs="Times New Roman"/>
          <w:sz w:val="28"/>
          <w:szCs w:val="28"/>
          <w:lang w:val="en-US"/>
        </w:rPr>
        <w:t>Vacutest</w:t>
      </w:r>
      <w:r w:rsidRPr="008470EA">
        <w:rPr>
          <w:rFonts w:ascii="Times New Roman" w:hAnsi="Times New Roman" w:cs="Times New Roman"/>
          <w:sz w:val="28"/>
          <w:szCs w:val="28"/>
          <w:vertAlign w:val="superscript"/>
        </w:rPr>
        <w:t>®</w:t>
      </w:r>
      <w:r>
        <w:rPr>
          <w:rFonts w:ascii="Times New Roman" w:hAnsi="Times New Roman" w:cs="Times New Roman"/>
          <w:sz w:val="28"/>
          <w:szCs w:val="28"/>
        </w:rPr>
        <w:t xml:space="preserve">, Італія) із підписом </w:t>
      </w:r>
      <w:r>
        <w:rPr>
          <w:rFonts w:ascii="Times New Roman" w:hAnsi="Times New Roman" w:cs="Times New Roman"/>
          <w:sz w:val="28"/>
          <w:szCs w:val="28"/>
        </w:rPr>
        <w:lastRenderedPageBreak/>
        <w:t xml:space="preserve">номера дослідження, </w:t>
      </w:r>
      <w:r w:rsidRPr="00C2579B">
        <w:rPr>
          <w:rFonts w:ascii="Times New Roman" w:hAnsi="Times New Roman" w:cs="Times New Roman"/>
          <w:sz w:val="28"/>
          <w:szCs w:val="28"/>
        </w:rPr>
        <w:t xml:space="preserve">з подальшою кріопрезервацією при температурі </w:t>
      </w:r>
      <w:r w:rsidRPr="00C2579B">
        <w:rPr>
          <w:rFonts w:ascii="Times New Roman" w:hAnsi="Times New Roman" w:cs="Times New Roman"/>
          <w:color w:val="000000" w:themeColor="text1"/>
          <w:sz w:val="28"/>
          <w:szCs w:val="28"/>
          <w:shd w:val="clear" w:color="auto" w:fill="FFFFFF"/>
        </w:rPr>
        <w:t xml:space="preserve">-20° (не довше, ніж 6 місяців) до подальшого використання. </w:t>
      </w:r>
    </w:p>
    <w:p w:rsidR="00263124" w:rsidRDefault="00E908D6" w:rsidP="00263124">
      <w:pPr>
        <w:autoSpaceDE w:val="0"/>
        <w:autoSpaceDN w:val="0"/>
        <w:adjustRightInd w:val="0"/>
        <w:spacing w:after="0" w:line="360" w:lineRule="auto"/>
        <w:ind w:firstLine="708"/>
        <w:jc w:val="both"/>
        <w:rPr>
          <w:rFonts w:ascii="Times New Roman" w:hAnsi="Times New Roman" w:cs="Times New Roman"/>
          <w:sz w:val="28"/>
          <w:szCs w:val="28"/>
        </w:rPr>
      </w:pPr>
      <w:r w:rsidRPr="00C2579B">
        <w:rPr>
          <w:rFonts w:ascii="Times New Roman" w:hAnsi="Times New Roman" w:cs="Times New Roman"/>
          <w:color w:val="000000" w:themeColor="text1"/>
          <w:sz w:val="28"/>
          <w:szCs w:val="28"/>
          <w:shd w:val="clear" w:color="auto" w:fill="FFFFFF"/>
        </w:rPr>
        <w:t xml:space="preserve">Для ізоляції міРНК та вільної РНК із сечі, використовували набір </w:t>
      </w:r>
      <w:r w:rsidRPr="00C2579B">
        <w:rPr>
          <w:rFonts w:ascii="Times New Roman" w:hAnsi="Times New Roman" w:cs="Times New Roman"/>
          <w:sz w:val="28"/>
          <w:szCs w:val="28"/>
        </w:rPr>
        <w:t xml:space="preserve">mirVana™ miRNA Isolation Kit (Applied Biosystems, США) та 300 мкл розмороженої сечі, процедуру ізоляції проводили у відповідності до рекомендованого виробником протоколу. </w:t>
      </w:r>
    </w:p>
    <w:p w:rsidR="00E908D6" w:rsidRDefault="00E908D6" w:rsidP="00263124">
      <w:pPr>
        <w:autoSpaceDE w:val="0"/>
        <w:autoSpaceDN w:val="0"/>
        <w:adjustRightInd w:val="0"/>
        <w:spacing w:after="0" w:line="360" w:lineRule="auto"/>
        <w:ind w:firstLine="708"/>
        <w:jc w:val="both"/>
        <w:rPr>
          <w:rFonts w:ascii="Times New Roman" w:hAnsi="Times New Roman" w:cs="Times New Roman"/>
          <w:sz w:val="28"/>
          <w:szCs w:val="28"/>
        </w:rPr>
      </w:pPr>
      <w:r w:rsidRPr="00C2579B">
        <w:rPr>
          <w:rFonts w:ascii="Times New Roman" w:hAnsi="Times New Roman" w:cs="Times New Roman"/>
          <w:sz w:val="28"/>
          <w:szCs w:val="28"/>
        </w:rPr>
        <w:t xml:space="preserve">Визначення рівню вільної РНК в сечі проводили за допомогою спектрофотометру </w:t>
      </w:r>
      <w:r w:rsidRPr="00C2579B">
        <w:rPr>
          <w:rFonts w:ascii="Times New Roman" w:hAnsi="Times New Roman" w:cs="Times New Roman"/>
          <w:sz w:val="28"/>
          <w:szCs w:val="28"/>
          <w:lang w:bidi="he-IL"/>
        </w:rPr>
        <w:t>NanoDrop ND1000 (N</w:t>
      </w:r>
      <w:r>
        <w:rPr>
          <w:rFonts w:ascii="Times New Roman" w:hAnsi="Times New Roman" w:cs="Times New Roman"/>
          <w:sz w:val="28"/>
          <w:szCs w:val="28"/>
          <w:lang w:bidi="he-IL"/>
        </w:rPr>
        <w:t>anoDrop Technologies Inc, США), результати спектрофотометрії були представлені у вигляді графіків, кількісно концентрація загальної вільної РНК ізольованої з сечі визначалась на частоті 230 нм і відображала</w:t>
      </w:r>
      <w:r w:rsidR="00332DBD">
        <w:rPr>
          <w:rFonts w:ascii="Times New Roman" w:hAnsi="Times New Roman" w:cs="Times New Roman"/>
          <w:sz w:val="28"/>
          <w:szCs w:val="28"/>
          <w:lang w:bidi="he-IL"/>
        </w:rPr>
        <w:t>сь в одиницях нг/мкл.</w:t>
      </w:r>
    </w:p>
    <w:p w:rsidR="00E908D6" w:rsidRDefault="00E908D6" w:rsidP="00E908D6">
      <w:pPr>
        <w:autoSpaceDE w:val="0"/>
        <w:autoSpaceDN w:val="0"/>
        <w:adjustRightInd w:val="0"/>
        <w:spacing w:after="0" w:line="360" w:lineRule="auto"/>
        <w:ind w:firstLine="708"/>
        <w:jc w:val="both"/>
        <w:rPr>
          <w:rFonts w:ascii="Times New Roman" w:hAnsi="Times New Roman" w:cs="Times New Roman"/>
          <w:color w:val="231F20"/>
          <w:sz w:val="28"/>
          <w:szCs w:val="28"/>
        </w:rPr>
      </w:pPr>
      <w:r>
        <w:rPr>
          <w:rFonts w:ascii="Times New Roman" w:hAnsi="Times New Roman" w:cs="Times New Roman"/>
          <w:color w:val="231F20"/>
          <w:sz w:val="28"/>
          <w:szCs w:val="28"/>
        </w:rPr>
        <w:t>Експресію м</w:t>
      </w:r>
      <w:r w:rsidRPr="00C2579B">
        <w:rPr>
          <w:rFonts w:ascii="Times New Roman" w:hAnsi="Times New Roman" w:cs="Times New Roman"/>
          <w:color w:val="231F20"/>
          <w:sz w:val="28"/>
          <w:szCs w:val="28"/>
        </w:rPr>
        <w:t xml:space="preserve">іРНК визначали методом зворотної транскрипції та полімеразної ланцюгової реакції (ПЛР) у реальному часі. </w:t>
      </w:r>
      <w:r w:rsidRPr="00C2579B">
        <w:rPr>
          <w:rFonts w:ascii="Times New Roman" w:hAnsi="Times New Roman" w:cs="Times New Roman"/>
          <w:sz w:val="28"/>
          <w:szCs w:val="28"/>
          <w:lang w:bidi="he-IL"/>
        </w:rPr>
        <w:t xml:space="preserve">Зворотну транскрипцію виконували застосовуючи  набір TaqMan MicroRNA Reverse Transcription Kit (Applied Biosystems, США), </w:t>
      </w:r>
      <w:r w:rsidRPr="00C2579B">
        <w:rPr>
          <w:rFonts w:ascii="Times New Roman" w:hAnsi="Times New Roman" w:cs="Times New Roman"/>
          <w:sz w:val="28"/>
          <w:szCs w:val="28"/>
        </w:rPr>
        <w:t xml:space="preserve">специфічного праймеру для </w:t>
      </w:r>
      <w:r>
        <w:rPr>
          <w:rFonts w:ascii="Times New Roman" w:hAnsi="Times New Roman" w:cs="Times New Roman"/>
          <w:sz w:val="28"/>
          <w:szCs w:val="28"/>
        </w:rPr>
        <w:t>міРНК</w:t>
      </w:r>
      <w:r w:rsidRPr="00C2579B">
        <w:rPr>
          <w:rFonts w:ascii="Times New Roman" w:hAnsi="Times New Roman" w:cs="Times New Roman"/>
          <w:sz w:val="28"/>
          <w:szCs w:val="28"/>
        </w:rPr>
        <w:t xml:space="preserve"> та 10 нг тотальної РНК. Кількісну ПЛР у реальному часі проводили з використанням TaqMan MicroRNA Assays (Applied Biosystems, </w:t>
      </w:r>
      <w:r w:rsidRPr="00C2579B">
        <w:rPr>
          <w:rFonts w:ascii="Times New Roman" w:hAnsi="Times New Roman" w:cs="Times New Roman"/>
          <w:color w:val="231F20"/>
          <w:sz w:val="28"/>
          <w:szCs w:val="28"/>
        </w:rPr>
        <w:t>США</w:t>
      </w:r>
      <w:r w:rsidRPr="00C2579B">
        <w:rPr>
          <w:rFonts w:ascii="Times New Roman" w:hAnsi="Times New Roman" w:cs="Times New Roman"/>
          <w:sz w:val="28"/>
          <w:szCs w:val="28"/>
        </w:rPr>
        <w:t xml:space="preserve">): U6 snRNA, </w:t>
      </w:r>
      <w:r w:rsidRPr="00C2579B">
        <w:rPr>
          <w:rFonts w:ascii="Times New Roman" w:hAnsi="Times New Roman" w:cs="Times New Roman"/>
          <w:color w:val="231F20"/>
          <w:sz w:val="28"/>
          <w:szCs w:val="28"/>
        </w:rPr>
        <w:t xml:space="preserve">ID 001973 </w:t>
      </w:r>
      <w:r w:rsidRPr="00C2579B">
        <w:rPr>
          <w:rFonts w:ascii="Times New Roman" w:hAnsi="Times New Roman" w:cs="Times New Roman"/>
          <w:sz w:val="28"/>
          <w:szCs w:val="28"/>
        </w:rPr>
        <w:t xml:space="preserve">(як ендогенний контроль), hsa-miR-15а, </w:t>
      </w:r>
      <w:r w:rsidRPr="00C2579B">
        <w:rPr>
          <w:rFonts w:ascii="Times New Roman" w:hAnsi="Times New Roman" w:cs="Times New Roman"/>
          <w:color w:val="231F20"/>
          <w:sz w:val="28"/>
          <w:szCs w:val="28"/>
        </w:rPr>
        <w:t>ID 000389 (Applied Biosystems, США).</w:t>
      </w:r>
      <w:r w:rsidRPr="00C2579B">
        <w:rPr>
          <w:rFonts w:ascii="PragmaticaBook-Reg" w:hAnsi="PragmaticaBook-Reg" w:cs="PragmaticaBook-Reg"/>
          <w:sz w:val="23"/>
          <w:szCs w:val="23"/>
        </w:rPr>
        <w:t xml:space="preserve"> </w:t>
      </w:r>
      <w:r w:rsidRPr="00C2579B">
        <w:rPr>
          <w:rFonts w:ascii="Times New Roman" w:hAnsi="Times New Roman" w:cs="Times New Roman"/>
          <w:color w:val="231F20"/>
          <w:sz w:val="28"/>
          <w:szCs w:val="28"/>
        </w:rPr>
        <w:t>Температурні цикли були такі: крок ініціальної денатурації 95°С 10 хв; 50 циклів 95°С —15 с та 60°С — 60 с. Рівень експресії miRNA нормалізовано до U6 snRNA і представлено в умовних одиницях (2</w:t>
      </w:r>
      <w:r w:rsidRPr="00C2579B">
        <w:rPr>
          <w:rFonts w:ascii="Times New Roman" w:hAnsi="Times New Roman" w:cs="Times New Roman"/>
          <w:color w:val="231F20"/>
          <w:sz w:val="28"/>
          <w:szCs w:val="28"/>
          <w:vertAlign w:val="superscript"/>
        </w:rPr>
        <w:t>ΔCt*100</w:t>
      </w:r>
      <w:r w:rsidRPr="00C2579B">
        <w:rPr>
          <w:rFonts w:ascii="Times New Roman" w:hAnsi="Times New Roman" w:cs="Times New Roman"/>
          <w:color w:val="231F20"/>
          <w:sz w:val="28"/>
          <w:szCs w:val="28"/>
        </w:rPr>
        <w:t xml:space="preserve">, УО). Ампліфікацію проводили на «7500 Fast Real-time PCR» (Applied Biosystems, США). </w:t>
      </w:r>
    </w:p>
    <w:p w:rsidR="005948C0" w:rsidRDefault="005948C0" w:rsidP="00E908D6">
      <w:pPr>
        <w:autoSpaceDE w:val="0"/>
        <w:autoSpaceDN w:val="0"/>
        <w:adjustRightInd w:val="0"/>
        <w:spacing w:after="0" w:line="360" w:lineRule="auto"/>
        <w:ind w:firstLine="708"/>
        <w:jc w:val="both"/>
        <w:rPr>
          <w:rFonts w:ascii="Times New Roman" w:hAnsi="Times New Roman" w:cs="Times New Roman"/>
          <w:color w:val="231F20"/>
          <w:sz w:val="28"/>
          <w:szCs w:val="28"/>
        </w:rPr>
      </w:pPr>
    </w:p>
    <w:p w:rsidR="00544220" w:rsidRDefault="00E908D6" w:rsidP="00321B82">
      <w:pPr>
        <w:spacing w:line="360" w:lineRule="auto"/>
        <w:ind w:firstLine="708"/>
        <w:jc w:val="both"/>
        <w:rPr>
          <w:rFonts w:ascii="Times New Roman" w:hAnsi="Times New Roman" w:cs="Times New Roman"/>
          <w:b/>
          <w:sz w:val="28"/>
          <w:szCs w:val="28"/>
        </w:rPr>
      </w:pPr>
      <w:r w:rsidRPr="00C414DF">
        <w:rPr>
          <w:rFonts w:ascii="Times New Roman" w:hAnsi="Times New Roman" w:cs="Times New Roman"/>
          <w:b/>
          <w:sz w:val="28"/>
          <w:szCs w:val="28"/>
        </w:rPr>
        <w:t xml:space="preserve">Дослідження </w:t>
      </w:r>
      <w:r>
        <w:rPr>
          <w:rFonts w:ascii="Times New Roman" w:hAnsi="Times New Roman" w:cs="Times New Roman"/>
          <w:b/>
          <w:sz w:val="28"/>
          <w:szCs w:val="28"/>
        </w:rPr>
        <w:t>міРНК</w:t>
      </w:r>
      <w:r w:rsidRPr="00C414DF">
        <w:rPr>
          <w:rFonts w:ascii="Times New Roman" w:hAnsi="Times New Roman" w:cs="Times New Roman"/>
          <w:b/>
          <w:sz w:val="28"/>
          <w:szCs w:val="28"/>
        </w:rPr>
        <w:t xml:space="preserve"> в тканинах</w:t>
      </w:r>
      <w:r w:rsidR="00321B82">
        <w:rPr>
          <w:rFonts w:ascii="Times New Roman" w:hAnsi="Times New Roman" w:cs="Times New Roman"/>
          <w:b/>
          <w:sz w:val="28"/>
          <w:szCs w:val="28"/>
        </w:rPr>
        <w:t xml:space="preserve">. </w:t>
      </w:r>
    </w:p>
    <w:p w:rsidR="00E908D6" w:rsidRPr="00321B82" w:rsidRDefault="00E908D6" w:rsidP="00321B82">
      <w:pPr>
        <w:spacing w:line="360" w:lineRule="auto"/>
        <w:ind w:firstLine="708"/>
        <w:jc w:val="both"/>
        <w:rPr>
          <w:rFonts w:ascii="Times New Roman" w:hAnsi="Times New Roman" w:cs="Times New Roman"/>
          <w:b/>
          <w:sz w:val="28"/>
          <w:szCs w:val="28"/>
        </w:rPr>
      </w:pPr>
      <w:r>
        <w:rPr>
          <w:rFonts w:ascii="Times New Roman" w:hAnsi="Times New Roman" w:cs="Times New Roman"/>
          <w:sz w:val="28"/>
          <w:szCs w:val="28"/>
        </w:rPr>
        <w:t>Для вивчення рівнів експресії міРНК-15а в тканинах НКР для подальшого визначення асоціацій між рівнем експресії та показниками виживаності,</w:t>
      </w:r>
      <w:r w:rsidRPr="00FD4C02">
        <w:rPr>
          <w:rFonts w:ascii="Times New Roman" w:hAnsi="Times New Roman" w:cs="Times New Roman"/>
          <w:sz w:val="28"/>
          <w:szCs w:val="28"/>
        </w:rPr>
        <w:t xml:space="preserve"> </w:t>
      </w:r>
      <w:r>
        <w:rPr>
          <w:rFonts w:ascii="Times New Roman" w:hAnsi="Times New Roman" w:cs="Times New Roman"/>
          <w:sz w:val="28"/>
          <w:szCs w:val="28"/>
        </w:rPr>
        <w:t xml:space="preserve">використовували отримані в архівах </w:t>
      </w:r>
      <w:r>
        <w:rPr>
          <w:rFonts w:ascii="Times New Roman" w:hAnsi="Times New Roman" w:cs="Times New Roman"/>
          <w:sz w:val="28"/>
        </w:rPr>
        <w:t xml:space="preserve">кафедри патологічної анатомії ЛНМУ ім. Данила Галицького та відділення </w:t>
      </w:r>
      <w:r>
        <w:rPr>
          <w:rFonts w:ascii="Times New Roman" w:hAnsi="Times New Roman" w:cs="Times New Roman"/>
          <w:sz w:val="28"/>
          <w:szCs w:val="28"/>
        </w:rPr>
        <w:t xml:space="preserve">патологічної анатомії </w:t>
      </w:r>
      <w:r>
        <w:rPr>
          <w:rFonts w:ascii="Times New Roman" w:hAnsi="Times New Roman" w:cs="Times New Roman"/>
          <w:sz w:val="28"/>
          <w:szCs w:val="28"/>
        </w:rPr>
        <w:lastRenderedPageBreak/>
        <w:t>Клінічної міської комунальної лікарні</w:t>
      </w:r>
      <w:r w:rsidRPr="008C7B07">
        <w:rPr>
          <w:rFonts w:ascii="Times New Roman" w:hAnsi="Times New Roman" w:cs="Times New Roman"/>
          <w:sz w:val="28"/>
          <w:szCs w:val="28"/>
        </w:rPr>
        <w:t xml:space="preserve"> </w:t>
      </w:r>
      <w:r>
        <w:rPr>
          <w:rFonts w:ascii="Times New Roman" w:hAnsi="Times New Roman" w:cs="Times New Roman"/>
          <w:sz w:val="28"/>
          <w:szCs w:val="28"/>
        </w:rPr>
        <w:t>швидкої медичної допомоги м. Львова парафінові блоки із тканинами пухлини хворих із НКР, які проходили оперативне лікування впродовж 2010-2012 рр. Крім цього були отримані парафінові блоки осіб із нормальною нирковою паренхімою за даними клінічних та патоформологічних заключень, померлих внаслідок нениркової патології - гострого інсульту чи інфаркту. Парафінові блоки зберігались у сухому затемненом</w:t>
      </w:r>
      <w:r w:rsidR="009A7860">
        <w:rPr>
          <w:rFonts w:ascii="Times New Roman" w:hAnsi="Times New Roman" w:cs="Times New Roman"/>
          <w:sz w:val="28"/>
          <w:szCs w:val="28"/>
        </w:rPr>
        <w:t xml:space="preserve">у місці кімнатної температури. </w:t>
      </w:r>
    </w:p>
    <w:p w:rsidR="00E908D6" w:rsidRDefault="00E908D6" w:rsidP="005948C0">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EE6A1C">
        <w:rPr>
          <w:rFonts w:ascii="Times New Roman" w:hAnsi="Times New Roman" w:cs="Times New Roman"/>
          <w:sz w:val="28"/>
          <w:szCs w:val="28"/>
        </w:rPr>
        <w:t xml:space="preserve">Для депарафінізації усіх зразків тканин та ізоляції РНК було використано набір PureLink™ FFPE RNA Isolation Kit (Applied Biosystems, США), </w:t>
      </w:r>
      <w:r>
        <w:rPr>
          <w:rFonts w:ascii="Times New Roman" w:hAnsi="Times New Roman" w:cs="Times New Roman"/>
          <w:sz w:val="28"/>
          <w:szCs w:val="28"/>
        </w:rPr>
        <w:t>яку</w:t>
      </w:r>
      <w:r w:rsidRPr="00EE6A1C">
        <w:rPr>
          <w:rFonts w:ascii="Times New Roman" w:hAnsi="Times New Roman" w:cs="Times New Roman"/>
          <w:sz w:val="28"/>
          <w:szCs w:val="28"/>
        </w:rPr>
        <w:t xml:space="preserve"> проводили згідно протоколу виробника. Визначення концентрації РНК проводили із використанням спектрофотометру </w:t>
      </w:r>
      <w:r w:rsidRPr="00EE6A1C">
        <w:rPr>
          <w:rFonts w:ascii="Times New Roman" w:hAnsi="Times New Roman" w:cs="Times New Roman"/>
          <w:sz w:val="28"/>
          <w:szCs w:val="28"/>
          <w:lang w:bidi="he-IL"/>
        </w:rPr>
        <w:t>(NanoDrop ND1000, NanoDrop Technologies Inc, США).</w:t>
      </w:r>
      <w:r w:rsidRPr="00EE6A1C">
        <w:rPr>
          <w:rFonts w:ascii="Times New Roman" w:hAnsi="Times New Roman" w:cs="Times New Roman"/>
          <w:color w:val="231F20"/>
          <w:sz w:val="28"/>
          <w:szCs w:val="28"/>
        </w:rPr>
        <w:t xml:space="preserve"> </w:t>
      </w:r>
      <w:r>
        <w:rPr>
          <w:rFonts w:ascii="Times New Roman" w:hAnsi="Times New Roman" w:cs="Times New Roman"/>
          <w:color w:val="231F20"/>
          <w:sz w:val="28"/>
          <w:szCs w:val="28"/>
        </w:rPr>
        <w:t>МіРНК</w:t>
      </w:r>
      <w:r w:rsidRPr="00EE6A1C">
        <w:rPr>
          <w:rFonts w:ascii="Times New Roman" w:hAnsi="Times New Roman" w:cs="Times New Roman"/>
          <w:color w:val="231F20"/>
          <w:sz w:val="28"/>
          <w:szCs w:val="28"/>
        </w:rPr>
        <w:t xml:space="preserve"> визначали методом зворотної транскрипції та полімеразної ланцюгової реакції (ПЛР) у реальному часі. </w:t>
      </w:r>
      <w:r w:rsidRPr="00EE6A1C">
        <w:rPr>
          <w:rFonts w:ascii="Times New Roman" w:hAnsi="Times New Roman" w:cs="Times New Roman"/>
          <w:sz w:val="28"/>
          <w:szCs w:val="28"/>
          <w:lang w:bidi="he-IL"/>
        </w:rPr>
        <w:t xml:space="preserve">Зворотну транскрипцію виконували застосовуючи  набір TaqMan MicroRNA Reverse Transcription Kit (Applied Biosystems, США), </w:t>
      </w:r>
      <w:r w:rsidRPr="00EE6A1C">
        <w:rPr>
          <w:rFonts w:ascii="Times New Roman" w:hAnsi="Times New Roman" w:cs="Times New Roman"/>
          <w:sz w:val="28"/>
          <w:szCs w:val="28"/>
        </w:rPr>
        <w:t xml:space="preserve">специфічного праймеру для </w:t>
      </w:r>
      <w:r>
        <w:rPr>
          <w:rFonts w:ascii="Times New Roman" w:hAnsi="Times New Roman" w:cs="Times New Roman"/>
          <w:sz w:val="28"/>
          <w:szCs w:val="28"/>
        </w:rPr>
        <w:t>міРНК</w:t>
      </w:r>
      <w:r w:rsidRPr="00EE6A1C">
        <w:rPr>
          <w:rFonts w:ascii="Times New Roman" w:hAnsi="Times New Roman" w:cs="Times New Roman"/>
          <w:sz w:val="28"/>
          <w:szCs w:val="28"/>
        </w:rPr>
        <w:t xml:space="preserve"> та 10 нг тотальної РНК. Кількісну ПЛР у реальному часі проводили з використанням TaqMan MicroRNA Assays (Applied Biosystems, </w:t>
      </w:r>
      <w:r w:rsidRPr="00EE6A1C">
        <w:rPr>
          <w:rFonts w:ascii="Times New Roman" w:hAnsi="Times New Roman" w:cs="Times New Roman"/>
          <w:color w:val="231F20"/>
          <w:sz w:val="28"/>
          <w:szCs w:val="28"/>
        </w:rPr>
        <w:t>США</w:t>
      </w:r>
      <w:r w:rsidRPr="00EE6A1C">
        <w:rPr>
          <w:rFonts w:ascii="Times New Roman" w:hAnsi="Times New Roman" w:cs="Times New Roman"/>
          <w:sz w:val="28"/>
          <w:szCs w:val="28"/>
        </w:rPr>
        <w:t xml:space="preserve">): U6 snRNA, </w:t>
      </w:r>
      <w:r w:rsidRPr="00EE6A1C">
        <w:rPr>
          <w:rFonts w:ascii="Times New Roman" w:hAnsi="Times New Roman" w:cs="Times New Roman"/>
          <w:color w:val="231F20"/>
          <w:sz w:val="28"/>
          <w:szCs w:val="28"/>
        </w:rPr>
        <w:t xml:space="preserve">ID 001973 </w:t>
      </w:r>
      <w:r w:rsidRPr="00EE6A1C">
        <w:rPr>
          <w:rFonts w:ascii="Times New Roman" w:hAnsi="Times New Roman" w:cs="Times New Roman"/>
          <w:sz w:val="28"/>
          <w:szCs w:val="28"/>
        </w:rPr>
        <w:t xml:space="preserve">(як ендогенний контроль), hsa-miR-15а, </w:t>
      </w:r>
      <w:r w:rsidRPr="00EE6A1C">
        <w:rPr>
          <w:rFonts w:ascii="Times New Roman" w:hAnsi="Times New Roman" w:cs="Times New Roman"/>
          <w:color w:val="231F20"/>
          <w:sz w:val="28"/>
          <w:szCs w:val="28"/>
        </w:rPr>
        <w:t>ID 000389 (Applied Biosystems, США).</w:t>
      </w:r>
      <w:r w:rsidRPr="00EE6A1C">
        <w:rPr>
          <w:rFonts w:ascii="PragmaticaBook-Reg" w:hAnsi="PragmaticaBook-Reg" w:cs="PragmaticaBook-Reg"/>
          <w:sz w:val="28"/>
          <w:szCs w:val="28"/>
        </w:rPr>
        <w:t xml:space="preserve"> </w:t>
      </w:r>
      <w:r w:rsidRPr="00EE6A1C">
        <w:rPr>
          <w:rFonts w:ascii="Times New Roman" w:hAnsi="Times New Roman" w:cs="Times New Roman"/>
          <w:color w:val="231F20"/>
          <w:sz w:val="28"/>
          <w:szCs w:val="28"/>
        </w:rPr>
        <w:t xml:space="preserve">Ампліфікацію проводили на «7500 Fast Real-time PCR» (Applied Biosystems, США). </w:t>
      </w:r>
    </w:p>
    <w:p w:rsidR="005948C0" w:rsidRPr="005948C0" w:rsidRDefault="005948C0" w:rsidP="005948C0">
      <w:pPr>
        <w:spacing w:line="360" w:lineRule="auto"/>
        <w:jc w:val="both"/>
        <w:rPr>
          <w:rFonts w:ascii="Times New Roman" w:hAnsi="Times New Roman" w:cs="Times New Roman"/>
          <w:sz w:val="28"/>
          <w:szCs w:val="28"/>
        </w:rPr>
      </w:pPr>
    </w:p>
    <w:p w:rsidR="00E908D6" w:rsidRPr="00562753" w:rsidRDefault="00E908D6" w:rsidP="00E908D6">
      <w:pPr>
        <w:spacing w:line="360" w:lineRule="auto"/>
        <w:contextualSpacing/>
        <w:rPr>
          <w:rFonts w:ascii="Times New Roman" w:hAnsi="Times New Roman" w:cs="Times New Roman"/>
          <w:b/>
          <w:sz w:val="28"/>
        </w:rPr>
      </w:pPr>
      <w:r w:rsidRPr="00500106">
        <w:rPr>
          <w:rFonts w:ascii="Times New Roman" w:hAnsi="Times New Roman" w:cs="Times New Roman"/>
          <w:b/>
          <w:sz w:val="28"/>
        </w:rPr>
        <w:t xml:space="preserve">2.3. </w:t>
      </w:r>
      <w:r w:rsidRPr="00562753">
        <w:rPr>
          <w:rFonts w:ascii="Times New Roman" w:hAnsi="Times New Roman" w:cs="Times New Roman"/>
          <w:b/>
          <w:sz w:val="28"/>
        </w:rPr>
        <w:t>Характеристика методів лікування досліджуваних хворих</w:t>
      </w:r>
    </w:p>
    <w:p w:rsidR="00E908D6" w:rsidRDefault="00E908D6" w:rsidP="00E908D6">
      <w:pPr>
        <w:spacing w:line="360" w:lineRule="auto"/>
        <w:ind w:firstLine="708"/>
        <w:contextualSpacing/>
        <w:rPr>
          <w:rFonts w:ascii="Times New Roman" w:hAnsi="Times New Roman" w:cs="Times New Roman"/>
          <w:sz w:val="28"/>
        </w:rPr>
      </w:pPr>
    </w:p>
    <w:p w:rsidR="00E908D6" w:rsidRDefault="00E908D6" w:rsidP="00E908D6">
      <w:pPr>
        <w:spacing w:line="360" w:lineRule="auto"/>
        <w:ind w:firstLine="708"/>
        <w:contextualSpacing/>
        <w:rPr>
          <w:rFonts w:ascii="Times New Roman" w:hAnsi="Times New Roman" w:cs="Times New Roman"/>
          <w:sz w:val="28"/>
        </w:rPr>
      </w:pPr>
      <w:r>
        <w:rPr>
          <w:rFonts w:ascii="Times New Roman" w:hAnsi="Times New Roman" w:cs="Times New Roman"/>
          <w:sz w:val="28"/>
        </w:rPr>
        <w:t>2.3.1. Хірургічні методи лікування</w:t>
      </w:r>
    </w:p>
    <w:p w:rsidR="00E908D6" w:rsidRDefault="00E908D6" w:rsidP="00E908D6">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У хворих із НКР в залежності від розмірів новоутворення та поширення пухлинного процесу за даними клінічних обстежень, та при відсутності загальновідомих протипоказів до хірургічного лікування, відкритим доступом проводилась резекція нирки або нефректомія (звичайна чи радикальна) за класичними методиками.</w:t>
      </w:r>
    </w:p>
    <w:p w:rsidR="00E908D6" w:rsidRDefault="00E908D6" w:rsidP="00E908D6">
      <w:pPr>
        <w:spacing w:line="360" w:lineRule="auto"/>
        <w:ind w:firstLine="708"/>
        <w:contextualSpacing/>
        <w:jc w:val="both"/>
        <w:rPr>
          <w:rFonts w:ascii="Times New Roman" w:hAnsi="Times New Roman" w:cs="Times New Roman"/>
          <w:sz w:val="28"/>
        </w:rPr>
      </w:pPr>
      <w:r w:rsidRPr="004F1C06">
        <w:rPr>
          <w:rFonts w:ascii="Times New Roman" w:hAnsi="Times New Roman" w:cs="Times New Roman"/>
          <w:b/>
          <w:sz w:val="28"/>
        </w:rPr>
        <w:lastRenderedPageBreak/>
        <w:t>Резекція нирки</w:t>
      </w:r>
      <w:r>
        <w:rPr>
          <w:rFonts w:ascii="Times New Roman" w:hAnsi="Times New Roman" w:cs="Times New Roman"/>
          <w:b/>
          <w:sz w:val="28"/>
        </w:rPr>
        <w:t xml:space="preserve"> </w:t>
      </w:r>
      <w:r w:rsidRPr="004F1C06">
        <w:rPr>
          <w:rFonts w:ascii="Times New Roman" w:hAnsi="Times New Roman" w:cs="Times New Roman"/>
          <w:sz w:val="28"/>
        </w:rPr>
        <w:t>здійснювалась за наступним методом</w:t>
      </w:r>
      <w:r>
        <w:rPr>
          <w:rFonts w:ascii="Times New Roman" w:hAnsi="Times New Roman" w:cs="Times New Roman"/>
          <w:sz w:val="28"/>
        </w:rPr>
        <w:t>: після відповідної обробки операційного поля, під ендотрахеальним знечуленням, косим розрізом в 11 міжребер</w:t>
      </w:r>
      <w:r w:rsidRPr="004F1C06">
        <w:rPr>
          <w:rFonts w:ascii="Times New Roman" w:hAnsi="Times New Roman" w:cs="Times New Roman"/>
          <w:sz w:val="28"/>
        </w:rPr>
        <w:t>’</w:t>
      </w:r>
      <w:r>
        <w:rPr>
          <w:rFonts w:ascii="Times New Roman" w:hAnsi="Times New Roman" w:cs="Times New Roman"/>
          <w:sz w:val="28"/>
        </w:rPr>
        <w:t>ї довжиною  ̴15 см виконувався пошаровий доступ до заочеревинного простору. Нирку тупим і гострим способом  відділяли від навколишніх тканин. При необхідності на судинну ніжку нирки накладали м’який зажим. Проводили типову гільйотинну резекцію відповідного сегменту нирки з пухлиною в межах здорових тканин, відступивши 1-1,5 см від границі пухлини. На тканинний дефект накладались П-подібні гемостатичні кетгутові шви. Проводились ревізія операційної рани, гемостаз. Через контрапертуру в рану вводився страховий дренаж, після чого її пошарово ушивали вузловими швами. Шкіра зводилась кліпсами або шовковими швами, після чого на неї накладалась суха асептична пов’язка. Дренаж видалявся на 3-4 день після операції.</w:t>
      </w:r>
    </w:p>
    <w:p w:rsidR="00E908D6" w:rsidRDefault="00E908D6" w:rsidP="00E908D6">
      <w:pPr>
        <w:spacing w:line="360" w:lineRule="auto"/>
        <w:ind w:firstLine="708"/>
        <w:contextualSpacing/>
        <w:jc w:val="both"/>
        <w:rPr>
          <w:rFonts w:ascii="Times New Roman" w:hAnsi="Times New Roman" w:cs="Times New Roman"/>
          <w:sz w:val="28"/>
        </w:rPr>
      </w:pPr>
      <w:r w:rsidRPr="0017698E">
        <w:rPr>
          <w:rFonts w:ascii="Times New Roman" w:hAnsi="Times New Roman" w:cs="Times New Roman"/>
          <w:b/>
          <w:sz w:val="28"/>
        </w:rPr>
        <w:t>Проста нефректомія</w:t>
      </w:r>
      <w:r>
        <w:rPr>
          <w:rFonts w:ascii="Times New Roman" w:hAnsi="Times New Roman" w:cs="Times New Roman"/>
          <w:sz w:val="28"/>
        </w:rPr>
        <w:t xml:space="preserve"> проводилась за наступною методикою: після відповідної обробки операційного поля в положенні хворого на боку, під ендотрахеальним знечуленням, косим розрізом в 11 міжребер</w:t>
      </w:r>
      <w:r w:rsidRPr="004F1C06">
        <w:rPr>
          <w:rFonts w:ascii="Times New Roman" w:hAnsi="Times New Roman" w:cs="Times New Roman"/>
          <w:sz w:val="28"/>
        </w:rPr>
        <w:t>’</w:t>
      </w:r>
      <w:r>
        <w:rPr>
          <w:rFonts w:ascii="Times New Roman" w:hAnsi="Times New Roman" w:cs="Times New Roman"/>
          <w:sz w:val="28"/>
        </w:rPr>
        <w:t>ї довжиною  ̴ 20 см виконувався пошаровий доступ до заочеревинного простору, після чого уражена нирка тупим і гострим способом мобілізовувалась. Від оточуючих тканин відділяли ниркові судини і сечовід,  останній перевязувався і пересікався. На мобілізовані ниркову артерію і вену накладались два затискачі Федорова після цього вони відсікались, після чого нирка видалялась. Судинна ніжка прошивалась полідіоксаноном, на культі ниркових судин і сечоводу накладались три шовкові лігатури після чого очеревина ушивалась. Проводились ревізія операційної рани, гемостаз.</w:t>
      </w:r>
      <w:r w:rsidRPr="00652BCF">
        <w:rPr>
          <w:rFonts w:ascii="Times New Roman" w:hAnsi="Times New Roman" w:cs="Times New Roman"/>
          <w:sz w:val="28"/>
        </w:rPr>
        <w:t xml:space="preserve"> </w:t>
      </w:r>
      <w:r>
        <w:rPr>
          <w:rFonts w:ascii="Times New Roman" w:hAnsi="Times New Roman" w:cs="Times New Roman"/>
          <w:sz w:val="28"/>
        </w:rPr>
        <w:t>Через контрапертуру в ложе нирки вводився страховий дренаж, після чого її пошарово ушивали вузловими швами. Шкіра зводилась кліпсами або шовковими швами, після чого на неї накладалась суха асептична пов’язка. Дренаж видалявся на 3-4 день після операції.</w:t>
      </w:r>
    </w:p>
    <w:p w:rsidR="00E908D6" w:rsidRPr="00652BCF" w:rsidRDefault="00E908D6" w:rsidP="00E908D6">
      <w:pPr>
        <w:spacing w:line="360" w:lineRule="auto"/>
        <w:ind w:firstLine="708"/>
        <w:contextualSpacing/>
        <w:jc w:val="both"/>
        <w:rPr>
          <w:rFonts w:ascii="Times New Roman" w:hAnsi="Times New Roman" w:cs="Times New Roman"/>
          <w:sz w:val="28"/>
        </w:rPr>
      </w:pPr>
      <w:r w:rsidRPr="00652BCF">
        <w:rPr>
          <w:rFonts w:ascii="Times New Roman" w:hAnsi="Times New Roman" w:cs="Times New Roman"/>
          <w:sz w:val="28"/>
        </w:rPr>
        <w:t>При</w:t>
      </w:r>
      <w:r>
        <w:rPr>
          <w:rFonts w:ascii="Times New Roman" w:hAnsi="Times New Roman" w:cs="Times New Roman"/>
          <w:b/>
          <w:sz w:val="28"/>
        </w:rPr>
        <w:t xml:space="preserve"> радикальній нефректомії </w:t>
      </w:r>
      <w:r w:rsidRPr="001E4A8B">
        <w:rPr>
          <w:rFonts w:ascii="Times New Roman" w:hAnsi="Times New Roman" w:cs="Times New Roman"/>
          <w:sz w:val="28"/>
        </w:rPr>
        <w:t xml:space="preserve">під </w:t>
      </w:r>
      <w:r>
        <w:rPr>
          <w:rFonts w:ascii="Times New Roman" w:hAnsi="Times New Roman" w:cs="Times New Roman"/>
          <w:sz w:val="28"/>
        </w:rPr>
        <w:t>поперекову ділянку лежачого на спині хворого підкладався валик. Після відповідної обробки</w:t>
      </w:r>
      <w:r w:rsidRPr="001E4A8B">
        <w:rPr>
          <w:rFonts w:ascii="Times New Roman" w:hAnsi="Times New Roman" w:cs="Times New Roman"/>
          <w:sz w:val="28"/>
        </w:rPr>
        <w:t xml:space="preserve"> </w:t>
      </w:r>
      <w:r>
        <w:rPr>
          <w:rFonts w:ascii="Times New Roman" w:hAnsi="Times New Roman" w:cs="Times New Roman"/>
          <w:sz w:val="28"/>
        </w:rPr>
        <w:t xml:space="preserve">операційного </w:t>
      </w:r>
      <w:r>
        <w:rPr>
          <w:rFonts w:ascii="Times New Roman" w:hAnsi="Times New Roman" w:cs="Times New Roman"/>
          <w:sz w:val="28"/>
        </w:rPr>
        <w:lastRenderedPageBreak/>
        <w:t>поля, під ендотрахеальним знечуленням, поперечним підреберним розрізом довжиною  ̴25 см проводилась лапаротомія. Виконувалось медіальне відведення в залежності від сторони втручання – шлунку, печінки, селезінки, тонкої і товстої кишки. Латерально від брижі низхідного (при лівобічному доступі) чи висхідного (при правобічному доступі) відділу товстої кишки розсікався парієтальний листок очеревини. В позаочеревинному просторі від оточуючих тканин відділяли ниркові судини, які кожна окремо перев’язувались подвійними синтетичними лігатурами і пересікались, а їх культі прошивались судинним швом. Верхня третина сечоводу тупо та гостро мобілізувалась, перев’язувалась і пересікалась. Нирка видалялась разом із паранефральною жировою клітковиною в межах фасції Герота, а також із наднирником при його ураженні. Після цього виконували ревізію на предмет інфільтрованих лімфатичних вузлів, які за можливості також видаляли.</w:t>
      </w:r>
      <w:r w:rsidRPr="00341792">
        <w:rPr>
          <w:rFonts w:ascii="Times New Roman" w:hAnsi="Times New Roman" w:cs="Times New Roman"/>
          <w:sz w:val="28"/>
        </w:rPr>
        <w:t xml:space="preserve"> </w:t>
      </w:r>
      <w:r>
        <w:rPr>
          <w:rFonts w:ascii="Times New Roman" w:hAnsi="Times New Roman" w:cs="Times New Roman"/>
          <w:sz w:val="28"/>
        </w:rPr>
        <w:t>Проводились ревізія операційної рани, гемостаз.</w:t>
      </w:r>
      <w:r w:rsidRPr="00652BCF">
        <w:rPr>
          <w:rFonts w:ascii="Times New Roman" w:hAnsi="Times New Roman" w:cs="Times New Roman"/>
          <w:sz w:val="28"/>
        </w:rPr>
        <w:t xml:space="preserve"> </w:t>
      </w:r>
      <w:r>
        <w:rPr>
          <w:rFonts w:ascii="Times New Roman" w:hAnsi="Times New Roman" w:cs="Times New Roman"/>
          <w:sz w:val="28"/>
        </w:rPr>
        <w:t>Через контрапертуру в ложе нирки вводився страховий дренаж, після чого її пошарово ушивали вузловими швами. Шкіра зводилась кліпсами або шовковими швами, після чого на неї накладалась суха асептична пов’язка. Дренаж видалявся на 3-4 день після операції.</w:t>
      </w:r>
    </w:p>
    <w:p w:rsidR="00E908D6" w:rsidRPr="00AE3305" w:rsidRDefault="00E908D6" w:rsidP="00321B82">
      <w:pPr>
        <w:spacing w:line="360" w:lineRule="auto"/>
        <w:ind w:firstLine="708"/>
        <w:contextualSpacing/>
        <w:jc w:val="both"/>
        <w:rPr>
          <w:rFonts w:ascii="Times New Roman" w:hAnsi="Times New Roman" w:cs="Times New Roman"/>
          <w:sz w:val="28"/>
        </w:rPr>
      </w:pPr>
      <w:r>
        <w:rPr>
          <w:rFonts w:ascii="Times New Roman" w:hAnsi="Times New Roman" w:cs="Times New Roman"/>
          <w:sz w:val="28"/>
        </w:rPr>
        <w:t>Усі хірургічні втручання виконувались під ендотрахеальним наркозом. Премедикацію проводили наступним чином: ввечері перед операцією (снодійне – зопіклон, 7,5 мг), зранку – дом</w:t>
      </w:r>
      <w:r w:rsidRPr="00960AEE">
        <w:rPr>
          <w:rFonts w:ascii="Times New Roman" w:hAnsi="Times New Roman" w:cs="Times New Roman"/>
          <w:sz w:val="28"/>
        </w:rPr>
        <w:t>’</w:t>
      </w:r>
      <w:r>
        <w:rPr>
          <w:rFonts w:ascii="Times New Roman" w:hAnsi="Times New Roman" w:cs="Times New Roman"/>
          <w:sz w:val="28"/>
        </w:rPr>
        <w:t>язево 0,5% сибазон 2,0 мг та атропін 0,1 мг/10 кг. Ввідний наркоз проводили шляхом повільного введення гіпнотиків (довенно пропофол до досягнення клінічного ефекту) та наркотичних анальгетиків (в/в 0,005% фентаніл у дозі 4-6 мл). У якості релаксанту застосовували атрокуріуму бесилат 50 мг (5 мл) в/в. Для підтримки знечулення застосовували фентаніл у ініціальній дозі 1,5 мкг/кг/год. Для міорелаксації вводили атрокуріуму бесилат (тракріум) 1 мл що 30 хв.  Постійно вводили пропофол 8 мг/кг/год на інфузаматі або підтримували анастезію інгаляційним методом (севофлюран в дозі 2-2,5 об.% до досягнення одної МАК – мінімальної альвеолярної концентрації).</w:t>
      </w:r>
    </w:p>
    <w:p w:rsidR="00E908D6" w:rsidRDefault="00E908D6" w:rsidP="00E908D6">
      <w:pPr>
        <w:spacing w:line="360" w:lineRule="auto"/>
        <w:contextualSpacing/>
        <w:rPr>
          <w:rFonts w:ascii="Times New Roman" w:hAnsi="Times New Roman" w:cs="Times New Roman"/>
          <w:sz w:val="28"/>
        </w:rPr>
      </w:pPr>
      <w:r w:rsidRPr="00AE3305">
        <w:rPr>
          <w:rFonts w:ascii="Times New Roman" w:hAnsi="Times New Roman" w:cs="Times New Roman"/>
          <w:sz w:val="28"/>
        </w:rPr>
        <w:lastRenderedPageBreak/>
        <w:tab/>
      </w:r>
      <w:r w:rsidRPr="00C45DDC">
        <w:rPr>
          <w:rFonts w:ascii="Times New Roman" w:hAnsi="Times New Roman" w:cs="Times New Roman"/>
          <w:sz w:val="28"/>
        </w:rPr>
        <w:t>2.3.2. Системна терапія</w:t>
      </w:r>
    </w:p>
    <w:p w:rsidR="00E908D6" w:rsidRPr="000D793F" w:rsidRDefault="00E908D6" w:rsidP="00E908D6">
      <w:pPr>
        <w:spacing w:line="360" w:lineRule="auto"/>
        <w:contextualSpacing/>
        <w:jc w:val="both"/>
        <w:rPr>
          <w:rFonts w:ascii="Times New Roman" w:hAnsi="Times New Roman" w:cs="Times New Roman"/>
          <w:sz w:val="28"/>
        </w:rPr>
      </w:pPr>
      <w:r>
        <w:rPr>
          <w:rFonts w:ascii="Times New Roman" w:hAnsi="Times New Roman" w:cs="Times New Roman"/>
          <w:sz w:val="28"/>
        </w:rPr>
        <w:tab/>
        <w:t xml:space="preserve">Системна терапія призначалась хворим із неоперабельним чи/і мНКР. Хворим із патологічно верифікованим скНКР у якості першої лінії терапії призначався пазопаніб (Вотрієнт, </w:t>
      </w:r>
      <w:r w:rsidRPr="003E10D3">
        <w:rPr>
          <w:rFonts w:ascii="Times New Roman" w:hAnsi="Times New Roman" w:cs="Times New Roman"/>
          <w:sz w:val="28"/>
        </w:rPr>
        <w:t>Глаксо Оперейшнс ЮК Лтд, Великобританія</w:t>
      </w:r>
      <w:r>
        <w:rPr>
          <w:rFonts w:ascii="Times New Roman" w:hAnsi="Times New Roman" w:cs="Times New Roman"/>
          <w:sz w:val="28"/>
        </w:rPr>
        <w:t xml:space="preserve">) у дозуванні 800 мг перорально 1 раз на добу до прогресування захворювання або до розвитку неприйнятної токсичності, за 1 годину до їди, або 2 години після неї; в окремих випадках доза препарату модифікувалась із кроком 200 мг для забезпечення оптимального нагляду над побічними реакціями, але не перевищувала 800 мг/добу. Хворим із патологічно верифікованим неконвенційним НКР у якості першої лінії терапії призначався сунітініб (Сутент, </w:t>
      </w:r>
      <w:r w:rsidRPr="003E10D3">
        <w:rPr>
          <w:rFonts w:ascii="Times New Roman" w:hAnsi="Times New Roman" w:cs="Times New Roman"/>
          <w:sz w:val="28"/>
        </w:rPr>
        <w:t>Пфайзер Італія С.р.л., Італія/США</w:t>
      </w:r>
      <w:r>
        <w:rPr>
          <w:rFonts w:ascii="Times New Roman" w:hAnsi="Times New Roman" w:cs="Times New Roman"/>
          <w:sz w:val="28"/>
        </w:rPr>
        <w:t xml:space="preserve">) </w:t>
      </w:r>
      <w:r w:rsidRPr="003E10D3">
        <w:rPr>
          <w:rFonts w:ascii="Times New Roman" w:hAnsi="Times New Roman" w:cs="Times New Roman"/>
          <w:sz w:val="28"/>
        </w:rPr>
        <w:t>50 мг перорально один раз на день протягом 4 тижнів з подальшим періодом відпочинку тривалістю 2 тижні</w:t>
      </w:r>
      <w:r>
        <w:rPr>
          <w:rFonts w:ascii="Times New Roman" w:hAnsi="Times New Roman" w:cs="Times New Roman"/>
          <w:sz w:val="28"/>
        </w:rPr>
        <w:t xml:space="preserve"> (схема 4/2), що загалом складало</w:t>
      </w:r>
      <w:r w:rsidRPr="003E10D3">
        <w:rPr>
          <w:rFonts w:ascii="Times New Roman" w:hAnsi="Times New Roman" w:cs="Times New Roman"/>
          <w:sz w:val="28"/>
        </w:rPr>
        <w:t xml:space="preserve"> один </w:t>
      </w:r>
      <w:r>
        <w:rPr>
          <w:rFonts w:ascii="Times New Roman" w:hAnsi="Times New Roman" w:cs="Times New Roman"/>
          <w:sz w:val="28"/>
        </w:rPr>
        <w:t>курс лікування тривалістю 6 тижнів; у рідкісних випадках проводили</w:t>
      </w:r>
      <w:r w:rsidRPr="003E10D3">
        <w:t xml:space="preserve"> </w:t>
      </w:r>
      <w:r>
        <w:rPr>
          <w:rFonts w:ascii="Times New Roman" w:hAnsi="Times New Roman" w:cs="Times New Roman"/>
          <w:sz w:val="28"/>
        </w:rPr>
        <w:t>корекцію</w:t>
      </w:r>
      <w:r w:rsidRPr="003E10D3">
        <w:rPr>
          <w:rFonts w:ascii="Times New Roman" w:hAnsi="Times New Roman" w:cs="Times New Roman"/>
          <w:sz w:val="28"/>
        </w:rPr>
        <w:t xml:space="preserve"> дози з кроком по 12,5 мг препарату, виходячи з індивідуальних пока</w:t>
      </w:r>
      <w:r>
        <w:rPr>
          <w:rFonts w:ascii="Times New Roman" w:hAnsi="Times New Roman" w:cs="Times New Roman"/>
          <w:sz w:val="28"/>
        </w:rPr>
        <w:t>зників безпеки та переносимості, при цьому д</w:t>
      </w:r>
      <w:r w:rsidRPr="003E10D3">
        <w:rPr>
          <w:rFonts w:ascii="Times New Roman" w:hAnsi="Times New Roman" w:cs="Times New Roman"/>
          <w:sz w:val="28"/>
        </w:rPr>
        <w:t>обова доза не</w:t>
      </w:r>
      <w:r>
        <w:rPr>
          <w:rFonts w:ascii="Times New Roman" w:hAnsi="Times New Roman" w:cs="Times New Roman"/>
          <w:sz w:val="28"/>
        </w:rPr>
        <w:t xml:space="preserve"> була меншою 25 мг і не</w:t>
      </w:r>
      <w:r w:rsidRPr="003E10D3">
        <w:rPr>
          <w:rFonts w:ascii="Times New Roman" w:hAnsi="Times New Roman" w:cs="Times New Roman"/>
          <w:sz w:val="28"/>
        </w:rPr>
        <w:t xml:space="preserve"> </w:t>
      </w:r>
      <w:r>
        <w:rPr>
          <w:rFonts w:ascii="Times New Roman" w:hAnsi="Times New Roman" w:cs="Times New Roman"/>
          <w:sz w:val="28"/>
        </w:rPr>
        <w:t>перевищувала</w:t>
      </w:r>
      <w:r w:rsidRPr="003E10D3">
        <w:rPr>
          <w:rFonts w:ascii="Times New Roman" w:hAnsi="Times New Roman" w:cs="Times New Roman"/>
          <w:sz w:val="28"/>
        </w:rPr>
        <w:t xml:space="preserve"> 75 мг</w:t>
      </w:r>
      <w:r>
        <w:rPr>
          <w:rFonts w:ascii="Times New Roman" w:hAnsi="Times New Roman" w:cs="Times New Roman"/>
          <w:sz w:val="28"/>
        </w:rPr>
        <w:t xml:space="preserve"> на добу</w:t>
      </w:r>
      <w:r w:rsidRPr="003E10D3">
        <w:rPr>
          <w:rFonts w:ascii="Times New Roman" w:hAnsi="Times New Roman" w:cs="Times New Roman"/>
          <w:sz w:val="28"/>
        </w:rPr>
        <w:t>.</w:t>
      </w:r>
      <w:r>
        <w:rPr>
          <w:rFonts w:ascii="Times New Roman" w:hAnsi="Times New Roman" w:cs="Times New Roman"/>
          <w:sz w:val="28"/>
        </w:rPr>
        <w:t xml:space="preserve"> У випадку розвитку резистентності чи прогресування захворювання, натомість препарату першої лінії, призначали терапію другої лінії – еверолімус (Афінітор, </w:t>
      </w:r>
      <w:r w:rsidRPr="00390266">
        <w:rPr>
          <w:rFonts w:ascii="Times New Roman" w:hAnsi="Times New Roman" w:cs="Times New Roman"/>
          <w:sz w:val="28"/>
        </w:rPr>
        <w:t>Новартіс Фарма АГ, Швейцарія</w:t>
      </w:r>
      <w:r>
        <w:rPr>
          <w:rFonts w:ascii="Times New Roman" w:hAnsi="Times New Roman" w:cs="Times New Roman"/>
          <w:sz w:val="28"/>
        </w:rPr>
        <w:t>) у дозі 10 мг 1 раз на добу доки спостерігався</w:t>
      </w:r>
      <w:r w:rsidRPr="00390266">
        <w:rPr>
          <w:rFonts w:ascii="Times New Roman" w:hAnsi="Times New Roman" w:cs="Times New Roman"/>
          <w:sz w:val="28"/>
        </w:rPr>
        <w:t xml:space="preserve"> клінічний</w:t>
      </w:r>
      <w:r>
        <w:rPr>
          <w:rFonts w:ascii="Times New Roman" w:hAnsi="Times New Roman" w:cs="Times New Roman"/>
          <w:sz w:val="28"/>
        </w:rPr>
        <w:t xml:space="preserve"> ефект або до виникнення неприйнятної</w:t>
      </w:r>
      <w:r w:rsidRPr="00390266">
        <w:rPr>
          <w:rFonts w:ascii="Times New Roman" w:hAnsi="Times New Roman" w:cs="Times New Roman"/>
          <w:sz w:val="28"/>
        </w:rPr>
        <w:t xml:space="preserve"> токсичності.</w:t>
      </w:r>
      <w:r>
        <w:rPr>
          <w:rFonts w:ascii="Times New Roman" w:hAnsi="Times New Roman" w:cs="Times New Roman"/>
          <w:sz w:val="28"/>
        </w:rPr>
        <w:t xml:space="preserve"> В поодиноких випадках для корекції побічної дії доза препарату коригувалась, і становила не менше 5 мг/добу. У випадку подальшого прогресу захворювання призначали наступні лінії системної терапії у відповідності до рекомендацій </w:t>
      </w:r>
      <w:r>
        <w:rPr>
          <w:rFonts w:ascii="Times New Roman" w:hAnsi="Times New Roman" w:cs="Times New Roman"/>
          <w:sz w:val="28"/>
          <w:lang w:val="en-US"/>
        </w:rPr>
        <w:t>EAU</w:t>
      </w:r>
      <w:r w:rsidRPr="00C45DDC">
        <w:rPr>
          <w:rFonts w:ascii="Times New Roman" w:hAnsi="Times New Roman" w:cs="Times New Roman"/>
          <w:sz w:val="28"/>
        </w:rPr>
        <w:t xml:space="preserve"> </w:t>
      </w:r>
      <w:r>
        <w:rPr>
          <w:rFonts w:ascii="Times New Roman" w:hAnsi="Times New Roman" w:cs="Times New Roman"/>
          <w:sz w:val="28"/>
        </w:rPr>
        <w:t xml:space="preserve">із НКР </w:t>
      </w:r>
      <w:r w:rsidRPr="00390266">
        <w:rPr>
          <w:rFonts w:ascii="Times New Roman" w:hAnsi="Times New Roman" w:cs="Times New Roman"/>
          <w:sz w:val="28"/>
        </w:rPr>
        <w:t>[</w:t>
      </w:r>
      <w:r w:rsidR="009A7860">
        <w:rPr>
          <w:rFonts w:ascii="Times New Roman" w:hAnsi="Times New Roman" w:cs="Times New Roman"/>
          <w:sz w:val="28"/>
          <w:szCs w:val="28"/>
        </w:rPr>
        <w:t>269</w:t>
      </w:r>
      <w:r w:rsidRPr="00390266">
        <w:rPr>
          <w:rFonts w:ascii="Times New Roman" w:hAnsi="Times New Roman" w:cs="Times New Roman"/>
          <w:sz w:val="28"/>
        </w:rPr>
        <w:t>]</w:t>
      </w:r>
      <w:r>
        <w:rPr>
          <w:rFonts w:ascii="Times New Roman" w:hAnsi="Times New Roman" w:cs="Times New Roman"/>
          <w:sz w:val="28"/>
        </w:rPr>
        <w:t xml:space="preserve">. </w:t>
      </w:r>
    </w:p>
    <w:p w:rsidR="005948C0" w:rsidRDefault="005948C0" w:rsidP="00E908D6">
      <w:pPr>
        <w:spacing w:line="360" w:lineRule="auto"/>
        <w:contextualSpacing/>
        <w:rPr>
          <w:rFonts w:ascii="Times New Roman" w:hAnsi="Times New Roman" w:cs="Times New Roman"/>
          <w:b/>
          <w:sz w:val="28"/>
        </w:rPr>
      </w:pPr>
    </w:p>
    <w:p w:rsidR="00E908D6" w:rsidRDefault="00E908D6" w:rsidP="00E908D6">
      <w:pPr>
        <w:spacing w:line="360" w:lineRule="auto"/>
        <w:contextualSpacing/>
        <w:rPr>
          <w:rFonts w:ascii="Times New Roman" w:hAnsi="Times New Roman" w:cs="Times New Roman"/>
          <w:b/>
          <w:sz w:val="28"/>
        </w:rPr>
      </w:pPr>
      <w:r w:rsidRPr="00500106">
        <w:rPr>
          <w:rFonts w:ascii="Times New Roman" w:hAnsi="Times New Roman" w:cs="Times New Roman"/>
          <w:b/>
          <w:sz w:val="28"/>
        </w:rPr>
        <w:t>2.4. Методи статистично</w:t>
      </w:r>
      <w:r>
        <w:rPr>
          <w:rFonts w:ascii="Times New Roman" w:hAnsi="Times New Roman" w:cs="Times New Roman"/>
          <w:b/>
          <w:sz w:val="28"/>
        </w:rPr>
        <w:t>ї обробки отриманих результатів</w:t>
      </w:r>
    </w:p>
    <w:p w:rsidR="00E908D6" w:rsidRPr="00956C7C" w:rsidRDefault="00E908D6" w:rsidP="00E908D6">
      <w:pPr>
        <w:spacing w:line="360" w:lineRule="auto"/>
        <w:contextualSpacing/>
        <w:rPr>
          <w:rFonts w:ascii="Times New Roman" w:hAnsi="Times New Roman" w:cs="Times New Roman"/>
          <w:b/>
          <w:sz w:val="28"/>
        </w:rPr>
      </w:pPr>
    </w:p>
    <w:p w:rsidR="00E908D6" w:rsidRPr="005F338C" w:rsidRDefault="00E908D6" w:rsidP="00332DBD">
      <w:pPr>
        <w:shd w:val="clear" w:color="auto" w:fill="FFFFFF"/>
        <w:autoSpaceDE w:val="0"/>
        <w:autoSpaceDN w:val="0"/>
        <w:adjustRightInd w:val="0"/>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статистичної оцінки отриманих результатів застосовували методи дескриптивної</w:t>
      </w:r>
      <w:r w:rsidR="00AF30BA">
        <w:rPr>
          <w:rFonts w:ascii="Times New Roman" w:hAnsi="Times New Roman" w:cs="Times New Roman"/>
          <w:sz w:val="28"/>
          <w:szCs w:val="28"/>
        </w:rPr>
        <w:t xml:space="preserve"> статистики</w:t>
      </w:r>
      <w:r w:rsidR="00332DBD">
        <w:rPr>
          <w:rFonts w:ascii="Times New Roman" w:hAnsi="Times New Roman" w:cs="Times New Roman"/>
          <w:sz w:val="28"/>
          <w:szCs w:val="28"/>
        </w:rPr>
        <w:t xml:space="preserve">. </w:t>
      </w:r>
      <w:r w:rsidR="00AF30BA" w:rsidRPr="00332DBD">
        <w:rPr>
          <w:rFonts w:ascii="Times New Roman" w:eastAsia="Times New Roman" w:hAnsi="Times New Roman"/>
          <w:sz w:val="28"/>
          <w:szCs w:val="28"/>
          <w:lang w:eastAsia="ru-RU"/>
        </w:rPr>
        <w:t xml:space="preserve">Ступінь достовірності різниці двох середніх визначали за допомогою коефіцієнта ймовірності (критерію Стьюдента). </w:t>
      </w:r>
      <w:r w:rsidR="00332DBD">
        <w:rPr>
          <w:rFonts w:ascii="Times New Roman" w:eastAsiaTheme="minorEastAsia" w:hAnsi="Times New Roman" w:cs="Times New Roman"/>
          <w:sz w:val="28"/>
          <w:szCs w:val="28"/>
        </w:rPr>
        <w:lastRenderedPageBreak/>
        <w:t xml:space="preserve">Обчислення для однофакторного </w:t>
      </w:r>
      <w:r w:rsidR="00332DBD">
        <w:rPr>
          <w:rFonts w:ascii="Times New Roman" w:hAnsi="Times New Roman" w:cs="Times New Roman"/>
          <w:sz w:val="28"/>
          <w:szCs w:val="28"/>
        </w:rPr>
        <w:t xml:space="preserve">дисперсійного аналізу здійснювалось за процедурою ANOVA – </w:t>
      </w:r>
      <w:r w:rsidR="00332DBD" w:rsidRPr="0017464C">
        <w:rPr>
          <w:rFonts w:ascii="Times New Roman" w:hAnsi="Times New Roman" w:cs="Times New Roman"/>
          <w:sz w:val="28"/>
          <w:szCs w:val="28"/>
        </w:rPr>
        <w:t>A</w:t>
      </w:r>
      <w:r w:rsidR="00332DBD">
        <w:rPr>
          <w:rFonts w:ascii="Times New Roman" w:hAnsi="Times New Roman" w:cs="Times New Roman"/>
          <w:sz w:val="28"/>
          <w:szCs w:val="28"/>
        </w:rPr>
        <w:t xml:space="preserve">Nalysis Of VAriance. </w:t>
      </w:r>
      <w:r w:rsidR="00332DBD" w:rsidRPr="00332DBD">
        <w:rPr>
          <w:rFonts w:ascii="Times New Roman" w:hAnsi="Times New Roman" w:cs="Times New Roman"/>
          <w:sz w:val="28"/>
          <w:szCs w:val="28"/>
        </w:rPr>
        <w:t>Перевірку нормальності розподілу виконували за допомогою критерію Шапіро-Вілка</w:t>
      </w:r>
      <w:r w:rsidR="00332DBD">
        <w:rPr>
          <w:rFonts w:ascii="Times New Roman" w:hAnsi="Times New Roman" w:cs="Times New Roman"/>
          <w:sz w:val="28"/>
          <w:szCs w:val="28"/>
        </w:rPr>
        <w:t xml:space="preserve">. </w:t>
      </w:r>
      <w:r w:rsidRPr="00332DBD">
        <w:rPr>
          <w:rFonts w:ascii="Times New Roman" w:hAnsi="Times New Roman" w:cs="Times New Roman"/>
          <w:sz w:val="28"/>
          <w:szCs w:val="28"/>
        </w:rPr>
        <w:t>Коефіцієнт кореляції визначали за методом Пірсона</w:t>
      </w:r>
      <w:r w:rsidR="00332DBD">
        <w:rPr>
          <w:rFonts w:ascii="Times New Roman" w:hAnsi="Times New Roman" w:cs="Times New Roman"/>
          <w:sz w:val="28"/>
          <w:szCs w:val="28"/>
        </w:rPr>
        <w:t>.</w:t>
      </w:r>
      <w:r w:rsidRPr="00332DBD">
        <w:rPr>
          <w:rFonts w:ascii="Times New Roman" w:hAnsi="Times New Roman" w:cs="Times New Roman"/>
          <w:sz w:val="28"/>
          <w:szCs w:val="28"/>
        </w:rPr>
        <w:t xml:space="preserve"> </w:t>
      </w:r>
      <w:r>
        <w:rPr>
          <w:rFonts w:ascii="Times New Roman" w:hAnsi="Times New Roman" w:cs="Times New Roman"/>
          <w:sz w:val="28"/>
          <w:szCs w:val="28"/>
        </w:rPr>
        <w:t>Функцію виживаності хворих із НКР вирахо</w:t>
      </w:r>
      <w:r w:rsidR="00332DBD">
        <w:rPr>
          <w:rFonts w:ascii="Times New Roman" w:hAnsi="Times New Roman" w:cs="Times New Roman"/>
          <w:sz w:val="28"/>
          <w:szCs w:val="28"/>
        </w:rPr>
        <w:t>вували за методом Каплана-Маєра.</w:t>
      </w:r>
      <w:r>
        <w:rPr>
          <w:rFonts w:ascii="Times New Roman" w:hAnsi="Times New Roman" w:cs="Times New Roman"/>
          <w:sz w:val="28"/>
          <w:szCs w:val="28"/>
        </w:rPr>
        <w:t xml:space="preserve"> </w:t>
      </w:r>
      <w:r w:rsidRPr="00332DBD">
        <w:rPr>
          <w:rFonts w:ascii="Times New Roman" w:hAnsi="Times New Roman" w:cs="Times New Roman"/>
          <w:sz w:val="28"/>
          <w:szCs w:val="28"/>
        </w:rPr>
        <w:t xml:space="preserve">Чутливість і специфічність розраховувались на основі </w:t>
      </w:r>
      <w:r w:rsidRPr="00332DBD">
        <w:rPr>
          <w:rFonts w:ascii="Times New Roman" w:hAnsi="Times New Roman" w:cs="Times New Roman"/>
          <w:sz w:val="28"/>
          <w:szCs w:val="28"/>
          <w:lang w:val="en-US"/>
        </w:rPr>
        <w:t>ROC</w:t>
      </w:r>
      <w:r w:rsidR="00332DBD">
        <w:rPr>
          <w:rFonts w:ascii="Times New Roman" w:hAnsi="Times New Roman" w:cs="Times New Roman"/>
          <w:sz w:val="28"/>
          <w:szCs w:val="28"/>
        </w:rPr>
        <w:t>-аналізу.</w:t>
      </w:r>
      <w:r w:rsidRPr="00332DBD">
        <w:rPr>
          <w:rFonts w:ascii="Times New Roman" w:hAnsi="Times New Roman" w:cs="Times New Roman"/>
          <w:sz w:val="28"/>
          <w:szCs w:val="28"/>
        </w:rPr>
        <w:t xml:space="preserve"> </w:t>
      </w:r>
      <w:r w:rsidR="00332DBD">
        <w:rPr>
          <w:rFonts w:ascii="Times New Roman" w:hAnsi="Times New Roman" w:cs="Times New Roman"/>
          <w:sz w:val="28"/>
          <w:szCs w:val="28"/>
        </w:rPr>
        <w:t>Критичний рівень</w:t>
      </w:r>
      <w:r w:rsidRPr="00FD3587">
        <w:rPr>
          <w:rFonts w:ascii="Times New Roman" w:hAnsi="Times New Roman" w:cs="Times New Roman"/>
          <w:sz w:val="28"/>
          <w:szCs w:val="28"/>
        </w:rPr>
        <w:t xml:space="preserve"> достовірності нульової статистичної гіпотези (про відсутність значущих відмінностей або кореляційних залежностей) був прийнятий за такий, який </w:t>
      </w:r>
      <w:r w:rsidR="008108BB" w:rsidRPr="009E6C7E">
        <w:rPr>
          <w:rFonts w:ascii="Times New Roman" w:hAnsi="Times New Roman" w:cs="Times New Roman"/>
          <w:sz w:val="28"/>
          <w:szCs w:val="28"/>
        </w:rPr>
        <w:t>&lt;</w:t>
      </w:r>
      <w:r w:rsidR="00332DBD">
        <w:rPr>
          <w:rFonts w:ascii="Times New Roman" w:hAnsi="Times New Roman" w:cs="Times New Roman"/>
          <w:sz w:val="28"/>
          <w:szCs w:val="28"/>
        </w:rPr>
        <w:t>0,05.</w:t>
      </w:r>
      <w:r w:rsidRPr="00FD3587">
        <w:rPr>
          <w:rFonts w:ascii="Times New Roman" w:hAnsi="Times New Roman" w:cs="Times New Roman"/>
          <w:sz w:val="28"/>
          <w:szCs w:val="28"/>
        </w:rPr>
        <w:t xml:space="preserve"> </w:t>
      </w:r>
      <w:r w:rsidRPr="00B24DA2">
        <w:rPr>
          <w:rFonts w:ascii="Times New Roman" w:hAnsi="Times New Roman" w:cs="Times New Roman"/>
          <w:sz w:val="28"/>
          <w:szCs w:val="28"/>
        </w:rPr>
        <w:t xml:space="preserve">Для статистичної обробки отриманих </w:t>
      </w:r>
      <w:r>
        <w:rPr>
          <w:rFonts w:ascii="Times New Roman" w:hAnsi="Times New Roman" w:cs="Times New Roman"/>
          <w:sz w:val="28"/>
          <w:szCs w:val="28"/>
        </w:rPr>
        <w:t xml:space="preserve">у ході дослідження результатів, використовувались програмні пакети </w:t>
      </w:r>
      <w:r w:rsidRPr="00B24DA2">
        <w:rPr>
          <w:rFonts w:ascii="Times New Roman" w:hAnsi="Times New Roman" w:cs="Times New Roman"/>
          <w:sz w:val="28"/>
          <w:szCs w:val="28"/>
        </w:rPr>
        <w:t>Microsoft Excel</w:t>
      </w:r>
      <w:r>
        <w:rPr>
          <w:rFonts w:ascii="Times New Roman" w:hAnsi="Times New Roman" w:cs="Times New Roman"/>
          <w:sz w:val="28"/>
          <w:szCs w:val="28"/>
        </w:rPr>
        <w:t xml:space="preserve"> 2016 та </w:t>
      </w:r>
      <w:r w:rsidRPr="00BC5987">
        <w:rPr>
          <w:rFonts w:ascii="Times New Roman" w:hAnsi="Times New Roman" w:cs="Times New Roman"/>
          <w:sz w:val="28"/>
          <w:szCs w:val="28"/>
        </w:rPr>
        <w:t>IBM SPSS Statistics 22</w:t>
      </w:r>
      <w:r>
        <w:rPr>
          <w:rFonts w:ascii="Times New Roman" w:hAnsi="Times New Roman" w:cs="Times New Roman"/>
          <w:sz w:val="28"/>
          <w:szCs w:val="28"/>
        </w:rPr>
        <w:t xml:space="preserve">, розрахунки проводились на персональному комп’ютері на базі процесору </w:t>
      </w:r>
      <w:r>
        <w:rPr>
          <w:rFonts w:ascii="Times New Roman" w:hAnsi="Times New Roman" w:cs="Times New Roman"/>
          <w:sz w:val="28"/>
          <w:szCs w:val="28"/>
          <w:lang w:val="en-US"/>
        </w:rPr>
        <w:t>Intel</w:t>
      </w:r>
      <w:r w:rsidRPr="00AB7FBC">
        <w:rPr>
          <w:rFonts w:ascii="Times New Roman" w:hAnsi="Times New Roman" w:cs="Times New Roman"/>
          <w:sz w:val="28"/>
          <w:szCs w:val="28"/>
        </w:rPr>
        <w:t xml:space="preserve"> </w:t>
      </w:r>
      <w:r>
        <w:rPr>
          <w:rFonts w:ascii="Times New Roman" w:hAnsi="Times New Roman" w:cs="Times New Roman"/>
          <w:sz w:val="28"/>
          <w:szCs w:val="28"/>
          <w:lang w:val="en-US"/>
        </w:rPr>
        <w:t>Core</w:t>
      </w:r>
      <w:r w:rsidRPr="00AB7FBC">
        <w:rPr>
          <w:rFonts w:ascii="Times New Roman" w:hAnsi="Times New Roman" w:cs="Times New Roman"/>
          <w:sz w:val="28"/>
          <w:szCs w:val="28"/>
        </w:rPr>
        <w:t xml:space="preserve"> 2 </w:t>
      </w:r>
      <w:r>
        <w:rPr>
          <w:rFonts w:ascii="Times New Roman" w:hAnsi="Times New Roman" w:cs="Times New Roman"/>
          <w:sz w:val="28"/>
          <w:szCs w:val="28"/>
          <w:lang w:val="en-US"/>
        </w:rPr>
        <w:t>Duo</w:t>
      </w:r>
      <w:r>
        <w:rPr>
          <w:rFonts w:ascii="Times New Roman" w:hAnsi="Times New Roman" w:cs="Times New Roman"/>
          <w:sz w:val="28"/>
          <w:szCs w:val="28"/>
        </w:rPr>
        <w:t xml:space="preserve"> 3.0 </w:t>
      </w:r>
      <w:r>
        <w:rPr>
          <w:rFonts w:ascii="Times New Roman" w:hAnsi="Times New Roman" w:cs="Times New Roman"/>
          <w:sz w:val="28"/>
          <w:szCs w:val="28"/>
          <w:lang w:val="en-US"/>
        </w:rPr>
        <w:t>GHz</w:t>
      </w:r>
      <w:r>
        <w:rPr>
          <w:rFonts w:ascii="Times New Roman" w:hAnsi="Times New Roman" w:cs="Times New Roman"/>
          <w:sz w:val="28"/>
          <w:szCs w:val="28"/>
        </w:rPr>
        <w:t>.</w:t>
      </w:r>
    </w:p>
    <w:p w:rsidR="00B84AB9" w:rsidRDefault="00B84AB9" w:rsidP="00B84AB9">
      <w:pPr>
        <w:spacing w:line="360" w:lineRule="auto"/>
        <w:jc w:val="both"/>
      </w:pPr>
    </w:p>
    <w:p w:rsidR="00B84AB9" w:rsidRPr="00D45D28" w:rsidRDefault="00B84AB9" w:rsidP="00D37CB3">
      <w:pPr>
        <w:spacing w:after="0" w:line="360" w:lineRule="auto"/>
        <w:rPr>
          <w:rFonts w:ascii="Times New Roman" w:eastAsia="Times New Roman" w:hAnsi="Times New Roman" w:cs="Times New Roman"/>
          <w:sz w:val="24"/>
          <w:szCs w:val="24"/>
          <w:lang w:eastAsia="uk-UA"/>
        </w:rPr>
      </w:pPr>
    </w:p>
    <w:p w:rsidR="00D37CB3" w:rsidRPr="009E6C7E" w:rsidRDefault="00D37CB3" w:rsidP="00D37CB3">
      <w:pPr>
        <w:spacing w:after="0" w:line="360" w:lineRule="auto"/>
        <w:rPr>
          <w:rFonts w:ascii="Times New Roman" w:eastAsia="Times New Roman" w:hAnsi="Times New Roman" w:cs="Times New Roman"/>
          <w:sz w:val="28"/>
          <w:szCs w:val="28"/>
          <w:lang w:eastAsia="uk-UA"/>
        </w:rPr>
      </w:pPr>
    </w:p>
    <w:p w:rsidR="00D37CB3" w:rsidRPr="00F1177C" w:rsidRDefault="00D37CB3" w:rsidP="00D37CB3">
      <w:pPr>
        <w:spacing w:line="360" w:lineRule="auto"/>
        <w:rPr>
          <w:rFonts w:ascii="Times New Roman" w:hAnsi="Times New Roman" w:cs="Times New Roman"/>
          <w:sz w:val="28"/>
          <w:szCs w:val="28"/>
        </w:rPr>
      </w:pPr>
    </w:p>
    <w:p w:rsidR="00D37CB3" w:rsidRDefault="00D37CB3" w:rsidP="00694567">
      <w:pPr>
        <w:pStyle w:val="NoSpacing"/>
        <w:jc w:val="center"/>
        <w:rPr>
          <w:rFonts w:ascii="Times New Roman" w:hAnsi="Times New Roman" w:cs="Times New Roman"/>
          <w:sz w:val="28"/>
          <w:szCs w:val="28"/>
        </w:rPr>
      </w:pPr>
    </w:p>
    <w:p w:rsidR="00332DBD" w:rsidRDefault="00332DBD" w:rsidP="00694567">
      <w:pPr>
        <w:pStyle w:val="NoSpacing"/>
        <w:jc w:val="center"/>
        <w:rPr>
          <w:rFonts w:ascii="Times New Roman" w:hAnsi="Times New Roman" w:cs="Times New Roman"/>
          <w:sz w:val="28"/>
          <w:szCs w:val="28"/>
        </w:rPr>
      </w:pPr>
    </w:p>
    <w:p w:rsidR="00332DBD" w:rsidRDefault="00332DBD" w:rsidP="00694567">
      <w:pPr>
        <w:pStyle w:val="NoSpacing"/>
        <w:jc w:val="center"/>
        <w:rPr>
          <w:rFonts w:ascii="Times New Roman" w:hAnsi="Times New Roman" w:cs="Times New Roman"/>
          <w:sz w:val="28"/>
          <w:szCs w:val="28"/>
        </w:rPr>
      </w:pPr>
    </w:p>
    <w:p w:rsidR="00FA5DA4" w:rsidRDefault="00FA5DA4" w:rsidP="00263124">
      <w:pPr>
        <w:pStyle w:val="NoSpacing"/>
        <w:rPr>
          <w:rFonts w:ascii="Times New Roman" w:hAnsi="Times New Roman" w:cs="Times New Roman"/>
          <w:sz w:val="28"/>
          <w:szCs w:val="28"/>
        </w:rPr>
      </w:pPr>
    </w:p>
    <w:p w:rsidR="005948C0" w:rsidRDefault="005948C0" w:rsidP="00263124">
      <w:pPr>
        <w:pStyle w:val="NoSpacing"/>
        <w:rPr>
          <w:rFonts w:ascii="Times New Roman" w:hAnsi="Times New Roman" w:cs="Times New Roman"/>
          <w:sz w:val="28"/>
          <w:szCs w:val="28"/>
        </w:rPr>
      </w:pPr>
    </w:p>
    <w:p w:rsidR="005948C0" w:rsidRDefault="005948C0" w:rsidP="00263124">
      <w:pPr>
        <w:pStyle w:val="NoSpacing"/>
        <w:rPr>
          <w:rFonts w:ascii="Times New Roman" w:hAnsi="Times New Roman" w:cs="Times New Roman"/>
          <w:sz w:val="28"/>
          <w:szCs w:val="28"/>
        </w:rPr>
      </w:pPr>
    </w:p>
    <w:p w:rsidR="005948C0" w:rsidRDefault="005948C0" w:rsidP="00263124">
      <w:pPr>
        <w:pStyle w:val="NoSpacing"/>
        <w:rPr>
          <w:rFonts w:ascii="Times New Roman" w:hAnsi="Times New Roman" w:cs="Times New Roman"/>
          <w:sz w:val="28"/>
          <w:szCs w:val="28"/>
        </w:rPr>
      </w:pPr>
    </w:p>
    <w:p w:rsidR="005948C0" w:rsidRDefault="005948C0" w:rsidP="00263124">
      <w:pPr>
        <w:pStyle w:val="NoSpacing"/>
        <w:rPr>
          <w:rFonts w:ascii="Times New Roman" w:hAnsi="Times New Roman" w:cs="Times New Roman"/>
          <w:sz w:val="28"/>
          <w:szCs w:val="28"/>
        </w:rPr>
      </w:pPr>
    </w:p>
    <w:p w:rsidR="00FA5DA4" w:rsidRDefault="00FA5DA4" w:rsidP="00694567">
      <w:pPr>
        <w:pStyle w:val="NoSpacing"/>
        <w:jc w:val="center"/>
        <w:rPr>
          <w:rFonts w:ascii="Times New Roman" w:hAnsi="Times New Roman" w:cs="Times New Roman"/>
          <w:sz w:val="28"/>
          <w:szCs w:val="28"/>
        </w:rPr>
      </w:pPr>
    </w:p>
    <w:p w:rsidR="00321B82" w:rsidRDefault="00321B82" w:rsidP="00694567">
      <w:pPr>
        <w:pStyle w:val="NoSpacing"/>
        <w:jc w:val="center"/>
        <w:rPr>
          <w:rFonts w:ascii="Times New Roman" w:hAnsi="Times New Roman" w:cs="Times New Roman"/>
          <w:sz w:val="28"/>
          <w:szCs w:val="28"/>
        </w:rPr>
      </w:pPr>
    </w:p>
    <w:p w:rsidR="00321B82" w:rsidRDefault="00321B82" w:rsidP="00694567">
      <w:pPr>
        <w:pStyle w:val="NoSpacing"/>
        <w:jc w:val="center"/>
        <w:rPr>
          <w:rFonts w:ascii="Times New Roman" w:hAnsi="Times New Roman" w:cs="Times New Roman"/>
          <w:sz w:val="28"/>
          <w:szCs w:val="28"/>
        </w:rPr>
      </w:pPr>
    </w:p>
    <w:p w:rsidR="00321B82" w:rsidRDefault="00321B82" w:rsidP="00694567">
      <w:pPr>
        <w:pStyle w:val="NoSpacing"/>
        <w:jc w:val="center"/>
        <w:rPr>
          <w:rFonts w:ascii="Times New Roman" w:hAnsi="Times New Roman" w:cs="Times New Roman"/>
          <w:sz w:val="28"/>
          <w:szCs w:val="28"/>
        </w:rPr>
      </w:pPr>
    </w:p>
    <w:p w:rsidR="00321B82" w:rsidRDefault="00321B82" w:rsidP="00694567">
      <w:pPr>
        <w:pStyle w:val="NoSpacing"/>
        <w:jc w:val="center"/>
        <w:rPr>
          <w:rFonts w:ascii="Times New Roman" w:hAnsi="Times New Roman" w:cs="Times New Roman"/>
          <w:sz w:val="28"/>
          <w:szCs w:val="28"/>
        </w:rPr>
      </w:pPr>
    </w:p>
    <w:p w:rsidR="00321B82" w:rsidRDefault="00321B82" w:rsidP="00694567">
      <w:pPr>
        <w:pStyle w:val="NoSpacing"/>
        <w:jc w:val="center"/>
        <w:rPr>
          <w:rFonts w:ascii="Times New Roman" w:hAnsi="Times New Roman" w:cs="Times New Roman"/>
          <w:sz w:val="28"/>
          <w:szCs w:val="28"/>
        </w:rPr>
      </w:pPr>
    </w:p>
    <w:p w:rsidR="00321B82" w:rsidRDefault="00321B82" w:rsidP="00694567">
      <w:pPr>
        <w:pStyle w:val="NoSpacing"/>
        <w:jc w:val="center"/>
        <w:rPr>
          <w:rFonts w:ascii="Times New Roman" w:hAnsi="Times New Roman" w:cs="Times New Roman"/>
          <w:sz w:val="28"/>
          <w:szCs w:val="28"/>
        </w:rPr>
      </w:pPr>
    </w:p>
    <w:p w:rsidR="00321B82" w:rsidRDefault="00321B82" w:rsidP="00694567">
      <w:pPr>
        <w:pStyle w:val="NoSpacing"/>
        <w:jc w:val="center"/>
        <w:rPr>
          <w:rFonts w:ascii="Times New Roman" w:hAnsi="Times New Roman" w:cs="Times New Roman"/>
          <w:sz w:val="28"/>
          <w:szCs w:val="28"/>
        </w:rPr>
      </w:pPr>
    </w:p>
    <w:p w:rsidR="00321B82" w:rsidRDefault="00321B82" w:rsidP="00694567">
      <w:pPr>
        <w:pStyle w:val="NoSpacing"/>
        <w:jc w:val="center"/>
        <w:rPr>
          <w:rFonts w:ascii="Times New Roman" w:hAnsi="Times New Roman" w:cs="Times New Roman"/>
          <w:sz w:val="28"/>
          <w:szCs w:val="28"/>
        </w:rPr>
      </w:pPr>
    </w:p>
    <w:p w:rsidR="00FA5DA4" w:rsidRDefault="00FA5DA4" w:rsidP="00F66D6D">
      <w:pPr>
        <w:pStyle w:val="NoSpacing"/>
        <w:rPr>
          <w:rFonts w:ascii="Times New Roman" w:hAnsi="Times New Roman" w:cs="Times New Roman"/>
          <w:sz w:val="28"/>
          <w:szCs w:val="28"/>
        </w:rPr>
      </w:pPr>
    </w:p>
    <w:p w:rsidR="00FA5DA4" w:rsidRPr="000437BD" w:rsidRDefault="00FA5DA4" w:rsidP="00FA5DA4">
      <w:pPr>
        <w:spacing w:line="360" w:lineRule="auto"/>
        <w:contextualSpacing/>
        <w:jc w:val="both"/>
        <w:rPr>
          <w:rFonts w:ascii="Times New Roman" w:hAnsi="Times New Roman" w:cs="Times New Roman"/>
          <w:b/>
          <w:sz w:val="28"/>
          <w:szCs w:val="28"/>
        </w:rPr>
      </w:pPr>
      <w:r w:rsidRPr="000437BD">
        <w:rPr>
          <w:rFonts w:ascii="Times New Roman" w:hAnsi="Times New Roman" w:cs="Times New Roman"/>
          <w:b/>
          <w:sz w:val="28"/>
          <w:szCs w:val="28"/>
        </w:rPr>
        <w:lastRenderedPageBreak/>
        <w:t>РОЗДІЛ 3. ПРОМЕНЕВІ БІОМАРКЕРИ В ІННОВАЦІЙНИХ ПІДХОДАХ ДО ПРОБЛЕМИ ДІАГНОСТИКИ НИРКОВО-КЛІТИННОГО РАКУ</w:t>
      </w:r>
    </w:p>
    <w:p w:rsidR="00FA5DA4" w:rsidRDefault="00FA5DA4" w:rsidP="00FA5DA4">
      <w:pPr>
        <w:spacing w:line="360" w:lineRule="auto"/>
        <w:jc w:val="both"/>
        <w:rPr>
          <w:rFonts w:ascii="Times New Roman" w:hAnsi="Times New Roman" w:cs="Times New Roman"/>
          <w:sz w:val="28"/>
          <w:szCs w:val="28"/>
        </w:rPr>
      </w:pPr>
    </w:p>
    <w:p w:rsidR="00FA5DA4"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сьогодні широке застосування різноманітних променевих методів обстеження дозволило значно збільшити частоту виявлення </w:t>
      </w:r>
      <w:r>
        <w:rPr>
          <w:rFonts w:ascii="Times New Roman" w:hAnsi="Times New Roman" w:cs="Times New Roman"/>
          <w:sz w:val="28"/>
          <w:szCs w:val="28"/>
          <w:lang w:val="en-US"/>
        </w:rPr>
        <w:t>SRM</w:t>
      </w:r>
      <w:r>
        <w:rPr>
          <w:rFonts w:ascii="Times New Roman" w:hAnsi="Times New Roman" w:cs="Times New Roman"/>
          <w:sz w:val="28"/>
          <w:szCs w:val="28"/>
        </w:rPr>
        <w:t>, які нерідко є випадковою клінічною знахідкою, під час обстеження інших органів</w:t>
      </w:r>
      <w:r w:rsidRPr="00407D1C">
        <w:rPr>
          <w:rFonts w:ascii="Times New Roman" w:hAnsi="Times New Roman" w:cs="Times New Roman"/>
          <w:sz w:val="28"/>
          <w:szCs w:val="28"/>
        </w:rPr>
        <w:t xml:space="preserve"> </w:t>
      </w:r>
      <w:r>
        <w:rPr>
          <w:rFonts w:ascii="Times New Roman" w:hAnsi="Times New Roman" w:cs="Times New Roman"/>
          <w:sz w:val="28"/>
          <w:szCs w:val="28"/>
        </w:rPr>
        <w:t xml:space="preserve">черевної порожнини. Водночас, не зважаючи на появу нових технічних можливостей, доопераційна диференціація НКР та доброякісних пухлин нирок (як у випадку </w:t>
      </w:r>
      <w:r>
        <w:rPr>
          <w:rFonts w:ascii="Times New Roman" w:hAnsi="Times New Roman" w:cs="Times New Roman"/>
          <w:sz w:val="28"/>
          <w:szCs w:val="28"/>
          <w:lang w:val="en-US"/>
        </w:rPr>
        <w:t>SRM</w:t>
      </w:r>
      <w:r>
        <w:rPr>
          <w:rFonts w:ascii="Times New Roman" w:hAnsi="Times New Roman" w:cs="Times New Roman"/>
          <w:sz w:val="28"/>
          <w:szCs w:val="28"/>
        </w:rPr>
        <w:t xml:space="preserve"> так і новоутворень нирок більших розмірів), </w:t>
      </w:r>
      <w:r w:rsidRPr="00B10789">
        <w:rPr>
          <w:rFonts w:ascii="Times New Roman" w:hAnsi="Times New Roman" w:cs="Times New Roman"/>
          <w:sz w:val="28"/>
          <w:szCs w:val="28"/>
        </w:rPr>
        <w:t xml:space="preserve">усе </w:t>
      </w:r>
      <w:r w:rsidRPr="00407D1C">
        <w:rPr>
          <w:rFonts w:ascii="Times New Roman" w:hAnsi="Times New Roman" w:cs="Times New Roman"/>
          <w:sz w:val="28"/>
          <w:szCs w:val="28"/>
        </w:rPr>
        <w:t>ще</w:t>
      </w:r>
      <w:r w:rsidRPr="00B10789">
        <w:rPr>
          <w:rFonts w:ascii="Times New Roman" w:hAnsi="Times New Roman" w:cs="Times New Roman"/>
          <w:sz w:val="28"/>
          <w:szCs w:val="28"/>
        </w:rPr>
        <w:t xml:space="preserve"> </w:t>
      </w:r>
      <w:r w:rsidRPr="00407D1C">
        <w:rPr>
          <w:rFonts w:ascii="Times New Roman" w:hAnsi="Times New Roman" w:cs="Times New Roman"/>
          <w:sz w:val="28"/>
          <w:szCs w:val="28"/>
        </w:rPr>
        <w:t xml:space="preserve">становить значну </w:t>
      </w:r>
      <w:r>
        <w:rPr>
          <w:rFonts w:ascii="Times New Roman" w:hAnsi="Times New Roman" w:cs="Times New Roman"/>
          <w:sz w:val="28"/>
          <w:szCs w:val="28"/>
        </w:rPr>
        <w:t xml:space="preserve">клінічну  проблему. Не існує діагностичних методів, які б дозволили із достатньою точністю, неінвазійно відрізняти НКР від доброякісних пухлин. Водночас, застосування ЧПБ пов’язане із високою частотою недіагностичних маніпуляцій, та ризиком загрозливих ускладнень. У зв’язку з цим, частина нефректомій проводяться за фактичної відсутності злоякісної патології. Діагностичні можливості сучасних методів є значно обмеженими у виявленні поширення НКР  в реґіонарні лімфатичні вузли, що часом призводить до хибного стадіювання захворювання на доопераційному етапі. </w:t>
      </w:r>
    </w:p>
    <w:p w:rsidR="00FA5DA4"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Відсутність методу, який би дозволяв неінвазійно і точно визначати гістологічні підтипи НКР та ступінь диференціації пухлини до операції, суттєво обмежує можливість прогнозування біологічної агресивності пухлини та ретельного відбору хворих для активного спостереження. Окрему діагностичну дилему становить своєчасне виявлення злоякісних кіст нирок, особливо у випадку класу ІІ</w:t>
      </w:r>
      <w:r>
        <w:rPr>
          <w:rFonts w:ascii="Times New Roman" w:hAnsi="Times New Roman" w:cs="Times New Roman"/>
          <w:sz w:val="28"/>
          <w:szCs w:val="28"/>
          <w:lang w:val="en-US"/>
        </w:rPr>
        <w:t>F</w:t>
      </w:r>
      <w:r w:rsidRPr="000437BD">
        <w:rPr>
          <w:rFonts w:ascii="Times New Roman" w:hAnsi="Times New Roman" w:cs="Times New Roman"/>
          <w:sz w:val="28"/>
          <w:szCs w:val="28"/>
        </w:rPr>
        <w:t xml:space="preserve"> за </w:t>
      </w:r>
      <w:r>
        <w:rPr>
          <w:rFonts w:ascii="Times New Roman" w:hAnsi="Times New Roman" w:cs="Times New Roman"/>
          <w:sz w:val="28"/>
          <w:szCs w:val="28"/>
          <w:lang w:val="en-US"/>
        </w:rPr>
        <w:t>Bosniak</w:t>
      </w:r>
      <w:r>
        <w:rPr>
          <w:rFonts w:ascii="Times New Roman" w:hAnsi="Times New Roman" w:cs="Times New Roman"/>
          <w:sz w:val="28"/>
          <w:szCs w:val="28"/>
        </w:rPr>
        <w:t>, оскільки не існує чітких діагностичних критеріїв, при яких такі новоутворення вже підлягають не спостереженню, а хірургічному лікуванню, оскільки знаходяться на межі із третім класом. При діагностиці НКР також неможливо ігнорувати ключову роль променевих методів із застосуванням іонізуючого випромінювання, таких як КТ, у розвитку радіаційно-індукованого раку.</w:t>
      </w:r>
    </w:p>
    <w:p w:rsidR="00FA5DA4" w:rsidRPr="00080469"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З метою підвищенням ефективності</w:t>
      </w:r>
      <w:r w:rsidRPr="0068007F">
        <w:rPr>
          <w:rFonts w:ascii="Times New Roman" w:hAnsi="Times New Roman" w:cs="Times New Roman"/>
          <w:sz w:val="28"/>
          <w:szCs w:val="28"/>
        </w:rPr>
        <w:t xml:space="preserve"> </w:t>
      </w:r>
      <w:r>
        <w:rPr>
          <w:rFonts w:ascii="Times New Roman" w:hAnsi="Times New Roman" w:cs="Times New Roman"/>
          <w:sz w:val="28"/>
          <w:szCs w:val="28"/>
        </w:rPr>
        <w:t>діагностики та диференціації</w:t>
      </w:r>
      <w:r w:rsidRPr="0068007F">
        <w:rPr>
          <w:rFonts w:ascii="Times New Roman" w:hAnsi="Times New Roman" w:cs="Times New Roman"/>
          <w:sz w:val="28"/>
          <w:szCs w:val="28"/>
        </w:rPr>
        <w:t xml:space="preserve"> НКР</w:t>
      </w:r>
      <w:r>
        <w:rPr>
          <w:rFonts w:ascii="Times New Roman" w:hAnsi="Times New Roman" w:cs="Times New Roman"/>
          <w:sz w:val="28"/>
          <w:szCs w:val="28"/>
        </w:rPr>
        <w:t xml:space="preserve"> та </w:t>
      </w:r>
      <w:r w:rsidRPr="0068007F">
        <w:rPr>
          <w:rFonts w:ascii="Times New Roman" w:hAnsi="Times New Roman" w:cs="Times New Roman"/>
          <w:sz w:val="28"/>
          <w:szCs w:val="28"/>
        </w:rPr>
        <w:t>з</w:t>
      </w:r>
      <w:r>
        <w:rPr>
          <w:rFonts w:ascii="Times New Roman" w:hAnsi="Times New Roman" w:cs="Times New Roman"/>
          <w:sz w:val="28"/>
          <w:szCs w:val="28"/>
        </w:rPr>
        <w:t>меншення</w:t>
      </w:r>
      <w:r w:rsidRPr="0068007F">
        <w:rPr>
          <w:rFonts w:ascii="Times New Roman" w:hAnsi="Times New Roman" w:cs="Times New Roman"/>
          <w:sz w:val="28"/>
          <w:szCs w:val="28"/>
        </w:rPr>
        <w:t xml:space="preserve"> </w:t>
      </w:r>
      <w:r>
        <w:rPr>
          <w:rFonts w:ascii="Times New Roman" w:hAnsi="Times New Roman" w:cs="Times New Roman"/>
          <w:sz w:val="28"/>
          <w:szCs w:val="28"/>
        </w:rPr>
        <w:t>радіаційного</w:t>
      </w:r>
      <w:r w:rsidRPr="0068007F">
        <w:rPr>
          <w:rFonts w:ascii="Times New Roman" w:hAnsi="Times New Roman" w:cs="Times New Roman"/>
          <w:sz w:val="28"/>
          <w:szCs w:val="28"/>
        </w:rPr>
        <w:t xml:space="preserve"> навантаження на хворого, </w:t>
      </w:r>
      <w:r>
        <w:rPr>
          <w:rFonts w:ascii="Times New Roman" w:hAnsi="Times New Roman" w:cs="Times New Roman"/>
          <w:sz w:val="28"/>
          <w:szCs w:val="28"/>
        </w:rPr>
        <w:t>нами проведено</w:t>
      </w:r>
      <w:r w:rsidRPr="0068007F">
        <w:rPr>
          <w:rFonts w:ascii="Times New Roman" w:hAnsi="Times New Roman" w:cs="Times New Roman"/>
          <w:sz w:val="28"/>
          <w:szCs w:val="28"/>
        </w:rPr>
        <w:t xml:space="preserve"> </w:t>
      </w:r>
      <w:r>
        <w:rPr>
          <w:rFonts w:ascii="Times New Roman" w:hAnsi="Times New Roman" w:cs="Times New Roman"/>
          <w:sz w:val="28"/>
          <w:szCs w:val="28"/>
        </w:rPr>
        <w:t>пошук</w:t>
      </w:r>
      <w:r w:rsidRPr="0068007F">
        <w:rPr>
          <w:rFonts w:ascii="Times New Roman" w:hAnsi="Times New Roman" w:cs="Times New Roman"/>
          <w:sz w:val="28"/>
          <w:szCs w:val="28"/>
        </w:rPr>
        <w:t xml:space="preserve"> нових</w:t>
      </w:r>
      <w:r>
        <w:rPr>
          <w:rFonts w:ascii="Times New Roman" w:hAnsi="Times New Roman" w:cs="Times New Roman"/>
          <w:sz w:val="28"/>
          <w:szCs w:val="28"/>
        </w:rPr>
        <w:t xml:space="preserve"> діагностичних</w:t>
      </w:r>
      <w:r w:rsidRPr="0068007F">
        <w:rPr>
          <w:rFonts w:ascii="Times New Roman" w:hAnsi="Times New Roman" w:cs="Times New Roman"/>
          <w:sz w:val="28"/>
          <w:szCs w:val="28"/>
        </w:rPr>
        <w:t xml:space="preserve"> </w:t>
      </w:r>
      <w:r>
        <w:rPr>
          <w:rFonts w:ascii="Times New Roman" w:hAnsi="Times New Roman" w:cs="Times New Roman"/>
          <w:sz w:val="28"/>
          <w:szCs w:val="28"/>
        </w:rPr>
        <w:t>променевих біомаркерів.</w:t>
      </w:r>
    </w:p>
    <w:p w:rsidR="00FA5DA4" w:rsidRDefault="00FA5DA4" w:rsidP="00FA5DA4">
      <w:pPr>
        <w:rPr>
          <w:rFonts w:ascii="Times New Roman" w:hAnsi="Times New Roman" w:cs="Times New Roman"/>
          <w:b/>
          <w:sz w:val="28"/>
          <w:szCs w:val="28"/>
        </w:rPr>
      </w:pPr>
    </w:p>
    <w:p w:rsidR="00FA5DA4" w:rsidRPr="00CB3FB6" w:rsidRDefault="00FA5DA4" w:rsidP="00FA5DA4">
      <w:pPr>
        <w:rPr>
          <w:rFonts w:ascii="Times New Roman" w:hAnsi="Times New Roman" w:cs="Times New Roman"/>
          <w:b/>
          <w:sz w:val="28"/>
          <w:szCs w:val="28"/>
        </w:rPr>
      </w:pPr>
      <w:r>
        <w:rPr>
          <w:rFonts w:ascii="Times New Roman" w:hAnsi="Times New Roman" w:cs="Times New Roman"/>
          <w:b/>
          <w:sz w:val="28"/>
          <w:szCs w:val="28"/>
        </w:rPr>
        <w:t>3.1</w:t>
      </w:r>
      <w:r w:rsidRPr="00CB3FB6">
        <w:rPr>
          <w:rFonts w:ascii="Times New Roman" w:hAnsi="Times New Roman" w:cs="Times New Roman"/>
          <w:b/>
          <w:sz w:val="28"/>
          <w:szCs w:val="28"/>
        </w:rPr>
        <w:t>. Диференційна діагностика малих ниркових новоутворів (SRM)</w:t>
      </w:r>
    </w:p>
    <w:p w:rsidR="00FA5DA4" w:rsidRPr="00CB3FB6" w:rsidRDefault="00FA5DA4" w:rsidP="00FA5DA4">
      <w:pPr>
        <w:spacing w:line="360" w:lineRule="auto"/>
        <w:jc w:val="both"/>
        <w:rPr>
          <w:rFonts w:ascii="Times New Roman" w:hAnsi="Times New Roman" w:cs="Times New Roman"/>
          <w:sz w:val="28"/>
          <w:szCs w:val="28"/>
        </w:rPr>
      </w:pPr>
    </w:p>
    <w:p w:rsidR="00FA5DA4" w:rsidRPr="00CB3FB6"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дослідження увійшло 232 хворих із</w:t>
      </w:r>
      <w:r w:rsidRPr="00717102">
        <w:rPr>
          <w:rFonts w:ascii="Times New Roman" w:hAnsi="Times New Roman" w:cs="Times New Roman"/>
          <w:sz w:val="28"/>
          <w:szCs w:val="28"/>
        </w:rPr>
        <w:t xml:space="preserve"> </w:t>
      </w:r>
      <w:r>
        <w:rPr>
          <w:rFonts w:ascii="Times New Roman" w:hAnsi="Times New Roman" w:cs="Times New Roman"/>
          <w:sz w:val="28"/>
          <w:szCs w:val="28"/>
        </w:rPr>
        <w:t>солідними</w:t>
      </w:r>
      <w:r w:rsidRPr="00717102">
        <w:rPr>
          <w:rFonts w:ascii="Times New Roman" w:hAnsi="Times New Roman" w:cs="Times New Roman"/>
          <w:sz w:val="28"/>
          <w:szCs w:val="28"/>
        </w:rPr>
        <w:t xml:space="preserve"> і </w:t>
      </w:r>
      <w:r>
        <w:rPr>
          <w:rFonts w:ascii="Times New Roman" w:hAnsi="Times New Roman" w:cs="Times New Roman"/>
          <w:sz w:val="28"/>
          <w:szCs w:val="28"/>
        </w:rPr>
        <w:t>156 пацієнтів із кістозними малими новоутвореннями</w:t>
      </w:r>
      <w:r w:rsidRPr="00CB3FB6">
        <w:rPr>
          <w:rFonts w:ascii="Times New Roman" w:hAnsi="Times New Roman" w:cs="Times New Roman"/>
          <w:sz w:val="28"/>
          <w:szCs w:val="28"/>
        </w:rPr>
        <w:t xml:space="preserve"> нирок</w:t>
      </w:r>
      <w:r>
        <w:rPr>
          <w:rFonts w:ascii="Times New Roman" w:hAnsi="Times New Roman" w:cs="Times New Roman"/>
          <w:sz w:val="28"/>
          <w:szCs w:val="28"/>
        </w:rPr>
        <w:t xml:space="preserve"> </w:t>
      </w:r>
      <w:r w:rsidRPr="009E6C7E">
        <w:rPr>
          <w:rFonts w:ascii="Times New Roman" w:hAnsi="Times New Roman" w:cs="Times New Roman"/>
          <w:sz w:val="28"/>
          <w:szCs w:val="28"/>
        </w:rPr>
        <w:t>(</w:t>
      </w:r>
      <w:r>
        <w:rPr>
          <w:rFonts w:ascii="Times New Roman" w:hAnsi="Times New Roman" w:cs="Times New Roman"/>
          <w:sz w:val="28"/>
          <w:szCs w:val="28"/>
          <w:lang w:val="en-US"/>
        </w:rPr>
        <w:t>SRM</w:t>
      </w:r>
      <w:r w:rsidRPr="009E6C7E">
        <w:rPr>
          <w:rFonts w:ascii="Times New Roman" w:hAnsi="Times New Roman" w:cs="Times New Roman"/>
          <w:sz w:val="28"/>
          <w:szCs w:val="28"/>
        </w:rPr>
        <w:t>)</w:t>
      </w:r>
      <w:r w:rsidRPr="00CB3FB6">
        <w:rPr>
          <w:rFonts w:ascii="Times New Roman" w:hAnsi="Times New Roman" w:cs="Times New Roman"/>
          <w:sz w:val="28"/>
          <w:szCs w:val="28"/>
        </w:rPr>
        <w:t>,</w:t>
      </w:r>
      <w:r>
        <w:rPr>
          <w:rFonts w:ascii="Times New Roman" w:hAnsi="Times New Roman" w:cs="Times New Roman"/>
          <w:sz w:val="28"/>
          <w:szCs w:val="28"/>
        </w:rPr>
        <w:t xml:space="preserve"> які проходили діагностику та</w:t>
      </w:r>
      <w:r w:rsidRPr="00CB3FB6">
        <w:rPr>
          <w:rFonts w:ascii="Times New Roman" w:hAnsi="Times New Roman" w:cs="Times New Roman"/>
          <w:sz w:val="28"/>
          <w:szCs w:val="28"/>
        </w:rPr>
        <w:t xml:space="preserve"> лікування на базі клініки кафедри урології Львівського національного медичного університету ім. Данила Галицького, </w:t>
      </w:r>
      <w:r w:rsidRPr="00CB3FB6">
        <w:rPr>
          <w:rFonts w:ascii="Times New Roman" w:hAnsi="Times New Roman"/>
          <w:sz w:val="28"/>
          <w:szCs w:val="28"/>
        </w:rPr>
        <w:t xml:space="preserve">урологічного відділення Львівської обласної клінічної лікарні та </w:t>
      </w:r>
      <w:r w:rsidRPr="00CB3FB6">
        <w:rPr>
          <w:rFonts w:ascii="Times New Roman" w:hAnsi="Times New Roman" w:cs="Times New Roman"/>
          <w:sz w:val="28"/>
          <w:szCs w:val="28"/>
        </w:rPr>
        <w:t>медичного центру «Єврокліні</w:t>
      </w:r>
      <w:r>
        <w:rPr>
          <w:rFonts w:ascii="Times New Roman" w:hAnsi="Times New Roman" w:cs="Times New Roman"/>
          <w:sz w:val="28"/>
          <w:szCs w:val="28"/>
        </w:rPr>
        <w:t>к», м. Львів, впродовж 2013-2018</w:t>
      </w:r>
      <w:r w:rsidRPr="00CB3FB6">
        <w:rPr>
          <w:rFonts w:ascii="Times New Roman" w:hAnsi="Times New Roman" w:cs="Times New Roman"/>
          <w:sz w:val="28"/>
          <w:szCs w:val="28"/>
        </w:rPr>
        <w:t xml:space="preserve"> рр.</w:t>
      </w:r>
    </w:p>
    <w:p w:rsidR="00FA5DA4" w:rsidRPr="005948C0" w:rsidRDefault="00FA5DA4" w:rsidP="005948C0">
      <w:pPr>
        <w:spacing w:line="360" w:lineRule="auto"/>
        <w:jc w:val="both"/>
        <w:rPr>
          <w:rFonts w:ascii="Times New Roman" w:hAnsi="Times New Roman" w:cs="Times New Roman"/>
          <w:sz w:val="28"/>
          <w:szCs w:val="28"/>
        </w:rPr>
      </w:pPr>
      <w:r w:rsidRPr="00CB3FB6">
        <w:rPr>
          <w:rFonts w:ascii="Times New Roman" w:hAnsi="Times New Roman" w:cs="Times New Roman"/>
          <w:sz w:val="28"/>
          <w:szCs w:val="28"/>
        </w:rPr>
        <w:tab/>
        <w:t xml:space="preserve">Критерії включення в дослідження були наступні: </w:t>
      </w:r>
      <w:r w:rsidRPr="005948C0">
        <w:rPr>
          <w:rFonts w:ascii="Times New Roman" w:hAnsi="Times New Roman" w:cs="Times New Roman"/>
          <w:sz w:val="28"/>
          <w:szCs w:val="28"/>
        </w:rPr>
        <w:t>дорослий вік хворого;</w:t>
      </w:r>
      <w:r w:rsidR="005948C0" w:rsidRPr="005948C0">
        <w:rPr>
          <w:rFonts w:ascii="Times New Roman" w:hAnsi="Times New Roman" w:cs="Times New Roman"/>
          <w:sz w:val="28"/>
          <w:szCs w:val="28"/>
          <w:lang w:val="ru-RU"/>
        </w:rPr>
        <w:t xml:space="preserve"> </w:t>
      </w:r>
      <w:r w:rsidRPr="005948C0">
        <w:rPr>
          <w:rFonts w:ascii="Times New Roman" w:hAnsi="Times New Roman" w:cs="Times New Roman"/>
          <w:sz w:val="28"/>
          <w:szCs w:val="28"/>
        </w:rPr>
        <w:t>розмір пухлини нирки,</w:t>
      </w:r>
      <w:r w:rsidRPr="005948C0">
        <w:rPr>
          <w:rFonts w:ascii="Times New Roman" w:hAnsi="Times New Roman" w:cs="Times New Roman"/>
          <w:b/>
          <w:sz w:val="28"/>
          <w:szCs w:val="28"/>
        </w:rPr>
        <w:t xml:space="preserve"> </w:t>
      </w:r>
      <w:r w:rsidRPr="005948C0">
        <w:rPr>
          <w:rFonts w:ascii="Times New Roman" w:hAnsi="Times New Roman" w:cs="Times New Roman"/>
          <w:sz w:val="28"/>
          <w:szCs w:val="28"/>
        </w:rPr>
        <w:t>за даними променевих обстежень ≤4 см у найбільшому вимірі; відсутність протипоказів до проведення КТ чи МРТ, таких як: алергія на контрастний агент, виражена ниркова чи печінкова недостатність, маса тіла понад 150 кг, наявність великих металевих деталей в тілі чи кардіостимулятору (для МРТ), клаустрофобія, вагітність (для КТ);</w:t>
      </w:r>
      <w:r w:rsidR="005948C0" w:rsidRPr="005948C0">
        <w:rPr>
          <w:rFonts w:ascii="Times New Roman" w:hAnsi="Times New Roman" w:cs="Times New Roman"/>
          <w:sz w:val="28"/>
          <w:szCs w:val="28"/>
          <w:lang w:val="ru-RU"/>
        </w:rPr>
        <w:t xml:space="preserve"> </w:t>
      </w:r>
      <w:r w:rsidRPr="005948C0">
        <w:rPr>
          <w:rFonts w:ascii="Times New Roman" w:hAnsi="Times New Roman" w:cs="Times New Roman"/>
          <w:sz w:val="28"/>
          <w:szCs w:val="28"/>
        </w:rPr>
        <w:t>наявність показів до проведення крос-секційних обстежень, таких, як КТ чи МРТ або вже існуючих результатів цих обстежень на електронних носіях чи в електронній базі даних</w:t>
      </w:r>
      <w:r w:rsidR="005948C0">
        <w:rPr>
          <w:rFonts w:ascii="Times New Roman" w:hAnsi="Times New Roman" w:cs="Times New Roman"/>
          <w:sz w:val="28"/>
          <w:szCs w:val="28"/>
        </w:rPr>
        <w:t xml:space="preserve"> (для КТ).</w:t>
      </w:r>
    </w:p>
    <w:p w:rsidR="00FA5DA4" w:rsidRDefault="00FA5DA4" w:rsidP="00FA5DA4">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 xml:space="preserve">У дослідження не включались хворі з інфекціями сечовивідних шляхів та із двостороннім чи множинним ураженням нирок. До включення в дослідження у жодного хворого ЧПБ чи будь-яке лікування пухлини нирки не проводилось. </w:t>
      </w:r>
    </w:p>
    <w:p w:rsidR="00FA5DA4" w:rsidRDefault="00FA5DA4" w:rsidP="00FA5DA4">
      <w:pPr>
        <w:spacing w:line="360" w:lineRule="auto"/>
        <w:ind w:firstLine="708"/>
        <w:jc w:val="both"/>
        <w:rPr>
          <w:rFonts w:ascii="Times New Roman" w:hAnsi="Times New Roman" w:cs="Times New Roman"/>
          <w:sz w:val="28"/>
          <w:szCs w:val="28"/>
        </w:rPr>
      </w:pPr>
    </w:p>
    <w:p w:rsidR="00FA5DA4" w:rsidRDefault="00FA5DA4" w:rsidP="00FA5DA4">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extent cx="4770407" cy="6311615"/>
            <wp:effectExtent l="0" t="0" r="0" b="0"/>
            <wp:docPr id="44" name="Рисунок 44" descr="солідні SRM диз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олідні SRM дизайн"/>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71464" cy="6313014"/>
                    </a:xfrm>
                    <a:prstGeom prst="rect">
                      <a:avLst/>
                    </a:prstGeom>
                    <a:noFill/>
                    <a:ln>
                      <a:noFill/>
                    </a:ln>
                  </pic:spPr>
                </pic:pic>
              </a:graphicData>
            </a:graphic>
          </wp:inline>
        </w:drawing>
      </w:r>
    </w:p>
    <w:p w:rsidR="00FA5DA4" w:rsidRDefault="00FA5DA4" w:rsidP="00FA5DA4">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3.1. Дизайн дослідження при вивченні променевих біомаркерів для діагностики НКР при диференціації малих ниркових новоутворів</w:t>
      </w:r>
    </w:p>
    <w:p w:rsidR="00FA5DA4" w:rsidRPr="00CB3FB6" w:rsidRDefault="00FA5DA4" w:rsidP="00FA5DA4">
      <w:pPr>
        <w:spacing w:line="360" w:lineRule="auto"/>
        <w:ind w:firstLine="708"/>
        <w:jc w:val="both"/>
        <w:rPr>
          <w:rFonts w:ascii="Times New Roman" w:hAnsi="Times New Roman" w:cs="Times New Roman"/>
          <w:sz w:val="28"/>
          <w:szCs w:val="28"/>
        </w:rPr>
      </w:pPr>
    </w:p>
    <w:p w:rsidR="00FA5DA4" w:rsidRDefault="00FA5DA4" w:rsidP="00FA5DA4">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 xml:space="preserve">Для діагностики малих ниркових новоутворень МРТ черевної порожнини проводили за </w:t>
      </w:r>
      <w:r>
        <w:rPr>
          <w:rFonts w:ascii="Times New Roman" w:hAnsi="Times New Roman" w:cs="Times New Roman"/>
          <w:sz w:val="28"/>
          <w:szCs w:val="28"/>
        </w:rPr>
        <w:t>наступних</w:t>
      </w:r>
      <w:r w:rsidRPr="00FC5277">
        <w:rPr>
          <w:rFonts w:ascii="Times New Roman" w:hAnsi="Times New Roman" w:cs="Times New Roman"/>
          <w:sz w:val="28"/>
          <w:szCs w:val="28"/>
        </w:rPr>
        <w:t xml:space="preserve"> </w:t>
      </w:r>
      <w:r w:rsidRPr="00CB3FB6">
        <w:rPr>
          <w:rFonts w:ascii="Times New Roman" w:hAnsi="Times New Roman" w:cs="Times New Roman"/>
          <w:sz w:val="28"/>
          <w:szCs w:val="28"/>
        </w:rPr>
        <w:t>умов:</w:t>
      </w:r>
      <w:r>
        <w:rPr>
          <w:rFonts w:ascii="Times New Roman" w:hAnsi="Times New Roman" w:cs="Times New Roman"/>
          <w:sz w:val="28"/>
          <w:szCs w:val="28"/>
        </w:rPr>
        <w:t xml:space="preserve"> </w:t>
      </w:r>
      <w:r w:rsidRPr="00ED41F5">
        <w:rPr>
          <w:rFonts w:ascii="Times New Roman" w:hAnsi="Times New Roman" w:cs="Times New Roman"/>
          <w:sz w:val="28"/>
          <w:szCs w:val="28"/>
        </w:rPr>
        <w:t>сумнівних даних КТ;</w:t>
      </w:r>
      <w:r>
        <w:rPr>
          <w:rFonts w:ascii="Times New Roman" w:hAnsi="Times New Roman" w:cs="Times New Roman"/>
          <w:sz w:val="28"/>
          <w:szCs w:val="28"/>
        </w:rPr>
        <w:t xml:space="preserve"> </w:t>
      </w:r>
      <w:r w:rsidRPr="00ED41F5">
        <w:rPr>
          <w:rFonts w:ascii="Times New Roman" w:hAnsi="Times New Roman" w:cs="Times New Roman"/>
          <w:sz w:val="28"/>
          <w:szCs w:val="28"/>
        </w:rPr>
        <w:t>алергії на введення йодовмісних контрастних речовин;</w:t>
      </w:r>
      <w:r>
        <w:rPr>
          <w:rFonts w:ascii="Times New Roman" w:hAnsi="Times New Roman" w:cs="Times New Roman"/>
          <w:sz w:val="28"/>
          <w:szCs w:val="28"/>
        </w:rPr>
        <w:t xml:space="preserve"> в</w:t>
      </w:r>
      <w:r w:rsidRPr="00ED41F5">
        <w:rPr>
          <w:rFonts w:ascii="Times New Roman" w:hAnsi="Times New Roman" w:cs="Times New Roman"/>
          <w:sz w:val="28"/>
          <w:szCs w:val="28"/>
        </w:rPr>
        <w:t>ідмови хворого проходити КТ обстеження (в основному через променеве навантаження і пов’язані з цим ризики);</w:t>
      </w:r>
      <w:r>
        <w:rPr>
          <w:rFonts w:ascii="Times New Roman" w:hAnsi="Times New Roman" w:cs="Times New Roman"/>
          <w:sz w:val="28"/>
          <w:szCs w:val="28"/>
        </w:rPr>
        <w:t xml:space="preserve"> вагітність</w:t>
      </w:r>
      <w:r w:rsidRPr="00ED41F5">
        <w:rPr>
          <w:rFonts w:ascii="Times New Roman" w:hAnsi="Times New Roman" w:cs="Times New Roman"/>
          <w:sz w:val="28"/>
          <w:szCs w:val="28"/>
        </w:rPr>
        <w:t>;</w:t>
      </w:r>
      <w:r>
        <w:rPr>
          <w:rFonts w:ascii="Times New Roman" w:hAnsi="Times New Roman" w:cs="Times New Roman"/>
          <w:sz w:val="28"/>
          <w:szCs w:val="28"/>
        </w:rPr>
        <w:t xml:space="preserve"> </w:t>
      </w:r>
      <w:r w:rsidRPr="00ED41F5">
        <w:rPr>
          <w:rFonts w:ascii="Times New Roman" w:hAnsi="Times New Roman" w:cs="Times New Roman"/>
          <w:sz w:val="28"/>
          <w:szCs w:val="28"/>
        </w:rPr>
        <w:t>особистий вибір хворого.</w:t>
      </w:r>
    </w:p>
    <w:p w:rsidR="00FA5DA4" w:rsidRDefault="00FA5DA4" w:rsidP="00FA5DA4">
      <w:pPr>
        <w:spacing w:line="360" w:lineRule="auto"/>
        <w:ind w:firstLine="708"/>
        <w:jc w:val="both"/>
        <w:rPr>
          <w:rFonts w:ascii="Times New Roman" w:hAnsi="Times New Roman"/>
          <w:sz w:val="28"/>
          <w:szCs w:val="28"/>
        </w:rPr>
      </w:pPr>
      <w:r>
        <w:rPr>
          <w:rFonts w:ascii="Times New Roman" w:hAnsi="Times New Roman" w:cs="Times New Roman"/>
          <w:sz w:val="28"/>
          <w:szCs w:val="28"/>
        </w:rPr>
        <w:lastRenderedPageBreak/>
        <w:t>Із 388</w:t>
      </w:r>
      <w:r w:rsidRPr="00CB3FB6">
        <w:rPr>
          <w:rFonts w:ascii="Times New Roman" w:hAnsi="Times New Roman" w:cs="Times New Roman"/>
          <w:sz w:val="28"/>
          <w:szCs w:val="28"/>
        </w:rPr>
        <w:t xml:space="preserve"> хворих </w:t>
      </w:r>
      <w:r>
        <w:rPr>
          <w:rFonts w:ascii="Times New Roman" w:hAnsi="Times New Roman" w:cs="Times New Roman"/>
          <w:sz w:val="28"/>
          <w:szCs w:val="28"/>
        </w:rPr>
        <w:t xml:space="preserve">із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sidRPr="00CB3FB6">
        <w:rPr>
          <w:rFonts w:ascii="Times New Roman" w:hAnsi="Times New Roman" w:cs="Times New Roman"/>
          <w:sz w:val="28"/>
          <w:szCs w:val="28"/>
        </w:rPr>
        <w:t xml:space="preserve">було </w:t>
      </w:r>
      <w:r w:rsidRPr="00E67DE8">
        <w:rPr>
          <w:rFonts w:ascii="Times New Roman" w:hAnsi="Times New Roman" w:cs="Times New Roman"/>
          <w:sz w:val="28"/>
          <w:szCs w:val="28"/>
        </w:rPr>
        <w:t>240 (61,86%) чоловіків і 148 (38,14%)</w:t>
      </w:r>
      <w:r w:rsidRPr="00CB3FB6">
        <w:rPr>
          <w:rFonts w:ascii="Times New Roman" w:hAnsi="Times New Roman" w:cs="Times New Roman"/>
          <w:sz w:val="28"/>
          <w:szCs w:val="28"/>
        </w:rPr>
        <w:t xml:space="preserve"> жінок. Середній вік становив 57,20</w:t>
      </w:r>
      <w:r w:rsidRPr="00CB3FB6">
        <w:rPr>
          <w:rFonts w:ascii="Times New Roman" w:hAnsi="Times New Roman"/>
          <w:sz w:val="28"/>
          <w:szCs w:val="28"/>
        </w:rPr>
        <w:sym w:font="Symbol" w:char="F0B1"/>
      </w:r>
      <w:r>
        <w:rPr>
          <w:rFonts w:ascii="Times New Roman" w:hAnsi="Times New Roman"/>
          <w:sz w:val="28"/>
          <w:szCs w:val="28"/>
        </w:rPr>
        <w:t>8,11 р. і варіював</w:t>
      </w:r>
      <w:r w:rsidRPr="00CB3FB6">
        <w:rPr>
          <w:rFonts w:ascii="Times New Roman" w:hAnsi="Times New Roman"/>
          <w:sz w:val="28"/>
          <w:szCs w:val="28"/>
        </w:rPr>
        <w:t xml:space="preserve"> в межах від 36 до 74 р. </w:t>
      </w:r>
      <w:r w:rsidRPr="00CB3FB6">
        <w:rPr>
          <w:rFonts w:ascii="Times New Roman" w:hAnsi="Times New Roman" w:cs="Times New Roman"/>
          <w:sz w:val="28"/>
          <w:szCs w:val="28"/>
        </w:rPr>
        <w:t>Вік чоловіків складав 57,72</w:t>
      </w:r>
      <w:r w:rsidRPr="00CB3FB6">
        <w:rPr>
          <w:rFonts w:ascii="Times New Roman" w:hAnsi="Times New Roman"/>
          <w:sz w:val="28"/>
          <w:szCs w:val="28"/>
        </w:rPr>
        <w:sym w:font="Symbol" w:char="F0B1"/>
      </w:r>
      <w:r w:rsidRPr="00CB3FB6">
        <w:rPr>
          <w:rFonts w:ascii="Times New Roman" w:hAnsi="Times New Roman"/>
          <w:sz w:val="28"/>
          <w:szCs w:val="28"/>
        </w:rPr>
        <w:t>5,45 р., жінок – 56,89</w:t>
      </w:r>
      <w:r w:rsidRPr="00CB3FB6">
        <w:rPr>
          <w:rFonts w:ascii="Times New Roman" w:hAnsi="Times New Roman"/>
          <w:sz w:val="28"/>
          <w:szCs w:val="28"/>
        </w:rPr>
        <w:sym w:font="Symbol" w:char="F0B1"/>
      </w:r>
      <w:r w:rsidRPr="00CB3FB6">
        <w:rPr>
          <w:rFonts w:ascii="Times New Roman" w:hAnsi="Times New Roman"/>
          <w:sz w:val="28"/>
          <w:szCs w:val="28"/>
        </w:rPr>
        <w:t xml:space="preserve">6,11 р. Дещо частіше спостерігалось ураження лівої нирки - </w:t>
      </w:r>
      <w:r>
        <w:rPr>
          <w:rFonts w:ascii="Times New Roman" w:hAnsi="Times New Roman"/>
          <w:sz w:val="28"/>
          <w:szCs w:val="28"/>
        </w:rPr>
        <w:t>209</w:t>
      </w:r>
      <w:r w:rsidRPr="00CB3FB6">
        <w:rPr>
          <w:rFonts w:ascii="Times New Roman" w:hAnsi="Times New Roman"/>
          <w:sz w:val="28"/>
          <w:szCs w:val="28"/>
        </w:rPr>
        <w:t xml:space="preserve"> (</w:t>
      </w:r>
      <w:r>
        <w:rPr>
          <w:rFonts w:ascii="Times New Roman" w:hAnsi="Times New Roman"/>
          <w:sz w:val="28"/>
          <w:szCs w:val="28"/>
        </w:rPr>
        <w:t>53,87</w:t>
      </w:r>
      <w:r w:rsidRPr="00CB3FB6">
        <w:rPr>
          <w:rFonts w:ascii="Times New Roman" w:hAnsi="Times New Roman"/>
          <w:sz w:val="28"/>
          <w:szCs w:val="28"/>
        </w:rPr>
        <w:t xml:space="preserve">%) хворих, у порівнянні з правою ниркою </w:t>
      </w:r>
      <w:r>
        <w:rPr>
          <w:rFonts w:ascii="Times New Roman" w:hAnsi="Times New Roman"/>
          <w:sz w:val="28"/>
          <w:szCs w:val="28"/>
        </w:rPr>
        <w:t>–</w:t>
      </w:r>
      <w:r w:rsidRPr="00CB3FB6">
        <w:rPr>
          <w:rFonts w:ascii="Times New Roman" w:hAnsi="Times New Roman"/>
          <w:sz w:val="28"/>
          <w:szCs w:val="28"/>
        </w:rPr>
        <w:t xml:space="preserve"> </w:t>
      </w:r>
      <w:r w:rsidRPr="0015359A">
        <w:rPr>
          <w:rFonts w:ascii="Times New Roman" w:hAnsi="Times New Roman"/>
          <w:sz w:val="28"/>
          <w:szCs w:val="28"/>
        </w:rPr>
        <w:t>179 (46,13%)</w:t>
      </w:r>
      <w:r w:rsidRPr="00CB3FB6">
        <w:rPr>
          <w:rFonts w:ascii="Times New Roman" w:hAnsi="Times New Roman"/>
          <w:sz w:val="28"/>
          <w:szCs w:val="28"/>
        </w:rPr>
        <w:t xml:space="preserve"> хворих. Середній розмір пухлини становив 3,18</w:t>
      </w:r>
      <w:r w:rsidRPr="00CB3FB6">
        <w:rPr>
          <w:rFonts w:ascii="Times New Roman" w:hAnsi="Times New Roman"/>
          <w:sz w:val="28"/>
          <w:szCs w:val="28"/>
        </w:rPr>
        <w:sym w:font="Symbol" w:char="F0B1"/>
      </w:r>
      <w:r w:rsidRPr="00CB3FB6">
        <w:rPr>
          <w:rFonts w:ascii="Times New Roman" w:hAnsi="Times New Roman"/>
          <w:sz w:val="28"/>
          <w:szCs w:val="28"/>
        </w:rPr>
        <w:t xml:space="preserve">0,54 см у найбільшому розмірі і коливався від </w:t>
      </w:r>
      <w:r w:rsidRPr="00A6051E">
        <w:rPr>
          <w:rFonts w:ascii="Times New Roman" w:hAnsi="Times New Roman"/>
          <w:sz w:val="28"/>
          <w:szCs w:val="28"/>
        </w:rPr>
        <w:t>1,55 до 3,99 см.</w:t>
      </w:r>
      <w:r w:rsidRPr="00CB3FB6">
        <w:rPr>
          <w:rFonts w:ascii="Times New Roman" w:hAnsi="Times New Roman"/>
          <w:sz w:val="28"/>
          <w:szCs w:val="28"/>
        </w:rPr>
        <w:t xml:space="preserve"> </w:t>
      </w:r>
    </w:p>
    <w:p w:rsidR="005948C0"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отримання референтних значень при пошуку променевих біомаркерів на основі КТ та МРТ було створено відповідно дві окремі контрольні групи. </w:t>
      </w:r>
      <w:r>
        <w:rPr>
          <w:rFonts w:ascii="Times New Roman" w:hAnsi="Times New Roman"/>
          <w:sz w:val="28"/>
          <w:szCs w:val="28"/>
        </w:rPr>
        <w:t>К</w:t>
      </w:r>
      <w:r w:rsidRPr="008A4C45">
        <w:rPr>
          <w:rFonts w:ascii="Times New Roman" w:hAnsi="Times New Roman"/>
          <w:sz w:val="28"/>
          <w:szCs w:val="28"/>
        </w:rPr>
        <w:t>онтрольна група</w:t>
      </w:r>
      <w:r>
        <w:rPr>
          <w:rFonts w:ascii="Times New Roman" w:hAnsi="Times New Roman"/>
          <w:sz w:val="28"/>
          <w:szCs w:val="28"/>
        </w:rPr>
        <w:t xml:space="preserve"> для вивчення променевих біомаркерів КТ, </w:t>
      </w:r>
      <w:r w:rsidRPr="008A4C45">
        <w:rPr>
          <w:rFonts w:ascii="Times New Roman" w:hAnsi="Times New Roman"/>
          <w:sz w:val="28"/>
          <w:szCs w:val="28"/>
        </w:rPr>
        <w:t xml:space="preserve">була </w:t>
      </w:r>
      <w:r>
        <w:rPr>
          <w:rFonts w:ascii="Times New Roman" w:hAnsi="Times New Roman"/>
          <w:sz w:val="28"/>
          <w:szCs w:val="28"/>
        </w:rPr>
        <w:t xml:space="preserve">створена </w:t>
      </w:r>
      <w:r w:rsidRPr="008A4C45">
        <w:rPr>
          <w:rFonts w:ascii="Times New Roman" w:hAnsi="Times New Roman"/>
          <w:sz w:val="28"/>
          <w:szCs w:val="28"/>
        </w:rPr>
        <w:t>на основі даних мультифазної КТ хворих</w:t>
      </w:r>
      <w:r>
        <w:rPr>
          <w:rFonts w:ascii="Times New Roman" w:hAnsi="Times New Roman"/>
          <w:sz w:val="28"/>
          <w:szCs w:val="28"/>
        </w:rPr>
        <w:t xml:space="preserve"> </w:t>
      </w:r>
      <w:r w:rsidRPr="008A4C45">
        <w:rPr>
          <w:rFonts w:ascii="Times New Roman" w:hAnsi="Times New Roman"/>
          <w:sz w:val="28"/>
          <w:szCs w:val="28"/>
        </w:rPr>
        <w:t>(n=30), які обстеж</w:t>
      </w:r>
      <w:r>
        <w:rPr>
          <w:rFonts w:ascii="Times New Roman" w:hAnsi="Times New Roman"/>
          <w:sz w:val="28"/>
          <w:szCs w:val="28"/>
        </w:rPr>
        <w:t>увались із приводу підозри на поза</w:t>
      </w:r>
      <w:r w:rsidRPr="008A4C45">
        <w:rPr>
          <w:rFonts w:ascii="Times New Roman" w:hAnsi="Times New Roman"/>
          <w:sz w:val="28"/>
          <w:szCs w:val="28"/>
        </w:rPr>
        <w:t>ниркову патологію черевної порожнини, та у яких вона не була радіологічно підтверджена (</w:t>
      </w:r>
      <w:r>
        <w:rPr>
          <w:rFonts w:ascii="Times New Roman" w:hAnsi="Times New Roman"/>
          <w:sz w:val="28"/>
          <w:szCs w:val="28"/>
        </w:rPr>
        <w:t xml:space="preserve">підозра на хворобу Крона, </w:t>
      </w:r>
      <w:r>
        <w:rPr>
          <w:rFonts w:ascii="Times New Roman" w:hAnsi="Times New Roman"/>
          <w:sz w:val="28"/>
          <w:szCs w:val="28"/>
          <w:lang w:val="en-US"/>
        </w:rPr>
        <w:t>n</w:t>
      </w:r>
      <w:r w:rsidRPr="00C63B66">
        <w:rPr>
          <w:rFonts w:ascii="Times New Roman" w:hAnsi="Times New Roman"/>
          <w:sz w:val="28"/>
          <w:szCs w:val="28"/>
        </w:rPr>
        <w:t>=15</w:t>
      </w:r>
      <w:r>
        <w:rPr>
          <w:rFonts w:ascii="Times New Roman" w:hAnsi="Times New Roman"/>
          <w:sz w:val="28"/>
          <w:szCs w:val="28"/>
        </w:rPr>
        <w:t>;</w:t>
      </w:r>
      <w:r w:rsidRPr="00C63B66">
        <w:rPr>
          <w:rFonts w:ascii="Times New Roman" w:hAnsi="Times New Roman"/>
          <w:sz w:val="28"/>
          <w:szCs w:val="28"/>
        </w:rPr>
        <w:t xml:space="preserve"> </w:t>
      </w:r>
      <w:r>
        <w:rPr>
          <w:rFonts w:ascii="Times New Roman" w:hAnsi="Times New Roman"/>
          <w:sz w:val="28"/>
          <w:szCs w:val="28"/>
        </w:rPr>
        <w:t xml:space="preserve">при підозрі на хронічний панкреатит, </w:t>
      </w:r>
      <w:r>
        <w:rPr>
          <w:rFonts w:ascii="Times New Roman" w:hAnsi="Times New Roman"/>
          <w:sz w:val="28"/>
          <w:szCs w:val="28"/>
          <w:lang w:val="en-US"/>
        </w:rPr>
        <w:t>n</w:t>
      </w:r>
      <w:r w:rsidRPr="00C63B66">
        <w:rPr>
          <w:rFonts w:ascii="Times New Roman" w:hAnsi="Times New Roman"/>
          <w:sz w:val="28"/>
          <w:szCs w:val="28"/>
        </w:rPr>
        <w:t>=</w:t>
      </w:r>
      <w:r>
        <w:rPr>
          <w:rFonts w:ascii="Times New Roman" w:hAnsi="Times New Roman"/>
          <w:sz w:val="28"/>
          <w:szCs w:val="28"/>
        </w:rPr>
        <w:t xml:space="preserve">13; при підозрі на гемангіому печінки, </w:t>
      </w:r>
      <w:r>
        <w:rPr>
          <w:rFonts w:ascii="Times New Roman" w:hAnsi="Times New Roman"/>
          <w:sz w:val="28"/>
          <w:szCs w:val="28"/>
          <w:lang w:val="en-US"/>
        </w:rPr>
        <w:t>n</w:t>
      </w:r>
      <w:r w:rsidRPr="00C63B66">
        <w:rPr>
          <w:rFonts w:ascii="Times New Roman" w:hAnsi="Times New Roman"/>
          <w:sz w:val="28"/>
          <w:szCs w:val="28"/>
        </w:rPr>
        <w:t>=</w:t>
      </w:r>
      <w:r>
        <w:rPr>
          <w:rFonts w:ascii="Times New Roman" w:hAnsi="Times New Roman"/>
          <w:sz w:val="28"/>
          <w:szCs w:val="28"/>
        </w:rPr>
        <w:t>2</w:t>
      </w:r>
      <w:r w:rsidRPr="008A4C45">
        <w:rPr>
          <w:rFonts w:ascii="Times New Roman" w:hAnsi="Times New Roman"/>
          <w:sz w:val="28"/>
          <w:szCs w:val="28"/>
        </w:rPr>
        <w:t>), та за умови відсутності патології нирок за даними клінічних і променевих обстежень</w:t>
      </w:r>
      <w:r>
        <w:rPr>
          <w:rFonts w:ascii="Times New Roman" w:hAnsi="Times New Roman"/>
          <w:sz w:val="28"/>
          <w:szCs w:val="28"/>
        </w:rPr>
        <w:t xml:space="preserve"> (загальний аналіз крові та сечі, визначення сечовини та креатиніну за допомогою біохімічного аналізу крові, УЗД нирок)</w:t>
      </w:r>
      <w:r w:rsidRPr="008A4C45">
        <w:rPr>
          <w:rFonts w:ascii="Times New Roman" w:hAnsi="Times New Roman"/>
          <w:sz w:val="28"/>
          <w:szCs w:val="28"/>
        </w:rPr>
        <w:t xml:space="preserve">. </w:t>
      </w:r>
      <w:r>
        <w:rPr>
          <w:rFonts w:ascii="Times New Roman" w:hAnsi="Times New Roman"/>
          <w:sz w:val="28"/>
          <w:szCs w:val="28"/>
        </w:rPr>
        <w:t>При цьому протокол сканування черевної порожнини, препарат для внутрішньовенного контрастування і його дозування та часові параметри фаз сканування були такими самими, як при КТ-діагностиці пухлин нирки</w:t>
      </w:r>
      <w:r w:rsidRPr="00C63B66">
        <w:rPr>
          <w:rFonts w:ascii="Times New Roman" w:hAnsi="Times New Roman"/>
          <w:sz w:val="28"/>
          <w:szCs w:val="28"/>
          <w:lang w:val="ru-RU"/>
        </w:rPr>
        <w:t>.</w:t>
      </w:r>
      <w:r>
        <w:rPr>
          <w:rFonts w:ascii="Times New Roman" w:hAnsi="Times New Roman"/>
          <w:sz w:val="28"/>
          <w:szCs w:val="28"/>
          <w:lang w:val="ru-RU"/>
        </w:rPr>
        <w:t xml:space="preserve"> </w:t>
      </w:r>
      <w:r w:rsidRPr="008A4C45">
        <w:rPr>
          <w:rFonts w:ascii="Times New Roman" w:hAnsi="Times New Roman"/>
          <w:sz w:val="28"/>
          <w:szCs w:val="28"/>
        </w:rPr>
        <w:t xml:space="preserve">Середній вік осіб </w:t>
      </w:r>
      <w:r>
        <w:rPr>
          <w:rFonts w:ascii="Times New Roman" w:hAnsi="Times New Roman"/>
          <w:sz w:val="28"/>
          <w:szCs w:val="28"/>
        </w:rPr>
        <w:t>даної</w:t>
      </w:r>
      <w:r w:rsidRPr="00803824">
        <w:rPr>
          <w:rFonts w:ascii="Times New Roman" w:hAnsi="Times New Roman"/>
          <w:sz w:val="28"/>
          <w:szCs w:val="28"/>
          <w:lang w:val="ru-RU"/>
        </w:rPr>
        <w:t xml:space="preserve"> </w:t>
      </w:r>
      <w:r w:rsidRPr="008A4C45">
        <w:rPr>
          <w:rFonts w:ascii="Times New Roman" w:hAnsi="Times New Roman"/>
          <w:sz w:val="28"/>
          <w:szCs w:val="28"/>
        </w:rPr>
        <w:t>контрольної групи складав 53,67</w:t>
      </w:r>
      <w:r w:rsidRPr="008A4C45">
        <w:rPr>
          <w:rFonts w:ascii="Times New Roman" w:hAnsi="Times New Roman" w:cs="Times New Roman"/>
          <w:sz w:val="28"/>
          <w:szCs w:val="28"/>
        </w:rPr>
        <w:t>±8,64 р. (від 37 до 69 р.).</w:t>
      </w:r>
      <w:r>
        <w:rPr>
          <w:rFonts w:ascii="Times New Roman" w:hAnsi="Times New Roman" w:cs="Times New Roman"/>
          <w:sz w:val="28"/>
          <w:szCs w:val="28"/>
        </w:rPr>
        <w:t xml:space="preserve"> </w:t>
      </w:r>
    </w:p>
    <w:p w:rsidR="00FA5DA4" w:rsidRPr="003D169B" w:rsidRDefault="00FA5DA4" w:rsidP="00FA5DA4">
      <w:pPr>
        <w:spacing w:line="360" w:lineRule="auto"/>
        <w:ind w:firstLine="708"/>
        <w:jc w:val="both"/>
        <w:rPr>
          <w:rFonts w:ascii="Times New Roman" w:hAnsi="Times New Roman"/>
          <w:sz w:val="28"/>
          <w:szCs w:val="28"/>
        </w:rPr>
      </w:pPr>
      <w:r w:rsidRPr="008A4C45">
        <w:rPr>
          <w:rFonts w:ascii="Times New Roman" w:hAnsi="Times New Roman"/>
          <w:sz w:val="28"/>
          <w:szCs w:val="28"/>
        </w:rPr>
        <w:t xml:space="preserve">Для створення контрольної групи при вивченні біомаркерів на основі МРТ було використано дані </w:t>
      </w:r>
      <w:r>
        <w:rPr>
          <w:rFonts w:ascii="Times New Roman" w:hAnsi="Times New Roman"/>
          <w:sz w:val="28"/>
          <w:szCs w:val="28"/>
        </w:rPr>
        <w:t xml:space="preserve">МРТ </w:t>
      </w:r>
      <w:r w:rsidRPr="008A4C45">
        <w:rPr>
          <w:rFonts w:ascii="Times New Roman" w:hAnsi="Times New Roman"/>
          <w:sz w:val="28"/>
          <w:szCs w:val="28"/>
        </w:rPr>
        <w:t xml:space="preserve">здорових волонтерів без клінічних та променевих ознак ураження нирок (n=30), для чого їм попередньо було проведено наступні обстеження: загальний аналіз крові та сечі, біохімічне дослідження крові із визначенням креатиніну та сечовини) та УЗД нирок. </w:t>
      </w:r>
      <w:r>
        <w:rPr>
          <w:rFonts w:ascii="Times New Roman" w:hAnsi="Times New Roman"/>
          <w:sz w:val="28"/>
          <w:szCs w:val="28"/>
        </w:rPr>
        <w:t xml:space="preserve">МРТ виконувалась без застосування контрастних речовин, стандартний протокол обстеження черевної порожнини додатково включав ДЗЗ із </w:t>
      </w:r>
      <w:r>
        <w:rPr>
          <w:rFonts w:ascii="Times New Roman" w:hAnsi="Times New Roman"/>
          <w:sz w:val="28"/>
          <w:szCs w:val="28"/>
          <w:lang w:val="en-US"/>
        </w:rPr>
        <w:t>b</w:t>
      </w:r>
      <w:r w:rsidRPr="00C63B66">
        <w:rPr>
          <w:rFonts w:ascii="Times New Roman" w:hAnsi="Times New Roman"/>
          <w:sz w:val="28"/>
          <w:szCs w:val="28"/>
          <w:lang w:val="ru-RU"/>
        </w:rPr>
        <w:t>-</w:t>
      </w:r>
      <w:r>
        <w:rPr>
          <w:rFonts w:ascii="Times New Roman" w:hAnsi="Times New Roman"/>
          <w:sz w:val="28"/>
          <w:szCs w:val="28"/>
          <w:lang w:val="ru-RU"/>
        </w:rPr>
        <w:t>значенням = 0, 800 мм</w:t>
      </w:r>
      <w:r>
        <w:rPr>
          <w:rFonts w:ascii="Times New Roman" w:hAnsi="Times New Roman"/>
          <w:sz w:val="28"/>
          <w:szCs w:val="28"/>
          <w:vertAlign w:val="superscript"/>
          <w:lang w:val="ru-RU"/>
        </w:rPr>
        <w:t>2</w:t>
      </w:r>
      <w:r>
        <w:rPr>
          <w:rFonts w:ascii="Times New Roman" w:hAnsi="Times New Roman"/>
          <w:sz w:val="28"/>
          <w:szCs w:val="28"/>
          <w:lang w:val="ru-RU"/>
        </w:rPr>
        <w:t xml:space="preserve">/сек. </w:t>
      </w:r>
      <w:r w:rsidRPr="008A4C45">
        <w:rPr>
          <w:rFonts w:ascii="Times New Roman" w:hAnsi="Times New Roman"/>
          <w:sz w:val="28"/>
          <w:szCs w:val="28"/>
        </w:rPr>
        <w:t>Середній вік волонтерів складав 54,77</w:t>
      </w:r>
      <w:r w:rsidRPr="008A4C45">
        <w:rPr>
          <w:rFonts w:ascii="Times New Roman" w:hAnsi="Times New Roman" w:cs="Times New Roman"/>
          <w:sz w:val="28"/>
          <w:szCs w:val="28"/>
        </w:rPr>
        <w:t>±</w:t>
      </w:r>
      <w:r w:rsidRPr="008A4C45">
        <w:rPr>
          <w:rFonts w:ascii="Times New Roman" w:hAnsi="Times New Roman"/>
          <w:sz w:val="28"/>
          <w:szCs w:val="28"/>
        </w:rPr>
        <w:t>8,87 р. (від 36 до 67 р.).</w:t>
      </w:r>
      <w:r>
        <w:rPr>
          <w:rFonts w:ascii="Times New Roman" w:hAnsi="Times New Roman"/>
          <w:sz w:val="28"/>
          <w:szCs w:val="28"/>
        </w:rPr>
        <w:t xml:space="preserve"> </w:t>
      </w:r>
      <w:r>
        <w:rPr>
          <w:rFonts w:ascii="Times New Roman" w:hAnsi="Times New Roman"/>
          <w:sz w:val="28"/>
          <w:szCs w:val="28"/>
        </w:rPr>
        <w:lastRenderedPageBreak/>
        <w:t>Крім цього для отримання референтних значень для біомаркерів на основі КТ та МРТ у всіх хворих із пухлинами нирок проводили вимірювання над ділянкою нормальної паренхіми протилежної, неураженої нирки.</w:t>
      </w:r>
    </w:p>
    <w:p w:rsidR="00FA5DA4" w:rsidRPr="00CB3FB6" w:rsidRDefault="00FA5DA4" w:rsidP="00FA5DA4">
      <w:pPr>
        <w:spacing w:line="360" w:lineRule="auto"/>
        <w:jc w:val="both"/>
        <w:rPr>
          <w:rFonts w:ascii="Times New Roman" w:hAnsi="Times New Roman"/>
          <w:sz w:val="28"/>
          <w:szCs w:val="28"/>
        </w:rPr>
      </w:pPr>
    </w:p>
    <w:p w:rsidR="00FA5DA4" w:rsidRPr="00CB3FB6"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3.1</w:t>
      </w:r>
      <w:r w:rsidRPr="00CB3FB6">
        <w:rPr>
          <w:rFonts w:ascii="Times New Roman" w:hAnsi="Times New Roman"/>
          <w:sz w:val="28"/>
          <w:szCs w:val="28"/>
        </w:rPr>
        <w:t xml:space="preserve">.1. </w:t>
      </w:r>
      <w:r>
        <w:rPr>
          <w:rFonts w:ascii="Times New Roman" w:hAnsi="Times New Roman"/>
          <w:sz w:val="28"/>
          <w:szCs w:val="28"/>
        </w:rPr>
        <w:t>Діагностика солідних</w:t>
      </w:r>
      <w:r w:rsidRPr="00CB3FB6">
        <w:rPr>
          <w:rFonts w:ascii="Times New Roman" w:hAnsi="Times New Roman"/>
          <w:sz w:val="28"/>
          <w:szCs w:val="28"/>
        </w:rPr>
        <w:t xml:space="preserve"> SRM</w:t>
      </w:r>
    </w:p>
    <w:p w:rsidR="00FA5DA4" w:rsidRPr="00A6051E" w:rsidRDefault="00FA5DA4" w:rsidP="00FA5DA4">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 xml:space="preserve">Для дослідження діагностичної цінності нових променевих біомаркерів у диференціації НКР при солідних SRM нами було відібрано лише випадки із верифікованими діагнозами за даними післяопераційних патоморфологічних заключень. </w:t>
      </w:r>
      <w:r>
        <w:rPr>
          <w:rFonts w:ascii="Times New Roman" w:hAnsi="Times New Roman" w:cs="Times New Roman"/>
          <w:sz w:val="28"/>
          <w:szCs w:val="28"/>
        </w:rPr>
        <w:t xml:space="preserve">Для цього нами були опрацьовані історії хворіб хворих із </w:t>
      </w:r>
      <w:r>
        <w:rPr>
          <w:rFonts w:ascii="Times New Roman" w:hAnsi="Times New Roman" w:cs="Times New Roman"/>
          <w:sz w:val="28"/>
          <w:szCs w:val="28"/>
          <w:lang w:val="en-US"/>
        </w:rPr>
        <w:t>SRM</w:t>
      </w:r>
      <w:r>
        <w:rPr>
          <w:rFonts w:ascii="Times New Roman" w:hAnsi="Times New Roman" w:cs="Times New Roman"/>
          <w:sz w:val="28"/>
          <w:szCs w:val="28"/>
        </w:rPr>
        <w:t xml:space="preserve"> та електронні бази із результатами КТ та МРТ досліджень. </w:t>
      </w:r>
      <w:r w:rsidRPr="00CB3FB6">
        <w:rPr>
          <w:rFonts w:ascii="Times New Roman" w:hAnsi="Times New Roman" w:cs="Times New Roman"/>
          <w:sz w:val="28"/>
          <w:szCs w:val="28"/>
        </w:rPr>
        <w:t xml:space="preserve">Таким чином, </w:t>
      </w:r>
      <w:r>
        <w:rPr>
          <w:rFonts w:ascii="Times New Roman" w:hAnsi="Times New Roman" w:cs="Times New Roman"/>
          <w:sz w:val="28"/>
          <w:szCs w:val="28"/>
        </w:rPr>
        <w:t xml:space="preserve">після ретельного ретроспективного відбору випадків за даними історій хворіб та проспективного відбору хворих, </w:t>
      </w:r>
      <w:r w:rsidRPr="00CB3FB6">
        <w:rPr>
          <w:rFonts w:ascii="Times New Roman" w:hAnsi="Times New Roman" w:cs="Times New Roman"/>
          <w:sz w:val="28"/>
          <w:szCs w:val="28"/>
        </w:rPr>
        <w:t>у дослідженн</w:t>
      </w:r>
      <w:r>
        <w:rPr>
          <w:rFonts w:ascii="Times New Roman" w:hAnsi="Times New Roman" w:cs="Times New Roman"/>
          <w:sz w:val="28"/>
          <w:szCs w:val="28"/>
        </w:rPr>
        <w:t>я увійшло 232 пацієнтів із солідними SRM: 170 (73,28%) хворих із НКР, 19 (8,19</w:t>
      </w:r>
      <w:r w:rsidRPr="00CB3FB6">
        <w:rPr>
          <w:rFonts w:ascii="Times New Roman" w:hAnsi="Times New Roman" w:cs="Times New Roman"/>
          <w:sz w:val="28"/>
          <w:szCs w:val="28"/>
        </w:rPr>
        <w:t xml:space="preserve">%) з </w:t>
      </w:r>
      <w:r>
        <w:rPr>
          <w:rFonts w:ascii="Times New Roman" w:hAnsi="Times New Roman" w:cs="Times New Roman"/>
          <w:sz w:val="28"/>
          <w:szCs w:val="28"/>
        </w:rPr>
        <w:t>ПКК ниркової миски, 43 (18,5</w:t>
      </w:r>
      <w:r w:rsidRPr="00CB3FB6">
        <w:rPr>
          <w:rFonts w:ascii="Times New Roman" w:hAnsi="Times New Roman" w:cs="Times New Roman"/>
          <w:sz w:val="28"/>
          <w:szCs w:val="28"/>
        </w:rPr>
        <w:t>3%) і</w:t>
      </w:r>
      <w:r>
        <w:rPr>
          <w:rFonts w:ascii="Times New Roman" w:hAnsi="Times New Roman" w:cs="Times New Roman"/>
          <w:sz w:val="28"/>
          <w:szCs w:val="28"/>
        </w:rPr>
        <w:t>з доброякісними пухлинами нирок</w:t>
      </w:r>
      <w:r w:rsidRPr="00CB3FB6">
        <w:rPr>
          <w:rFonts w:ascii="Times New Roman" w:hAnsi="Times New Roman" w:cs="Times New Roman"/>
          <w:sz w:val="28"/>
          <w:szCs w:val="28"/>
        </w:rPr>
        <w:t xml:space="preserve">. </w:t>
      </w:r>
      <w:r>
        <w:rPr>
          <w:rFonts w:ascii="Times New Roman" w:hAnsi="Times New Roman" w:cs="Times New Roman"/>
          <w:sz w:val="28"/>
          <w:szCs w:val="28"/>
        </w:rPr>
        <w:t xml:space="preserve">Середній вік хворих складав </w:t>
      </w:r>
      <w:r w:rsidRPr="00CB3FB6">
        <w:rPr>
          <w:rFonts w:ascii="Times New Roman" w:hAnsi="Times New Roman" w:cs="Times New Roman"/>
          <w:sz w:val="28"/>
          <w:szCs w:val="28"/>
        </w:rPr>
        <w:t>59,22±7,09</w:t>
      </w:r>
      <w:r>
        <w:rPr>
          <w:rFonts w:ascii="Times New Roman" w:hAnsi="Times New Roman" w:cs="Times New Roman"/>
          <w:sz w:val="28"/>
          <w:szCs w:val="28"/>
        </w:rPr>
        <w:t xml:space="preserve"> років (від 40 до 74 р.). Гендерний розподіл пацієнтів із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був наступний: 155 (66,81%) чоловіків та 77 (33,19%) жінок.</w:t>
      </w:r>
      <w:r w:rsidRPr="00A94B33">
        <w:rPr>
          <w:rFonts w:ascii="Times New Roman" w:hAnsi="Times New Roman" w:cs="Times New Roman"/>
          <w:sz w:val="28"/>
          <w:szCs w:val="28"/>
        </w:rPr>
        <w:t xml:space="preserve"> </w:t>
      </w:r>
      <w:r>
        <w:rPr>
          <w:rFonts w:ascii="Times New Roman" w:hAnsi="Times New Roman" w:cs="Times New Roman"/>
          <w:sz w:val="28"/>
          <w:szCs w:val="28"/>
        </w:rPr>
        <w:t>С</w:t>
      </w:r>
      <w:r w:rsidRPr="00CB3FB6">
        <w:rPr>
          <w:rFonts w:ascii="Times New Roman" w:hAnsi="Times New Roman" w:cs="Times New Roman"/>
          <w:sz w:val="28"/>
          <w:szCs w:val="28"/>
        </w:rPr>
        <w:t xml:space="preserve">ередній розмір новоутворення у хворих із НКР складав 3,17±0,54 см </w:t>
      </w:r>
      <w:r>
        <w:rPr>
          <w:rFonts w:ascii="Times New Roman" w:hAnsi="Times New Roman" w:cs="Times New Roman"/>
          <w:sz w:val="28"/>
          <w:szCs w:val="28"/>
        </w:rPr>
        <w:t>і був в межах від 2,0 см до 3,99</w:t>
      </w:r>
      <w:r w:rsidRPr="00CB3FB6">
        <w:rPr>
          <w:rFonts w:ascii="Times New Roman" w:hAnsi="Times New Roman" w:cs="Times New Roman"/>
          <w:sz w:val="28"/>
          <w:szCs w:val="28"/>
        </w:rPr>
        <w:t xml:space="preserve"> см; при </w:t>
      </w:r>
      <w:r>
        <w:rPr>
          <w:rFonts w:ascii="Times New Roman" w:hAnsi="Times New Roman" w:cs="Times New Roman"/>
          <w:sz w:val="28"/>
          <w:szCs w:val="28"/>
        </w:rPr>
        <w:t>ПКК ниркової миски</w:t>
      </w:r>
      <w:r w:rsidRPr="00CB3FB6">
        <w:rPr>
          <w:rFonts w:ascii="Times New Roman" w:hAnsi="Times New Roman" w:cs="Times New Roman"/>
          <w:sz w:val="28"/>
          <w:szCs w:val="28"/>
        </w:rPr>
        <w:t xml:space="preserve"> середній розмір пухлини становив 2,92±0,61 см </w:t>
      </w:r>
      <w:r>
        <w:rPr>
          <w:rFonts w:ascii="Times New Roman" w:hAnsi="Times New Roman" w:cs="Times New Roman"/>
          <w:sz w:val="28"/>
          <w:szCs w:val="28"/>
        </w:rPr>
        <w:t>і коливався від 1,60 до 3,80 см;</w:t>
      </w:r>
      <w:r w:rsidRPr="00CB3FB6">
        <w:rPr>
          <w:rFonts w:ascii="Times New Roman" w:hAnsi="Times New Roman" w:cs="Times New Roman"/>
          <w:sz w:val="28"/>
          <w:szCs w:val="28"/>
        </w:rPr>
        <w:t xml:space="preserve"> середній розмір доброякісних новоутворень нирок був 3,07±0,64 см, при мінімальному та максимальних розмірах відповідно 2,0 та 3,90 см.</w:t>
      </w:r>
    </w:p>
    <w:p w:rsidR="00FA5DA4" w:rsidRPr="009779DE"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класифікацією </w:t>
      </w:r>
      <w:r>
        <w:rPr>
          <w:rFonts w:ascii="Times New Roman" w:hAnsi="Times New Roman" w:cs="Times New Roman"/>
          <w:sz w:val="28"/>
          <w:szCs w:val="28"/>
          <w:lang w:val="en-US"/>
        </w:rPr>
        <w:t>TNM</w:t>
      </w:r>
      <w:r>
        <w:rPr>
          <w:rFonts w:ascii="Times New Roman" w:hAnsi="Times New Roman" w:cs="Times New Roman"/>
          <w:sz w:val="28"/>
          <w:szCs w:val="28"/>
        </w:rPr>
        <w:t xml:space="preserve"> та за даними патоморфологічних заключень усі хворі з НКР були класифіковані, як р</w:t>
      </w:r>
      <w:r>
        <w:rPr>
          <w:rFonts w:ascii="Times New Roman" w:hAnsi="Times New Roman" w:cs="Times New Roman"/>
          <w:sz w:val="28"/>
          <w:szCs w:val="28"/>
          <w:lang w:val="en-US"/>
        </w:rPr>
        <w:t>T</w:t>
      </w:r>
      <w:r w:rsidRPr="009E6C7E">
        <w:rPr>
          <w:rFonts w:ascii="Times New Roman" w:hAnsi="Times New Roman" w:cs="Times New Roman"/>
          <w:sz w:val="28"/>
          <w:szCs w:val="28"/>
        </w:rPr>
        <w:t>1</w:t>
      </w:r>
      <w:r>
        <w:rPr>
          <w:rFonts w:ascii="Times New Roman" w:hAnsi="Times New Roman" w:cs="Times New Roman"/>
          <w:sz w:val="28"/>
          <w:szCs w:val="28"/>
          <w:lang w:val="en-US"/>
        </w:rPr>
        <w:t>aN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(І стадія), та всі хворі із ПКК ниркової миски були класифіковані, як</w:t>
      </w:r>
      <w:r w:rsidRPr="009E6C7E">
        <w:rPr>
          <w:rFonts w:ascii="Times New Roman" w:hAnsi="Times New Roman" w:cs="Times New Roman"/>
          <w:sz w:val="28"/>
          <w:szCs w:val="28"/>
        </w:rPr>
        <w:t xml:space="preserve"> </w:t>
      </w:r>
      <w:r>
        <w:rPr>
          <w:rFonts w:ascii="Times New Roman" w:hAnsi="Times New Roman" w:cs="Times New Roman"/>
          <w:sz w:val="28"/>
          <w:szCs w:val="28"/>
        </w:rPr>
        <w:t>р</w:t>
      </w:r>
      <w:r>
        <w:rPr>
          <w:rFonts w:ascii="Times New Roman" w:hAnsi="Times New Roman" w:cs="Times New Roman"/>
          <w:sz w:val="28"/>
          <w:szCs w:val="28"/>
          <w:lang w:val="en-US"/>
        </w:rPr>
        <w:t>T</w:t>
      </w:r>
      <w:r w:rsidRPr="009E6C7E">
        <w:rPr>
          <w:rFonts w:ascii="Times New Roman" w:hAnsi="Times New Roman" w:cs="Times New Roman"/>
          <w:sz w:val="28"/>
          <w:szCs w:val="28"/>
        </w:rPr>
        <w:t>1</w:t>
      </w:r>
      <w:r>
        <w:rPr>
          <w:rFonts w:ascii="Times New Roman" w:hAnsi="Times New Roman" w:cs="Times New Roman"/>
          <w:sz w:val="28"/>
          <w:szCs w:val="28"/>
          <w:lang w:val="en-US"/>
        </w:rPr>
        <w:t>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(І стадія).</w:t>
      </w:r>
    </w:p>
    <w:p w:rsidR="00FA5DA4" w:rsidRPr="00CB3FB6" w:rsidRDefault="00FA5DA4" w:rsidP="00FA5DA4">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 xml:space="preserve">У всіх 170 хворих із НКР патомофрологічно було встановлено гістологічний підтип НКР на основі класифікації ВООЗ від 2016 р., згідно якої скНКР було виявлено у 109 (64,12%) хворих, пНКР – у 31 </w:t>
      </w:r>
      <w:r>
        <w:rPr>
          <w:rFonts w:ascii="Times New Roman" w:hAnsi="Times New Roman" w:cs="Times New Roman"/>
          <w:sz w:val="28"/>
          <w:szCs w:val="28"/>
        </w:rPr>
        <w:t>(18,24%) та хрНКР у 30 (17,65%)</w:t>
      </w:r>
      <w:r w:rsidRPr="00CB3FB6">
        <w:rPr>
          <w:rFonts w:ascii="Times New Roman" w:hAnsi="Times New Roman" w:cs="Times New Roman"/>
          <w:sz w:val="28"/>
          <w:szCs w:val="28"/>
        </w:rPr>
        <w:t xml:space="preserve">. </w:t>
      </w:r>
      <w:r>
        <w:rPr>
          <w:rFonts w:ascii="Times New Roman" w:hAnsi="Times New Roman" w:cs="Times New Roman"/>
          <w:sz w:val="28"/>
          <w:szCs w:val="28"/>
        </w:rPr>
        <w:t xml:space="preserve">Папілярний НКР у 90,32% випадків був першого типу, а у 9,68% </w:t>
      </w:r>
      <w:r>
        <w:rPr>
          <w:rFonts w:ascii="Times New Roman" w:hAnsi="Times New Roman" w:cs="Times New Roman"/>
          <w:sz w:val="28"/>
          <w:szCs w:val="28"/>
        </w:rPr>
        <w:lastRenderedPageBreak/>
        <w:t xml:space="preserve">другого, тому розподіл для статистичного аналізу між цими типами не проводився. </w:t>
      </w:r>
      <w:r w:rsidRPr="00CB3FB6">
        <w:rPr>
          <w:rFonts w:ascii="Times New Roman" w:hAnsi="Times New Roman" w:cs="Times New Roman"/>
          <w:sz w:val="28"/>
          <w:szCs w:val="28"/>
        </w:rPr>
        <w:t xml:space="preserve">Для класифікації НКР за ступенем ядерної атипії нами було використано двоступеневу систему за Fuhrman, згідно якої І і ІІ ступені групуються у низький ступінь, а ІІІ і ІV ступені – у високий. Так, за даними патоморфологічного аналізу, у хворих із конвенційним підтипом НКР у 57 (52,29%) випадках спостерігався низький ступінь, а у 52 (47,71%) – високий; у хворих із пНКР в 14 (45,16%) випадках було виявлено низький ступінь, та в 17 (54,84%) – високий. Оскільки для хрНКР ступінь диференціації не відіграє ролі у якості незалежного прогностичного фактору, ці дані </w:t>
      </w:r>
      <w:r>
        <w:rPr>
          <w:rFonts w:ascii="Times New Roman" w:hAnsi="Times New Roman" w:cs="Times New Roman"/>
          <w:sz w:val="28"/>
          <w:szCs w:val="28"/>
        </w:rPr>
        <w:t>тут і в подальшому</w:t>
      </w:r>
      <w:r w:rsidRPr="00CB3FB6">
        <w:rPr>
          <w:rFonts w:ascii="Times New Roman" w:hAnsi="Times New Roman" w:cs="Times New Roman"/>
          <w:sz w:val="28"/>
          <w:szCs w:val="28"/>
        </w:rPr>
        <w:t xml:space="preserve"> ми не наводимо. </w:t>
      </w:r>
      <w:r>
        <w:rPr>
          <w:rFonts w:ascii="Times New Roman" w:hAnsi="Times New Roman" w:cs="Times New Roman"/>
          <w:sz w:val="28"/>
          <w:szCs w:val="28"/>
        </w:rPr>
        <w:t>У всіх випадках ПКК ниркової миски спостерігався високий ступінь.</w:t>
      </w:r>
    </w:p>
    <w:p w:rsidR="00FA5DA4" w:rsidRPr="00CB3FB6" w:rsidRDefault="00FA5DA4" w:rsidP="00FA5DA4">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Серед доброякісних пухлин нирок патоморфологічні діагнози були розподілені наступ</w:t>
      </w:r>
      <w:r>
        <w:rPr>
          <w:rFonts w:ascii="Times New Roman" w:hAnsi="Times New Roman" w:cs="Times New Roman"/>
          <w:sz w:val="28"/>
          <w:szCs w:val="28"/>
        </w:rPr>
        <w:t>ним чином: ОЦ – у 18 (41,86%) пацієнтів, АМЛ – у 14 (32,</w:t>
      </w:r>
      <w:r w:rsidRPr="00CB3FB6">
        <w:rPr>
          <w:rFonts w:ascii="Times New Roman" w:hAnsi="Times New Roman" w:cs="Times New Roman"/>
          <w:sz w:val="28"/>
          <w:szCs w:val="28"/>
        </w:rPr>
        <w:t>5</w:t>
      </w:r>
      <w:r>
        <w:rPr>
          <w:rFonts w:ascii="Times New Roman" w:hAnsi="Times New Roman" w:cs="Times New Roman"/>
          <w:sz w:val="28"/>
          <w:szCs w:val="28"/>
        </w:rPr>
        <w:t>6%) та ПА у 11 (25,</w:t>
      </w:r>
      <w:r w:rsidRPr="00CB3FB6">
        <w:rPr>
          <w:rFonts w:ascii="Times New Roman" w:hAnsi="Times New Roman" w:cs="Times New Roman"/>
          <w:sz w:val="28"/>
          <w:szCs w:val="28"/>
        </w:rPr>
        <w:t>5</w:t>
      </w:r>
      <w:r>
        <w:rPr>
          <w:rFonts w:ascii="Times New Roman" w:hAnsi="Times New Roman" w:cs="Times New Roman"/>
          <w:sz w:val="28"/>
          <w:szCs w:val="28"/>
        </w:rPr>
        <w:t>8</w:t>
      </w:r>
      <w:r w:rsidRPr="00CB3FB6">
        <w:rPr>
          <w:rFonts w:ascii="Times New Roman" w:hAnsi="Times New Roman" w:cs="Times New Roman"/>
          <w:sz w:val="28"/>
          <w:szCs w:val="28"/>
        </w:rPr>
        <w:t xml:space="preserve">%) пацієнтів. Важливо підкреслити, що хоча ОЦ нирки є доброякісною пухлиною, проте, згідно рекомендацій EAU від 2017 р., з причини відсутності достовірних методів доопераційної диференціації її із НКР, у випадку наявності променевих ознак даної патології необхідно проводити її хірургічне лікування. Водночас, точна доопераційна диференціація АМЛ із низьким вмістом жиру із НКР у більшості випадків також є неможливою. В нашому дослідженні у 10 з 14 хворих (71,43%) із АМЛ нирки, при патоморфологічному аналізі тканинних зразків було виявлено пухлини із низьким вмістом жиру. </w:t>
      </w:r>
    </w:p>
    <w:p w:rsidR="00FA5DA4" w:rsidRDefault="00FA5DA4" w:rsidP="00FA5DA4">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 xml:space="preserve">Слід зазначити, що наведене співвідношення хворих із різними патоморфологічними діагнозами SRM </w:t>
      </w:r>
      <w:r>
        <w:rPr>
          <w:rFonts w:ascii="Times New Roman" w:hAnsi="Times New Roman" w:cs="Times New Roman"/>
          <w:sz w:val="28"/>
          <w:szCs w:val="28"/>
        </w:rPr>
        <w:t>частково</w:t>
      </w:r>
      <w:r w:rsidRPr="00CB3FB6">
        <w:rPr>
          <w:rFonts w:ascii="Times New Roman" w:hAnsi="Times New Roman" w:cs="Times New Roman"/>
          <w:sz w:val="28"/>
          <w:szCs w:val="28"/>
        </w:rPr>
        <w:t xml:space="preserve"> </w:t>
      </w:r>
      <w:r>
        <w:rPr>
          <w:rFonts w:ascii="Times New Roman" w:hAnsi="Times New Roman" w:cs="Times New Roman"/>
          <w:sz w:val="28"/>
          <w:szCs w:val="28"/>
        </w:rPr>
        <w:t>відображує</w:t>
      </w:r>
      <w:r w:rsidRPr="00CB3FB6">
        <w:rPr>
          <w:rFonts w:ascii="Times New Roman" w:hAnsi="Times New Roman" w:cs="Times New Roman"/>
          <w:sz w:val="28"/>
          <w:szCs w:val="28"/>
        </w:rPr>
        <w:t xml:space="preserve"> </w:t>
      </w:r>
      <w:r>
        <w:rPr>
          <w:rFonts w:ascii="Times New Roman" w:hAnsi="Times New Roman" w:cs="Times New Roman"/>
          <w:sz w:val="28"/>
          <w:szCs w:val="28"/>
        </w:rPr>
        <w:t>актуальну епідеміологічну ситуацію</w:t>
      </w:r>
      <w:r w:rsidRPr="00CB3FB6">
        <w:rPr>
          <w:rFonts w:ascii="Times New Roman" w:hAnsi="Times New Roman" w:cs="Times New Roman"/>
          <w:sz w:val="28"/>
          <w:szCs w:val="28"/>
        </w:rPr>
        <w:t xml:space="preserve"> у зв’язку із ретроспективним типом дослідження</w:t>
      </w:r>
      <w:r>
        <w:rPr>
          <w:rFonts w:ascii="Times New Roman" w:hAnsi="Times New Roman" w:cs="Times New Roman"/>
          <w:sz w:val="28"/>
          <w:szCs w:val="28"/>
        </w:rPr>
        <w:t>.</w:t>
      </w:r>
    </w:p>
    <w:p w:rsidR="00FA5DA4" w:rsidRPr="00CB3FB6" w:rsidRDefault="00FA5DA4" w:rsidP="00FA5DA4">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 xml:space="preserve">Усі хворі із SRM були розподілені на наступні групи: пацієнти з НКР (n=170) – основна група; хворі із </w:t>
      </w:r>
      <w:r>
        <w:rPr>
          <w:rFonts w:ascii="Times New Roman" w:hAnsi="Times New Roman" w:cs="Times New Roman"/>
          <w:sz w:val="28"/>
          <w:szCs w:val="28"/>
        </w:rPr>
        <w:t>ПКК ниркової миски</w:t>
      </w:r>
      <w:r w:rsidRPr="00CB3FB6">
        <w:rPr>
          <w:rFonts w:ascii="Times New Roman" w:hAnsi="Times New Roman" w:cs="Times New Roman"/>
          <w:sz w:val="28"/>
          <w:szCs w:val="28"/>
        </w:rPr>
        <w:t xml:space="preserve"> (n=19) – група порівняння І; пацієнти із доб</w:t>
      </w:r>
      <w:r>
        <w:rPr>
          <w:rFonts w:ascii="Times New Roman" w:hAnsi="Times New Roman" w:cs="Times New Roman"/>
          <w:sz w:val="28"/>
          <w:szCs w:val="28"/>
        </w:rPr>
        <w:t>роякісними пухлинами нирок (n=43</w:t>
      </w:r>
      <w:r w:rsidRPr="00CB3FB6">
        <w:rPr>
          <w:rFonts w:ascii="Times New Roman" w:hAnsi="Times New Roman" w:cs="Times New Roman"/>
          <w:sz w:val="28"/>
          <w:szCs w:val="28"/>
        </w:rPr>
        <w:t xml:space="preserve">) – група порівняння ІІ. У якості контрольної групи були використані референтні </w:t>
      </w:r>
      <w:r w:rsidRPr="00CB3FB6">
        <w:rPr>
          <w:rFonts w:ascii="Times New Roman" w:hAnsi="Times New Roman" w:cs="Times New Roman"/>
          <w:sz w:val="28"/>
          <w:szCs w:val="28"/>
        </w:rPr>
        <w:lastRenderedPageBreak/>
        <w:t>значення променевих біомаркерів</w:t>
      </w:r>
      <w:r>
        <w:rPr>
          <w:rFonts w:ascii="Times New Roman" w:hAnsi="Times New Roman" w:cs="Times New Roman"/>
          <w:sz w:val="28"/>
          <w:szCs w:val="28"/>
        </w:rPr>
        <w:t xml:space="preserve">, отримані при обстеженні осіб без ниркової патології, </w:t>
      </w:r>
      <w:r w:rsidRPr="00CB3FB6">
        <w:rPr>
          <w:rFonts w:ascii="Times New Roman" w:hAnsi="Times New Roman" w:cs="Times New Roman"/>
          <w:sz w:val="28"/>
          <w:szCs w:val="28"/>
        </w:rPr>
        <w:t xml:space="preserve"> в залежності від методу обстеження – КТ (n=30) чи МРТ (n=30). Характеристику контрольних груп було наведено на початку даного розділу.</w:t>
      </w:r>
    </w:p>
    <w:p w:rsidR="00FA5DA4" w:rsidRPr="00D87FF0"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Усім 232</w:t>
      </w:r>
      <w:r w:rsidRPr="00CB3FB6">
        <w:rPr>
          <w:rFonts w:ascii="Times New Roman" w:hAnsi="Times New Roman" w:cs="Times New Roman"/>
          <w:sz w:val="28"/>
          <w:szCs w:val="28"/>
        </w:rPr>
        <w:t xml:space="preserve"> хворим проводилось крос-секційне обстеження черевної порожнини із контрасто</w:t>
      </w:r>
      <w:r>
        <w:rPr>
          <w:rFonts w:ascii="Times New Roman" w:hAnsi="Times New Roman" w:cs="Times New Roman"/>
          <w:sz w:val="28"/>
          <w:szCs w:val="28"/>
        </w:rPr>
        <w:t xml:space="preserve">м. У дослідження було включено </w:t>
      </w:r>
      <w:r w:rsidRPr="00CB3FB6">
        <w:rPr>
          <w:rFonts w:ascii="Times New Roman" w:hAnsi="Times New Roman" w:cs="Times New Roman"/>
          <w:sz w:val="28"/>
          <w:szCs w:val="28"/>
        </w:rPr>
        <w:t>110</w:t>
      </w:r>
      <w:r>
        <w:rPr>
          <w:rFonts w:ascii="Times New Roman" w:hAnsi="Times New Roman" w:cs="Times New Roman"/>
          <w:sz w:val="28"/>
          <w:szCs w:val="28"/>
        </w:rPr>
        <w:t xml:space="preserve"> (47,41</w:t>
      </w:r>
      <w:r w:rsidRPr="00CB3FB6">
        <w:rPr>
          <w:rFonts w:ascii="Times New Roman" w:hAnsi="Times New Roman" w:cs="Times New Roman"/>
          <w:sz w:val="28"/>
          <w:szCs w:val="28"/>
        </w:rPr>
        <w:t>%) випадків із проведеною</w:t>
      </w:r>
      <w:r>
        <w:rPr>
          <w:rFonts w:ascii="Times New Roman" w:hAnsi="Times New Roman" w:cs="Times New Roman"/>
          <w:sz w:val="28"/>
          <w:szCs w:val="28"/>
        </w:rPr>
        <w:t xml:space="preserve"> КТ та 122 (52,59</w:t>
      </w:r>
      <w:r w:rsidRPr="00CB3FB6">
        <w:rPr>
          <w:rFonts w:ascii="Times New Roman" w:hAnsi="Times New Roman" w:cs="Times New Roman"/>
          <w:sz w:val="28"/>
          <w:szCs w:val="28"/>
        </w:rPr>
        <w:t>%) випадків із виконаною МРТ. Детальна характеристика досліджувани</w:t>
      </w:r>
      <w:r>
        <w:rPr>
          <w:rFonts w:ascii="Times New Roman" w:hAnsi="Times New Roman" w:cs="Times New Roman"/>
          <w:sz w:val="28"/>
          <w:szCs w:val="28"/>
        </w:rPr>
        <w:t>х груп хворих наведена у таблицях</w:t>
      </w:r>
      <w:r w:rsidRPr="00CB3FB6">
        <w:rPr>
          <w:rFonts w:ascii="Times New Roman" w:hAnsi="Times New Roman" w:cs="Times New Roman"/>
          <w:sz w:val="28"/>
          <w:szCs w:val="28"/>
        </w:rPr>
        <w:t xml:space="preserve"> 3.</w:t>
      </w:r>
      <w:r>
        <w:rPr>
          <w:rFonts w:ascii="Times New Roman" w:hAnsi="Times New Roman" w:cs="Times New Roman"/>
          <w:sz w:val="28"/>
          <w:szCs w:val="28"/>
        </w:rPr>
        <w:t>1 та 3.2.</w:t>
      </w:r>
    </w:p>
    <w:p w:rsidR="00FA5DA4" w:rsidRDefault="00FA5DA4" w:rsidP="00FA5DA4">
      <w:pPr>
        <w:spacing w:line="360" w:lineRule="auto"/>
        <w:ind w:firstLine="360"/>
        <w:jc w:val="right"/>
        <w:rPr>
          <w:rFonts w:ascii="Times New Roman" w:hAnsi="Times New Roman"/>
          <w:sz w:val="28"/>
          <w:szCs w:val="28"/>
        </w:rPr>
      </w:pPr>
      <w:r w:rsidRPr="00CB3FB6">
        <w:rPr>
          <w:rFonts w:ascii="Times New Roman" w:hAnsi="Times New Roman"/>
          <w:sz w:val="28"/>
          <w:szCs w:val="28"/>
        </w:rPr>
        <w:t>Таблиця 3.</w:t>
      </w:r>
      <w:r>
        <w:rPr>
          <w:rFonts w:ascii="Times New Roman" w:hAnsi="Times New Roman"/>
          <w:sz w:val="28"/>
          <w:szCs w:val="28"/>
        </w:rPr>
        <w:t>1</w:t>
      </w:r>
    </w:p>
    <w:p w:rsidR="00FA5DA4" w:rsidRPr="00CB3FB6" w:rsidRDefault="00FA5DA4" w:rsidP="00FA5DA4">
      <w:pPr>
        <w:spacing w:line="360" w:lineRule="auto"/>
        <w:ind w:firstLine="360"/>
        <w:jc w:val="center"/>
        <w:rPr>
          <w:rFonts w:ascii="Times New Roman" w:hAnsi="Times New Roman" w:cs="Times New Roman"/>
          <w:sz w:val="28"/>
          <w:szCs w:val="28"/>
        </w:rPr>
      </w:pPr>
      <w:r w:rsidRPr="00CB3FB6">
        <w:rPr>
          <w:rFonts w:ascii="Times New Roman" w:hAnsi="Times New Roman" w:cs="Times New Roman"/>
          <w:sz w:val="28"/>
          <w:szCs w:val="28"/>
        </w:rPr>
        <w:t xml:space="preserve">Характеристика досліджуваних хворих із </w:t>
      </w:r>
      <w:r>
        <w:rPr>
          <w:rFonts w:ascii="Times New Roman" w:hAnsi="Times New Roman" w:cs="Times New Roman"/>
          <w:sz w:val="28"/>
          <w:szCs w:val="28"/>
        </w:rPr>
        <w:t xml:space="preserve">солідними </w:t>
      </w:r>
      <w:r w:rsidRPr="00CB3FB6">
        <w:rPr>
          <w:rFonts w:ascii="Times New Roman" w:hAnsi="Times New Roman" w:cs="Times New Roman"/>
          <w:sz w:val="28"/>
          <w:szCs w:val="28"/>
        </w:rPr>
        <w:t>SRM</w:t>
      </w:r>
    </w:p>
    <w:tbl>
      <w:tblPr>
        <w:tblStyle w:val="TableGrid"/>
        <w:tblW w:w="9351" w:type="dxa"/>
        <w:tblLook w:val="04A0" w:firstRow="1" w:lastRow="0" w:firstColumn="1" w:lastColumn="0" w:noHBand="0" w:noVBand="1"/>
      </w:tblPr>
      <w:tblGrid>
        <w:gridCol w:w="2079"/>
        <w:gridCol w:w="1602"/>
        <w:gridCol w:w="2410"/>
        <w:gridCol w:w="3260"/>
      </w:tblGrid>
      <w:tr w:rsidR="00FA5DA4" w:rsidRPr="00CB3FB6" w:rsidTr="001F0C51">
        <w:tc>
          <w:tcPr>
            <w:tcW w:w="2079" w:type="dxa"/>
            <w:vMerge w:val="restart"/>
          </w:tcPr>
          <w:p w:rsidR="00FA5DA4" w:rsidRPr="00CB3FB6" w:rsidRDefault="00FA5DA4" w:rsidP="001F0C51">
            <w:pPr>
              <w:jc w:val="both"/>
              <w:rPr>
                <w:rFonts w:ascii="Times New Roman" w:hAnsi="Times New Roman" w:cs="Times New Roman"/>
                <w:b/>
                <w:sz w:val="28"/>
                <w:szCs w:val="28"/>
              </w:rPr>
            </w:pPr>
            <w:r w:rsidRPr="00CB3FB6">
              <w:rPr>
                <w:rFonts w:ascii="Times New Roman" w:hAnsi="Times New Roman" w:cs="Times New Roman"/>
                <w:b/>
                <w:sz w:val="28"/>
                <w:szCs w:val="28"/>
              </w:rPr>
              <w:t>Діагноз</w:t>
            </w:r>
          </w:p>
        </w:tc>
        <w:tc>
          <w:tcPr>
            <w:tcW w:w="1602" w:type="dxa"/>
            <w:vMerge w:val="restart"/>
          </w:tcPr>
          <w:p w:rsidR="00FA5DA4" w:rsidRPr="00CB3FB6" w:rsidRDefault="00FA5DA4" w:rsidP="001F0C51">
            <w:pPr>
              <w:jc w:val="center"/>
              <w:rPr>
                <w:rFonts w:ascii="Times New Roman" w:hAnsi="Times New Roman" w:cs="Times New Roman"/>
                <w:b/>
                <w:sz w:val="28"/>
                <w:szCs w:val="28"/>
              </w:rPr>
            </w:pPr>
            <w:r w:rsidRPr="00CB3FB6">
              <w:rPr>
                <w:rFonts w:ascii="Times New Roman" w:hAnsi="Times New Roman" w:cs="Times New Roman"/>
                <w:b/>
                <w:sz w:val="28"/>
                <w:szCs w:val="28"/>
              </w:rPr>
              <w:t>N</w:t>
            </w:r>
          </w:p>
        </w:tc>
        <w:tc>
          <w:tcPr>
            <w:tcW w:w="5670" w:type="dxa"/>
            <w:gridSpan w:val="2"/>
          </w:tcPr>
          <w:p w:rsidR="00FA5DA4" w:rsidRPr="00CB3FB6" w:rsidRDefault="00FA5DA4" w:rsidP="001F0C51">
            <w:pPr>
              <w:jc w:val="center"/>
              <w:rPr>
                <w:rFonts w:ascii="Times New Roman" w:hAnsi="Times New Roman" w:cs="Times New Roman"/>
                <w:b/>
                <w:sz w:val="28"/>
                <w:szCs w:val="28"/>
              </w:rPr>
            </w:pPr>
            <w:r w:rsidRPr="00CB3FB6">
              <w:rPr>
                <w:rFonts w:ascii="Times New Roman" w:hAnsi="Times New Roman" w:cs="Times New Roman"/>
                <w:b/>
                <w:sz w:val="28"/>
                <w:szCs w:val="28"/>
              </w:rPr>
              <w:t>Характеристика</w:t>
            </w:r>
          </w:p>
        </w:tc>
      </w:tr>
      <w:tr w:rsidR="00FA5DA4" w:rsidRPr="00CB3FB6" w:rsidTr="001F0C51">
        <w:tc>
          <w:tcPr>
            <w:tcW w:w="2079" w:type="dxa"/>
            <w:vMerge/>
          </w:tcPr>
          <w:p w:rsidR="00FA5DA4" w:rsidRPr="00CB3FB6" w:rsidRDefault="00FA5DA4" w:rsidP="001F0C51">
            <w:pPr>
              <w:jc w:val="both"/>
              <w:rPr>
                <w:rFonts w:ascii="Times New Roman" w:hAnsi="Times New Roman" w:cs="Times New Roman"/>
                <w:b/>
                <w:sz w:val="28"/>
                <w:szCs w:val="28"/>
              </w:rPr>
            </w:pPr>
          </w:p>
        </w:tc>
        <w:tc>
          <w:tcPr>
            <w:tcW w:w="1602" w:type="dxa"/>
            <w:vMerge/>
          </w:tcPr>
          <w:p w:rsidR="00FA5DA4" w:rsidRPr="00CB3FB6" w:rsidRDefault="00FA5DA4" w:rsidP="001F0C51">
            <w:pPr>
              <w:jc w:val="center"/>
              <w:rPr>
                <w:rFonts w:ascii="Times New Roman" w:hAnsi="Times New Roman" w:cs="Times New Roman"/>
                <w:b/>
                <w:sz w:val="28"/>
                <w:szCs w:val="28"/>
              </w:rPr>
            </w:pPr>
          </w:p>
        </w:tc>
        <w:tc>
          <w:tcPr>
            <w:tcW w:w="2410" w:type="dxa"/>
          </w:tcPr>
          <w:p w:rsidR="00FA5DA4" w:rsidRPr="00CB3FB6" w:rsidRDefault="00FA5DA4" w:rsidP="001F0C51">
            <w:pPr>
              <w:jc w:val="center"/>
              <w:rPr>
                <w:rFonts w:ascii="Times New Roman" w:hAnsi="Times New Roman" w:cs="Times New Roman"/>
                <w:b/>
                <w:sz w:val="28"/>
                <w:szCs w:val="28"/>
              </w:rPr>
            </w:pPr>
            <w:r w:rsidRPr="00CB3FB6">
              <w:rPr>
                <w:rFonts w:ascii="Times New Roman" w:hAnsi="Times New Roman" w:cs="Times New Roman"/>
                <w:b/>
                <w:sz w:val="28"/>
                <w:szCs w:val="28"/>
              </w:rPr>
              <w:t>Середній вік, р±СВ</w:t>
            </w:r>
          </w:p>
        </w:tc>
        <w:tc>
          <w:tcPr>
            <w:tcW w:w="3260" w:type="dxa"/>
          </w:tcPr>
          <w:p w:rsidR="00FA5DA4" w:rsidRPr="00CB3FB6" w:rsidRDefault="00FA5DA4" w:rsidP="001F0C51">
            <w:pPr>
              <w:jc w:val="center"/>
              <w:rPr>
                <w:rFonts w:ascii="Times New Roman" w:hAnsi="Times New Roman" w:cs="Times New Roman"/>
                <w:b/>
                <w:sz w:val="28"/>
                <w:szCs w:val="28"/>
              </w:rPr>
            </w:pPr>
            <w:r w:rsidRPr="00CB3FB6">
              <w:rPr>
                <w:rFonts w:ascii="Times New Roman" w:hAnsi="Times New Roman" w:cs="Times New Roman"/>
                <w:b/>
                <w:sz w:val="28"/>
                <w:szCs w:val="28"/>
              </w:rPr>
              <w:t>Середній розмір SRM, см±СВ</w:t>
            </w:r>
          </w:p>
        </w:tc>
      </w:tr>
      <w:tr w:rsidR="00FA5DA4" w:rsidRPr="00CB3FB6" w:rsidTr="001F0C51">
        <w:tc>
          <w:tcPr>
            <w:tcW w:w="2079" w:type="dxa"/>
          </w:tcPr>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НКР</w:t>
            </w:r>
          </w:p>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скНКР</w:t>
            </w:r>
          </w:p>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скНКР</w:t>
            </w:r>
            <w:r>
              <w:rPr>
                <w:rFonts w:ascii="Times New Roman" w:hAnsi="Times New Roman" w:cs="Times New Roman"/>
                <w:sz w:val="28"/>
                <w:szCs w:val="28"/>
              </w:rPr>
              <w:t>,</w:t>
            </w:r>
            <w:r w:rsidRPr="00CB3FB6">
              <w:rPr>
                <w:rFonts w:ascii="Times New Roman" w:hAnsi="Times New Roman" w:cs="Times New Roman"/>
                <w:sz w:val="28"/>
                <w:szCs w:val="28"/>
              </w:rPr>
              <w:t xml:space="preserve"> НС</w:t>
            </w:r>
          </w:p>
          <w:p w:rsidR="00FA5DA4" w:rsidRPr="00CB3FB6" w:rsidRDefault="00FA5DA4" w:rsidP="001F0C51">
            <w:pPr>
              <w:jc w:val="both"/>
              <w:rPr>
                <w:rFonts w:ascii="Times New Roman" w:hAnsi="Times New Roman" w:cs="Times New Roman"/>
                <w:sz w:val="28"/>
                <w:szCs w:val="28"/>
              </w:rPr>
            </w:pPr>
            <w:r>
              <w:rPr>
                <w:rFonts w:ascii="Times New Roman" w:hAnsi="Times New Roman" w:cs="Times New Roman"/>
                <w:sz w:val="28"/>
                <w:szCs w:val="28"/>
              </w:rPr>
              <w:t>скНКР, В</w:t>
            </w:r>
            <w:r w:rsidRPr="00CB3FB6">
              <w:rPr>
                <w:rFonts w:ascii="Times New Roman" w:hAnsi="Times New Roman" w:cs="Times New Roman"/>
                <w:sz w:val="28"/>
                <w:szCs w:val="28"/>
              </w:rPr>
              <w:t>С</w:t>
            </w:r>
          </w:p>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пНКР</w:t>
            </w:r>
          </w:p>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пНКР</w:t>
            </w:r>
            <w:r>
              <w:rPr>
                <w:rFonts w:ascii="Times New Roman" w:hAnsi="Times New Roman" w:cs="Times New Roman"/>
                <w:sz w:val="28"/>
                <w:szCs w:val="28"/>
              </w:rPr>
              <w:t>,</w:t>
            </w:r>
            <w:r w:rsidRPr="00CB3FB6">
              <w:rPr>
                <w:rFonts w:ascii="Times New Roman" w:hAnsi="Times New Roman" w:cs="Times New Roman"/>
                <w:sz w:val="28"/>
                <w:szCs w:val="28"/>
              </w:rPr>
              <w:t xml:space="preserve"> НС</w:t>
            </w:r>
          </w:p>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пНКР</w:t>
            </w:r>
            <w:r>
              <w:rPr>
                <w:rFonts w:ascii="Times New Roman" w:hAnsi="Times New Roman" w:cs="Times New Roman"/>
                <w:sz w:val="28"/>
                <w:szCs w:val="28"/>
              </w:rPr>
              <w:t>,</w:t>
            </w:r>
            <w:r w:rsidRPr="00CB3FB6">
              <w:rPr>
                <w:rFonts w:ascii="Times New Roman" w:hAnsi="Times New Roman" w:cs="Times New Roman"/>
                <w:sz w:val="28"/>
                <w:szCs w:val="28"/>
              </w:rPr>
              <w:t xml:space="preserve"> ВС</w:t>
            </w:r>
          </w:p>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хрНКР</w:t>
            </w:r>
          </w:p>
        </w:tc>
        <w:tc>
          <w:tcPr>
            <w:tcW w:w="1602"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170</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109</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57</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52</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31</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14</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17</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30</w:t>
            </w:r>
          </w:p>
        </w:tc>
        <w:tc>
          <w:tcPr>
            <w:tcW w:w="2410"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60,01±6,35</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59,85±6,33</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61,35±5,59</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58,21±6,72</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61,29±6,68</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61,50±7,18</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61,12±6,46</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59,70±6,14</w:t>
            </w:r>
          </w:p>
        </w:tc>
        <w:tc>
          <w:tcPr>
            <w:tcW w:w="3260"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3,17±0,55</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3,17±0,54</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3,12±0,52</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3,23±0,56</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3,20±0,53</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3,21±0,58</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3,18±0,50</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3,13±0,55</w:t>
            </w:r>
          </w:p>
        </w:tc>
      </w:tr>
      <w:tr w:rsidR="00FA5DA4" w:rsidRPr="00CB3FB6" w:rsidTr="001F0C51">
        <w:tc>
          <w:tcPr>
            <w:tcW w:w="2079" w:type="dxa"/>
          </w:tcPr>
          <w:p w:rsidR="00FA5DA4" w:rsidRPr="00CB3FB6" w:rsidRDefault="00FA5DA4" w:rsidP="001F0C51">
            <w:pPr>
              <w:jc w:val="both"/>
              <w:rPr>
                <w:rFonts w:ascii="Times New Roman" w:hAnsi="Times New Roman" w:cs="Times New Roman"/>
                <w:sz w:val="28"/>
                <w:szCs w:val="28"/>
              </w:rPr>
            </w:pPr>
            <w:r>
              <w:rPr>
                <w:rFonts w:ascii="Times New Roman" w:hAnsi="Times New Roman" w:cs="Times New Roman"/>
                <w:sz w:val="28"/>
                <w:szCs w:val="28"/>
              </w:rPr>
              <w:t>ПКК</w:t>
            </w:r>
          </w:p>
        </w:tc>
        <w:tc>
          <w:tcPr>
            <w:tcW w:w="1602"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19</w:t>
            </w:r>
          </w:p>
        </w:tc>
        <w:tc>
          <w:tcPr>
            <w:tcW w:w="2410"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53,74±9,39</w:t>
            </w:r>
          </w:p>
        </w:tc>
        <w:tc>
          <w:tcPr>
            <w:tcW w:w="3260"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2,92±0,61</w:t>
            </w:r>
          </w:p>
        </w:tc>
      </w:tr>
      <w:tr w:rsidR="00FA5DA4" w:rsidRPr="00CB3FB6" w:rsidTr="001F0C51">
        <w:tc>
          <w:tcPr>
            <w:tcW w:w="2079" w:type="dxa"/>
          </w:tcPr>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ДП</w:t>
            </w:r>
          </w:p>
          <w:p w:rsidR="00FA5DA4" w:rsidRPr="00CB3FB6" w:rsidRDefault="00FA5DA4" w:rsidP="001F0C51">
            <w:pPr>
              <w:rPr>
                <w:rFonts w:ascii="Times New Roman" w:hAnsi="Times New Roman" w:cs="Times New Roman"/>
                <w:sz w:val="28"/>
                <w:szCs w:val="28"/>
              </w:rPr>
            </w:pPr>
            <w:r w:rsidRPr="00CB3FB6">
              <w:rPr>
                <w:rFonts w:ascii="Times New Roman" w:hAnsi="Times New Roman" w:cs="Times New Roman"/>
                <w:sz w:val="28"/>
                <w:szCs w:val="28"/>
              </w:rPr>
              <w:t>ОЦ</w:t>
            </w:r>
          </w:p>
          <w:p w:rsidR="00FA5DA4" w:rsidRPr="00CB3FB6" w:rsidRDefault="00FA5DA4" w:rsidP="001F0C51">
            <w:pPr>
              <w:rPr>
                <w:rFonts w:ascii="Times New Roman" w:hAnsi="Times New Roman" w:cs="Times New Roman"/>
                <w:sz w:val="28"/>
                <w:szCs w:val="28"/>
              </w:rPr>
            </w:pPr>
            <w:r w:rsidRPr="00CB3FB6">
              <w:rPr>
                <w:rFonts w:ascii="Times New Roman" w:hAnsi="Times New Roman" w:cs="Times New Roman"/>
                <w:sz w:val="28"/>
                <w:szCs w:val="28"/>
              </w:rPr>
              <w:t>АМЛ</w:t>
            </w:r>
          </w:p>
          <w:p w:rsidR="00FA5DA4" w:rsidRPr="00CB3FB6" w:rsidRDefault="00FA5DA4" w:rsidP="001F0C51">
            <w:pPr>
              <w:rPr>
                <w:rFonts w:ascii="Times New Roman" w:hAnsi="Times New Roman" w:cs="Times New Roman"/>
                <w:sz w:val="28"/>
                <w:szCs w:val="28"/>
              </w:rPr>
            </w:pPr>
            <w:r w:rsidRPr="00CB3FB6">
              <w:rPr>
                <w:rFonts w:ascii="Times New Roman" w:hAnsi="Times New Roman" w:cs="Times New Roman"/>
                <w:sz w:val="28"/>
                <w:szCs w:val="28"/>
              </w:rPr>
              <w:t>ПА</w:t>
            </w:r>
          </w:p>
        </w:tc>
        <w:tc>
          <w:tcPr>
            <w:tcW w:w="1602" w:type="dxa"/>
          </w:tcPr>
          <w:p w:rsidR="00FA5DA4" w:rsidRPr="00CB3FB6" w:rsidRDefault="00FA5DA4" w:rsidP="001F0C51">
            <w:pPr>
              <w:jc w:val="center"/>
              <w:rPr>
                <w:rFonts w:ascii="Times New Roman" w:hAnsi="Times New Roman" w:cs="Times New Roman"/>
                <w:sz w:val="28"/>
                <w:szCs w:val="28"/>
              </w:rPr>
            </w:pPr>
            <w:r>
              <w:rPr>
                <w:rFonts w:ascii="Times New Roman" w:hAnsi="Times New Roman" w:cs="Times New Roman"/>
                <w:sz w:val="28"/>
                <w:szCs w:val="28"/>
              </w:rPr>
              <w:t>43</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18</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14</w:t>
            </w:r>
          </w:p>
          <w:p w:rsidR="00FA5DA4" w:rsidRPr="00CB3FB6" w:rsidRDefault="00FA5DA4" w:rsidP="001F0C51">
            <w:pPr>
              <w:jc w:val="center"/>
              <w:rPr>
                <w:rFonts w:ascii="Times New Roman" w:hAnsi="Times New Roman" w:cs="Times New Roman"/>
                <w:sz w:val="28"/>
                <w:szCs w:val="28"/>
              </w:rPr>
            </w:pPr>
            <w:r>
              <w:rPr>
                <w:rFonts w:ascii="Times New Roman" w:hAnsi="Times New Roman" w:cs="Times New Roman"/>
                <w:sz w:val="28"/>
                <w:szCs w:val="28"/>
              </w:rPr>
              <w:t>11</w:t>
            </w:r>
          </w:p>
        </w:tc>
        <w:tc>
          <w:tcPr>
            <w:tcW w:w="2410"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58,17±7,71</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61,11±7,62</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55,01±6,09</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57,22±8,67</w:t>
            </w:r>
          </w:p>
        </w:tc>
        <w:tc>
          <w:tcPr>
            <w:tcW w:w="3260"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3,07±0,64</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3,23±0,50</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3,34±0,60</w:t>
            </w:r>
          </w:p>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2,30±0,26</w:t>
            </w:r>
          </w:p>
        </w:tc>
      </w:tr>
      <w:tr w:rsidR="00FA5DA4" w:rsidRPr="00CB3FB6" w:rsidTr="001F0C51">
        <w:tc>
          <w:tcPr>
            <w:tcW w:w="2079" w:type="dxa"/>
          </w:tcPr>
          <w:p w:rsidR="00FA5DA4" w:rsidRPr="00CB3FB6" w:rsidRDefault="00FA5DA4" w:rsidP="001F0C51">
            <w:pPr>
              <w:jc w:val="both"/>
              <w:rPr>
                <w:rFonts w:ascii="Times New Roman" w:hAnsi="Times New Roman" w:cs="Times New Roman"/>
                <w:sz w:val="28"/>
                <w:szCs w:val="28"/>
              </w:rPr>
            </w:pPr>
            <w:r w:rsidRPr="00CB3FB6">
              <w:rPr>
                <w:rFonts w:ascii="Times New Roman" w:hAnsi="Times New Roman" w:cs="Times New Roman"/>
                <w:sz w:val="28"/>
                <w:szCs w:val="28"/>
              </w:rPr>
              <w:t>Всього</w:t>
            </w:r>
          </w:p>
        </w:tc>
        <w:tc>
          <w:tcPr>
            <w:tcW w:w="1602" w:type="dxa"/>
          </w:tcPr>
          <w:p w:rsidR="00FA5DA4" w:rsidRPr="00CB3FB6" w:rsidRDefault="00FA5DA4" w:rsidP="001F0C51">
            <w:pPr>
              <w:jc w:val="center"/>
              <w:rPr>
                <w:rFonts w:ascii="Times New Roman" w:hAnsi="Times New Roman" w:cs="Times New Roman"/>
                <w:sz w:val="28"/>
                <w:szCs w:val="28"/>
              </w:rPr>
            </w:pPr>
            <w:r>
              <w:rPr>
                <w:rFonts w:ascii="Times New Roman" w:hAnsi="Times New Roman" w:cs="Times New Roman"/>
                <w:sz w:val="28"/>
                <w:szCs w:val="28"/>
              </w:rPr>
              <w:t>232</w:t>
            </w:r>
          </w:p>
        </w:tc>
        <w:tc>
          <w:tcPr>
            <w:tcW w:w="2410"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59,22±7,09</w:t>
            </w:r>
          </w:p>
        </w:tc>
        <w:tc>
          <w:tcPr>
            <w:tcW w:w="3260" w:type="dxa"/>
          </w:tcPr>
          <w:p w:rsidR="00FA5DA4" w:rsidRPr="00CB3FB6" w:rsidRDefault="00FA5DA4" w:rsidP="001F0C51">
            <w:pPr>
              <w:jc w:val="center"/>
              <w:rPr>
                <w:rFonts w:ascii="Times New Roman" w:hAnsi="Times New Roman" w:cs="Times New Roman"/>
                <w:sz w:val="28"/>
                <w:szCs w:val="28"/>
              </w:rPr>
            </w:pPr>
            <w:r w:rsidRPr="00CB3FB6">
              <w:rPr>
                <w:rFonts w:ascii="Times New Roman" w:hAnsi="Times New Roman" w:cs="Times New Roman"/>
                <w:sz w:val="28"/>
                <w:szCs w:val="28"/>
              </w:rPr>
              <w:t>3,13±0,56</w:t>
            </w:r>
          </w:p>
        </w:tc>
      </w:tr>
    </w:tbl>
    <w:p w:rsidR="00FA5DA4" w:rsidRPr="003537F1" w:rsidRDefault="00FA5DA4" w:rsidP="003537F1">
      <w:pPr>
        <w:spacing w:line="276" w:lineRule="auto"/>
        <w:jc w:val="both"/>
        <w:rPr>
          <w:rFonts w:ascii="Times New Roman" w:hAnsi="Times New Roman" w:cs="Times New Roman"/>
          <w:sz w:val="28"/>
          <w:szCs w:val="28"/>
        </w:rPr>
      </w:pPr>
      <w:r w:rsidRPr="00CB3FB6">
        <w:rPr>
          <w:rFonts w:ascii="Times New Roman" w:hAnsi="Times New Roman" w:cs="Times New Roman"/>
          <w:sz w:val="28"/>
          <w:szCs w:val="28"/>
        </w:rPr>
        <w:t xml:space="preserve">Умовні позначення: </w:t>
      </w:r>
      <w:r>
        <w:rPr>
          <w:rFonts w:ascii="Times New Roman" w:hAnsi="Times New Roman" w:cs="Times New Roman"/>
          <w:sz w:val="28"/>
          <w:szCs w:val="28"/>
        </w:rPr>
        <w:t xml:space="preserve">НКР – нирково-клітинний рак; </w:t>
      </w:r>
      <w:r w:rsidRPr="00CB3FB6">
        <w:rPr>
          <w:rFonts w:ascii="Times New Roman" w:hAnsi="Times New Roman" w:cs="Times New Roman"/>
          <w:sz w:val="28"/>
          <w:szCs w:val="28"/>
        </w:rPr>
        <w:t xml:space="preserve">ДП – доброякісні пухлини нирок, </w:t>
      </w:r>
      <w:r>
        <w:rPr>
          <w:rFonts w:ascii="Times New Roman" w:hAnsi="Times New Roman" w:cs="Times New Roman"/>
          <w:sz w:val="28"/>
          <w:szCs w:val="28"/>
        </w:rPr>
        <w:t xml:space="preserve">ОЦ – онкоцитома; АМЛ – ангіоміоліпома; ПА – папілярна аденома; </w:t>
      </w:r>
      <w:r w:rsidRPr="00CB3FB6">
        <w:rPr>
          <w:rFonts w:ascii="Times New Roman" w:hAnsi="Times New Roman" w:cs="Times New Roman"/>
          <w:sz w:val="28"/>
          <w:szCs w:val="28"/>
        </w:rPr>
        <w:t>НС – низький ступінь диференціації за Fuhrman, ВС - високий ступінь диференціації за Fuhrman</w:t>
      </w:r>
      <w:r w:rsidRPr="00CB3FB6">
        <w:rPr>
          <w:rFonts w:ascii="Times New Roman" w:hAnsi="Times New Roman" w:cs="Times New Roman"/>
          <w:sz w:val="28"/>
          <w:szCs w:val="28"/>
        </w:rPr>
        <w:tab/>
      </w:r>
    </w:p>
    <w:p w:rsidR="005948C0" w:rsidRDefault="005948C0" w:rsidP="00FA5DA4">
      <w:pPr>
        <w:spacing w:line="360" w:lineRule="auto"/>
        <w:ind w:firstLine="360"/>
        <w:jc w:val="right"/>
        <w:rPr>
          <w:rFonts w:ascii="Times New Roman" w:hAnsi="Times New Roman"/>
          <w:sz w:val="28"/>
          <w:szCs w:val="28"/>
        </w:rPr>
      </w:pPr>
    </w:p>
    <w:p w:rsidR="005948C0" w:rsidRDefault="005948C0" w:rsidP="00FA5DA4">
      <w:pPr>
        <w:spacing w:line="360" w:lineRule="auto"/>
        <w:ind w:firstLine="360"/>
        <w:jc w:val="right"/>
        <w:rPr>
          <w:rFonts w:ascii="Times New Roman" w:hAnsi="Times New Roman"/>
          <w:sz w:val="28"/>
          <w:szCs w:val="28"/>
        </w:rPr>
      </w:pPr>
    </w:p>
    <w:p w:rsidR="005948C0" w:rsidRDefault="005948C0" w:rsidP="00FA5DA4">
      <w:pPr>
        <w:spacing w:line="360" w:lineRule="auto"/>
        <w:ind w:firstLine="360"/>
        <w:jc w:val="right"/>
        <w:rPr>
          <w:rFonts w:ascii="Times New Roman" w:hAnsi="Times New Roman"/>
          <w:sz w:val="28"/>
          <w:szCs w:val="28"/>
        </w:rPr>
      </w:pPr>
    </w:p>
    <w:p w:rsidR="00FA5DA4" w:rsidRDefault="00FA5DA4" w:rsidP="00FA5DA4">
      <w:pPr>
        <w:spacing w:line="360" w:lineRule="auto"/>
        <w:ind w:firstLine="360"/>
        <w:jc w:val="right"/>
        <w:rPr>
          <w:rFonts w:ascii="Times New Roman" w:hAnsi="Times New Roman"/>
          <w:sz w:val="28"/>
          <w:szCs w:val="28"/>
        </w:rPr>
      </w:pPr>
      <w:r w:rsidRPr="00CB3FB6">
        <w:rPr>
          <w:rFonts w:ascii="Times New Roman" w:hAnsi="Times New Roman"/>
          <w:sz w:val="28"/>
          <w:szCs w:val="28"/>
        </w:rPr>
        <w:lastRenderedPageBreak/>
        <w:t>Таблиця 3.</w:t>
      </w:r>
      <w:r>
        <w:rPr>
          <w:rFonts w:ascii="Times New Roman" w:hAnsi="Times New Roman"/>
          <w:sz w:val="28"/>
          <w:szCs w:val="28"/>
        </w:rPr>
        <w:t>2</w:t>
      </w:r>
    </w:p>
    <w:p w:rsidR="00FA5DA4" w:rsidRDefault="00FA5DA4" w:rsidP="00FA5DA4">
      <w:pPr>
        <w:spacing w:line="360" w:lineRule="auto"/>
        <w:ind w:firstLine="360"/>
        <w:jc w:val="center"/>
        <w:rPr>
          <w:rFonts w:ascii="Times New Roman" w:hAnsi="Times New Roman" w:cs="Times New Roman"/>
          <w:sz w:val="28"/>
          <w:szCs w:val="28"/>
        </w:rPr>
      </w:pPr>
      <w:r>
        <w:rPr>
          <w:rFonts w:ascii="Times New Roman" w:hAnsi="Times New Roman"/>
          <w:sz w:val="28"/>
          <w:szCs w:val="28"/>
        </w:rPr>
        <w:t xml:space="preserve">Розподіл </w:t>
      </w:r>
      <w:r w:rsidRPr="00CB3FB6">
        <w:rPr>
          <w:rFonts w:ascii="Times New Roman" w:hAnsi="Times New Roman" w:cs="Times New Roman"/>
          <w:sz w:val="28"/>
          <w:szCs w:val="28"/>
        </w:rPr>
        <w:t xml:space="preserve">досліджуваних хворих із </w:t>
      </w:r>
      <w:r>
        <w:rPr>
          <w:rFonts w:ascii="Times New Roman" w:hAnsi="Times New Roman" w:cs="Times New Roman"/>
          <w:sz w:val="28"/>
          <w:szCs w:val="28"/>
        </w:rPr>
        <w:t xml:space="preserve">солідними </w:t>
      </w:r>
      <w:r w:rsidRPr="00CB3FB6">
        <w:rPr>
          <w:rFonts w:ascii="Times New Roman" w:hAnsi="Times New Roman" w:cs="Times New Roman"/>
          <w:sz w:val="28"/>
          <w:szCs w:val="28"/>
        </w:rPr>
        <w:t>SRM</w:t>
      </w:r>
      <w:r>
        <w:rPr>
          <w:rFonts w:ascii="Times New Roman" w:hAnsi="Times New Roman" w:cs="Times New Roman"/>
          <w:sz w:val="28"/>
          <w:szCs w:val="28"/>
        </w:rPr>
        <w:t xml:space="preserve"> в залежності від патоморфологічного діагнозу та методу крос-секційного обстеження</w:t>
      </w:r>
    </w:p>
    <w:tbl>
      <w:tblPr>
        <w:tblStyle w:val="TableGrid"/>
        <w:tblW w:w="9209" w:type="dxa"/>
        <w:tblLook w:val="04A0" w:firstRow="1" w:lastRow="0" w:firstColumn="1" w:lastColumn="0" w:noHBand="0" w:noVBand="1"/>
      </w:tblPr>
      <w:tblGrid>
        <w:gridCol w:w="3823"/>
        <w:gridCol w:w="1559"/>
        <w:gridCol w:w="1843"/>
        <w:gridCol w:w="1984"/>
      </w:tblGrid>
      <w:tr w:rsidR="00FA5DA4" w:rsidRPr="00CB3FB6" w:rsidTr="001F0C51">
        <w:tc>
          <w:tcPr>
            <w:tcW w:w="3823" w:type="dxa"/>
            <w:vMerge w:val="restart"/>
          </w:tcPr>
          <w:p w:rsidR="00FA5DA4" w:rsidRPr="00CB3FB6" w:rsidRDefault="00FA5DA4" w:rsidP="001F0C51">
            <w:pPr>
              <w:spacing w:line="276" w:lineRule="auto"/>
              <w:jc w:val="both"/>
              <w:rPr>
                <w:rFonts w:ascii="Times New Roman" w:hAnsi="Times New Roman" w:cs="Times New Roman"/>
                <w:b/>
                <w:sz w:val="28"/>
                <w:szCs w:val="28"/>
              </w:rPr>
            </w:pPr>
            <w:r w:rsidRPr="00CB3FB6">
              <w:rPr>
                <w:rFonts w:ascii="Times New Roman" w:hAnsi="Times New Roman" w:cs="Times New Roman"/>
                <w:b/>
                <w:sz w:val="28"/>
                <w:szCs w:val="28"/>
              </w:rPr>
              <w:t>Діагноз</w:t>
            </w:r>
          </w:p>
        </w:tc>
        <w:tc>
          <w:tcPr>
            <w:tcW w:w="1559" w:type="dxa"/>
            <w:vMerge w:val="restart"/>
          </w:tcPr>
          <w:p w:rsidR="00FA5DA4" w:rsidRDefault="00FA5DA4" w:rsidP="001F0C51">
            <w:pPr>
              <w:spacing w:line="276" w:lineRule="auto"/>
              <w:jc w:val="center"/>
              <w:rPr>
                <w:rFonts w:ascii="Times New Roman" w:hAnsi="Times New Roman" w:cs="Times New Roman"/>
                <w:b/>
                <w:sz w:val="28"/>
                <w:szCs w:val="28"/>
              </w:rPr>
            </w:pPr>
            <w:r>
              <w:rPr>
                <w:rFonts w:ascii="Times New Roman" w:hAnsi="Times New Roman" w:cs="Times New Roman"/>
                <w:b/>
                <w:sz w:val="28"/>
                <w:szCs w:val="28"/>
              </w:rPr>
              <w:t>Всього,</w:t>
            </w:r>
          </w:p>
          <w:p w:rsidR="00FA5DA4" w:rsidRPr="00CB3FB6" w:rsidRDefault="00FA5DA4" w:rsidP="001F0C51">
            <w:pPr>
              <w:spacing w:line="276" w:lineRule="auto"/>
              <w:jc w:val="center"/>
              <w:rPr>
                <w:rFonts w:ascii="Times New Roman" w:hAnsi="Times New Roman" w:cs="Times New Roman"/>
                <w:b/>
                <w:sz w:val="28"/>
                <w:szCs w:val="28"/>
              </w:rPr>
            </w:pPr>
            <w:r>
              <w:rPr>
                <w:rFonts w:ascii="Times New Roman" w:hAnsi="Times New Roman" w:cs="Times New Roman"/>
                <w:b/>
                <w:sz w:val="28"/>
                <w:szCs w:val="28"/>
              </w:rPr>
              <w:t>асб</w:t>
            </w:r>
          </w:p>
        </w:tc>
        <w:tc>
          <w:tcPr>
            <w:tcW w:w="3827" w:type="dxa"/>
            <w:gridSpan w:val="2"/>
          </w:tcPr>
          <w:p w:rsidR="00FA5DA4" w:rsidRPr="00CB3FB6" w:rsidRDefault="00FA5DA4" w:rsidP="001F0C51">
            <w:pPr>
              <w:spacing w:line="276" w:lineRule="auto"/>
              <w:jc w:val="center"/>
              <w:rPr>
                <w:rFonts w:ascii="Times New Roman" w:hAnsi="Times New Roman" w:cs="Times New Roman"/>
                <w:b/>
                <w:sz w:val="28"/>
                <w:szCs w:val="28"/>
              </w:rPr>
            </w:pPr>
            <w:r>
              <w:rPr>
                <w:rFonts w:ascii="Times New Roman" w:hAnsi="Times New Roman" w:cs="Times New Roman"/>
                <w:b/>
                <w:sz w:val="28"/>
                <w:szCs w:val="28"/>
              </w:rPr>
              <w:t>Тип дослідження/кількість хворих</w:t>
            </w:r>
          </w:p>
        </w:tc>
      </w:tr>
      <w:tr w:rsidR="00FA5DA4" w:rsidRPr="00CB3FB6" w:rsidTr="001F0C51">
        <w:tc>
          <w:tcPr>
            <w:tcW w:w="3823" w:type="dxa"/>
            <w:vMerge/>
          </w:tcPr>
          <w:p w:rsidR="00FA5DA4" w:rsidRPr="00CB3FB6" w:rsidRDefault="00FA5DA4" w:rsidP="001F0C51">
            <w:pPr>
              <w:spacing w:line="276" w:lineRule="auto"/>
              <w:jc w:val="both"/>
              <w:rPr>
                <w:rFonts w:ascii="Times New Roman" w:hAnsi="Times New Roman" w:cs="Times New Roman"/>
                <w:b/>
                <w:sz w:val="28"/>
                <w:szCs w:val="28"/>
              </w:rPr>
            </w:pPr>
          </w:p>
        </w:tc>
        <w:tc>
          <w:tcPr>
            <w:tcW w:w="1559" w:type="dxa"/>
            <w:vMerge/>
          </w:tcPr>
          <w:p w:rsidR="00FA5DA4" w:rsidRPr="00CB3FB6" w:rsidRDefault="00FA5DA4" w:rsidP="001F0C51">
            <w:pPr>
              <w:spacing w:line="276" w:lineRule="auto"/>
              <w:jc w:val="both"/>
              <w:rPr>
                <w:rFonts w:ascii="Times New Roman" w:hAnsi="Times New Roman" w:cs="Times New Roman"/>
                <w:b/>
                <w:sz w:val="28"/>
                <w:szCs w:val="28"/>
              </w:rPr>
            </w:pPr>
          </w:p>
        </w:tc>
        <w:tc>
          <w:tcPr>
            <w:tcW w:w="1843" w:type="dxa"/>
          </w:tcPr>
          <w:p w:rsidR="00FA5DA4" w:rsidRPr="00CB3FB6" w:rsidRDefault="00FA5DA4" w:rsidP="001F0C51">
            <w:pPr>
              <w:spacing w:line="276" w:lineRule="auto"/>
              <w:jc w:val="center"/>
              <w:rPr>
                <w:rFonts w:ascii="Times New Roman" w:hAnsi="Times New Roman" w:cs="Times New Roman"/>
                <w:b/>
                <w:sz w:val="28"/>
                <w:szCs w:val="28"/>
              </w:rPr>
            </w:pPr>
            <w:r>
              <w:rPr>
                <w:rFonts w:ascii="Times New Roman" w:hAnsi="Times New Roman" w:cs="Times New Roman"/>
                <w:b/>
                <w:sz w:val="28"/>
                <w:szCs w:val="28"/>
              </w:rPr>
              <w:t>КТ, абс</w:t>
            </w:r>
          </w:p>
        </w:tc>
        <w:tc>
          <w:tcPr>
            <w:tcW w:w="1984" w:type="dxa"/>
          </w:tcPr>
          <w:p w:rsidR="00FA5DA4" w:rsidRPr="00CB3FB6" w:rsidRDefault="00FA5DA4" w:rsidP="001F0C51">
            <w:pPr>
              <w:spacing w:line="276" w:lineRule="auto"/>
              <w:jc w:val="center"/>
              <w:rPr>
                <w:rFonts w:ascii="Times New Roman" w:hAnsi="Times New Roman" w:cs="Times New Roman"/>
                <w:b/>
                <w:sz w:val="28"/>
                <w:szCs w:val="28"/>
              </w:rPr>
            </w:pPr>
            <w:r>
              <w:rPr>
                <w:rFonts w:ascii="Times New Roman" w:hAnsi="Times New Roman" w:cs="Times New Roman"/>
                <w:b/>
                <w:sz w:val="28"/>
                <w:szCs w:val="28"/>
              </w:rPr>
              <w:t>МРТ, абс</w:t>
            </w:r>
          </w:p>
        </w:tc>
      </w:tr>
      <w:tr w:rsidR="00FA5DA4" w:rsidRPr="00CB3FB6" w:rsidTr="001F0C51">
        <w:tc>
          <w:tcPr>
            <w:tcW w:w="3823" w:type="dxa"/>
          </w:tcPr>
          <w:p w:rsidR="00FA5DA4" w:rsidRPr="00CB3FB6" w:rsidRDefault="00FA5DA4" w:rsidP="001F0C51">
            <w:pPr>
              <w:spacing w:line="276" w:lineRule="auto"/>
              <w:jc w:val="both"/>
              <w:rPr>
                <w:rFonts w:ascii="Times New Roman" w:hAnsi="Times New Roman" w:cs="Times New Roman"/>
                <w:sz w:val="28"/>
                <w:szCs w:val="28"/>
              </w:rPr>
            </w:pPr>
            <w:r w:rsidRPr="00CB3FB6">
              <w:rPr>
                <w:rFonts w:ascii="Times New Roman" w:hAnsi="Times New Roman" w:cs="Times New Roman"/>
                <w:sz w:val="28"/>
                <w:szCs w:val="28"/>
              </w:rPr>
              <w:t>НКР</w:t>
            </w:r>
          </w:p>
          <w:p w:rsidR="00FA5DA4" w:rsidRPr="00CB3FB6" w:rsidRDefault="00FA5DA4" w:rsidP="001F0C51">
            <w:pPr>
              <w:spacing w:line="276" w:lineRule="auto"/>
              <w:ind w:left="708"/>
              <w:jc w:val="both"/>
              <w:rPr>
                <w:rFonts w:ascii="Times New Roman" w:hAnsi="Times New Roman" w:cs="Times New Roman"/>
                <w:sz w:val="28"/>
                <w:szCs w:val="28"/>
              </w:rPr>
            </w:pPr>
            <w:r>
              <w:rPr>
                <w:rFonts w:ascii="Times New Roman" w:hAnsi="Times New Roman" w:cs="Times New Roman"/>
                <w:sz w:val="28"/>
                <w:szCs w:val="28"/>
              </w:rPr>
              <w:t xml:space="preserve">Світлоклітинний </w:t>
            </w:r>
            <w:r w:rsidRPr="00CB3FB6">
              <w:rPr>
                <w:rFonts w:ascii="Times New Roman" w:hAnsi="Times New Roman" w:cs="Times New Roman"/>
                <w:sz w:val="28"/>
                <w:szCs w:val="28"/>
              </w:rPr>
              <w:t>НКР</w:t>
            </w:r>
          </w:p>
          <w:p w:rsidR="00FA5DA4" w:rsidRPr="00CB3FB6" w:rsidRDefault="00FA5DA4" w:rsidP="001F0C51">
            <w:pPr>
              <w:spacing w:line="276" w:lineRule="auto"/>
              <w:ind w:left="708"/>
              <w:jc w:val="both"/>
              <w:rPr>
                <w:rFonts w:ascii="Times New Roman" w:hAnsi="Times New Roman" w:cs="Times New Roman"/>
                <w:sz w:val="28"/>
                <w:szCs w:val="28"/>
              </w:rPr>
            </w:pPr>
            <w:r>
              <w:rPr>
                <w:rFonts w:ascii="Times New Roman" w:hAnsi="Times New Roman" w:cs="Times New Roman"/>
                <w:sz w:val="28"/>
                <w:szCs w:val="28"/>
              </w:rPr>
              <w:t xml:space="preserve">Папілярний </w:t>
            </w:r>
            <w:r w:rsidRPr="00CB3FB6">
              <w:rPr>
                <w:rFonts w:ascii="Times New Roman" w:hAnsi="Times New Roman" w:cs="Times New Roman"/>
                <w:sz w:val="28"/>
                <w:szCs w:val="28"/>
              </w:rPr>
              <w:t>НКР</w:t>
            </w:r>
          </w:p>
          <w:p w:rsidR="00FA5DA4" w:rsidRPr="00CB3FB6" w:rsidRDefault="00FA5DA4" w:rsidP="001F0C51">
            <w:pPr>
              <w:spacing w:line="276" w:lineRule="auto"/>
              <w:ind w:left="708"/>
              <w:jc w:val="both"/>
              <w:rPr>
                <w:rFonts w:ascii="Times New Roman" w:hAnsi="Times New Roman" w:cs="Times New Roman"/>
                <w:sz w:val="28"/>
                <w:szCs w:val="28"/>
              </w:rPr>
            </w:pPr>
            <w:r>
              <w:rPr>
                <w:rFonts w:ascii="Times New Roman" w:hAnsi="Times New Roman" w:cs="Times New Roman"/>
                <w:sz w:val="28"/>
                <w:szCs w:val="28"/>
              </w:rPr>
              <w:t xml:space="preserve">Хромофобний </w:t>
            </w:r>
            <w:r w:rsidRPr="00CB3FB6">
              <w:rPr>
                <w:rFonts w:ascii="Times New Roman" w:hAnsi="Times New Roman" w:cs="Times New Roman"/>
                <w:sz w:val="28"/>
                <w:szCs w:val="28"/>
              </w:rPr>
              <w:t>НКР</w:t>
            </w:r>
          </w:p>
        </w:tc>
        <w:tc>
          <w:tcPr>
            <w:tcW w:w="1559" w:type="dxa"/>
          </w:tcPr>
          <w:p w:rsidR="00FA5DA4" w:rsidRPr="00CB3FB6" w:rsidRDefault="00FA5DA4" w:rsidP="001F0C51">
            <w:pPr>
              <w:spacing w:line="276" w:lineRule="auto"/>
              <w:jc w:val="center"/>
              <w:rPr>
                <w:rFonts w:ascii="Times New Roman" w:hAnsi="Times New Roman" w:cs="Times New Roman"/>
                <w:sz w:val="28"/>
                <w:szCs w:val="28"/>
              </w:rPr>
            </w:pPr>
            <w:r w:rsidRPr="00CB3FB6">
              <w:rPr>
                <w:rFonts w:ascii="Times New Roman" w:hAnsi="Times New Roman" w:cs="Times New Roman"/>
                <w:sz w:val="28"/>
                <w:szCs w:val="28"/>
              </w:rPr>
              <w:t>170</w:t>
            </w:r>
          </w:p>
          <w:p w:rsidR="00FA5DA4" w:rsidRPr="00CB3FB6" w:rsidRDefault="00FA5DA4" w:rsidP="001F0C51">
            <w:pPr>
              <w:spacing w:line="276" w:lineRule="auto"/>
              <w:jc w:val="center"/>
              <w:rPr>
                <w:rFonts w:ascii="Times New Roman" w:hAnsi="Times New Roman" w:cs="Times New Roman"/>
                <w:sz w:val="28"/>
                <w:szCs w:val="28"/>
              </w:rPr>
            </w:pPr>
            <w:r w:rsidRPr="00CB3FB6">
              <w:rPr>
                <w:rFonts w:ascii="Times New Roman" w:hAnsi="Times New Roman" w:cs="Times New Roman"/>
                <w:sz w:val="28"/>
                <w:szCs w:val="28"/>
              </w:rPr>
              <w:t>109</w:t>
            </w:r>
          </w:p>
          <w:p w:rsidR="00FA5DA4" w:rsidRPr="00CB3FB6" w:rsidRDefault="00FA5DA4" w:rsidP="001F0C51">
            <w:pPr>
              <w:spacing w:line="276" w:lineRule="auto"/>
              <w:jc w:val="center"/>
              <w:rPr>
                <w:rFonts w:ascii="Times New Roman" w:hAnsi="Times New Roman" w:cs="Times New Roman"/>
                <w:sz w:val="28"/>
                <w:szCs w:val="28"/>
              </w:rPr>
            </w:pPr>
            <w:r w:rsidRPr="00CB3FB6">
              <w:rPr>
                <w:rFonts w:ascii="Times New Roman" w:hAnsi="Times New Roman" w:cs="Times New Roman"/>
                <w:sz w:val="28"/>
                <w:szCs w:val="28"/>
              </w:rPr>
              <w:t>31</w:t>
            </w:r>
          </w:p>
          <w:p w:rsidR="00FA5DA4" w:rsidRPr="00CB3FB6" w:rsidRDefault="00FA5DA4" w:rsidP="001F0C51">
            <w:pPr>
              <w:spacing w:line="276" w:lineRule="auto"/>
              <w:jc w:val="center"/>
              <w:rPr>
                <w:rFonts w:ascii="Times New Roman" w:hAnsi="Times New Roman" w:cs="Times New Roman"/>
                <w:sz w:val="28"/>
                <w:szCs w:val="28"/>
              </w:rPr>
            </w:pPr>
            <w:r w:rsidRPr="00CB3FB6">
              <w:rPr>
                <w:rFonts w:ascii="Times New Roman" w:hAnsi="Times New Roman" w:cs="Times New Roman"/>
                <w:sz w:val="28"/>
                <w:szCs w:val="28"/>
              </w:rPr>
              <w:t>30</w:t>
            </w:r>
          </w:p>
        </w:tc>
        <w:tc>
          <w:tcPr>
            <w:tcW w:w="1843" w:type="dxa"/>
          </w:tcPr>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79</w:t>
            </w:r>
          </w:p>
          <w:p w:rsidR="00FA5DA4" w:rsidRDefault="00FA5DA4" w:rsidP="001F0C51">
            <w:pPr>
              <w:spacing w:line="276"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48</w:t>
            </w:r>
          </w:p>
          <w:p w:rsidR="00FA5DA4" w:rsidRDefault="00FA5DA4" w:rsidP="001F0C51">
            <w:pPr>
              <w:spacing w:line="276"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w:t>
            </w:r>
          </w:p>
          <w:p w:rsidR="00FA5DA4" w:rsidRPr="002C2778" w:rsidRDefault="00FA5DA4" w:rsidP="001F0C51">
            <w:pPr>
              <w:spacing w:line="276"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15</w:t>
            </w:r>
          </w:p>
        </w:tc>
        <w:tc>
          <w:tcPr>
            <w:tcW w:w="1984" w:type="dxa"/>
          </w:tcPr>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91</w:t>
            </w:r>
          </w:p>
          <w:p w:rsidR="00FA5DA4" w:rsidRDefault="00FA5DA4" w:rsidP="001F0C51">
            <w:pPr>
              <w:spacing w:line="276"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61</w:t>
            </w:r>
          </w:p>
          <w:p w:rsidR="00FA5DA4" w:rsidRDefault="00FA5DA4" w:rsidP="001F0C51">
            <w:pPr>
              <w:spacing w:line="276"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15</w:t>
            </w:r>
          </w:p>
          <w:p w:rsidR="00FA5DA4" w:rsidRPr="002C2778" w:rsidRDefault="00FA5DA4" w:rsidP="001F0C51">
            <w:pPr>
              <w:spacing w:line="276"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15</w:t>
            </w:r>
          </w:p>
        </w:tc>
      </w:tr>
      <w:tr w:rsidR="00FA5DA4" w:rsidRPr="00CB3FB6" w:rsidTr="001F0C51">
        <w:tc>
          <w:tcPr>
            <w:tcW w:w="3823" w:type="dxa"/>
          </w:tcPr>
          <w:p w:rsidR="00FA5DA4" w:rsidRPr="00CB3FB6" w:rsidRDefault="00FA5DA4"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ПКК ниркової миски</w:t>
            </w:r>
          </w:p>
        </w:tc>
        <w:tc>
          <w:tcPr>
            <w:tcW w:w="1559" w:type="dxa"/>
          </w:tcPr>
          <w:p w:rsidR="00FA5DA4" w:rsidRPr="00CB3FB6" w:rsidRDefault="00FA5DA4" w:rsidP="001F0C51">
            <w:pPr>
              <w:spacing w:line="276" w:lineRule="auto"/>
              <w:jc w:val="center"/>
              <w:rPr>
                <w:rFonts w:ascii="Times New Roman" w:hAnsi="Times New Roman" w:cs="Times New Roman"/>
                <w:sz w:val="28"/>
                <w:szCs w:val="28"/>
              </w:rPr>
            </w:pPr>
            <w:r w:rsidRPr="00CB3FB6">
              <w:rPr>
                <w:rFonts w:ascii="Times New Roman" w:hAnsi="Times New Roman" w:cs="Times New Roman"/>
                <w:sz w:val="28"/>
                <w:szCs w:val="28"/>
              </w:rPr>
              <w:t>19</w:t>
            </w:r>
          </w:p>
        </w:tc>
        <w:tc>
          <w:tcPr>
            <w:tcW w:w="1843" w:type="dxa"/>
          </w:tcPr>
          <w:p w:rsidR="00FA5DA4" w:rsidRPr="002C2778" w:rsidRDefault="00FA5DA4" w:rsidP="001F0C51">
            <w:pPr>
              <w:spacing w:line="276"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1984" w:type="dxa"/>
          </w:tcPr>
          <w:p w:rsidR="00FA5DA4" w:rsidRPr="002C2778" w:rsidRDefault="00FA5DA4" w:rsidP="001F0C51">
            <w:pPr>
              <w:spacing w:line="276"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r>
      <w:tr w:rsidR="00FA5DA4" w:rsidRPr="00CB3FB6" w:rsidTr="001F0C51">
        <w:tc>
          <w:tcPr>
            <w:tcW w:w="3823" w:type="dxa"/>
          </w:tcPr>
          <w:p w:rsidR="00FA5DA4" w:rsidRPr="00CB3FB6" w:rsidRDefault="00FA5DA4" w:rsidP="001F0C51">
            <w:pPr>
              <w:spacing w:line="276" w:lineRule="auto"/>
              <w:jc w:val="both"/>
              <w:rPr>
                <w:rFonts w:ascii="Times New Roman" w:hAnsi="Times New Roman" w:cs="Times New Roman"/>
                <w:sz w:val="28"/>
                <w:szCs w:val="28"/>
              </w:rPr>
            </w:pPr>
            <w:r>
              <w:rPr>
                <w:rFonts w:ascii="Times New Roman" w:hAnsi="Times New Roman" w:cs="Times New Roman"/>
                <w:sz w:val="28"/>
                <w:szCs w:val="28"/>
              </w:rPr>
              <w:t>Доброякісні пухлини нирок</w:t>
            </w:r>
          </w:p>
          <w:p w:rsidR="00FA5DA4" w:rsidRPr="00CB3FB6" w:rsidRDefault="00FA5DA4" w:rsidP="001F0C51">
            <w:pPr>
              <w:spacing w:line="276" w:lineRule="auto"/>
              <w:ind w:left="708"/>
              <w:rPr>
                <w:rFonts w:ascii="Times New Roman" w:hAnsi="Times New Roman" w:cs="Times New Roman"/>
                <w:sz w:val="28"/>
                <w:szCs w:val="28"/>
              </w:rPr>
            </w:pPr>
            <w:r>
              <w:rPr>
                <w:rFonts w:ascii="Times New Roman" w:hAnsi="Times New Roman" w:cs="Times New Roman"/>
                <w:sz w:val="28"/>
                <w:szCs w:val="28"/>
              </w:rPr>
              <w:t>Онкоцитома</w:t>
            </w:r>
          </w:p>
          <w:p w:rsidR="00FA5DA4" w:rsidRPr="00CB3FB6" w:rsidRDefault="00FA5DA4" w:rsidP="001F0C51">
            <w:pPr>
              <w:spacing w:line="276" w:lineRule="auto"/>
              <w:ind w:left="708"/>
              <w:rPr>
                <w:rFonts w:ascii="Times New Roman" w:hAnsi="Times New Roman" w:cs="Times New Roman"/>
                <w:sz w:val="28"/>
                <w:szCs w:val="28"/>
              </w:rPr>
            </w:pPr>
            <w:r>
              <w:rPr>
                <w:rFonts w:ascii="Times New Roman" w:hAnsi="Times New Roman" w:cs="Times New Roman"/>
                <w:sz w:val="28"/>
                <w:szCs w:val="28"/>
              </w:rPr>
              <w:t>Ангіоміоліпома</w:t>
            </w:r>
          </w:p>
          <w:p w:rsidR="00FA5DA4" w:rsidRPr="00CB3FB6" w:rsidRDefault="00FA5DA4" w:rsidP="001F0C51">
            <w:pPr>
              <w:spacing w:line="276" w:lineRule="auto"/>
              <w:ind w:left="708"/>
              <w:rPr>
                <w:rFonts w:ascii="Times New Roman" w:hAnsi="Times New Roman" w:cs="Times New Roman"/>
                <w:sz w:val="28"/>
                <w:szCs w:val="28"/>
              </w:rPr>
            </w:pPr>
            <w:r>
              <w:rPr>
                <w:rFonts w:ascii="Times New Roman" w:hAnsi="Times New Roman" w:cs="Times New Roman"/>
                <w:sz w:val="28"/>
                <w:szCs w:val="28"/>
              </w:rPr>
              <w:t>Папілярна аденома</w:t>
            </w:r>
          </w:p>
        </w:tc>
        <w:tc>
          <w:tcPr>
            <w:tcW w:w="1559" w:type="dxa"/>
          </w:tcPr>
          <w:p w:rsidR="00FA5DA4" w:rsidRPr="00CB3FB6" w:rsidRDefault="00650848"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43</w:t>
            </w:r>
          </w:p>
          <w:p w:rsidR="00FA5DA4" w:rsidRPr="00CB3FB6" w:rsidRDefault="00FA5DA4" w:rsidP="001F0C51">
            <w:pPr>
              <w:spacing w:line="276" w:lineRule="auto"/>
              <w:jc w:val="center"/>
              <w:rPr>
                <w:rFonts w:ascii="Times New Roman" w:hAnsi="Times New Roman" w:cs="Times New Roman"/>
                <w:sz w:val="28"/>
                <w:szCs w:val="28"/>
              </w:rPr>
            </w:pPr>
            <w:r w:rsidRPr="00CB3FB6">
              <w:rPr>
                <w:rFonts w:ascii="Times New Roman" w:hAnsi="Times New Roman" w:cs="Times New Roman"/>
                <w:sz w:val="28"/>
                <w:szCs w:val="28"/>
              </w:rPr>
              <w:t>18</w:t>
            </w:r>
          </w:p>
          <w:p w:rsidR="00FA5DA4" w:rsidRPr="00CB3FB6" w:rsidRDefault="00FA5DA4" w:rsidP="001F0C51">
            <w:pPr>
              <w:spacing w:line="276" w:lineRule="auto"/>
              <w:jc w:val="center"/>
              <w:rPr>
                <w:rFonts w:ascii="Times New Roman" w:hAnsi="Times New Roman" w:cs="Times New Roman"/>
                <w:sz w:val="28"/>
                <w:szCs w:val="28"/>
              </w:rPr>
            </w:pPr>
            <w:r w:rsidRPr="00CB3FB6">
              <w:rPr>
                <w:rFonts w:ascii="Times New Roman" w:hAnsi="Times New Roman" w:cs="Times New Roman"/>
                <w:sz w:val="28"/>
                <w:szCs w:val="28"/>
              </w:rPr>
              <w:t>14</w:t>
            </w:r>
          </w:p>
          <w:p w:rsidR="00FA5DA4" w:rsidRPr="00CB3FB6" w:rsidRDefault="00FA5DA4" w:rsidP="001F0C51">
            <w:pPr>
              <w:spacing w:line="276" w:lineRule="auto"/>
              <w:jc w:val="center"/>
              <w:rPr>
                <w:rFonts w:ascii="Times New Roman" w:hAnsi="Times New Roman" w:cs="Times New Roman"/>
                <w:sz w:val="28"/>
                <w:szCs w:val="28"/>
              </w:rPr>
            </w:pPr>
            <w:r w:rsidRPr="00CB3FB6">
              <w:rPr>
                <w:rFonts w:ascii="Times New Roman" w:hAnsi="Times New Roman" w:cs="Times New Roman"/>
                <w:sz w:val="28"/>
                <w:szCs w:val="28"/>
              </w:rPr>
              <w:t>9</w:t>
            </w:r>
          </w:p>
        </w:tc>
        <w:tc>
          <w:tcPr>
            <w:tcW w:w="1843" w:type="dxa"/>
          </w:tcPr>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21</w:t>
            </w:r>
          </w:p>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9</w:t>
            </w:r>
          </w:p>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p w:rsidR="00FA5DA4" w:rsidRPr="00CB3FB6"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1984" w:type="dxa"/>
          </w:tcPr>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22</w:t>
            </w:r>
          </w:p>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9</w:t>
            </w:r>
          </w:p>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p w:rsidR="00FA5DA4" w:rsidRPr="00CB3FB6"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FA5DA4" w:rsidRPr="00CB3FB6" w:rsidTr="001F0C51">
        <w:tc>
          <w:tcPr>
            <w:tcW w:w="3823" w:type="dxa"/>
          </w:tcPr>
          <w:p w:rsidR="00FA5DA4" w:rsidRPr="00B417ED" w:rsidRDefault="00FA5DA4" w:rsidP="001F0C51">
            <w:pPr>
              <w:spacing w:line="276" w:lineRule="auto"/>
              <w:rPr>
                <w:rFonts w:ascii="Times New Roman" w:hAnsi="Times New Roman" w:cs="Times New Roman"/>
                <w:sz w:val="28"/>
                <w:szCs w:val="28"/>
              </w:rPr>
            </w:pPr>
            <w:r>
              <w:rPr>
                <w:rFonts w:ascii="Times New Roman" w:hAnsi="Times New Roman" w:cs="Times New Roman"/>
                <w:sz w:val="28"/>
                <w:szCs w:val="28"/>
              </w:rPr>
              <w:t xml:space="preserve">Середній розмір всіх </w:t>
            </w:r>
            <w:r>
              <w:rPr>
                <w:rFonts w:ascii="Times New Roman" w:hAnsi="Times New Roman" w:cs="Times New Roman"/>
                <w:sz w:val="28"/>
                <w:szCs w:val="28"/>
                <w:lang w:val="en-US"/>
              </w:rPr>
              <w:t>SRM</w:t>
            </w:r>
            <w:r>
              <w:rPr>
                <w:rFonts w:ascii="Times New Roman" w:hAnsi="Times New Roman" w:cs="Times New Roman"/>
                <w:sz w:val="28"/>
                <w:szCs w:val="28"/>
              </w:rPr>
              <w:t>, см</w:t>
            </w:r>
          </w:p>
        </w:tc>
        <w:tc>
          <w:tcPr>
            <w:tcW w:w="1559" w:type="dxa"/>
          </w:tcPr>
          <w:p w:rsidR="00FA5DA4" w:rsidRPr="00CB3FB6"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843" w:type="dxa"/>
          </w:tcPr>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3,10±0,38 </w:t>
            </w:r>
          </w:p>
        </w:tc>
        <w:tc>
          <w:tcPr>
            <w:tcW w:w="1984" w:type="dxa"/>
          </w:tcPr>
          <w:p w:rsidR="00FA5DA4"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3,14±0,49</w:t>
            </w:r>
          </w:p>
        </w:tc>
      </w:tr>
      <w:tr w:rsidR="00FA5DA4" w:rsidRPr="00CB3FB6" w:rsidTr="001F0C51">
        <w:tc>
          <w:tcPr>
            <w:tcW w:w="3823" w:type="dxa"/>
          </w:tcPr>
          <w:p w:rsidR="00FA5DA4" w:rsidRPr="00CB3FB6" w:rsidRDefault="00FA5DA4" w:rsidP="001F0C51">
            <w:pPr>
              <w:spacing w:line="276" w:lineRule="auto"/>
              <w:jc w:val="both"/>
              <w:rPr>
                <w:rFonts w:ascii="Times New Roman" w:hAnsi="Times New Roman" w:cs="Times New Roman"/>
                <w:sz w:val="28"/>
                <w:szCs w:val="28"/>
              </w:rPr>
            </w:pPr>
            <w:r w:rsidRPr="00CB3FB6">
              <w:rPr>
                <w:rFonts w:ascii="Times New Roman" w:hAnsi="Times New Roman" w:cs="Times New Roman"/>
                <w:sz w:val="28"/>
                <w:szCs w:val="28"/>
              </w:rPr>
              <w:t>Всього</w:t>
            </w:r>
          </w:p>
        </w:tc>
        <w:tc>
          <w:tcPr>
            <w:tcW w:w="1559" w:type="dxa"/>
          </w:tcPr>
          <w:p w:rsidR="00FA5DA4" w:rsidRPr="00CB3FB6"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232</w:t>
            </w:r>
          </w:p>
        </w:tc>
        <w:tc>
          <w:tcPr>
            <w:tcW w:w="1843" w:type="dxa"/>
          </w:tcPr>
          <w:p w:rsidR="00FA5DA4" w:rsidRPr="00CB3FB6"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110</w:t>
            </w:r>
          </w:p>
        </w:tc>
        <w:tc>
          <w:tcPr>
            <w:tcW w:w="1984" w:type="dxa"/>
          </w:tcPr>
          <w:p w:rsidR="00FA5DA4" w:rsidRPr="00CB3FB6" w:rsidRDefault="00FA5DA4"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122</w:t>
            </w:r>
          </w:p>
        </w:tc>
      </w:tr>
    </w:tbl>
    <w:p w:rsidR="00FA5DA4" w:rsidRPr="00CB3FB6" w:rsidRDefault="00FA5DA4" w:rsidP="00FA5DA4">
      <w:pPr>
        <w:spacing w:line="360" w:lineRule="auto"/>
        <w:ind w:firstLine="360"/>
        <w:jc w:val="both"/>
        <w:rPr>
          <w:rFonts w:ascii="Times New Roman" w:hAnsi="Times New Roman" w:cs="Times New Roman"/>
          <w:sz w:val="28"/>
          <w:szCs w:val="28"/>
        </w:rPr>
      </w:pPr>
    </w:p>
    <w:p w:rsidR="00FA5DA4" w:rsidRDefault="00FA5DA4" w:rsidP="00FA5DA4">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Дані отримані під час візуалізації солідних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за допомогою КТ та МРТ були проаналізовані та співставленні із даними патоморфологічних заключень. Результати проведеного аналізу наводимо нижче.</w:t>
      </w:r>
    </w:p>
    <w:p w:rsidR="00FA5DA4" w:rsidRDefault="00FA5DA4" w:rsidP="00FA5DA4">
      <w:pPr>
        <w:spacing w:line="360" w:lineRule="auto"/>
        <w:jc w:val="both"/>
        <w:rPr>
          <w:rFonts w:ascii="Times New Roman" w:hAnsi="Times New Roman" w:cs="Times New Roman"/>
          <w:sz w:val="28"/>
          <w:szCs w:val="28"/>
        </w:rPr>
      </w:pPr>
    </w:p>
    <w:p w:rsidR="00FA5DA4"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3.1.1.1.</w:t>
      </w:r>
      <w:r w:rsidRPr="002E5826">
        <w:rPr>
          <w:rFonts w:ascii="Times New Roman" w:hAnsi="Times New Roman" w:cs="Times New Roman"/>
          <w:sz w:val="28"/>
          <w:szCs w:val="28"/>
        </w:rPr>
        <w:t xml:space="preserve"> Променеві біомаркери на основі КТ</w:t>
      </w:r>
    </w:p>
    <w:p w:rsidR="00FA5DA4" w:rsidRPr="005948C0" w:rsidRDefault="00FA5DA4" w:rsidP="005948C0">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У хворих, яким була виконана КТ</w:t>
      </w:r>
      <w:r w:rsidRPr="009E6C7E">
        <w:rPr>
          <w:rFonts w:ascii="Times New Roman" w:hAnsi="Times New Roman" w:cs="Times New Roman"/>
          <w:sz w:val="28"/>
          <w:szCs w:val="28"/>
          <w:lang w:val="ru-RU"/>
        </w:rPr>
        <w:t xml:space="preserve"> (</w:t>
      </w:r>
      <w:r>
        <w:rPr>
          <w:rFonts w:ascii="Times New Roman" w:hAnsi="Times New Roman" w:cs="Times New Roman"/>
          <w:sz w:val="28"/>
          <w:szCs w:val="28"/>
          <w:lang w:val="en-US"/>
        </w:rPr>
        <w:t>n</w:t>
      </w:r>
      <w:r w:rsidRPr="009E6C7E">
        <w:rPr>
          <w:rFonts w:ascii="Times New Roman" w:hAnsi="Times New Roman" w:cs="Times New Roman"/>
          <w:sz w:val="28"/>
          <w:szCs w:val="28"/>
          <w:lang w:val="ru-RU"/>
        </w:rPr>
        <w:t>=110)</w:t>
      </w:r>
      <w:r w:rsidRPr="00CB3FB6">
        <w:rPr>
          <w:rFonts w:ascii="Times New Roman" w:hAnsi="Times New Roman" w:cs="Times New Roman"/>
          <w:sz w:val="28"/>
          <w:szCs w:val="28"/>
        </w:rPr>
        <w:t xml:space="preserve"> середній розмір новоутворення складав 3,16±0,55 см (від 1,90 до 3,90 см). Середній розмір новоутворень у хворих із НКР становив 3,18±0,52 см (від 2,0 до 3,90 см); пацієнтів і</w:t>
      </w:r>
      <w:r>
        <w:rPr>
          <w:rFonts w:ascii="Times New Roman" w:hAnsi="Times New Roman" w:cs="Times New Roman"/>
          <w:sz w:val="28"/>
          <w:szCs w:val="28"/>
        </w:rPr>
        <w:t>з</w:t>
      </w:r>
      <w:r w:rsidRPr="00CB3FB6">
        <w:rPr>
          <w:rFonts w:ascii="Times New Roman" w:hAnsi="Times New Roman" w:cs="Times New Roman"/>
          <w:sz w:val="28"/>
          <w:szCs w:val="28"/>
        </w:rPr>
        <w:t xml:space="preserve"> </w:t>
      </w:r>
      <w:r>
        <w:rPr>
          <w:rFonts w:ascii="Times New Roman" w:hAnsi="Times New Roman" w:cs="Times New Roman"/>
          <w:sz w:val="28"/>
          <w:szCs w:val="28"/>
        </w:rPr>
        <w:t>ПКК ниркової миски</w:t>
      </w:r>
      <w:r w:rsidRPr="00CB3FB6">
        <w:rPr>
          <w:rFonts w:ascii="Times New Roman" w:hAnsi="Times New Roman" w:cs="Times New Roman"/>
          <w:sz w:val="28"/>
          <w:szCs w:val="28"/>
        </w:rPr>
        <w:t xml:space="preserve"> – 3,07±0,58 см (від 1,95 до 3,70 см); та хворих із доброякісними пухлинами нирок – 3,12±0,66 см (від 2,0 до 3,90 см). </w:t>
      </w:r>
    </w:p>
    <w:p w:rsidR="00FA5DA4" w:rsidRPr="00420481" w:rsidRDefault="00FA5DA4" w:rsidP="00FA5DA4">
      <w:pPr>
        <w:spacing w:line="360" w:lineRule="auto"/>
        <w:ind w:firstLine="709"/>
        <w:jc w:val="both"/>
        <w:rPr>
          <w:rFonts w:ascii="Times New Roman" w:hAnsi="Times New Roman" w:cs="Times New Roman"/>
          <w:sz w:val="28"/>
          <w:szCs w:val="28"/>
        </w:rPr>
      </w:pPr>
      <w:r w:rsidRPr="00CB3FB6">
        <w:rPr>
          <w:rFonts w:ascii="Times New Roman" w:hAnsi="Times New Roman" w:cs="Times New Roman"/>
          <w:sz w:val="28"/>
          <w:szCs w:val="28"/>
        </w:rPr>
        <w:t>Нами були проаналізовані показники</w:t>
      </w:r>
      <w:r>
        <w:rPr>
          <w:rFonts w:ascii="Times New Roman" w:hAnsi="Times New Roman" w:cs="Times New Roman"/>
          <w:sz w:val="28"/>
          <w:szCs w:val="28"/>
        </w:rPr>
        <w:t xml:space="preserve"> променевої щільності (інтенсивності сигналу</w:t>
      </w:r>
      <w:r w:rsidRPr="009E6C7E">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та нормальної ниркової паренхіми, які були </w:t>
      </w:r>
      <w:r w:rsidRPr="00CB3FB6">
        <w:rPr>
          <w:rFonts w:ascii="Times New Roman" w:hAnsi="Times New Roman" w:cs="Times New Roman"/>
          <w:sz w:val="28"/>
          <w:szCs w:val="28"/>
        </w:rPr>
        <w:t xml:space="preserve">отримані під час кожної з фаз мультифазної КТ </w:t>
      </w:r>
      <w:r>
        <w:rPr>
          <w:rFonts w:ascii="Times New Roman" w:hAnsi="Times New Roman" w:cs="Times New Roman"/>
          <w:sz w:val="28"/>
          <w:szCs w:val="28"/>
        </w:rPr>
        <w:t xml:space="preserve">у всіх чотирьох групах, а також </w:t>
      </w:r>
      <w:r>
        <w:rPr>
          <w:rFonts w:ascii="Times New Roman" w:hAnsi="Times New Roman" w:cs="Times New Roman"/>
          <w:sz w:val="28"/>
          <w:szCs w:val="28"/>
        </w:rPr>
        <w:lastRenderedPageBreak/>
        <w:t>обчислені на їх основі</w:t>
      </w:r>
      <w:r w:rsidRPr="00CB3FB6">
        <w:rPr>
          <w:rFonts w:ascii="Times New Roman" w:hAnsi="Times New Roman" w:cs="Times New Roman"/>
          <w:sz w:val="28"/>
          <w:szCs w:val="28"/>
        </w:rPr>
        <w:t xml:space="preserve"> </w:t>
      </w:r>
      <w:r>
        <w:rPr>
          <w:rFonts w:ascii="Times New Roman" w:hAnsi="Times New Roman" w:cs="Times New Roman"/>
          <w:sz w:val="28"/>
        </w:rPr>
        <w:t>ВПЩ новоутворення до здорової паренхіми нирки.</w:t>
      </w:r>
      <w:r w:rsidRPr="009E6C7E">
        <w:rPr>
          <w:rFonts w:ascii="Times New Roman" w:hAnsi="Times New Roman" w:cs="Times New Roman"/>
          <w:sz w:val="28"/>
        </w:rPr>
        <w:t xml:space="preserve"> </w:t>
      </w:r>
      <w:r w:rsidRPr="007C12EE">
        <w:rPr>
          <w:rFonts w:ascii="Times New Roman" w:hAnsi="Times New Roman" w:cs="Times New Roman"/>
          <w:sz w:val="28"/>
          <w:szCs w:val="28"/>
        </w:rPr>
        <w:t>Для підтвердження наяв</w:t>
      </w:r>
      <w:r>
        <w:rPr>
          <w:rFonts w:ascii="Times New Roman" w:hAnsi="Times New Roman" w:cs="Times New Roman"/>
          <w:sz w:val="28"/>
          <w:szCs w:val="28"/>
        </w:rPr>
        <w:t>ності статистичних відмінностей у середніх значеннях</w:t>
      </w:r>
      <w:r w:rsidRPr="007C12EE">
        <w:rPr>
          <w:rFonts w:ascii="Times New Roman" w:hAnsi="Times New Roman" w:cs="Times New Roman"/>
          <w:sz w:val="28"/>
          <w:szCs w:val="28"/>
        </w:rPr>
        <w:t xml:space="preserve"> </w:t>
      </w:r>
      <w:r>
        <w:rPr>
          <w:rFonts w:ascii="Times New Roman" w:hAnsi="Times New Roman" w:cs="Times New Roman"/>
          <w:sz w:val="28"/>
          <w:szCs w:val="28"/>
        </w:rPr>
        <w:t>інтенсивності сигналу (ІС), та у середніх значеннях</w:t>
      </w:r>
      <w:r w:rsidRPr="007C12EE">
        <w:rPr>
          <w:rFonts w:ascii="Times New Roman" w:hAnsi="Times New Roman" w:cs="Times New Roman"/>
          <w:sz w:val="28"/>
          <w:szCs w:val="28"/>
        </w:rPr>
        <w:t xml:space="preserve"> </w:t>
      </w:r>
      <w:r>
        <w:rPr>
          <w:rFonts w:ascii="Times New Roman" w:hAnsi="Times New Roman" w:cs="Times New Roman"/>
          <w:sz w:val="28"/>
          <w:szCs w:val="28"/>
        </w:rPr>
        <w:t xml:space="preserve">відношення променевої щільності (ВПЩ) </w:t>
      </w:r>
      <w:r>
        <w:rPr>
          <w:rFonts w:ascii="Times New Roman" w:hAnsi="Times New Roman" w:cs="Times New Roman"/>
          <w:sz w:val="28"/>
        </w:rPr>
        <w:t>новоутворення до нормальної ниркової паренхіми</w:t>
      </w:r>
      <w:r>
        <w:rPr>
          <w:rFonts w:ascii="Times New Roman" w:hAnsi="Times New Roman" w:cs="Times New Roman"/>
          <w:sz w:val="28"/>
          <w:szCs w:val="28"/>
        </w:rPr>
        <w:t xml:space="preserve"> в досліджуваних групах, </w:t>
      </w:r>
      <w:r w:rsidRPr="007C12EE">
        <w:rPr>
          <w:rFonts w:ascii="Times New Roman" w:hAnsi="Times New Roman" w:cs="Times New Roman"/>
          <w:sz w:val="28"/>
          <w:szCs w:val="28"/>
        </w:rPr>
        <w:t xml:space="preserve">вирішувалося завдання перевірки нульової гіпотези про відсутність </w:t>
      </w:r>
      <w:r>
        <w:rPr>
          <w:rFonts w:ascii="Times New Roman" w:hAnsi="Times New Roman" w:cs="Times New Roman"/>
          <w:sz w:val="28"/>
          <w:szCs w:val="28"/>
        </w:rPr>
        <w:t xml:space="preserve">різниці у зазначених показниках, </w:t>
      </w:r>
      <w:r w:rsidRPr="007C12EE">
        <w:rPr>
          <w:rFonts w:ascii="Times New Roman" w:hAnsi="Times New Roman" w:cs="Times New Roman"/>
          <w:sz w:val="28"/>
          <w:szCs w:val="28"/>
        </w:rPr>
        <w:t xml:space="preserve">при рівні значущості </w:t>
      </w:r>
      <w:r>
        <w:rPr>
          <w:rFonts w:ascii="Times New Roman" w:hAnsi="Times New Roman" w:cs="Times New Roman"/>
          <w:sz w:val="28"/>
          <w:szCs w:val="28"/>
        </w:rPr>
        <w:t>≤</w:t>
      </w:r>
      <w:r w:rsidRPr="007C12EE">
        <w:rPr>
          <w:rFonts w:ascii="Times New Roman" w:hAnsi="Times New Roman" w:cs="Times New Roman"/>
          <w:sz w:val="28"/>
          <w:szCs w:val="28"/>
        </w:rPr>
        <w:t xml:space="preserve">0,05. Для досягнення цієї мети використовувався </w:t>
      </w:r>
      <w:r>
        <w:rPr>
          <w:rFonts w:ascii="Times New Roman" w:hAnsi="Times New Roman" w:cs="Times New Roman"/>
          <w:sz w:val="28"/>
          <w:szCs w:val="28"/>
        </w:rPr>
        <w:t xml:space="preserve">дисперсійний аналіз – </w:t>
      </w:r>
      <w:r w:rsidRPr="001256BF">
        <w:rPr>
          <w:rFonts w:ascii="Times New Roman" w:hAnsi="Times New Roman" w:cs="Times New Roman"/>
          <w:sz w:val="28"/>
          <w:szCs w:val="28"/>
          <w:lang w:val="en-US"/>
        </w:rPr>
        <w:t>analysis</w:t>
      </w:r>
      <w:r w:rsidRPr="009E6C7E">
        <w:rPr>
          <w:rFonts w:ascii="Times New Roman" w:hAnsi="Times New Roman" w:cs="Times New Roman"/>
          <w:sz w:val="28"/>
          <w:szCs w:val="28"/>
        </w:rPr>
        <w:t xml:space="preserve"> </w:t>
      </w:r>
      <w:r w:rsidRPr="001256BF">
        <w:rPr>
          <w:rFonts w:ascii="Times New Roman" w:hAnsi="Times New Roman" w:cs="Times New Roman"/>
          <w:sz w:val="28"/>
          <w:szCs w:val="28"/>
          <w:lang w:val="en-US"/>
        </w:rPr>
        <w:t>of</w:t>
      </w:r>
      <w:r w:rsidRPr="009E6C7E">
        <w:rPr>
          <w:rFonts w:ascii="Times New Roman" w:hAnsi="Times New Roman" w:cs="Times New Roman"/>
          <w:sz w:val="28"/>
          <w:szCs w:val="28"/>
        </w:rPr>
        <w:t xml:space="preserve"> </w:t>
      </w:r>
      <w:r w:rsidRPr="001256BF">
        <w:rPr>
          <w:rFonts w:ascii="Times New Roman" w:hAnsi="Times New Roman" w:cs="Times New Roman"/>
          <w:sz w:val="28"/>
          <w:szCs w:val="28"/>
          <w:lang w:val="en-US"/>
        </w:rPr>
        <w:t>variance</w:t>
      </w:r>
      <w:r>
        <w:rPr>
          <w:rFonts w:ascii="Times New Roman" w:hAnsi="Times New Roman" w:cs="Times New Roman"/>
          <w:sz w:val="28"/>
          <w:szCs w:val="28"/>
        </w:rPr>
        <w:t xml:space="preserve"> (</w:t>
      </w:r>
      <w:r>
        <w:rPr>
          <w:rFonts w:ascii="Times New Roman" w:hAnsi="Times New Roman" w:cs="Times New Roman"/>
          <w:sz w:val="28"/>
          <w:szCs w:val="28"/>
          <w:lang w:val="en-US"/>
        </w:rPr>
        <w:t>ANOVA</w:t>
      </w:r>
      <w:r w:rsidRPr="009E6C7E">
        <w:rPr>
          <w:rFonts w:ascii="Times New Roman" w:hAnsi="Times New Roman" w:cs="Times New Roman"/>
          <w:sz w:val="28"/>
          <w:szCs w:val="28"/>
        </w:rPr>
        <w:t>)</w:t>
      </w:r>
      <w:r>
        <w:rPr>
          <w:rFonts w:ascii="Times New Roman" w:hAnsi="Times New Roman" w:cs="Times New Roman"/>
          <w:sz w:val="28"/>
          <w:szCs w:val="28"/>
        </w:rPr>
        <w:t xml:space="preserve">. Для обрахунків ВПЩ </w:t>
      </w:r>
      <w:r>
        <w:rPr>
          <w:rFonts w:ascii="Times New Roman" w:hAnsi="Times New Roman" w:cs="Times New Roman"/>
          <w:sz w:val="28"/>
        </w:rPr>
        <w:t>новоутворення до здорової паренхіми нирки для контрольної групи даний параметр був прийнятий за 1,0.</w:t>
      </w:r>
      <w:r w:rsidRPr="009E6C7E">
        <w:rPr>
          <w:rFonts w:ascii="Times New Roman" w:hAnsi="Times New Roman" w:cs="Times New Roman"/>
          <w:sz w:val="28"/>
          <w:lang w:val="ru-RU"/>
        </w:rPr>
        <w:t xml:space="preserve"> </w:t>
      </w:r>
      <w:r>
        <w:rPr>
          <w:rFonts w:ascii="Times New Roman" w:hAnsi="Times New Roman" w:cs="Times New Roman"/>
          <w:sz w:val="28"/>
        </w:rPr>
        <w:t xml:space="preserve">Чутливість, специфічність та точність методу розраховувались за допомогою </w:t>
      </w:r>
      <w:r>
        <w:rPr>
          <w:rFonts w:ascii="Times New Roman" w:hAnsi="Times New Roman" w:cs="Times New Roman"/>
          <w:sz w:val="28"/>
          <w:lang w:val="en-US"/>
        </w:rPr>
        <w:t>ROC</w:t>
      </w:r>
      <w:r w:rsidRPr="009E6C7E">
        <w:rPr>
          <w:rFonts w:ascii="Times New Roman" w:hAnsi="Times New Roman" w:cs="Times New Roman"/>
          <w:sz w:val="28"/>
          <w:lang w:val="ru-RU"/>
        </w:rPr>
        <w:t>-</w:t>
      </w:r>
      <w:r>
        <w:rPr>
          <w:rFonts w:ascii="Times New Roman" w:hAnsi="Times New Roman" w:cs="Times New Roman"/>
          <w:sz w:val="28"/>
        </w:rPr>
        <w:t>аналізу.</w:t>
      </w:r>
    </w:p>
    <w:p w:rsidR="00FA5DA4" w:rsidRPr="00FD2514" w:rsidRDefault="00FA5DA4" w:rsidP="00FA5DA4">
      <w:pPr>
        <w:spacing w:line="360" w:lineRule="auto"/>
        <w:jc w:val="both"/>
        <w:rPr>
          <w:rFonts w:ascii="Times New Roman" w:hAnsi="Times New Roman" w:cs="Times New Roman"/>
          <w:sz w:val="28"/>
          <w:szCs w:val="28"/>
        </w:rPr>
      </w:pPr>
      <w:r>
        <w:rPr>
          <w:rFonts w:ascii="Times New Roman" w:hAnsi="Times New Roman" w:cs="Times New Roman"/>
          <w:sz w:val="28"/>
          <w:szCs w:val="28"/>
        </w:rPr>
        <w:tab/>
        <w:t>При аналізі інтенсивності сигналу пухлин на пре-контрастних КТ-зображеннях в основній та групах порівняння, а також нормальної ниркової паренхіми в контрольній групі, було отримано наступні середні значення променевої щільності:</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середня променева щільність НКР була найвищою у порівнянні із іншими групами і складала </w:t>
      </w:r>
      <w:r>
        <w:rPr>
          <w:rFonts w:ascii="Times New Roman" w:hAnsi="Times New Roman"/>
          <w:sz w:val="28"/>
          <w:szCs w:val="28"/>
        </w:rPr>
        <w:t>39,0</w:t>
      </w:r>
      <w:r>
        <w:rPr>
          <w:rFonts w:ascii="Times New Roman" w:hAnsi="Times New Roman" w:cs="Times New Roman"/>
          <w:sz w:val="28"/>
          <w:szCs w:val="28"/>
        </w:rPr>
        <w:t>±</w:t>
      </w:r>
      <w:r>
        <w:rPr>
          <w:rFonts w:ascii="Times New Roman" w:hAnsi="Times New Roman"/>
          <w:sz w:val="28"/>
          <w:szCs w:val="28"/>
        </w:rPr>
        <w:t xml:space="preserve">9,62 </w:t>
      </w:r>
      <w:r>
        <w:rPr>
          <w:rFonts w:ascii="Times New Roman" w:hAnsi="Times New Roman"/>
          <w:sz w:val="28"/>
          <w:szCs w:val="28"/>
          <w:lang w:val="en-US"/>
        </w:rPr>
        <w:t>HU</w:t>
      </w:r>
      <w:r w:rsidRPr="009E6C7E">
        <w:rPr>
          <w:rFonts w:ascii="Times New Roman" w:hAnsi="Times New Roman"/>
          <w:sz w:val="28"/>
          <w:szCs w:val="28"/>
        </w:rPr>
        <w:t xml:space="preserve"> (95% </w:t>
      </w:r>
      <w:r>
        <w:rPr>
          <w:rFonts w:ascii="Times New Roman" w:hAnsi="Times New Roman"/>
          <w:sz w:val="28"/>
          <w:szCs w:val="28"/>
        </w:rPr>
        <w:t xml:space="preserve">ДІ=36,86-41,16 </w:t>
      </w:r>
      <w:r>
        <w:rPr>
          <w:rFonts w:ascii="Times New Roman" w:hAnsi="Times New Roman"/>
          <w:sz w:val="28"/>
          <w:szCs w:val="28"/>
          <w:lang w:val="en-US"/>
        </w:rPr>
        <w:t>HU</w:t>
      </w:r>
      <w:r>
        <w:rPr>
          <w:rFonts w:ascii="Times New Roman" w:hAnsi="Times New Roman"/>
          <w:sz w:val="28"/>
          <w:szCs w:val="28"/>
        </w:rPr>
        <w:t xml:space="preserve">), при ПКК ниркової миски вона була найнижчою поміж інших груп та становила </w:t>
      </w:r>
      <w:r w:rsidRPr="009E6C7E">
        <w:rPr>
          <w:rFonts w:ascii="Times New Roman" w:hAnsi="Times New Roman"/>
          <w:sz w:val="28"/>
          <w:szCs w:val="28"/>
        </w:rPr>
        <w:t>25</w:t>
      </w:r>
      <w:r>
        <w:rPr>
          <w:rFonts w:ascii="Times New Roman" w:hAnsi="Times New Roman"/>
          <w:sz w:val="28"/>
          <w:szCs w:val="28"/>
        </w:rPr>
        <w:t>,42</w:t>
      </w:r>
      <w:r>
        <w:rPr>
          <w:rFonts w:ascii="Times New Roman" w:hAnsi="Times New Roman" w:cs="Times New Roman"/>
          <w:sz w:val="28"/>
          <w:szCs w:val="28"/>
        </w:rPr>
        <w:t>±</w:t>
      </w:r>
      <w:r>
        <w:rPr>
          <w:rFonts w:ascii="Times New Roman" w:hAnsi="Times New Roman"/>
          <w:sz w:val="28"/>
          <w:szCs w:val="28"/>
        </w:rPr>
        <w:t>5,43</w:t>
      </w:r>
      <w:r>
        <w:rPr>
          <w:rFonts w:ascii="Times New Roman" w:hAnsi="Times New Roman"/>
          <w:sz w:val="28"/>
          <w:szCs w:val="28"/>
          <w:lang w:val="en-US"/>
        </w:rPr>
        <w:t>HU</w:t>
      </w:r>
      <w:r w:rsidRPr="009E6C7E">
        <w:rPr>
          <w:rFonts w:ascii="Times New Roman" w:hAnsi="Times New Roman"/>
          <w:sz w:val="28"/>
          <w:szCs w:val="28"/>
        </w:rPr>
        <w:t xml:space="preserve"> (95% </w:t>
      </w:r>
      <w:r>
        <w:rPr>
          <w:rFonts w:ascii="Times New Roman" w:hAnsi="Times New Roman"/>
          <w:sz w:val="28"/>
          <w:szCs w:val="28"/>
        </w:rPr>
        <w:t xml:space="preserve">ДІ=21,53-29,30 </w:t>
      </w:r>
      <w:r>
        <w:rPr>
          <w:rFonts w:ascii="Times New Roman" w:hAnsi="Times New Roman"/>
          <w:sz w:val="28"/>
          <w:szCs w:val="28"/>
          <w:lang w:val="en-US"/>
        </w:rPr>
        <w:t>HU</w:t>
      </w:r>
      <w:r>
        <w:rPr>
          <w:rFonts w:ascii="Times New Roman" w:hAnsi="Times New Roman"/>
          <w:sz w:val="28"/>
          <w:szCs w:val="28"/>
        </w:rPr>
        <w:t xml:space="preserve">), при доброякісних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 xml:space="preserve">дана величина становила </w:t>
      </w:r>
      <w:r w:rsidRPr="009E6C7E">
        <w:rPr>
          <w:rFonts w:ascii="Times New Roman" w:hAnsi="Times New Roman"/>
          <w:sz w:val="28"/>
          <w:szCs w:val="28"/>
        </w:rPr>
        <w:t>34</w:t>
      </w:r>
      <w:r>
        <w:rPr>
          <w:rFonts w:ascii="Times New Roman" w:hAnsi="Times New Roman"/>
          <w:sz w:val="28"/>
          <w:szCs w:val="28"/>
        </w:rPr>
        <w:t>,</w:t>
      </w:r>
      <w:r w:rsidRPr="009E6C7E">
        <w:rPr>
          <w:rFonts w:ascii="Times New Roman" w:hAnsi="Times New Roman"/>
          <w:sz w:val="28"/>
          <w:szCs w:val="28"/>
        </w:rPr>
        <w:t>93</w:t>
      </w:r>
      <w:r>
        <w:rPr>
          <w:rFonts w:ascii="Times New Roman" w:hAnsi="Times New Roman" w:cs="Times New Roman"/>
          <w:sz w:val="28"/>
          <w:szCs w:val="28"/>
        </w:rPr>
        <w:t>±</w:t>
      </w:r>
      <w:r>
        <w:rPr>
          <w:rFonts w:ascii="Times New Roman" w:hAnsi="Times New Roman"/>
          <w:sz w:val="28"/>
          <w:szCs w:val="28"/>
        </w:rPr>
        <w:t xml:space="preserve">9,47 </w:t>
      </w:r>
      <w:r>
        <w:rPr>
          <w:rFonts w:ascii="Times New Roman" w:hAnsi="Times New Roman"/>
          <w:sz w:val="28"/>
          <w:szCs w:val="28"/>
          <w:lang w:val="en-US"/>
        </w:rPr>
        <w:t>HU</w:t>
      </w:r>
      <w:r w:rsidRPr="009E6C7E">
        <w:rPr>
          <w:rFonts w:ascii="Times New Roman" w:hAnsi="Times New Roman"/>
          <w:sz w:val="28"/>
          <w:szCs w:val="28"/>
        </w:rPr>
        <w:t xml:space="preserve"> (95% </w:t>
      </w:r>
      <w:r>
        <w:rPr>
          <w:rFonts w:ascii="Times New Roman" w:hAnsi="Times New Roman"/>
          <w:sz w:val="28"/>
          <w:szCs w:val="28"/>
        </w:rPr>
        <w:t xml:space="preserve">ДІ=30,61-39,24 </w:t>
      </w:r>
      <w:r>
        <w:rPr>
          <w:rFonts w:ascii="Times New Roman" w:hAnsi="Times New Roman"/>
          <w:sz w:val="28"/>
          <w:szCs w:val="28"/>
          <w:lang w:val="en-US"/>
        </w:rPr>
        <w:t>HU</w:t>
      </w:r>
      <w:r>
        <w:rPr>
          <w:rFonts w:ascii="Times New Roman" w:hAnsi="Times New Roman"/>
          <w:sz w:val="28"/>
          <w:szCs w:val="28"/>
        </w:rPr>
        <w:t>); середнє значення ІС нормальної ниркової паренхіми становило 30,84</w:t>
      </w:r>
      <w:r>
        <w:rPr>
          <w:rFonts w:ascii="Times New Roman" w:hAnsi="Times New Roman" w:cs="Times New Roman"/>
          <w:sz w:val="28"/>
          <w:szCs w:val="28"/>
        </w:rPr>
        <w:t>±</w:t>
      </w:r>
      <w:r>
        <w:rPr>
          <w:rFonts w:ascii="Times New Roman" w:hAnsi="Times New Roman"/>
          <w:sz w:val="28"/>
          <w:szCs w:val="28"/>
        </w:rPr>
        <w:t xml:space="preserve">6,51 </w:t>
      </w:r>
      <w:r>
        <w:rPr>
          <w:rFonts w:ascii="Times New Roman" w:hAnsi="Times New Roman"/>
          <w:sz w:val="28"/>
          <w:szCs w:val="28"/>
          <w:lang w:val="en-US"/>
        </w:rPr>
        <w:t>HU</w:t>
      </w:r>
      <w:r w:rsidRPr="009E6C7E">
        <w:rPr>
          <w:rFonts w:ascii="Times New Roman" w:hAnsi="Times New Roman"/>
          <w:sz w:val="28"/>
          <w:szCs w:val="28"/>
        </w:rPr>
        <w:t xml:space="preserve"> (95% </w:t>
      </w:r>
      <w:r>
        <w:rPr>
          <w:rFonts w:ascii="Times New Roman" w:hAnsi="Times New Roman"/>
          <w:sz w:val="28"/>
          <w:szCs w:val="28"/>
        </w:rPr>
        <w:t xml:space="preserve">ДІ=28,40-33,27 </w:t>
      </w:r>
      <w:r>
        <w:rPr>
          <w:rFonts w:ascii="Times New Roman" w:hAnsi="Times New Roman"/>
          <w:sz w:val="28"/>
          <w:szCs w:val="28"/>
          <w:lang w:val="en-US"/>
        </w:rPr>
        <w:t>HU</w:t>
      </w:r>
      <w:r>
        <w:rPr>
          <w:rFonts w:ascii="Times New Roman" w:hAnsi="Times New Roman"/>
          <w:sz w:val="28"/>
          <w:szCs w:val="28"/>
        </w:rPr>
        <w:t xml:space="preserve">). При порівнянні середньої променевої щільності </w:t>
      </w:r>
      <w:r>
        <w:rPr>
          <w:rFonts w:ascii="Times New Roman" w:hAnsi="Times New Roman"/>
          <w:sz w:val="28"/>
          <w:szCs w:val="28"/>
          <w:lang w:val="en-US"/>
        </w:rPr>
        <w:t>SRM</w:t>
      </w:r>
      <w:r>
        <w:rPr>
          <w:rFonts w:ascii="Times New Roman" w:hAnsi="Times New Roman"/>
          <w:sz w:val="28"/>
          <w:szCs w:val="28"/>
        </w:rPr>
        <w:t xml:space="preserve"> та нормальної ниркової паренхіми, достовірно даний параметр від контролю відрізнявся лише групі з НКР (р</w:t>
      </w:r>
      <w:r w:rsidRPr="009E6C7E">
        <w:rPr>
          <w:rFonts w:ascii="Times New Roman" w:hAnsi="Times New Roman"/>
          <w:sz w:val="28"/>
          <w:szCs w:val="28"/>
        </w:rPr>
        <w:t>&lt;0</w:t>
      </w:r>
      <w:r>
        <w:rPr>
          <w:rFonts w:ascii="Times New Roman" w:hAnsi="Times New Roman"/>
          <w:sz w:val="28"/>
          <w:szCs w:val="28"/>
        </w:rPr>
        <w:t xml:space="preserve">,001). При порівнянні між собою середніх значень ІС у групах із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 xml:space="preserve"> достовірна різниця відзначалась між НКР та ПКК</w:t>
      </w:r>
      <w:r w:rsidRPr="00241FF7">
        <w:rPr>
          <w:rFonts w:ascii="Times New Roman" w:hAnsi="Times New Roman"/>
          <w:sz w:val="28"/>
          <w:szCs w:val="28"/>
        </w:rPr>
        <w:t xml:space="preserve"> </w:t>
      </w:r>
      <w:r>
        <w:rPr>
          <w:rFonts w:ascii="Times New Roman" w:hAnsi="Times New Roman"/>
          <w:sz w:val="28"/>
          <w:szCs w:val="28"/>
        </w:rPr>
        <w:t>ниркової миски (р</w:t>
      </w:r>
      <w:r w:rsidRPr="009E6C7E">
        <w:rPr>
          <w:rFonts w:ascii="Times New Roman" w:hAnsi="Times New Roman"/>
          <w:sz w:val="28"/>
          <w:szCs w:val="28"/>
        </w:rPr>
        <w:t>&lt;0</w:t>
      </w:r>
      <w:r>
        <w:rPr>
          <w:rFonts w:ascii="Times New Roman" w:hAnsi="Times New Roman"/>
          <w:sz w:val="28"/>
          <w:szCs w:val="28"/>
        </w:rPr>
        <w:t>,001) та ПКК і доброякісними пухлинами нирки (р</w:t>
      </w:r>
      <w:r w:rsidRPr="009E6C7E">
        <w:rPr>
          <w:rFonts w:ascii="Times New Roman" w:hAnsi="Times New Roman"/>
          <w:sz w:val="28"/>
          <w:szCs w:val="28"/>
        </w:rPr>
        <w:t>=</w:t>
      </w:r>
      <w:r>
        <w:rPr>
          <w:rFonts w:ascii="Times New Roman" w:hAnsi="Times New Roman"/>
          <w:sz w:val="28"/>
          <w:szCs w:val="28"/>
        </w:rPr>
        <w:t xml:space="preserve">0,028). Водночас, між середніми значеннями променевої щільності НКР та доброякісних </w:t>
      </w:r>
      <w:r>
        <w:rPr>
          <w:rFonts w:ascii="Times New Roman" w:hAnsi="Times New Roman"/>
          <w:sz w:val="28"/>
          <w:szCs w:val="28"/>
          <w:lang w:val="en-US"/>
        </w:rPr>
        <w:t>SRM</w:t>
      </w:r>
      <w:r w:rsidRPr="009E6C7E">
        <w:rPr>
          <w:rFonts w:ascii="Times New Roman" w:hAnsi="Times New Roman"/>
          <w:sz w:val="28"/>
          <w:szCs w:val="28"/>
          <w:lang w:val="ru-RU"/>
        </w:rPr>
        <w:t xml:space="preserve"> </w:t>
      </w:r>
      <w:r w:rsidRPr="007F676A">
        <w:rPr>
          <w:rFonts w:ascii="Times New Roman" w:hAnsi="Times New Roman"/>
          <w:sz w:val="28"/>
          <w:szCs w:val="28"/>
        </w:rPr>
        <w:t>достовірної різниці не спостерігалось (</w:t>
      </w:r>
      <w:r>
        <w:rPr>
          <w:rFonts w:ascii="Times New Roman" w:hAnsi="Times New Roman"/>
          <w:sz w:val="28"/>
          <w:szCs w:val="28"/>
        </w:rPr>
        <w:t>р=0,236).</w:t>
      </w:r>
    </w:p>
    <w:p w:rsidR="00FA5DA4"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 xml:space="preserve">Аналіз променевої щільності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 xml:space="preserve">та нормальної ниркової паренхіми на КТ-зображеннях кортико-медулярної фази, що передбачало введення </w:t>
      </w:r>
      <w:r>
        <w:rPr>
          <w:rFonts w:ascii="Times New Roman" w:hAnsi="Times New Roman"/>
          <w:sz w:val="28"/>
          <w:szCs w:val="28"/>
        </w:rPr>
        <w:lastRenderedPageBreak/>
        <w:t>контрастних речовин, продемонстрував найвищі показники середньої ІС в контрольній групі (119,38</w:t>
      </w:r>
      <w:r>
        <w:rPr>
          <w:rFonts w:ascii="Times New Roman" w:hAnsi="Times New Roman" w:cs="Times New Roman"/>
          <w:sz w:val="28"/>
          <w:szCs w:val="28"/>
        </w:rPr>
        <w:t>±</w:t>
      </w:r>
      <w:r>
        <w:rPr>
          <w:rFonts w:ascii="Times New Roman" w:hAnsi="Times New Roman"/>
          <w:sz w:val="28"/>
          <w:szCs w:val="28"/>
        </w:rPr>
        <w:t>13,21</w:t>
      </w:r>
      <w:r w:rsidRPr="009E6C7E">
        <w:rPr>
          <w:rFonts w:ascii="Times New Roman" w:hAnsi="Times New Roman"/>
          <w:sz w:val="28"/>
          <w:szCs w:val="28"/>
        </w:rPr>
        <w:t xml:space="preserve"> </w:t>
      </w:r>
      <w:r>
        <w:rPr>
          <w:rFonts w:ascii="Times New Roman" w:hAnsi="Times New Roman"/>
          <w:sz w:val="28"/>
          <w:szCs w:val="28"/>
          <w:lang w:val="en-US"/>
        </w:rPr>
        <w:t>HU</w:t>
      </w:r>
      <w:r w:rsidRPr="009E6C7E">
        <w:rPr>
          <w:rFonts w:ascii="Times New Roman" w:hAnsi="Times New Roman"/>
          <w:sz w:val="28"/>
          <w:szCs w:val="28"/>
        </w:rPr>
        <w:t>, 95% ДІ=</w:t>
      </w:r>
      <w:r>
        <w:rPr>
          <w:rFonts w:ascii="Times New Roman" w:hAnsi="Times New Roman"/>
          <w:sz w:val="28"/>
          <w:szCs w:val="28"/>
        </w:rPr>
        <w:t>114,45-124,31), а найнижчі – у групі із ПКК ниркової миски (68,89</w:t>
      </w:r>
      <w:r>
        <w:rPr>
          <w:rFonts w:ascii="Times New Roman" w:hAnsi="Times New Roman" w:cs="Times New Roman"/>
          <w:sz w:val="28"/>
          <w:szCs w:val="28"/>
        </w:rPr>
        <w:t>±</w:t>
      </w:r>
      <w:r>
        <w:rPr>
          <w:rFonts w:ascii="Times New Roman" w:hAnsi="Times New Roman"/>
          <w:sz w:val="28"/>
          <w:szCs w:val="28"/>
        </w:rPr>
        <w:t xml:space="preserve">12,39 </w:t>
      </w:r>
      <w:r>
        <w:rPr>
          <w:rFonts w:ascii="Times New Roman" w:hAnsi="Times New Roman"/>
          <w:sz w:val="28"/>
          <w:szCs w:val="28"/>
          <w:lang w:val="en-US"/>
        </w:rPr>
        <w:t>HU</w:t>
      </w:r>
      <w:r>
        <w:rPr>
          <w:rFonts w:ascii="Times New Roman" w:hAnsi="Times New Roman"/>
          <w:sz w:val="28"/>
          <w:szCs w:val="28"/>
        </w:rPr>
        <w:t>, 95% ДІ=60,03-77,76). У групі із НКР при середньому значенні даного параметру 105,56</w:t>
      </w:r>
      <w:r>
        <w:rPr>
          <w:rFonts w:ascii="Times New Roman" w:hAnsi="Times New Roman" w:cs="Times New Roman"/>
          <w:sz w:val="28"/>
          <w:szCs w:val="28"/>
        </w:rPr>
        <w:t>±</w:t>
      </w:r>
      <w:r>
        <w:rPr>
          <w:rFonts w:ascii="Times New Roman" w:hAnsi="Times New Roman"/>
          <w:sz w:val="28"/>
          <w:szCs w:val="28"/>
        </w:rPr>
        <w:t>24,58 (95% ДІ=100,05-111,06) статистично достовірна різниця спостерігалась як при порівнянні із групою з ПКК ниркової миски (р</w:t>
      </w:r>
      <w:r w:rsidRPr="009E6C7E">
        <w:rPr>
          <w:rFonts w:ascii="Times New Roman" w:hAnsi="Times New Roman"/>
          <w:sz w:val="28"/>
          <w:szCs w:val="28"/>
        </w:rPr>
        <w:t>&lt;</w:t>
      </w:r>
      <w:r>
        <w:rPr>
          <w:rFonts w:ascii="Times New Roman" w:hAnsi="Times New Roman"/>
          <w:sz w:val="28"/>
          <w:szCs w:val="28"/>
        </w:rPr>
        <w:t>0,001), так із доброякісними пухлинами (р=0,001), проте, достовірної різниці із контрольною групою не було (р=0,015). Таке явище може бути пояснене значною варіабельністю васкуляризації пухлин при НКР, а також негомогенністю ІС в межах однієї пухлини</w:t>
      </w:r>
      <w:r>
        <w:rPr>
          <w:rFonts w:ascii="Times New Roman" w:hAnsi="Times New Roman" w:cs="Times New Roman"/>
          <w:sz w:val="28"/>
          <w:szCs w:val="28"/>
        </w:rPr>
        <w:t xml:space="preserve">, наслідком чого був широкий діапазон променевої щільності  новоутворень – від </w:t>
      </w:r>
      <w:r>
        <w:rPr>
          <w:rFonts w:ascii="Times New Roman" w:hAnsi="Times New Roman"/>
          <w:sz w:val="28"/>
          <w:szCs w:val="28"/>
        </w:rPr>
        <w:t xml:space="preserve">65,80 </w:t>
      </w:r>
      <w:r>
        <w:rPr>
          <w:rFonts w:ascii="Times New Roman" w:hAnsi="Times New Roman"/>
          <w:sz w:val="28"/>
          <w:szCs w:val="28"/>
          <w:lang w:val="en-US"/>
        </w:rPr>
        <w:t>HU</w:t>
      </w:r>
      <w:r>
        <w:rPr>
          <w:rFonts w:ascii="Times New Roman" w:hAnsi="Times New Roman"/>
          <w:sz w:val="28"/>
          <w:szCs w:val="28"/>
        </w:rPr>
        <w:t xml:space="preserve"> до 166,65 </w:t>
      </w:r>
      <w:r>
        <w:rPr>
          <w:rFonts w:ascii="Times New Roman" w:hAnsi="Times New Roman"/>
          <w:sz w:val="28"/>
          <w:szCs w:val="28"/>
          <w:lang w:val="en-US"/>
        </w:rPr>
        <w:t>HU</w:t>
      </w:r>
      <w:r>
        <w:rPr>
          <w:rFonts w:ascii="Times New Roman" w:hAnsi="Times New Roman" w:cs="Times New Roman"/>
          <w:sz w:val="28"/>
          <w:szCs w:val="28"/>
        </w:rPr>
        <w:t>, що спричинило взаємонакладання із показниками променевої щільності здорової ниркової паренхіми (</w:t>
      </w:r>
      <w:r>
        <w:rPr>
          <w:rFonts w:ascii="Times New Roman" w:hAnsi="Times New Roman"/>
          <w:sz w:val="28"/>
          <w:szCs w:val="28"/>
        </w:rPr>
        <w:t>95,75-142,30</w:t>
      </w:r>
      <w:r w:rsidRPr="009E6C7E">
        <w:rPr>
          <w:rFonts w:ascii="Times New Roman" w:hAnsi="Times New Roman"/>
          <w:sz w:val="28"/>
          <w:szCs w:val="28"/>
        </w:rPr>
        <w:t xml:space="preserve"> </w:t>
      </w:r>
      <w:r>
        <w:rPr>
          <w:rFonts w:ascii="Times New Roman" w:hAnsi="Times New Roman"/>
          <w:sz w:val="28"/>
          <w:szCs w:val="28"/>
          <w:lang w:val="en-US"/>
        </w:rPr>
        <w:t>HU</w:t>
      </w:r>
      <w:r w:rsidRPr="009E6C7E">
        <w:rPr>
          <w:rFonts w:ascii="Times New Roman" w:hAnsi="Times New Roman"/>
          <w:sz w:val="28"/>
          <w:szCs w:val="28"/>
        </w:rPr>
        <w:t>)</w:t>
      </w:r>
      <w:r>
        <w:rPr>
          <w:rFonts w:ascii="Times New Roman" w:hAnsi="Times New Roman"/>
          <w:sz w:val="28"/>
          <w:szCs w:val="28"/>
        </w:rPr>
        <w:t>.  Водночас, середні значення променевої щільності ПКК ниркової миски та доброякісних пухлин також не мали між собою достовірної різниці (р=0,168), хоча, із даним показником контрольної групи обидві групи порівняння достовірно відрізнялись  (р</w:t>
      </w:r>
      <w:r w:rsidRPr="009E6C7E">
        <w:rPr>
          <w:rFonts w:ascii="Times New Roman" w:hAnsi="Times New Roman"/>
          <w:sz w:val="28"/>
          <w:szCs w:val="28"/>
        </w:rPr>
        <w:t>&lt;</w:t>
      </w:r>
      <w:r>
        <w:rPr>
          <w:rFonts w:ascii="Times New Roman" w:hAnsi="Times New Roman"/>
          <w:sz w:val="28"/>
          <w:szCs w:val="28"/>
        </w:rPr>
        <w:t>0,001).</w:t>
      </w:r>
    </w:p>
    <w:p w:rsidR="00FA5DA4" w:rsidRPr="005E7D8F"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Нами були проаналізовані показники ІС малих ниркових новоутворів та нормальної ниркової паренхіми отримані з КТ-зображень нефрографічної фази. Найвищі значення ІС реєструвались в контрольній групі (115,11</w:t>
      </w:r>
      <w:r>
        <w:rPr>
          <w:rFonts w:ascii="Times New Roman" w:hAnsi="Times New Roman" w:cs="Times New Roman"/>
          <w:sz w:val="28"/>
          <w:szCs w:val="28"/>
        </w:rPr>
        <w:t>±</w:t>
      </w:r>
      <w:r>
        <w:rPr>
          <w:rFonts w:ascii="Times New Roman" w:hAnsi="Times New Roman"/>
          <w:sz w:val="28"/>
          <w:szCs w:val="28"/>
        </w:rPr>
        <w:t xml:space="preserve">36,03 </w:t>
      </w:r>
      <w:r>
        <w:rPr>
          <w:rFonts w:ascii="Times New Roman" w:hAnsi="Times New Roman"/>
          <w:sz w:val="28"/>
          <w:szCs w:val="28"/>
          <w:lang w:val="en-US"/>
        </w:rPr>
        <w:t>HU</w:t>
      </w:r>
      <w:r>
        <w:rPr>
          <w:rFonts w:ascii="Times New Roman" w:hAnsi="Times New Roman"/>
          <w:sz w:val="28"/>
          <w:szCs w:val="28"/>
        </w:rPr>
        <w:t>), а найнижчі у підгрупі із ПКК ниркової миски (54,07</w:t>
      </w:r>
      <w:r>
        <w:rPr>
          <w:rFonts w:ascii="Times New Roman" w:hAnsi="Times New Roman" w:cs="Times New Roman"/>
          <w:sz w:val="28"/>
          <w:szCs w:val="28"/>
        </w:rPr>
        <w:t>±</w:t>
      </w:r>
      <w:r>
        <w:rPr>
          <w:rFonts w:ascii="Times New Roman" w:hAnsi="Times New Roman"/>
          <w:sz w:val="28"/>
          <w:szCs w:val="28"/>
        </w:rPr>
        <w:t>5,31</w:t>
      </w:r>
      <w:r w:rsidRPr="009E6C7E">
        <w:rPr>
          <w:rFonts w:ascii="Times New Roman" w:hAnsi="Times New Roman"/>
          <w:sz w:val="28"/>
          <w:szCs w:val="28"/>
        </w:rPr>
        <w:t xml:space="preserve"> </w:t>
      </w:r>
      <w:r>
        <w:rPr>
          <w:rFonts w:ascii="Times New Roman" w:hAnsi="Times New Roman"/>
          <w:sz w:val="28"/>
          <w:szCs w:val="28"/>
          <w:lang w:val="en-US"/>
        </w:rPr>
        <w:t>HU</w:t>
      </w:r>
      <w:r>
        <w:rPr>
          <w:rFonts w:ascii="Times New Roman" w:hAnsi="Times New Roman"/>
          <w:sz w:val="28"/>
          <w:szCs w:val="28"/>
        </w:rPr>
        <w:t xml:space="preserve">). При порівнянні середніх значень ІС у групах між собою, нами не було отримано достовірної різниці в підгрупах з НКР та доброякісними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 xml:space="preserve">р=0,952), у решті випадків ми реєстрували суттєву статистичну різницю. </w:t>
      </w:r>
    </w:p>
    <w:p w:rsidR="00321B82" w:rsidRDefault="00FA5DA4" w:rsidP="00321B82">
      <w:pPr>
        <w:spacing w:line="360" w:lineRule="auto"/>
        <w:ind w:firstLine="708"/>
        <w:jc w:val="both"/>
        <w:rPr>
          <w:rFonts w:ascii="Times New Roman" w:hAnsi="Times New Roman"/>
          <w:sz w:val="28"/>
          <w:szCs w:val="28"/>
        </w:rPr>
      </w:pPr>
      <w:r>
        <w:rPr>
          <w:rFonts w:ascii="Times New Roman" w:hAnsi="Times New Roman" w:cs="Times New Roman"/>
          <w:sz w:val="28"/>
          <w:szCs w:val="28"/>
        </w:rPr>
        <w:t>Аналізуючи показники променевої щільності на КТ-зображеннях екскреторної фази нами було виявлено найвищі значення ІС у контрольній групі (</w:t>
      </w:r>
      <w:r>
        <w:rPr>
          <w:rFonts w:ascii="Times New Roman" w:hAnsi="Times New Roman"/>
          <w:sz w:val="28"/>
          <w:szCs w:val="28"/>
        </w:rPr>
        <w:t>85,52</w:t>
      </w:r>
      <w:r>
        <w:rPr>
          <w:rFonts w:ascii="Times New Roman" w:hAnsi="Times New Roman" w:cs="Times New Roman"/>
          <w:sz w:val="28"/>
          <w:szCs w:val="28"/>
        </w:rPr>
        <w:t>±</w:t>
      </w:r>
      <w:r>
        <w:rPr>
          <w:rFonts w:ascii="Times New Roman" w:hAnsi="Times New Roman"/>
          <w:sz w:val="28"/>
          <w:szCs w:val="28"/>
        </w:rPr>
        <w:t xml:space="preserve">11,34 </w:t>
      </w:r>
      <w:r>
        <w:rPr>
          <w:rFonts w:ascii="Times New Roman" w:hAnsi="Times New Roman"/>
          <w:sz w:val="28"/>
          <w:szCs w:val="28"/>
          <w:lang w:val="en-US"/>
        </w:rPr>
        <w:t>HU</w:t>
      </w:r>
      <w:r>
        <w:rPr>
          <w:rFonts w:ascii="Times New Roman" w:hAnsi="Times New Roman"/>
          <w:sz w:val="28"/>
          <w:szCs w:val="28"/>
        </w:rPr>
        <w:t>), а найнижчі – в групі порівняння з ПКК ниркової миски (37,86</w:t>
      </w:r>
      <w:r>
        <w:rPr>
          <w:rFonts w:ascii="Times New Roman" w:hAnsi="Times New Roman" w:cs="Times New Roman"/>
          <w:sz w:val="28"/>
          <w:szCs w:val="28"/>
        </w:rPr>
        <w:t>±</w:t>
      </w:r>
      <w:r>
        <w:rPr>
          <w:rFonts w:ascii="Times New Roman" w:hAnsi="Times New Roman"/>
          <w:sz w:val="28"/>
          <w:szCs w:val="28"/>
        </w:rPr>
        <w:t>5,86</w:t>
      </w:r>
      <w:r w:rsidRPr="009E6C7E">
        <w:rPr>
          <w:rFonts w:ascii="Times New Roman" w:hAnsi="Times New Roman"/>
          <w:sz w:val="28"/>
          <w:szCs w:val="28"/>
        </w:rPr>
        <w:t xml:space="preserve"> </w:t>
      </w:r>
      <w:r>
        <w:rPr>
          <w:rFonts w:ascii="Times New Roman" w:hAnsi="Times New Roman"/>
          <w:sz w:val="28"/>
          <w:szCs w:val="28"/>
          <w:lang w:val="en-US"/>
        </w:rPr>
        <w:t>HU</w:t>
      </w:r>
      <w:r>
        <w:rPr>
          <w:rFonts w:ascii="Times New Roman" w:hAnsi="Times New Roman"/>
          <w:sz w:val="28"/>
          <w:szCs w:val="28"/>
        </w:rPr>
        <w:t xml:space="preserve">). </w:t>
      </w:r>
      <w:r w:rsidR="00321B82">
        <w:rPr>
          <w:rFonts w:ascii="Times New Roman" w:hAnsi="Times New Roman"/>
          <w:sz w:val="28"/>
          <w:szCs w:val="28"/>
        </w:rPr>
        <w:t xml:space="preserve">Середні значення променевої щільності злоякісних, доброякісних </w:t>
      </w:r>
      <w:r w:rsidR="00321B82">
        <w:rPr>
          <w:rFonts w:ascii="Times New Roman" w:hAnsi="Times New Roman"/>
          <w:sz w:val="28"/>
          <w:szCs w:val="28"/>
          <w:lang w:val="en-US"/>
        </w:rPr>
        <w:t>SRM</w:t>
      </w:r>
      <w:r w:rsidR="00321B82" w:rsidRPr="009E6C7E">
        <w:rPr>
          <w:rFonts w:ascii="Times New Roman" w:hAnsi="Times New Roman"/>
          <w:sz w:val="28"/>
          <w:szCs w:val="28"/>
          <w:lang w:val="ru-RU"/>
        </w:rPr>
        <w:t xml:space="preserve"> </w:t>
      </w:r>
      <w:r w:rsidR="00321B82">
        <w:rPr>
          <w:rFonts w:ascii="Times New Roman" w:hAnsi="Times New Roman"/>
          <w:sz w:val="28"/>
          <w:szCs w:val="28"/>
        </w:rPr>
        <w:t xml:space="preserve">та нормальної ниркової паренхіми на зображеннях різних фаз КТ наведено у </w:t>
      </w:r>
      <w:r w:rsidR="00321B82" w:rsidRPr="00AF3028">
        <w:rPr>
          <w:rFonts w:ascii="Times New Roman" w:hAnsi="Times New Roman"/>
          <w:sz w:val="28"/>
          <w:szCs w:val="28"/>
        </w:rPr>
        <w:t>таблиці</w:t>
      </w:r>
      <w:r w:rsidR="00321B82">
        <w:rPr>
          <w:rFonts w:ascii="Times New Roman" w:hAnsi="Times New Roman"/>
          <w:sz w:val="28"/>
          <w:szCs w:val="28"/>
        </w:rPr>
        <w:t xml:space="preserve"> 3.3.</w:t>
      </w:r>
    </w:p>
    <w:p w:rsidR="00321B82" w:rsidRDefault="00321B82" w:rsidP="00321B82">
      <w:pPr>
        <w:spacing w:line="360" w:lineRule="auto"/>
        <w:jc w:val="right"/>
        <w:rPr>
          <w:rFonts w:ascii="Times New Roman" w:hAnsi="Times New Roman"/>
          <w:sz w:val="28"/>
          <w:szCs w:val="28"/>
        </w:rPr>
      </w:pPr>
      <w:r w:rsidRPr="00AF3028">
        <w:rPr>
          <w:rFonts w:ascii="Times New Roman" w:hAnsi="Times New Roman"/>
          <w:sz w:val="28"/>
          <w:szCs w:val="28"/>
        </w:rPr>
        <w:lastRenderedPageBreak/>
        <w:t>Таблиця</w:t>
      </w:r>
      <w:r>
        <w:rPr>
          <w:rFonts w:ascii="Times New Roman" w:hAnsi="Times New Roman"/>
          <w:sz w:val="28"/>
          <w:szCs w:val="28"/>
        </w:rPr>
        <w:t xml:space="preserve"> 3.3</w:t>
      </w:r>
    </w:p>
    <w:p w:rsidR="00321B82" w:rsidRPr="00600276" w:rsidRDefault="00321B82" w:rsidP="00321B82">
      <w:pPr>
        <w:spacing w:line="360" w:lineRule="auto"/>
        <w:jc w:val="center"/>
        <w:rPr>
          <w:rFonts w:ascii="Times New Roman" w:hAnsi="Times New Roman"/>
          <w:sz w:val="28"/>
          <w:szCs w:val="28"/>
        </w:rPr>
      </w:pPr>
      <w:r>
        <w:rPr>
          <w:rFonts w:ascii="Times New Roman" w:hAnsi="Times New Roman"/>
          <w:sz w:val="28"/>
          <w:szCs w:val="28"/>
        </w:rPr>
        <w:t xml:space="preserve">Середня ІС злоякісних, доброякісних </w:t>
      </w:r>
      <w:r>
        <w:rPr>
          <w:rFonts w:ascii="Times New Roman" w:hAnsi="Times New Roman"/>
          <w:sz w:val="28"/>
          <w:szCs w:val="28"/>
          <w:lang w:val="en-US"/>
        </w:rPr>
        <w:t>SRM</w:t>
      </w:r>
      <w:r w:rsidRPr="009E6C7E">
        <w:rPr>
          <w:rFonts w:ascii="Times New Roman" w:hAnsi="Times New Roman"/>
          <w:sz w:val="28"/>
          <w:szCs w:val="28"/>
          <w:lang w:val="ru-RU"/>
        </w:rPr>
        <w:t xml:space="preserve"> </w:t>
      </w:r>
      <w:r>
        <w:rPr>
          <w:rFonts w:ascii="Times New Roman" w:hAnsi="Times New Roman"/>
          <w:sz w:val="28"/>
          <w:szCs w:val="28"/>
        </w:rPr>
        <w:t>та нормальної ниркової паренхіми на зображеннях різних фаз КТ</w:t>
      </w:r>
    </w:p>
    <w:tbl>
      <w:tblPr>
        <w:tblStyle w:val="TableGrid"/>
        <w:tblW w:w="9634" w:type="dxa"/>
        <w:tblLook w:val="04A0" w:firstRow="1" w:lastRow="0" w:firstColumn="1" w:lastColumn="0" w:noHBand="0" w:noVBand="1"/>
      </w:tblPr>
      <w:tblGrid>
        <w:gridCol w:w="1962"/>
        <w:gridCol w:w="1804"/>
        <w:gridCol w:w="1801"/>
        <w:gridCol w:w="2202"/>
        <w:gridCol w:w="1865"/>
      </w:tblGrid>
      <w:tr w:rsidR="00321B82" w:rsidTr="00321B82">
        <w:trPr>
          <w:trHeight w:val="322"/>
        </w:trPr>
        <w:tc>
          <w:tcPr>
            <w:tcW w:w="2263" w:type="dxa"/>
            <w:vMerge w:val="restart"/>
          </w:tcPr>
          <w:p w:rsidR="00321B82" w:rsidRPr="00BD5837" w:rsidRDefault="00321B82" w:rsidP="00321B82">
            <w:pPr>
              <w:jc w:val="center"/>
              <w:rPr>
                <w:rFonts w:ascii="Times New Roman" w:hAnsi="Times New Roman"/>
                <w:b/>
                <w:sz w:val="28"/>
                <w:szCs w:val="28"/>
              </w:rPr>
            </w:pPr>
            <w:r w:rsidRPr="00BD5837">
              <w:rPr>
                <w:rFonts w:ascii="Times New Roman" w:hAnsi="Times New Roman"/>
                <w:b/>
                <w:sz w:val="28"/>
                <w:szCs w:val="28"/>
              </w:rPr>
              <w:t>Група</w:t>
            </w:r>
          </w:p>
        </w:tc>
        <w:tc>
          <w:tcPr>
            <w:tcW w:w="7371" w:type="dxa"/>
            <w:gridSpan w:val="4"/>
          </w:tcPr>
          <w:p w:rsidR="00321B82" w:rsidRDefault="00321B82" w:rsidP="00321B82">
            <w:pPr>
              <w:jc w:val="center"/>
              <w:rPr>
                <w:rFonts w:ascii="Times New Roman" w:hAnsi="Times New Roman"/>
                <w:b/>
                <w:sz w:val="28"/>
                <w:szCs w:val="28"/>
              </w:rPr>
            </w:pPr>
            <w:r>
              <w:rPr>
                <w:rFonts w:ascii="Times New Roman" w:hAnsi="Times New Roman"/>
                <w:b/>
                <w:sz w:val="28"/>
                <w:szCs w:val="28"/>
              </w:rPr>
              <w:t>Фаза КТ</w:t>
            </w:r>
          </w:p>
        </w:tc>
      </w:tr>
      <w:tr w:rsidR="00321B82" w:rsidTr="00321B82">
        <w:trPr>
          <w:trHeight w:val="654"/>
        </w:trPr>
        <w:tc>
          <w:tcPr>
            <w:tcW w:w="2263" w:type="dxa"/>
            <w:vMerge/>
            <w:tcBorders>
              <w:bottom w:val="single" w:sz="4" w:space="0" w:color="auto"/>
            </w:tcBorders>
          </w:tcPr>
          <w:p w:rsidR="00321B82" w:rsidRPr="00BD5837" w:rsidRDefault="00321B82" w:rsidP="00321B82">
            <w:pPr>
              <w:jc w:val="center"/>
              <w:rPr>
                <w:rFonts w:ascii="Times New Roman" w:hAnsi="Times New Roman"/>
                <w:b/>
                <w:sz w:val="28"/>
                <w:szCs w:val="28"/>
              </w:rPr>
            </w:pPr>
          </w:p>
        </w:tc>
        <w:tc>
          <w:tcPr>
            <w:tcW w:w="1842" w:type="dxa"/>
            <w:tcBorders>
              <w:bottom w:val="single" w:sz="4" w:space="0" w:color="auto"/>
            </w:tcBorders>
          </w:tcPr>
          <w:p w:rsidR="00321B82" w:rsidRPr="006E76F3" w:rsidRDefault="00321B82" w:rsidP="00321B82">
            <w:pPr>
              <w:jc w:val="center"/>
              <w:rPr>
                <w:rFonts w:ascii="Times New Roman" w:hAnsi="Times New Roman"/>
                <w:b/>
                <w:sz w:val="28"/>
                <w:szCs w:val="28"/>
                <w:lang w:val="en-US"/>
              </w:rPr>
            </w:pPr>
            <w:r>
              <w:rPr>
                <w:rFonts w:ascii="Times New Roman" w:hAnsi="Times New Roman"/>
                <w:b/>
                <w:sz w:val="28"/>
                <w:szCs w:val="28"/>
              </w:rPr>
              <w:t xml:space="preserve">Пре-контрастні зображення, </w:t>
            </w:r>
            <w:r>
              <w:rPr>
                <w:rFonts w:ascii="Times New Roman" w:hAnsi="Times New Roman"/>
                <w:b/>
                <w:sz w:val="28"/>
                <w:szCs w:val="28"/>
                <w:lang w:val="en-US"/>
              </w:rPr>
              <w:t>HU</w:t>
            </w:r>
          </w:p>
        </w:tc>
        <w:tc>
          <w:tcPr>
            <w:tcW w:w="1843" w:type="dxa"/>
            <w:tcBorders>
              <w:bottom w:val="single" w:sz="4" w:space="0" w:color="auto"/>
            </w:tcBorders>
          </w:tcPr>
          <w:p w:rsidR="00321B82" w:rsidRPr="006E76F3" w:rsidRDefault="00321B82" w:rsidP="00321B82">
            <w:pPr>
              <w:jc w:val="center"/>
              <w:rPr>
                <w:rFonts w:ascii="Times New Roman" w:hAnsi="Times New Roman"/>
                <w:b/>
                <w:sz w:val="28"/>
                <w:szCs w:val="28"/>
                <w:lang w:val="en-US"/>
              </w:rPr>
            </w:pPr>
            <w:r>
              <w:rPr>
                <w:rFonts w:ascii="Times New Roman" w:hAnsi="Times New Roman"/>
                <w:b/>
                <w:sz w:val="28"/>
                <w:szCs w:val="28"/>
              </w:rPr>
              <w:t xml:space="preserve">Кортико-медулярна фаза, </w:t>
            </w:r>
            <w:r>
              <w:rPr>
                <w:rFonts w:ascii="Times New Roman" w:hAnsi="Times New Roman"/>
                <w:b/>
                <w:sz w:val="28"/>
                <w:szCs w:val="28"/>
                <w:lang w:val="en-US"/>
              </w:rPr>
              <w:t>HU</w:t>
            </w:r>
          </w:p>
        </w:tc>
        <w:tc>
          <w:tcPr>
            <w:tcW w:w="1843" w:type="dxa"/>
            <w:tcBorders>
              <w:bottom w:val="single" w:sz="4" w:space="0" w:color="auto"/>
            </w:tcBorders>
          </w:tcPr>
          <w:p w:rsidR="00321B82" w:rsidRPr="006E76F3" w:rsidRDefault="00321B82" w:rsidP="00321B82">
            <w:pPr>
              <w:jc w:val="center"/>
              <w:rPr>
                <w:rFonts w:ascii="Times New Roman" w:hAnsi="Times New Roman"/>
                <w:b/>
                <w:sz w:val="28"/>
                <w:szCs w:val="28"/>
                <w:lang w:val="en-US"/>
              </w:rPr>
            </w:pPr>
            <w:r>
              <w:rPr>
                <w:rFonts w:ascii="Times New Roman" w:hAnsi="Times New Roman"/>
                <w:b/>
                <w:sz w:val="28"/>
                <w:szCs w:val="28"/>
              </w:rPr>
              <w:t xml:space="preserve">Нефрографічна фаза, </w:t>
            </w:r>
            <w:r>
              <w:rPr>
                <w:rFonts w:ascii="Times New Roman" w:hAnsi="Times New Roman"/>
                <w:b/>
                <w:sz w:val="28"/>
                <w:szCs w:val="28"/>
                <w:lang w:val="en-US"/>
              </w:rPr>
              <w:t>HU</w:t>
            </w:r>
          </w:p>
        </w:tc>
        <w:tc>
          <w:tcPr>
            <w:tcW w:w="1843" w:type="dxa"/>
            <w:tcBorders>
              <w:bottom w:val="single" w:sz="4" w:space="0" w:color="auto"/>
            </w:tcBorders>
          </w:tcPr>
          <w:p w:rsidR="00321B82" w:rsidRPr="00BD5837" w:rsidRDefault="00321B82" w:rsidP="00321B82">
            <w:pPr>
              <w:jc w:val="center"/>
              <w:rPr>
                <w:rFonts w:ascii="Times New Roman" w:hAnsi="Times New Roman"/>
                <w:b/>
                <w:sz w:val="28"/>
                <w:szCs w:val="28"/>
              </w:rPr>
            </w:pPr>
            <w:r>
              <w:rPr>
                <w:rFonts w:ascii="Times New Roman" w:hAnsi="Times New Roman"/>
                <w:b/>
                <w:sz w:val="28"/>
                <w:szCs w:val="28"/>
              </w:rPr>
              <w:t xml:space="preserve">Екскреторна фаза, </w:t>
            </w:r>
            <w:r>
              <w:rPr>
                <w:rFonts w:ascii="Times New Roman" w:hAnsi="Times New Roman"/>
                <w:b/>
                <w:sz w:val="28"/>
                <w:szCs w:val="28"/>
                <w:lang w:val="en-US"/>
              </w:rPr>
              <w:t>HU</w:t>
            </w:r>
          </w:p>
        </w:tc>
      </w:tr>
      <w:tr w:rsidR="00321B82" w:rsidTr="00321B82">
        <w:trPr>
          <w:trHeight w:val="613"/>
        </w:trPr>
        <w:tc>
          <w:tcPr>
            <w:tcW w:w="2263" w:type="dxa"/>
          </w:tcPr>
          <w:p w:rsidR="00321B82" w:rsidRPr="001424FC" w:rsidRDefault="00321B82" w:rsidP="00321B82">
            <w:pPr>
              <w:rPr>
                <w:rFonts w:ascii="Times New Roman" w:hAnsi="Times New Roman" w:cs="Times New Roman"/>
                <w:b/>
                <w:sz w:val="28"/>
                <w:szCs w:val="28"/>
              </w:rPr>
            </w:pPr>
            <w:r w:rsidRPr="006E76F3">
              <w:rPr>
                <w:rFonts w:ascii="Times New Roman" w:hAnsi="Times New Roman"/>
                <w:b/>
                <w:sz w:val="28"/>
                <w:szCs w:val="28"/>
              </w:rPr>
              <w:t>НКР</w:t>
            </w:r>
            <w:r>
              <w:rPr>
                <w:rFonts w:ascii="Times New Roman" w:hAnsi="Times New Roman"/>
                <w:b/>
                <w:sz w:val="28"/>
                <w:szCs w:val="28"/>
              </w:rPr>
              <w:t xml:space="preserve">, </w:t>
            </w:r>
            <w:r w:rsidRPr="00CB3FB6">
              <w:rPr>
                <w:rFonts w:ascii="Times New Roman" w:hAnsi="Times New Roman" w:cs="Times New Roman"/>
                <w:b/>
                <w:sz w:val="28"/>
                <w:szCs w:val="28"/>
              </w:rPr>
              <w:t>n=79</w:t>
            </w:r>
          </w:p>
        </w:tc>
        <w:tc>
          <w:tcPr>
            <w:tcW w:w="1842" w:type="dxa"/>
          </w:tcPr>
          <w:p w:rsidR="00321B82" w:rsidRPr="006E76F3" w:rsidRDefault="00321B82" w:rsidP="00321B82">
            <w:pPr>
              <w:jc w:val="center"/>
              <w:rPr>
                <w:rFonts w:ascii="Times New Roman" w:hAnsi="Times New Roman"/>
                <w:sz w:val="28"/>
                <w:szCs w:val="28"/>
              </w:rPr>
            </w:pPr>
            <w:r>
              <w:rPr>
                <w:rFonts w:ascii="Times New Roman" w:hAnsi="Times New Roman"/>
                <w:sz w:val="28"/>
                <w:szCs w:val="28"/>
              </w:rPr>
              <w:t>39,0</w:t>
            </w:r>
            <w:r>
              <w:rPr>
                <w:rFonts w:ascii="Times New Roman" w:hAnsi="Times New Roman" w:cs="Times New Roman"/>
                <w:sz w:val="28"/>
                <w:szCs w:val="28"/>
              </w:rPr>
              <w:t>±</w:t>
            </w:r>
            <w:r>
              <w:rPr>
                <w:rFonts w:ascii="Times New Roman" w:hAnsi="Times New Roman"/>
                <w:sz w:val="28"/>
                <w:szCs w:val="28"/>
              </w:rPr>
              <w:t>9,62</w:t>
            </w:r>
          </w:p>
        </w:tc>
        <w:tc>
          <w:tcPr>
            <w:tcW w:w="1843" w:type="dxa"/>
          </w:tcPr>
          <w:p w:rsidR="00321B82" w:rsidRDefault="00321B82" w:rsidP="00321B82">
            <w:pPr>
              <w:jc w:val="center"/>
              <w:rPr>
                <w:rFonts w:ascii="Times New Roman" w:hAnsi="Times New Roman"/>
                <w:sz w:val="28"/>
                <w:szCs w:val="28"/>
              </w:rPr>
            </w:pPr>
            <w:r>
              <w:rPr>
                <w:rFonts w:ascii="Times New Roman" w:hAnsi="Times New Roman"/>
                <w:sz w:val="28"/>
                <w:szCs w:val="28"/>
              </w:rPr>
              <w:t>105,56</w:t>
            </w:r>
            <w:r>
              <w:rPr>
                <w:rFonts w:ascii="Times New Roman" w:hAnsi="Times New Roman" w:cs="Times New Roman"/>
                <w:sz w:val="28"/>
                <w:szCs w:val="28"/>
              </w:rPr>
              <w:t>±</w:t>
            </w:r>
            <w:r>
              <w:rPr>
                <w:rFonts w:ascii="Times New Roman" w:hAnsi="Times New Roman"/>
                <w:sz w:val="28"/>
                <w:szCs w:val="28"/>
              </w:rPr>
              <w:t>24,58</w:t>
            </w:r>
          </w:p>
          <w:p w:rsidR="00321B82" w:rsidRPr="006E76F3" w:rsidRDefault="00321B82" w:rsidP="00321B82">
            <w:pPr>
              <w:jc w:val="center"/>
              <w:rPr>
                <w:rFonts w:ascii="Times New Roman" w:hAnsi="Times New Roman"/>
                <w:sz w:val="28"/>
                <w:szCs w:val="28"/>
              </w:rPr>
            </w:pPr>
          </w:p>
        </w:tc>
        <w:tc>
          <w:tcPr>
            <w:tcW w:w="1843" w:type="dxa"/>
          </w:tcPr>
          <w:p w:rsidR="00321B82" w:rsidRPr="006E76F3" w:rsidRDefault="00321B82" w:rsidP="00321B82">
            <w:pPr>
              <w:jc w:val="center"/>
              <w:rPr>
                <w:rFonts w:ascii="Times New Roman" w:hAnsi="Times New Roman"/>
                <w:sz w:val="28"/>
                <w:szCs w:val="28"/>
              </w:rPr>
            </w:pPr>
            <w:r>
              <w:rPr>
                <w:rFonts w:ascii="Times New Roman" w:hAnsi="Times New Roman"/>
                <w:sz w:val="28"/>
                <w:szCs w:val="28"/>
              </w:rPr>
              <w:t>84,96</w:t>
            </w:r>
            <w:r>
              <w:rPr>
                <w:rFonts w:ascii="Times New Roman" w:hAnsi="Times New Roman" w:cs="Times New Roman"/>
                <w:sz w:val="28"/>
                <w:szCs w:val="28"/>
              </w:rPr>
              <w:t>±</w:t>
            </w:r>
            <w:r>
              <w:rPr>
                <w:rFonts w:ascii="Times New Roman" w:hAnsi="Times New Roman"/>
                <w:sz w:val="28"/>
                <w:szCs w:val="28"/>
              </w:rPr>
              <w:t>14,90</w:t>
            </w:r>
          </w:p>
        </w:tc>
        <w:tc>
          <w:tcPr>
            <w:tcW w:w="1843" w:type="dxa"/>
          </w:tcPr>
          <w:p w:rsidR="00321B82" w:rsidRPr="006E76F3" w:rsidRDefault="00321B82" w:rsidP="00321B82">
            <w:pPr>
              <w:jc w:val="center"/>
              <w:rPr>
                <w:rFonts w:ascii="Times New Roman" w:hAnsi="Times New Roman"/>
                <w:sz w:val="28"/>
                <w:szCs w:val="28"/>
              </w:rPr>
            </w:pPr>
            <w:r>
              <w:rPr>
                <w:rFonts w:ascii="Times New Roman" w:hAnsi="Times New Roman"/>
                <w:sz w:val="28"/>
                <w:szCs w:val="28"/>
              </w:rPr>
              <w:t>72,73</w:t>
            </w:r>
            <w:r>
              <w:rPr>
                <w:rFonts w:ascii="Times New Roman" w:hAnsi="Times New Roman" w:cs="Times New Roman"/>
                <w:sz w:val="28"/>
                <w:szCs w:val="28"/>
              </w:rPr>
              <w:t>±</w:t>
            </w:r>
            <w:r>
              <w:rPr>
                <w:rFonts w:ascii="Times New Roman" w:hAnsi="Times New Roman"/>
                <w:sz w:val="28"/>
                <w:szCs w:val="28"/>
              </w:rPr>
              <w:t>11,22</w:t>
            </w:r>
          </w:p>
        </w:tc>
      </w:tr>
      <w:tr w:rsidR="00321B82" w:rsidTr="00321B82">
        <w:tc>
          <w:tcPr>
            <w:tcW w:w="2263" w:type="dxa"/>
          </w:tcPr>
          <w:p w:rsidR="00321B82" w:rsidRPr="001424FC" w:rsidRDefault="00321B82" w:rsidP="00321B82">
            <w:pPr>
              <w:rPr>
                <w:rFonts w:ascii="Times New Roman" w:hAnsi="Times New Roman" w:cs="Times New Roman"/>
                <w:b/>
                <w:sz w:val="28"/>
                <w:szCs w:val="28"/>
              </w:rPr>
            </w:pPr>
            <w:r>
              <w:rPr>
                <w:rFonts w:ascii="Times New Roman" w:hAnsi="Times New Roman"/>
                <w:b/>
                <w:sz w:val="28"/>
                <w:szCs w:val="28"/>
              </w:rPr>
              <w:t xml:space="preserve">ПКК ниркової миски, </w:t>
            </w:r>
            <w:r w:rsidRPr="00CB3FB6">
              <w:rPr>
                <w:rFonts w:ascii="Times New Roman" w:hAnsi="Times New Roman" w:cs="Times New Roman"/>
                <w:b/>
                <w:sz w:val="28"/>
                <w:szCs w:val="28"/>
              </w:rPr>
              <w:t>n=10</w:t>
            </w:r>
          </w:p>
        </w:tc>
        <w:tc>
          <w:tcPr>
            <w:tcW w:w="1842" w:type="dxa"/>
          </w:tcPr>
          <w:p w:rsidR="00321B82" w:rsidRPr="006E76F3" w:rsidRDefault="00321B82" w:rsidP="00321B82">
            <w:pPr>
              <w:jc w:val="center"/>
              <w:rPr>
                <w:rFonts w:ascii="Times New Roman" w:hAnsi="Times New Roman"/>
                <w:sz w:val="28"/>
                <w:szCs w:val="28"/>
              </w:rPr>
            </w:pPr>
            <w:r>
              <w:rPr>
                <w:rFonts w:ascii="Times New Roman" w:hAnsi="Times New Roman"/>
                <w:sz w:val="28"/>
                <w:szCs w:val="28"/>
                <w:lang w:val="en-US"/>
              </w:rPr>
              <w:t>25</w:t>
            </w:r>
            <w:r>
              <w:rPr>
                <w:rFonts w:ascii="Times New Roman" w:hAnsi="Times New Roman"/>
                <w:sz w:val="28"/>
                <w:szCs w:val="28"/>
              </w:rPr>
              <w:t>,42</w:t>
            </w:r>
            <w:r>
              <w:rPr>
                <w:rFonts w:ascii="Times New Roman" w:hAnsi="Times New Roman" w:cs="Times New Roman"/>
                <w:sz w:val="28"/>
                <w:szCs w:val="28"/>
              </w:rPr>
              <w:t>±</w:t>
            </w:r>
            <w:r>
              <w:rPr>
                <w:rFonts w:ascii="Times New Roman" w:hAnsi="Times New Roman"/>
                <w:sz w:val="28"/>
                <w:szCs w:val="28"/>
              </w:rPr>
              <w:t>5,43</w:t>
            </w:r>
          </w:p>
        </w:tc>
        <w:tc>
          <w:tcPr>
            <w:tcW w:w="1843" w:type="dxa"/>
          </w:tcPr>
          <w:p w:rsidR="00321B82" w:rsidRPr="006E76F3" w:rsidRDefault="00321B82" w:rsidP="00321B82">
            <w:pPr>
              <w:jc w:val="center"/>
              <w:rPr>
                <w:rFonts w:ascii="Times New Roman" w:hAnsi="Times New Roman"/>
                <w:sz w:val="28"/>
                <w:szCs w:val="28"/>
              </w:rPr>
            </w:pPr>
            <w:r>
              <w:rPr>
                <w:rFonts w:ascii="Times New Roman" w:hAnsi="Times New Roman"/>
                <w:sz w:val="28"/>
                <w:szCs w:val="28"/>
              </w:rPr>
              <w:t>68,89</w:t>
            </w:r>
            <w:r>
              <w:rPr>
                <w:rFonts w:ascii="Times New Roman" w:hAnsi="Times New Roman" w:cs="Times New Roman"/>
                <w:sz w:val="28"/>
                <w:szCs w:val="28"/>
              </w:rPr>
              <w:t>±</w:t>
            </w:r>
            <w:r>
              <w:rPr>
                <w:rFonts w:ascii="Times New Roman" w:hAnsi="Times New Roman"/>
                <w:sz w:val="28"/>
                <w:szCs w:val="28"/>
              </w:rPr>
              <w:t>12,39</w:t>
            </w:r>
          </w:p>
        </w:tc>
        <w:tc>
          <w:tcPr>
            <w:tcW w:w="1843" w:type="dxa"/>
          </w:tcPr>
          <w:p w:rsidR="00321B82" w:rsidRPr="006E76F3" w:rsidRDefault="00321B82" w:rsidP="00321B82">
            <w:pPr>
              <w:jc w:val="center"/>
              <w:rPr>
                <w:rFonts w:ascii="Times New Roman" w:hAnsi="Times New Roman"/>
                <w:sz w:val="28"/>
                <w:szCs w:val="28"/>
              </w:rPr>
            </w:pPr>
            <w:r>
              <w:rPr>
                <w:rFonts w:ascii="Times New Roman" w:hAnsi="Times New Roman"/>
                <w:sz w:val="28"/>
                <w:szCs w:val="28"/>
              </w:rPr>
              <w:t>54,07</w:t>
            </w:r>
            <w:r>
              <w:rPr>
                <w:rFonts w:ascii="Times New Roman" w:hAnsi="Times New Roman" w:cs="Times New Roman"/>
                <w:sz w:val="28"/>
                <w:szCs w:val="28"/>
              </w:rPr>
              <w:t>±</w:t>
            </w:r>
            <w:r>
              <w:rPr>
                <w:rFonts w:ascii="Times New Roman" w:hAnsi="Times New Roman"/>
                <w:sz w:val="28"/>
                <w:szCs w:val="28"/>
              </w:rPr>
              <w:t>5,31</w:t>
            </w:r>
          </w:p>
        </w:tc>
        <w:tc>
          <w:tcPr>
            <w:tcW w:w="1843" w:type="dxa"/>
          </w:tcPr>
          <w:p w:rsidR="00321B82" w:rsidRPr="006E76F3" w:rsidRDefault="00321B82" w:rsidP="00321B82">
            <w:pPr>
              <w:jc w:val="center"/>
              <w:rPr>
                <w:rFonts w:ascii="Times New Roman" w:hAnsi="Times New Roman"/>
                <w:sz w:val="28"/>
                <w:szCs w:val="28"/>
              </w:rPr>
            </w:pPr>
            <w:r>
              <w:rPr>
                <w:rFonts w:ascii="Times New Roman" w:hAnsi="Times New Roman"/>
                <w:sz w:val="28"/>
                <w:szCs w:val="28"/>
              </w:rPr>
              <w:t>37,86</w:t>
            </w:r>
            <w:r>
              <w:rPr>
                <w:rFonts w:ascii="Times New Roman" w:hAnsi="Times New Roman" w:cs="Times New Roman"/>
                <w:sz w:val="28"/>
                <w:szCs w:val="28"/>
              </w:rPr>
              <w:t>±</w:t>
            </w:r>
            <w:r>
              <w:rPr>
                <w:rFonts w:ascii="Times New Roman" w:hAnsi="Times New Roman"/>
                <w:sz w:val="28"/>
                <w:szCs w:val="28"/>
              </w:rPr>
              <w:t>5,86</w:t>
            </w:r>
          </w:p>
        </w:tc>
      </w:tr>
      <w:tr w:rsidR="00321B82" w:rsidTr="00321B82">
        <w:tc>
          <w:tcPr>
            <w:tcW w:w="2263" w:type="dxa"/>
          </w:tcPr>
          <w:p w:rsidR="00321B82" w:rsidRPr="006E76F3" w:rsidRDefault="00321B82" w:rsidP="00321B82">
            <w:pPr>
              <w:rPr>
                <w:rFonts w:ascii="Times New Roman" w:hAnsi="Times New Roman"/>
                <w:b/>
                <w:sz w:val="28"/>
                <w:szCs w:val="28"/>
              </w:rPr>
            </w:pPr>
            <w:r w:rsidRPr="006E76F3">
              <w:rPr>
                <w:rFonts w:ascii="Times New Roman" w:hAnsi="Times New Roman"/>
                <w:b/>
                <w:sz w:val="28"/>
                <w:szCs w:val="28"/>
              </w:rPr>
              <w:t>Доброякісні</w:t>
            </w:r>
          </w:p>
          <w:p w:rsidR="00321B82" w:rsidRPr="001424FC" w:rsidRDefault="00321B82" w:rsidP="00321B82">
            <w:pPr>
              <w:rPr>
                <w:lang w:val="en-US"/>
              </w:rPr>
            </w:pPr>
            <w:r>
              <w:rPr>
                <w:rFonts w:ascii="Times New Roman" w:hAnsi="Times New Roman"/>
                <w:b/>
                <w:sz w:val="28"/>
                <w:szCs w:val="28"/>
              </w:rPr>
              <w:t>п</w:t>
            </w:r>
            <w:r w:rsidRPr="006E76F3">
              <w:rPr>
                <w:rFonts w:ascii="Times New Roman" w:hAnsi="Times New Roman"/>
                <w:b/>
                <w:sz w:val="28"/>
                <w:szCs w:val="28"/>
              </w:rPr>
              <w:t>ухлини</w:t>
            </w:r>
            <w:r>
              <w:rPr>
                <w:rFonts w:ascii="Times New Roman" w:hAnsi="Times New Roman"/>
                <w:b/>
                <w:sz w:val="28"/>
                <w:szCs w:val="28"/>
              </w:rPr>
              <w:t xml:space="preserve">, </w:t>
            </w:r>
            <w:r w:rsidRPr="00CB3FB6">
              <w:rPr>
                <w:rFonts w:ascii="Times New Roman" w:hAnsi="Times New Roman" w:cs="Times New Roman"/>
                <w:b/>
                <w:sz w:val="28"/>
                <w:szCs w:val="28"/>
              </w:rPr>
              <w:t>n=21</w:t>
            </w:r>
          </w:p>
        </w:tc>
        <w:tc>
          <w:tcPr>
            <w:tcW w:w="1842" w:type="dxa"/>
          </w:tcPr>
          <w:p w:rsidR="00321B82" w:rsidRPr="00FB6A55" w:rsidRDefault="00321B82" w:rsidP="00321B82">
            <w:pPr>
              <w:jc w:val="center"/>
              <w:rPr>
                <w:rFonts w:ascii="Times New Roman" w:hAnsi="Times New Roman"/>
                <w:sz w:val="28"/>
                <w:szCs w:val="28"/>
              </w:rPr>
            </w:pPr>
            <w:r>
              <w:rPr>
                <w:rFonts w:ascii="Times New Roman" w:hAnsi="Times New Roman"/>
                <w:sz w:val="28"/>
                <w:szCs w:val="28"/>
                <w:lang w:val="en-US"/>
              </w:rPr>
              <w:t>34</w:t>
            </w:r>
            <w:r>
              <w:rPr>
                <w:rFonts w:ascii="Times New Roman" w:hAnsi="Times New Roman"/>
                <w:sz w:val="28"/>
                <w:szCs w:val="28"/>
              </w:rPr>
              <w:t>,</w:t>
            </w:r>
            <w:r>
              <w:rPr>
                <w:rFonts w:ascii="Times New Roman" w:hAnsi="Times New Roman"/>
                <w:sz w:val="28"/>
                <w:szCs w:val="28"/>
                <w:lang w:val="en-US"/>
              </w:rPr>
              <w:t>93</w:t>
            </w:r>
            <w:r>
              <w:rPr>
                <w:rFonts w:ascii="Times New Roman" w:hAnsi="Times New Roman" w:cs="Times New Roman"/>
                <w:sz w:val="28"/>
                <w:szCs w:val="28"/>
              </w:rPr>
              <w:t>±</w:t>
            </w:r>
            <w:r>
              <w:rPr>
                <w:rFonts w:ascii="Times New Roman" w:hAnsi="Times New Roman"/>
                <w:sz w:val="28"/>
                <w:szCs w:val="28"/>
              </w:rPr>
              <w:t>9,47</w:t>
            </w:r>
          </w:p>
        </w:tc>
        <w:tc>
          <w:tcPr>
            <w:tcW w:w="1843" w:type="dxa"/>
          </w:tcPr>
          <w:p w:rsidR="00321B82" w:rsidRPr="00FB6A55" w:rsidRDefault="00321B82" w:rsidP="00321B82">
            <w:pPr>
              <w:jc w:val="center"/>
              <w:rPr>
                <w:rFonts w:ascii="Times New Roman" w:hAnsi="Times New Roman"/>
                <w:sz w:val="28"/>
                <w:szCs w:val="28"/>
              </w:rPr>
            </w:pPr>
            <w:r>
              <w:rPr>
                <w:rFonts w:ascii="Times New Roman" w:hAnsi="Times New Roman"/>
                <w:sz w:val="28"/>
                <w:szCs w:val="28"/>
              </w:rPr>
              <w:t>85,82</w:t>
            </w:r>
            <w:r>
              <w:rPr>
                <w:rFonts w:ascii="Times New Roman" w:hAnsi="Times New Roman" w:cs="Times New Roman"/>
                <w:sz w:val="28"/>
                <w:szCs w:val="28"/>
              </w:rPr>
              <w:t>±</w:t>
            </w:r>
            <w:r>
              <w:rPr>
                <w:rFonts w:ascii="Times New Roman" w:hAnsi="Times New Roman"/>
                <w:sz w:val="28"/>
                <w:szCs w:val="28"/>
              </w:rPr>
              <w:t>19,97</w:t>
            </w:r>
          </w:p>
        </w:tc>
        <w:tc>
          <w:tcPr>
            <w:tcW w:w="1843" w:type="dxa"/>
          </w:tcPr>
          <w:p w:rsidR="00321B82" w:rsidRPr="00FB6A55" w:rsidRDefault="00321B82" w:rsidP="00321B82">
            <w:pPr>
              <w:jc w:val="center"/>
              <w:rPr>
                <w:rFonts w:ascii="Times New Roman" w:hAnsi="Times New Roman"/>
                <w:sz w:val="28"/>
                <w:szCs w:val="28"/>
              </w:rPr>
            </w:pPr>
            <w:r>
              <w:rPr>
                <w:rFonts w:ascii="Times New Roman" w:hAnsi="Times New Roman"/>
                <w:sz w:val="28"/>
                <w:szCs w:val="28"/>
              </w:rPr>
              <w:t>87,79</w:t>
            </w:r>
            <w:r>
              <w:rPr>
                <w:rFonts w:ascii="Times New Roman" w:hAnsi="Times New Roman" w:cs="Times New Roman"/>
                <w:sz w:val="28"/>
                <w:szCs w:val="28"/>
              </w:rPr>
              <w:t>±</w:t>
            </w:r>
            <w:r>
              <w:rPr>
                <w:rFonts w:ascii="Times New Roman" w:hAnsi="Times New Roman"/>
                <w:sz w:val="28"/>
                <w:szCs w:val="28"/>
              </w:rPr>
              <w:t>21,40</w:t>
            </w:r>
          </w:p>
        </w:tc>
        <w:tc>
          <w:tcPr>
            <w:tcW w:w="1843" w:type="dxa"/>
          </w:tcPr>
          <w:p w:rsidR="00321B82" w:rsidRPr="00FB6A55" w:rsidRDefault="00321B82" w:rsidP="00321B82">
            <w:pPr>
              <w:jc w:val="center"/>
              <w:rPr>
                <w:rFonts w:ascii="Times New Roman" w:hAnsi="Times New Roman"/>
                <w:sz w:val="28"/>
                <w:szCs w:val="28"/>
              </w:rPr>
            </w:pPr>
            <w:r>
              <w:rPr>
                <w:rFonts w:ascii="Times New Roman" w:hAnsi="Times New Roman"/>
                <w:sz w:val="28"/>
                <w:szCs w:val="28"/>
              </w:rPr>
              <w:t>59,56</w:t>
            </w:r>
            <w:r>
              <w:rPr>
                <w:rFonts w:ascii="Times New Roman" w:hAnsi="Times New Roman" w:cs="Times New Roman"/>
                <w:sz w:val="28"/>
                <w:szCs w:val="28"/>
              </w:rPr>
              <w:t>±</w:t>
            </w:r>
            <w:r>
              <w:rPr>
                <w:rFonts w:ascii="Times New Roman" w:hAnsi="Times New Roman"/>
                <w:sz w:val="28"/>
                <w:szCs w:val="28"/>
              </w:rPr>
              <w:t>13,05</w:t>
            </w:r>
          </w:p>
        </w:tc>
      </w:tr>
      <w:tr w:rsidR="00321B82" w:rsidTr="00321B82">
        <w:trPr>
          <w:trHeight w:val="552"/>
        </w:trPr>
        <w:tc>
          <w:tcPr>
            <w:tcW w:w="2263" w:type="dxa"/>
          </w:tcPr>
          <w:p w:rsidR="00321B82" w:rsidRPr="001424FC" w:rsidRDefault="00321B82" w:rsidP="00321B82">
            <w:pPr>
              <w:rPr>
                <w:rFonts w:ascii="Times New Roman" w:hAnsi="Times New Roman"/>
                <w:b/>
                <w:sz w:val="28"/>
                <w:szCs w:val="28"/>
              </w:rPr>
            </w:pPr>
            <w:r w:rsidRPr="006E76F3">
              <w:rPr>
                <w:rFonts w:ascii="Times New Roman" w:hAnsi="Times New Roman"/>
                <w:b/>
                <w:sz w:val="28"/>
                <w:szCs w:val="28"/>
              </w:rPr>
              <w:t>Контроль</w:t>
            </w:r>
            <w:r>
              <w:rPr>
                <w:rFonts w:ascii="Times New Roman" w:hAnsi="Times New Roman"/>
                <w:b/>
                <w:sz w:val="28"/>
                <w:szCs w:val="28"/>
              </w:rPr>
              <w:t xml:space="preserve">, </w:t>
            </w:r>
            <w:r>
              <w:rPr>
                <w:rFonts w:ascii="Times New Roman" w:hAnsi="Times New Roman" w:cs="Times New Roman"/>
                <w:b/>
                <w:sz w:val="28"/>
                <w:szCs w:val="28"/>
              </w:rPr>
              <w:t>n=30</w:t>
            </w:r>
          </w:p>
        </w:tc>
        <w:tc>
          <w:tcPr>
            <w:tcW w:w="1842" w:type="dxa"/>
          </w:tcPr>
          <w:p w:rsidR="00321B82" w:rsidRPr="00FB6A55" w:rsidRDefault="00321B82" w:rsidP="00321B82">
            <w:pPr>
              <w:jc w:val="center"/>
              <w:rPr>
                <w:rFonts w:ascii="Times New Roman" w:hAnsi="Times New Roman"/>
                <w:sz w:val="28"/>
                <w:szCs w:val="28"/>
              </w:rPr>
            </w:pPr>
            <w:r>
              <w:rPr>
                <w:rFonts w:ascii="Times New Roman" w:hAnsi="Times New Roman"/>
                <w:sz w:val="28"/>
                <w:szCs w:val="28"/>
              </w:rPr>
              <w:t>30,84</w:t>
            </w:r>
            <w:r>
              <w:rPr>
                <w:rFonts w:ascii="Times New Roman" w:hAnsi="Times New Roman" w:cs="Times New Roman"/>
                <w:sz w:val="28"/>
                <w:szCs w:val="28"/>
              </w:rPr>
              <w:t>±</w:t>
            </w:r>
            <w:r>
              <w:rPr>
                <w:rFonts w:ascii="Times New Roman" w:hAnsi="Times New Roman"/>
                <w:sz w:val="28"/>
                <w:szCs w:val="28"/>
              </w:rPr>
              <w:t>6,51</w:t>
            </w:r>
          </w:p>
        </w:tc>
        <w:tc>
          <w:tcPr>
            <w:tcW w:w="1843" w:type="dxa"/>
          </w:tcPr>
          <w:p w:rsidR="00321B82" w:rsidRPr="00FB6A55" w:rsidRDefault="00321B82" w:rsidP="00321B82">
            <w:pPr>
              <w:jc w:val="center"/>
              <w:rPr>
                <w:rFonts w:ascii="Times New Roman" w:hAnsi="Times New Roman"/>
                <w:sz w:val="28"/>
                <w:szCs w:val="28"/>
              </w:rPr>
            </w:pPr>
            <w:r>
              <w:rPr>
                <w:rFonts w:ascii="Times New Roman" w:hAnsi="Times New Roman"/>
                <w:sz w:val="28"/>
                <w:szCs w:val="28"/>
              </w:rPr>
              <w:t>119,38</w:t>
            </w:r>
            <w:r>
              <w:rPr>
                <w:rFonts w:ascii="Times New Roman" w:hAnsi="Times New Roman" w:cs="Times New Roman"/>
                <w:sz w:val="28"/>
                <w:szCs w:val="28"/>
              </w:rPr>
              <w:t>±</w:t>
            </w:r>
            <w:r>
              <w:rPr>
                <w:rFonts w:ascii="Times New Roman" w:hAnsi="Times New Roman"/>
                <w:sz w:val="28"/>
                <w:szCs w:val="28"/>
              </w:rPr>
              <w:t>13,21</w:t>
            </w:r>
          </w:p>
        </w:tc>
        <w:tc>
          <w:tcPr>
            <w:tcW w:w="1843" w:type="dxa"/>
          </w:tcPr>
          <w:p w:rsidR="00321B82" w:rsidRPr="00FB6A55" w:rsidRDefault="00321B82" w:rsidP="00321B82">
            <w:pPr>
              <w:jc w:val="center"/>
              <w:rPr>
                <w:rFonts w:ascii="Times New Roman" w:hAnsi="Times New Roman"/>
                <w:sz w:val="28"/>
                <w:szCs w:val="28"/>
              </w:rPr>
            </w:pPr>
            <w:r>
              <w:rPr>
                <w:rFonts w:ascii="Times New Roman" w:hAnsi="Times New Roman"/>
                <w:sz w:val="28"/>
                <w:szCs w:val="28"/>
              </w:rPr>
              <w:t>115,11</w:t>
            </w:r>
            <w:r>
              <w:rPr>
                <w:rFonts w:ascii="Times New Roman" w:hAnsi="Times New Roman" w:cs="Times New Roman"/>
                <w:sz w:val="28"/>
                <w:szCs w:val="28"/>
              </w:rPr>
              <w:t>±</w:t>
            </w:r>
            <w:r>
              <w:rPr>
                <w:rFonts w:ascii="Times New Roman" w:hAnsi="Times New Roman"/>
                <w:sz w:val="28"/>
                <w:szCs w:val="28"/>
              </w:rPr>
              <w:t>36,03</w:t>
            </w:r>
          </w:p>
        </w:tc>
        <w:tc>
          <w:tcPr>
            <w:tcW w:w="1843" w:type="dxa"/>
          </w:tcPr>
          <w:p w:rsidR="00321B82" w:rsidRPr="00FB6A55" w:rsidRDefault="00321B82" w:rsidP="00321B82">
            <w:pPr>
              <w:jc w:val="center"/>
              <w:rPr>
                <w:rFonts w:ascii="Times New Roman" w:hAnsi="Times New Roman"/>
                <w:sz w:val="28"/>
                <w:szCs w:val="28"/>
              </w:rPr>
            </w:pPr>
            <w:r>
              <w:rPr>
                <w:rFonts w:ascii="Times New Roman" w:hAnsi="Times New Roman"/>
                <w:sz w:val="28"/>
                <w:szCs w:val="28"/>
              </w:rPr>
              <w:t>85,52</w:t>
            </w:r>
            <w:r>
              <w:rPr>
                <w:rFonts w:ascii="Times New Roman" w:hAnsi="Times New Roman" w:cs="Times New Roman"/>
                <w:sz w:val="28"/>
                <w:szCs w:val="28"/>
              </w:rPr>
              <w:t>±</w:t>
            </w:r>
            <w:r>
              <w:rPr>
                <w:rFonts w:ascii="Times New Roman" w:hAnsi="Times New Roman"/>
                <w:sz w:val="28"/>
                <w:szCs w:val="28"/>
              </w:rPr>
              <w:t>11,34</w:t>
            </w:r>
          </w:p>
        </w:tc>
      </w:tr>
      <w:tr w:rsidR="00321B82" w:rsidTr="00321B82">
        <w:tc>
          <w:tcPr>
            <w:tcW w:w="2263" w:type="dxa"/>
          </w:tcPr>
          <w:p w:rsidR="00321B82" w:rsidRPr="006E76F3" w:rsidRDefault="00321B82" w:rsidP="00321B82">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842"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c>
          <w:tcPr>
            <w:tcW w:w="1843" w:type="dxa"/>
          </w:tcPr>
          <w:p w:rsidR="00321B82" w:rsidRPr="00E97477" w:rsidRDefault="00321B82" w:rsidP="00321B82">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43" w:type="dxa"/>
          </w:tcPr>
          <w:p w:rsidR="00321B82" w:rsidRPr="00F7241C" w:rsidRDefault="00321B82" w:rsidP="00321B82">
            <w:pPr>
              <w:jc w:val="center"/>
              <w:rPr>
                <w:rFonts w:ascii="Times New Roman" w:hAnsi="Times New Roman"/>
                <w:sz w:val="28"/>
                <w:szCs w:val="28"/>
                <w:lang w:val="en-US"/>
              </w:rPr>
            </w:pPr>
            <w:r>
              <w:rPr>
                <w:rFonts w:ascii="Times New Roman" w:hAnsi="Times New Roman"/>
                <w:sz w:val="28"/>
                <w:szCs w:val="28"/>
              </w:rPr>
              <w:t>&lt;0,001</w:t>
            </w:r>
          </w:p>
        </w:tc>
        <w:tc>
          <w:tcPr>
            <w:tcW w:w="1843" w:type="dxa"/>
          </w:tcPr>
          <w:p w:rsidR="00321B82" w:rsidRPr="007421A0" w:rsidRDefault="00321B82" w:rsidP="00321B82">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r>
      <w:tr w:rsidR="00321B82" w:rsidTr="00321B82">
        <w:tc>
          <w:tcPr>
            <w:tcW w:w="2263" w:type="dxa"/>
          </w:tcPr>
          <w:p w:rsidR="00321B82" w:rsidRDefault="00321B82" w:rsidP="00321B82">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,3</w:t>
            </w:r>
          </w:p>
        </w:tc>
        <w:tc>
          <w:tcPr>
            <w:tcW w:w="1842"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0,236</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0,001</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0,952</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r>
      <w:tr w:rsidR="00321B82" w:rsidTr="00321B82">
        <w:tc>
          <w:tcPr>
            <w:tcW w:w="2263" w:type="dxa"/>
          </w:tcPr>
          <w:p w:rsidR="00321B82" w:rsidRDefault="00321B82" w:rsidP="00321B82">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,4</w:t>
            </w:r>
          </w:p>
        </w:tc>
        <w:tc>
          <w:tcPr>
            <w:tcW w:w="1842" w:type="dxa"/>
          </w:tcPr>
          <w:p w:rsidR="00321B82" w:rsidRDefault="00321B82" w:rsidP="00321B82">
            <w:pPr>
              <w:jc w:val="center"/>
              <w:rPr>
                <w:rFonts w:ascii="Times New Roman" w:hAnsi="Times New Roman"/>
                <w:sz w:val="28"/>
                <w:szCs w:val="28"/>
                <w:lang w:val="en-US"/>
              </w:rPr>
            </w:pPr>
            <w:r>
              <w:rPr>
                <w:rFonts w:ascii="Times New Roman" w:hAnsi="Times New Roman"/>
                <w:sz w:val="28"/>
                <w:szCs w:val="28"/>
                <w:lang w:val="en-US"/>
              </w:rPr>
              <w:t>&lt;0</w:t>
            </w:r>
            <w:r>
              <w:rPr>
                <w:rFonts w:ascii="Times New Roman" w:hAnsi="Times New Roman"/>
                <w:sz w:val="28"/>
                <w:szCs w:val="28"/>
              </w:rPr>
              <w:t>,001</w:t>
            </w:r>
          </w:p>
        </w:tc>
        <w:tc>
          <w:tcPr>
            <w:tcW w:w="1843" w:type="dxa"/>
          </w:tcPr>
          <w:p w:rsidR="00321B82" w:rsidRPr="00E97477" w:rsidRDefault="00321B82" w:rsidP="00321B82">
            <w:pPr>
              <w:jc w:val="center"/>
              <w:rPr>
                <w:rFonts w:ascii="Times New Roman" w:hAnsi="Times New Roman"/>
                <w:sz w:val="28"/>
                <w:szCs w:val="28"/>
              </w:rPr>
            </w:pPr>
            <w:r>
              <w:rPr>
                <w:rFonts w:ascii="Times New Roman" w:hAnsi="Times New Roman"/>
                <w:sz w:val="28"/>
                <w:szCs w:val="28"/>
              </w:rPr>
              <w:t>0,015</w:t>
            </w:r>
          </w:p>
        </w:tc>
        <w:tc>
          <w:tcPr>
            <w:tcW w:w="1843" w:type="dxa"/>
          </w:tcPr>
          <w:p w:rsidR="00321B82" w:rsidRPr="00E97477" w:rsidRDefault="00321B82" w:rsidP="00321B82">
            <w:pPr>
              <w:jc w:val="center"/>
              <w:rPr>
                <w:rFonts w:ascii="Times New Roman" w:hAnsi="Times New Roman"/>
                <w:sz w:val="28"/>
                <w:szCs w:val="28"/>
              </w:rPr>
            </w:pPr>
            <w:r>
              <w:rPr>
                <w:rFonts w:ascii="Times New Roman" w:hAnsi="Times New Roman"/>
                <w:sz w:val="28"/>
                <w:szCs w:val="28"/>
              </w:rPr>
              <w:t>&lt;0,001</w:t>
            </w:r>
          </w:p>
        </w:tc>
        <w:tc>
          <w:tcPr>
            <w:tcW w:w="1843" w:type="dxa"/>
          </w:tcPr>
          <w:p w:rsidR="00321B82" w:rsidRPr="00E97477" w:rsidRDefault="00321B82" w:rsidP="00321B82">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r>
      <w:tr w:rsidR="00321B82" w:rsidTr="00321B82">
        <w:tc>
          <w:tcPr>
            <w:tcW w:w="2263" w:type="dxa"/>
          </w:tcPr>
          <w:p w:rsidR="00321B82" w:rsidRDefault="00321B82" w:rsidP="00321B82">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2,3</w:t>
            </w:r>
          </w:p>
        </w:tc>
        <w:tc>
          <w:tcPr>
            <w:tcW w:w="1842"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0,028</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0,168</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0,001</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r>
      <w:tr w:rsidR="00321B82" w:rsidTr="00321B82">
        <w:tc>
          <w:tcPr>
            <w:tcW w:w="2263" w:type="dxa"/>
          </w:tcPr>
          <w:p w:rsidR="00321B82" w:rsidRDefault="00321B82" w:rsidP="00321B82">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2,4</w:t>
            </w:r>
          </w:p>
        </w:tc>
        <w:tc>
          <w:tcPr>
            <w:tcW w:w="1842"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0,344</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&lt;0,001</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r>
      <w:tr w:rsidR="00321B82" w:rsidTr="00321B82">
        <w:tc>
          <w:tcPr>
            <w:tcW w:w="2263" w:type="dxa"/>
          </w:tcPr>
          <w:p w:rsidR="00321B82" w:rsidRDefault="00321B82" w:rsidP="00321B82">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3,4</w:t>
            </w:r>
          </w:p>
        </w:tc>
        <w:tc>
          <w:tcPr>
            <w:tcW w:w="1842"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rPr>
              <w:t>0,362</w:t>
            </w:r>
          </w:p>
        </w:tc>
        <w:tc>
          <w:tcPr>
            <w:tcW w:w="1843" w:type="dxa"/>
          </w:tcPr>
          <w:p w:rsidR="00321B82" w:rsidRPr="00482ADC" w:rsidRDefault="00321B82" w:rsidP="00321B82">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43" w:type="dxa"/>
          </w:tcPr>
          <w:p w:rsidR="00321B82" w:rsidRPr="00650C92" w:rsidRDefault="00321B82" w:rsidP="00321B82">
            <w:pPr>
              <w:jc w:val="center"/>
              <w:rPr>
                <w:rFonts w:ascii="Times New Roman" w:hAnsi="Times New Roman"/>
                <w:sz w:val="28"/>
                <w:szCs w:val="28"/>
                <w:lang w:val="en-US"/>
              </w:rPr>
            </w:pPr>
            <w:r>
              <w:rPr>
                <w:rFonts w:ascii="Times New Roman" w:hAnsi="Times New Roman"/>
                <w:sz w:val="28"/>
                <w:szCs w:val="28"/>
              </w:rPr>
              <w:t>&lt;0,001</w:t>
            </w:r>
          </w:p>
        </w:tc>
        <w:tc>
          <w:tcPr>
            <w:tcW w:w="1843" w:type="dxa"/>
          </w:tcPr>
          <w:p w:rsidR="00321B82" w:rsidRPr="00650C92" w:rsidRDefault="00321B82" w:rsidP="00321B82">
            <w:pPr>
              <w:jc w:val="center"/>
              <w:rPr>
                <w:rFonts w:ascii="Times New Roman" w:hAnsi="Times New Roman"/>
                <w:sz w:val="28"/>
                <w:szCs w:val="28"/>
                <w:lang w:val="en-US"/>
              </w:rPr>
            </w:pPr>
            <w:r>
              <w:rPr>
                <w:rFonts w:ascii="Times New Roman" w:hAnsi="Times New Roman"/>
                <w:sz w:val="28"/>
                <w:szCs w:val="28"/>
                <w:lang w:val="en-US"/>
              </w:rPr>
              <w:t>&lt;0</w:t>
            </w:r>
            <w:r>
              <w:rPr>
                <w:rFonts w:ascii="Times New Roman" w:hAnsi="Times New Roman"/>
                <w:sz w:val="28"/>
                <w:szCs w:val="28"/>
              </w:rPr>
              <w:t>,001</w:t>
            </w:r>
          </w:p>
        </w:tc>
      </w:tr>
    </w:tbl>
    <w:p w:rsidR="00321B82" w:rsidRDefault="00321B82" w:rsidP="00321B82">
      <w:pPr>
        <w:spacing w:line="360" w:lineRule="auto"/>
        <w:jc w:val="both"/>
        <w:rPr>
          <w:rFonts w:ascii="Times New Roman" w:hAnsi="Times New Roman"/>
          <w:sz w:val="28"/>
          <w:szCs w:val="28"/>
        </w:rPr>
      </w:pPr>
    </w:p>
    <w:p w:rsidR="00FA5DA4" w:rsidRDefault="00FA5DA4" w:rsidP="00321B82">
      <w:pPr>
        <w:spacing w:line="360" w:lineRule="auto"/>
        <w:ind w:firstLine="708"/>
        <w:jc w:val="both"/>
        <w:rPr>
          <w:rFonts w:ascii="Times New Roman" w:hAnsi="Times New Roman"/>
          <w:sz w:val="28"/>
          <w:szCs w:val="28"/>
        </w:rPr>
      </w:pPr>
      <w:r>
        <w:rPr>
          <w:rFonts w:ascii="Times New Roman" w:hAnsi="Times New Roman"/>
          <w:sz w:val="28"/>
          <w:szCs w:val="28"/>
        </w:rPr>
        <w:t>При порівнянні середніх значень ІС було отримано статистично достовірну різницю даного показника між кожною з груп (р</w:t>
      </w:r>
      <w:r w:rsidRPr="009E6C7E">
        <w:rPr>
          <w:rFonts w:ascii="Times New Roman" w:hAnsi="Times New Roman"/>
          <w:sz w:val="28"/>
          <w:szCs w:val="28"/>
        </w:rPr>
        <w:t>&lt;0</w:t>
      </w:r>
      <w:r>
        <w:rPr>
          <w:rFonts w:ascii="Times New Roman" w:hAnsi="Times New Roman"/>
          <w:sz w:val="28"/>
          <w:szCs w:val="28"/>
        </w:rPr>
        <w:t>,001), що не спостерігалось при інших фазах КТ, рисунок 3.2 (слід зазначити, що тут і далі на коробкових діаграмах згідно принципів їх побудови вказано медіану, а не середнє значення досліджуваних параметрів)</w:t>
      </w:r>
      <w:r w:rsidR="003537F1">
        <w:rPr>
          <w:rFonts w:ascii="Times New Roman" w:hAnsi="Times New Roman"/>
          <w:sz w:val="28"/>
          <w:szCs w:val="28"/>
        </w:rPr>
        <w:t xml:space="preserve">. </w:t>
      </w:r>
    </w:p>
    <w:p w:rsidR="00FA5DA4" w:rsidRPr="00246FE7" w:rsidRDefault="00FA5DA4" w:rsidP="00FA5DA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199A042F" wp14:editId="449F46B5">
            <wp:extent cx="3604311" cy="28800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4311" cy="2880000"/>
                    </a:xfrm>
                    <a:prstGeom prst="rect">
                      <a:avLst/>
                    </a:prstGeom>
                    <a:noFill/>
                    <a:ln>
                      <a:noFill/>
                    </a:ln>
                  </pic:spPr>
                </pic:pic>
              </a:graphicData>
            </a:graphic>
          </wp:inline>
        </w:drawing>
      </w:r>
    </w:p>
    <w:p w:rsidR="005948C0" w:rsidRDefault="00FA5DA4" w:rsidP="00321B82">
      <w:pPr>
        <w:spacing w:line="360" w:lineRule="auto"/>
        <w:jc w:val="center"/>
        <w:rPr>
          <w:rFonts w:ascii="Times New Roman" w:hAnsi="Times New Roman"/>
          <w:sz w:val="28"/>
          <w:szCs w:val="28"/>
        </w:rPr>
      </w:pPr>
      <w:r>
        <w:rPr>
          <w:rFonts w:ascii="Times New Roman" w:hAnsi="Times New Roman"/>
          <w:sz w:val="28"/>
          <w:szCs w:val="28"/>
        </w:rPr>
        <w:t>Рис 3.2.</w:t>
      </w:r>
      <w:r w:rsidRPr="009E6C7E">
        <w:rPr>
          <w:rFonts w:ascii="Times New Roman" w:hAnsi="Times New Roman"/>
          <w:sz w:val="28"/>
          <w:szCs w:val="28"/>
        </w:rPr>
        <w:t xml:space="preserve"> </w:t>
      </w:r>
      <w:r>
        <w:rPr>
          <w:rFonts w:ascii="Times New Roman" w:hAnsi="Times New Roman"/>
          <w:sz w:val="28"/>
          <w:szCs w:val="28"/>
        </w:rPr>
        <w:t xml:space="preserve">Коробкова діаграма променевої щільності злоякісних і доброякісних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та нормальної ниркової паренхіми, екскреторна фаза КТ</w:t>
      </w:r>
    </w:p>
    <w:p w:rsidR="00321B82" w:rsidRDefault="00321B82" w:rsidP="008F215C">
      <w:pPr>
        <w:spacing w:line="360" w:lineRule="auto"/>
        <w:rPr>
          <w:rFonts w:ascii="Times New Roman" w:hAnsi="Times New Roman"/>
          <w:sz w:val="28"/>
          <w:szCs w:val="28"/>
        </w:rPr>
      </w:pPr>
    </w:p>
    <w:p w:rsidR="00FA5DA4" w:rsidRPr="0021353B" w:rsidRDefault="00FA5DA4" w:rsidP="00FA5DA4">
      <w:pPr>
        <w:spacing w:line="360" w:lineRule="auto"/>
        <w:ind w:firstLine="708"/>
        <w:jc w:val="both"/>
        <w:rPr>
          <w:rFonts w:ascii="Times New Roman" w:hAnsi="Times New Roman"/>
          <w:sz w:val="28"/>
          <w:szCs w:val="28"/>
        </w:rPr>
      </w:pPr>
      <w:r>
        <w:rPr>
          <w:rFonts w:ascii="Times New Roman" w:hAnsi="Times New Roman" w:cs="Times New Roman"/>
          <w:sz w:val="28"/>
          <w:szCs w:val="28"/>
        </w:rPr>
        <w:t xml:space="preserve">Наступним кроком було обчислення відношення променевої щільності (ВПЩ) новоутворення до здорової ниркової паренхіми на основі КТ-зображень під час ПКЗ. Середнє значення ВПЩ </w:t>
      </w:r>
      <w:r>
        <w:rPr>
          <w:rFonts w:ascii="Times New Roman" w:hAnsi="Times New Roman"/>
          <w:sz w:val="28"/>
          <w:szCs w:val="28"/>
        </w:rPr>
        <w:t>НКР</w:t>
      </w:r>
      <w:r w:rsidRPr="009E6C7E">
        <w:rPr>
          <w:rFonts w:ascii="Times New Roman" w:hAnsi="Times New Roman"/>
          <w:sz w:val="28"/>
          <w:szCs w:val="28"/>
          <w:lang w:val="ru-RU"/>
        </w:rPr>
        <w:t xml:space="preserve"> </w:t>
      </w:r>
      <w:r>
        <w:rPr>
          <w:rFonts w:ascii="Times New Roman" w:hAnsi="Times New Roman" w:cs="Times New Roman"/>
          <w:sz w:val="28"/>
          <w:szCs w:val="28"/>
        </w:rPr>
        <w:t>до нормальної ниркової паренхіми</w:t>
      </w:r>
      <w:r>
        <w:rPr>
          <w:rFonts w:ascii="Times New Roman" w:hAnsi="Times New Roman"/>
          <w:sz w:val="28"/>
          <w:szCs w:val="28"/>
        </w:rPr>
        <w:t xml:space="preserve"> отримане на основі зображень пре-контрастної фази КТ було найвищим при НКР, становило 1,35</w:t>
      </w:r>
      <w:r>
        <w:rPr>
          <w:rFonts w:ascii="Times New Roman" w:hAnsi="Times New Roman" w:cs="Times New Roman"/>
          <w:sz w:val="28"/>
          <w:szCs w:val="28"/>
        </w:rPr>
        <w:t>±</w:t>
      </w:r>
      <w:r>
        <w:rPr>
          <w:rFonts w:ascii="Times New Roman" w:hAnsi="Times New Roman"/>
          <w:sz w:val="28"/>
          <w:szCs w:val="28"/>
        </w:rPr>
        <w:t>0,49 (95% ДІ=1,24-1,46) та достовірно відрізнялось від даного показника у групах із ПКК ниркової миски (р=0,001), доброякісними пухлинами нирки (р=0,032) та контрольної групи (р=0,001). Водночас, ми не отримали значимої різниці у середніх значеннях вказаного параметру між групами із ПКК ниркової миски та доброякісними пухлинами нирки (р=</w:t>
      </w:r>
      <w:r w:rsidRPr="009E6C7E">
        <w:rPr>
          <w:rFonts w:ascii="Times New Roman" w:hAnsi="Times New Roman"/>
          <w:sz w:val="28"/>
          <w:szCs w:val="28"/>
          <w:lang w:val="ru-RU"/>
        </w:rPr>
        <w:t>0</w:t>
      </w:r>
      <w:r>
        <w:rPr>
          <w:rFonts w:ascii="Times New Roman" w:hAnsi="Times New Roman"/>
          <w:sz w:val="28"/>
          <w:szCs w:val="28"/>
        </w:rPr>
        <w:t>,328). Також, не спостерігалось статистично достовірної різниці у середньому значенні ВПЩ контрольної групи та двома групами порівняння.</w:t>
      </w:r>
    </w:p>
    <w:p w:rsidR="00FA5DA4" w:rsidRDefault="00FA5DA4" w:rsidP="003537F1">
      <w:pPr>
        <w:spacing w:line="360" w:lineRule="auto"/>
        <w:ind w:firstLine="708"/>
        <w:jc w:val="both"/>
        <w:rPr>
          <w:rFonts w:ascii="Times New Roman" w:hAnsi="Times New Roman"/>
          <w:sz w:val="28"/>
          <w:szCs w:val="28"/>
        </w:rPr>
      </w:pPr>
      <w:r>
        <w:rPr>
          <w:rFonts w:ascii="Times New Roman" w:hAnsi="Times New Roman"/>
          <w:sz w:val="28"/>
          <w:szCs w:val="28"/>
        </w:rPr>
        <w:t xml:space="preserve">Далі нами було проаналізовані показники ВПЩ пухлини до нормальної ниркової паренхіми отримані з КТ-зображень кортико-медулярної фази. Було виявлено, що середнє значення ВПЩ серед усіх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було найвищим в групі з НКР, воно становило 0,91</w:t>
      </w:r>
      <w:r>
        <w:rPr>
          <w:rFonts w:ascii="Times New Roman" w:hAnsi="Times New Roman" w:cs="Times New Roman"/>
          <w:sz w:val="28"/>
          <w:szCs w:val="28"/>
        </w:rPr>
        <w:t>±</w:t>
      </w:r>
      <w:r>
        <w:rPr>
          <w:rFonts w:ascii="Times New Roman" w:hAnsi="Times New Roman"/>
          <w:sz w:val="28"/>
          <w:szCs w:val="28"/>
        </w:rPr>
        <w:t>0,23 і достовірно відрізнялось від цього показника в групах з ПКК ниркової миски (0,61</w:t>
      </w:r>
      <w:r>
        <w:rPr>
          <w:rFonts w:ascii="Times New Roman" w:hAnsi="Times New Roman" w:cs="Times New Roman"/>
          <w:sz w:val="28"/>
          <w:szCs w:val="28"/>
        </w:rPr>
        <w:t>±</w:t>
      </w:r>
      <w:r>
        <w:rPr>
          <w:rFonts w:ascii="Times New Roman" w:hAnsi="Times New Roman"/>
          <w:sz w:val="28"/>
          <w:szCs w:val="28"/>
        </w:rPr>
        <w:t xml:space="preserve">0,10) та доброякісними пухлинами </w:t>
      </w:r>
      <w:r>
        <w:rPr>
          <w:rFonts w:ascii="Times New Roman" w:hAnsi="Times New Roman"/>
          <w:sz w:val="28"/>
          <w:szCs w:val="28"/>
        </w:rPr>
        <w:lastRenderedPageBreak/>
        <w:t>нирки (0,74</w:t>
      </w:r>
      <w:r>
        <w:rPr>
          <w:rFonts w:ascii="Times New Roman" w:hAnsi="Times New Roman" w:cs="Times New Roman"/>
          <w:sz w:val="28"/>
          <w:szCs w:val="28"/>
        </w:rPr>
        <w:t>±</w:t>
      </w:r>
      <w:r>
        <w:rPr>
          <w:rFonts w:ascii="Times New Roman" w:hAnsi="Times New Roman"/>
          <w:sz w:val="28"/>
          <w:szCs w:val="28"/>
        </w:rPr>
        <w:t>0,19), р</w:t>
      </w:r>
      <w:r w:rsidRPr="009E6C7E">
        <w:rPr>
          <w:rFonts w:ascii="Times New Roman" w:hAnsi="Times New Roman"/>
          <w:sz w:val="28"/>
          <w:szCs w:val="28"/>
        </w:rPr>
        <w:t>&lt;0</w:t>
      </w:r>
      <w:r>
        <w:rPr>
          <w:rFonts w:ascii="Times New Roman" w:hAnsi="Times New Roman"/>
          <w:sz w:val="28"/>
          <w:szCs w:val="28"/>
        </w:rPr>
        <w:t xml:space="preserve">,001. Водночас, достовірної різниці між середніми значеннями ВПЩ обох груп порівняння ми не спостерігали (р=0,311). Крім цього, ми спостерігали суттєве взаємонакладання значень ВПЩ основної та контрольної груп, результатом чого була несуттєва між ними різниця (р=0,131), що в цілому не становить діагностичної дилеми, оскільки візуальна інспекція дозволяла безпомилково відрізняти новоутворення від нормальної ниркової паренхіми (рисунок 3.3). </w:t>
      </w:r>
    </w:p>
    <w:p w:rsidR="00FA5DA4" w:rsidRDefault="00FA5DA4" w:rsidP="00FA5DA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2D685A1B" wp14:editId="17559B2C">
            <wp:extent cx="4054850" cy="3240000"/>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54850" cy="3240000"/>
                    </a:xfrm>
                    <a:prstGeom prst="rect">
                      <a:avLst/>
                    </a:prstGeom>
                    <a:noFill/>
                    <a:ln>
                      <a:noFill/>
                    </a:ln>
                  </pic:spPr>
                </pic:pic>
              </a:graphicData>
            </a:graphic>
          </wp:inline>
        </w:drawing>
      </w:r>
    </w:p>
    <w:p w:rsidR="00FA5DA4" w:rsidRPr="00050A5A" w:rsidRDefault="00FA5DA4" w:rsidP="00FA5DA4">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3.3. </w:t>
      </w:r>
      <w:r>
        <w:rPr>
          <w:rFonts w:ascii="Times New Roman" w:hAnsi="Times New Roman"/>
          <w:sz w:val="28"/>
          <w:szCs w:val="28"/>
        </w:rPr>
        <w:t xml:space="preserve">Коробкова діаграма ВПЩ </w:t>
      </w:r>
      <w:r>
        <w:rPr>
          <w:rFonts w:ascii="Times New Roman" w:hAnsi="Times New Roman"/>
          <w:sz w:val="28"/>
          <w:szCs w:val="28"/>
          <w:lang w:val="en-US"/>
        </w:rPr>
        <w:t>SRM</w:t>
      </w:r>
      <w:r w:rsidRPr="009E6C7E">
        <w:rPr>
          <w:rFonts w:ascii="Times New Roman" w:hAnsi="Times New Roman"/>
          <w:sz w:val="28"/>
          <w:szCs w:val="28"/>
          <w:lang w:val="ru-RU"/>
        </w:rPr>
        <w:t xml:space="preserve"> </w:t>
      </w:r>
      <w:r>
        <w:rPr>
          <w:rFonts w:ascii="Times New Roman" w:hAnsi="Times New Roman" w:cs="Times New Roman"/>
          <w:sz w:val="28"/>
          <w:szCs w:val="28"/>
        </w:rPr>
        <w:t>до нормальної ниркової паренхіми</w:t>
      </w:r>
      <w:r>
        <w:rPr>
          <w:rFonts w:ascii="Times New Roman" w:hAnsi="Times New Roman"/>
          <w:sz w:val="28"/>
          <w:szCs w:val="28"/>
        </w:rPr>
        <w:t>, кортико-медулярна фаза КТ</w:t>
      </w:r>
    </w:p>
    <w:p w:rsidR="00FA5DA4" w:rsidRDefault="00FA5DA4" w:rsidP="00FA5DA4">
      <w:pPr>
        <w:spacing w:line="360" w:lineRule="auto"/>
        <w:jc w:val="both"/>
        <w:rPr>
          <w:rFonts w:ascii="Times New Roman" w:hAnsi="Times New Roman"/>
          <w:sz w:val="28"/>
          <w:szCs w:val="28"/>
        </w:rPr>
      </w:pPr>
    </w:p>
    <w:p w:rsidR="00FA5DA4" w:rsidRPr="00B960FD" w:rsidRDefault="00FA5DA4" w:rsidP="00FA5DA4">
      <w:pPr>
        <w:spacing w:line="360" w:lineRule="auto"/>
        <w:ind w:firstLine="708"/>
        <w:jc w:val="both"/>
        <w:rPr>
          <w:rFonts w:ascii="Times New Roman" w:hAnsi="Times New Roman"/>
          <w:sz w:val="28"/>
          <w:szCs w:val="28"/>
        </w:rPr>
      </w:pPr>
      <w:r>
        <w:rPr>
          <w:rFonts w:ascii="Times New Roman" w:hAnsi="Times New Roman" w:cs="Times New Roman"/>
          <w:sz w:val="28"/>
          <w:szCs w:val="28"/>
        </w:rPr>
        <w:t xml:space="preserve">Вивчення показників ВПЩ пухлини до нормальної ниркової паренхіми на основі зображень нефрографічної фази КТ дозволило виявити наступні відмінності в основній, порівняльних та контрольній групах: у хворих з доброякісними </w:t>
      </w:r>
      <w:r>
        <w:rPr>
          <w:rFonts w:ascii="Times New Roman" w:hAnsi="Times New Roman" w:cs="Times New Roman"/>
          <w:sz w:val="28"/>
          <w:szCs w:val="28"/>
          <w:lang w:val="en-US"/>
        </w:rPr>
        <w:t>SRM</w:t>
      </w:r>
      <w:r>
        <w:rPr>
          <w:rFonts w:ascii="Times New Roman" w:hAnsi="Times New Roman" w:cs="Times New Roman"/>
          <w:sz w:val="28"/>
          <w:szCs w:val="28"/>
        </w:rPr>
        <w:t xml:space="preserve"> даний показник був найвищим і становив </w:t>
      </w:r>
      <w:r>
        <w:rPr>
          <w:rFonts w:ascii="Times New Roman" w:hAnsi="Times New Roman"/>
          <w:sz w:val="28"/>
          <w:szCs w:val="28"/>
        </w:rPr>
        <w:t>0,82</w:t>
      </w:r>
      <w:r>
        <w:rPr>
          <w:rFonts w:ascii="Times New Roman" w:hAnsi="Times New Roman" w:cs="Times New Roman"/>
          <w:sz w:val="28"/>
          <w:szCs w:val="28"/>
        </w:rPr>
        <w:t>±</w:t>
      </w:r>
      <w:r>
        <w:rPr>
          <w:rFonts w:ascii="Times New Roman" w:hAnsi="Times New Roman"/>
          <w:sz w:val="28"/>
          <w:szCs w:val="28"/>
        </w:rPr>
        <w:t>0,46, а у хворих з ПКК ниркової миски він був найнижчим – 0,50</w:t>
      </w:r>
      <w:r>
        <w:rPr>
          <w:rFonts w:ascii="Times New Roman" w:hAnsi="Times New Roman" w:cs="Times New Roman"/>
          <w:sz w:val="28"/>
          <w:szCs w:val="28"/>
        </w:rPr>
        <w:t>±</w:t>
      </w:r>
      <w:r>
        <w:rPr>
          <w:rFonts w:ascii="Times New Roman" w:hAnsi="Times New Roman"/>
          <w:sz w:val="28"/>
          <w:szCs w:val="28"/>
        </w:rPr>
        <w:t>0,21. На відміну від кортико-медулярної фази, під час нефрографічної ми отримали достовірну різницю у середніх значеннях ВПЩ при НКР (0,80</w:t>
      </w:r>
      <w:r>
        <w:rPr>
          <w:rFonts w:ascii="Times New Roman" w:hAnsi="Times New Roman" w:cs="Times New Roman"/>
          <w:sz w:val="28"/>
          <w:szCs w:val="28"/>
        </w:rPr>
        <w:t>±</w:t>
      </w:r>
      <w:r>
        <w:rPr>
          <w:rFonts w:ascii="Times New Roman" w:hAnsi="Times New Roman"/>
          <w:sz w:val="28"/>
          <w:szCs w:val="28"/>
        </w:rPr>
        <w:t>0,34) та ПКК ниркової миски (0,50</w:t>
      </w:r>
      <w:r>
        <w:rPr>
          <w:rFonts w:ascii="Times New Roman" w:hAnsi="Times New Roman" w:cs="Times New Roman"/>
          <w:sz w:val="28"/>
          <w:szCs w:val="28"/>
        </w:rPr>
        <w:t>±</w:t>
      </w:r>
      <w:r>
        <w:rPr>
          <w:rFonts w:ascii="Times New Roman" w:hAnsi="Times New Roman"/>
          <w:sz w:val="28"/>
          <w:szCs w:val="28"/>
        </w:rPr>
        <w:t xml:space="preserve">0,21), р=0,026; знову таки, на противагу КМФ, під час нефрографічної фази не спостерігалось достовірної різниці в середніх </w:t>
      </w:r>
      <w:r>
        <w:rPr>
          <w:rFonts w:ascii="Times New Roman" w:hAnsi="Times New Roman"/>
          <w:sz w:val="28"/>
          <w:szCs w:val="28"/>
        </w:rPr>
        <w:lastRenderedPageBreak/>
        <w:t>значеннях ВПЩ при НКР та доброякісних малих ниркових новоутворах (0,82</w:t>
      </w:r>
      <w:r>
        <w:rPr>
          <w:rFonts w:ascii="Times New Roman" w:hAnsi="Times New Roman" w:cs="Times New Roman"/>
          <w:sz w:val="28"/>
          <w:szCs w:val="28"/>
        </w:rPr>
        <w:t>±</w:t>
      </w:r>
      <w:r>
        <w:rPr>
          <w:rFonts w:ascii="Times New Roman" w:hAnsi="Times New Roman"/>
          <w:sz w:val="28"/>
          <w:szCs w:val="28"/>
        </w:rPr>
        <w:t>0,46), р=0,993; на відміну від КМФ на зображеннях  нефрографічної фази ми реєстрували достовірну різницю між середніми показниками ВПЩ в підгрупі із ПКК ниркової миски (0,50</w:t>
      </w:r>
      <w:r>
        <w:rPr>
          <w:rFonts w:ascii="Times New Roman" w:hAnsi="Times New Roman" w:cs="Times New Roman"/>
          <w:sz w:val="28"/>
          <w:szCs w:val="28"/>
        </w:rPr>
        <w:t>±</w:t>
      </w:r>
      <w:r>
        <w:rPr>
          <w:rFonts w:ascii="Times New Roman" w:hAnsi="Times New Roman"/>
          <w:sz w:val="28"/>
          <w:szCs w:val="28"/>
        </w:rPr>
        <w:t xml:space="preserve">0,21) та доброякісними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р=0,043).</w:t>
      </w:r>
    </w:p>
    <w:p w:rsidR="00FA5DA4" w:rsidRDefault="00FA5DA4" w:rsidP="00FA5DA4">
      <w:pPr>
        <w:spacing w:line="360" w:lineRule="auto"/>
        <w:jc w:val="both"/>
        <w:rPr>
          <w:rFonts w:ascii="Times New Roman" w:hAnsi="Times New Roman"/>
          <w:sz w:val="28"/>
          <w:szCs w:val="28"/>
        </w:rPr>
      </w:pPr>
      <w:r w:rsidRPr="009E6C7E">
        <w:rPr>
          <w:rFonts w:ascii="Times New Roman" w:hAnsi="Times New Roman"/>
          <w:sz w:val="28"/>
          <w:szCs w:val="28"/>
        </w:rPr>
        <w:tab/>
      </w:r>
      <w:r>
        <w:rPr>
          <w:rFonts w:ascii="Times New Roman" w:hAnsi="Times New Roman" w:cs="Times New Roman"/>
          <w:sz w:val="28"/>
          <w:szCs w:val="28"/>
        </w:rPr>
        <w:t>Опрацювання даних отриманих при обчисленні ВПЩ пухлини до нормальної ниркової паренхіми з зображень екскреторної фази КТ виявило, що найвищий середній показник даного параметру був в основній групі (</w:t>
      </w:r>
      <w:r>
        <w:rPr>
          <w:rFonts w:ascii="Times New Roman" w:hAnsi="Times New Roman"/>
          <w:sz w:val="28"/>
          <w:szCs w:val="28"/>
        </w:rPr>
        <w:t>0,88</w:t>
      </w:r>
      <w:r>
        <w:rPr>
          <w:rFonts w:ascii="Times New Roman" w:hAnsi="Times New Roman" w:cs="Times New Roman"/>
          <w:sz w:val="28"/>
          <w:szCs w:val="28"/>
        </w:rPr>
        <w:t>±</w:t>
      </w:r>
      <w:r>
        <w:rPr>
          <w:rFonts w:ascii="Times New Roman" w:hAnsi="Times New Roman"/>
          <w:sz w:val="28"/>
          <w:szCs w:val="28"/>
        </w:rPr>
        <w:t>0,19), а найнижчий – в групі порівняння з ПКК ниркової миски (0,45</w:t>
      </w:r>
      <w:r>
        <w:rPr>
          <w:rFonts w:ascii="Times New Roman" w:hAnsi="Times New Roman" w:cs="Times New Roman"/>
          <w:sz w:val="28"/>
          <w:szCs w:val="28"/>
        </w:rPr>
        <w:t>±</w:t>
      </w:r>
      <w:r>
        <w:rPr>
          <w:rFonts w:ascii="Times New Roman" w:hAnsi="Times New Roman"/>
          <w:sz w:val="28"/>
          <w:szCs w:val="28"/>
        </w:rPr>
        <w:t>0,10). При цьому, при порівнянні середніх значень ВПЩ між всіма групами, ми спостерігали статистично</w:t>
      </w:r>
      <w:r w:rsidR="00B83560">
        <w:rPr>
          <w:rFonts w:ascii="Times New Roman" w:hAnsi="Times New Roman"/>
          <w:sz w:val="28"/>
          <w:szCs w:val="28"/>
        </w:rPr>
        <w:t xml:space="preserve"> достовірну різницю</w:t>
      </w:r>
      <w:r w:rsidR="0004105A">
        <w:rPr>
          <w:rFonts w:ascii="Times New Roman" w:hAnsi="Times New Roman"/>
          <w:sz w:val="28"/>
          <w:szCs w:val="28"/>
        </w:rPr>
        <w:t>, табл. 3.4</w:t>
      </w:r>
    </w:p>
    <w:p w:rsidR="00034E9D" w:rsidRDefault="00034E9D" w:rsidP="008F215C">
      <w:pPr>
        <w:spacing w:line="360" w:lineRule="auto"/>
        <w:jc w:val="right"/>
        <w:rPr>
          <w:rFonts w:ascii="Times New Roman" w:hAnsi="Times New Roman"/>
          <w:sz w:val="28"/>
          <w:szCs w:val="28"/>
        </w:rPr>
      </w:pPr>
    </w:p>
    <w:p w:rsidR="008F215C" w:rsidRPr="00970958" w:rsidRDefault="008F215C" w:rsidP="008F215C">
      <w:pPr>
        <w:spacing w:line="360" w:lineRule="auto"/>
        <w:jc w:val="right"/>
        <w:rPr>
          <w:rFonts w:ascii="Times New Roman" w:hAnsi="Times New Roman"/>
          <w:sz w:val="28"/>
          <w:szCs w:val="28"/>
        </w:rPr>
      </w:pPr>
      <w:r>
        <w:rPr>
          <w:rFonts w:ascii="Times New Roman" w:hAnsi="Times New Roman"/>
          <w:sz w:val="28"/>
          <w:szCs w:val="28"/>
        </w:rPr>
        <w:t>Таблиця 3.4</w:t>
      </w:r>
    </w:p>
    <w:p w:rsidR="008F215C" w:rsidRPr="00600276" w:rsidRDefault="008F215C" w:rsidP="008F215C">
      <w:pPr>
        <w:spacing w:line="360" w:lineRule="auto"/>
        <w:jc w:val="center"/>
        <w:rPr>
          <w:rFonts w:ascii="Times New Roman" w:hAnsi="Times New Roman"/>
          <w:sz w:val="28"/>
          <w:szCs w:val="28"/>
        </w:rPr>
      </w:pPr>
      <w:r>
        <w:rPr>
          <w:rFonts w:ascii="Times New Roman" w:hAnsi="Times New Roman"/>
          <w:sz w:val="28"/>
          <w:szCs w:val="28"/>
        </w:rPr>
        <w:t xml:space="preserve">Середні значення відношення променевої щільності </w:t>
      </w:r>
      <w:r>
        <w:rPr>
          <w:rFonts w:ascii="Times New Roman" w:hAnsi="Times New Roman"/>
          <w:sz w:val="28"/>
          <w:szCs w:val="28"/>
          <w:lang w:val="en-US"/>
        </w:rPr>
        <w:t>SRM</w:t>
      </w:r>
      <w:r w:rsidRPr="009E6C7E">
        <w:rPr>
          <w:rFonts w:ascii="Times New Roman" w:hAnsi="Times New Roman"/>
          <w:sz w:val="28"/>
          <w:szCs w:val="28"/>
          <w:lang w:val="ru-RU"/>
        </w:rPr>
        <w:t xml:space="preserve"> </w:t>
      </w:r>
      <w:r>
        <w:rPr>
          <w:rFonts w:ascii="Times New Roman" w:hAnsi="Times New Roman" w:cs="Times New Roman"/>
          <w:sz w:val="28"/>
          <w:szCs w:val="28"/>
        </w:rPr>
        <w:t>до нормальної ниркової паренхіми</w:t>
      </w:r>
      <w:r>
        <w:rPr>
          <w:rFonts w:ascii="Times New Roman" w:hAnsi="Times New Roman"/>
          <w:sz w:val="28"/>
          <w:szCs w:val="28"/>
        </w:rPr>
        <w:t xml:space="preserve"> на зображеннях різних фаз КТ</w:t>
      </w:r>
    </w:p>
    <w:tbl>
      <w:tblPr>
        <w:tblStyle w:val="TableGrid"/>
        <w:tblW w:w="9634" w:type="dxa"/>
        <w:tblLook w:val="04A0" w:firstRow="1" w:lastRow="0" w:firstColumn="1" w:lastColumn="0" w:noHBand="0" w:noVBand="1"/>
      </w:tblPr>
      <w:tblGrid>
        <w:gridCol w:w="2047"/>
        <w:gridCol w:w="1786"/>
        <w:gridCol w:w="1734"/>
        <w:gridCol w:w="2202"/>
        <w:gridCol w:w="1865"/>
      </w:tblGrid>
      <w:tr w:rsidR="008F215C" w:rsidTr="00AF4B0A">
        <w:trPr>
          <w:trHeight w:val="322"/>
        </w:trPr>
        <w:tc>
          <w:tcPr>
            <w:tcW w:w="2263" w:type="dxa"/>
            <w:vMerge w:val="restart"/>
          </w:tcPr>
          <w:p w:rsidR="008F215C" w:rsidRPr="00BD5837" w:rsidRDefault="008F215C" w:rsidP="00AF4B0A">
            <w:pPr>
              <w:jc w:val="center"/>
              <w:rPr>
                <w:rFonts w:ascii="Times New Roman" w:hAnsi="Times New Roman"/>
                <w:b/>
                <w:sz w:val="28"/>
                <w:szCs w:val="28"/>
              </w:rPr>
            </w:pPr>
            <w:r w:rsidRPr="00BD5837">
              <w:rPr>
                <w:rFonts w:ascii="Times New Roman" w:hAnsi="Times New Roman"/>
                <w:b/>
                <w:sz w:val="28"/>
                <w:szCs w:val="28"/>
              </w:rPr>
              <w:t>Група</w:t>
            </w:r>
          </w:p>
        </w:tc>
        <w:tc>
          <w:tcPr>
            <w:tcW w:w="7371" w:type="dxa"/>
            <w:gridSpan w:val="4"/>
          </w:tcPr>
          <w:p w:rsidR="008F215C" w:rsidRDefault="008F215C" w:rsidP="00AF4B0A">
            <w:pPr>
              <w:jc w:val="center"/>
              <w:rPr>
                <w:rFonts w:ascii="Times New Roman" w:hAnsi="Times New Roman"/>
                <w:b/>
                <w:sz w:val="28"/>
                <w:szCs w:val="28"/>
              </w:rPr>
            </w:pPr>
            <w:r>
              <w:rPr>
                <w:rFonts w:ascii="Times New Roman" w:hAnsi="Times New Roman"/>
                <w:b/>
                <w:sz w:val="28"/>
                <w:szCs w:val="28"/>
              </w:rPr>
              <w:t>Фаза КТ</w:t>
            </w:r>
          </w:p>
        </w:tc>
      </w:tr>
      <w:tr w:rsidR="008F215C" w:rsidTr="00AF4B0A">
        <w:trPr>
          <w:trHeight w:val="654"/>
        </w:trPr>
        <w:tc>
          <w:tcPr>
            <w:tcW w:w="2263" w:type="dxa"/>
            <w:vMerge/>
            <w:tcBorders>
              <w:bottom w:val="single" w:sz="4" w:space="0" w:color="auto"/>
            </w:tcBorders>
          </w:tcPr>
          <w:p w:rsidR="008F215C" w:rsidRPr="00BD5837" w:rsidRDefault="008F215C" w:rsidP="00AF4B0A">
            <w:pPr>
              <w:jc w:val="center"/>
              <w:rPr>
                <w:rFonts w:ascii="Times New Roman" w:hAnsi="Times New Roman"/>
                <w:b/>
                <w:sz w:val="28"/>
                <w:szCs w:val="28"/>
              </w:rPr>
            </w:pPr>
          </w:p>
        </w:tc>
        <w:tc>
          <w:tcPr>
            <w:tcW w:w="1842" w:type="dxa"/>
            <w:tcBorders>
              <w:bottom w:val="single" w:sz="4" w:space="0" w:color="auto"/>
            </w:tcBorders>
          </w:tcPr>
          <w:p w:rsidR="008F215C" w:rsidRPr="006E76F3" w:rsidRDefault="008F215C" w:rsidP="00AF4B0A">
            <w:pPr>
              <w:jc w:val="center"/>
              <w:rPr>
                <w:rFonts w:ascii="Times New Roman" w:hAnsi="Times New Roman"/>
                <w:b/>
                <w:sz w:val="28"/>
                <w:szCs w:val="28"/>
                <w:lang w:val="en-US"/>
              </w:rPr>
            </w:pPr>
            <w:r>
              <w:rPr>
                <w:rFonts w:ascii="Times New Roman" w:hAnsi="Times New Roman"/>
                <w:b/>
                <w:sz w:val="28"/>
                <w:szCs w:val="28"/>
              </w:rPr>
              <w:t>Пре-контрастні зображення</w:t>
            </w:r>
          </w:p>
        </w:tc>
        <w:tc>
          <w:tcPr>
            <w:tcW w:w="1843" w:type="dxa"/>
            <w:tcBorders>
              <w:bottom w:val="single" w:sz="4" w:space="0" w:color="auto"/>
            </w:tcBorders>
          </w:tcPr>
          <w:p w:rsidR="008F215C" w:rsidRPr="006E76F3" w:rsidRDefault="008F215C" w:rsidP="00AF4B0A">
            <w:pPr>
              <w:jc w:val="center"/>
              <w:rPr>
                <w:rFonts w:ascii="Times New Roman" w:hAnsi="Times New Roman"/>
                <w:b/>
                <w:sz w:val="28"/>
                <w:szCs w:val="28"/>
                <w:lang w:val="en-US"/>
              </w:rPr>
            </w:pPr>
            <w:r>
              <w:rPr>
                <w:rFonts w:ascii="Times New Roman" w:hAnsi="Times New Roman"/>
                <w:b/>
                <w:sz w:val="28"/>
                <w:szCs w:val="28"/>
              </w:rPr>
              <w:t>Кортико-медулярна фаза</w:t>
            </w:r>
          </w:p>
        </w:tc>
        <w:tc>
          <w:tcPr>
            <w:tcW w:w="1843" w:type="dxa"/>
            <w:tcBorders>
              <w:bottom w:val="single" w:sz="4" w:space="0" w:color="auto"/>
            </w:tcBorders>
          </w:tcPr>
          <w:p w:rsidR="008F215C" w:rsidRPr="006E76F3" w:rsidRDefault="008F215C" w:rsidP="00AF4B0A">
            <w:pPr>
              <w:jc w:val="center"/>
              <w:rPr>
                <w:rFonts w:ascii="Times New Roman" w:hAnsi="Times New Roman"/>
                <w:b/>
                <w:sz w:val="28"/>
                <w:szCs w:val="28"/>
                <w:lang w:val="en-US"/>
              </w:rPr>
            </w:pPr>
            <w:r>
              <w:rPr>
                <w:rFonts w:ascii="Times New Roman" w:hAnsi="Times New Roman"/>
                <w:b/>
                <w:sz w:val="28"/>
                <w:szCs w:val="28"/>
              </w:rPr>
              <w:t>Нефрографічна фаза</w:t>
            </w:r>
          </w:p>
        </w:tc>
        <w:tc>
          <w:tcPr>
            <w:tcW w:w="1843" w:type="dxa"/>
            <w:tcBorders>
              <w:bottom w:val="single" w:sz="4" w:space="0" w:color="auto"/>
            </w:tcBorders>
          </w:tcPr>
          <w:p w:rsidR="008F215C" w:rsidRPr="00BD5837" w:rsidRDefault="008F215C" w:rsidP="00AF4B0A">
            <w:pPr>
              <w:jc w:val="center"/>
              <w:rPr>
                <w:rFonts w:ascii="Times New Roman" w:hAnsi="Times New Roman"/>
                <w:b/>
                <w:sz w:val="28"/>
                <w:szCs w:val="28"/>
              </w:rPr>
            </w:pPr>
            <w:r>
              <w:rPr>
                <w:rFonts w:ascii="Times New Roman" w:hAnsi="Times New Roman"/>
                <w:b/>
                <w:sz w:val="28"/>
                <w:szCs w:val="28"/>
              </w:rPr>
              <w:t>Екскреторна фаза</w:t>
            </w:r>
          </w:p>
        </w:tc>
      </w:tr>
      <w:tr w:rsidR="008F215C" w:rsidTr="00AF4B0A">
        <w:trPr>
          <w:trHeight w:val="613"/>
        </w:trPr>
        <w:tc>
          <w:tcPr>
            <w:tcW w:w="2263" w:type="dxa"/>
          </w:tcPr>
          <w:p w:rsidR="008F215C" w:rsidRPr="001424FC" w:rsidRDefault="008F215C" w:rsidP="00AF4B0A">
            <w:pPr>
              <w:rPr>
                <w:rFonts w:ascii="Times New Roman" w:hAnsi="Times New Roman" w:cs="Times New Roman"/>
                <w:b/>
                <w:sz w:val="28"/>
                <w:szCs w:val="28"/>
              </w:rPr>
            </w:pPr>
            <w:r w:rsidRPr="006E76F3">
              <w:rPr>
                <w:rFonts w:ascii="Times New Roman" w:hAnsi="Times New Roman"/>
                <w:b/>
                <w:sz w:val="28"/>
                <w:szCs w:val="28"/>
              </w:rPr>
              <w:t>НКР</w:t>
            </w:r>
            <w:r>
              <w:rPr>
                <w:rFonts w:ascii="Times New Roman" w:hAnsi="Times New Roman"/>
                <w:b/>
                <w:sz w:val="28"/>
                <w:szCs w:val="28"/>
              </w:rPr>
              <w:t xml:space="preserve">, </w:t>
            </w:r>
            <w:r w:rsidRPr="00CB3FB6">
              <w:rPr>
                <w:rFonts w:ascii="Times New Roman" w:hAnsi="Times New Roman" w:cs="Times New Roman"/>
                <w:b/>
                <w:sz w:val="28"/>
                <w:szCs w:val="28"/>
              </w:rPr>
              <w:t>n=79</w:t>
            </w:r>
          </w:p>
        </w:tc>
        <w:tc>
          <w:tcPr>
            <w:tcW w:w="1842" w:type="dxa"/>
          </w:tcPr>
          <w:p w:rsidR="008F215C" w:rsidRPr="006E76F3" w:rsidRDefault="008F215C" w:rsidP="00AF4B0A">
            <w:pPr>
              <w:jc w:val="center"/>
              <w:rPr>
                <w:rFonts w:ascii="Times New Roman" w:hAnsi="Times New Roman"/>
                <w:sz w:val="28"/>
                <w:szCs w:val="28"/>
              </w:rPr>
            </w:pPr>
            <w:r>
              <w:rPr>
                <w:rFonts w:ascii="Times New Roman" w:hAnsi="Times New Roman"/>
                <w:sz w:val="28"/>
                <w:szCs w:val="28"/>
              </w:rPr>
              <w:t>1,35</w:t>
            </w:r>
            <w:r>
              <w:rPr>
                <w:rFonts w:ascii="Times New Roman" w:hAnsi="Times New Roman" w:cs="Times New Roman"/>
                <w:sz w:val="28"/>
                <w:szCs w:val="28"/>
              </w:rPr>
              <w:t>±</w:t>
            </w:r>
            <w:r>
              <w:rPr>
                <w:rFonts w:ascii="Times New Roman" w:hAnsi="Times New Roman"/>
                <w:sz w:val="28"/>
                <w:szCs w:val="28"/>
              </w:rPr>
              <w:t>0,49</w:t>
            </w:r>
          </w:p>
        </w:tc>
        <w:tc>
          <w:tcPr>
            <w:tcW w:w="1843" w:type="dxa"/>
          </w:tcPr>
          <w:p w:rsidR="008F215C" w:rsidRPr="006E76F3" w:rsidRDefault="008F215C" w:rsidP="00AF4B0A">
            <w:pPr>
              <w:jc w:val="center"/>
              <w:rPr>
                <w:rFonts w:ascii="Times New Roman" w:hAnsi="Times New Roman"/>
                <w:sz w:val="28"/>
                <w:szCs w:val="28"/>
              </w:rPr>
            </w:pPr>
            <w:r>
              <w:rPr>
                <w:rFonts w:ascii="Times New Roman" w:hAnsi="Times New Roman"/>
                <w:sz w:val="28"/>
                <w:szCs w:val="28"/>
              </w:rPr>
              <w:t>0,91</w:t>
            </w:r>
            <w:r>
              <w:rPr>
                <w:rFonts w:ascii="Times New Roman" w:hAnsi="Times New Roman" w:cs="Times New Roman"/>
                <w:sz w:val="28"/>
                <w:szCs w:val="28"/>
              </w:rPr>
              <w:t>±</w:t>
            </w:r>
            <w:r>
              <w:rPr>
                <w:rFonts w:ascii="Times New Roman" w:hAnsi="Times New Roman"/>
                <w:sz w:val="28"/>
                <w:szCs w:val="28"/>
              </w:rPr>
              <w:t>0,23</w:t>
            </w:r>
          </w:p>
        </w:tc>
        <w:tc>
          <w:tcPr>
            <w:tcW w:w="1843" w:type="dxa"/>
          </w:tcPr>
          <w:p w:rsidR="008F215C" w:rsidRPr="006E76F3" w:rsidRDefault="008F215C" w:rsidP="00AF4B0A">
            <w:pPr>
              <w:jc w:val="center"/>
              <w:rPr>
                <w:rFonts w:ascii="Times New Roman" w:hAnsi="Times New Roman"/>
                <w:sz w:val="28"/>
                <w:szCs w:val="28"/>
              </w:rPr>
            </w:pPr>
            <w:r>
              <w:rPr>
                <w:rFonts w:ascii="Times New Roman" w:hAnsi="Times New Roman"/>
                <w:sz w:val="28"/>
                <w:szCs w:val="28"/>
              </w:rPr>
              <w:t>0,80</w:t>
            </w:r>
            <w:r>
              <w:rPr>
                <w:rFonts w:ascii="Times New Roman" w:hAnsi="Times New Roman" w:cs="Times New Roman"/>
                <w:sz w:val="28"/>
                <w:szCs w:val="28"/>
              </w:rPr>
              <w:t>±</w:t>
            </w:r>
            <w:r>
              <w:rPr>
                <w:rFonts w:ascii="Times New Roman" w:hAnsi="Times New Roman"/>
                <w:sz w:val="28"/>
                <w:szCs w:val="28"/>
              </w:rPr>
              <w:t>0,34</w:t>
            </w:r>
          </w:p>
        </w:tc>
        <w:tc>
          <w:tcPr>
            <w:tcW w:w="1843" w:type="dxa"/>
          </w:tcPr>
          <w:p w:rsidR="008F215C" w:rsidRPr="006E76F3" w:rsidRDefault="008F215C" w:rsidP="00AF4B0A">
            <w:pPr>
              <w:jc w:val="center"/>
              <w:rPr>
                <w:rFonts w:ascii="Times New Roman" w:hAnsi="Times New Roman"/>
                <w:sz w:val="28"/>
                <w:szCs w:val="28"/>
              </w:rPr>
            </w:pPr>
            <w:r>
              <w:rPr>
                <w:rFonts w:ascii="Times New Roman" w:hAnsi="Times New Roman"/>
                <w:sz w:val="28"/>
                <w:szCs w:val="28"/>
              </w:rPr>
              <w:t>0,88</w:t>
            </w:r>
            <w:r>
              <w:rPr>
                <w:rFonts w:ascii="Times New Roman" w:hAnsi="Times New Roman" w:cs="Times New Roman"/>
                <w:sz w:val="28"/>
                <w:szCs w:val="28"/>
              </w:rPr>
              <w:t>±</w:t>
            </w:r>
            <w:r>
              <w:rPr>
                <w:rFonts w:ascii="Times New Roman" w:hAnsi="Times New Roman"/>
                <w:sz w:val="28"/>
                <w:szCs w:val="28"/>
              </w:rPr>
              <w:t>0,19</w:t>
            </w:r>
          </w:p>
        </w:tc>
      </w:tr>
      <w:tr w:rsidR="008F215C" w:rsidTr="00AF4B0A">
        <w:tc>
          <w:tcPr>
            <w:tcW w:w="2263" w:type="dxa"/>
          </w:tcPr>
          <w:p w:rsidR="008F215C" w:rsidRPr="001424FC" w:rsidRDefault="008F215C" w:rsidP="00AF4B0A">
            <w:pPr>
              <w:rPr>
                <w:rFonts w:ascii="Times New Roman" w:hAnsi="Times New Roman" w:cs="Times New Roman"/>
                <w:b/>
                <w:sz w:val="28"/>
                <w:szCs w:val="28"/>
              </w:rPr>
            </w:pPr>
            <w:r>
              <w:rPr>
                <w:rFonts w:ascii="Times New Roman" w:hAnsi="Times New Roman"/>
                <w:b/>
                <w:sz w:val="28"/>
                <w:szCs w:val="28"/>
              </w:rPr>
              <w:t xml:space="preserve">ПКК ниркової миски, </w:t>
            </w:r>
            <w:r w:rsidRPr="00CB3FB6">
              <w:rPr>
                <w:rFonts w:ascii="Times New Roman" w:hAnsi="Times New Roman" w:cs="Times New Roman"/>
                <w:b/>
                <w:sz w:val="28"/>
                <w:szCs w:val="28"/>
              </w:rPr>
              <w:t>n=10</w:t>
            </w:r>
          </w:p>
        </w:tc>
        <w:tc>
          <w:tcPr>
            <w:tcW w:w="1842" w:type="dxa"/>
          </w:tcPr>
          <w:p w:rsidR="008F215C" w:rsidRPr="006E76F3" w:rsidRDefault="008F215C" w:rsidP="00AF4B0A">
            <w:pPr>
              <w:jc w:val="center"/>
              <w:rPr>
                <w:rFonts w:ascii="Times New Roman" w:hAnsi="Times New Roman"/>
                <w:sz w:val="28"/>
                <w:szCs w:val="28"/>
              </w:rPr>
            </w:pPr>
            <w:r>
              <w:rPr>
                <w:rFonts w:ascii="Times New Roman" w:hAnsi="Times New Roman"/>
                <w:sz w:val="28"/>
                <w:szCs w:val="28"/>
              </w:rPr>
              <w:t>0,80</w:t>
            </w:r>
            <w:r>
              <w:rPr>
                <w:rFonts w:ascii="Times New Roman" w:hAnsi="Times New Roman" w:cs="Times New Roman"/>
                <w:sz w:val="28"/>
                <w:szCs w:val="28"/>
              </w:rPr>
              <w:t>±</w:t>
            </w:r>
            <w:r>
              <w:rPr>
                <w:rFonts w:ascii="Times New Roman" w:hAnsi="Times New Roman"/>
                <w:sz w:val="28"/>
                <w:szCs w:val="28"/>
              </w:rPr>
              <w:t>0,26</w:t>
            </w:r>
          </w:p>
        </w:tc>
        <w:tc>
          <w:tcPr>
            <w:tcW w:w="1843" w:type="dxa"/>
          </w:tcPr>
          <w:p w:rsidR="008F215C" w:rsidRPr="006E76F3" w:rsidRDefault="008F215C" w:rsidP="00AF4B0A">
            <w:pPr>
              <w:jc w:val="center"/>
              <w:rPr>
                <w:rFonts w:ascii="Times New Roman" w:hAnsi="Times New Roman"/>
                <w:sz w:val="28"/>
                <w:szCs w:val="28"/>
              </w:rPr>
            </w:pPr>
            <w:r>
              <w:rPr>
                <w:rFonts w:ascii="Times New Roman" w:hAnsi="Times New Roman"/>
                <w:sz w:val="28"/>
                <w:szCs w:val="28"/>
              </w:rPr>
              <w:t>0,61</w:t>
            </w:r>
            <w:r>
              <w:rPr>
                <w:rFonts w:ascii="Times New Roman" w:hAnsi="Times New Roman" w:cs="Times New Roman"/>
                <w:sz w:val="28"/>
                <w:szCs w:val="28"/>
              </w:rPr>
              <w:t>±</w:t>
            </w:r>
            <w:r>
              <w:rPr>
                <w:rFonts w:ascii="Times New Roman" w:hAnsi="Times New Roman"/>
                <w:sz w:val="28"/>
                <w:szCs w:val="28"/>
              </w:rPr>
              <w:t>0,10</w:t>
            </w:r>
          </w:p>
        </w:tc>
        <w:tc>
          <w:tcPr>
            <w:tcW w:w="1843" w:type="dxa"/>
          </w:tcPr>
          <w:p w:rsidR="008F215C" w:rsidRPr="006E76F3" w:rsidRDefault="008F215C" w:rsidP="00AF4B0A">
            <w:pPr>
              <w:jc w:val="center"/>
              <w:rPr>
                <w:rFonts w:ascii="Times New Roman" w:hAnsi="Times New Roman"/>
                <w:sz w:val="28"/>
                <w:szCs w:val="28"/>
              </w:rPr>
            </w:pPr>
            <w:r>
              <w:rPr>
                <w:rFonts w:ascii="Times New Roman" w:hAnsi="Times New Roman"/>
                <w:sz w:val="28"/>
                <w:szCs w:val="28"/>
              </w:rPr>
              <w:t>0,50</w:t>
            </w:r>
            <w:r>
              <w:rPr>
                <w:rFonts w:ascii="Times New Roman" w:hAnsi="Times New Roman" w:cs="Times New Roman"/>
                <w:sz w:val="28"/>
                <w:szCs w:val="28"/>
              </w:rPr>
              <w:t>±</w:t>
            </w:r>
            <w:r>
              <w:rPr>
                <w:rFonts w:ascii="Times New Roman" w:hAnsi="Times New Roman"/>
                <w:sz w:val="28"/>
                <w:szCs w:val="28"/>
              </w:rPr>
              <w:t>0,21</w:t>
            </w:r>
          </w:p>
        </w:tc>
        <w:tc>
          <w:tcPr>
            <w:tcW w:w="1843" w:type="dxa"/>
          </w:tcPr>
          <w:p w:rsidR="008F215C" w:rsidRPr="006E76F3" w:rsidRDefault="008F215C" w:rsidP="00AF4B0A">
            <w:pPr>
              <w:jc w:val="center"/>
              <w:rPr>
                <w:rFonts w:ascii="Times New Roman" w:hAnsi="Times New Roman"/>
                <w:sz w:val="28"/>
                <w:szCs w:val="28"/>
              </w:rPr>
            </w:pPr>
            <w:r>
              <w:rPr>
                <w:rFonts w:ascii="Times New Roman" w:hAnsi="Times New Roman"/>
                <w:sz w:val="28"/>
                <w:szCs w:val="28"/>
              </w:rPr>
              <w:t>0,45</w:t>
            </w:r>
            <w:r>
              <w:rPr>
                <w:rFonts w:ascii="Times New Roman" w:hAnsi="Times New Roman" w:cs="Times New Roman"/>
                <w:sz w:val="28"/>
                <w:szCs w:val="28"/>
              </w:rPr>
              <w:t>±</w:t>
            </w:r>
            <w:r>
              <w:rPr>
                <w:rFonts w:ascii="Times New Roman" w:hAnsi="Times New Roman"/>
                <w:sz w:val="28"/>
                <w:szCs w:val="28"/>
              </w:rPr>
              <w:t>0,10</w:t>
            </w:r>
          </w:p>
        </w:tc>
      </w:tr>
      <w:tr w:rsidR="008F215C" w:rsidTr="00AF4B0A">
        <w:tc>
          <w:tcPr>
            <w:tcW w:w="2263" w:type="dxa"/>
          </w:tcPr>
          <w:p w:rsidR="008F215C" w:rsidRPr="006E76F3" w:rsidRDefault="008F215C" w:rsidP="00AF4B0A">
            <w:pPr>
              <w:rPr>
                <w:rFonts w:ascii="Times New Roman" w:hAnsi="Times New Roman"/>
                <w:b/>
                <w:sz w:val="28"/>
                <w:szCs w:val="28"/>
              </w:rPr>
            </w:pPr>
            <w:r w:rsidRPr="006E76F3">
              <w:rPr>
                <w:rFonts w:ascii="Times New Roman" w:hAnsi="Times New Roman"/>
                <w:b/>
                <w:sz w:val="28"/>
                <w:szCs w:val="28"/>
              </w:rPr>
              <w:t>Доброякісні</w:t>
            </w:r>
          </w:p>
          <w:p w:rsidR="008F215C" w:rsidRPr="001424FC" w:rsidRDefault="008F215C" w:rsidP="00AF4B0A">
            <w:pPr>
              <w:rPr>
                <w:lang w:val="en-US"/>
              </w:rPr>
            </w:pPr>
            <w:r>
              <w:rPr>
                <w:rFonts w:ascii="Times New Roman" w:hAnsi="Times New Roman"/>
                <w:b/>
                <w:sz w:val="28"/>
                <w:szCs w:val="28"/>
              </w:rPr>
              <w:t>п</w:t>
            </w:r>
            <w:r w:rsidRPr="006E76F3">
              <w:rPr>
                <w:rFonts w:ascii="Times New Roman" w:hAnsi="Times New Roman"/>
                <w:b/>
                <w:sz w:val="28"/>
                <w:szCs w:val="28"/>
              </w:rPr>
              <w:t>ухлини</w:t>
            </w:r>
            <w:r>
              <w:rPr>
                <w:rFonts w:ascii="Times New Roman" w:hAnsi="Times New Roman"/>
                <w:b/>
                <w:sz w:val="28"/>
                <w:szCs w:val="28"/>
              </w:rPr>
              <w:t xml:space="preserve">, </w:t>
            </w:r>
            <w:r w:rsidRPr="00CB3FB6">
              <w:rPr>
                <w:rFonts w:ascii="Times New Roman" w:hAnsi="Times New Roman" w:cs="Times New Roman"/>
                <w:b/>
                <w:sz w:val="28"/>
                <w:szCs w:val="28"/>
              </w:rPr>
              <w:t>n=21</w:t>
            </w:r>
          </w:p>
        </w:tc>
        <w:tc>
          <w:tcPr>
            <w:tcW w:w="1842" w:type="dxa"/>
          </w:tcPr>
          <w:p w:rsidR="008F215C" w:rsidRPr="00FB6A55" w:rsidRDefault="008F215C" w:rsidP="00AF4B0A">
            <w:pPr>
              <w:jc w:val="center"/>
              <w:rPr>
                <w:rFonts w:ascii="Times New Roman" w:hAnsi="Times New Roman"/>
                <w:sz w:val="28"/>
                <w:szCs w:val="28"/>
              </w:rPr>
            </w:pPr>
            <w:r>
              <w:rPr>
                <w:rFonts w:ascii="Times New Roman" w:hAnsi="Times New Roman"/>
                <w:sz w:val="28"/>
                <w:szCs w:val="28"/>
              </w:rPr>
              <w:t>1,07</w:t>
            </w:r>
            <w:r>
              <w:rPr>
                <w:rFonts w:ascii="Times New Roman" w:hAnsi="Times New Roman" w:cs="Times New Roman"/>
                <w:sz w:val="28"/>
                <w:szCs w:val="28"/>
              </w:rPr>
              <w:t>±</w:t>
            </w:r>
            <w:r>
              <w:rPr>
                <w:rFonts w:ascii="Times New Roman" w:hAnsi="Times New Roman"/>
                <w:sz w:val="28"/>
                <w:szCs w:val="28"/>
              </w:rPr>
              <w:t>0,39</w:t>
            </w:r>
          </w:p>
        </w:tc>
        <w:tc>
          <w:tcPr>
            <w:tcW w:w="1843" w:type="dxa"/>
          </w:tcPr>
          <w:p w:rsidR="008F215C" w:rsidRPr="00FB6A55" w:rsidRDefault="008F215C" w:rsidP="00AF4B0A">
            <w:pPr>
              <w:jc w:val="center"/>
              <w:rPr>
                <w:rFonts w:ascii="Times New Roman" w:hAnsi="Times New Roman"/>
                <w:sz w:val="28"/>
                <w:szCs w:val="28"/>
              </w:rPr>
            </w:pPr>
            <w:r>
              <w:rPr>
                <w:rFonts w:ascii="Times New Roman" w:hAnsi="Times New Roman"/>
                <w:sz w:val="28"/>
                <w:szCs w:val="28"/>
              </w:rPr>
              <w:t>0,74</w:t>
            </w:r>
            <w:r>
              <w:rPr>
                <w:rFonts w:ascii="Times New Roman" w:hAnsi="Times New Roman" w:cs="Times New Roman"/>
                <w:sz w:val="28"/>
                <w:szCs w:val="28"/>
              </w:rPr>
              <w:t>±</w:t>
            </w:r>
            <w:r>
              <w:rPr>
                <w:rFonts w:ascii="Times New Roman" w:hAnsi="Times New Roman"/>
                <w:sz w:val="28"/>
                <w:szCs w:val="28"/>
              </w:rPr>
              <w:t>0,19</w:t>
            </w:r>
          </w:p>
        </w:tc>
        <w:tc>
          <w:tcPr>
            <w:tcW w:w="1843" w:type="dxa"/>
          </w:tcPr>
          <w:p w:rsidR="008F215C" w:rsidRPr="00FB6A55" w:rsidRDefault="008F215C" w:rsidP="00AF4B0A">
            <w:pPr>
              <w:jc w:val="center"/>
              <w:rPr>
                <w:rFonts w:ascii="Times New Roman" w:hAnsi="Times New Roman"/>
                <w:sz w:val="28"/>
                <w:szCs w:val="28"/>
              </w:rPr>
            </w:pPr>
            <w:r>
              <w:rPr>
                <w:rFonts w:ascii="Times New Roman" w:hAnsi="Times New Roman"/>
                <w:sz w:val="28"/>
                <w:szCs w:val="28"/>
              </w:rPr>
              <w:t>0,82</w:t>
            </w:r>
            <w:r>
              <w:rPr>
                <w:rFonts w:ascii="Times New Roman" w:hAnsi="Times New Roman" w:cs="Times New Roman"/>
                <w:sz w:val="28"/>
                <w:szCs w:val="28"/>
              </w:rPr>
              <w:t>±</w:t>
            </w:r>
            <w:r>
              <w:rPr>
                <w:rFonts w:ascii="Times New Roman" w:hAnsi="Times New Roman"/>
                <w:sz w:val="28"/>
                <w:szCs w:val="28"/>
              </w:rPr>
              <w:t>0,46</w:t>
            </w:r>
          </w:p>
        </w:tc>
        <w:tc>
          <w:tcPr>
            <w:tcW w:w="1843" w:type="dxa"/>
          </w:tcPr>
          <w:p w:rsidR="008F215C" w:rsidRPr="00FB6A55" w:rsidRDefault="008F215C" w:rsidP="00AF4B0A">
            <w:pPr>
              <w:jc w:val="center"/>
              <w:rPr>
                <w:rFonts w:ascii="Times New Roman" w:hAnsi="Times New Roman"/>
                <w:sz w:val="28"/>
                <w:szCs w:val="28"/>
              </w:rPr>
            </w:pPr>
            <w:r>
              <w:rPr>
                <w:rFonts w:ascii="Times New Roman" w:hAnsi="Times New Roman"/>
                <w:sz w:val="28"/>
                <w:szCs w:val="28"/>
              </w:rPr>
              <w:t>0,69</w:t>
            </w:r>
            <w:r>
              <w:rPr>
                <w:rFonts w:ascii="Times New Roman" w:hAnsi="Times New Roman" w:cs="Times New Roman"/>
                <w:sz w:val="28"/>
                <w:szCs w:val="28"/>
              </w:rPr>
              <w:t>±</w:t>
            </w:r>
            <w:r>
              <w:rPr>
                <w:rFonts w:ascii="Times New Roman" w:hAnsi="Times New Roman"/>
                <w:sz w:val="28"/>
                <w:szCs w:val="28"/>
              </w:rPr>
              <w:t>0,20</w:t>
            </w:r>
          </w:p>
        </w:tc>
      </w:tr>
      <w:tr w:rsidR="008F215C" w:rsidTr="00AF4B0A">
        <w:trPr>
          <w:trHeight w:val="514"/>
        </w:trPr>
        <w:tc>
          <w:tcPr>
            <w:tcW w:w="2263" w:type="dxa"/>
          </w:tcPr>
          <w:p w:rsidR="008F215C" w:rsidRPr="001424FC" w:rsidRDefault="008F215C" w:rsidP="00AF4B0A">
            <w:pPr>
              <w:rPr>
                <w:rFonts w:ascii="Times New Roman" w:hAnsi="Times New Roman"/>
                <w:b/>
                <w:sz w:val="28"/>
                <w:szCs w:val="28"/>
              </w:rPr>
            </w:pPr>
            <w:r w:rsidRPr="006E76F3">
              <w:rPr>
                <w:rFonts w:ascii="Times New Roman" w:hAnsi="Times New Roman"/>
                <w:b/>
                <w:sz w:val="28"/>
                <w:szCs w:val="28"/>
              </w:rPr>
              <w:t>Контроль</w:t>
            </w:r>
            <w:r>
              <w:rPr>
                <w:rFonts w:ascii="Times New Roman" w:hAnsi="Times New Roman"/>
                <w:b/>
                <w:sz w:val="28"/>
                <w:szCs w:val="28"/>
              </w:rPr>
              <w:t xml:space="preserve">, </w:t>
            </w:r>
            <w:r>
              <w:rPr>
                <w:rFonts w:ascii="Times New Roman" w:hAnsi="Times New Roman" w:cs="Times New Roman"/>
                <w:b/>
                <w:sz w:val="28"/>
                <w:szCs w:val="28"/>
              </w:rPr>
              <w:t>n=30</w:t>
            </w:r>
          </w:p>
        </w:tc>
        <w:tc>
          <w:tcPr>
            <w:tcW w:w="1842" w:type="dxa"/>
          </w:tcPr>
          <w:p w:rsidR="008F215C" w:rsidRPr="00FB6A55" w:rsidRDefault="008F215C" w:rsidP="00AF4B0A">
            <w:pPr>
              <w:jc w:val="center"/>
              <w:rPr>
                <w:rFonts w:ascii="Times New Roman" w:hAnsi="Times New Roman"/>
                <w:sz w:val="28"/>
                <w:szCs w:val="28"/>
              </w:rPr>
            </w:pPr>
            <w:r>
              <w:rPr>
                <w:rFonts w:ascii="Times New Roman" w:hAnsi="Times New Roman"/>
                <w:sz w:val="28"/>
                <w:szCs w:val="28"/>
              </w:rPr>
              <w:t>1,0</w:t>
            </w:r>
            <w:r>
              <w:rPr>
                <w:rFonts w:ascii="Times New Roman" w:hAnsi="Times New Roman" w:cs="Times New Roman"/>
                <w:sz w:val="28"/>
                <w:szCs w:val="28"/>
              </w:rPr>
              <w:t>±0,0</w:t>
            </w:r>
          </w:p>
        </w:tc>
        <w:tc>
          <w:tcPr>
            <w:tcW w:w="1843" w:type="dxa"/>
          </w:tcPr>
          <w:p w:rsidR="008F215C" w:rsidRPr="00FB6A55" w:rsidRDefault="008F215C" w:rsidP="00AF4B0A">
            <w:pPr>
              <w:jc w:val="center"/>
              <w:rPr>
                <w:rFonts w:ascii="Times New Roman" w:hAnsi="Times New Roman"/>
                <w:sz w:val="28"/>
                <w:szCs w:val="28"/>
              </w:rPr>
            </w:pPr>
            <w:r>
              <w:rPr>
                <w:rFonts w:ascii="Times New Roman" w:hAnsi="Times New Roman"/>
                <w:sz w:val="28"/>
                <w:szCs w:val="28"/>
              </w:rPr>
              <w:t>1,0</w:t>
            </w:r>
            <w:r>
              <w:rPr>
                <w:rFonts w:ascii="Times New Roman" w:hAnsi="Times New Roman" w:cs="Times New Roman"/>
                <w:sz w:val="28"/>
                <w:szCs w:val="28"/>
              </w:rPr>
              <w:t>±0,0</w:t>
            </w:r>
          </w:p>
        </w:tc>
        <w:tc>
          <w:tcPr>
            <w:tcW w:w="1843" w:type="dxa"/>
          </w:tcPr>
          <w:p w:rsidR="008F215C" w:rsidRPr="00FB6A55" w:rsidRDefault="008F215C" w:rsidP="00AF4B0A">
            <w:pPr>
              <w:jc w:val="center"/>
              <w:rPr>
                <w:rFonts w:ascii="Times New Roman" w:hAnsi="Times New Roman"/>
                <w:sz w:val="28"/>
                <w:szCs w:val="28"/>
              </w:rPr>
            </w:pPr>
            <w:r>
              <w:rPr>
                <w:rFonts w:ascii="Times New Roman" w:hAnsi="Times New Roman"/>
                <w:sz w:val="28"/>
                <w:szCs w:val="28"/>
              </w:rPr>
              <w:t>1,0</w:t>
            </w:r>
            <w:r>
              <w:rPr>
                <w:rFonts w:ascii="Times New Roman" w:hAnsi="Times New Roman" w:cs="Times New Roman"/>
                <w:sz w:val="28"/>
                <w:szCs w:val="28"/>
              </w:rPr>
              <w:t>±0,0</w:t>
            </w:r>
          </w:p>
        </w:tc>
        <w:tc>
          <w:tcPr>
            <w:tcW w:w="1843" w:type="dxa"/>
          </w:tcPr>
          <w:p w:rsidR="008F215C" w:rsidRPr="00FB6A55" w:rsidRDefault="008F215C" w:rsidP="00AF4B0A">
            <w:pPr>
              <w:jc w:val="center"/>
              <w:rPr>
                <w:rFonts w:ascii="Times New Roman" w:hAnsi="Times New Roman"/>
                <w:sz w:val="28"/>
                <w:szCs w:val="28"/>
              </w:rPr>
            </w:pPr>
            <w:r>
              <w:rPr>
                <w:rFonts w:ascii="Times New Roman" w:hAnsi="Times New Roman"/>
                <w:sz w:val="28"/>
                <w:szCs w:val="28"/>
              </w:rPr>
              <w:t>1,0</w:t>
            </w:r>
            <w:r>
              <w:rPr>
                <w:rFonts w:ascii="Times New Roman" w:hAnsi="Times New Roman" w:cs="Times New Roman"/>
                <w:sz w:val="28"/>
                <w:szCs w:val="28"/>
              </w:rPr>
              <w:t>±0,0</w:t>
            </w:r>
          </w:p>
        </w:tc>
      </w:tr>
      <w:tr w:rsidR="008F215C" w:rsidTr="00AF4B0A">
        <w:tc>
          <w:tcPr>
            <w:tcW w:w="2263" w:type="dxa"/>
          </w:tcPr>
          <w:p w:rsidR="008F215C" w:rsidRPr="006E76F3" w:rsidRDefault="008F215C" w:rsidP="00AF4B0A">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842"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rPr>
              <w:t>0,001</w:t>
            </w:r>
          </w:p>
        </w:tc>
        <w:tc>
          <w:tcPr>
            <w:tcW w:w="1843" w:type="dxa"/>
          </w:tcPr>
          <w:p w:rsidR="008F215C" w:rsidRPr="003D5DD4" w:rsidRDefault="008F215C" w:rsidP="00AF4B0A">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c>
          <w:tcPr>
            <w:tcW w:w="1843" w:type="dxa"/>
          </w:tcPr>
          <w:p w:rsidR="008F215C" w:rsidRPr="003D5DD4" w:rsidRDefault="008F215C" w:rsidP="00AF4B0A">
            <w:pPr>
              <w:jc w:val="center"/>
              <w:rPr>
                <w:rFonts w:ascii="Times New Roman" w:hAnsi="Times New Roman"/>
                <w:sz w:val="28"/>
                <w:szCs w:val="28"/>
              </w:rPr>
            </w:pPr>
            <w:r>
              <w:rPr>
                <w:rFonts w:ascii="Times New Roman" w:hAnsi="Times New Roman"/>
                <w:sz w:val="28"/>
                <w:szCs w:val="28"/>
              </w:rPr>
              <w:t>0,026</w:t>
            </w:r>
          </w:p>
        </w:tc>
        <w:tc>
          <w:tcPr>
            <w:tcW w:w="1843" w:type="dxa"/>
          </w:tcPr>
          <w:p w:rsidR="008F215C" w:rsidRPr="007C173C" w:rsidRDefault="008F215C" w:rsidP="00AF4B0A">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r>
      <w:tr w:rsidR="008F215C" w:rsidTr="00AF4B0A">
        <w:tc>
          <w:tcPr>
            <w:tcW w:w="2263" w:type="dxa"/>
          </w:tcPr>
          <w:p w:rsidR="008F215C" w:rsidRDefault="008F215C" w:rsidP="00AF4B0A">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,3</w:t>
            </w:r>
          </w:p>
        </w:tc>
        <w:tc>
          <w:tcPr>
            <w:tcW w:w="1842"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rPr>
              <w:t>0,032</w:t>
            </w:r>
          </w:p>
        </w:tc>
        <w:tc>
          <w:tcPr>
            <w:tcW w:w="1843"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rPr>
              <w:t>0,001</w:t>
            </w:r>
          </w:p>
        </w:tc>
        <w:tc>
          <w:tcPr>
            <w:tcW w:w="1843"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rPr>
              <w:t>0,993</w:t>
            </w:r>
          </w:p>
        </w:tc>
        <w:tc>
          <w:tcPr>
            <w:tcW w:w="1843"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r>
      <w:tr w:rsidR="008F215C" w:rsidTr="00AF4B0A">
        <w:tc>
          <w:tcPr>
            <w:tcW w:w="2263" w:type="dxa"/>
          </w:tcPr>
          <w:p w:rsidR="008F215C" w:rsidRDefault="008F215C" w:rsidP="00AF4B0A">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,4</w:t>
            </w:r>
          </w:p>
        </w:tc>
        <w:tc>
          <w:tcPr>
            <w:tcW w:w="1842" w:type="dxa"/>
          </w:tcPr>
          <w:p w:rsidR="008F215C" w:rsidRPr="00AC4975" w:rsidRDefault="008F215C" w:rsidP="00AF4B0A">
            <w:pPr>
              <w:jc w:val="center"/>
              <w:rPr>
                <w:rFonts w:ascii="Times New Roman" w:hAnsi="Times New Roman"/>
                <w:sz w:val="28"/>
                <w:szCs w:val="28"/>
              </w:rPr>
            </w:pPr>
            <w:r>
              <w:rPr>
                <w:rFonts w:ascii="Times New Roman" w:hAnsi="Times New Roman"/>
                <w:sz w:val="28"/>
                <w:szCs w:val="28"/>
              </w:rPr>
              <w:t>0,001</w:t>
            </w:r>
          </w:p>
        </w:tc>
        <w:tc>
          <w:tcPr>
            <w:tcW w:w="1843" w:type="dxa"/>
          </w:tcPr>
          <w:p w:rsidR="008F215C" w:rsidRPr="00AC4975" w:rsidRDefault="008F215C" w:rsidP="00AF4B0A">
            <w:pPr>
              <w:jc w:val="center"/>
              <w:rPr>
                <w:rFonts w:ascii="Times New Roman" w:hAnsi="Times New Roman"/>
                <w:sz w:val="28"/>
                <w:szCs w:val="28"/>
              </w:rPr>
            </w:pPr>
            <w:r>
              <w:rPr>
                <w:rFonts w:ascii="Times New Roman" w:hAnsi="Times New Roman"/>
                <w:sz w:val="28"/>
                <w:szCs w:val="28"/>
              </w:rPr>
              <w:t>0,131</w:t>
            </w:r>
          </w:p>
        </w:tc>
        <w:tc>
          <w:tcPr>
            <w:tcW w:w="1843" w:type="dxa"/>
          </w:tcPr>
          <w:p w:rsidR="008F215C" w:rsidRPr="00AC4975" w:rsidRDefault="008F215C" w:rsidP="00AF4B0A">
            <w:pPr>
              <w:jc w:val="center"/>
              <w:rPr>
                <w:rFonts w:ascii="Times New Roman" w:hAnsi="Times New Roman"/>
                <w:sz w:val="28"/>
                <w:szCs w:val="28"/>
              </w:rPr>
            </w:pPr>
            <w:r>
              <w:rPr>
                <w:rFonts w:ascii="Times New Roman" w:hAnsi="Times New Roman"/>
                <w:sz w:val="28"/>
                <w:szCs w:val="28"/>
              </w:rPr>
              <w:t>0,021</w:t>
            </w:r>
          </w:p>
        </w:tc>
        <w:tc>
          <w:tcPr>
            <w:tcW w:w="1843" w:type="dxa"/>
          </w:tcPr>
          <w:p w:rsidR="008F215C" w:rsidRPr="00AC4975" w:rsidRDefault="008F215C" w:rsidP="00AF4B0A">
            <w:pPr>
              <w:jc w:val="center"/>
              <w:rPr>
                <w:rFonts w:ascii="Times New Roman" w:hAnsi="Times New Roman"/>
                <w:sz w:val="28"/>
                <w:szCs w:val="28"/>
              </w:rPr>
            </w:pPr>
            <w:r>
              <w:rPr>
                <w:rFonts w:ascii="Times New Roman" w:hAnsi="Times New Roman"/>
                <w:sz w:val="28"/>
                <w:szCs w:val="28"/>
              </w:rPr>
              <w:t>0,004</w:t>
            </w:r>
          </w:p>
        </w:tc>
      </w:tr>
      <w:tr w:rsidR="008F215C" w:rsidTr="00AF4B0A">
        <w:tc>
          <w:tcPr>
            <w:tcW w:w="2263" w:type="dxa"/>
          </w:tcPr>
          <w:p w:rsidR="008F215C" w:rsidRDefault="008F215C" w:rsidP="00AF4B0A">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2,3</w:t>
            </w:r>
          </w:p>
        </w:tc>
        <w:tc>
          <w:tcPr>
            <w:tcW w:w="1842" w:type="dxa"/>
          </w:tcPr>
          <w:p w:rsidR="008F215C" w:rsidRPr="00AC4975" w:rsidRDefault="008F215C" w:rsidP="00AF4B0A">
            <w:pPr>
              <w:jc w:val="center"/>
              <w:rPr>
                <w:rFonts w:ascii="Times New Roman" w:hAnsi="Times New Roman"/>
                <w:sz w:val="28"/>
                <w:szCs w:val="28"/>
              </w:rPr>
            </w:pPr>
            <w:r>
              <w:rPr>
                <w:rFonts w:ascii="Times New Roman" w:hAnsi="Times New Roman"/>
                <w:sz w:val="28"/>
                <w:szCs w:val="28"/>
                <w:lang w:val="en-US"/>
              </w:rPr>
              <w:t>0</w:t>
            </w:r>
            <w:r>
              <w:rPr>
                <w:rFonts w:ascii="Times New Roman" w:hAnsi="Times New Roman"/>
                <w:sz w:val="28"/>
                <w:szCs w:val="28"/>
              </w:rPr>
              <w:t>,328</w:t>
            </w:r>
          </w:p>
        </w:tc>
        <w:tc>
          <w:tcPr>
            <w:tcW w:w="1843" w:type="dxa"/>
          </w:tcPr>
          <w:p w:rsidR="008F215C" w:rsidRPr="00AC4975" w:rsidRDefault="008F215C" w:rsidP="00AF4B0A">
            <w:pPr>
              <w:jc w:val="center"/>
              <w:rPr>
                <w:rFonts w:ascii="Times New Roman" w:hAnsi="Times New Roman"/>
                <w:sz w:val="28"/>
                <w:szCs w:val="28"/>
              </w:rPr>
            </w:pPr>
            <w:r>
              <w:rPr>
                <w:rFonts w:ascii="Times New Roman" w:hAnsi="Times New Roman"/>
                <w:sz w:val="28"/>
                <w:szCs w:val="28"/>
              </w:rPr>
              <w:t>0,311</w:t>
            </w:r>
          </w:p>
        </w:tc>
        <w:tc>
          <w:tcPr>
            <w:tcW w:w="1843" w:type="dxa"/>
          </w:tcPr>
          <w:p w:rsidR="008F215C" w:rsidRPr="00AC4975" w:rsidRDefault="008F215C" w:rsidP="00AF4B0A">
            <w:pPr>
              <w:jc w:val="center"/>
              <w:rPr>
                <w:rFonts w:ascii="Times New Roman" w:hAnsi="Times New Roman"/>
                <w:sz w:val="28"/>
                <w:szCs w:val="28"/>
              </w:rPr>
            </w:pPr>
            <w:r>
              <w:rPr>
                <w:rFonts w:ascii="Times New Roman" w:hAnsi="Times New Roman"/>
                <w:sz w:val="28"/>
                <w:szCs w:val="28"/>
              </w:rPr>
              <w:t>0,043</w:t>
            </w:r>
          </w:p>
        </w:tc>
        <w:tc>
          <w:tcPr>
            <w:tcW w:w="1843" w:type="dxa"/>
          </w:tcPr>
          <w:p w:rsidR="008F215C" w:rsidRPr="00AC4975" w:rsidRDefault="008F215C" w:rsidP="00AF4B0A">
            <w:pPr>
              <w:jc w:val="center"/>
              <w:rPr>
                <w:rFonts w:ascii="Times New Roman" w:hAnsi="Times New Roman"/>
                <w:sz w:val="28"/>
                <w:szCs w:val="28"/>
              </w:rPr>
            </w:pPr>
            <w:r>
              <w:rPr>
                <w:rFonts w:ascii="Times New Roman" w:hAnsi="Times New Roman"/>
                <w:sz w:val="28"/>
                <w:szCs w:val="28"/>
              </w:rPr>
              <w:t>0,001</w:t>
            </w:r>
          </w:p>
        </w:tc>
      </w:tr>
      <w:tr w:rsidR="008F215C" w:rsidTr="00AF4B0A">
        <w:tc>
          <w:tcPr>
            <w:tcW w:w="2263" w:type="dxa"/>
          </w:tcPr>
          <w:p w:rsidR="008F215C" w:rsidRDefault="008F215C" w:rsidP="00AF4B0A">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2,4</w:t>
            </w:r>
          </w:p>
        </w:tc>
        <w:tc>
          <w:tcPr>
            <w:tcW w:w="1842"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rPr>
              <w:t>0,550</w:t>
            </w:r>
          </w:p>
        </w:tc>
        <w:tc>
          <w:tcPr>
            <w:tcW w:w="1843"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c>
          <w:tcPr>
            <w:tcW w:w="1843" w:type="dxa"/>
          </w:tcPr>
          <w:p w:rsidR="008F215C" w:rsidRPr="006E3F0C" w:rsidRDefault="008F215C" w:rsidP="00AF4B0A">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43" w:type="dxa"/>
          </w:tcPr>
          <w:p w:rsidR="008F215C" w:rsidRPr="006E3F0C" w:rsidRDefault="008F215C" w:rsidP="00AF4B0A">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r>
      <w:tr w:rsidR="008F215C" w:rsidTr="00AF4B0A">
        <w:tc>
          <w:tcPr>
            <w:tcW w:w="2263" w:type="dxa"/>
          </w:tcPr>
          <w:p w:rsidR="008F215C" w:rsidRDefault="008F215C" w:rsidP="00AF4B0A">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3,4</w:t>
            </w:r>
          </w:p>
        </w:tc>
        <w:tc>
          <w:tcPr>
            <w:tcW w:w="1842"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rPr>
              <w:t>0,933</w:t>
            </w:r>
          </w:p>
        </w:tc>
        <w:tc>
          <w:tcPr>
            <w:tcW w:w="1843"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c>
          <w:tcPr>
            <w:tcW w:w="1843"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rPr>
              <w:t>0,206</w:t>
            </w:r>
          </w:p>
        </w:tc>
        <w:tc>
          <w:tcPr>
            <w:tcW w:w="1843" w:type="dxa"/>
          </w:tcPr>
          <w:p w:rsidR="008F215C" w:rsidRPr="00482ADC" w:rsidRDefault="008F215C" w:rsidP="00AF4B0A">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r>
    </w:tbl>
    <w:p w:rsidR="008F215C" w:rsidRDefault="008F215C" w:rsidP="00FA5DA4">
      <w:pPr>
        <w:spacing w:line="360" w:lineRule="auto"/>
        <w:jc w:val="both"/>
        <w:rPr>
          <w:rFonts w:ascii="Times New Roman" w:hAnsi="Times New Roman"/>
          <w:sz w:val="28"/>
          <w:szCs w:val="28"/>
        </w:rPr>
      </w:pPr>
    </w:p>
    <w:p w:rsidR="00B60C09" w:rsidRPr="008F215C" w:rsidRDefault="00B60C09" w:rsidP="008F215C">
      <w:pPr>
        <w:spacing w:line="360" w:lineRule="auto"/>
        <w:ind w:firstLine="708"/>
        <w:jc w:val="both"/>
        <w:rPr>
          <w:rFonts w:ascii="Times New Roman" w:hAnsi="Times New Roman"/>
          <w:sz w:val="28"/>
          <w:szCs w:val="28"/>
        </w:rPr>
      </w:pPr>
      <w:r>
        <w:rPr>
          <w:rFonts w:ascii="Times New Roman" w:hAnsi="Times New Roman"/>
          <w:sz w:val="28"/>
          <w:szCs w:val="28"/>
        </w:rPr>
        <w:lastRenderedPageBreak/>
        <w:t>Під час порівняння інстенсивностей сигналу виміряних з КТ-зображень ПКЗ при різних гістологічних підтипах НКР в межах основної групи, нами було виявлено, що найвищу променеву щільність мав конвенційний варіант НКР, середнє значення ІС якого становило 41,64</w:t>
      </w:r>
      <w:r>
        <w:rPr>
          <w:rFonts w:ascii="Times New Roman" w:hAnsi="Times New Roman" w:cs="Times New Roman"/>
          <w:sz w:val="28"/>
          <w:szCs w:val="28"/>
        </w:rPr>
        <w:t>±</w:t>
      </w:r>
      <w:r>
        <w:rPr>
          <w:rFonts w:ascii="Times New Roman" w:hAnsi="Times New Roman"/>
          <w:sz w:val="28"/>
          <w:szCs w:val="28"/>
        </w:rPr>
        <w:t xml:space="preserve">11,01 </w:t>
      </w:r>
      <w:r>
        <w:rPr>
          <w:rFonts w:ascii="Times New Roman" w:hAnsi="Times New Roman"/>
          <w:sz w:val="28"/>
          <w:szCs w:val="28"/>
          <w:lang w:val="en-US"/>
        </w:rPr>
        <w:t>HU</w:t>
      </w:r>
      <w:r>
        <w:rPr>
          <w:rFonts w:ascii="Times New Roman" w:hAnsi="Times New Roman"/>
          <w:sz w:val="28"/>
          <w:szCs w:val="28"/>
        </w:rPr>
        <w:t xml:space="preserve"> (ДІ=38,45-44,84 </w:t>
      </w:r>
      <w:r>
        <w:rPr>
          <w:rFonts w:ascii="Times New Roman" w:hAnsi="Times New Roman"/>
          <w:sz w:val="28"/>
          <w:szCs w:val="28"/>
          <w:lang w:val="en-US"/>
        </w:rPr>
        <w:t>HU</w:t>
      </w:r>
      <w:r>
        <w:rPr>
          <w:rFonts w:ascii="Times New Roman" w:hAnsi="Times New Roman"/>
          <w:sz w:val="28"/>
          <w:szCs w:val="28"/>
        </w:rPr>
        <w:t>) і достовірно відрізнялось (р=</w:t>
      </w:r>
      <w:r w:rsidRPr="009E6C7E">
        <w:rPr>
          <w:rFonts w:ascii="Times New Roman" w:hAnsi="Times New Roman"/>
          <w:sz w:val="28"/>
          <w:szCs w:val="28"/>
        </w:rPr>
        <w:t>0</w:t>
      </w:r>
      <w:r>
        <w:rPr>
          <w:rFonts w:ascii="Times New Roman" w:hAnsi="Times New Roman"/>
          <w:sz w:val="28"/>
          <w:szCs w:val="28"/>
        </w:rPr>
        <w:t>,044) від даного показника при пНКР, який складав 35,18</w:t>
      </w:r>
      <w:r>
        <w:rPr>
          <w:rFonts w:ascii="Times New Roman" w:hAnsi="Times New Roman" w:cs="Times New Roman"/>
          <w:sz w:val="28"/>
          <w:szCs w:val="28"/>
        </w:rPr>
        <w:t>±</w:t>
      </w:r>
      <w:r>
        <w:rPr>
          <w:rFonts w:ascii="Times New Roman" w:hAnsi="Times New Roman"/>
          <w:sz w:val="28"/>
          <w:szCs w:val="28"/>
        </w:rPr>
        <w:t xml:space="preserve">4,44 </w:t>
      </w:r>
      <w:r>
        <w:rPr>
          <w:rFonts w:ascii="Times New Roman" w:hAnsi="Times New Roman"/>
          <w:sz w:val="28"/>
          <w:szCs w:val="28"/>
          <w:lang w:val="en-US"/>
        </w:rPr>
        <w:t>HU</w:t>
      </w:r>
      <w:r>
        <w:rPr>
          <w:rFonts w:ascii="Times New Roman" w:hAnsi="Times New Roman"/>
          <w:sz w:val="28"/>
          <w:szCs w:val="28"/>
        </w:rPr>
        <w:t xml:space="preserve"> (ДІ=32,82-37,55 </w:t>
      </w:r>
      <w:r>
        <w:rPr>
          <w:rFonts w:ascii="Times New Roman" w:hAnsi="Times New Roman"/>
          <w:sz w:val="28"/>
          <w:szCs w:val="28"/>
          <w:lang w:val="en-US"/>
        </w:rPr>
        <w:t>HU</w:t>
      </w:r>
      <w:r>
        <w:rPr>
          <w:rFonts w:ascii="Times New Roman" w:hAnsi="Times New Roman"/>
          <w:sz w:val="28"/>
          <w:szCs w:val="28"/>
        </w:rPr>
        <w:t>). Крім цього, ми отримали суттєву різницю між середньою ІС пухлини при хрНКР – 34,67</w:t>
      </w:r>
      <w:r>
        <w:rPr>
          <w:rFonts w:ascii="Times New Roman" w:hAnsi="Times New Roman" w:cs="Times New Roman"/>
          <w:sz w:val="28"/>
          <w:szCs w:val="28"/>
        </w:rPr>
        <w:t>±</w:t>
      </w:r>
      <w:r>
        <w:rPr>
          <w:rFonts w:ascii="Times New Roman" w:hAnsi="Times New Roman"/>
          <w:sz w:val="28"/>
          <w:szCs w:val="28"/>
        </w:rPr>
        <w:t xml:space="preserve">5,17 </w:t>
      </w:r>
      <w:r>
        <w:rPr>
          <w:rFonts w:ascii="Times New Roman" w:hAnsi="Times New Roman"/>
          <w:sz w:val="28"/>
          <w:szCs w:val="28"/>
          <w:lang w:val="en-US"/>
        </w:rPr>
        <w:t>HU</w:t>
      </w:r>
      <w:r>
        <w:rPr>
          <w:rFonts w:ascii="Times New Roman" w:hAnsi="Times New Roman"/>
          <w:sz w:val="28"/>
          <w:szCs w:val="28"/>
        </w:rPr>
        <w:t xml:space="preserve"> (ДІ=31,80-37,53 </w:t>
      </w:r>
      <w:r>
        <w:rPr>
          <w:rFonts w:ascii="Times New Roman" w:hAnsi="Times New Roman"/>
          <w:sz w:val="28"/>
          <w:szCs w:val="28"/>
          <w:lang w:val="en-US"/>
        </w:rPr>
        <w:t>HU</w:t>
      </w:r>
      <w:r>
        <w:rPr>
          <w:rFonts w:ascii="Times New Roman" w:hAnsi="Times New Roman"/>
          <w:sz w:val="28"/>
          <w:szCs w:val="28"/>
        </w:rPr>
        <w:t xml:space="preserve">) та скНКР (р=0,032). Проте, статистично достовірної різниці між середніми значеннями променевої щільності пухлини при пНКР та хрНКР отримано не було (р=0,987). </w:t>
      </w:r>
    </w:p>
    <w:p w:rsidR="00FA5DA4"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 xml:space="preserve">На КТ-зображеннях КМФ найбільший діапазон значень променевої щільності при різних гістологічних підтипах НКР спостерігався у конвенційного варіанту (65,80-166,65 </w:t>
      </w:r>
      <w:r>
        <w:rPr>
          <w:rFonts w:ascii="Times New Roman" w:hAnsi="Times New Roman"/>
          <w:sz w:val="28"/>
          <w:szCs w:val="28"/>
          <w:lang w:val="en-US"/>
        </w:rPr>
        <w:t>HU</w:t>
      </w:r>
      <w:r>
        <w:rPr>
          <w:rFonts w:ascii="Times New Roman" w:hAnsi="Times New Roman"/>
          <w:sz w:val="28"/>
          <w:szCs w:val="28"/>
        </w:rPr>
        <w:t>), крім цього максимальні показники променевої щільності пухлини були зареєстровані саме при скНКР. Це може бути пояснене найвищою васкуляризацією пухлини при цьому гістологічному підтипі у порівнянні із іншими, а також значною варіабельністю у присутності судинного</w:t>
      </w:r>
      <w:r w:rsidRPr="009E6C7E">
        <w:rPr>
          <w:rFonts w:ascii="Times New Roman" w:hAnsi="Times New Roman"/>
          <w:sz w:val="28"/>
          <w:szCs w:val="28"/>
          <w:lang w:val="ru-RU"/>
        </w:rPr>
        <w:t xml:space="preserve"> </w:t>
      </w:r>
      <w:r>
        <w:rPr>
          <w:rFonts w:ascii="Times New Roman" w:hAnsi="Times New Roman"/>
          <w:sz w:val="28"/>
          <w:szCs w:val="28"/>
        </w:rPr>
        <w:t xml:space="preserve">компоненту в новоутворенні. Водночас, у підгрупі із хрНКР під час КФМ були отримані найнижчі значення ІС (68,70-109,03 </w:t>
      </w:r>
      <w:r>
        <w:rPr>
          <w:rFonts w:ascii="Times New Roman" w:hAnsi="Times New Roman"/>
          <w:sz w:val="28"/>
          <w:szCs w:val="28"/>
          <w:lang w:val="en-US"/>
        </w:rPr>
        <w:t>HU</w:t>
      </w:r>
      <w:r>
        <w:rPr>
          <w:rFonts w:ascii="Times New Roman" w:hAnsi="Times New Roman"/>
          <w:sz w:val="28"/>
          <w:szCs w:val="28"/>
        </w:rPr>
        <w:t>), що ми пояснюємо меншою васкуляризацією пухлини. Не зважаючи на такі відмінності, ІС виміряна на КТ-зображеннях КМФ при середньому значенні променевої щільності скНКР 108,46</w:t>
      </w:r>
      <w:r>
        <w:rPr>
          <w:rFonts w:ascii="Times New Roman" w:hAnsi="Times New Roman" w:cs="Times New Roman"/>
          <w:sz w:val="28"/>
          <w:szCs w:val="28"/>
        </w:rPr>
        <w:t>±</w:t>
      </w:r>
      <w:r>
        <w:rPr>
          <w:rFonts w:ascii="Times New Roman" w:hAnsi="Times New Roman"/>
          <w:sz w:val="28"/>
          <w:szCs w:val="28"/>
        </w:rPr>
        <w:t xml:space="preserve">27,48 </w:t>
      </w:r>
      <w:r>
        <w:rPr>
          <w:rFonts w:ascii="Times New Roman" w:hAnsi="Times New Roman"/>
          <w:sz w:val="28"/>
          <w:szCs w:val="28"/>
          <w:lang w:val="en-US"/>
        </w:rPr>
        <w:t>HU</w:t>
      </w:r>
      <w:r w:rsidRPr="009E6C7E">
        <w:rPr>
          <w:rFonts w:ascii="Times New Roman" w:hAnsi="Times New Roman"/>
          <w:sz w:val="28"/>
          <w:szCs w:val="28"/>
        </w:rPr>
        <w:t xml:space="preserve"> (</w:t>
      </w:r>
      <w:r>
        <w:rPr>
          <w:rFonts w:ascii="Times New Roman" w:hAnsi="Times New Roman"/>
          <w:sz w:val="28"/>
          <w:szCs w:val="28"/>
        </w:rPr>
        <w:t xml:space="preserve">95% ДІ=100,48-116,44 </w:t>
      </w:r>
      <w:r>
        <w:rPr>
          <w:rFonts w:ascii="Times New Roman" w:hAnsi="Times New Roman"/>
          <w:sz w:val="28"/>
          <w:szCs w:val="28"/>
          <w:lang w:val="en-US"/>
        </w:rPr>
        <w:t>HU</w:t>
      </w:r>
      <w:r>
        <w:rPr>
          <w:rFonts w:ascii="Times New Roman" w:hAnsi="Times New Roman"/>
          <w:sz w:val="28"/>
          <w:szCs w:val="28"/>
        </w:rPr>
        <w:t>) не мала достовірної різниці із цим показником підгрупи із пНКР (р=0,641), але суттєво відрізнялась від підгрупи хрНКР (р=</w:t>
      </w:r>
      <w:r w:rsidRPr="009E6C7E">
        <w:rPr>
          <w:rFonts w:ascii="Times New Roman" w:hAnsi="Times New Roman"/>
          <w:sz w:val="28"/>
          <w:szCs w:val="28"/>
        </w:rPr>
        <w:t>0</w:t>
      </w:r>
      <w:r>
        <w:rPr>
          <w:rFonts w:ascii="Times New Roman" w:hAnsi="Times New Roman"/>
          <w:sz w:val="28"/>
          <w:szCs w:val="28"/>
        </w:rPr>
        <w:t>,006). Середня ІС в підгрупах із папілярним та хромофобним НКР також мала суттєву різницю (р=0,004).</w:t>
      </w:r>
    </w:p>
    <w:p w:rsidR="00FA5DA4" w:rsidRDefault="00FA5DA4" w:rsidP="003537F1">
      <w:pPr>
        <w:spacing w:line="360" w:lineRule="auto"/>
        <w:ind w:firstLine="708"/>
        <w:jc w:val="both"/>
        <w:rPr>
          <w:rFonts w:ascii="Times New Roman" w:hAnsi="Times New Roman"/>
          <w:sz w:val="28"/>
          <w:szCs w:val="28"/>
        </w:rPr>
      </w:pPr>
      <w:r>
        <w:rPr>
          <w:rFonts w:ascii="Times New Roman" w:hAnsi="Times New Roman"/>
          <w:sz w:val="28"/>
          <w:szCs w:val="28"/>
        </w:rPr>
        <w:t>Серед гістологічних підтипів НКР на КТ-зображеннях нефрографічної фази найвище середнє значення ІС ми спостерігали в підгрупі скНКР (</w:t>
      </w:r>
      <w:r w:rsidRPr="009E6C7E">
        <w:rPr>
          <w:rFonts w:ascii="Times New Roman" w:hAnsi="Times New Roman"/>
          <w:sz w:val="28"/>
          <w:szCs w:val="28"/>
        </w:rPr>
        <w:t>88,98</w:t>
      </w:r>
      <w:r>
        <w:rPr>
          <w:rFonts w:ascii="Times New Roman" w:hAnsi="Times New Roman" w:cs="Times New Roman"/>
          <w:sz w:val="28"/>
          <w:szCs w:val="28"/>
        </w:rPr>
        <w:t>±</w:t>
      </w:r>
      <w:r>
        <w:rPr>
          <w:rFonts w:ascii="Times New Roman" w:hAnsi="Times New Roman"/>
          <w:sz w:val="28"/>
          <w:szCs w:val="28"/>
        </w:rPr>
        <w:t xml:space="preserve">16,48 </w:t>
      </w:r>
      <w:r>
        <w:rPr>
          <w:rFonts w:ascii="Times New Roman" w:hAnsi="Times New Roman"/>
          <w:sz w:val="28"/>
          <w:szCs w:val="28"/>
          <w:lang w:val="en-US"/>
        </w:rPr>
        <w:t>HU</w:t>
      </w:r>
      <w:r>
        <w:rPr>
          <w:rFonts w:ascii="Times New Roman" w:hAnsi="Times New Roman"/>
          <w:sz w:val="28"/>
          <w:szCs w:val="28"/>
        </w:rPr>
        <w:t>), а найнижче – при пНКР (74,65</w:t>
      </w:r>
      <w:r>
        <w:rPr>
          <w:rFonts w:ascii="Times New Roman" w:hAnsi="Times New Roman" w:cs="Times New Roman"/>
          <w:sz w:val="28"/>
          <w:szCs w:val="28"/>
        </w:rPr>
        <w:t>±</w:t>
      </w:r>
      <w:r>
        <w:rPr>
          <w:rFonts w:ascii="Times New Roman" w:hAnsi="Times New Roman"/>
          <w:sz w:val="28"/>
          <w:szCs w:val="28"/>
        </w:rPr>
        <w:t xml:space="preserve">10,17 </w:t>
      </w:r>
      <w:r>
        <w:rPr>
          <w:rFonts w:ascii="Times New Roman" w:hAnsi="Times New Roman"/>
          <w:sz w:val="28"/>
          <w:szCs w:val="28"/>
          <w:lang w:val="en-US"/>
        </w:rPr>
        <w:t>HU</w:t>
      </w:r>
      <w:r>
        <w:rPr>
          <w:rFonts w:ascii="Times New Roman" w:hAnsi="Times New Roman"/>
          <w:sz w:val="28"/>
          <w:szCs w:val="28"/>
        </w:rPr>
        <w:t>). Нами була отримана достовірна різниця між середніми показниками променевої щільності пухлини в підгрупах із скНКР та пНКР (р=</w:t>
      </w:r>
      <w:r w:rsidRPr="009E6C7E">
        <w:rPr>
          <w:rFonts w:ascii="Times New Roman" w:hAnsi="Times New Roman"/>
          <w:sz w:val="28"/>
          <w:szCs w:val="28"/>
        </w:rPr>
        <w:t>0</w:t>
      </w:r>
      <w:r>
        <w:rPr>
          <w:rFonts w:ascii="Times New Roman" w:hAnsi="Times New Roman"/>
          <w:sz w:val="28"/>
          <w:szCs w:val="28"/>
        </w:rPr>
        <w:t xml:space="preserve">,002), проте, такої </w:t>
      </w:r>
      <w:r>
        <w:rPr>
          <w:rFonts w:ascii="Times New Roman" w:hAnsi="Times New Roman"/>
          <w:sz w:val="28"/>
          <w:szCs w:val="28"/>
        </w:rPr>
        <w:lastRenderedPageBreak/>
        <w:t>різниці не було між підгрупами із скНКР та хрНКР (р=0,329), а також між пНКР та хрНКР (р=0,220), рисунок 3.4.</w:t>
      </w:r>
    </w:p>
    <w:p w:rsidR="00FA5DA4" w:rsidRPr="00633E74" w:rsidRDefault="00FA5DA4" w:rsidP="00FA5DA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4A2EA6E6" wp14:editId="7AC59D11">
            <wp:extent cx="3218537" cy="2571750"/>
            <wp:effectExtent l="0" t="0" r="127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37032" cy="2586528"/>
                    </a:xfrm>
                    <a:prstGeom prst="rect">
                      <a:avLst/>
                    </a:prstGeom>
                    <a:noFill/>
                    <a:ln>
                      <a:noFill/>
                    </a:ln>
                  </pic:spPr>
                </pic:pic>
              </a:graphicData>
            </a:graphic>
          </wp:inline>
        </w:drawing>
      </w:r>
    </w:p>
    <w:p w:rsidR="00FA5DA4" w:rsidRDefault="00FA5DA4" w:rsidP="00FA5DA4">
      <w:pPr>
        <w:spacing w:line="360" w:lineRule="auto"/>
        <w:jc w:val="center"/>
        <w:rPr>
          <w:rFonts w:ascii="Times New Roman" w:hAnsi="Times New Roman"/>
          <w:sz w:val="28"/>
          <w:szCs w:val="28"/>
        </w:rPr>
      </w:pPr>
      <w:r>
        <w:rPr>
          <w:rFonts w:ascii="Times New Roman" w:hAnsi="Times New Roman"/>
          <w:sz w:val="28"/>
          <w:szCs w:val="28"/>
        </w:rPr>
        <w:t>Рис 3.4.</w:t>
      </w:r>
      <w:r w:rsidRPr="009E6C7E">
        <w:rPr>
          <w:rFonts w:ascii="Times New Roman" w:hAnsi="Times New Roman"/>
          <w:sz w:val="28"/>
          <w:szCs w:val="28"/>
        </w:rPr>
        <w:t xml:space="preserve"> </w:t>
      </w:r>
      <w:r>
        <w:rPr>
          <w:rFonts w:ascii="Times New Roman" w:hAnsi="Times New Roman"/>
          <w:sz w:val="28"/>
          <w:szCs w:val="28"/>
        </w:rPr>
        <w:t>Коробкова діаграма променевої щільності гістологічних підтипів НКР при розмірі до 4 см, нефрографічна фаза КТ</w:t>
      </w:r>
    </w:p>
    <w:p w:rsidR="00FA5DA4" w:rsidRDefault="00FA5DA4" w:rsidP="00FA5DA4">
      <w:pPr>
        <w:spacing w:line="360" w:lineRule="auto"/>
        <w:jc w:val="both"/>
        <w:rPr>
          <w:rFonts w:ascii="Times New Roman" w:hAnsi="Times New Roman"/>
          <w:sz w:val="28"/>
          <w:szCs w:val="28"/>
        </w:rPr>
      </w:pPr>
    </w:p>
    <w:p w:rsidR="00FA5DA4" w:rsidRPr="00477AA0" w:rsidRDefault="00FA5DA4" w:rsidP="008F215C">
      <w:pPr>
        <w:spacing w:line="360" w:lineRule="auto"/>
        <w:ind w:firstLine="708"/>
        <w:jc w:val="both"/>
        <w:rPr>
          <w:rFonts w:ascii="Times New Roman" w:hAnsi="Times New Roman"/>
          <w:sz w:val="28"/>
          <w:szCs w:val="28"/>
        </w:rPr>
      </w:pPr>
      <w:r>
        <w:rPr>
          <w:rFonts w:ascii="Times New Roman" w:hAnsi="Times New Roman"/>
          <w:sz w:val="28"/>
          <w:szCs w:val="28"/>
        </w:rPr>
        <w:t xml:space="preserve">Було констатовано, що середні значення ІС пухлини виміряної на зображеннях екскреторної фази КТ у підгрупах із НКР різних гістологічних підтипів не мають суттєвих між собою статистичних відмінностей </w:t>
      </w:r>
      <w:r w:rsidRPr="009E6C7E">
        <w:rPr>
          <w:rFonts w:ascii="Times New Roman" w:hAnsi="Times New Roman"/>
          <w:sz w:val="28"/>
          <w:szCs w:val="28"/>
        </w:rPr>
        <w:t>(</w:t>
      </w:r>
      <w:r>
        <w:rPr>
          <w:rFonts w:ascii="Times New Roman" w:hAnsi="Times New Roman"/>
          <w:sz w:val="28"/>
          <w:szCs w:val="28"/>
          <w:lang w:val="en-US"/>
        </w:rPr>
        <w:t>p</w:t>
      </w:r>
      <w:r w:rsidRPr="009E6C7E">
        <w:rPr>
          <w:rFonts w:ascii="Times New Roman" w:hAnsi="Times New Roman"/>
          <w:sz w:val="28"/>
          <w:szCs w:val="28"/>
        </w:rPr>
        <w:t>&gt;</w:t>
      </w:r>
      <w:r w:rsidR="00B83560">
        <w:rPr>
          <w:rFonts w:ascii="Times New Roman" w:hAnsi="Times New Roman"/>
          <w:sz w:val="28"/>
          <w:szCs w:val="28"/>
        </w:rPr>
        <w:t>0,05), таблиця 3.5</w:t>
      </w:r>
      <w:r>
        <w:rPr>
          <w:rFonts w:ascii="Times New Roman" w:hAnsi="Times New Roman"/>
          <w:sz w:val="28"/>
          <w:szCs w:val="28"/>
        </w:rPr>
        <w:t>.</w:t>
      </w:r>
      <w:r w:rsidRPr="00114A55">
        <w:rPr>
          <w:rFonts w:ascii="Times New Roman" w:hAnsi="Times New Roman"/>
          <w:sz w:val="28"/>
          <w:szCs w:val="28"/>
        </w:rPr>
        <w:t xml:space="preserve"> </w:t>
      </w:r>
    </w:p>
    <w:p w:rsidR="00FA5DA4" w:rsidRDefault="00FA5DA4" w:rsidP="00FA5DA4">
      <w:pPr>
        <w:spacing w:line="360" w:lineRule="auto"/>
        <w:ind w:firstLine="708"/>
        <w:jc w:val="right"/>
        <w:rPr>
          <w:rFonts w:ascii="Times New Roman" w:hAnsi="Times New Roman"/>
          <w:sz w:val="28"/>
          <w:szCs w:val="28"/>
        </w:rPr>
      </w:pPr>
      <w:r w:rsidRPr="00546698">
        <w:rPr>
          <w:rFonts w:ascii="Times New Roman" w:hAnsi="Times New Roman"/>
          <w:sz w:val="28"/>
          <w:szCs w:val="28"/>
        </w:rPr>
        <w:t>Таблиця</w:t>
      </w:r>
      <w:r w:rsidR="00B83560">
        <w:rPr>
          <w:rFonts w:ascii="Times New Roman" w:hAnsi="Times New Roman"/>
          <w:sz w:val="28"/>
          <w:szCs w:val="28"/>
        </w:rPr>
        <w:t xml:space="preserve"> 3.5</w:t>
      </w:r>
    </w:p>
    <w:p w:rsidR="00FA5DA4" w:rsidRPr="00477AA0" w:rsidRDefault="00FA5DA4" w:rsidP="00FA5DA4">
      <w:pPr>
        <w:spacing w:line="360" w:lineRule="auto"/>
        <w:jc w:val="center"/>
        <w:rPr>
          <w:rFonts w:ascii="Times New Roman" w:hAnsi="Times New Roman"/>
          <w:sz w:val="28"/>
          <w:szCs w:val="28"/>
        </w:rPr>
      </w:pPr>
      <w:r>
        <w:rPr>
          <w:rFonts w:ascii="Times New Roman" w:hAnsi="Times New Roman"/>
          <w:sz w:val="28"/>
          <w:szCs w:val="28"/>
        </w:rPr>
        <w:t>Середня ІС</w:t>
      </w:r>
      <w:r w:rsidRPr="00477AA0">
        <w:rPr>
          <w:rFonts w:ascii="Times New Roman" w:hAnsi="Times New Roman"/>
          <w:sz w:val="28"/>
          <w:szCs w:val="28"/>
        </w:rPr>
        <w:t xml:space="preserve"> </w:t>
      </w:r>
      <w:r>
        <w:rPr>
          <w:rFonts w:ascii="Times New Roman" w:hAnsi="Times New Roman"/>
          <w:sz w:val="28"/>
          <w:szCs w:val="28"/>
        </w:rPr>
        <w:t>пухлини на КТ-зображеннях різних фаз при світлоклітинному, папілярному та хромофобному НКР розміром до 4 см</w:t>
      </w:r>
    </w:p>
    <w:tbl>
      <w:tblPr>
        <w:tblStyle w:val="TableGrid"/>
        <w:tblW w:w="9781" w:type="dxa"/>
        <w:tblInd w:w="-147" w:type="dxa"/>
        <w:tblLook w:val="04A0" w:firstRow="1" w:lastRow="0" w:firstColumn="1" w:lastColumn="0" w:noHBand="0" w:noVBand="1"/>
      </w:tblPr>
      <w:tblGrid>
        <w:gridCol w:w="1982"/>
        <w:gridCol w:w="1857"/>
        <w:gridCol w:w="1855"/>
        <w:gridCol w:w="2202"/>
        <w:gridCol w:w="1885"/>
      </w:tblGrid>
      <w:tr w:rsidR="00FA5DA4" w:rsidTr="00B60C09">
        <w:trPr>
          <w:trHeight w:val="322"/>
        </w:trPr>
        <w:tc>
          <w:tcPr>
            <w:tcW w:w="1982" w:type="dxa"/>
            <w:vMerge w:val="restart"/>
          </w:tcPr>
          <w:p w:rsidR="00FA5DA4" w:rsidRPr="00BD5837" w:rsidRDefault="00FA5DA4" w:rsidP="001F0C51">
            <w:pPr>
              <w:jc w:val="center"/>
              <w:rPr>
                <w:rFonts w:ascii="Times New Roman" w:hAnsi="Times New Roman"/>
                <w:b/>
                <w:sz w:val="28"/>
                <w:szCs w:val="28"/>
              </w:rPr>
            </w:pPr>
            <w:r>
              <w:rPr>
                <w:rFonts w:ascii="Times New Roman" w:hAnsi="Times New Roman"/>
                <w:b/>
                <w:sz w:val="28"/>
                <w:szCs w:val="28"/>
              </w:rPr>
              <w:t>Підг</w:t>
            </w:r>
            <w:r w:rsidRPr="00BD5837">
              <w:rPr>
                <w:rFonts w:ascii="Times New Roman" w:hAnsi="Times New Roman"/>
                <w:b/>
                <w:sz w:val="28"/>
                <w:szCs w:val="28"/>
              </w:rPr>
              <w:t>рупа</w:t>
            </w:r>
          </w:p>
        </w:tc>
        <w:tc>
          <w:tcPr>
            <w:tcW w:w="7799" w:type="dxa"/>
            <w:gridSpan w:val="4"/>
          </w:tcPr>
          <w:p w:rsidR="00FA5DA4" w:rsidRDefault="00FA5DA4" w:rsidP="001F0C51">
            <w:pPr>
              <w:jc w:val="center"/>
              <w:rPr>
                <w:rFonts w:ascii="Times New Roman" w:hAnsi="Times New Roman"/>
                <w:b/>
                <w:sz w:val="28"/>
                <w:szCs w:val="28"/>
              </w:rPr>
            </w:pPr>
            <w:r>
              <w:rPr>
                <w:rFonts w:ascii="Times New Roman" w:hAnsi="Times New Roman"/>
                <w:b/>
                <w:sz w:val="28"/>
                <w:szCs w:val="28"/>
              </w:rPr>
              <w:t>Фаза КТ</w:t>
            </w:r>
          </w:p>
        </w:tc>
      </w:tr>
      <w:tr w:rsidR="00FA5DA4" w:rsidTr="00B60C09">
        <w:trPr>
          <w:trHeight w:val="654"/>
        </w:trPr>
        <w:tc>
          <w:tcPr>
            <w:tcW w:w="1982" w:type="dxa"/>
            <w:vMerge/>
            <w:tcBorders>
              <w:bottom w:val="single" w:sz="4" w:space="0" w:color="auto"/>
            </w:tcBorders>
          </w:tcPr>
          <w:p w:rsidR="00FA5DA4" w:rsidRPr="00BD5837" w:rsidRDefault="00FA5DA4" w:rsidP="001F0C51">
            <w:pPr>
              <w:jc w:val="center"/>
              <w:rPr>
                <w:rFonts w:ascii="Times New Roman" w:hAnsi="Times New Roman"/>
                <w:b/>
                <w:sz w:val="28"/>
                <w:szCs w:val="28"/>
              </w:rPr>
            </w:pPr>
          </w:p>
        </w:tc>
        <w:tc>
          <w:tcPr>
            <w:tcW w:w="1857"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 xml:space="preserve">Пре-контрастні зображення, </w:t>
            </w:r>
            <w:r>
              <w:rPr>
                <w:rFonts w:ascii="Times New Roman" w:hAnsi="Times New Roman"/>
                <w:b/>
                <w:sz w:val="28"/>
                <w:szCs w:val="28"/>
                <w:lang w:val="en-US"/>
              </w:rPr>
              <w:t>HU</w:t>
            </w:r>
          </w:p>
        </w:tc>
        <w:tc>
          <w:tcPr>
            <w:tcW w:w="1855"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 xml:space="preserve">Кортико-медулярна фаза, </w:t>
            </w:r>
            <w:r>
              <w:rPr>
                <w:rFonts w:ascii="Times New Roman" w:hAnsi="Times New Roman"/>
                <w:b/>
                <w:sz w:val="28"/>
                <w:szCs w:val="28"/>
                <w:lang w:val="en-US"/>
              </w:rPr>
              <w:t>HU</w:t>
            </w:r>
          </w:p>
        </w:tc>
        <w:tc>
          <w:tcPr>
            <w:tcW w:w="2202"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 xml:space="preserve">Нефрографічна фаза, </w:t>
            </w:r>
            <w:r>
              <w:rPr>
                <w:rFonts w:ascii="Times New Roman" w:hAnsi="Times New Roman"/>
                <w:b/>
                <w:sz w:val="28"/>
                <w:szCs w:val="28"/>
                <w:lang w:val="en-US"/>
              </w:rPr>
              <w:t>HU</w:t>
            </w:r>
          </w:p>
        </w:tc>
        <w:tc>
          <w:tcPr>
            <w:tcW w:w="1885" w:type="dxa"/>
            <w:tcBorders>
              <w:bottom w:val="single" w:sz="4" w:space="0" w:color="auto"/>
            </w:tcBorders>
          </w:tcPr>
          <w:p w:rsidR="00FA5DA4" w:rsidRPr="00BD5837" w:rsidRDefault="00FA5DA4" w:rsidP="001F0C51">
            <w:pPr>
              <w:jc w:val="center"/>
              <w:rPr>
                <w:rFonts w:ascii="Times New Roman" w:hAnsi="Times New Roman"/>
                <w:b/>
                <w:sz w:val="28"/>
                <w:szCs w:val="28"/>
              </w:rPr>
            </w:pPr>
            <w:r>
              <w:rPr>
                <w:rFonts w:ascii="Times New Roman" w:hAnsi="Times New Roman"/>
                <w:b/>
                <w:sz w:val="28"/>
                <w:szCs w:val="28"/>
              </w:rPr>
              <w:t xml:space="preserve">Екскреторна фаза, </w:t>
            </w:r>
            <w:r>
              <w:rPr>
                <w:rFonts w:ascii="Times New Roman" w:hAnsi="Times New Roman"/>
                <w:b/>
                <w:sz w:val="28"/>
                <w:szCs w:val="28"/>
                <w:lang w:val="en-US"/>
              </w:rPr>
              <w:t>HU</w:t>
            </w:r>
          </w:p>
        </w:tc>
      </w:tr>
      <w:tr w:rsidR="00FA5DA4" w:rsidTr="00B60C09">
        <w:trPr>
          <w:trHeight w:val="182"/>
        </w:trPr>
        <w:tc>
          <w:tcPr>
            <w:tcW w:w="1982" w:type="dxa"/>
          </w:tcPr>
          <w:p w:rsidR="00FA5DA4" w:rsidRPr="006E76F3" w:rsidRDefault="00FA5DA4" w:rsidP="001F0C51">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w:t>
            </w:r>
            <w:r w:rsidRPr="00CB3FB6">
              <w:rPr>
                <w:rFonts w:ascii="Times New Roman" w:hAnsi="Times New Roman" w:cs="Times New Roman"/>
                <w:b/>
                <w:sz w:val="28"/>
                <w:szCs w:val="28"/>
              </w:rPr>
              <w:t>n=48</w:t>
            </w:r>
          </w:p>
        </w:tc>
        <w:tc>
          <w:tcPr>
            <w:tcW w:w="1857"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41,64</w:t>
            </w:r>
            <w:r>
              <w:rPr>
                <w:rFonts w:ascii="Times New Roman" w:hAnsi="Times New Roman" w:cs="Times New Roman"/>
                <w:sz w:val="28"/>
                <w:szCs w:val="28"/>
              </w:rPr>
              <w:t>±</w:t>
            </w:r>
            <w:r>
              <w:rPr>
                <w:rFonts w:ascii="Times New Roman" w:hAnsi="Times New Roman"/>
                <w:sz w:val="28"/>
                <w:szCs w:val="28"/>
              </w:rPr>
              <w:t>11,01</w:t>
            </w:r>
          </w:p>
        </w:tc>
        <w:tc>
          <w:tcPr>
            <w:tcW w:w="185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108,46</w:t>
            </w:r>
            <w:r>
              <w:rPr>
                <w:rFonts w:ascii="Times New Roman" w:hAnsi="Times New Roman" w:cs="Times New Roman"/>
                <w:sz w:val="28"/>
                <w:szCs w:val="28"/>
              </w:rPr>
              <w:t>±</w:t>
            </w:r>
            <w:r>
              <w:rPr>
                <w:rFonts w:ascii="Times New Roman" w:hAnsi="Times New Roman"/>
                <w:sz w:val="28"/>
                <w:szCs w:val="28"/>
              </w:rPr>
              <w:t>27,48</w:t>
            </w:r>
          </w:p>
        </w:tc>
        <w:tc>
          <w:tcPr>
            <w:tcW w:w="2202" w:type="dxa"/>
          </w:tcPr>
          <w:p w:rsidR="00FA5DA4" w:rsidRPr="007A4310" w:rsidRDefault="00FA5DA4" w:rsidP="001F0C51">
            <w:pPr>
              <w:jc w:val="center"/>
              <w:rPr>
                <w:rFonts w:ascii="Times New Roman" w:hAnsi="Times New Roman"/>
                <w:sz w:val="28"/>
                <w:szCs w:val="28"/>
              </w:rPr>
            </w:pPr>
            <w:r>
              <w:rPr>
                <w:rFonts w:ascii="Times New Roman" w:hAnsi="Times New Roman"/>
                <w:sz w:val="28"/>
                <w:szCs w:val="28"/>
                <w:lang w:val="en-US"/>
              </w:rPr>
              <w:t>88,98</w:t>
            </w:r>
            <w:r>
              <w:rPr>
                <w:rFonts w:ascii="Times New Roman" w:hAnsi="Times New Roman" w:cs="Times New Roman"/>
                <w:sz w:val="28"/>
                <w:szCs w:val="28"/>
              </w:rPr>
              <w:t>±</w:t>
            </w:r>
            <w:r>
              <w:rPr>
                <w:rFonts w:ascii="Times New Roman" w:hAnsi="Times New Roman"/>
                <w:sz w:val="28"/>
                <w:szCs w:val="28"/>
              </w:rPr>
              <w:t>16,48</w:t>
            </w:r>
          </w:p>
        </w:tc>
        <w:tc>
          <w:tcPr>
            <w:tcW w:w="1885" w:type="dxa"/>
          </w:tcPr>
          <w:p w:rsidR="00FA5DA4" w:rsidRPr="007A4310" w:rsidRDefault="00FA5DA4" w:rsidP="001F0C51">
            <w:pPr>
              <w:jc w:val="center"/>
              <w:rPr>
                <w:rFonts w:ascii="Times New Roman" w:hAnsi="Times New Roman"/>
                <w:sz w:val="28"/>
                <w:szCs w:val="28"/>
              </w:rPr>
            </w:pPr>
            <w:r>
              <w:rPr>
                <w:rFonts w:ascii="Times New Roman" w:hAnsi="Times New Roman"/>
                <w:sz w:val="28"/>
                <w:szCs w:val="28"/>
              </w:rPr>
              <w:t>75,35</w:t>
            </w:r>
            <w:r>
              <w:rPr>
                <w:rFonts w:ascii="Times New Roman" w:hAnsi="Times New Roman" w:cs="Times New Roman"/>
                <w:sz w:val="28"/>
                <w:szCs w:val="28"/>
              </w:rPr>
              <w:t>±</w:t>
            </w:r>
            <w:r>
              <w:rPr>
                <w:rFonts w:ascii="Times New Roman" w:hAnsi="Times New Roman"/>
                <w:sz w:val="28"/>
                <w:szCs w:val="28"/>
              </w:rPr>
              <w:t>12,73</w:t>
            </w:r>
          </w:p>
        </w:tc>
      </w:tr>
      <w:tr w:rsidR="00FA5DA4" w:rsidTr="00B60C09">
        <w:tc>
          <w:tcPr>
            <w:tcW w:w="1982" w:type="dxa"/>
          </w:tcPr>
          <w:p w:rsidR="00FA5DA4" w:rsidRPr="006E76F3" w:rsidRDefault="00FA5DA4" w:rsidP="001F0C51">
            <w:pPr>
              <w:rPr>
                <w:rFonts w:ascii="Times New Roman" w:hAnsi="Times New Roman"/>
                <w:b/>
                <w:sz w:val="28"/>
                <w:szCs w:val="28"/>
              </w:rPr>
            </w:pPr>
            <w:r>
              <w:rPr>
                <w:rFonts w:ascii="Times New Roman" w:hAnsi="Times New Roman"/>
                <w:b/>
                <w:sz w:val="28"/>
                <w:szCs w:val="28"/>
              </w:rPr>
              <w:t xml:space="preserve">пНКР, </w:t>
            </w:r>
            <w:r>
              <w:rPr>
                <w:rFonts w:ascii="Times New Roman" w:hAnsi="Times New Roman" w:cs="Times New Roman"/>
                <w:b/>
                <w:sz w:val="28"/>
                <w:szCs w:val="28"/>
              </w:rPr>
              <w:t>n=16</w:t>
            </w:r>
          </w:p>
        </w:tc>
        <w:tc>
          <w:tcPr>
            <w:tcW w:w="1857"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35,18</w:t>
            </w:r>
            <w:r>
              <w:rPr>
                <w:rFonts w:ascii="Times New Roman" w:hAnsi="Times New Roman" w:cs="Times New Roman"/>
                <w:sz w:val="28"/>
                <w:szCs w:val="28"/>
              </w:rPr>
              <w:t>±</w:t>
            </w:r>
            <w:r>
              <w:rPr>
                <w:rFonts w:ascii="Times New Roman" w:hAnsi="Times New Roman"/>
                <w:sz w:val="28"/>
                <w:szCs w:val="28"/>
              </w:rPr>
              <w:t>4,44</w:t>
            </w:r>
          </w:p>
        </w:tc>
        <w:tc>
          <w:tcPr>
            <w:tcW w:w="185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114,44</w:t>
            </w:r>
            <w:r>
              <w:rPr>
                <w:rFonts w:ascii="Times New Roman" w:hAnsi="Times New Roman" w:cs="Times New Roman"/>
                <w:sz w:val="28"/>
                <w:szCs w:val="28"/>
              </w:rPr>
              <w:t>±</w:t>
            </w:r>
            <w:r>
              <w:rPr>
                <w:rFonts w:ascii="Times New Roman" w:hAnsi="Times New Roman"/>
                <w:sz w:val="28"/>
                <w:szCs w:val="28"/>
              </w:rPr>
              <w:t>12,52</w:t>
            </w:r>
          </w:p>
        </w:tc>
        <w:tc>
          <w:tcPr>
            <w:tcW w:w="2202"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74,65</w:t>
            </w:r>
            <w:r>
              <w:rPr>
                <w:rFonts w:ascii="Times New Roman" w:hAnsi="Times New Roman" w:cs="Times New Roman"/>
                <w:sz w:val="28"/>
                <w:szCs w:val="28"/>
              </w:rPr>
              <w:t>±</w:t>
            </w:r>
            <w:r>
              <w:rPr>
                <w:rFonts w:ascii="Times New Roman" w:hAnsi="Times New Roman"/>
                <w:sz w:val="28"/>
                <w:szCs w:val="28"/>
              </w:rPr>
              <w:t>10,17</w:t>
            </w:r>
          </w:p>
        </w:tc>
        <w:tc>
          <w:tcPr>
            <w:tcW w:w="188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68,39</w:t>
            </w:r>
            <w:r>
              <w:rPr>
                <w:rFonts w:ascii="Times New Roman" w:hAnsi="Times New Roman" w:cs="Times New Roman"/>
                <w:sz w:val="28"/>
                <w:szCs w:val="28"/>
              </w:rPr>
              <w:t>±</w:t>
            </w:r>
            <w:r>
              <w:rPr>
                <w:rFonts w:ascii="Times New Roman" w:hAnsi="Times New Roman"/>
                <w:sz w:val="28"/>
                <w:szCs w:val="28"/>
              </w:rPr>
              <w:t>5,72</w:t>
            </w:r>
          </w:p>
        </w:tc>
      </w:tr>
      <w:tr w:rsidR="00FA5DA4" w:rsidTr="00B60C09">
        <w:tc>
          <w:tcPr>
            <w:tcW w:w="1982" w:type="dxa"/>
          </w:tcPr>
          <w:p w:rsidR="00FA5DA4" w:rsidRPr="006E76F3" w:rsidRDefault="00FA5DA4" w:rsidP="001F0C51">
            <w:pPr>
              <w:rPr>
                <w:rFonts w:ascii="Times New Roman" w:hAnsi="Times New Roman"/>
                <w:b/>
                <w:sz w:val="28"/>
                <w:szCs w:val="28"/>
              </w:rPr>
            </w:pPr>
            <w:r>
              <w:rPr>
                <w:rFonts w:ascii="Times New Roman" w:hAnsi="Times New Roman"/>
                <w:b/>
                <w:sz w:val="28"/>
                <w:szCs w:val="28"/>
              </w:rPr>
              <w:t xml:space="preserve">хрНКР, </w:t>
            </w:r>
            <w:r>
              <w:rPr>
                <w:rFonts w:ascii="Times New Roman" w:hAnsi="Times New Roman" w:cs="Times New Roman"/>
                <w:b/>
                <w:sz w:val="28"/>
                <w:szCs w:val="28"/>
              </w:rPr>
              <w:t>n=15</w:t>
            </w:r>
          </w:p>
        </w:tc>
        <w:tc>
          <w:tcPr>
            <w:tcW w:w="1857" w:type="dxa"/>
          </w:tcPr>
          <w:p w:rsidR="00FA5DA4" w:rsidRPr="00FB6A55" w:rsidRDefault="00FA5DA4" w:rsidP="001F0C51">
            <w:pPr>
              <w:jc w:val="center"/>
              <w:rPr>
                <w:rFonts w:ascii="Times New Roman" w:hAnsi="Times New Roman"/>
                <w:sz w:val="28"/>
                <w:szCs w:val="28"/>
              </w:rPr>
            </w:pPr>
            <w:r>
              <w:rPr>
                <w:rFonts w:ascii="Times New Roman" w:hAnsi="Times New Roman"/>
                <w:sz w:val="28"/>
                <w:szCs w:val="28"/>
              </w:rPr>
              <w:t>34,67</w:t>
            </w:r>
            <w:r>
              <w:rPr>
                <w:rFonts w:ascii="Times New Roman" w:hAnsi="Times New Roman" w:cs="Times New Roman"/>
                <w:sz w:val="28"/>
                <w:szCs w:val="28"/>
              </w:rPr>
              <w:t>±</w:t>
            </w:r>
            <w:r>
              <w:rPr>
                <w:rFonts w:ascii="Times New Roman" w:hAnsi="Times New Roman"/>
                <w:sz w:val="28"/>
                <w:szCs w:val="28"/>
              </w:rPr>
              <w:t>5,17</w:t>
            </w:r>
          </w:p>
        </w:tc>
        <w:tc>
          <w:tcPr>
            <w:tcW w:w="1855" w:type="dxa"/>
          </w:tcPr>
          <w:p w:rsidR="00FA5DA4" w:rsidRPr="00FB6A55" w:rsidRDefault="00FA5DA4" w:rsidP="001F0C51">
            <w:pPr>
              <w:jc w:val="center"/>
              <w:rPr>
                <w:rFonts w:ascii="Times New Roman" w:hAnsi="Times New Roman"/>
                <w:sz w:val="28"/>
                <w:szCs w:val="28"/>
              </w:rPr>
            </w:pPr>
            <w:r>
              <w:rPr>
                <w:rFonts w:ascii="Times New Roman" w:hAnsi="Times New Roman"/>
                <w:sz w:val="28"/>
                <w:szCs w:val="28"/>
              </w:rPr>
              <w:t>86,79</w:t>
            </w:r>
            <w:r>
              <w:rPr>
                <w:rFonts w:ascii="Times New Roman" w:hAnsi="Times New Roman" w:cs="Times New Roman"/>
                <w:sz w:val="28"/>
                <w:szCs w:val="28"/>
              </w:rPr>
              <w:t>±</w:t>
            </w:r>
            <w:r>
              <w:rPr>
                <w:rFonts w:ascii="Times New Roman" w:hAnsi="Times New Roman"/>
                <w:sz w:val="28"/>
                <w:szCs w:val="28"/>
              </w:rPr>
              <w:t>12,93</w:t>
            </w:r>
          </w:p>
        </w:tc>
        <w:tc>
          <w:tcPr>
            <w:tcW w:w="2202" w:type="dxa"/>
          </w:tcPr>
          <w:p w:rsidR="00FA5DA4" w:rsidRPr="00FB6A55" w:rsidRDefault="00FA5DA4" w:rsidP="001F0C51">
            <w:pPr>
              <w:jc w:val="center"/>
              <w:rPr>
                <w:rFonts w:ascii="Times New Roman" w:hAnsi="Times New Roman"/>
                <w:sz w:val="28"/>
                <w:szCs w:val="28"/>
              </w:rPr>
            </w:pPr>
            <w:r>
              <w:rPr>
                <w:rFonts w:ascii="Times New Roman" w:hAnsi="Times New Roman"/>
                <w:sz w:val="28"/>
                <w:szCs w:val="28"/>
              </w:rPr>
              <w:t>83,07</w:t>
            </w:r>
            <w:r>
              <w:rPr>
                <w:rFonts w:ascii="Times New Roman" w:hAnsi="Times New Roman" w:cs="Times New Roman"/>
                <w:sz w:val="28"/>
                <w:szCs w:val="28"/>
              </w:rPr>
              <w:t>±</w:t>
            </w:r>
            <w:r>
              <w:rPr>
                <w:rFonts w:ascii="Times New Roman" w:hAnsi="Times New Roman"/>
                <w:sz w:val="28"/>
                <w:szCs w:val="28"/>
              </w:rPr>
              <w:t>5,77</w:t>
            </w:r>
          </w:p>
        </w:tc>
        <w:tc>
          <w:tcPr>
            <w:tcW w:w="1885" w:type="dxa"/>
          </w:tcPr>
          <w:p w:rsidR="00FA5DA4" w:rsidRPr="00FB6A55" w:rsidRDefault="00FA5DA4" w:rsidP="001F0C51">
            <w:pPr>
              <w:jc w:val="center"/>
              <w:rPr>
                <w:rFonts w:ascii="Times New Roman" w:hAnsi="Times New Roman"/>
                <w:sz w:val="28"/>
                <w:szCs w:val="28"/>
              </w:rPr>
            </w:pPr>
            <w:r>
              <w:rPr>
                <w:rFonts w:ascii="Times New Roman" w:hAnsi="Times New Roman"/>
                <w:sz w:val="28"/>
                <w:szCs w:val="28"/>
              </w:rPr>
              <w:t>68,95</w:t>
            </w:r>
            <w:r>
              <w:rPr>
                <w:rFonts w:ascii="Times New Roman" w:hAnsi="Times New Roman" w:cs="Times New Roman"/>
                <w:sz w:val="28"/>
                <w:szCs w:val="28"/>
              </w:rPr>
              <w:t>±</w:t>
            </w:r>
            <w:r>
              <w:rPr>
                <w:rFonts w:ascii="Times New Roman" w:hAnsi="Times New Roman"/>
                <w:sz w:val="28"/>
                <w:szCs w:val="28"/>
              </w:rPr>
              <w:t>7,88</w:t>
            </w:r>
          </w:p>
        </w:tc>
      </w:tr>
      <w:tr w:rsidR="00FA5DA4" w:rsidTr="00B60C09">
        <w:tc>
          <w:tcPr>
            <w:tcW w:w="1982" w:type="dxa"/>
          </w:tcPr>
          <w:p w:rsidR="00FA5DA4" w:rsidRPr="006E76F3" w:rsidRDefault="00FA5DA4" w:rsidP="001F0C51">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857" w:type="dxa"/>
          </w:tcPr>
          <w:p w:rsidR="00FA5DA4" w:rsidRPr="00CF0AFE" w:rsidRDefault="00FA5DA4" w:rsidP="001F0C51">
            <w:pPr>
              <w:jc w:val="center"/>
              <w:rPr>
                <w:rFonts w:ascii="Times New Roman" w:hAnsi="Times New Roman"/>
                <w:sz w:val="28"/>
                <w:szCs w:val="28"/>
              </w:rPr>
            </w:pPr>
            <w:r>
              <w:rPr>
                <w:rFonts w:ascii="Times New Roman" w:hAnsi="Times New Roman"/>
                <w:sz w:val="28"/>
                <w:szCs w:val="28"/>
                <w:lang w:val="en-US"/>
              </w:rPr>
              <w:t>0</w:t>
            </w:r>
            <w:r>
              <w:rPr>
                <w:rFonts w:ascii="Times New Roman" w:hAnsi="Times New Roman"/>
                <w:sz w:val="28"/>
                <w:szCs w:val="28"/>
              </w:rPr>
              <w:t>,044</w:t>
            </w:r>
          </w:p>
        </w:tc>
        <w:tc>
          <w:tcPr>
            <w:tcW w:w="1855" w:type="dxa"/>
          </w:tcPr>
          <w:p w:rsidR="00FA5DA4" w:rsidRPr="00CF0AFE" w:rsidRDefault="00FA5DA4" w:rsidP="001F0C51">
            <w:pPr>
              <w:jc w:val="center"/>
              <w:rPr>
                <w:rFonts w:ascii="Times New Roman" w:hAnsi="Times New Roman"/>
                <w:sz w:val="28"/>
                <w:szCs w:val="28"/>
              </w:rPr>
            </w:pPr>
            <w:r>
              <w:rPr>
                <w:rFonts w:ascii="Times New Roman" w:hAnsi="Times New Roman"/>
                <w:sz w:val="28"/>
                <w:szCs w:val="28"/>
              </w:rPr>
              <w:t>0,641</w:t>
            </w:r>
          </w:p>
        </w:tc>
        <w:tc>
          <w:tcPr>
            <w:tcW w:w="2202" w:type="dxa"/>
          </w:tcPr>
          <w:p w:rsidR="00FA5DA4" w:rsidRPr="007A4310" w:rsidRDefault="00FA5DA4" w:rsidP="001F0C51">
            <w:pPr>
              <w:jc w:val="center"/>
              <w:rPr>
                <w:rFonts w:ascii="Times New Roman" w:hAnsi="Times New Roman"/>
                <w:sz w:val="28"/>
                <w:szCs w:val="28"/>
              </w:rPr>
            </w:pPr>
            <w:r>
              <w:rPr>
                <w:rFonts w:ascii="Times New Roman" w:hAnsi="Times New Roman"/>
                <w:sz w:val="28"/>
                <w:szCs w:val="28"/>
                <w:lang w:val="en-US"/>
              </w:rPr>
              <w:t>0</w:t>
            </w:r>
            <w:r>
              <w:rPr>
                <w:rFonts w:ascii="Times New Roman" w:hAnsi="Times New Roman"/>
                <w:sz w:val="28"/>
                <w:szCs w:val="28"/>
              </w:rPr>
              <w:t>,002</w:t>
            </w:r>
          </w:p>
        </w:tc>
        <w:tc>
          <w:tcPr>
            <w:tcW w:w="1885" w:type="dxa"/>
          </w:tcPr>
          <w:p w:rsidR="00FA5DA4" w:rsidRPr="007A4310" w:rsidRDefault="00FA5DA4" w:rsidP="001F0C51">
            <w:pPr>
              <w:jc w:val="center"/>
              <w:rPr>
                <w:rFonts w:ascii="Times New Roman" w:hAnsi="Times New Roman"/>
                <w:sz w:val="28"/>
                <w:szCs w:val="28"/>
              </w:rPr>
            </w:pPr>
            <w:r>
              <w:rPr>
                <w:rFonts w:ascii="Times New Roman" w:hAnsi="Times New Roman"/>
                <w:sz w:val="28"/>
                <w:szCs w:val="28"/>
              </w:rPr>
              <w:t>0,074</w:t>
            </w:r>
          </w:p>
        </w:tc>
      </w:tr>
      <w:tr w:rsidR="00FA5DA4" w:rsidTr="00B60C09">
        <w:tc>
          <w:tcPr>
            <w:tcW w:w="1982" w:type="dxa"/>
          </w:tcPr>
          <w:p w:rsidR="00FA5DA4" w:rsidRDefault="00FA5DA4"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,3</w:t>
            </w:r>
          </w:p>
        </w:tc>
        <w:tc>
          <w:tcPr>
            <w:tcW w:w="1857"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0,032</w:t>
            </w:r>
          </w:p>
        </w:tc>
        <w:tc>
          <w:tcPr>
            <w:tcW w:w="1855" w:type="dxa"/>
          </w:tcPr>
          <w:p w:rsidR="00FA5DA4" w:rsidRPr="00F028E3" w:rsidRDefault="00FA5DA4" w:rsidP="001F0C51">
            <w:pPr>
              <w:jc w:val="center"/>
              <w:rPr>
                <w:rFonts w:ascii="Times New Roman" w:hAnsi="Times New Roman"/>
                <w:sz w:val="28"/>
                <w:szCs w:val="28"/>
              </w:rPr>
            </w:pPr>
            <w:r>
              <w:rPr>
                <w:rFonts w:ascii="Times New Roman" w:hAnsi="Times New Roman"/>
                <w:sz w:val="28"/>
                <w:szCs w:val="28"/>
                <w:lang w:val="en-US"/>
              </w:rPr>
              <w:t>0</w:t>
            </w:r>
            <w:r>
              <w:rPr>
                <w:rFonts w:ascii="Times New Roman" w:hAnsi="Times New Roman"/>
                <w:sz w:val="28"/>
                <w:szCs w:val="28"/>
              </w:rPr>
              <w:t>,006</w:t>
            </w:r>
          </w:p>
        </w:tc>
        <w:tc>
          <w:tcPr>
            <w:tcW w:w="2202" w:type="dxa"/>
          </w:tcPr>
          <w:p w:rsidR="00FA5DA4" w:rsidRPr="00F028E3" w:rsidRDefault="00FA5DA4" w:rsidP="001F0C51">
            <w:pPr>
              <w:jc w:val="center"/>
              <w:rPr>
                <w:rFonts w:ascii="Times New Roman" w:hAnsi="Times New Roman"/>
                <w:sz w:val="28"/>
                <w:szCs w:val="28"/>
              </w:rPr>
            </w:pPr>
            <w:r>
              <w:rPr>
                <w:rFonts w:ascii="Times New Roman" w:hAnsi="Times New Roman"/>
                <w:sz w:val="28"/>
                <w:szCs w:val="28"/>
              </w:rPr>
              <w:t>0,329</w:t>
            </w:r>
          </w:p>
        </w:tc>
        <w:tc>
          <w:tcPr>
            <w:tcW w:w="1885" w:type="dxa"/>
          </w:tcPr>
          <w:p w:rsidR="00FA5DA4" w:rsidRPr="00F028E3" w:rsidRDefault="00FA5DA4" w:rsidP="001F0C51">
            <w:pPr>
              <w:jc w:val="center"/>
              <w:rPr>
                <w:rFonts w:ascii="Times New Roman" w:hAnsi="Times New Roman"/>
                <w:sz w:val="28"/>
                <w:szCs w:val="28"/>
              </w:rPr>
            </w:pPr>
            <w:r>
              <w:rPr>
                <w:rFonts w:ascii="Times New Roman" w:hAnsi="Times New Roman"/>
                <w:sz w:val="28"/>
                <w:szCs w:val="28"/>
              </w:rPr>
              <w:t>0,121</w:t>
            </w:r>
          </w:p>
        </w:tc>
      </w:tr>
      <w:tr w:rsidR="00FA5DA4" w:rsidTr="00B60C09">
        <w:tc>
          <w:tcPr>
            <w:tcW w:w="1982" w:type="dxa"/>
          </w:tcPr>
          <w:p w:rsidR="00FA5DA4" w:rsidRDefault="00FA5DA4"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2,3</w:t>
            </w:r>
          </w:p>
        </w:tc>
        <w:tc>
          <w:tcPr>
            <w:tcW w:w="1857"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0,987</w:t>
            </w:r>
          </w:p>
        </w:tc>
        <w:tc>
          <w:tcPr>
            <w:tcW w:w="185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0,004</w:t>
            </w:r>
          </w:p>
        </w:tc>
        <w:tc>
          <w:tcPr>
            <w:tcW w:w="2202"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0,220</w:t>
            </w:r>
          </w:p>
        </w:tc>
        <w:tc>
          <w:tcPr>
            <w:tcW w:w="188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0,989</w:t>
            </w:r>
          </w:p>
        </w:tc>
      </w:tr>
    </w:tbl>
    <w:p w:rsidR="00FA5DA4" w:rsidRPr="006D0665" w:rsidRDefault="00FA5DA4" w:rsidP="008F215C">
      <w:pPr>
        <w:spacing w:line="360" w:lineRule="auto"/>
        <w:ind w:firstLine="708"/>
        <w:jc w:val="both"/>
        <w:rPr>
          <w:rFonts w:ascii="Times New Roman" w:hAnsi="Times New Roman"/>
          <w:sz w:val="28"/>
          <w:szCs w:val="28"/>
        </w:rPr>
      </w:pPr>
      <w:r>
        <w:rPr>
          <w:rFonts w:ascii="Times New Roman" w:hAnsi="Times New Roman"/>
          <w:sz w:val="28"/>
          <w:szCs w:val="28"/>
        </w:rPr>
        <w:lastRenderedPageBreak/>
        <w:t xml:space="preserve">При аналізі ВПЩ пухлини до </w:t>
      </w:r>
      <w:r>
        <w:rPr>
          <w:rFonts w:ascii="Times New Roman" w:hAnsi="Times New Roman" w:cs="Times New Roman"/>
          <w:sz w:val="28"/>
          <w:szCs w:val="28"/>
        </w:rPr>
        <w:t>нормальної ниркової паренхіми отриманих з КТ-зображень ПКЗ при різних гістологічних підтипах НКР, найвищі середні значення даного параметру спостерігались при скНКР (</w:t>
      </w:r>
      <w:r>
        <w:rPr>
          <w:rFonts w:ascii="Times New Roman" w:hAnsi="Times New Roman"/>
          <w:sz w:val="28"/>
          <w:szCs w:val="28"/>
        </w:rPr>
        <w:t>1,43</w:t>
      </w:r>
      <w:r>
        <w:rPr>
          <w:rFonts w:ascii="Times New Roman" w:hAnsi="Times New Roman" w:cs="Times New Roman"/>
          <w:sz w:val="28"/>
          <w:szCs w:val="28"/>
        </w:rPr>
        <w:t>±</w:t>
      </w:r>
      <w:r>
        <w:rPr>
          <w:rFonts w:ascii="Times New Roman" w:hAnsi="Times New Roman"/>
          <w:sz w:val="28"/>
          <w:szCs w:val="28"/>
        </w:rPr>
        <w:t>0,56), а найнижчі – при хрНКР (1,09</w:t>
      </w:r>
      <w:r>
        <w:rPr>
          <w:rFonts w:ascii="Times New Roman" w:hAnsi="Times New Roman" w:cs="Times New Roman"/>
          <w:sz w:val="28"/>
          <w:szCs w:val="28"/>
        </w:rPr>
        <w:t>±</w:t>
      </w:r>
      <w:r>
        <w:rPr>
          <w:rFonts w:ascii="Times New Roman" w:hAnsi="Times New Roman"/>
          <w:sz w:val="28"/>
          <w:szCs w:val="28"/>
        </w:rPr>
        <w:t>0,23). Проте,</w:t>
      </w:r>
      <w:r>
        <w:rPr>
          <w:rFonts w:ascii="Times New Roman" w:hAnsi="Times New Roman" w:cs="Times New Roman"/>
          <w:sz w:val="28"/>
          <w:szCs w:val="28"/>
        </w:rPr>
        <w:t xml:space="preserve"> нами не було виявлено достовірної різниці між середніми значеннями цього показника, як при скНКР і пНКР (р=</w:t>
      </w:r>
      <w:r>
        <w:rPr>
          <w:rFonts w:ascii="Times New Roman" w:hAnsi="Times New Roman"/>
          <w:sz w:val="28"/>
          <w:szCs w:val="28"/>
        </w:rPr>
        <w:t xml:space="preserve">0,709), при скНКР і хрНКР </w:t>
      </w:r>
      <w:r>
        <w:rPr>
          <w:rFonts w:ascii="Times New Roman" w:hAnsi="Times New Roman" w:cs="Times New Roman"/>
          <w:sz w:val="28"/>
          <w:szCs w:val="28"/>
        </w:rPr>
        <w:t>(р=</w:t>
      </w:r>
      <w:r>
        <w:rPr>
          <w:rFonts w:ascii="Times New Roman" w:hAnsi="Times New Roman"/>
          <w:sz w:val="28"/>
          <w:szCs w:val="28"/>
        </w:rPr>
        <w:t xml:space="preserve">0,056) так і пНКР та хрНКР </w:t>
      </w:r>
      <w:r>
        <w:rPr>
          <w:rFonts w:ascii="Times New Roman" w:hAnsi="Times New Roman" w:cs="Times New Roman"/>
          <w:sz w:val="28"/>
          <w:szCs w:val="28"/>
        </w:rPr>
        <w:t>(р=</w:t>
      </w:r>
      <w:r>
        <w:rPr>
          <w:rFonts w:ascii="Times New Roman" w:hAnsi="Times New Roman"/>
          <w:sz w:val="28"/>
          <w:szCs w:val="28"/>
        </w:rPr>
        <w:t>0,056).</w:t>
      </w:r>
    </w:p>
    <w:p w:rsidR="00FA5DA4" w:rsidRPr="009E6C7E"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При порівнянні ВПЩ різних гістологічних підтипів НКР на зображеннях КМФ, найвищі показники спостерігались у підгрупі із пНКР (1,00</w:t>
      </w:r>
      <w:r>
        <w:rPr>
          <w:rFonts w:ascii="Times New Roman" w:hAnsi="Times New Roman" w:cs="Times New Roman"/>
          <w:sz w:val="28"/>
          <w:szCs w:val="28"/>
        </w:rPr>
        <w:t>±</w:t>
      </w:r>
      <w:r>
        <w:rPr>
          <w:rFonts w:ascii="Times New Roman" w:hAnsi="Times New Roman"/>
          <w:sz w:val="28"/>
          <w:szCs w:val="28"/>
        </w:rPr>
        <w:t>0,19), а найнижчі – при хрНКР (0,78</w:t>
      </w:r>
      <w:r w:rsidR="0004105A">
        <w:rPr>
          <w:rFonts w:ascii="Times New Roman" w:hAnsi="Times New Roman" w:cs="Times New Roman"/>
          <w:sz w:val="28"/>
          <w:szCs w:val="28"/>
        </w:rPr>
        <w:t>±0,13)</w:t>
      </w:r>
      <w:r>
        <w:rPr>
          <w:rFonts w:ascii="Times New Roman" w:hAnsi="Times New Roman"/>
          <w:sz w:val="28"/>
          <w:szCs w:val="28"/>
        </w:rPr>
        <w:t xml:space="preserve">. </w:t>
      </w:r>
      <w:r>
        <w:rPr>
          <w:rFonts w:ascii="Times New Roman" w:hAnsi="Times New Roman" w:cs="Times New Roman"/>
          <w:sz w:val="28"/>
          <w:szCs w:val="28"/>
        </w:rPr>
        <w:t xml:space="preserve"> При цьому, статистично достовірної різниці між середніми значеннями ВПЩ на КТ-зображеннях даної фази у підгрупах із конвенційним та пНКР не було (р=</w:t>
      </w:r>
      <w:r>
        <w:rPr>
          <w:rFonts w:ascii="Times New Roman" w:hAnsi="Times New Roman"/>
          <w:sz w:val="28"/>
          <w:szCs w:val="28"/>
        </w:rPr>
        <w:t xml:space="preserve">0,465), так само, як і при порівнянні даного показника у підгрупах із скНКР та хрНКР (р=0,069). Проте, середнє значення ВПЩ у підгрупі з хрНКР мало достовірні відмінності із папілярним гістологічним підтипом НКР (р=0,017). </w:t>
      </w:r>
    </w:p>
    <w:p w:rsidR="00FA5DA4" w:rsidRPr="00396225"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Серед гістологічних підтипів НКР найвищий середній показник ВПЩ пухлини до нормальної ниркової паренхіми під час НФ спостерігався при конвенційному НКР (0,84</w:t>
      </w:r>
      <w:r>
        <w:rPr>
          <w:rFonts w:ascii="Times New Roman" w:hAnsi="Times New Roman" w:cs="Times New Roman"/>
          <w:sz w:val="28"/>
          <w:szCs w:val="28"/>
        </w:rPr>
        <w:t>±</w:t>
      </w:r>
      <w:r>
        <w:rPr>
          <w:rFonts w:ascii="Times New Roman" w:hAnsi="Times New Roman"/>
          <w:sz w:val="28"/>
          <w:szCs w:val="28"/>
        </w:rPr>
        <w:t>0,32), а найнижчий при пНКР (0,70</w:t>
      </w:r>
      <w:r>
        <w:rPr>
          <w:rFonts w:ascii="Times New Roman" w:hAnsi="Times New Roman" w:cs="Times New Roman"/>
          <w:sz w:val="28"/>
          <w:szCs w:val="28"/>
        </w:rPr>
        <w:t>±</w:t>
      </w:r>
      <w:r>
        <w:rPr>
          <w:rFonts w:ascii="Times New Roman" w:hAnsi="Times New Roman"/>
          <w:sz w:val="28"/>
          <w:szCs w:val="28"/>
        </w:rPr>
        <w:t>0,32). Проте, достовірних відмінностей згаданого параметру у підгрупах із скНКР, пНКР та хрНКР нами виявлено не було (р</w:t>
      </w:r>
      <w:r w:rsidRPr="009E6C7E">
        <w:rPr>
          <w:rFonts w:ascii="Times New Roman" w:hAnsi="Times New Roman"/>
          <w:sz w:val="28"/>
          <w:szCs w:val="28"/>
          <w:lang w:val="ru-RU"/>
        </w:rPr>
        <w:t>&gt;</w:t>
      </w:r>
      <w:r>
        <w:rPr>
          <w:rFonts w:ascii="Times New Roman" w:hAnsi="Times New Roman"/>
          <w:sz w:val="28"/>
          <w:szCs w:val="28"/>
        </w:rPr>
        <w:t xml:space="preserve">0,05). </w:t>
      </w:r>
    </w:p>
    <w:p w:rsidR="00FA5DA4" w:rsidRPr="003537F1" w:rsidRDefault="00FA5DA4" w:rsidP="003537F1">
      <w:pPr>
        <w:autoSpaceDE w:val="0"/>
        <w:autoSpaceDN w:val="0"/>
        <w:adjustRightInd w:val="0"/>
        <w:spacing w:after="0" w:line="360" w:lineRule="auto"/>
        <w:ind w:firstLine="708"/>
        <w:jc w:val="both"/>
        <w:rPr>
          <w:rFonts w:ascii="Times New Roman" w:hAnsi="Times New Roman"/>
          <w:sz w:val="28"/>
          <w:szCs w:val="28"/>
        </w:rPr>
      </w:pPr>
      <w:r w:rsidRPr="00DF12D6">
        <w:rPr>
          <w:rFonts w:ascii="Times New Roman" w:hAnsi="Times New Roman" w:cs="Times New Roman"/>
          <w:sz w:val="28"/>
          <w:szCs w:val="28"/>
        </w:rPr>
        <w:t xml:space="preserve">Ми не спостерігали достовірної різниці </w:t>
      </w:r>
      <w:r>
        <w:rPr>
          <w:rFonts w:ascii="Times New Roman" w:hAnsi="Times New Roman" w:cs="Times New Roman"/>
          <w:sz w:val="28"/>
          <w:szCs w:val="28"/>
        </w:rPr>
        <w:t xml:space="preserve">між середніми значеннями відношення променевої щільності НКР до нормальної ниркової паренхіми </w:t>
      </w:r>
      <w:r>
        <w:rPr>
          <w:rFonts w:ascii="Times New Roman" w:hAnsi="Times New Roman"/>
          <w:sz w:val="28"/>
          <w:szCs w:val="28"/>
        </w:rPr>
        <w:t>на КТ-зображеннях екскреторної фази</w:t>
      </w:r>
      <w:r>
        <w:rPr>
          <w:rFonts w:ascii="Times New Roman" w:hAnsi="Times New Roman" w:cs="Times New Roman"/>
          <w:sz w:val="28"/>
          <w:szCs w:val="28"/>
        </w:rPr>
        <w:t xml:space="preserve"> при різних гістологічних підтипах НКР (скНКР, пНКР та хрНКР), р</w:t>
      </w:r>
      <w:r w:rsidRPr="009E6C7E">
        <w:rPr>
          <w:rFonts w:ascii="Times New Roman" w:hAnsi="Times New Roman" w:cs="Times New Roman"/>
          <w:sz w:val="28"/>
          <w:szCs w:val="28"/>
        </w:rPr>
        <w:t>&gt;</w:t>
      </w:r>
      <w:r>
        <w:rPr>
          <w:rFonts w:ascii="Times New Roman" w:hAnsi="Times New Roman" w:cs="Times New Roman"/>
          <w:sz w:val="28"/>
          <w:szCs w:val="28"/>
        </w:rPr>
        <w:t xml:space="preserve">0,05. </w:t>
      </w:r>
      <w:r>
        <w:rPr>
          <w:rFonts w:ascii="Times New Roman" w:hAnsi="Times New Roman"/>
          <w:sz w:val="28"/>
          <w:szCs w:val="28"/>
        </w:rPr>
        <w:t>Середні значення ВПЩ пухлини</w:t>
      </w:r>
      <w:r w:rsidRPr="009E6C7E">
        <w:rPr>
          <w:rFonts w:ascii="Times New Roman" w:hAnsi="Times New Roman"/>
          <w:sz w:val="28"/>
          <w:szCs w:val="28"/>
          <w:lang w:val="ru-RU"/>
        </w:rPr>
        <w:t xml:space="preserve"> </w:t>
      </w:r>
      <w:r>
        <w:rPr>
          <w:rFonts w:ascii="Times New Roman" w:hAnsi="Times New Roman" w:cs="Times New Roman"/>
          <w:sz w:val="28"/>
          <w:szCs w:val="28"/>
        </w:rPr>
        <w:t>до нормальної ниркової паренхіми</w:t>
      </w:r>
      <w:r w:rsidRPr="00694CDA">
        <w:rPr>
          <w:rFonts w:ascii="Times New Roman" w:hAnsi="Times New Roman"/>
          <w:sz w:val="28"/>
          <w:szCs w:val="28"/>
        </w:rPr>
        <w:t xml:space="preserve"> </w:t>
      </w:r>
      <w:r>
        <w:rPr>
          <w:rFonts w:ascii="Times New Roman" w:hAnsi="Times New Roman"/>
          <w:sz w:val="28"/>
          <w:szCs w:val="28"/>
        </w:rPr>
        <w:t xml:space="preserve">на КТ-зображеннях різних фаз при світлоклітинному, папілярному та хромофобному НКР розміром до 4 см наведені у </w:t>
      </w:r>
      <w:r w:rsidRPr="00180992">
        <w:rPr>
          <w:rFonts w:ascii="Times New Roman" w:hAnsi="Times New Roman"/>
          <w:sz w:val="28"/>
          <w:szCs w:val="28"/>
        </w:rPr>
        <w:t>таблиці</w:t>
      </w:r>
      <w:r w:rsidR="00B83560">
        <w:rPr>
          <w:rFonts w:ascii="Times New Roman" w:hAnsi="Times New Roman"/>
          <w:sz w:val="28"/>
          <w:szCs w:val="28"/>
        </w:rPr>
        <w:t xml:space="preserve"> 3.6</w:t>
      </w:r>
      <w:r>
        <w:rPr>
          <w:rFonts w:ascii="Times New Roman" w:hAnsi="Times New Roman"/>
          <w:sz w:val="28"/>
          <w:szCs w:val="28"/>
        </w:rPr>
        <w:t>.</w:t>
      </w:r>
      <w:r w:rsidRPr="0019360F">
        <w:rPr>
          <w:rFonts w:ascii="Times New Roman" w:hAnsi="Times New Roman"/>
          <w:sz w:val="28"/>
          <w:szCs w:val="28"/>
        </w:rPr>
        <w:t xml:space="preserve"> </w:t>
      </w:r>
    </w:p>
    <w:p w:rsidR="008F215C" w:rsidRDefault="008F215C" w:rsidP="00FA5DA4">
      <w:pPr>
        <w:spacing w:line="360" w:lineRule="auto"/>
        <w:jc w:val="right"/>
        <w:rPr>
          <w:rFonts w:ascii="Times New Roman" w:hAnsi="Times New Roman" w:cs="Times New Roman"/>
          <w:sz w:val="28"/>
          <w:szCs w:val="28"/>
        </w:rPr>
      </w:pPr>
    </w:p>
    <w:p w:rsidR="00FA5DA4" w:rsidRPr="008C7426" w:rsidRDefault="00FA5DA4" w:rsidP="00FA5DA4">
      <w:pPr>
        <w:spacing w:line="360" w:lineRule="auto"/>
        <w:jc w:val="right"/>
        <w:rPr>
          <w:rFonts w:ascii="Times New Roman" w:hAnsi="Times New Roman" w:cs="Times New Roman"/>
          <w:sz w:val="28"/>
          <w:szCs w:val="28"/>
        </w:rPr>
      </w:pPr>
      <w:r w:rsidRPr="00180992">
        <w:rPr>
          <w:rFonts w:ascii="Times New Roman" w:hAnsi="Times New Roman" w:cs="Times New Roman"/>
          <w:sz w:val="28"/>
          <w:szCs w:val="28"/>
        </w:rPr>
        <w:lastRenderedPageBreak/>
        <w:t>Таблиця</w:t>
      </w:r>
      <w:r w:rsidR="00B83560">
        <w:rPr>
          <w:rFonts w:ascii="Times New Roman" w:hAnsi="Times New Roman" w:cs="Times New Roman"/>
          <w:sz w:val="28"/>
          <w:szCs w:val="28"/>
        </w:rPr>
        <w:t xml:space="preserve"> 3.6</w:t>
      </w:r>
    </w:p>
    <w:p w:rsidR="00FA5DA4" w:rsidRDefault="00FA5DA4" w:rsidP="00FA5DA4">
      <w:pPr>
        <w:spacing w:line="360" w:lineRule="auto"/>
        <w:jc w:val="center"/>
      </w:pPr>
      <w:r>
        <w:rPr>
          <w:rFonts w:ascii="Times New Roman" w:hAnsi="Times New Roman"/>
          <w:sz w:val="28"/>
          <w:szCs w:val="28"/>
        </w:rPr>
        <w:t>Середнє значення відношення променевої щільності пухлини</w:t>
      </w:r>
      <w:r w:rsidRPr="009E6C7E">
        <w:rPr>
          <w:rFonts w:ascii="Times New Roman" w:hAnsi="Times New Roman"/>
          <w:sz w:val="28"/>
          <w:szCs w:val="28"/>
          <w:lang w:val="ru-RU"/>
        </w:rPr>
        <w:t xml:space="preserve"> </w:t>
      </w:r>
      <w:r>
        <w:rPr>
          <w:rFonts w:ascii="Times New Roman" w:hAnsi="Times New Roman" w:cs="Times New Roman"/>
          <w:sz w:val="28"/>
          <w:szCs w:val="28"/>
        </w:rPr>
        <w:t>до нормальної ниркової паренхіми</w:t>
      </w:r>
      <w:r w:rsidRPr="00694CDA">
        <w:rPr>
          <w:rFonts w:ascii="Times New Roman" w:hAnsi="Times New Roman"/>
          <w:sz w:val="28"/>
          <w:szCs w:val="28"/>
        </w:rPr>
        <w:t xml:space="preserve"> </w:t>
      </w:r>
      <w:r>
        <w:rPr>
          <w:rFonts w:ascii="Times New Roman" w:hAnsi="Times New Roman"/>
          <w:sz w:val="28"/>
          <w:szCs w:val="28"/>
        </w:rPr>
        <w:t>на КТ-зображеннях різних фаз при світлоклітинному, папілярному та хромофобному НКР розміром до 4 см</w:t>
      </w:r>
    </w:p>
    <w:tbl>
      <w:tblPr>
        <w:tblStyle w:val="TableGrid"/>
        <w:tblW w:w="9634" w:type="dxa"/>
        <w:tblLook w:val="04A0" w:firstRow="1" w:lastRow="0" w:firstColumn="1" w:lastColumn="0" w:noHBand="0" w:noVBand="1"/>
      </w:tblPr>
      <w:tblGrid>
        <w:gridCol w:w="1883"/>
        <w:gridCol w:w="1847"/>
        <w:gridCol w:w="1815"/>
        <w:gridCol w:w="2202"/>
        <w:gridCol w:w="1887"/>
      </w:tblGrid>
      <w:tr w:rsidR="00FA5DA4" w:rsidTr="001F0C51">
        <w:trPr>
          <w:trHeight w:val="322"/>
        </w:trPr>
        <w:tc>
          <w:tcPr>
            <w:tcW w:w="2054" w:type="dxa"/>
            <w:vMerge w:val="restart"/>
          </w:tcPr>
          <w:p w:rsidR="00FA5DA4" w:rsidRPr="00BD5837" w:rsidRDefault="00FA5DA4" w:rsidP="001F0C51">
            <w:pPr>
              <w:jc w:val="center"/>
              <w:rPr>
                <w:rFonts w:ascii="Times New Roman" w:hAnsi="Times New Roman"/>
                <w:b/>
                <w:sz w:val="28"/>
                <w:szCs w:val="28"/>
              </w:rPr>
            </w:pPr>
            <w:r>
              <w:rPr>
                <w:rFonts w:ascii="Times New Roman" w:hAnsi="Times New Roman"/>
                <w:b/>
                <w:sz w:val="28"/>
                <w:szCs w:val="28"/>
              </w:rPr>
              <w:t>Підг</w:t>
            </w:r>
            <w:r w:rsidRPr="00BD5837">
              <w:rPr>
                <w:rFonts w:ascii="Times New Roman" w:hAnsi="Times New Roman"/>
                <w:b/>
                <w:sz w:val="28"/>
                <w:szCs w:val="28"/>
              </w:rPr>
              <w:t>рупа</w:t>
            </w:r>
          </w:p>
        </w:tc>
        <w:tc>
          <w:tcPr>
            <w:tcW w:w="7580" w:type="dxa"/>
            <w:gridSpan w:val="4"/>
          </w:tcPr>
          <w:p w:rsidR="00FA5DA4" w:rsidRDefault="00FA5DA4" w:rsidP="001F0C51">
            <w:pPr>
              <w:jc w:val="center"/>
              <w:rPr>
                <w:rFonts w:ascii="Times New Roman" w:hAnsi="Times New Roman"/>
                <w:b/>
                <w:sz w:val="28"/>
                <w:szCs w:val="28"/>
              </w:rPr>
            </w:pPr>
            <w:r>
              <w:rPr>
                <w:rFonts w:ascii="Times New Roman" w:hAnsi="Times New Roman"/>
                <w:b/>
                <w:sz w:val="28"/>
                <w:szCs w:val="28"/>
              </w:rPr>
              <w:t>Фаза КТ</w:t>
            </w:r>
          </w:p>
        </w:tc>
      </w:tr>
      <w:tr w:rsidR="00FA5DA4" w:rsidTr="001F0C51">
        <w:trPr>
          <w:trHeight w:val="654"/>
        </w:trPr>
        <w:tc>
          <w:tcPr>
            <w:tcW w:w="2054" w:type="dxa"/>
            <w:vMerge/>
            <w:tcBorders>
              <w:bottom w:val="single" w:sz="4" w:space="0" w:color="auto"/>
            </w:tcBorders>
          </w:tcPr>
          <w:p w:rsidR="00FA5DA4" w:rsidRPr="00BD5837" w:rsidRDefault="00FA5DA4" w:rsidP="001F0C51">
            <w:pPr>
              <w:jc w:val="center"/>
              <w:rPr>
                <w:rFonts w:ascii="Times New Roman" w:hAnsi="Times New Roman"/>
                <w:b/>
                <w:sz w:val="28"/>
                <w:szCs w:val="28"/>
              </w:rPr>
            </w:pPr>
          </w:p>
        </w:tc>
        <w:tc>
          <w:tcPr>
            <w:tcW w:w="1895"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Пре-контрастні зображення</w:t>
            </w:r>
          </w:p>
        </w:tc>
        <w:tc>
          <w:tcPr>
            <w:tcW w:w="1895"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Кортико-медулярна фаза</w:t>
            </w:r>
          </w:p>
        </w:tc>
        <w:tc>
          <w:tcPr>
            <w:tcW w:w="1895"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Нефрографічна фаза</w:t>
            </w:r>
          </w:p>
        </w:tc>
        <w:tc>
          <w:tcPr>
            <w:tcW w:w="1895" w:type="dxa"/>
            <w:tcBorders>
              <w:bottom w:val="single" w:sz="4" w:space="0" w:color="auto"/>
            </w:tcBorders>
          </w:tcPr>
          <w:p w:rsidR="00FA5DA4" w:rsidRPr="00BD5837" w:rsidRDefault="00FA5DA4" w:rsidP="001F0C51">
            <w:pPr>
              <w:jc w:val="center"/>
              <w:rPr>
                <w:rFonts w:ascii="Times New Roman" w:hAnsi="Times New Roman"/>
                <w:b/>
                <w:sz w:val="28"/>
                <w:szCs w:val="28"/>
              </w:rPr>
            </w:pPr>
            <w:r>
              <w:rPr>
                <w:rFonts w:ascii="Times New Roman" w:hAnsi="Times New Roman"/>
                <w:b/>
                <w:sz w:val="28"/>
                <w:szCs w:val="28"/>
              </w:rPr>
              <w:t>Екскреторна фаза</w:t>
            </w:r>
          </w:p>
        </w:tc>
      </w:tr>
      <w:tr w:rsidR="00FA5DA4" w:rsidTr="001F0C51">
        <w:trPr>
          <w:trHeight w:val="182"/>
        </w:trPr>
        <w:tc>
          <w:tcPr>
            <w:tcW w:w="2054" w:type="dxa"/>
          </w:tcPr>
          <w:p w:rsidR="00FA5DA4" w:rsidRPr="006E76F3" w:rsidRDefault="00FA5DA4" w:rsidP="001F0C51">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w:t>
            </w:r>
            <w:r w:rsidRPr="00CB3FB6">
              <w:rPr>
                <w:rFonts w:ascii="Times New Roman" w:hAnsi="Times New Roman" w:cs="Times New Roman"/>
                <w:b/>
                <w:sz w:val="28"/>
                <w:szCs w:val="28"/>
              </w:rPr>
              <w:t>n=48</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1,43</w:t>
            </w:r>
            <w:r>
              <w:rPr>
                <w:rFonts w:ascii="Times New Roman" w:hAnsi="Times New Roman" w:cs="Times New Roman"/>
                <w:sz w:val="28"/>
                <w:szCs w:val="28"/>
              </w:rPr>
              <w:t>±</w:t>
            </w:r>
            <w:r>
              <w:rPr>
                <w:rFonts w:ascii="Times New Roman" w:hAnsi="Times New Roman"/>
                <w:sz w:val="28"/>
                <w:szCs w:val="28"/>
              </w:rPr>
              <w:t>0,56</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0,92</w:t>
            </w:r>
            <w:r>
              <w:rPr>
                <w:rFonts w:ascii="Times New Roman" w:hAnsi="Times New Roman" w:cs="Times New Roman"/>
                <w:sz w:val="28"/>
                <w:szCs w:val="28"/>
              </w:rPr>
              <w:t>±</w:t>
            </w:r>
            <w:r>
              <w:rPr>
                <w:rFonts w:ascii="Times New Roman" w:hAnsi="Times New Roman"/>
                <w:sz w:val="28"/>
                <w:szCs w:val="28"/>
              </w:rPr>
              <w:t>0,25</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0,84</w:t>
            </w:r>
            <w:r>
              <w:rPr>
                <w:rFonts w:ascii="Times New Roman" w:hAnsi="Times New Roman" w:cs="Times New Roman"/>
                <w:sz w:val="28"/>
                <w:szCs w:val="28"/>
              </w:rPr>
              <w:t>±</w:t>
            </w:r>
            <w:r>
              <w:rPr>
                <w:rFonts w:ascii="Times New Roman" w:hAnsi="Times New Roman"/>
                <w:sz w:val="28"/>
                <w:szCs w:val="28"/>
              </w:rPr>
              <w:t>0,32</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0,92</w:t>
            </w:r>
            <w:r>
              <w:rPr>
                <w:rFonts w:ascii="Times New Roman" w:hAnsi="Times New Roman" w:cs="Times New Roman"/>
                <w:sz w:val="28"/>
                <w:szCs w:val="28"/>
              </w:rPr>
              <w:t>±</w:t>
            </w:r>
            <w:r>
              <w:rPr>
                <w:rFonts w:ascii="Times New Roman" w:hAnsi="Times New Roman"/>
                <w:sz w:val="28"/>
                <w:szCs w:val="28"/>
              </w:rPr>
              <w:t>0,20</w:t>
            </w:r>
          </w:p>
        </w:tc>
      </w:tr>
      <w:tr w:rsidR="00FA5DA4" w:rsidTr="001F0C51">
        <w:tc>
          <w:tcPr>
            <w:tcW w:w="2054" w:type="dxa"/>
          </w:tcPr>
          <w:p w:rsidR="00FA5DA4" w:rsidRPr="006E76F3" w:rsidRDefault="00FA5DA4" w:rsidP="001F0C51">
            <w:pPr>
              <w:rPr>
                <w:rFonts w:ascii="Times New Roman" w:hAnsi="Times New Roman"/>
                <w:b/>
                <w:sz w:val="28"/>
                <w:szCs w:val="28"/>
              </w:rPr>
            </w:pPr>
            <w:r>
              <w:rPr>
                <w:rFonts w:ascii="Times New Roman" w:hAnsi="Times New Roman"/>
                <w:b/>
                <w:sz w:val="28"/>
                <w:szCs w:val="28"/>
              </w:rPr>
              <w:t xml:space="preserve">пНКР, </w:t>
            </w:r>
            <w:r>
              <w:rPr>
                <w:rFonts w:ascii="Times New Roman" w:hAnsi="Times New Roman" w:cs="Times New Roman"/>
                <w:b/>
                <w:sz w:val="28"/>
                <w:szCs w:val="28"/>
              </w:rPr>
              <w:t>n=16</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1,32</w:t>
            </w:r>
            <w:r>
              <w:rPr>
                <w:rFonts w:ascii="Times New Roman" w:hAnsi="Times New Roman" w:cs="Times New Roman"/>
                <w:sz w:val="28"/>
                <w:szCs w:val="28"/>
              </w:rPr>
              <w:t>±</w:t>
            </w:r>
            <w:r>
              <w:rPr>
                <w:rFonts w:ascii="Times New Roman" w:hAnsi="Times New Roman"/>
                <w:sz w:val="28"/>
                <w:szCs w:val="28"/>
              </w:rPr>
              <w:t>0,38</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1,00</w:t>
            </w:r>
            <w:r>
              <w:rPr>
                <w:rFonts w:ascii="Times New Roman" w:hAnsi="Times New Roman" w:cs="Times New Roman"/>
                <w:sz w:val="28"/>
                <w:szCs w:val="28"/>
              </w:rPr>
              <w:t>±</w:t>
            </w:r>
            <w:r>
              <w:rPr>
                <w:rFonts w:ascii="Times New Roman" w:hAnsi="Times New Roman"/>
                <w:sz w:val="28"/>
                <w:szCs w:val="28"/>
              </w:rPr>
              <w:t>0,19</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0,70</w:t>
            </w:r>
            <w:r>
              <w:rPr>
                <w:rFonts w:ascii="Times New Roman" w:hAnsi="Times New Roman" w:cs="Times New Roman"/>
                <w:sz w:val="28"/>
                <w:szCs w:val="28"/>
              </w:rPr>
              <w:t>±</w:t>
            </w:r>
            <w:r>
              <w:rPr>
                <w:rFonts w:ascii="Times New Roman" w:hAnsi="Times New Roman"/>
                <w:sz w:val="28"/>
                <w:szCs w:val="28"/>
              </w:rPr>
              <w:t>0,32</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0,80</w:t>
            </w:r>
            <w:r>
              <w:rPr>
                <w:rFonts w:ascii="Times New Roman" w:hAnsi="Times New Roman" w:cs="Times New Roman"/>
                <w:sz w:val="28"/>
                <w:szCs w:val="28"/>
              </w:rPr>
              <w:t>±</w:t>
            </w:r>
            <w:r>
              <w:rPr>
                <w:rFonts w:ascii="Times New Roman" w:hAnsi="Times New Roman"/>
                <w:sz w:val="28"/>
                <w:szCs w:val="28"/>
              </w:rPr>
              <w:t>0,17</w:t>
            </w:r>
          </w:p>
        </w:tc>
      </w:tr>
      <w:tr w:rsidR="00FA5DA4" w:rsidTr="001F0C51">
        <w:tc>
          <w:tcPr>
            <w:tcW w:w="2054" w:type="dxa"/>
          </w:tcPr>
          <w:p w:rsidR="00FA5DA4" w:rsidRPr="006E76F3" w:rsidRDefault="00FA5DA4" w:rsidP="001F0C51">
            <w:pPr>
              <w:rPr>
                <w:rFonts w:ascii="Times New Roman" w:hAnsi="Times New Roman"/>
                <w:b/>
                <w:sz w:val="28"/>
                <w:szCs w:val="28"/>
              </w:rPr>
            </w:pPr>
            <w:r>
              <w:rPr>
                <w:rFonts w:ascii="Times New Roman" w:hAnsi="Times New Roman"/>
                <w:b/>
                <w:sz w:val="28"/>
                <w:szCs w:val="28"/>
              </w:rPr>
              <w:t xml:space="preserve">хрНКР, </w:t>
            </w:r>
            <w:r>
              <w:rPr>
                <w:rFonts w:ascii="Times New Roman" w:hAnsi="Times New Roman" w:cs="Times New Roman"/>
                <w:b/>
                <w:sz w:val="28"/>
                <w:szCs w:val="28"/>
              </w:rPr>
              <w:t>n=15</w:t>
            </w:r>
          </w:p>
        </w:tc>
        <w:tc>
          <w:tcPr>
            <w:tcW w:w="1895" w:type="dxa"/>
          </w:tcPr>
          <w:p w:rsidR="00FA5DA4" w:rsidRPr="00FB6A55" w:rsidRDefault="00FA5DA4" w:rsidP="001F0C51">
            <w:pPr>
              <w:jc w:val="center"/>
              <w:rPr>
                <w:rFonts w:ascii="Times New Roman" w:hAnsi="Times New Roman"/>
                <w:sz w:val="28"/>
                <w:szCs w:val="28"/>
              </w:rPr>
            </w:pPr>
            <w:r>
              <w:rPr>
                <w:rFonts w:ascii="Times New Roman" w:hAnsi="Times New Roman"/>
                <w:sz w:val="28"/>
                <w:szCs w:val="28"/>
              </w:rPr>
              <w:t>1,09</w:t>
            </w:r>
            <w:r>
              <w:rPr>
                <w:rFonts w:ascii="Times New Roman" w:hAnsi="Times New Roman" w:cs="Times New Roman"/>
                <w:sz w:val="28"/>
                <w:szCs w:val="28"/>
              </w:rPr>
              <w:t>±</w:t>
            </w:r>
            <w:r>
              <w:rPr>
                <w:rFonts w:ascii="Times New Roman" w:hAnsi="Times New Roman"/>
                <w:sz w:val="28"/>
                <w:szCs w:val="28"/>
              </w:rPr>
              <w:t>0,23</w:t>
            </w:r>
          </w:p>
        </w:tc>
        <w:tc>
          <w:tcPr>
            <w:tcW w:w="1895" w:type="dxa"/>
          </w:tcPr>
          <w:p w:rsidR="00FA5DA4" w:rsidRPr="00FB6A55" w:rsidRDefault="00FA5DA4" w:rsidP="001F0C51">
            <w:pPr>
              <w:jc w:val="center"/>
              <w:rPr>
                <w:rFonts w:ascii="Times New Roman" w:hAnsi="Times New Roman"/>
                <w:sz w:val="28"/>
                <w:szCs w:val="28"/>
              </w:rPr>
            </w:pPr>
            <w:r>
              <w:rPr>
                <w:rFonts w:ascii="Times New Roman" w:hAnsi="Times New Roman"/>
                <w:sz w:val="28"/>
                <w:szCs w:val="28"/>
              </w:rPr>
              <w:t>0,78</w:t>
            </w:r>
            <w:r>
              <w:rPr>
                <w:rFonts w:ascii="Times New Roman" w:hAnsi="Times New Roman" w:cs="Times New Roman"/>
                <w:sz w:val="28"/>
                <w:szCs w:val="28"/>
              </w:rPr>
              <w:t>±</w:t>
            </w:r>
            <w:r>
              <w:rPr>
                <w:rFonts w:ascii="Times New Roman" w:hAnsi="Times New Roman"/>
                <w:sz w:val="28"/>
                <w:szCs w:val="28"/>
              </w:rPr>
              <w:t>0,13</w:t>
            </w:r>
          </w:p>
        </w:tc>
        <w:tc>
          <w:tcPr>
            <w:tcW w:w="1895" w:type="dxa"/>
          </w:tcPr>
          <w:p w:rsidR="00FA5DA4" w:rsidRPr="00FB6A55" w:rsidRDefault="00FA5DA4" w:rsidP="001F0C51">
            <w:pPr>
              <w:jc w:val="center"/>
              <w:rPr>
                <w:rFonts w:ascii="Times New Roman" w:hAnsi="Times New Roman"/>
                <w:sz w:val="28"/>
                <w:szCs w:val="28"/>
              </w:rPr>
            </w:pPr>
            <w:r>
              <w:rPr>
                <w:rFonts w:ascii="Times New Roman" w:hAnsi="Times New Roman"/>
                <w:sz w:val="28"/>
                <w:szCs w:val="28"/>
              </w:rPr>
              <w:t>0,79</w:t>
            </w:r>
            <w:r>
              <w:rPr>
                <w:rFonts w:ascii="Times New Roman" w:hAnsi="Times New Roman" w:cs="Times New Roman"/>
                <w:sz w:val="28"/>
                <w:szCs w:val="28"/>
              </w:rPr>
              <w:t>±</w:t>
            </w:r>
            <w:r>
              <w:rPr>
                <w:rFonts w:ascii="Times New Roman" w:hAnsi="Times New Roman"/>
                <w:sz w:val="28"/>
                <w:szCs w:val="28"/>
              </w:rPr>
              <w:t>0,40</w:t>
            </w:r>
          </w:p>
        </w:tc>
        <w:tc>
          <w:tcPr>
            <w:tcW w:w="1895" w:type="dxa"/>
          </w:tcPr>
          <w:p w:rsidR="00FA5DA4" w:rsidRPr="00FB6A55" w:rsidRDefault="00FA5DA4" w:rsidP="001F0C51">
            <w:pPr>
              <w:jc w:val="center"/>
              <w:rPr>
                <w:rFonts w:ascii="Times New Roman" w:hAnsi="Times New Roman"/>
                <w:sz w:val="28"/>
                <w:szCs w:val="28"/>
              </w:rPr>
            </w:pPr>
            <w:r>
              <w:rPr>
                <w:rFonts w:ascii="Times New Roman" w:hAnsi="Times New Roman"/>
                <w:sz w:val="28"/>
                <w:szCs w:val="28"/>
              </w:rPr>
              <w:t>0,82</w:t>
            </w:r>
            <w:r>
              <w:rPr>
                <w:rFonts w:ascii="Times New Roman" w:hAnsi="Times New Roman" w:cs="Times New Roman"/>
                <w:sz w:val="28"/>
                <w:szCs w:val="28"/>
              </w:rPr>
              <w:t>±</w:t>
            </w:r>
            <w:r>
              <w:rPr>
                <w:rFonts w:ascii="Times New Roman" w:hAnsi="Times New Roman"/>
                <w:sz w:val="28"/>
                <w:szCs w:val="28"/>
              </w:rPr>
              <w:t>0,17</w:t>
            </w:r>
          </w:p>
        </w:tc>
      </w:tr>
      <w:tr w:rsidR="00FA5DA4" w:rsidTr="001F0C51">
        <w:tc>
          <w:tcPr>
            <w:tcW w:w="2054" w:type="dxa"/>
          </w:tcPr>
          <w:p w:rsidR="00FA5DA4" w:rsidRPr="006E76F3" w:rsidRDefault="00FA5DA4" w:rsidP="001F0C51">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895" w:type="dxa"/>
          </w:tcPr>
          <w:p w:rsidR="00FA5DA4" w:rsidRPr="00CF0AFE" w:rsidRDefault="00FA5DA4" w:rsidP="001F0C51">
            <w:pPr>
              <w:jc w:val="center"/>
              <w:rPr>
                <w:rFonts w:ascii="Times New Roman" w:hAnsi="Times New Roman"/>
                <w:sz w:val="28"/>
                <w:szCs w:val="28"/>
              </w:rPr>
            </w:pPr>
            <w:r>
              <w:rPr>
                <w:rFonts w:ascii="Times New Roman" w:hAnsi="Times New Roman"/>
                <w:sz w:val="28"/>
                <w:szCs w:val="28"/>
              </w:rPr>
              <w:t>0,709</w:t>
            </w:r>
          </w:p>
        </w:tc>
        <w:tc>
          <w:tcPr>
            <w:tcW w:w="1895" w:type="dxa"/>
          </w:tcPr>
          <w:p w:rsidR="00FA5DA4" w:rsidRPr="00CF0AFE" w:rsidRDefault="00FA5DA4" w:rsidP="001F0C51">
            <w:pPr>
              <w:jc w:val="center"/>
              <w:rPr>
                <w:rFonts w:ascii="Times New Roman" w:hAnsi="Times New Roman"/>
                <w:sz w:val="28"/>
                <w:szCs w:val="28"/>
              </w:rPr>
            </w:pPr>
            <w:r>
              <w:rPr>
                <w:rFonts w:ascii="Times New Roman" w:hAnsi="Times New Roman"/>
                <w:sz w:val="28"/>
                <w:szCs w:val="28"/>
              </w:rPr>
              <w:t>0,465</w:t>
            </w:r>
          </w:p>
        </w:tc>
        <w:tc>
          <w:tcPr>
            <w:tcW w:w="1895" w:type="dxa"/>
          </w:tcPr>
          <w:p w:rsidR="00FA5DA4" w:rsidRPr="00CF0AFE" w:rsidRDefault="00FA5DA4" w:rsidP="001F0C51">
            <w:pPr>
              <w:jc w:val="center"/>
              <w:rPr>
                <w:rFonts w:ascii="Times New Roman" w:hAnsi="Times New Roman"/>
                <w:sz w:val="28"/>
                <w:szCs w:val="28"/>
              </w:rPr>
            </w:pPr>
            <w:r>
              <w:rPr>
                <w:rFonts w:ascii="Times New Roman" w:hAnsi="Times New Roman"/>
                <w:sz w:val="28"/>
                <w:szCs w:val="28"/>
              </w:rPr>
              <w:t>0,324</w:t>
            </w:r>
          </w:p>
        </w:tc>
        <w:tc>
          <w:tcPr>
            <w:tcW w:w="1895" w:type="dxa"/>
          </w:tcPr>
          <w:p w:rsidR="00FA5DA4" w:rsidRPr="00CF0AFE" w:rsidRDefault="00FA5DA4" w:rsidP="001F0C51">
            <w:pPr>
              <w:jc w:val="center"/>
              <w:rPr>
                <w:rFonts w:ascii="Times New Roman" w:hAnsi="Times New Roman"/>
                <w:sz w:val="28"/>
                <w:szCs w:val="28"/>
              </w:rPr>
            </w:pPr>
            <w:r>
              <w:rPr>
                <w:rFonts w:ascii="Times New Roman" w:hAnsi="Times New Roman"/>
                <w:sz w:val="28"/>
                <w:szCs w:val="28"/>
              </w:rPr>
              <w:t>0,098</w:t>
            </w:r>
          </w:p>
        </w:tc>
      </w:tr>
      <w:tr w:rsidR="00FA5DA4" w:rsidTr="001F0C51">
        <w:tc>
          <w:tcPr>
            <w:tcW w:w="2054" w:type="dxa"/>
          </w:tcPr>
          <w:p w:rsidR="00FA5DA4" w:rsidRDefault="00FA5DA4"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,3</w:t>
            </w:r>
          </w:p>
        </w:tc>
        <w:tc>
          <w:tcPr>
            <w:tcW w:w="189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0,056</w:t>
            </w:r>
          </w:p>
        </w:tc>
        <w:tc>
          <w:tcPr>
            <w:tcW w:w="189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0,069</w:t>
            </w:r>
          </w:p>
        </w:tc>
        <w:tc>
          <w:tcPr>
            <w:tcW w:w="189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0,864</w:t>
            </w:r>
          </w:p>
        </w:tc>
        <w:tc>
          <w:tcPr>
            <w:tcW w:w="189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0,225</w:t>
            </w:r>
          </w:p>
        </w:tc>
      </w:tr>
      <w:tr w:rsidR="00FA5DA4" w:rsidTr="001F0C51">
        <w:tc>
          <w:tcPr>
            <w:tcW w:w="2054" w:type="dxa"/>
          </w:tcPr>
          <w:p w:rsidR="00FA5DA4" w:rsidRDefault="00FA5DA4"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2,3</w:t>
            </w:r>
          </w:p>
        </w:tc>
        <w:tc>
          <w:tcPr>
            <w:tcW w:w="189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0,174</w:t>
            </w:r>
          </w:p>
        </w:tc>
        <w:tc>
          <w:tcPr>
            <w:tcW w:w="189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0,017</w:t>
            </w:r>
          </w:p>
        </w:tc>
        <w:tc>
          <w:tcPr>
            <w:tcW w:w="189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0,744</w:t>
            </w:r>
          </w:p>
        </w:tc>
        <w:tc>
          <w:tcPr>
            <w:tcW w:w="1895" w:type="dxa"/>
          </w:tcPr>
          <w:p w:rsidR="00FA5DA4" w:rsidRPr="00482ADC" w:rsidRDefault="00FA5DA4" w:rsidP="001F0C51">
            <w:pPr>
              <w:jc w:val="center"/>
              <w:rPr>
                <w:rFonts w:ascii="Times New Roman" w:hAnsi="Times New Roman"/>
                <w:sz w:val="28"/>
                <w:szCs w:val="28"/>
              </w:rPr>
            </w:pPr>
            <w:r>
              <w:rPr>
                <w:rFonts w:ascii="Times New Roman" w:hAnsi="Times New Roman"/>
                <w:sz w:val="28"/>
                <w:szCs w:val="28"/>
              </w:rPr>
              <w:t>0,948</w:t>
            </w:r>
          </w:p>
        </w:tc>
      </w:tr>
    </w:tbl>
    <w:p w:rsidR="00FA5DA4" w:rsidRDefault="00FA5DA4" w:rsidP="00FA5DA4">
      <w:pPr>
        <w:spacing w:line="360" w:lineRule="auto"/>
        <w:jc w:val="both"/>
        <w:rPr>
          <w:lang w:val="en-US"/>
        </w:rPr>
      </w:pPr>
    </w:p>
    <w:p w:rsidR="00B83560" w:rsidRDefault="00FA5DA4" w:rsidP="00FA5DA4">
      <w:pPr>
        <w:spacing w:line="360" w:lineRule="auto"/>
        <w:ind w:firstLine="708"/>
        <w:jc w:val="both"/>
        <w:rPr>
          <w:rFonts w:ascii="Times New Roman" w:hAnsi="Times New Roman"/>
          <w:sz w:val="28"/>
          <w:szCs w:val="28"/>
        </w:rPr>
      </w:pPr>
      <w:r>
        <w:rPr>
          <w:rFonts w:ascii="Times New Roman" w:hAnsi="Times New Roman" w:cs="Times New Roman"/>
          <w:sz w:val="28"/>
          <w:szCs w:val="28"/>
        </w:rPr>
        <w:t xml:space="preserve">При аналізі середніх значень променевої щільності скНКР низького та високого ступенів за </w:t>
      </w:r>
      <w:r>
        <w:rPr>
          <w:rFonts w:ascii="Times New Roman" w:hAnsi="Times New Roman" w:cs="Times New Roman"/>
          <w:sz w:val="28"/>
          <w:szCs w:val="28"/>
          <w:lang w:val="en-US"/>
        </w:rPr>
        <w:t>Fuhrman</w:t>
      </w:r>
      <w:r>
        <w:rPr>
          <w:rFonts w:ascii="Times New Roman" w:hAnsi="Times New Roman" w:cs="Times New Roman"/>
          <w:sz w:val="28"/>
          <w:szCs w:val="28"/>
        </w:rPr>
        <w:t>,</w:t>
      </w:r>
      <w:r w:rsidRPr="009E6C7E">
        <w:rPr>
          <w:rFonts w:ascii="Times New Roman" w:hAnsi="Times New Roman" w:cs="Times New Roman"/>
          <w:sz w:val="28"/>
          <w:szCs w:val="28"/>
          <w:lang w:val="ru-RU"/>
        </w:rPr>
        <w:t xml:space="preserve"> </w:t>
      </w:r>
      <w:r w:rsidRPr="00702987">
        <w:rPr>
          <w:rFonts w:ascii="Times New Roman" w:hAnsi="Times New Roman" w:cs="Times New Roman"/>
          <w:sz w:val="28"/>
          <w:szCs w:val="28"/>
        </w:rPr>
        <w:t>на КТ-зображеннях до введення контрасту,</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ми спостерігали значно вищі значення ІС пухлини при низьких ступенях </w:t>
      </w:r>
      <w:r>
        <w:rPr>
          <w:rFonts w:ascii="Times New Roman" w:hAnsi="Times New Roman"/>
          <w:sz w:val="28"/>
          <w:szCs w:val="28"/>
        </w:rPr>
        <w:t xml:space="preserve">за </w:t>
      </w:r>
      <w:r>
        <w:rPr>
          <w:rFonts w:ascii="Times New Roman" w:hAnsi="Times New Roman" w:cs="Times New Roman"/>
          <w:sz w:val="28"/>
          <w:szCs w:val="28"/>
          <w:lang w:val="en-US"/>
        </w:rPr>
        <w:t>Fuhrman</w:t>
      </w:r>
      <w:r>
        <w:rPr>
          <w:rFonts w:ascii="Times New Roman" w:hAnsi="Times New Roman" w:cs="Times New Roman"/>
          <w:sz w:val="28"/>
          <w:szCs w:val="28"/>
        </w:rPr>
        <w:t xml:space="preserve"> у порівняні із високими, а середня променева щільність становила відповідно </w:t>
      </w:r>
      <w:r>
        <w:rPr>
          <w:rFonts w:ascii="Times New Roman" w:hAnsi="Times New Roman"/>
          <w:sz w:val="28"/>
          <w:szCs w:val="28"/>
        </w:rPr>
        <w:t>48,68</w:t>
      </w:r>
      <w:r>
        <w:rPr>
          <w:rFonts w:ascii="Times New Roman" w:hAnsi="Times New Roman" w:cs="Times New Roman"/>
          <w:sz w:val="28"/>
          <w:szCs w:val="28"/>
        </w:rPr>
        <w:t>±</w:t>
      </w:r>
      <w:r>
        <w:rPr>
          <w:rFonts w:ascii="Times New Roman" w:hAnsi="Times New Roman"/>
          <w:sz w:val="28"/>
          <w:szCs w:val="28"/>
        </w:rPr>
        <w:t xml:space="preserve">10,29 </w:t>
      </w:r>
      <w:r>
        <w:rPr>
          <w:rFonts w:ascii="Times New Roman" w:hAnsi="Times New Roman"/>
          <w:sz w:val="28"/>
          <w:szCs w:val="28"/>
          <w:lang w:val="en-US"/>
        </w:rPr>
        <w:t>HU</w:t>
      </w:r>
      <w:r>
        <w:rPr>
          <w:rFonts w:ascii="Times New Roman" w:hAnsi="Times New Roman"/>
          <w:sz w:val="28"/>
          <w:szCs w:val="28"/>
        </w:rPr>
        <w:t xml:space="preserve"> проти 33,33</w:t>
      </w:r>
      <w:r>
        <w:rPr>
          <w:rFonts w:ascii="Times New Roman" w:hAnsi="Times New Roman" w:cs="Times New Roman"/>
          <w:sz w:val="28"/>
          <w:szCs w:val="28"/>
        </w:rPr>
        <w:t>±</w:t>
      </w:r>
      <w:r>
        <w:rPr>
          <w:rFonts w:ascii="Times New Roman" w:hAnsi="Times New Roman"/>
          <w:sz w:val="28"/>
          <w:szCs w:val="28"/>
        </w:rPr>
        <w:t xml:space="preserve">3,37 </w:t>
      </w:r>
      <w:r>
        <w:rPr>
          <w:rFonts w:ascii="Times New Roman" w:hAnsi="Times New Roman"/>
          <w:sz w:val="28"/>
          <w:szCs w:val="28"/>
          <w:lang w:val="en-US"/>
        </w:rPr>
        <w:t>HU</w:t>
      </w:r>
      <w:r>
        <w:rPr>
          <w:rFonts w:ascii="Times New Roman" w:hAnsi="Times New Roman" w:cs="Times New Roman"/>
          <w:sz w:val="28"/>
          <w:szCs w:val="28"/>
        </w:rPr>
        <w:t xml:space="preserve"> (р</w:t>
      </w:r>
      <w:r w:rsidRPr="009E6C7E">
        <w:rPr>
          <w:rFonts w:ascii="Times New Roman" w:hAnsi="Times New Roman"/>
          <w:sz w:val="28"/>
          <w:szCs w:val="28"/>
          <w:lang w:val="ru-RU"/>
        </w:rPr>
        <w:t>&lt;0</w:t>
      </w:r>
      <w:r>
        <w:rPr>
          <w:rFonts w:ascii="Times New Roman" w:hAnsi="Times New Roman"/>
          <w:sz w:val="28"/>
          <w:szCs w:val="28"/>
        </w:rPr>
        <w:t xml:space="preserve">,001). Водночас, відмінностей між середніми значеннями ІС пНКР високого та низького ступенів за </w:t>
      </w:r>
      <w:r>
        <w:rPr>
          <w:rFonts w:ascii="Times New Roman" w:hAnsi="Times New Roman" w:cs="Times New Roman"/>
          <w:sz w:val="28"/>
          <w:szCs w:val="28"/>
          <w:lang w:val="en-US"/>
        </w:rPr>
        <w:t>Fuhrman</w:t>
      </w:r>
      <w:r>
        <w:rPr>
          <w:rFonts w:ascii="Times New Roman" w:hAnsi="Times New Roman" w:cs="Times New Roman"/>
          <w:sz w:val="28"/>
          <w:szCs w:val="28"/>
        </w:rPr>
        <w:t xml:space="preserve"> отримано не було (р</w:t>
      </w:r>
      <w:r w:rsidRPr="009E6C7E">
        <w:rPr>
          <w:rFonts w:ascii="Times New Roman" w:hAnsi="Times New Roman"/>
          <w:sz w:val="28"/>
          <w:szCs w:val="28"/>
          <w:lang w:val="ru-RU"/>
        </w:rPr>
        <w:t>=</w:t>
      </w:r>
      <w:r>
        <w:rPr>
          <w:rFonts w:ascii="Times New Roman" w:hAnsi="Times New Roman"/>
          <w:sz w:val="28"/>
          <w:szCs w:val="28"/>
        </w:rPr>
        <w:t xml:space="preserve">0,996). У зв’язку із доведеною відсутністю прогностичної ролі </w:t>
      </w:r>
      <w:r w:rsidR="00B02037">
        <w:rPr>
          <w:rFonts w:ascii="Times New Roman" w:hAnsi="Times New Roman"/>
          <w:sz w:val="28"/>
          <w:szCs w:val="28"/>
        </w:rPr>
        <w:t>ступеня</w:t>
      </w:r>
      <w:r>
        <w:rPr>
          <w:rFonts w:ascii="Times New Roman" w:hAnsi="Times New Roman"/>
          <w:sz w:val="28"/>
          <w:szCs w:val="28"/>
        </w:rPr>
        <w:t xml:space="preserve"> диференціації хрНКР, аналіз показників променевої щільності пухлини та інших променевих біомаркерів (як на основі КТ, так і МРТ) при різних ступенях диференціації даного гістологічного підтипу НКР тут та в подальшому ми не наводимо. Як і у випадку КТ-зображень пре-контрастної фази, значення ІС отримані з зображень КМФ при конвенційному НКР низького </w:t>
      </w:r>
      <w:r w:rsidR="00B02037">
        <w:rPr>
          <w:rFonts w:ascii="Times New Roman" w:hAnsi="Times New Roman"/>
          <w:sz w:val="28"/>
          <w:szCs w:val="28"/>
        </w:rPr>
        <w:t>ступеня</w:t>
      </w:r>
      <w:r>
        <w:rPr>
          <w:rFonts w:ascii="Times New Roman" w:hAnsi="Times New Roman"/>
          <w:sz w:val="28"/>
          <w:szCs w:val="28"/>
        </w:rPr>
        <w:t xml:space="preserve"> за </w:t>
      </w:r>
      <w:r>
        <w:rPr>
          <w:rFonts w:ascii="Times New Roman" w:hAnsi="Times New Roman"/>
          <w:sz w:val="28"/>
          <w:szCs w:val="28"/>
          <w:lang w:val="en-US"/>
        </w:rPr>
        <w:t>Fuhrman</w:t>
      </w:r>
      <w:r>
        <w:rPr>
          <w:rFonts w:ascii="Times New Roman" w:hAnsi="Times New Roman"/>
          <w:sz w:val="28"/>
          <w:szCs w:val="28"/>
        </w:rPr>
        <w:t xml:space="preserve"> мали вищі значення у порівнянні із низькими ступенями. При цьому, середні значення ІС скНКР високого та низького ступенів достовірно відрізнялись між собою і складали відповідно 123,97</w:t>
      </w:r>
      <w:r>
        <w:rPr>
          <w:rFonts w:ascii="Times New Roman" w:hAnsi="Times New Roman" w:cs="Times New Roman"/>
          <w:sz w:val="28"/>
          <w:szCs w:val="28"/>
        </w:rPr>
        <w:t>±</w:t>
      </w:r>
      <w:r>
        <w:rPr>
          <w:rFonts w:ascii="Times New Roman" w:hAnsi="Times New Roman"/>
          <w:sz w:val="28"/>
          <w:szCs w:val="28"/>
        </w:rPr>
        <w:t xml:space="preserve">25,0 </w:t>
      </w:r>
      <w:r>
        <w:rPr>
          <w:rFonts w:ascii="Times New Roman" w:hAnsi="Times New Roman"/>
          <w:sz w:val="28"/>
          <w:szCs w:val="28"/>
          <w:lang w:val="en-US"/>
        </w:rPr>
        <w:t>HU</w:t>
      </w:r>
      <w:r>
        <w:rPr>
          <w:rFonts w:ascii="Times New Roman" w:hAnsi="Times New Roman"/>
          <w:sz w:val="28"/>
          <w:szCs w:val="28"/>
        </w:rPr>
        <w:t xml:space="preserve"> та 90,13</w:t>
      </w:r>
      <w:r>
        <w:rPr>
          <w:rFonts w:ascii="Times New Roman" w:hAnsi="Times New Roman" w:cs="Times New Roman"/>
          <w:sz w:val="28"/>
          <w:szCs w:val="28"/>
        </w:rPr>
        <w:t>±</w:t>
      </w:r>
      <w:r>
        <w:rPr>
          <w:rFonts w:ascii="Times New Roman" w:hAnsi="Times New Roman"/>
          <w:sz w:val="28"/>
          <w:szCs w:val="28"/>
        </w:rPr>
        <w:t xml:space="preserve">17,22 </w:t>
      </w:r>
      <w:r>
        <w:rPr>
          <w:rFonts w:ascii="Times New Roman" w:hAnsi="Times New Roman"/>
          <w:sz w:val="28"/>
          <w:szCs w:val="28"/>
          <w:lang w:val="en-US"/>
        </w:rPr>
        <w:t>HU</w:t>
      </w:r>
      <w:r w:rsidRPr="009E6C7E">
        <w:rPr>
          <w:rFonts w:ascii="Times New Roman" w:hAnsi="Times New Roman"/>
          <w:sz w:val="28"/>
          <w:szCs w:val="28"/>
        </w:rPr>
        <w:t xml:space="preserve"> </w:t>
      </w:r>
      <w:r>
        <w:rPr>
          <w:rFonts w:ascii="Times New Roman" w:hAnsi="Times New Roman"/>
          <w:sz w:val="28"/>
          <w:szCs w:val="28"/>
        </w:rPr>
        <w:t>(р</w:t>
      </w:r>
      <w:r w:rsidRPr="009E6C7E">
        <w:rPr>
          <w:rFonts w:ascii="Times New Roman" w:hAnsi="Times New Roman"/>
          <w:sz w:val="28"/>
          <w:szCs w:val="28"/>
        </w:rPr>
        <w:t>&lt;0</w:t>
      </w:r>
      <w:r>
        <w:rPr>
          <w:rFonts w:ascii="Times New Roman" w:hAnsi="Times New Roman"/>
          <w:sz w:val="28"/>
          <w:szCs w:val="28"/>
        </w:rPr>
        <w:t xml:space="preserve">,001). </w:t>
      </w:r>
    </w:p>
    <w:p w:rsidR="00FA5DA4" w:rsidRDefault="00FA5DA4" w:rsidP="009C1018">
      <w:pPr>
        <w:spacing w:line="360" w:lineRule="auto"/>
        <w:ind w:firstLine="708"/>
        <w:jc w:val="both"/>
        <w:rPr>
          <w:rFonts w:ascii="Times New Roman" w:hAnsi="Times New Roman"/>
          <w:sz w:val="28"/>
          <w:szCs w:val="28"/>
        </w:rPr>
      </w:pPr>
      <w:r>
        <w:rPr>
          <w:rFonts w:ascii="Times New Roman" w:hAnsi="Times New Roman"/>
          <w:sz w:val="28"/>
          <w:szCs w:val="28"/>
        </w:rPr>
        <w:lastRenderedPageBreak/>
        <w:t xml:space="preserve">Водночас, достовірної різниці між середніми значеннями ІС пНКР низького та високого ступенями за </w:t>
      </w:r>
      <w:r>
        <w:rPr>
          <w:rFonts w:ascii="Times New Roman" w:hAnsi="Times New Roman"/>
          <w:sz w:val="28"/>
          <w:szCs w:val="28"/>
          <w:lang w:val="en-US"/>
        </w:rPr>
        <w:t>Fuhrman</w:t>
      </w:r>
      <w:r>
        <w:rPr>
          <w:rFonts w:ascii="Times New Roman" w:hAnsi="Times New Roman"/>
          <w:sz w:val="28"/>
          <w:szCs w:val="28"/>
        </w:rPr>
        <w:t xml:space="preserve"> нами не спостерігалось (р=</w:t>
      </w:r>
      <w:r w:rsidRPr="00055FD4">
        <w:rPr>
          <w:rFonts w:ascii="Times New Roman" w:hAnsi="Times New Roman"/>
          <w:sz w:val="28"/>
          <w:szCs w:val="28"/>
        </w:rPr>
        <w:t xml:space="preserve"> </w:t>
      </w:r>
      <w:r>
        <w:rPr>
          <w:rFonts w:ascii="Times New Roman" w:hAnsi="Times New Roman"/>
          <w:sz w:val="28"/>
          <w:szCs w:val="28"/>
        </w:rPr>
        <w:t xml:space="preserve">0,908). Аналізуючи показники ІС пухлини на зображеннях НФ в підгрупах із конвенційним НКР низького та високого ступенів за </w:t>
      </w:r>
      <w:r>
        <w:rPr>
          <w:rFonts w:ascii="Times New Roman" w:hAnsi="Times New Roman"/>
          <w:sz w:val="28"/>
          <w:szCs w:val="28"/>
          <w:lang w:val="en-US"/>
        </w:rPr>
        <w:t>Fuhrman</w:t>
      </w:r>
      <w:r>
        <w:rPr>
          <w:rFonts w:ascii="Times New Roman" w:hAnsi="Times New Roman"/>
          <w:sz w:val="28"/>
          <w:szCs w:val="28"/>
        </w:rPr>
        <w:t>, у підгрупі із низьким ступенем було виявлено достовірно вищі середні значення променевої щільності пухлини (</w:t>
      </w:r>
      <w:r w:rsidRPr="009E6C7E">
        <w:rPr>
          <w:rFonts w:ascii="Times New Roman" w:hAnsi="Times New Roman"/>
          <w:sz w:val="28"/>
          <w:szCs w:val="28"/>
        </w:rPr>
        <w:t>100,96</w:t>
      </w:r>
      <w:r>
        <w:rPr>
          <w:rFonts w:ascii="Times New Roman" w:hAnsi="Times New Roman" w:cs="Times New Roman"/>
          <w:sz w:val="28"/>
          <w:szCs w:val="28"/>
        </w:rPr>
        <w:t>±</w:t>
      </w:r>
      <w:r>
        <w:rPr>
          <w:rFonts w:ascii="Times New Roman" w:hAnsi="Times New Roman"/>
          <w:sz w:val="28"/>
          <w:szCs w:val="28"/>
        </w:rPr>
        <w:t xml:space="preserve">6,97 </w:t>
      </w:r>
      <w:r>
        <w:rPr>
          <w:rFonts w:ascii="Times New Roman" w:hAnsi="Times New Roman"/>
          <w:sz w:val="28"/>
          <w:szCs w:val="28"/>
          <w:lang w:val="en-US"/>
        </w:rPr>
        <w:t>HU</w:t>
      </w:r>
      <w:r w:rsidRPr="009E6C7E">
        <w:rPr>
          <w:rFonts w:ascii="Times New Roman" w:hAnsi="Times New Roman"/>
          <w:sz w:val="28"/>
          <w:szCs w:val="28"/>
        </w:rPr>
        <w:t xml:space="preserve">) </w:t>
      </w:r>
      <w:r>
        <w:rPr>
          <w:rFonts w:ascii="Times New Roman" w:hAnsi="Times New Roman"/>
          <w:sz w:val="28"/>
          <w:szCs w:val="28"/>
        </w:rPr>
        <w:t>у порівнянні із високим ступенем (74,83</w:t>
      </w:r>
      <w:r>
        <w:rPr>
          <w:rFonts w:ascii="Times New Roman" w:hAnsi="Times New Roman" w:cs="Times New Roman"/>
          <w:sz w:val="28"/>
          <w:szCs w:val="28"/>
        </w:rPr>
        <w:t>±</w:t>
      </w:r>
      <w:r>
        <w:rPr>
          <w:rFonts w:ascii="Times New Roman" w:hAnsi="Times New Roman"/>
          <w:sz w:val="28"/>
          <w:szCs w:val="28"/>
        </w:rPr>
        <w:t xml:space="preserve">12,76 </w:t>
      </w:r>
      <w:r>
        <w:rPr>
          <w:rFonts w:ascii="Times New Roman" w:hAnsi="Times New Roman"/>
          <w:sz w:val="28"/>
          <w:szCs w:val="28"/>
          <w:lang w:val="en-US"/>
        </w:rPr>
        <w:t>HU</w:t>
      </w:r>
      <w:r w:rsidRPr="009E6C7E">
        <w:rPr>
          <w:rFonts w:ascii="Times New Roman" w:hAnsi="Times New Roman"/>
          <w:sz w:val="28"/>
          <w:szCs w:val="28"/>
        </w:rPr>
        <w:t>)</w:t>
      </w:r>
      <w:r>
        <w:rPr>
          <w:rFonts w:ascii="Times New Roman" w:hAnsi="Times New Roman"/>
          <w:sz w:val="28"/>
          <w:szCs w:val="28"/>
        </w:rPr>
        <w:t>, р&lt;0,001. Проте, як і раніше, нами не було знайдено суттєвих відмінностей у показниках променевої щільності пухлини в підгрупах з пНКР</w:t>
      </w:r>
      <w:r w:rsidRPr="002623F3">
        <w:rPr>
          <w:rFonts w:ascii="Times New Roman" w:hAnsi="Times New Roman"/>
          <w:sz w:val="28"/>
          <w:szCs w:val="28"/>
        </w:rPr>
        <w:t xml:space="preserve"> </w:t>
      </w:r>
      <w:r>
        <w:rPr>
          <w:rFonts w:ascii="Times New Roman" w:hAnsi="Times New Roman"/>
          <w:sz w:val="28"/>
          <w:szCs w:val="28"/>
        </w:rPr>
        <w:t xml:space="preserve">низького та високого ступенів за </w:t>
      </w:r>
      <w:r>
        <w:rPr>
          <w:rFonts w:ascii="Times New Roman" w:hAnsi="Times New Roman"/>
          <w:sz w:val="28"/>
          <w:szCs w:val="28"/>
          <w:lang w:val="en-US"/>
        </w:rPr>
        <w:t>Fuhrman</w:t>
      </w:r>
      <w:r>
        <w:rPr>
          <w:rFonts w:ascii="Times New Roman" w:hAnsi="Times New Roman"/>
          <w:sz w:val="28"/>
          <w:szCs w:val="28"/>
        </w:rPr>
        <w:t xml:space="preserve"> (р=0,976). На відміну від інших фаз КТ середні значення променевої щільності скНКР низького та високого ступенів за </w:t>
      </w:r>
      <w:r>
        <w:rPr>
          <w:rFonts w:ascii="Times New Roman" w:hAnsi="Times New Roman"/>
          <w:sz w:val="28"/>
          <w:szCs w:val="28"/>
          <w:lang w:val="en-US"/>
        </w:rPr>
        <w:t>Fuhrman</w:t>
      </w:r>
      <w:r w:rsidRPr="009E6C7E">
        <w:rPr>
          <w:rFonts w:ascii="Times New Roman" w:hAnsi="Times New Roman"/>
          <w:sz w:val="28"/>
          <w:szCs w:val="28"/>
        </w:rPr>
        <w:t xml:space="preserve"> </w:t>
      </w:r>
      <w:r>
        <w:rPr>
          <w:rFonts w:ascii="Times New Roman" w:hAnsi="Times New Roman"/>
          <w:sz w:val="28"/>
          <w:szCs w:val="28"/>
        </w:rPr>
        <w:t xml:space="preserve">на зображеннях ЕФ не мали між собою статистично достовірної різниці (р=0,164). Середні показники ІС папілярного НКР низького та високого ступенів за </w:t>
      </w:r>
      <w:r>
        <w:rPr>
          <w:rFonts w:ascii="Times New Roman" w:hAnsi="Times New Roman"/>
          <w:sz w:val="28"/>
          <w:szCs w:val="28"/>
          <w:lang w:val="en-US"/>
        </w:rPr>
        <w:t>Fuhrman</w:t>
      </w:r>
      <w:r>
        <w:rPr>
          <w:rFonts w:ascii="Times New Roman" w:hAnsi="Times New Roman"/>
          <w:sz w:val="28"/>
          <w:szCs w:val="28"/>
        </w:rPr>
        <w:t xml:space="preserve"> також суттєво між собою не відрі</w:t>
      </w:r>
      <w:r w:rsidR="009C1018">
        <w:rPr>
          <w:rFonts w:ascii="Times New Roman" w:hAnsi="Times New Roman"/>
          <w:sz w:val="28"/>
          <w:szCs w:val="28"/>
        </w:rPr>
        <w:t>знялись (р=0,999), рисунок 3.5.</w:t>
      </w:r>
    </w:p>
    <w:p w:rsidR="009C1018" w:rsidRDefault="009C1018" w:rsidP="009C1018">
      <w:pPr>
        <w:spacing w:line="360" w:lineRule="auto"/>
        <w:ind w:firstLine="708"/>
        <w:jc w:val="both"/>
        <w:rPr>
          <w:rFonts w:ascii="Times New Roman" w:hAnsi="Times New Roman"/>
          <w:sz w:val="28"/>
          <w:szCs w:val="28"/>
        </w:rPr>
      </w:pPr>
    </w:p>
    <w:p w:rsidR="00FA5DA4" w:rsidRPr="00621198" w:rsidRDefault="00FA5DA4" w:rsidP="00FA5DA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A279B60" wp14:editId="2C8071A4">
            <wp:extent cx="4054850" cy="3240000"/>
            <wp:effectExtent l="0" t="0" r="317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54850" cy="3240000"/>
                    </a:xfrm>
                    <a:prstGeom prst="rect">
                      <a:avLst/>
                    </a:prstGeom>
                    <a:noFill/>
                    <a:ln>
                      <a:noFill/>
                    </a:ln>
                  </pic:spPr>
                </pic:pic>
              </a:graphicData>
            </a:graphic>
          </wp:inline>
        </w:drawing>
      </w:r>
    </w:p>
    <w:p w:rsidR="00FA5DA4" w:rsidRPr="000325CD" w:rsidRDefault="00FA5DA4" w:rsidP="00FA5DA4">
      <w:pPr>
        <w:autoSpaceDE w:val="0"/>
        <w:autoSpaceDN w:val="0"/>
        <w:adjustRightInd w:val="0"/>
        <w:spacing w:after="0" w:line="360" w:lineRule="auto"/>
        <w:jc w:val="center"/>
        <w:rPr>
          <w:rFonts w:ascii="Times New Roman" w:hAnsi="Times New Roman"/>
          <w:sz w:val="28"/>
          <w:szCs w:val="28"/>
        </w:rPr>
      </w:pPr>
      <w:r>
        <w:rPr>
          <w:rFonts w:ascii="Times New Roman" w:hAnsi="Times New Roman" w:cs="Times New Roman"/>
          <w:sz w:val="28"/>
          <w:szCs w:val="28"/>
        </w:rPr>
        <w:t xml:space="preserve">Рис. 3.5. </w:t>
      </w:r>
      <w:r>
        <w:rPr>
          <w:rFonts w:ascii="Times New Roman" w:hAnsi="Times New Roman"/>
          <w:sz w:val="28"/>
          <w:szCs w:val="28"/>
        </w:rPr>
        <w:t xml:space="preserve">Коробкова діаграма променевої щільності світлоклітинного та папілярного НКР розміром до 4 см, низького та високого ступенів за </w:t>
      </w:r>
      <w:r>
        <w:rPr>
          <w:rFonts w:ascii="Times New Roman" w:hAnsi="Times New Roman"/>
          <w:sz w:val="28"/>
          <w:szCs w:val="28"/>
          <w:lang w:val="en-US"/>
        </w:rPr>
        <w:t>Fuhrman</w:t>
      </w:r>
      <w:r>
        <w:rPr>
          <w:rFonts w:ascii="Times New Roman" w:hAnsi="Times New Roman"/>
          <w:sz w:val="28"/>
          <w:szCs w:val="28"/>
        </w:rPr>
        <w:t>, нефрографічна фаза КТ</w:t>
      </w:r>
    </w:p>
    <w:p w:rsidR="009C1018" w:rsidRDefault="009C1018" w:rsidP="00FA5DA4">
      <w:pPr>
        <w:spacing w:line="360" w:lineRule="auto"/>
        <w:ind w:firstLine="708"/>
        <w:jc w:val="right"/>
        <w:rPr>
          <w:rFonts w:ascii="Times New Roman" w:hAnsi="Times New Roman"/>
          <w:sz w:val="28"/>
          <w:szCs w:val="28"/>
        </w:rPr>
      </w:pPr>
    </w:p>
    <w:p w:rsidR="00FA5DA4" w:rsidRDefault="00FA5DA4" w:rsidP="00FA5DA4">
      <w:pPr>
        <w:spacing w:line="360" w:lineRule="auto"/>
        <w:ind w:firstLine="708"/>
        <w:jc w:val="right"/>
        <w:rPr>
          <w:rFonts w:ascii="Times New Roman" w:hAnsi="Times New Roman"/>
          <w:sz w:val="28"/>
          <w:szCs w:val="28"/>
        </w:rPr>
      </w:pPr>
      <w:r w:rsidRPr="000325CD">
        <w:rPr>
          <w:rFonts w:ascii="Times New Roman" w:hAnsi="Times New Roman"/>
          <w:sz w:val="28"/>
          <w:szCs w:val="28"/>
        </w:rPr>
        <w:lastRenderedPageBreak/>
        <w:t>Таблиця</w:t>
      </w:r>
      <w:r w:rsidR="00B83560">
        <w:rPr>
          <w:rFonts w:ascii="Times New Roman" w:hAnsi="Times New Roman"/>
          <w:sz w:val="28"/>
          <w:szCs w:val="28"/>
        </w:rPr>
        <w:t xml:space="preserve"> 3.7</w:t>
      </w:r>
    </w:p>
    <w:p w:rsidR="00FA5DA4" w:rsidRDefault="00FA5DA4" w:rsidP="00FA5DA4">
      <w:pPr>
        <w:spacing w:line="360" w:lineRule="auto"/>
        <w:jc w:val="center"/>
        <w:rPr>
          <w:rFonts w:ascii="Times New Roman" w:hAnsi="Times New Roman"/>
          <w:sz w:val="28"/>
          <w:szCs w:val="28"/>
        </w:rPr>
      </w:pPr>
      <w:r>
        <w:rPr>
          <w:rFonts w:ascii="Times New Roman" w:hAnsi="Times New Roman"/>
          <w:sz w:val="28"/>
          <w:szCs w:val="28"/>
        </w:rPr>
        <w:t>Середня променева щільність</w:t>
      </w:r>
      <w:r w:rsidRPr="00477AA0">
        <w:rPr>
          <w:rFonts w:ascii="Times New Roman" w:hAnsi="Times New Roman"/>
          <w:sz w:val="28"/>
          <w:szCs w:val="28"/>
        </w:rPr>
        <w:t xml:space="preserve"> </w:t>
      </w:r>
      <w:r>
        <w:rPr>
          <w:rFonts w:ascii="Times New Roman" w:hAnsi="Times New Roman"/>
          <w:sz w:val="28"/>
          <w:szCs w:val="28"/>
        </w:rPr>
        <w:t>пухлини на</w:t>
      </w:r>
      <w:r w:rsidRPr="009E6C7E">
        <w:rPr>
          <w:rFonts w:ascii="Times New Roman" w:hAnsi="Times New Roman"/>
          <w:sz w:val="28"/>
          <w:szCs w:val="28"/>
          <w:lang w:val="ru-RU"/>
        </w:rPr>
        <w:t xml:space="preserve"> </w:t>
      </w:r>
      <w:r>
        <w:rPr>
          <w:rFonts w:ascii="Times New Roman" w:hAnsi="Times New Roman"/>
          <w:sz w:val="28"/>
          <w:szCs w:val="28"/>
        </w:rPr>
        <w:t xml:space="preserve">КТ-зображеннях різних фаз при скНКР високого та низького ступенів за </w:t>
      </w:r>
      <w:r>
        <w:rPr>
          <w:rFonts w:ascii="Times New Roman" w:hAnsi="Times New Roman"/>
          <w:sz w:val="28"/>
          <w:szCs w:val="28"/>
          <w:lang w:val="en-US"/>
        </w:rPr>
        <w:t>Fuhrman</w:t>
      </w:r>
      <w:r>
        <w:rPr>
          <w:rFonts w:ascii="Times New Roman" w:hAnsi="Times New Roman"/>
          <w:sz w:val="28"/>
          <w:szCs w:val="28"/>
        </w:rPr>
        <w:t xml:space="preserve"> розміром до 4 см </w:t>
      </w:r>
    </w:p>
    <w:tbl>
      <w:tblPr>
        <w:tblStyle w:val="TableGrid"/>
        <w:tblW w:w="9634" w:type="dxa"/>
        <w:tblLook w:val="04A0" w:firstRow="1" w:lastRow="0" w:firstColumn="1" w:lastColumn="0" w:noHBand="0" w:noVBand="1"/>
      </w:tblPr>
      <w:tblGrid>
        <w:gridCol w:w="1864"/>
        <w:gridCol w:w="1861"/>
        <w:gridCol w:w="1820"/>
        <w:gridCol w:w="2202"/>
        <w:gridCol w:w="1887"/>
      </w:tblGrid>
      <w:tr w:rsidR="00FA5DA4" w:rsidTr="001F0C51">
        <w:trPr>
          <w:trHeight w:val="322"/>
        </w:trPr>
        <w:tc>
          <w:tcPr>
            <w:tcW w:w="2054" w:type="dxa"/>
            <w:vMerge w:val="restart"/>
          </w:tcPr>
          <w:p w:rsidR="00FA5DA4" w:rsidRPr="00BD5837" w:rsidRDefault="00FA5DA4" w:rsidP="001F0C51">
            <w:pPr>
              <w:jc w:val="center"/>
              <w:rPr>
                <w:rFonts w:ascii="Times New Roman" w:hAnsi="Times New Roman"/>
                <w:b/>
                <w:sz w:val="28"/>
                <w:szCs w:val="28"/>
              </w:rPr>
            </w:pPr>
            <w:r>
              <w:rPr>
                <w:rFonts w:ascii="Times New Roman" w:hAnsi="Times New Roman"/>
                <w:b/>
                <w:sz w:val="28"/>
                <w:szCs w:val="28"/>
              </w:rPr>
              <w:t>Підг</w:t>
            </w:r>
            <w:r w:rsidRPr="00BD5837">
              <w:rPr>
                <w:rFonts w:ascii="Times New Roman" w:hAnsi="Times New Roman"/>
                <w:b/>
                <w:sz w:val="28"/>
                <w:szCs w:val="28"/>
              </w:rPr>
              <w:t>рупа</w:t>
            </w:r>
          </w:p>
        </w:tc>
        <w:tc>
          <w:tcPr>
            <w:tcW w:w="7580" w:type="dxa"/>
            <w:gridSpan w:val="4"/>
          </w:tcPr>
          <w:p w:rsidR="00FA5DA4" w:rsidRDefault="00FA5DA4" w:rsidP="001F0C51">
            <w:pPr>
              <w:jc w:val="center"/>
              <w:rPr>
                <w:rFonts w:ascii="Times New Roman" w:hAnsi="Times New Roman"/>
                <w:b/>
                <w:sz w:val="28"/>
                <w:szCs w:val="28"/>
              </w:rPr>
            </w:pPr>
            <w:r>
              <w:rPr>
                <w:rFonts w:ascii="Times New Roman" w:hAnsi="Times New Roman"/>
                <w:b/>
                <w:sz w:val="28"/>
                <w:szCs w:val="28"/>
              </w:rPr>
              <w:t>Фаза КТ</w:t>
            </w:r>
          </w:p>
        </w:tc>
      </w:tr>
      <w:tr w:rsidR="00FA5DA4" w:rsidTr="001F0C51">
        <w:trPr>
          <w:trHeight w:val="654"/>
        </w:trPr>
        <w:tc>
          <w:tcPr>
            <w:tcW w:w="2054" w:type="dxa"/>
            <w:vMerge/>
            <w:tcBorders>
              <w:bottom w:val="single" w:sz="4" w:space="0" w:color="auto"/>
            </w:tcBorders>
          </w:tcPr>
          <w:p w:rsidR="00FA5DA4" w:rsidRPr="00BD5837" w:rsidRDefault="00FA5DA4" w:rsidP="001F0C51">
            <w:pPr>
              <w:jc w:val="center"/>
              <w:rPr>
                <w:rFonts w:ascii="Times New Roman" w:hAnsi="Times New Roman"/>
                <w:b/>
                <w:sz w:val="28"/>
                <w:szCs w:val="28"/>
              </w:rPr>
            </w:pPr>
          </w:p>
        </w:tc>
        <w:tc>
          <w:tcPr>
            <w:tcW w:w="1895"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 xml:space="preserve">Пре-контрастні зображення, </w:t>
            </w:r>
            <w:r>
              <w:rPr>
                <w:rFonts w:ascii="Times New Roman" w:hAnsi="Times New Roman"/>
                <w:b/>
                <w:sz w:val="28"/>
                <w:szCs w:val="28"/>
                <w:lang w:val="en-US"/>
              </w:rPr>
              <w:t>HU</w:t>
            </w:r>
          </w:p>
        </w:tc>
        <w:tc>
          <w:tcPr>
            <w:tcW w:w="1895"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 xml:space="preserve">Кортико-медулярна фаза, </w:t>
            </w:r>
            <w:r>
              <w:rPr>
                <w:rFonts w:ascii="Times New Roman" w:hAnsi="Times New Roman"/>
                <w:b/>
                <w:sz w:val="28"/>
                <w:szCs w:val="28"/>
                <w:lang w:val="en-US"/>
              </w:rPr>
              <w:t>HU</w:t>
            </w:r>
          </w:p>
        </w:tc>
        <w:tc>
          <w:tcPr>
            <w:tcW w:w="1895" w:type="dxa"/>
            <w:tcBorders>
              <w:bottom w:val="single" w:sz="4" w:space="0" w:color="auto"/>
            </w:tcBorders>
          </w:tcPr>
          <w:p w:rsidR="00FA5DA4" w:rsidRPr="006E76F3" w:rsidRDefault="00FA5DA4" w:rsidP="001F0C51">
            <w:pPr>
              <w:jc w:val="center"/>
              <w:rPr>
                <w:rFonts w:ascii="Times New Roman" w:hAnsi="Times New Roman"/>
                <w:b/>
                <w:sz w:val="28"/>
                <w:szCs w:val="28"/>
                <w:lang w:val="en-US"/>
              </w:rPr>
            </w:pPr>
            <w:r>
              <w:rPr>
                <w:rFonts w:ascii="Times New Roman" w:hAnsi="Times New Roman"/>
                <w:b/>
                <w:sz w:val="28"/>
                <w:szCs w:val="28"/>
              </w:rPr>
              <w:t xml:space="preserve">Нефрографічна фаза, </w:t>
            </w:r>
            <w:r>
              <w:rPr>
                <w:rFonts w:ascii="Times New Roman" w:hAnsi="Times New Roman"/>
                <w:b/>
                <w:sz w:val="28"/>
                <w:szCs w:val="28"/>
                <w:lang w:val="en-US"/>
              </w:rPr>
              <w:t>HU</w:t>
            </w:r>
          </w:p>
        </w:tc>
        <w:tc>
          <w:tcPr>
            <w:tcW w:w="1895" w:type="dxa"/>
            <w:tcBorders>
              <w:bottom w:val="single" w:sz="4" w:space="0" w:color="auto"/>
            </w:tcBorders>
          </w:tcPr>
          <w:p w:rsidR="00FA5DA4" w:rsidRPr="00BD5837" w:rsidRDefault="00FA5DA4" w:rsidP="001F0C51">
            <w:pPr>
              <w:jc w:val="center"/>
              <w:rPr>
                <w:rFonts w:ascii="Times New Roman" w:hAnsi="Times New Roman"/>
                <w:b/>
                <w:sz w:val="28"/>
                <w:szCs w:val="28"/>
              </w:rPr>
            </w:pPr>
            <w:r>
              <w:rPr>
                <w:rFonts w:ascii="Times New Roman" w:hAnsi="Times New Roman"/>
                <w:b/>
                <w:sz w:val="28"/>
                <w:szCs w:val="28"/>
              </w:rPr>
              <w:t xml:space="preserve">Екскреторна фаза, </w:t>
            </w:r>
            <w:r>
              <w:rPr>
                <w:rFonts w:ascii="Times New Roman" w:hAnsi="Times New Roman"/>
                <w:b/>
                <w:sz w:val="28"/>
                <w:szCs w:val="28"/>
                <w:lang w:val="en-US"/>
              </w:rPr>
              <w:t>HU</w:t>
            </w:r>
          </w:p>
        </w:tc>
      </w:tr>
      <w:tr w:rsidR="00FA5DA4" w:rsidTr="001F0C51">
        <w:trPr>
          <w:trHeight w:val="182"/>
        </w:trPr>
        <w:tc>
          <w:tcPr>
            <w:tcW w:w="2054" w:type="dxa"/>
          </w:tcPr>
          <w:p w:rsidR="00FA5DA4" w:rsidRPr="00841F39" w:rsidRDefault="00FA5DA4" w:rsidP="001F0C51">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низький ступінь </w:t>
            </w:r>
            <w:r>
              <w:rPr>
                <w:rFonts w:ascii="Times New Roman" w:hAnsi="Times New Roman"/>
                <w:b/>
                <w:sz w:val="28"/>
                <w:szCs w:val="28"/>
                <w:lang w:val="en-US"/>
              </w:rPr>
              <w:t>n=</w:t>
            </w:r>
            <w:r>
              <w:rPr>
                <w:rFonts w:ascii="Times New Roman" w:hAnsi="Times New Roman"/>
                <w:b/>
                <w:sz w:val="28"/>
                <w:szCs w:val="28"/>
              </w:rPr>
              <w:t>26</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48,68</w:t>
            </w:r>
            <w:r>
              <w:rPr>
                <w:rFonts w:ascii="Times New Roman" w:hAnsi="Times New Roman" w:cs="Times New Roman"/>
                <w:sz w:val="28"/>
                <w:szCs w:val="28"/>
              </w:rPr>
              <w:t>±</w:t>
            </w:r>
            <w:r>
              <w:rPr>
                <w:rFonts w:ascii="Times New Roman" w:hAnsi="Times New Roman"/>
                <w:sz w:val="28"/>
                <w:szCs w:val="28"/>
              </w:rPr>
              <w:t>10,29</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123,97</w:t>
            </w:r>
            <w:r>
              <w:rPr>
                <w:rFonts w:ascii="Times New Roman" w:hAnsi="Times New Roman" w:cs="Times New Roman"/>
                <w:sz w:val="28"/>
                <w:szCs w:val="28"/>
              </w:rPr>
              <w:t>±</w:t>
            </w:r>
            <w:r>
              <w:rPr>
                <w:rFonts w:ascii="Times New Roman" w:hAnsi="Times New Roman"/>
                <w:sz w:val="28"/>
                <w:szCs w:val="28"/>
              </w:rPr>
              <w:t>25,0</w:t>
            </w:r>
          </w:p>
        </w:tc>
        <w:tc>
          <w:tcPr>
            <w:tcW w:w="1895" w:type="dxa"/>
          </w:tcPr>
          <w:p w:rsidR="00FA5DA4" w:rsidRPr="00621198" w:rsidRDefault="00FA5DA4" w:rsidP="001F0C51">
            <w:pPr>
              <w:jc w:val="center"/>
              <w:rPr>
                <w:rFonts w:ascii="Times New Roman" w:hAnsi="Times New Roman"/>
                <w:sz w:val="28"/>
                <w:szCs w:val="28"/>
              </w:rPr>
            </w:pPr>
            <w:r>
              <w:rPr>
                <w:rFonts w:ascii="Times New Roman" w:hAnsi="Times New Roman"/>
                <w:sz w:val="28"/>
                <w:szCs w:val="28"/>
                <w:lang w:val="en-US"/>
              </w:rPr>
              <w:t>100,96</w:t>
            </w:r>
            <w:r>
              <w:rPr>
                <w:rFonts w:ascii="Times New Roman" w:hAnsi="Times New Roman" w:cs="Times New Roman"/>
                <w:sz w:val="28"/>
                <w:szCs w:val="28"/>
              </w:rPr>
              <w:t>±</w:t>
            </w:r>
            <w:r>
              <w:rPr>
                <w:rFonts w:ascii="Times New Roman" w:hAnsi="Times New Roman"/>
                <w:sz w:val="28"/>
                <w:szCs w:val="28"/>
              </w:rPr>
              <w:t>6,97</w:t>
            </w:r>
          </w:p>
        </w:tc>
        <w:tc>
          <w:tcPr>
            <w:tcW w:w="1895" w:type="dxa"/>
          </w:tcPr>
          <w:p w:rsidR="00FA5DA4" w:rsidRPr="00621198" w:rsidRDefault="00FA5DA4" w:rsidP="001F0C51">
            <w:pPr>
              <w:jc w:val="center"/>
              <w:rPr>
                <w:rFonts w:ascii="Times New Roman" w:hAnsi="Times New Roman"/>
                <w:sz w:val="28"/>
                <w:szCs w:val="28"/>
              </w:rPr>
            </w:pPr>
            <w:r>
              <w:rPr>
                <w:rFonts w:ascii="Times New Roman" w:hAnsi="Times New Roman"/>
                <w:sz w:val="28"/>
                <w:szCs w:val="28"/>
              </w:rPr>
              <w:t>78,48</w:t>
            </w:r>
            <w:r>
              <w:rPr>
                <w:rFonts w:ascii="Times New Roman" w:hAnsi="Times New Roman" w:cs="Times New Roman"/>
                <w:sz w:val="28"/>
                <w:szCs w:val="28"/>
              </w:rPr>
              <w:t>±</w:t>
            </w:r>
            <w:r>
              <w:rPr>
                <w:rFonts w:ascii="Times New Roman" w:hAnsi="Times New Roman"/>
                <w:sz w:val="28"/>
                <w:szCs w:val="28"/>
              </w:rPr>
              <w:t>12,94</w:t>
            </w:r>
          </w:p>
        </w:tc>
      </w:tr>
      <w:tr w:rsidR="00FA5DA4" w:rsidTr="001F0C51">
        <w:tc>
          <w:tcPr>
            <w:tcW w:w="2054" w:type="dxa"/>
          </w:tcPr>
          <w:p w:rsidR="00FA5DA4" w:rsidRPr="00841F39" w:rsidRDefault="00FA5DA4" w:rsidP="001F0C51">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високий ступінь, </w:t>
            </w:r>
            <w:r>
              <w:rPr>
                <w:rFonts w:ascii="Times New Roman" w:hAnsi="Times New Roman"/>
                <w:b/>
                <w:sz w:val="28"/>
                <w:szCs w:val="28"/>
                <w:lang w:val="en-US"/>
              </w:rPr>
              <w:t>n=</w:t>
            </w:r>
            <w:r>
              <w:rPr>
                <w:rFonts w:ascii="Times New Roman" w:hAnsi="Times New Roman"/>
                <w:b/>
                <w:sz w:val="28"/>
                <w:szCs w:val="28"/>
              </w:rPr>
              <w:t>22</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33,33</w:t>
            </w:r>
            <w:r>
              <w:rPr>
                <w:rFonts w:ascii="Times New Roman" w:hAnsi="Times New Roman" w:cs="Times New Roman"/>
                <w:sz w:val="28"/>
                <w:szCs w:val="28"/>
              </w:rPr>
              <w:t>±</w:t>
            </w:r>
            <w:r>
              <w:rPr>
                <w:rFonts w:ascii="Times New Roman" w:hAnsi="Times New Roman"/>
                <w:sz w:val="28"/>
                <w:szCs w:val="28"/>
              </w:rPr>
              <w:t>3,37</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90,13</w:t>
            </w:r>
            <w:r>
              <w:rPr>
                <w:rFonts w:ascii="Times New Roman" w:hAnsi="Times New Roman" w:cs="Times New Roman"/>
                <w:sz w:val="28"/>
                <w:szCs w:val="28"/>
              </w:rPr>
              <w:t>±</w:t>
            </w:r>
            <w:r>
              <w:rPr>
                <w:rFonts w:ascii="Times New Roman" w:hAnsi="Times New Roman"/>
                <w:sz w:val="28"/>
                <w:szCs w:val="28"/>
              </w:rPr>
              <w:t>17,22</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74,83</w:t>
            </w:r>
            <w:r>
              <w:rPr>
                <w:rFonts w:ascii="Times New Roman" w:hAnsi="Times New Roman" w:cs="Times New Roman"/>
                <w:sz w:val="28"/>
                <w:szCs w:val="28"/>
              </w:rPr>
              <w:t>±</w:t>
            </w:r>
            <w:r>
              <w:rPr>
                <w:rFonts w:ascii="Times New Roman" w:hAnsi="Times New Roman"/>
                <w:sz w:val="28"/>
                <w:szCs w:val="28"/>
              </w:rPr>
              <w:t>12,76</w:t>
            </w:r>
          </w:p>
        </w:tc>
        <w:tc>
          <w:tcPr>
            <w:tcW w:w="1895" w:type="dxa"/>
          </w:tcPr>
          <w:p w:rsidR="00FA5DA4" w:rsidRPr="006E76F3" w:rsidRDefault="00FA5DA4" w:rsidP="001F0C51">
            <w:pPr>
              <w:jc w:val="center"/>
              <w:rPr>
                <w:rFonts w:ascii="Times New Roman" w:hAnsi="Times New Roman"/>
                <w:sz w:val="28"/>
                <w:szCs w:val="28"/>
              </w:rPr>
            </w:pPr>
            <w:r>
              <w:rPr>
                <w:rFonts w:ascii="Times New Roman" w:hAnsi="Times New Roman"/>
                <w:sz w:val="28"/>
                <w:szCs w:val="28"/>
              </w:rPr>
              <w:t>71,65</w:t>
            </w:r>
            <w:r>
              <w:rPr>
                <w:rFonts w:ascii="Times New Roman" w:hAnsi="Times New Roman" w:cs="Times New Roman"/>
                <w:sz w:val="28"/>
                <w:szCs w:val="28"/>
              </w:rPr>
              <w:t>±</w:t>
            </w:r>
            <w:r>
              <w:rPr>
                <w:rFonts w:ascii="Times New Roman" w:hAnsi="Times New Roman"/>
                <w:sz w:val="28"/>
                <w:szCs w:val="28"/>
              </w:rPr>
              <w:t>11,69</w:t>
            </w:r>
          </w:p>
        </w:tc>
      </w:tr>
      <w:tr w:rsidR="00FA5DA4" w:rsidTr="001F0C51">
        <w:tc>
          <w:tcPr>
            <w:tcW w:w="2054" w:type="dxa"/>
          </w:tcPr>
          <w:p w:rsidR="00FA5DA4" w:rsidRPr="006E76F3" w:rsidRDefault="00FA5DA4" w:rsidP="001F0C51">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895" w:type="dxa"/>
          </w:tcPr>
          <w:p w:rsidR="00FA5DA4" w:rsidRPr="00E764F9" w:rsidRDefault="00FA5DA4" w:rsidP="001F0C51">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c>
          <w:tcPr>
            <w:tcW w:w="1895" w:type="dxa"/>
          </w:tcPr>
          <w:p w:rsidR="00FA5DA4" w:rsidRPr="009B304D" w:rsidRDefault="00FA5DA4" w:rsidP="001F0C51">
            <w:pPr>
              <w:jc w:val="center"/>
              <w:rPr>
                <w:rFonts w:ascii="Times New Roman" w:hAnsi="Times New Roman"/>
                <w:sz w:val="28"/>
                <w:szCs w:val="28"/>
              </w:rPr>
            </w:pPr>
            <w:r>
              <w:rPr>
                <w:rFonts w:ascii="Times New Roman" w:hAnsi="Times New Roman"/>
                <w:sz w:val="28"/>
                <w:szCs w:val="28"/>
                <w:lang w:val="en-US"/>
              </w:rPr>
              <w:t>&lt;0</w:t>
            </w:r>
            <w:r>
              <w:rPr>
                <w:rFonts w:ascii="Times New Roman" w:hAnsi="Times New Roman"/>
                <w:sz w:val="28"/>
                <w:szCs w:val="28"/>
              </w:rPr>
              <w:t>,001</w:t>
            </w:r>
          </w:p>
        </w:tc>
        <w:tc>
          <w:tcPr>
            <w:tcW w:w="1895" w:type="dxa"/>
          </w:tcPr>
          <w:p w:rsidR="00FA5DA4" w:rsidRPr="00621198" w:rsidRDefault="00FA5DA4" w:rsidP="001F0C51">
            <w:pPr>
              <w:jc w:val="center"/>
              <w:rPr>
                <w:rFonts w:ascii="Times New Roman" w:hAnsi="Times New Roman"/>
                <w:sz w:val="28"/>
                <w:szCs w:val="28"/>
                <w:lang w:val="en-US"/>
              </w:rPr>
            </w:pPr>
            <w:r>
              <w:rPr>
                <w:rFonts w:ascii="Times New Roman" w:hAnsi="Times New Roman"/>
                <w:sz w:val="28"/>
                <w:szCs w:val="28"/>
              </w:rPr>
              <w:t>&lt;0,001</w:t>
            </w:r>
          </w:p>
        </w:tc>
        <w:tc>
          <w:tcPr>
            <w:tcW w:w="1895" w:type="dxa"/>
          </w:tcPr>
          <w:p w:rsidR="00FA5DA4" w:rsidRPr="001822F3" w:rsidRDefault="00FA5DA4" w:rsidP="001F0C51">
            <w:pPr>
              <w:jc w:val="center"/>
              <w:rPr>
                <w:rFonts w:ascii="Times New Roman" w:hAnsi="Times New Roman"/>
                <w:sz w:val="28"/>
                <w:szCs w:val="28"/>
              </w:rPr>
            </w:pPr>
            <w:r>
              <w:rPr>
                <w:rFonts w:ascii="Times New Roman" w:hAnsi="Times New Roman"/>
                <w:sz w:val="28"/>
                <w:szCs w:val="28"/>
              </w:rPr>
              <w:t>0,164</w:t>
            </w:r>
          </w:p>
        </w:tc>
      </w:tr>
    </w:tbl>
    <w:p w:rsidR="00FA5DA4" w:rsidRDefault="00FA5DA4" w:rsidP="00FA5DA4">
      <w:pPr>
        <w:autoSpaceDE w:val="0"/>
        <w:autoSpaceDN w:val="0"/>
        <w:adjustRightInd w:val="0"/>
        <w:spacing w:after="0" w:line="240" w:lineRule="auto"/>
        <w:rPr>
          <w:rFonts w:ascii="Times New Roman" w:hAnsi="Times New Roman"/>
          <w:sz w:val="28"/>
          <w:szCs w:val="28"/>
        </w:rPr>
      </w:pPr>
    </w:p>
    <w:p w:rsidR="00FA5DA4" w:rsidRDefault="00FA5DA4" w:rsidP="00FA5DA4">
      <w:pPr>
        <w:autoSpaceDE w:val="0"/>
        <w:autoSpaceDN w:val="0"/>
        <w:adjustRightInd w:val="0"/>
        <w:spacing w:after="0" w:line="240" w:lineRule="auto"/>
        <w:rPr>
          <w:rFonts w:ascii="Times New Roman" w:hAnsi="Times New Roman" w:cs="Times New Roman"/>
          <w:sz w:val="24"/>
          <w:szCs w:val="24"/>
        </w:rPr>
      </w:pPr>
    </w:p>
    <w:p w:rsidR="00FA5DA4"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 xml:space="preserve">Ми констатували відсутність статистичних відмінностей у середніх значеннях ВПЩ пре-контрастної фази КТ при порівнянні підгруп із конвенційним НКР високого та низького ступенів за </w:t>
      </w:r>
      <w:r>
        <w:rPr>
          <w:rFonts w:ascii="Times New Roman" w:hAnsi="Times New Roman"/>
          <w:sz w:val="28"/>
          <w:szCs w:val="28"/>
          <w:lang w:val="en-US"/>
        </w:rPr>
        <w:t>Fuhrman</w:t>
      </w:r>
      <w:r w:rsidRPr="009E6C7E">
        <w:rPr>
          <w:rFonts w:ascii="Times New Roman" w:hAnsi="Times New Roman"/>
          <w:sz w:val="28"/>
          <w:szCs w:val="28"/>
        </w:rPr>
        <w:t xml:space="preserve"> </w:t>
      </w:r>
      <w:r>
        <w:rPr>
          <w:rFonts w:ascii="Times New Roman" w:hAnsi="Times New Roman"/>
          <w:sz w:val="28"/>
          <w:szCs w:val="28"/>
        </w:rPr>
        <w:t>(</w:t>
      </w:r>
      <w:r>
        <w:rPr>
          <w:rFonts w:ascii="Times New Roman" w:hAnsi="Times New Roman" w:cs="Times New Roman"/>
          <w:sz w:val="28"/>
          <w:szCs w:val="28"/>
        </w:rPr>
        <w:t>р=</w:t>
      </w:r>
      <w:r>
        <w:rPr>
          <w:rFonts w:ascii="Times New Roman" w:hAnsi="Times New Roman"/>
          <w:sz w:val="28"/>
          <w:szCs w:val="28"/>
        </w:rPr>
        <w:t>0,139), а також при порівнянні підгруп із пНКР високого та низького ступенів (</w:t>
      </w:r>
      <w:r>
        <w:rPr>
          <w:rFonts w:ascii="Times New Roman" w:hAnsi="Times New Roman" w:cs="Times New Roman"/>
          <w:sz w:val="28"/>
          <w:szCs w:val="28"/>
        </w:rPr>
        <w:t>р=</w:t>
      </w:r>
      <w:r>
        <w:rPr>
          <w:rFonts w:ascii="Times New Roman" w:hAnsi="Times New Roman"/>
          <w:sz w:val="28"/>
          <w:szCs w:val="28"/>
        </w:rPr>
        <w:t xml:space="preserve">0,243). На відміну від зображень пре-контрастної фази, на КТ-зображеннях КМФ ми спостерігали достовірну різницю між середніми значеннями ВПЖ конвенційного НКР низького та високого ступенів за </w:t>
      </w:r>
      <w:r>
        <w:rPr>
          <w:rFonts w:ascii="Times New Roman" w:hAnsi="Times New Roman"/>
          <w:sz w:val="28"/>
          <w:szCs w:val="28"/>
          <w:lang w:val="en-US"/>
        </w:rPr>
        <w:t>Fuhrman</w:t>
      </w:r>
      <w:r>
        <w:rPr>
          <w:rFonts w:ascii="Times New Roman" w:hAnsi="Times New Roman"/>
          <w:sz w:val="28"/>
          <w:szCs w:val="28"/>
        </w:rPr>
        <w:t>, які становили відповідно 1,06</w:t>
      </w:r>
      <w:r>
        <w:rPr>
          <w:rFonts w:ascii="Times New Roman" w:hAnsi="Times New Roman" w:cs="Times New Roman"/>
          <w:sz w:val="28"/>
          <w:szCs w:val="28"/>
        </w:rPr>
        <w:t>±</w:t>
      </w:r>
      <w:r>
        <w:rPr>
          <w:rFonts w:ascii="Times New Roman" w:hAnsi="Times New Roman"/>
          <w:sz w:val="28"/>
          <w:szCs w:val="28"/>
        </w:rPr>
        <w:t>0,24 та 0,76</w:t>
      </w:r>
      <w:r>
        <w:rPr>
          <w:rFonts w:ascii="Times New Roman" w:hAnsi="Times New Roman" w:cs="Times New Roman"/>
          <w:sz w:val="28"/>
          <w:szCs w:val="28"/>
        </w:rPr>
        <w:t>±</w:t>
      </w:r>
      <w:r>
        <w:rPr>
          <w:rFonts w:ascii="Times New Roman" w:hAnsi="Times New Roman"/>
          <w:sz w:val="28"/>
          <w:szCs w:val="28"/>
        </w:rPr>
        <w:t>0,14 (р</w:t>
      </w:r>
      <w:r w:rsidRPr="009E6C7E">
        <w:rPr>
          <w:rFonts w:ascii="Times New Roman" w:hAnsi="Times New Roman"/>
          <w:sz w:val="28"/>
          <w:szCs w:val="28"/>
        </w:rPr>
        <w:t>&lt;</w:t>
      </w:r>
      <w:r>
        <w:rPr>
          <w:rFonts w:ascii="Times New Roman" w:hAnsi="Times New Roman"/>
          <w:sz w:val="28"/>
          <w:szCs w:val="28"/>
        </w:rPr>
        <w:t xml:space="preserve">0,001). Проте, як і у випадку пре-контрастних зображень, достовірної різниці між середніми значеннями ВПЩ у підгрупах із пНКР низького та високого ступенів за </w:t>
      </w:r>
      <w:r>
        <w:rPr>
          <w:rFonts w:ascii="Times New Roman" w:hAnsi="Times New Roman"/>
          <w:sz w:val="28"/>
          <w:szCs w:val="28"/>
          <w:lang w:val="en-US"/>
        </w:rPr>
        <w:t>Fuhrman</w:t>
      </w:r>
      <w:r>
        <w:rPr>
          <w:rFonts w:ascii="Times New Roman" w:hAnsi="Times New Roman"/>
          <w:sz w:val="28"/>
          <w:szCs w:val="28"/>
        </w:rPr>
        <w:t xml:space="preserve"> нами отримано не було: р=0,906. </w:t>
      </w:r>
    </w:p>
    <w:p w:rsidR="00EF1AB6" w:rsidRDefault="00FA5DA4" w:rsidP="00EF1AB6">
      <w:pPr>
        <w:spacing w:line="360" w:lineRule="auto"/>
        <w:ind w:firstLine="708"/>
        <w:jc w:val="both"/>
        <w:rPr>
          <w:rFonts w:ascii="Times New Roman" w:hAnsi="Times New Roman"/>
          <w:sz w:val="28"/>
          <w:szCs w:val="28"/>
        </w:rPr>
      </w:pPr>
      <w:r>
        <w:rPr>
          <w:rFonts w:ascii="Times New Roman" w:hAnsi="Times New Roman"/>
          <w:sz w:val="28"/>
          <w:szCs w:val="28"/>
        </w:rPr>
        <w:t xml:space="preserve">Статистичний аналіз не виявив суттєвих відмінностей між середніми значеннями відношення променевої щільності пухлини до нормальної ниркової паренхіми виміряних з КТ-зображень нефрографічної фази в підгрупах із конвенційним НКР низького та високого ступенів за </w:t>
      </w:r>
      <w:r>
        <w:rPr>
          <w:rFonts w:ascii="Times New Roman" w:hAnsi="Times New Roman"/>
          <w:sz w:val="28"/>
          <w:szCs w:val="28"/>
          <w:lang w:val="en-US"/>
        </w:rPr>
        <w:t>Fuhrman</w:t>
      </w:r>
      <w:r w:rsidRPr="009E6C7E">
        <w:rPr>
          <w:rFonts w:ascii="Times New Roman" w:hAnsi="Times New Roman"/>
          <w:sz w:val="28"/>
          <w:szCs w:val="28"/>
        </w:rPr>
        <w:t xml:space="preserve"> </w:t>
      </w:r>
      <w:r w:rsidR="00EF1AB6">
        <w:rPr>
          <w:rFonts w:ascii="Times New Roman" w:hAnsi="Times New Roman"/>
          <w:sz w:val="28"/>
          <w:szCs w:val="28"/>
        </w:rPr>
        <w:t>(р=0,267), таблиця 3.8.</w:t>
      </w:r>
    </w:p>
    <w:p w:rsidR="00EF1AB6" w:rsidRPr="00873499" w:rsidRDefault="00EF1AB6" w:rsidP="00034E9D">
      <w:pPr>
        <w:autoSpaceDE w:val="0"/>
        <w:autoSpaceDN w:val="0"/>
        <w:adjustRightInd w:val="0"/>
        <w:spacing w:after="0" w:line="276" w:lineRule="auto"/>
        <w:jc w:val="right"/>
        <w:rPr>
          <w:rFonts w:ascii="Times New Roman" w:hAnsi="Times New Roman" w:cs="Times New Roman"/>
          <w:sz w:val="28"/>
          <w:szCs w:val="28"/>
        </w:rPr>
      </w:pPr>
      <w:r w:rsidRPr="00F412CA">
        <w:rPr>
          <w:rFonts w:ascii="Times New Roman" w:hAnsi="Times New Roman" w:cs="Times New Roman"/>
          <w:sz w:val="28"/>
          <w:szCs w:val="28"/>
        </w:rPr>
        <w:lastRenderedPageBreak/>
        <w:t>Таблиця</w:t>
      </w:r>
      <w:r>
        <w:rPr>
          <w:rFonts w:ascii="Times New Roman" w:hAnsi="Times New Roman" w:cs="Times New Roman"/>
          <w:sz w:val="28"/>
          <w:szCs w:val="28"/>
        </w:rPr>
        <w:t xml:space="preserve"> 3.8</w:t>
      </w:r>
    </w:p>
    <w:p w:rsidR="00EF1AB6" w:rsidRPr="00694CDA" w:rsidRDefault="00EF1AB6" w:rsidP="00034E9D">
      <w:pPr>
        <w:spacing w:line="276" w:lineRule="auto"/>
        <w:jc w:val="center"/>
      </w:pPr>
      <w:r>
        <w:rPr>
          <w:rFonts w:ascii="Times New Roman" w:hAnsi="Times New Roman"/>
          <w:sz w:val="28"/>
          <w:szCs w:val="28"/>
        </w:rPr>
        <w:t>Середнє значення відношення променевої щільності пухлини</w:t>
      </w:r>
      <w:r w:rsidRPr="009E6C7E">
        <w:rPr>
          <w:rFonts w:ascii="Times New Roman" w:hAnsi="Times New Roman"/>
          <w:sz w:val="28"/>
          <w:szCs w:val="28"/>
          <w:lang w:val="ru-RU"/>
        </w:rPr>
        <w:t xml:space="preserve"> </w:t>
      </w:r>
      <w:r>
        <w:rPr>
          <w:rFonts w:ascii="Times New Roman" w:hAnsi="Times New Roman" w:cs="Times New Roman"/>
          <w:sz w:val="28"/>
          <w:szCs w:val="28"/>
        </w:rPr>
        <w:t>до нормальної ниркової паренхіми</w:t>
      </w:r>
      <w:r w:rsidRPr="00694CDA">
        <w:rPr>
          <w:rFonts w:ascii="Times New Roman" w:hAnsi="Times New Roman"/>
          <w:sz w:val="28"/>
          <w:szCs w:val="28"/>
        </w:rPr>
        <w:t xml:space="preserve"> </w:t>
      </w:r>
      <w:r>
        <w:rPr>
          <w:rFonts w:ascii="Times New Roman" w:hAnsi="Times New Roman"/>
          <w:sz w:val="28"/>
          <w:szCs w:val="28"/>
        </w:rPr>
        <w:t>на КТ-зображеннях різних фаз</w:t>
      </w:r>
      <w:r w:rsidRPr="00694CDA">
        <w:rPr>
          <w:rFonts w:ascii="Times New Roman" w:hAnsi="Times New Roman"/>
          <w:sz w:val="28"/>
          <w:szCs w:val="28"/>
        </w:rPr>
        <w:t xml:space="preserve"> </w:t>
      </w:r>
      <w:r>
        <w:rPr>
          <w:rFonts w:ascii="Times New Roman" w:hAnsi="Times New Roman"/>
          <w:sz w:val="28"/>
          <w:szCs w:val="28"/>
        </w:rPr>
        <w:t xml:space="preserve">при скНКР високого та низького ступенів за </w:t>
      </w:r>
      <w:r>
        <w:rPr>
          <w:rFonts w:ascii="Times New Roman" w:hAnsi="Times New Roman"/>
          <w:sz w:val="28"/>
          <w:szCs w:val="28"/>
          <w:lang w:val="en-US"/>
        </w:rPr>
        <w:t>Fuhrman</w:t>
      </w:r>
      <w:r>
        <w:rPr>
          <w:rFonts w:ascii="Times New Roman" w:hAnsi="Times New Roman"/>
          <w:sz w:val="28"/>
          <w:szCs w:val="28"/>
        </w:rPr>
        <w:t xml:space="preserve"> розміром до 4 см</w:t>
      </w:r>
    </w:p>
    <w:tbl>
      <w:tblPr>
        <w:tblStyle w:val="TableGrid"/>
        <w:tblW w:w="9634" w:type="dxa"/>
        <w:tblLook w:val="04A0" w:firstRow="1" w:lastRow="0" w:firstColumn="1" w:lastColumn="0" w:noHBand="0" w:noVBand="1"/>
      </w:tblPr>
      <w:tblGrid>
        <w:gridCol w:w="1883"/>
        <w:gridCol w:w="1847"/>
        <w:gridCol w:w="1815"/>
        <w:gridCol w:w="2202"/>
        <w:gridCol w:w="1887"/>
      </w:tblGrid>
      <w:tr w:rsidR="00EF1AB6" w:rsidTr="00120122">
        <w:trPr>
          <w:trHeight w:val="322"/>
        </w:trPr>
        <w:tc>
          <w:tcPr>
            <w:tcW w:w="1883" w:type="dxa"/>
            <w:vMerge w:val="restart"/>
          </w:tcPr>
          <w:p w:rsidR="00EF1AB6" w:rsidRPr="00BD5837" w:rsidRDefault="00EF1AB6" w:rsidP="00120122">
            <w:pPr>
              <w:jc w:val="center"/>
              <w:rPr>
                <w:rFonts w:ascii="Times New Roman" w:hAnsi="Times New Roman"/>
                <w:b/>
                <w:sz w:val="28"/>
                <w:szCs w:val="28"/>
              </w:rPr>
            </w:pPr>
            <w:r>
              <w:rPr>
                <w:rFonts w:ascii="Times New Roman" w:hAnsi="Times New Roman"/>
                <w:b/>
                <w:sz w:val="28"/>
                <w:szCs w:val="28"/>
              </w:rPr>
              <w:t>Підг</w:t>
            </w:r>
            <w:r w:rsidRPr="00BD5837">
              <w:rPr>
                <w:rFonts w:ascii="Times New Roman" w:hAnsi="Times New Roman"/>
                <w:b/>
                <w:sz w:val="28"/>
                <w:szCs w:val="28"/>
              </w:rPr>
              <w:t>рупа</w:t>
            </w:r>
          </w:p>
        </w:tc>
        <w:tc>
          <w:tcPr>
            <w:tcW w:w="7751" w:type="dxa"/>
            <w:gridSpan w:val="4"/>
          </w:tcPr>
          <w:p w:rsidR="00EF1AB6" w:rsidRDefault="00EF1AB6" w:rsidP="00120122">
            <w:pPr>
              <w:jc w:val="center"/>
              <w:rPr>
                <w:rFonts w:ascii="Times New Roman" w:hAnsi="Times New Roman"/>
                <w:b/>
                <w:sz w:val="28"/>
                <w:szCs w:val="28"/>
              </w:rPr>
            </w:pPr>
            <w:r>
              <w:rPr>
                <w:rFonts w:ascii="Times New Roman" w:hAnsi="Times New Roman"/>
                <w:b/>
                <w:sz w:val="28"/>
                <w:szCs w:val="28"/>
              </w:rPr>
              <w:t>Фаза КТ</w:t>
            </w:r>
          </w:p>
        </w:tc>
      </w:tr>
      <w:tr w:rsidR="00EF1AB6" w:rsidTr="00120122">
        <w:trPr>
          <w:trHeight w:val="654"/>
        </w:trPr>
        <w:tc>
          <w:tcPr>
            <w:tcW w:w="1883" w:type="dxa"/>
            <w:vMerge/>
            <w:tcBorders>
              <w:bottom w:val="single" w:sz="4" w:space="0" w:color="auto"/>
            </w:tcBorders>
          </w:tcPr>
          <w:p w:rsidR="00EF1AB6" w:rsidRPr="00BD5837" w:rsidRDefault="00EF1AB6" w:rsidP="00120122">
            <w:pPr>
              <w:jc w:val="center"/>
              <w:rPr>
                <w:rFonts w:ascii="Times New Roman" w:hAnsi="Times New Roman"/>
                <w:b/>
                <w:sz w:val="28"/>
                <w:szCs w:val="28"/>
              </w:rPr>
            </w:pPr>
          </w:p>
        </w:tc>
        <w:tc>
          <w:tcPr>
            <w:tcW w:w="1847" w:type="dxa"/>
            <w:tcBorders>
              <w:bottom w:val="single" w:sz="4" w:space="0" w:color="auto"/>
            </w:tcBorders>
          </w:tcPr>
          <w:p w:rsidR="00EF1AB6" w:rsidRPr="006E76F3" w:rsidRDefault="00EF1AB6" w:rsidP="00120122">
            <w:pPr>
              <w:jc w:val="center"/>
              <w:rPr>
                <w:rFonts w:ascii="Times New Roman" w:hAnsi="Times New Roman"/>
                <w:b/>
                <w:sz w:val="28"/>
                <w:szCs w:val="28"/>
                <w:lang w:val="en-US"/>
              </w:rPr>
            </w:pPr>
            <w:r>
              <w:rPr>
                <w:rFonts w:ascii="Times New Roman" w:hAnsi="Times New Roman"/>
                <w:b/>
                <w:sz w:val="28"/>
                <w:szCs w:val="28"/>
              </w:rPr>
              <w:t>Пре-контрастні зображення</w:t>
            </w:r>
          </w:p>
        </w:tc>
        <w:tc>
          <w:tcPr>
            <w:tcW w:w="1815" w:type="dxa"/>
            <w:tcBorders>
              <w:bottom w:val="single" w:sz="4" w:space="0" w:color="auto"/>
            </w:tcBorders>
          </w:tcPr>
          <w:p w:rsidR="00EF1AB6" w:rsidRPr="006E76F3" w:rsidRDefault="00EF1AB6" w:rsidP="00120122">
            <w:pPr>
              <w:jc w:val="center"/>
              <w:rPr>
                <w:rFonts w:ascii="Times New Roman" w:hAnsi="Times New Roman"/>
                <w:b/>
                <w:sz w:val="28"/>
                <w:szCs w:val="28"/>
                <w:lang w:val="en-US"/>
              </w:rPr>
            </w:pPr>
            <w:r>
              <w:rPr>
                <w:rFonts w:ascii="Times New Roman" w:hAnsi="Times New Roman"/>
                <w:b/>
                <w:sz w:val="28"/>
                <w:szCs w:val="28"/>
              </w:rPr>
              <w:t>Кортико-медулярна фаза</w:t>
            </w:r>
          </w:p>
        </w:tc>
        <w:tc>
          <w:tcPr>
            <w:tcW w:w="2202" w:type="dxa"/>
            <w:tcBorders>
              <w:bottom w:val="single" w:sz="4" w:space="0" w:color="auto"/>
            </w:tcBorders>
          </w:tcPr>
          <w:p w:rsidR="00EF1AB6" w:rsidRPr="006E76F3" w:rsidRDefault="00EF1AB6" w:rsidP="00120122">
            <w:pPr>
              <w:jc w:val="center"/>
              <w:rPr>
                <w:rFonts w:ascii="Times New Roman" w:hAnsi="Times New Roman"/>
                <w:b/>
                <w:sz w:val="28"/>
                <w:szCs w:val="28"/>
                <w:lang w:val="en-US"/>
              </w:rPr>
            </w:pPr>
            <w:r>
              <w:rPr>
                <w:rFonts w:ascii="Times New Roman" w:hAnsi="Times New Roman"/>
                <w:b/>
                <w:sz w:val="28"/>
                <w:szCs w:val="28"/>
              </w:rPr>
              <w:t>Нефрографічна фаза</w:t>
            </w:r>
          </w:p>
        </w:tc>
        <w:tc>
          <w:tcPr>
            <w:tcW w:w="1887" w:type="dxa"/>
            <w:tcBorders>
              <w:bottom w:val="single" w:sz="4" w:space="0" w:color="auto"/>
            </w:tcBorders>
          </w:tcPr>
          <w:p w:rsidR="00EF1AB6" w:rsidRPr="00BD5837" w:rsidRDefault="00EF1AB6" w:rsidP="00120122">
            <w:pPr>
              <w:jc w:val="center"/>
              <w:rPr>
                <w:rFonts w:ascii="Times New Roman" w:hAnsi="Times New Roman"/>
                <w:b/>
                <w:sz w:val="28"/>
                <w:szCs w:val="28"/>
              </w:rPr>
            </w:pPr>
            <w:r>
              <w:rPr>
                <w:rFonts w:ascii="Times New Roman" w:hAnsi="Times New Roman"/>
                <w:b/>
                <w:sz w:val="28"/>
                <w:szCs w:val="28"/>
              </w:rPr>
              <w:t>Екскреторна фаза</w:t>
            </w:r>
          </w:p>
        </w:tc>
      </w:tr>
      <w:tr w:rsidR="00EF1AB6" w:rsidTr="00120122">
        <w:trPr>
          <w:trHeight w:val="182"/>
        </w:trPr>
        <w:tc>
          <w:tcPr>
            <w:tcW w:w="1883" w:type="dxa"/>
          </w:tcPr>
          <w:p w:rsidR="00EF1AB6" w:rsidRPr="00841F39" w:rsidRDefault="00EF1AB6" w:rsidP="00120122">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низький ступінь </w:t>
            </w:r>
            <w:r>
              <w:rPr>
                <w:rFonts w:ascii="Times New Roman" w:hAnsi="Times New Roman"/>
                <w:b/>
                <w:sz w:val="28"/>
                <w:szCs w:val="28"/>
                <w:lang w:val="en-US"/>
              </w:rPr>
              <w:t>n=</w:t>
            </w:r>
            <w:r>
              <w:rPr>
                <w:rFonts w:ascii="Times New Roman" w:hAnsi="Times New Roman"/>
                <w:b/>
                <w:sz w:val="28"/>
                <w:szCs w:val="28"/>
              </w:rPr>
              <w:t>26</w:t>
            </w:r>
          </w:p>
        </w:tc>
        <w:tc>
          <w:tcPr>
            <w:tcW w:w="1847" w:type="dxa"/>
          </w:tcPr>
          <w:p w:rsidR="00EF1AB6" w:rsidRPr="006E76F3" w:rsidRDefault="00EF1AB6" w:rsidP="00120122">
            <w:pPr>
              <w:jc w:val="center"/>
              <w:rPr>
                <w:rFonts w:ascii="Times New Roman" w:hAnsi="Times New Roman"/>
                <w:sz w:val="28"/>
                <w:szCs w:val="28"/>
              </w:rPr>
            </w:pPr>
            <w:r>
              <w:rPr>
                <w:rFonts w:ascii="Times New Roman" w:hAnsi="Times New Roman"/>
                <w:sz w:val="28"/>
                <w:szCs w:val="28"/>
              </w:rPr>
              <w:t>1,67</w:t>
            </w:r>
            <w:r>
              <w:rPr>
                <w:rFonts w:ascii="Times New Roman" w:hAnsi="Times New Roman" w:cs="Times New Roman"/>
                <w:sz w:val="28"/>
                <w:szCs w:val="28"/>
              </w:rPr>
              <w:t>±</w:t>
            </w:r>
            <w:r>
              <w:rPr>
                <w:rFonts w:ascii="Times New Roman" w:hAnsi="Times New Roman"/>
                <w:sz w:val="28"/>
                <w:szCs w:val="28"/>
              </w:rPr>
              <w:t>0,63</w:t>
            </w:r>
          </w:p>
        </w:tc>
        <w:tc>
          <w:tcPr>
            <w:tcW w:w="1815" w:type="dxa"/>
          </w:tcPr>
          <w:p w:rsidR="00EF1AB6" w:rsidRPr="006E76F3" w:rsidRDefault="00EF1AB6" w:rsidP="00120122">
            <w:pPr>
              <w:jc w:val="center"/>
              <w:rPr>
                <w:rFonts w:ascii="Times New Roman" w:hAnsi="Times New Roman"/>
                <w:sz w:val="28"/>
                <w:szCs w:val="28"/>
              </w:rPr>
            </w:pPr>
            <w:r>
              <w:rPr>
                <w:rFonts w:ascii="Times New Roman" w:hAnsi="Times New Roman"/>
                <w:sz w:val="28"/>
                <w:szCs w:val="28"/>
              </w:rPr>
              <w:t>1,06</w:t>
            </w:r>
            <w:r>
              <w:rPr>
                <w:rFonts w:ascii="Times New Roman" w:hAnsi="Times New Roman" w:cs="Times New Roman"/>
                <w:sz w:val="28"/>
                <w:szCs w:val="28"/>
              </w:rPr>
              <w:t>±</w:t>
            </w:r>
            <w:r>
              <w:rPr>
                <w:rFonts w:ascii="Times New Roman" w:hAnsi="Times New Roman"/>
                <w:sz w:val="28"/>
                <w:szCs w:val="28"/>
              </w:rPr>
              <w:t>0,24</w:t>
            </w:r>
          </w:p>
        </w:tc>
        <w:tc>
          <w:tcPr>
            <w:tcW w:w="2202" w:type="dxa"/>
          </w:tcPr>
          <w:p w:rsidR="00EF1AB6" w:rsidRPr="006E76F3" w:rsidRDefault="00EF1AB6" w:rsidP="00120122">
            <w:pPr>
              <w:jc w:val="center"/>
              <w:rPr>
                <w:rFonts w:ascii="Times New Roman" w:hAnsi="Times New Roman"/>
                <w:sz w:val="28"/>
                <w:szCs w:val="28"/>
              </w:rPr>
            </w:pPr>
            <w:r>
              <w:rPr>
                <w:rFonts w:ascii="Times New Roman" w:hAnsi="Times New Roman"/>
                <w:sz w:val="28"/>
                <w:szCs w:val="28"/>
              </w:rPr>
              <w:t>0,92</w:t>
            </w:r>
            <w:r>
              <w:rPr>
                <w:rFonts w:ascii="Times New Roman" w:hAnsi="Times New Roman" w:cs="Times New Roman"/>
                <w:sz w:val="28"/>
                <w:szCs w:val="28"/>
              </w:rPr>
              <w:t>±</w:t>
            </w:r>
            <w:r>
              <w:rPr>
                <w:rFonts w:ascii="Times New Roman" w:hAnsi="Times New Roman"/>
                <w:sz w:val="28"/>
                <w:szCs w:val="28"/>
              </w:rPr>
              <w:t>0,33</w:t>
            </w:r>
          </w:p>
        </w:tc>
        <w:tc>
          <w:tcPr>
            <w:tcW w:w="1887" w:type="dxa"/>
          </w:tcPr>
          <w:p w:rsidR="00EF1AB6" w:rsidRPr="006E76F3" w:rsidRDefault="00EF1AB6" w:rsidP="00120122">
            <w:pPr>
              <w:jc w:val="center"/>
              <w:rPr>
                <w:rFonts w:ascii="Times New Roman" w:hAnsi="Times New Roman"/>
                <w:sz w:val="28"/>
                <w:szCs w:val="28"/>
              </w:rPr>
            </w:pPr>
            <w:r>
              <w:rPr>
                <w:rFonts w:ascii="Times New Roman" w:hAnsi="Times New Roman"/>
                <w:sz w:val="28"/>
                <w:szCs w:val="28"/>
              </w:rPr>
              <w:t>0,97</w:t>
            </w:r>
            <w:r>
              <w:rPr>
                <w:rFonts w:ascii="Times New Roman" w:hAnsi="Times New Roman" w:cs="Times New Roman"/>
                <w:sz w:val="28"/>
                <w:szCs w:val="28"/>
              </w:rPr>
              <w:t>±</w:t>
            </w:r>
            <w:r>
              <w:rPr>
                <w:rFonts w:ascii="Times New Roman" w:hAnsi="Times New Roman"/>
                <w:sz w:val="28"/>
                <w:szCs w:val="28"/>
              </w:rPr>
              <w:t>0,19</w:t>
            </w:r>
          </w:p>
        </w:tc>
      </w:tr>
      <w:tr w:rsidR="00EF1AB6" w:rsidTr="00120122">
        <w:tc>
          <w:tcPr>
            <w:tcW w:w="1883" w:type="dxa"/>
          </w:tcPr>
          <w:p w:rsidR="00EF1AB6" w:rsidRPr="00841F39" w:rsidRDefault="00EF1AB6" w:rsidP="00120122">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високий ступінь, </w:t>
            </w:r>
            <w:r>
              <w:rPr>
                <w:rFonts w:ascii="Times New Roman" w:hAnsi="Times New Roman"/>
                <w:b/>
                <w:sz w:val="28"/>
                <w:szCs w:val="28"/>
                <w:lang w:val="en-US"/>
              </w:rPr>
              <w:t>n=</w:t>
            </w:r>
            <w:r>
              <w:rPr>
                <w:rFonts w:ascii="Times New Roman" w:hAnsi="Times New Roman"/>
                <w:b/>
                <w:sz w:val="28"/>
                <w:szCs w:val="28"/>
              </w:rPr>
              <w:t>22</w:t>
            </w:r>
          </w:p>
        </w:tc>
        <w:tc>
          <w:tcPr>
            <w:tcW w:w="1847" w:type="dxa"/>
          </w:tcPr>
          <w:p w:rsidR="00EF1AB6" w:rsidRPr="006E76F3" w:rsidRDefault="00EF1AB6" w:rsidP="00120122">
            <w:pPr>
              <w:jc w:val="center"/>
              <w:rPr>
                <w:rFonts w:ascii="Times New Roman" w:hAnsi="Times New Roman"/>
                <w:sz w:val="28"/>
                <w:szCs w:val="28"/>
              </w:rPr>
            </w:pPr>
            <w:r>
              <w:rPr>
                <w:rFonts w:ascii="Times New Roman" w:hAnsi="Times New Roman"/>
                <w:sz w:val="28"/>
                <w:szCs w:val="28"/>
              </w:rPr>
              <w:t>1,16</w:t>
            </w:r>
            <w:r>
              <w:rPr>
                <w:rFonts w:ascii="Times New Roman" w:hAnsi="Times New Roman" w:cs="Times New Roman"/>
                <w:sz w:val="28"/>
                <w:szCs w:val="28"/>
              </w:rPr>
              <w:t>±</w:t>
            </w:r>
            <w:r>
              <w:rPr>
                <w:rFonts w:ascii="Times New Roman" w:hAnsi="Times New Roman"/>
                <w:sz w:val="28"/>
                <w:szCs w:val="28"/>
              </w:rPr>
              <w:t>0,29</w:t>
            </w:r>
          </w:p>
        </w:tc>
        <w:tc>
          <w:tcPr>
            <w:tcW w:w="1815" w:type="dxa"/>
          </w:tcPr>
          <w:p w:rsidR="00EF1AB6" w:rsidRPr="006E76F3" w:rsidRDefault="00EF1AB6" w:rsidP="00120122">
            <w:pPr>
              <w:jc w:val="center"/>
              <w:rPr>
                <w:rFonts w:ascii="Times New Roman" w:hAnsi="Times New Roman"/>
                <w:sz w:val="28"/>
                <w:szCs w:val="28"/>
              </w:rPr>
            </w:pPr>
            <w:r>
              <w:rPr>
                <w:rFonts w:ascii="Times New Roman" w:hAnsi="Times New Roman"/>
                <w:sz w:val="28"/>
                <w:szCs w:val="28"/>
              </w:rPr>
              <w:t>0,76</w:t>
            </w:r>
            <w:r>
              <w:rPr>
                <w:rFonts w:ascii="Times New Roman" w:hAnsi="Times New Roman" w:cs="Times New Roman"/>
                <w:sz w:val="28"/>
                <w:szCs w:val="28"/>
              </w:rPr>
              <w:t>±</w:t>
            </w:r>
            <w:r>
              <w:rPr>
                <w:rFonts w:ascii="Times New Roman" w:hAnsi="Times New Roman"/>
                <w:sz w:val="28"/>
                <w:szCs w:val="28"/>
              </w:rPr>
              <w:t>0,14</w:t>
            </w:r>
          </w:p>
        </w:tc>
        <w:tc>
          <w:tcPr>
            <w:tcW w:w="2202" w:type="dxa"/>
          </w:tcPr>
          <w:p w:rsidR="00EF1AB6" w:rsidRPr="006E76F3" w:rsidRDefault="00EF1AB6" w:rsidP="00120122">
            <w:pPr>
              <w:jc w:val="center"/>
              <w:rPr>
                <w:rFonts w:ascii="Times New Roman" w:hAnsi="Times New Roman"/>
                <w:sz w:val="28"/>
                <w:szCs w:val="28"/>
              </w:rPr>
            </w:pPr>
            <w:r>
              <w:rPr>
                <w:rFonts w:ascii="Times New Roman" w:hAnsi="Times New Roman"/>
                <w:sz w:val="28"/>
                <w:szCs w:val="28"/>
              </w:rPr>
              <w:t>0,75</w:t>
            </w:r>
            <w:r>
              <w:rPr>
                <w:rFonts w:ascii="Times New Roman" w:hAnsi="Times New Roman" w:cs="Times New Roman"/>
                <w:sz w:val="28"/>
                <w:szCs w:val="28"/>
              </w:rPr>
              <w:t>±</w:t>
            </w:r>
            <w:r>
              <w:rPr>
                <w:rFonts w:ascii="Times New Roman" w:hAnsi="Times New Roman"/>
                <w:sz w:val="28"/>
                <w:szCs w:val="28"/>
              </w:rPr>
              <w:t>0,29</w:t>
            </w:r>
          </w:p>
        </w:tc>
        <w:tc>
          <w:tcPr>
            <w:tcW w:w="1887" w:type="dxa"/>
          </w:tcPr>
          <w:p w:rsidR="00EF1AB6" w:rsidRPr="006E76F3" w:rsidRDefault="00EF1AB6" w:rsidP="00120122">
            <w:pPr>
              <w:jc w:val="center"/>
              <w:rPr>
                <w:rFonts w:ascii="Times New Roman" w:hAnsi="Times New Roman"/>
                <w:sz w:val="28"/>
                <w:szCs w:val="28"/>
              </w:rPr>
            </w:pPr>
            <w:r>
              <w:rPr>
                <w:rFonts w:ascii="Times New Roman" w:hAnsi="Times New Roman"/>
                <w:sz w:val="28"/>
                <w:szCs w:val="28"/>
              </w:rPr>
              <w:t>0,86</w:t>
            </w:r>
            <w:r>
              <w:rPr>
                <w:rFonts w:ascii="Times New Roman" w:hAnsi="Times New Roman" w:cs="Times New Roman"/>
                <w:sz w:val="28"/>
                <w:szCs w:val="28"/>
              </w:rPr>
              <w:t>±</w:t>
            </w:r>
            <w:r>
              <w:rPr>
                <w:rFonts w:ascii="Times New Roman" w:hAnsi="Times New Roman"/>
                <w:sz w:val="28"/>
                <w:szCs w:val="28"/>
              </w:rPr>
              <w:t>0,19</w:t>
            </w:r>
          </w:p>
        </w:tc>
      </w:tr>
      <w:tr w:rsidR="00EF1AB6" w:rsidTr="00120122">
        <w:tc>
          <w:tcPr>
            <w:tcW w:w="1883" w:type="dxa"/>
          </w:tcPr>
          <w:p w:rsidR="00EF1AB6" w:rsidRPr="006E76F3" w:rsidRDefault="00EF1AB6" w:rsidP="00120122">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847" w:type="dxa"/>
          </w:tcPr>
          <w:p w:rsidR="00EF1AB6" w:rsidRPr="00E764F9" w:rsidRDefault="00EF1AB6" w:rsidP="00120122">
            <w:pPr>
              <w:jc w:val="center"/>
              <w:rPr>
                <w:rFonts w:ascii="Times New Roman" w:hAnsi="Times New Roman"/>
                <w:sz w:val="28"/>
                <w:szCs w:val="28"/>
              </w:rPr>
            </w:pPr>
            <w:r>
              <w:rPr>
                <w:rFonts w:ascii="Times New Roman" w:hAnsi="Times New Roman"/>
                <w:sz w:val="28"/>
                <w:szCs w:val="28"/>
              </w:rPr>
              <w:t>0,139</w:t>
            </w:r>
          </w:p>
        </w:tc>
        <w:tc>
          <w:tcPr>
            <w:tcW w:w="1815" w:type="dxa"/>
          </w:tcPr>
          <w:p w:rsidR="00EF1AB6" w:rsidRPr="00A828C1" w:rsidRDefault="00EF1AB6" w:rsidP="00120122">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EF1AB6" w:rsidRPr="00A828C1" w:rsidRDefault="00EF1AB6" w:rsidP="00120122">
            <w:pPr>
              <w:jc w:val="center"/>
              <w:rPr>
                <w:rFonts w:ascii="Times New Roman" w:hAnsi="Times New Roman"/>
                <w:sz w:val="28"/>
                <w:szCs w:val="28"/>
              </w:rPr>
            </w:pPr>
            <w:r>
              <w:rPr>
                <w:rFonts w:ascii="Times New Roman" w:hAnsi="Times New Roman"/>
                <w:sz w:val="28"/>
                <w:szCs w:val="28"/>
              </w:rPr>
              <w:t>0,267</w:t>
            </w:r>
          </w:p>
        </w:tc>
        <w:tc>
          <w:tcPr>
            <w:tcW w:w="1887" w:type="dxa"/>
          </w:tcPr>
          <w:p w:rsidR="00EF1AB6" w:rsidRPr="00A828C1" w:rsidRDefault="00EF1AB6" w:rsidP="00120122">
            <w:pPr>
              <w:jc w:val="center"/>
              <w:rPr>
                <w:rFonts w:ascii="Times New Roman" w:hAnsi="Times New Roman"/>
                <w:sz w:val="28"/>
                <w:szCs w:val="28"/>
              </w:rPr>
            </w:pPr>
            <w:r>
              <w:rPr>
                <w:rFonts w:ascii="Times New Roman" w:hAnsi="Times New Roman"/>
                <w:sz w:val="28"/>
                <w:szCs w:val="28"/>
              </w:rPr>
              <w:t>0,163</w:t>
            </w:r>
          </w:p>
        </w:tc>
      </w:tr>
    </w:tbl>
    <w:p w:rsidR="00EF1AB6" w:rsidRPr="00EF1AB6" w:rsidRDefault="00EF1AB6" w:rsidP="00EF1AB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A5DA4">
        <w:rPr>
          <w:rFonts w:ascii="Times New Roman" w:hAnsi="Times New Roman"/>
          <w:sz w:val="28"/>
          <w:szCs w:val="28"/>
        </w:rPr>
        <w:t xml:space="preserve"> </w:t>
      </w:r>
    </w:p>
    <w:p w:rsidR="00FA5DA4" w:rsidRPr="00991B8E" w:rsidRDefault="00FA5DA4" w:rsidP="00FA5DA4">
      <w:pPr>
        <w:spacing w:line="360" w:lineRule="auto"/>
        <w:ind w:firstLine="708"/>
        <w:jc w:val="both"/>
      </w:pPr>
      <w:r>
        <w:rPr>
          <w:rFonts w:ascii="Times New Roman" w:hAnsi="Times New Roman"/>
          <w:sz w:val="28"/>
          <w:szCs w:val="28"/>
        </w:rPr>
        <w:t xml:space="preserve">Це ж стосується підгруп папілярного НКР  низького та високого ступенів за </w:t>
      </w:r>
      <w:r>
        <w:rPr>
          <w:rFonts w:ascii="Times New Roman" w:hAnsi="Times New Roman"/>
          <w:sz w:val="28"/>
          <w:szCs w:val="28"/>
          <w:lang w:val="en-US"/>
        </w:rPr>
        <w:t>Fuhrman</w:t>
      </w:r>
      <w:r>
        <w:rPr>
          <w:rFonts w:ascii="Times New Roman" w:hAnsi="Times New Roman"/>
          <w:sz w:val="28"/>
          <w:szCs w:val="28"/>
        </w:rPr>
        <w:t xml:space="preserve"> (р=0,485). Подібно до наведеного вище, між середніми значеннями ВПЩ отриманими з КТ-зображень екскреторної фази, у підгрупах конвенційного НКР низького та високого ступенів за </w:t>
      </w:r>
      <w:r>
        <w:rPr>
          <w:rFonts w:ascii="Times New Roman" w:hAnsi="Times New Roman"/>
          <w:sz w:val="28"/>
          <w:szCs w:val="28"/>
          <w:lang w:val="en-US"/>
        </w:rPr>
        <w:t>Fuhrman</w:t>
      </w:r>
      <w:r w:rsidRPr="009E6C7E">
        <w:rPr>
          <w:rFonts w:ascii="Times New Roman" w:hAnsi="Times New Roman"/>
          <w:sz w:val="28"/>
          <w:szCs w:val="28"/>
          <w:lang w:val="ru-RU"/>
        </w:rPr>
        <w:t xml:space="preserve"> </w:t>
      </w:r>
      <w:r>
        <w:rPr>
          <w:rFonts w:ascii="Times New Roman" w:hAnsi="Times New Roman"/>
          <w:sz w:val="28"/>
          <w:szCs w:val="28"/>
        </w:rPr>
        <w:t xml:space="preserve">не існувало статистично достовірної різниці (р=0,163). Середні показники ВПЩ папілярного НКР низького та високого ступенів за </w:t>
      </w:r>
      <w:r>
        <w:rPr>
          <w:rFonts w:ascii="Times New Roman" w:hAnsi="Times New Roman"/>
          <w:sz w:val="28"/>
          <w:szCs w:val="28"/>
          <w:lang w:val="en-US"/>
        </w:rPr>
        <w:t>Fuhrman</w:t>
      </w:r>
      <w:r>
        <w:rPr>
          <w:rFonts w:ascii="Times New Roman" w:hAnsi="Times New Roman"/>
          <w:sz w:val="28"/>
          <w:szCs w:val="28"/>
        </w:rPr>
        <w:t xml:space="preserve"> також достовірно між собою не від</w:t>
      </w:r>
      <w:r w:rsidR="00EF1AB6">
        <w:rPr>
          <w:rFonts w:ascii="Times New Roman" w:hAnsi="Times New Roman"/>
          <w:sz w:val="28"/>
          <w:szCs w:val="28"/>
        </w:rPr>
        <w:t>різнялись (р=0,998).</w:t>
      </w:r>
    </w:p>
    <w:p w:rsidR="00FA5DA4" w:rsidRDefault="00FA5DA4" w:rsidP="00FA5DA4">
      <w:pPr>
        <w:autoSpaceDE w:val="0"/>
        <w:autoSpaceDN w:val="0"/>
        <w:adjustRightInd w:val="0"/>
        <w:spacing w:after="0" w:line="360" w:lineRule="auto"/>
        <w:ind w:firstLine="708"/>
        <w:jc w:val="both"/>
        <w:rPr>
          <w:rFonts w:ascii="Times New Roman" w:hAnsi="Times New Roman"/>
          <w:sz w:val="28"/>
          <w:szCs w:val="28"/>
        </w:rPr>
      </w:pPr>
      <w:r w:rsidRPr="00EA71AE">
        <w:rPr>
          <w:rFonts w:ascii="Times New Roman" w:hAnsi="Times New Roman" w:cs="Times New Roman"/>
          <w:sz w:val="28"/>
          <w:szCs w:val="28"/>
        </w:rPr>
        <w:t xml:space="preserve">Серед доброякісних пухлин нирок найвищі показники ІС па КТ-зображеннях під час </w:t>
      </w:r>
      <w:r>
        <w:rPr>
          <w:rFonts w:ascii="Times New Roman" w:hAnsi="Times New Roman" w:cs="Times New Roman"/>
          <w:sz w:val="28"/>
          <w:szCs w:val="28"/>
        </w:rPr>
        <w:t>ПКЗ демонстрували ОЦ, а найнижчі – АМЛ. При, цьому достовірна різниця між середніми значеннями променевої щільності пухлини спостерігалась лише між вказаними вище типами пухлин (р</w:t>
      </w:r>
      <w:r w:rsidRPr="009E6C7E">
        <w:rPr>
          <w:rFonts w:ascii="Times New Roman" w:hAnsi="Times New Roman"/>
          <w:sz w:val="28"/>
          <w:szCs w:val="28"/>
          <w:lang w:val="ru-RU"/>
        </w:rPr>
        <w:t>&lt;</w:t>
      </w:r>
      <w:r>
        <w:rPr>
          <w:rFonts w:ascii="Times New Roman" w:hAnsi="Times New Roman"/>
          <w:sz w:val="28"/>
          <w:szCs w:val="28"/>
        </w:rPr>
        <w:t xml:space="preserve">0,001). При аналізі ІС доброякісних </w:t>
      </w:r>
      <w:r>
        <w:rPr>
          <w:rFonts w:ascii="Times New Roman" w:hAnsi="Times New Roman"/>
          <w:sz w:val="28"/>
          <w:szCs w:val="28"/>
          <w:lang w:val="en-US"/>
        </w:rPr>
        <w:t>SRM</w:t>
      </w:r>
      <w:r>
        <w:rPr>
          <w:rFonts w:ascii="Times New Roman" w:hAnsi="Times New Roman"/>
          <w:sz w:val="28"/>
          <w:szCs w:val="28"/>
        </w:rPr>
        <w:t>, виміряної на КТ-зображеннях кортико-медулярної фази,</w:t>
      </w:r>
      <w:r w:rsidRPr="009E6C7E">
        <w:rPr>
          <w:rFonts w:ascii="Times New Roman" w:hAnsi="Times New Roman"/>
          <w:sz w:val="28"/>
          <w:szCs w:val="28"/>
        </w:rPr>
        <w:t xml:space="preserve"> </w:t>
      </w:r>
      <w:r>
        <w:rPr>
          <w:rFonts w:ascii="Times New Roman" w:hAnsi="Times New Roman"/>
          <w:sz w:val="28"/>
          <w:szCs w:val="28"/>
        </w:rPr>
        <w:t xml:space="preserve">найвищу середню променеву щільність пухлин було виявлено у підгрупі із ОЦ, вона становила </w:t>
      </w:r>
      <w:r w:rsidRPr="009E6C7E">
        <w:rPr>
          <w:rFonts w:ascii="Times New Roman" w:hAnsi="Times New Roman"/>
          <w:sz w:val="28"/>
          <w:szCs w:val="28"/>
        </w:rPr>
        <w:t>99,23</w:t>
      </w:r>
      <w:r w:rsidRPr="009E6C7E">
        <w:rPr>
          <w:rFonts w:ascii="Times New Roman" w:hAnsi="Times New Roman" w:cs="Times New Roman"/>
          <w:sz w:val="28"/>
          <w:szCs w:val="28"/>
        </w:rPr>
        <w:t>±</w:t>
      </w:r>
      <w:r>
        <w:rPr>
          <w:rFonts w:ascii="Times New Roman" w:hAnsi="Times New Roman"/>
          <w:sz w:val="28"/>
          <w:szCs w:val="28"/>
        </w:rPr>
        <w:t>8,61 і достовірно відрізнялась від цього показника в підгрупі з АМЛ, який був значно нижчий і складав 74,49</w:t>
      </w:r>
      <w:r w:rsidRPr="009E6C7E">
        <w:rPr>
          <w:rFonts w:ascii="Times New Roman" w:hAnsi="Times New Roman" w:cs="Times New Roman"/>
          <w:sz w:val="28"/>
          <w:szCs w:val="28"/>
        </w:rPr>
        <w:t>±</w:t>
      </w:r>
      <w:r>
        <w:rPr>
          <w:rFonts w:ascii="Times New Roman" w:hAnsi="Times New Roman"/>
          <w:sz w:val="28"/>
          <w:szCs w:val="28"/>
        </w:rPr>
        <w:t xml:space="preserve">26,74 (р=0,024). Проте, не було виявлено статистично достовірної </w:t>
      </w:r>
      <w:r>
        <w:rPr>
          <w:rFonts w:ascii="Times New Roman" w:hAnsi="Times New Roman"/>
          <w:sz w:val="28"/>
          <w:szCs w:val="28"/>
        </w:rPr>
        <w:lastRenderedPageBreak/>
        <w:t xml:space="preserve">різниці, як між середніми значеннями променевої щільності ОЦ та ПА (р=0,080), так і між цими показниками в підгрупах із АМЛ та ПА (р=0,949). </w:t>
      </w:r>
    </w:p>
    <w:p w:rsidR="00FA5DA4" w:rsidRPr="00991B8E" w:rsidRDefault="00FA5DA4" w:rsidP="00FA5DA4">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cs="Times New Roman"/>
          <w:sz w:val="28"/>
          <w:szCs w:val="28"/>
        </w:rPr>
        <w:t>Поміж</w:t>
      </w:r>
      <w:r w:rsidRPr="00C43C36">
        <w:rPr>
          <w:rFonts w:ascii="Times New Roman" w:hAnsi="Times New Roman" w:cs="Times New Roman"/>
          <w:sz w:val="28"/>
          <w:szCs w:val="28"/>
        </w:rPr>
        <w:t xml:space="preserve"> доброякісних </w:t>
      </w:r>
      <w:r>
        <w:rPr>
          <w:rFonts w:ascii="Times New Roman" w:hAnsi="Times New Roman" w:cs="Times New Roman"/>
          <w:sz w:val="28"/>
          <w:szCs w:val="28"/>
          <w:lang w:val="en-US"/>
        </w:rPr>
        <w:t>SRM</w:t>
      </w:r>
      <w:r>
        <w:rPr>
          <w:rFonts w:ascii="Times New Roman" w:hAnsi="Times New Roman" w:cs="Times New Roman"/>
          <w:sz w:val="28"/>
          <w:szCs w:val="28"/>
        </w:rPr>
        <w:t xml:space="preserve"> на КТ-зображеннях нефрографічної фази найвище середнє значення ІС було отримано у підгрупі з ОЦ (</w:t>
      </w:r>
      <w:r w:rsidRPr="009E6C7E">
        <w:rPr>
          <w:rFonts w:ascii="Times New Roman" w:hAnsi="Times New Roman"/>
          <w:sz w:val="28"/>
          <w:szCs w:val="28"/>
        </w:rPr>
        <w:t>108</w:t>
      </w:r>
      <w:r>
        <w:rPr>
          <w:rFonts w:ascii="Times New Roman" w:hAnsi="Times New Roman"/>
          <w:sz w:val="28"/>
          <w:szCs w:val="28"/>
        </w:rPr>
        <w:t>,85</w:t>
      </w:r>
      <w:r>
        <w:rPr>
          <w:rFonts w:ascii="Times New Roman" w:hAnsi="Times New Roman" w:cs="Times New Roman"/>
          <w:sz w:val="28"/>
          <w:szCs w:val="28"/>
        </w:rPr>
        <w:t>±</w:t>
      </w:r>
      <w:r>
        <w:rPr>
          <w:rFonts w:ascii="Times New Roman" w:hAnsi="Times New Roman"/>
          <w:sz w:val="28"/>
          <w:szCs w:val="28"/>
        </w:rPr>
        <w:t xml:space="preserve">12,17 </w:t>
      </w:r>
      <w:r>
        <w:rPr>
          <w:rFonts w:ascii="Times New Roman" w:hAnsi="Times New Roman"/>
          <w:sz w:val="28"/>
          <w:szCs w:val="28"/>
          <w:lang w:val="en-US"/>
        </w:rPr>
        <w:t>HU</w:t>
      </w:r>
      <w:r>
        <w:rPr>
          <w:rFonts w:ascii="Times New Roman" w:hAnsi="Times New Roman"/>
          <w:sz w:val="28"/>
          <w:szCs w:val="28"/>
        </w:rPr>
        <w:t>), а найнижче – у підгрупі з ПА (64,62</w:t>
      </w:r>
      <w:r>
        <w:rPr>
          <w:rFonts w:ascii="Times New Roman" w:hAnsi="Times New Roman" w:cs="Times New Roman"/>
          <w:sz w:val="28"/>
          <w:szCs w:val="28"/>
        </w:rPr>
        <w:t>±</w:t>
      </w:r>
      <w:r>
        <w:rPr>
          <w:rFonts w:ascii="Times New Roman" w:hAnsi="Times New Roman"/>
          <w:sz w:val="28"/>
          <w:szCs w:val="28"/>
        </w:rPr>
        <w:t xml:space="preserve">7,71 </w:t>
      </w:r>
      <w:r>
        <w:rPr>
          <w:rFonts w:ascii="Times New Roman" w:hAnsi="Times New Roman"/>
          <w:sz w:val="28"/>
          <w:szCs w:val="28"/>
          <w:lang w:val="en-US"/>
        </w:rPr>
        <w:t>HU</w:t>
      </w:r>
      <w:r w:rsidRPr="009E6C7E">
        <w:rPr>
          <w:rFonts w:ascii="Times New Roman" w:hAnsi="Times New Roman"/>
          <w:sz w:val="28"/>
          <w:szCs w:val="28"/>
        </w:rPr>
        <w:t>)</w:t>
      </w:r>
      <w:r>
        <w:rPr>
          <w:rFonts w:ascii="Times New Roman" w:hAnsi="Times New Roman"/>
          <w:sz w:val="28"/>
          <w:szCs w:val="28"/>
        </w:rPr>
        <w:t>. Ми спостерігали достовірну різницю між середньою інтенсивністю сигналу в підгрупах із ОЦ та АМЛ (р</w:t>
      </w:r>
      <w:r w:rsidRPr="009E6C7E">
        <w:rPr>
          <w:rFonts w:ascii="Times New Roman" w:hAnsi="Times New Roman"/>
          <w:sz w:val="28"/>
          <w:szCs w:val="28"/>
        </w:rPr>
        <w:t>&lt;</w:t>
      </w:r>
      <w:r>
        <w:rPr>
          <w:rFonts w:ascii="Times New Roman" w:hAnsi="Times New Roman"/>
          <w:sz w:val="28"/>
          <w:szCs w:val="28"/>
        </w:rPr>
        <w:t>0,001), а також, на відміну від попередніх фаз КТ, нами було отримано суттєву різницю в показниках середньої променевої щільності у підгрупах із ОЦ та ПА (р</w:t>
      </w:r>
      <w:r w:rsidRPr="009E6C7E">
        <w:rPr>
          <w:rFonts w:ascii="Times New Roman" w:hAnsi="Times New Roman"/>
          <w:sz w:val="28"/>
          <w:szCs w:val="28"/>
        </w:rPr>
        <w:t>&lt;</w:t>
      </w:r>
      <w:r>
        <w:rPr>
          <w:rFonts w:ascii="Times New Roman" w:hAnsi="Times New Roman"/>
          <w:sz w:val="28"/>
          <w:szCs w:val="28"/>
        </w:rPr>
        <w:t xml:space="preserve">0,001). Водночас, суттєвої різниці даних показників в підгрупах із АМЛ та ПА нами виявлено не було (р=0,092). Під час аналізу даних зображень ЕФ між підгрупами доброякісних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була отримана достовірна різниця у середніх значеннях ІС при ОЦ (68,29</w:t>
      </w:r>
      <w:r>
        <w:rPr>
          <w:rFonts w:ascii="Times New Roman" w:hAnsi="Times New Roman" w:cs="Times New Roman"/>
          <w:sz w:val="28"/>
          <w:szCs w:val="28"/>
        </w:rPr>
        <w:t>±</w:t>
      </w:r>
      <w:r>
        <w:rPr>
          <w:rFonts w:ascii="Times New Roman" w:hAnsi="Times New Roman"/>
          <w:sz w:val="28"/>
          <w:szCs w:val="28"/>
        </w:rPr>
        <w:t>14,08</w:t>
      </w:r>
      <w:r w:rsidRPr="009E6C7E">
        <w:rPr>
          <w:rFonts w:ascii="Times New Roman" w:hAnsi="Times New Roman"/>
          <w:sz w:val="28"/>
          <w:szCs w:val="28"/>
        </w:rPr>
        <w:t xml:space="preserve"> </w:t>
      </w:r>
      <w:r>
        <w:rPr>
          <w:rFonts w:ascii="Times New Roman" w:hAnsi="Times New Roman"/>
          <w:sz w:val="28"/>
          <w:szCs w:val="28"/>
          <w:lang w:val="en-US"/>
        </w:rPr>
        <w:t>HU</w:t>
      </w:r>
      <w:r w:rsidRPr="009E6C7E">
        <w:rPr>
          <w:rFonts w:ascii="Times New Roman" w:hAnsi="Times New Roman"/>
          <w:sz w:val="28"/>
          <w:szCs w:val="28"/>
        </w:rPr>
        <w:t>)</w:t>
      </w:r>
      <w:r>
        <w:rPr>
          <w:rFonts w:ascii="Times New Roman" w:hAnsi="Times New Roman"/>
          <w:sz w:val="28"/>
          <w:szCs w:val="28"/>
        </w:rPr>
        <w:t xml:space="preserve"> та ПА (49,83</w:t>
      </w:r>
      <w:r>
        <w:rPr>
          <w:rFonts w:ascii="Times New Roman" w:hAnsi="Times New Roman" w:cs="Times New Roman"/>
          <w:sz w:val="28"/>
          <w:szCs w:val="28"/>
        </w:rPr>
        <w:t>±</w:t>
      </w:r>
      <w:r>
        <w:rPr>
          <w:rFonts w:ascii="Times New Roman" w:hAnsi="Times New Roman"/>
          <w:sz w:val="28"/>
          <w:szCs w:val="28"/>
        </w:rPr>
        <w:t>7,27</w:t>
      </w:r>
      <w:r w:rsidRPr="009E6C7E">
        <w:rPr>
          <w:rFonts w:ascii="Times New Roman" w:hAnsi="Times New Roman"/>
          <w:sz w:val="28"/>
          <w:szCs w:val="28"/>
        </w:rPr>
        <w:t xml:space="preserve"> </w:t>
      </w:r>
      <w:r>
        <w:rPr>
          <w:rFonts w:ascii="Times New Roman" w:hAnsi="Times New Roman"/>
          <w:sz w:val="28"/>
          <w:szCs w:val="28"/>
          <w:lang w:val="en-US"/>
        </w:rPr>
        <w:t>HU</w:t>
      </w:r>
      <w:r>
        <w:rPr>
          <w:rFonts w:ascii="Times New Roman" w:hAnsi="Times New Roman"/>
          <w:sz w:val="28"/>
          <w:szCs w:val="28"/>
        </w:rPr>
        <w:t>), р=0,018. Проте, середній показник ІС не мав суттєвих відмінностей між підгрупою із АМЛ (55,29</w:t>
      </w:r>
      <w:r>
        <w:rPr>
          <w:rFonts w:ascii="Times New Roman" w:hAnsi="Times New Roman" w:cs="Times New Roman"/>
          <w:sz w:val="28"/>
          <w:szCs w:val="28"/>
        </w:rPr>
        <w:t>±</w:t>
      </w:r>
      <w:r>
        <w:rPr>
          <w:rFonts w:ascii="Times New Roman" w:hAnsi="Times New Roman"/>
          <w:sz w:val="28"/>
          <w:szCs w:val="28"/>
        </w:rPr>
        <w:t xml:space="preserve">7,30 </w:t>
      </w:r>
      <w:r>
        <w:rPr>
          <w:rFonts w:ascii="Times New Roman" w:hAnsi="Times New Roman"/>
          <w:sz w:val="28"/>
          <w:szCs w:val="28"/>
          <w:lang w:val="en-US"/>
        </w:rPr>
        <w:t>HU</w:t>
      </w:r>
      <w:r>
        <w:rPr>
          <w:rFonts w:ascii="Times New Roman" w:hAnsi="Times New Roman"/>
          <w:sz w:val="28"/>
          <w:szCs w:val="28"/>
        </w:rPr>
        <w:t xml:space="preserve">) та ОЦ (р=0,070), а також між АМЛ та ПА (р=0,672).  </w:t>
      </w:r>
    </w:p>
    <w:p w:rsidR="00FA5DA4"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 xml:space="preserve">Нами спостерігались наступні відмінності у ВПЩ пухлини до </w:t>
      </w:r>
      <w:r>
        <w:rPr>
          <w:rFonts w:ascii="Times New Roman" w:hAnsi="Times New Roman" w:cs="Times New Roman"/>
          <w:sz w:val="28"/>
          <w:szCs w:val="28"/>
        </w:rPr>
        <w:t>нормальної ниркової паренхіми</w:t>
      </w:r>
      <w:r>
        <w:rPr>
          <w:rFonts w:ascii="Times New Roman" w:hAnsi="Times New Roman"/>
          <w:sz w:val="28"/>
          <w:szCs w:val="28"/>
        </w:rPr>
        <w:t xml:space="preserve"> на пре-контрастних зображеннях у підгрупах доброякісних </w:t>
      </w:r>
      <w:r>
        <w:rPr>
          <w:rFonts w:ascii="Times New Roman" w:hAnsi="Times New Roman"/>
          <w:sz w:val="28"/>
          <w:szCs w:val="28"/>
          <w:lang w:val="en-US"/>
        </w:rPr>
        <w:t>SRM</w:t>
      </w:r>
      <w:r>
        <w:rPr>
          <w:rFonts w:ascii="Times New Roman" w:hAnsi="Times New Roman"/>
          <w:sz w:val="28"/>
          <w:szCs w:val="28"/>
        </w:rPr>
        <w:t>:  при середньому значенні ВПЩ 1,33</w:t>
      </w:r>
      <w:r>
        <w:rPr>
          <w:rFonts w:ascii="Times New Roman" w:hAnsi="Times New Roman" w:cs="Times New Roman"/>
          <w:sz w:val="28"/>
          <w:szCs w:val="28"/>
        </w:rPr>
        <w:t>±</w:t>
      </w:r>
      <w:r>
        <w:rPr>
          <w:rFonts w:ascii="Times New Roman" w:hAnsi="Times New Roman"/>
          <w:sz w:val="28"/>
          <w:szCs w:val="28"/>
        </w:rPr>
        <w:t>0,20 у підгрупі з ОЦ (найвище серед інших підгруп доброякісних пухлин нирок), цей параметр достовірно відрізнявся від підгрупи із АМЛ (р</w:t>
      </w:r>
      <w:r w:rsidRPr="009E6C7E">
        <w:rPr>
          <w:rFonts w:ascii="Times New Roman" w:hAnsi="Times New Roman"/>
          <w:sz w:val="28"/>
          <w:szCs w:val="28"/>
        </w:rPr>
        <w:t>&lt;0</w:t>
      </w:r>
      <w:r>
        <w:rPr>
          <w:rFonts w:ascii="Times New Roman" w:hAnsi="Times New Roman"/>
          <w:sz w:val="28"/>
          <w:szCs w:val="28"/>
        </w:rPr>
        <w:t xml:space="preserve">,001), але не від підгрупи з ПА (р=0,526). Водночас, даний показник також статистично достовірно різнився між підгрупами із АМЛ та ПА (р=0,09). Порівнюючи відношення променевої щільності доброякісних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до нормальної ниркової паренхіми на зображеннях КМФ, найвищі значення цього показника реєструвались у підгрупі із ОЦ (0,87</w:t>
      </w:r>
      <w:r>
        <w:rPr>
          <w:rFonts w:ascii="Times New Roman" w:hAnsi="Times New Roman" w:cs="Times New Roman"/>
          <w:sz w:val="28"/>
          <w:szCs w:val="28"/>
        </w:rPr>
        <w:t>±</w:t>
      </w:r>
      <w:r>
        <w:rPr>
          <w:rFonts w:ascii="Times New Roman" w:hAnsi="Times New Roman"/>
          <w:sz w:val="28"/>
          <w:szCs w:val="28"/>
        </w:rPr>
        <w:t>0,13) і достовірно відрізнялось від цього показника підгрупи з АМЛ, яке складало 0,63</w:t>
      </w:r>
      <w:r>
        <w:rPr>
          <w:rFonts w:ascii="Times New Roman" w:hAnsi="Times New Roman" w:cs="Times New Roman"/>
          <w:sz w:val="28"/>
          <w:szCs w:val="28"/>
        </w:rPr>
        <w:t>±0,23 (р=</w:t>
      </w:r>
      <w:r>
        <w:rPr>
          <w:rFonts w:ascii="Times New Roman" w:hAnsi="Times New Roman"/>
          <w:sz w:val="28"/>
          <w:szCs w:val="28"/>
        </w:rPr>
        <w:t xml:space="preserve">0,027). Суттєвих відмінностей між середніми показниками ВПЩ отриманими із КТ-зображень кортико-медулярної фази у підгрупах із ОЦ та ПА, а також у підгрупах із АМЛ та ПА нами отримано не було (відповідно р=0,067 та р=0,985). На КТ-зображеннях нефрографічної фази, в підгрупах доброякісних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 xml:space="preserve">найвищий середній </w:t>
      </w:r>
      <w:r>
        <w:rPr>
          <w:rFonts w:ascii="Times New Roman" w:hAnsi="Times New Roman"/>
          <w:sz w:val="28"/>
          <w:szCs w:val="28"/>
        </w:rPr>
        <w:lastRenderedPageBreak/>
        <w:t>показник ВПЩ пухлини до нормальної ниркової паренхіми спостерігався при ОЦ (1,13</w:t>
      </w:r>
      <w:r>
        <w:rPr>
          <w:rFonts w:ascii="Times New Roman" w:hAnsi="Times New Roman" w:cs="Times New Roman"/>
          <w:sz w:val="28"/>
          <w:szCs w:val="28"/>
        </w:rPr>
        <w:t>±</w:t>
      </w:r>
      <w:r>
        <w:rPr>
          <w:rFonts w:ascii="Times New Roman" w:hAnsi="Times New Roman"/>
          <w:sz w:val="28"/>
          <w:szCs w:val="28"/>
        </w:rPr>
        <w:t>0,53), а найнижчий у хворих з ПА (0,45</w:t>
      </w:r>
      <w:r>
        <w:rPr>
          <w:rFonts w:ascii="Times New Roman" w:hAnsi="Times New Roman" w:cs="Times New Roman"/>
          <w:sz w:val="28"/>
          <w:szCs w:val="28"/>
        </w:rPr>
        <w:t>±</w:t>
      </w:r>
      <w:r>
        <w:rPr>
          <w:rFonts w:ascii="Times New Roman" w:hAnsi="Times New Roman"/>
          <w:sz w:val="28"/>
          <w:szCs w:val="28"/>
        </w:rPr>
        <w:t>0,05), при цьому між ними була статистично достовірна різниця (р=</w:t>
      </w:r>
      <w:r w:rsidRPr="009E6C7E">
        <w:rPr>
          <w:rFonts w:ascii="Times New Roman" w:hAnsi="Times New Roman"/>
          <w:sz w:val="28"/>
          <w:szCs w:val="28"/>
        </w:rPr>
        <w:t>0,015</w:t>
      </w:r>
      <w:r>
        <w:rPr>
          <w:rFonts w:ascii="Times New Roman" w:hAnsi="Times New Roman"/>
          <w:sz w:val="28"/>
          <w:szCs w:val="28"/>
        </w:rPr>
        <w:t>). Водночас, середнє значення ВПЩ у підгрупі з АМЛ не мало суттєвої різниці від цього показника у хворих з ОЦ (р=0,099) та з ПА (р=0,521).</w:t>
      </w:r>
      <w:r w:rsidRPr="002159E1">
        <w:rPr>
          <w:rFonts w:ascii="Times New Roman" w:hAnsi="Times New Roman" w:cs="Times New Roman"/>
          <w:sz w:val="28"/>
          <w:szCs w:val="28"/>
        </w:rPr>
        <w:t xml:space="preserve"> </w:t>
      </w:r>
      <w:r>
        <w:rPr>
          <w:rFonts w:ascii="Times New Roman" w:hAnsi="Times New Roman" w:cs="Times New Roman"/>
          <w:sz w:val="28"/>
          <w:szCs w:val="28"/>
        </w:rPr>
        <w:t xml:space="preserve">Ми не спостерігали достовірної різниці в ВПЩ на КТ-зображеннях екскреторної фази у підгрупах із доброякісними </w:t>
      </w:r>
      <w:r>
        <w:rPr>
          <w:rFonts w:ascii="Times New Roman" w:hAnsi="Times New Roman" w:cs="Times New Roman"/>
          <w:sz w:val="28"/>
          <w:szCs w:val="28"/>
          <w:lang w:val="en-US"/>
        </w:rPr>
        <w:t>SRM</w:t>
      </w:r>
      <w:r>
        <w:rPr>
          <w:rFonts w:ascii="Times New Roman" w:hAnsi="Times New Roman" w:cs="Times New Roman"/>
          <w:sz w:val="28"/>
          <w:szCs w:val="28"/>
        </w:rPr>
        <w:t xml:space="preserve"> </w:t>
      </w:r>
      <w:r w:rsidRPr="009E6C7E">
        <w:rPr>
          <w:rFonts w:ascii="Times New Roman" w:hAnsi="Times New Roman" w:cs="Times New Roman"/>
          <w:sz w:val="28"/>
          <w:szCs w:val="28"/>
          <w:lang w:val="ru-RU"/>
        </w:rPr>
        <w:t>(р&gt;0,05</w:t>
      </w:r>
      <w:r>
        <w:rPr>
          <w:rFonts w:ascii="Times New Roman" w:hAnsi="Times New Roman" w:cs="Times New Roman"/>
          <w:sz w:val="28"/>
          <w:szCs w:val="28"/>
        </w:rPr>
        <w:t>)</w:t>
      </w:r>
      <w:r>
        <w:rPr>
          <w:rFonts w:ascii="Times New Roman" w:hAnsi="Times New Roman"/>
          <w:sz w:val="28"/>
          <w:szCs w:val="28"/>
        </w:rPr>
        <w:t xml:space="preserve">. </w:t>
      </w:r>
    </w:p>
    <w:p w:rsidR="00FA5DA4" w:rsidRDefault="00FA5DA4" w:rsidP="00FA5DA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порівнянні середніх значень ІС нормальної ниркової паренхіми в контрольній групі та ІС інтактної контрлатеральної нирки в групах із НКР, ПКК та доброякісними пухлинами, статистичних відмінностей знайдено не було, дані показники становили </w:t>
      </w:r>
      <w:r w:rsidRPr="009161AC">
        <w:rPr>
          <w:rFonts w:ascii="Times New Roman" w:hAnsi="Times New Roman" w:cs="Times New Roman"/>
          <w:sz w:val="28"/>
          <w:szCs w:val="28"/>
        </w:rPr>
        <w:t xml:space="preserve">для </w:t>
      </w:r>
      <w:r>
        <w:rPr>
          <w:rFonts w:ascii="Times New Roman" w:hAnsi="Times New Roman" w:cs="Times New Roman"/>
          <w:sz w:val="28"/>
          <w:szCs w:val="28"/>
        </w:rPr>
        <w:t>ПКЗ</w:t>
      </w:r>
      <w:r w:rsidRPr="009161AC">
        <w:rPr>
          <w:rFonts w:ascii="Times New Roman" w:hAnsi="Times New Roman" w:cs="Times New Roman"/>
          <w:sz w:val="28"/>
          <w:szCs w:val="28"/>
        </w:rPr>
        <w:t xml:space="preserve"> відповідно </w:t>
      </w:r>
      <w:r w:rsidRPr="009161AC">
        <w:rPr>
          <w:rFonts w:ascii="Times New Roman" w:hAnsi="Times New Roman"/>
          <w:sz w:val="28"/>
          <w:szCs w:val="28"/>
        </w:rPr>
        <w:t>30,84</w:t>
      </w:r>
      <w:r w:rsidRPr="009161AC">
        <w:rPr>
          <w:rFonts w:ascii="Times New Roman" w:hAnsi="Times New Roman" w:cs="Times New Roman"/>
          <w:sz w:val="28"/>
          <w:szCs w:val="28"/>
        </w:rPr>
        <w:t>±</w:t>
      </w:r>
      <w:r w:rsidRPr="009161AC">
        <w:rPr>
          <w:rFonts w:ascii="Times New Roman" w:hAnsi="Times New Roman"/>
          <w:sz w:val="28"/>
          <w:szCs w:val="28"/>
        </w:rPr>
        <w:t xml:space="preserve">6,51 </w:t>
      </w:r>
      <w:r w:rsidRPr="009161AC">
        <w:rPr>
          <w:rFonts w:ascii="Times New Roman" w:hAnsi="Times New Roman"/>
          <w:sz w:val="28"/>
          <w:szCs w:val="28"/>
          <w:lang w:val="en-US"/>
        </w:rPr>
        <w:t>HU</w:t>
      </w:r>
      <w:r w:rsidRPr="009E6C7E">
        <w:rPr>
          <w:rFonts w:ascii="Times New Roman" w:hAnsi="Times New Roman"/>
          <w:sz w:val="28"/>
          <w:szCs w:val="28"/>
        </w:rPr>
        <w:t xml:space="preserve"> </w:t>
      </w:r>
      <w:r w:rsidRPr="009161AC">
        <w:rPr>
          <w:rFonts w:ascii="Times New Roman" w:hAnsi="Times New Roman"/>
          <w:sz w:val="28"/>
          <w:szCs w:val="28"/>
        </w:rPr>
        <w:t>та 30,11</w:t>
      </w:r>
      <w:r w:rsidRPr="009161AC">
        <w:rPr>
          <w:rFonts w:ascii="Times New Roman" w:hAnsi="Times New Roman" w:cs="Times New Roman"/>
          <w:sz w:val="28"/>
          <w:szCs w:val="28"/>
        </w:rPr>
        <w:t>±</w:t>
      </w:r>
      <w:r w:rsidRPr="009161AC">
        <w:rPr>
          <w:rFonts w:ascii="Times New Roman" w:hAnsi="Times New Roman"/>
          <w:sz w:val="28"/>
          <w:szCs w:val="28"/>
        </w:rPr>
        <w:t>6,89</w:t>
      </w:r>
      <w:r w:rsidRPr="009E6C7E">
        <w:rPr>
          <w:rFonts w:ascii="Times New Roman" w:hAnsi="Times New Roman"/>
          <w:sz w:val="28"/>
          <w:szCs w:val="28"/>
        </w:rPr>
        <w:t xml:space="preserve"> </w:t>
      </w:r>
      <w:r w:rsidRPr="009161AC">
        <w:rPr>
          <w:rFonts w:ascii="Times New Roman" w:hAnsi="Times New Roman"/>
          <w:sz w:val="28"/>
          <w:szCs w:val="28"/>
          <w:lang w:val="en-US"/>
        </w:rPr>
        <w:t>HU</w:t>
      </w:r>
      <w:r w:rsidRPr="009161AC">
        <w:rPr>
          <w:rFonts w:ascii="Times New Roman" w:hAnsi="Times New Roman" w:cs="Times New Roman"/>
          <w:sz w:val="28"/>
          <w:szCs w:val="28"/>
        </w:rPr>
        <w:t xml:space="preserve"> (</w:t>
      </w:r>
      <w:r w:rsidRPr="009161AC">
        <w:rPr>
          <w:rFonts w:ascii="Times New Roman" w:hAnsi="Times New Roman" w:cs="Times New Roman"/>
          <w:sz w:val="28"/>
          <w:szCs w:val="28"/>
          <w:lang w:val="en-US"/>
        </w:rPr>
        <w:t>p</w:t>
      </w:r>
      <w:r w:rsidRPr="009E6C7E">
        <w:rPr>
          <w:rFonts w:ascii="Times New Roman" w:hAnsi="Times New Roman" w:cs="Times New Roman"/>
          <w:sz w:val="28"/>
          <w:szCs w:val="28"/>
        </w:rPr>
        <w:t>&gt;0</w:t>
      </w:r>
      <w:r w:rsidRPr="009161AC">
        <w:rPr>
          <w:rFonts w:ascii="Times New Roman" w:hAnsi="Times New Roman" w:cs="Times New Roman"/>
          <w:sz w:val="28"/>
          <w:szCs w:val="28"/>
        </w:rPr>
        <w:t>,05), для КМФ відпо</w:t>
      </w:r>
      <w:r>
        <w:rPr>
          <w:rFonts w:ascii="Times New Roman" w:hAnsi="Times New Roman" w:cs="Times New Roman"/>
          <w:sz w:val="28"/>
          <w:szCs w:val="28"/>
        </w:rPr>
        <w:t xml:space="preserve">відно </w:t>
      </w:r>
      <w:r>
        <w:rPr>
          <w:rFonts w:ascii="Times New Roman" w:hAnsi="Times New Roman"/>
          <w:sz w:val="28"/>
          <w:szCs w:val="28"/>
        </w:rPr>
        <w:t>119,38</w:t>
      </w:r>
      <w:r>
        <w:rPr>
          <w:rFonts w:ascii="Times New Roman" w:hAnsi="Times New Roman" w:cs="Times New Roman"/>
          <w:sz w:val="28"/>
          <w:szCs w:val="28"/>
        </w:rPr>
        <w:t>±</w:t>
      </w:r>
      <w:r>
        <w:rPr>
          <w:rFonts w:ascii="Times New Roman" w:hAnsi="Times New Roman"/>
          <w:sz w:val="28"/>
          <w:szCs w:val="28"/>
        </w:rPr>
        <w:t xml:space="preserve">13,21 </w:t>
      </w:r>
      <w:r>
        <w:rPr>
          <w:rFonts w:ascii="Times New Roman" w:hAnsi="Times New Roman"/>
          <w:sz w:val="28"/>
          <w:szCs w:val="28"/>
          <w:lang w:val="en-US"/>
        </w:rPr>
        <w:t>HU</w:t>
      </w:r>
      <w:r w:rsidRPr="009E6C7E">
        <w:rPr>
          <w:rFonts w:ascii="Times New Roman" w:hAnsi="Times New Roman"/>
          <w:sz w:val="28"/>
          <w:szCs w:val="28"/>
        </w:rPr>
        <w:t xml:space="preserve"> </w:t>
      </w:r>
      <w:r>
        <w:rPr>
          <w:rFonts w:ascii="Times New Roman" w:hAnsi="Times New Roman"/>
          <w:sz w:val="28"/>
          <w:szCs w:val="28"/>
        </w:rPr>
        <w:t>та 118,67</w:t>
      </w:r>
      <w:r>
        <w:rPr>
          <w:rFonts w:ascii="Times New Roman" w:hAnsi="Times New Roman" w:cs="Times New Roman"/>
          <w:sz w:val="28"/>
          <w:szCs w:val="28"/>
        </w:rPr>
        <w:t>±</w:t>
      </w:r>
      <w:r>
        <w:rPr>
          <w:rFonts w:ascii="Times New Roman" w:hAnsi="Times New Roman"/>
          <w:sz w:val="28"/>
          <w:szCs w:val="28"/>
        </w:rPr>
        <w:t>12,79</w:t>
      </w:r>
      <w:r w:rsidRPr="009E6C7E">
        <w:rPr>
          <w:rFonts w:ascii="Times New Roman" w:hAnsi="Times New Roman"/>
          <w:sz w:val="28"/>
          <w:szCs w:val="28"/>
        </w:rPr>
        <w:t xml:space="preserve"> </w:t>
      </w:r>
      <w:r>
        <w:rPr>
          <w:rFonts w:ascii="Times New Roman" w:hAnsi="Times New Roman"/>
          <w:sz w:val="28"/>
          <w:szCs w:val="28"/>
          <w:lang w:val="en-US"/>
        </w:rPr>
        <w:t>HU</w:t>
      </w:r>
      <w:r>
        <w:rPr>
          <w:rFonts w:ascii="Times New Roman" w:hAnsi="Times New Roman" w:cs="Times New Roman"/>
          <w:sz w:val="28"/>
          <w:szCs w:val="28"/>
        </w:rPr>
        <w:t xml:space="preserve"> (</w:t>
      </w:r>
      <w:r>
        <w:rPr>
          <w:rFonts w:ascii="Times New Roman" w:hAnsi="Times New Roman" w:cs="Times New Roman"/>
          <w:sz w:val="28"/>
          <w:szCs w:val="28"/>
          <w:lang w:val="en-US"/>
        </w:rPr>
        <w:t>p</w:t>
      </w:r>
      <w:r w:rsidRPr="009E6C7E">
        <w:rPr>
          <w:rFonts w:ascii="Times New Roman" w:hAnsi="Times New Roman" w:cs="Times New Roman"/>
          <w:sz w:val="28"/>
          <w:szCs w:val="28"/>
        </w:rPr>
        <w:t>&gt;0</w:t>
      </w:r>
      <w:r>
        <w:rPr>
          <w:rFonts w:ascii="Times New Roman" w:hAnsi="Times New Roman" w:cs="Times New Roman"/>
          <w:sz w:val="28"/>
          <w:szCs w:val="28"/>
        </w:rPr>
        <w:t xml:space="preserve">,05), для НФ відповідно </w:t>
      </w:r>
      <w:r>
        <w:rPr>
          <w:rFonts w:ascii="Times New Roman" w:hAnsi="Times New Roman"/>
          <w:sz w:val="28"/>
          <w:szCs w:val="28"/>
        </w:rPr>
        <w:t>115,11</w:t>
      </w:r>
      <w:r>
        <w:rPr>
          <w:rFonts w:ascii="Times New Roman" w:hAnsi="Times New Roman" w:cs="Times New Roman"/>
          <w:sz w:val="28"/>
          <w:szCs w:val="28"/>
        </w:rPr>
        <w:t>±</w:t>
      </w:r>
      <w:r>
        <w:rPr>
          <w:rFonts w:ascii="Times New Roman" w:hAnsi="Times New Roman"/>
          <w:sz w:val="28"/>
          <w:szCs w:val="28"/>
        </w:rPr>
        <w:t xml:space="preserve">36,03 </w:t>
      </w:r>
      <w:r>
        <w:rPr>
          <w:rFonts w:ascii="Times New Roman" w:hAnsi="Times New Roman"/>
          <w:sz w:val="28"/>
          <w:szCs w:val="28"/>
          <w:lang w:val="en-US"/>
        </w:rPr>
        <w:t>HU</w:t>
      </w:r>
      <w:r w:rsidRPr="009E6C7E">
        <w:rPr>
          <w:rFonts w:ascii="Times New Roman" w:hAnsi="Times New Roman"/>
          <w:sz w:val="28"/>
          <w:szCs w:val="28"/>
        </w:rPr>
        <w:t xml:space="preserve"> </w:t>
      </w:r>
      <w:r>
        <w:rPr>
          <w:rFonts w:ascii="Times New Roman" w:hAnsi="Times New Roman"/>
          <w:sz w:val="28"/>
          <w:szCs w:val="28"/>
        </w:rPr>
        <w:t>та 116,04</w:t>
      </w:r>
      <w:r>
        <w:rPr>
          <w:rFonts w:ascii="Times New Roman" w:hAnsi="Times New Roman" w:cs="Times New Roman"/>
          <w:sz w:val="28"/>
          <w:szCs w:val="28"/>
        </w:rPr>
        <w:t>±</w:t>
      </w:r>
      <w:r>
        <w:rPr>
          <w:rFonts w:ascii="Times New Roman" w:hAnsi="Times New Roman"/>
          <w:sz w:val="28"/>
          <w:szCs w:val="28"/>
        </w:rPr>
        <w:t>35,63</w:t>
      </w:r>
      <w:r w:rsidRPr="009E6C7E">
        <w:rPr>
          <w:rFonts w:ascii="Times New Roman" w:hAnsi="Times New Roman"/>
          <w:sz w:val="28"/>
          <w:szCs w:val="28"/>
        </w:rPr>
        <w:t xml:space="preserve"> </w:t>
      </w:r>
      <w:r>
        <w:rPr>
          <w:rFonts w:ascii="Times New Roman" w:hAnsi="Times New Roman"/>
          <w:sz w:val="28"/>
          <w:szCs w:val="28"/>
          <w:lang w:val="en-US"/>
        </w:rPr>
        <w:t>HU</w:t>
      </w:r>
      <w:r>
        <w:rPr>
          <w:rFonts w:ascii="Times New Roman" w:hAnsi="Times New Roman" w:cs="Times New Roman"/>
          <w:sz w:val="28"/>
          <w:szCs w:val="28"/>
        </w:rPr>
        <w:t xml:space="preserve"> (</w:t>
      </w:r>
      <w:r>
        <w:rPr>
          <w:rFonts w:ascii="Times New Roman" w:hAnsi="Times New Roman" w:cs="Times New Roman"/>
          <w:sz w:val="28"/>
          <w:szCs w:val="28"/>
          <w:lang w:val="en-US"/>
        </w:rPr>
        <w:t>p</w:t>
      </w:r>
      <w:r w:rsidRPr="009E6C7E">
        <w:rPr>
          <w:rFonts w:ascii="Times New Roman" w:hAnsi="Times New Roman" w:cs="Times New Roman"/>
          <w:sz w:val="28"/>
          <w:szCs w:val="28"/>
        </w:rPr>
        <w:t>&gt;0</w:t>
      </w:r>
      <w:r>
        <w:rPr>
          <w:rFonts w:ascii="Times New Roman" w:hAnsi="Times New Roman" w:cs="Times New Roman"/>
          <w:sz w:val="28"/>
          <w:szCs w:val="28"/>
        </w:rPr>
        <w:t xml:space="preserve">,05), для ЕФ відповідно </w:t>
      </w:r>
      <w:r>
        <w:rPr>
          <w:rFonts w:ascii="Times New Roman" w:hAnsi="Times New Roman"/>
          <w:sz w:val="28"/>
          <w:szCs w:val="28"/>
        </w:rPr>
        <w:t>85,52</w:t>
      </w:r>
      <w:r>
        <w:rPr>
          <w:rFonts w:ascii="Times New Roman" w:hAnsi="Times New Roman" w:cs="Times New Roman"/>
          <w:sz w:val="28"/>
          <w:szCs w:val="28"/>
        </w:rPr>
        <w:t>±</w:t>
      </w:r>
      <w:r>
        <w:rPr>
          <w:rFonts w:ascii="Times New Roman" w:hAnsi="Times New Roman"/>
          <w:sz w:val="28"/>
          <w:szCs w:val="28"/>
        </w:rPr>
        <w:t>11,34 та 83,76</w:t>
      </w:r>
      <w:r>
        <w:rPr>
          <w:rFonts w:ascii="Times New Roman" w:hAnsi="Times New Roman" w:cs="Times New Roman"/>
          <w:sz w:val="28"/>
          <w:szCs w:val="28"/>
        </w:rPr>
        <w:t>±</w:t>
      </w:r>
      <w:r>
        <w:rPr>
          <w:rFonts w:ascii="Times New Roman" w:hAnsi="Times New Roman"/>
          <w:sz w:val="28"/>
          <w:szCs w:val="28"/>
        </w:rPr>
        <w:t xml:space="preserve">25,73 </w:t>
      </w:r>
      <w:r>
        <w:rPr>
          <w:rFonts w:ascii="Times New Roman" w:hAnsi="Times New Roman"/>
          <w:sz w:val="28"/>
          <w:szCs w:val="28"/>
          <w:lang w:val="en-US"/>
        </w:rPr>
        <w:t>HU</w:t>
      </w:r>
      <w:r>
        <w:rPr>
          <w:rFonts w:ascii="Times New Roman" w:hAnsi="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en-US"/>
        </w:rPr>
        <w:t>p</w:t>
      </w:r>
      <w:r w:rsidRPr="009E6C7E">
        <w:rPr>
          <w:rFonts w:ascii="Times New Roman" w:hAnsi="Times New Roman" w:cs="Times New Roman"/>
          <w:sz w:val="28"/>
          <w:szCs w:val="28"/>
        </w:rPr>
        <w:t>&gt;0</w:t>
      </w:r>
      <w:r>
        <w:rPr>
          <w:rFonts w:ascii="Times New Roman" w:hAnsi="Times New Roman" w:cs="Times New Roman"/>
          <w:sz w:val="28"/>
          <w:szCs w:val="28"/>
        </w:rPr>
        <w:t>,05).</w:t>
      </w:r>
    </w:p>
    <w:p w:rsidR="00FA5DA4" w:rsidRPr="00075AD1" w:rsidRDefault="00FA5DA4" w:rsidP="00FA5DA4">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аналізу відмінностей у динаміці середніх значень променевої щільності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та ВПЩ пухлини до нормальної ниркової паренхіми, в залежності від фази КТ, нами були побудовані часові криві інтенсивності сигналу – </w:t>
      </w:r>
      <w:r>
        <w:rPr>
          <w:rFonts w:ascii="Times New Roman" w:hAnsi="Times New Roman" w:cs="Times New Roman"/>
          <w:sz w:val="28"/>
          <w:szCs w:val="28"/>
          <w:lang w:val="en-US"/>
        </w:rPr>
        <w:t>time</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intensity</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curves</w:t>
      </w:r>
      <w:r w:rsidRPr="009E6C7E">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en-US"/>
        </w:rPr>
        <w:t>TIK</w:t>
      </w:r>
      <w:r>
        <w:rPr>
          <w:rFonts w:ascii="Times New Roman" w:hAnsi="Times New Roman" w:cs="Times New Roman"/>
          <w:sz w:val="28"/>
          <w:szCs w:val="28"/>
        </w:rPr>
        <w:t>) для основної, порівняльних та контрольної груп</w:t>
      </w:r>
      <w:r w:rsidR="003E6143">
        <w:rPr>
          <w:rFonts w:ascii="Times New Roman" w:hAnsi="Times New Roman" w:cs="Times New Roman"/>
          <w:sz w:val="28"/>
          <w:szCs w:val="28"/>
        </w:rPr>
        <w:t xml:space="preserve"> (рис. 3.6)</w:t>
      </w:r>
      <w:r>
        <w:rPr>
          <w:rFonts w:ascii="Times New Roman" w:hAnsi="Times New Roman" w:cs="Times New Roman"/>
          <w:sz w:val="28"/>
          <w:szCs w:val="28"/>
        </w:rPr>
        <w:t xml:space="preserve">. </w:t>
      </w:r>
    </w:p>
    <w:p w:rsidR="00FA5DA4" w:rsidRDefault="00FA5DA4" w:rsidP="00FA5DA4">
      <w:pPr>
        <w:spacing w:line="360" w:lineRule="auto"/>
        <w:jc w:val="center"/>
        <w:rPr>
          <w:rFonts w:ascii="Times New Roman" w:hAnsi="Times New Roman"/>
          <w:sz w:val="28"/>
          <w:szCs w:val="28"/>
        </w:rPr>
      </w:pPr>
      <w:r>
        <w:rPr>
          <w:noProof/>
          <w:lang w:val="en-US"/>
        </w:rPr>
        <w:drawing>
          <wp:inline distT="0" distB="0" distL="0" distR="0" wp14:anchorId="56946A28" wp14:editId="16B9689C">
            <wp:extent cx="4695825" cy="2324100"/>
            <wp:effectExtent l="0" t="0" r="9525"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A5DA4" w:rsidRPr="0039259F" w:rsidRDefault="00FA5DA4" w:rsidP="00FA5DA4">
      <w:pPr>
        <w:spacing w:line="360" w:lineRule="auto"/>
        <w:jc w:val="center"/>
        <w:rPr>
          <w:rFonts w:ascii="Times New Roman" w:hAnsi="Times New Roman"/>
          <w:sz w:val="28"/>
          <w:szCs w:val="28"/>
        </w:rPr>
      </w:pPr>
      <w:r>
        <w:rPr>
          <w:rFonts w:ascii="Times New Roman" w:hAnsi="Times New Roman"/>
          <w:sz w:val="28"/>
          <w:szCs w:val="28"/>
        </w:rPr>
        <w:t>Рис. 3.6. Криві інтенсивності сигналу на основі середніх значень променевої щільності в основній, порівняльних та контрольній групах</w:t>
      </w:r>
    </w:p>
    <w:p w:rsidR="00FA5DA4" w:rsidRDefault="00FA5DA4" w:rsidP="00FA5DA4">
      <w:pPr>
        <w:spacing w:line="360" w:lineRule="auto"/>
        <w:jc w:val="center"/>
        <w:rPr>
          <w:rFonts w:ascii="Times New Roman" w:hAnsi="Times New Roman"/>
          <w:sz w:val="28"/>
          <w:szCs w:val="28"/>
        </w:rPr>
      </w:pPr>
      <w:r>
        <w:rPr>
          <w:noProof/>
          <w:lang w:val="en-US"/>
        </w:rPr>
        <w:lastRenderedPageBreak/>
        <w:drawing>
          <wp:inline distT="0" distB="0" distL="0" distR="0" wp14:anchorId="61EEE79C" wp14:editId="25383BB1">
            <wp:extent cx="4610100" cy="2762250"/>
            <wp:effectExtent l="0" t="0" r="0" b="0"/>
            <wp:docPr id="39"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F0B12" w:rsidRDefault="00FA5DA4" w:rsidP="004F0B12">
      <w:pPr>
        <w:spacing w:line="360" w:lineRule="auto"/>
        <w:jc w:val="center"/>
        <w:rPr>
          <w:rFonts w:ascii="Times New Roman" w:hAnsi="Times New Roman"/>
          <w:sz w:val="28"/>
          <w:szCs w:val="28"/>
        </w:rPr>
      </w:pPr>
      <w:r>
        <w:rPr>
          <w:rFonts w:ascii="Times New Roman" w:hAnsi="Times New Roman"/>
          <w:sz w:val="28"/>
          <w:szCs w:val="28"/>
        </w:rPr>
        <w:t xml:space="preserve">Рис. 3.7. Криві інтенсивності сигналу на основі середніх значень </w:t>
      </w:r>
      <w:r>
        <w:rPr>
          <w:rFonts w:ascii="Times New Roman" w:hAnsi="Times New Roman" w:cs="Times New Roman"/>
          <w:sz w:val="28"/>
          <w:szCs w:val="28"/>
        </w:rPr>
        <w:t xml:space="preserve">відношення променевої щільності пухлини до нормальної ниркової паренхіми </w:t>
      </w:r>
      <w:r>
        <w:rPr>
          <w:rFonts w:ascii="Times New Roman" w:hAnsi="Times New Roman"/>
          <w:sz w:val="28"/>
          <w:szCs w:val="28"/>
        </w:rPr>
        <w:t>в основній, порівняльних та контрольній групах</w:t>
      </w:r>
    </w:p>
    <w:p w:rsidR="009C1018" w:rsidRDefault="009C1018" w:rsidP="004F0B12">
      <w:pPr>
        <w:spacing w:line="360" w:lineRule="auto"/>
        <w:jc w:val="center"/>
        <w:rPr>
          <w:rFonts w:ascii="Times New Roman" w:hAnsi="Times New Roman"/>
          <w:sz w:val="28"/>
          <w:szCs w:val="28"/>
        </w:rPr>
      </w:pPr>
    </w:p>
    <w:p w:rsidR="004F0B12" w:rsidRPr="004F0B12" w:rsidRDefault="004F0B12" w:rsidP="004F0B1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 видно на рисунку 3.6, при НКР та ПКК ниркової миски </w:t>
      </w:r>
      <w:r>
        <w:rPr>
          <w:rFonts w:ascii="Times New Roman" w:hAnsi="Times New Roman" w:cs="Times New Roman"/>
          <w:sz w:val="28"/>
          <w:szCs w:val="28"/>
          <w:lang w:val="en-US"/>
        </w:rPr>
        <w:t>TIK</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після свого максимального значення мала пологий тип спаду, в той час, як при доброякісних </w:t>
      </w:r>
      <w:r>
        <w:rPr>
          <w:rFonts w:ascii="Times New Roman" w:hAnsi="Times New Roman" w:cs="Times New Roman"/>
          <w:sz w:val="28"/>
          <w:szCs w:val="28"/>
          <w:lang w:val="en-US"/>
        </w:rPr>
        <w:t>SRM</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крива містила ділянку «плато» між КМФ та НФ. Подібна тенденція спостерігалась і при побудові </w:t>
      </w:r>
      <w:r>
        <w:rPr>
          <w:rFonts w:ascii="Times New Roman" w:hAnsi="Times New Roman" w:cs="Times New Roman"/>
          <w:sz w:val="28"/>
          <w:szCs w:val="28"/>
          <w:lang w:val="en-US"/>
        </w:rPr>
        <w:t>TIK</w:t>
      </w:r>
      <w:r>
        <w:rPr>
          <w:rFonts w:ascii="Times New Roman" w:hAnsi="Times New Roman" w:cs="Times New Roman"/>
          <w:sz w:val="28"/>
          <w:szCs w:val="28"/>
        </w:rPr>
        <w:t xml:space="preserve"> на основі ВПЩ пухлини до нормальної ниркової паренхіми (рисунок 3.7).</w:t>
      </w:r>
    </w:p>
    <w:p w:rsidR="00FA5DA4" w:rsidRDefault="00FA5DA4" w:rsidP="00FA5DA4">
      <w:pPr>
        <w:spacing w:line="360" w:lineRule="auto"/>
        <w:jc w:val="both"/>
        <w:rPr>
          <w:rFonts w:ascii="Times New Roman" w:hAnsi="Times New Roman"/>
          <w:sz w:val="28"/>
          <w:szCs w:val="28"/>
        </w:rPr>
      </w:pPr>
      <w:r>
        <w:rPr>
          <w:rFonts w:ascii="Times New Roman" w:hAnsi="Times New Roman"/>
          <w:sz w:val="28"/>
          <w:szCs w:val="28"/>
        </w:rPr>
        <w:tab/>
        <w:t xml:space="preserve">При побудові </w:t>
      </w:r>
      <w:r>
        <w:rPr>
          <w:rFonts w:ascii="Times New Roman" w:hAnsi="Times New Roman"/>
          <w:sz w:val="28"/>
          <w:szCs w:val="28"/>
          <w:lang w:val="en-US"/>
        </w:rPr>
        <w:t>TIK</w:t>
      </w:r>
      <w:r w:rsidRPr="009E6C7E">
        <w:rPr>
          <w:rFonts w:ascii="Times New Roman" w:hAnsi="Times New Roman"/>
          <w:sz w:val="28"/>
          <w:szCs w:val="28"/>
        </w:rPr>
        <w:t xml:space="preserve"> </w:t>
      </w:r>
      <w:r>
        <w:rPr>
          <w:rFonts w:ascii="Times New Roman" w:hAnsi="Times New Roman"/>
          <w:sz w:val="28"/>
          <w:szCs w:val="28"/>
        </w:rPr>
        <w:t xml:space="preserve">на основі інтенсивності сигналу для різних гістологічних підтипів НКР було виявлено, що характер кривої скНКР після свого піку має пологий спадаючий характер, тоді як для пНКР більш характерний різкий її спад, а для хрНКР – більш повільне її зниження (рисунок 3.8). </w:t>
      </w:r>
    </w:p>
    <w:p w:rsidR="00FA5DA4" w:rsidRDefault="00FA5DA4" w:rsidP="00FA5DA4">
      <w:pPr>
        <w:spacing w:line="360" w:lineRule="auto"/>
        <w:jc w:val="center"/>
        <w:rPr>
          <w:rFonts w:ascii="Times New Roman" w:hAnsi="Times New Roman"/>
          <w:sz w:val="28"/>
          <w:szCs w:val="28"/>
        </w:rPr>
      </w:pPr>
      <w:r>
        <w:rPr>
          <w:noProof/>
          <w:lang w:val="en-US"/>
        </w:rPr>
        <w:lastRenderedPageBreak/>
        <w:drawing>
          <wp:inline distT="0" distB="0" distL="0" distR="0" wp14:anchorId="7956BDFA" wp14:editId="0FC3275E">
            <wp:extent cx="4895850" cy="2743200"/>
            <wp:effectExtent l="0" t="0" r="0" b="0"/>
            <wp:docPr id="40" name="Диаграмма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A5DA4" w:rsidRDefault="00FA5DA4" w:rsidP="00FA5DA4">
      <w:pPr>
        <w:spacing w:line="360" w:lineRule="auto"/>
        <w:jc w:val="center"/>
        <w:rPr>
          <w:rFonts w:ascii="Times New Roman" w:hAnsi="Times New Roman"/>
          <w:sz w:val="28"/>
          <w:szCs w:val="28"/>
        </w:rPr>
      </w:pPr>
      <w:r>
        <w:rPr>
          <w:rFonts w:ascii="Times New Roman" w:hAnsi="Times New Roman"/>
          <w:sz w:val="28"/>
          <w:szCs w:val="28"/>
        </w:rPr>
        <w:t>Рис. 3.8. Криві інтенсивності сигналу на основі середніх значень променевої щільності пухлини при різних гістологічних підтипах НКР</w:t>
      </w:r>
    </w:p>
    <w:p w:rsidR="00FA5DA4" w:rsidRDefault="00FA5DA4" w:rsidP="00FA5DA4">
      <w:pPr>
        <w:spacing w:line="360" w:lineRule="auto"/>
        <w:jc w:val="center"/>
        <w:rPr>
          <w:rFonts w:ascii="Times New Roman" w:hAnsi="Times New Roman"/>
          <w:sz w:val="28"/>
          <w:szCs w:val="28"/>
        </w:rPr>
      </w:pPr>
    </w:p>
    <w:p w:rsidR="00FA5DA4"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t xml:space="preserve">На </w:t>
      </w:r>
      <w:r>
        <w:rPr>
          <w:rFonts w:ascii="Times New Roman" w:hAnsi="Times New Roman"/>
          <w:sz w:val="28"/>
          <w:szCs w:val="28"/>
          <w:lang w:val="en-US"/>
        </w:rPr>
        <w:t>TIK</w:t>
      </w:r>
      <w:r w:rsidRPr="009E6C7E">
        <w:rPr>
          <w:rFonts w:ascii="Times New Roman" w:hAnsi="Times New Roman"/>
          <w:sz w:val="28"/>
          <w:szCs w:val="28"/>
        </w:rPr>
        <w:t xml:space="preserve"> </w:t>
      </w:r>
      <w:r>
        <w:rPr>
          <w:rFonts w:ascii="Times New Roman" w:hAnsi="Times New Roman"/>
          <w:sz w:val="28"/>
          <w:szCs w:val="28"/>
        </w:rPr>
        <w:t>на основі ВПЩ, на відміну від скНКР та хрНКР, крива папілярного підтипу мала більш стрімкий характер спадання від свого піку (рисунок 3.9).</w:t>
      </w:r>
    </w:p>
    <w:p w:rsidR="00FA5DA4" w:rsidRDefault="00FA5DA4" w:rsidP="00FA5DA4">
      <w:pPr>
        <w:spacing w:line="360" w:lineRule="auto"/>
        <w:jc w:val="center"/>
        <w:rPr>
          <w:rFonts w:ascii="Times New Roman" w:hAnsi="Times New Roman"/>
          <w:sz w:val="28"/>
          <w:szCs w:val="28"/>
        </w:rPr>
      </w:pPr>
      <w:r>
        <w:rPr>
          <w:noProof/>
          <w:lang w:val="en-US"/>
        </w:rPr>
        <w:drawing>
          <wp:inline distT="0" distB="0" distL="0" distR="0" wp14:anchorId="4CCA0B41" wp14:editId="7E1E88BD">
            <wp:extent cx="4600575" cy="2981325"/>
            <wp:effectExtent l="0" t="0" r="9525" b="9525"/>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A5DA4" w:rsidRDefault="00FA5DA4" w:rsidP="00FA5DA4">
      <w:pPr>
        <w:spacing w:line="360" w:lineRule="auto"/>
        <w:jc w:val="center"/>
        <w:rPr>
          <w:rFonts w:ascii="Times New Roman" w:hAnsi="Times New Roman"/>
          <w:sz w:val="28"/>
          <w:szCs w:val="28"/>
        </w:rPr>
      </w:pPr>
      <w:r>
        <w:rPr>
          <w:rFonts w:ascii="Times New Roman" w:hAnsi="Times New Roman"/>
          <w:sz w:val="28"/>
          <w:szCs w:val="28"/>
        </w:rPr>
        <w:t xml:space="preserve">Рис. 3.9. Криві інтенсивності сигналу на основі середніх значень </w:t>
      </w:r>
      <w:r>
        <w:rPr>
          <w:rFonts w:ascii="Times New Roman" w:hAnsi="Times New Roman" w:cs="Times New Roman"/>
          <w:sz w:val="28"/>
          <w:szCs w:val="28"/>
        </w:rPr>
        <w:t xml:space="preserve">відношення променевої щільності пухлини до нормальної ниркової паренхіми </w:t>
      </w:r>
      <w:r>
        <w:rPr>
          <w:rFonts w:ascii="Times New Roman" w:hAnsi="Times New Roman"/>
          <w:sz w:val="28"/>
          <w:szCs w:val="28"/>
        </w:rPr>
        <w:t>при різних гістологічних підтипах НКР</w:t>
      </w:r>
    </w:p>
    <w:p w:rsidR="00FA5DA4" w:rsidRDefault="00FA5DA4" w:rsidP="00FA5DA4">
      <w:pPr>
        <w:spacing w:line="360" w:lineRule="auto"/>
        <w:ind w:firstLine="708"/>
        <w:jc w:val="both"/>
        <w:rPr>
          <w:rFonts w:ascii="Times New Roman" w:hAnsi="Times New Roman"/>
          <w:sz w:val="28"/>
          <w:szCs w:val="28"/>
        </w:rPr>
      </w:pPr>
      <w:r>
        <w:rPr>
          <w:rFonts w:ascii="Times New Roman" w:hAnsi="Times New Roman"/>
          <w:sz w:val="28"/>
          <w:szCs w:val="28"/>
        </w:rPr>
        <w:lastRenderedPageBreak/>
        <w:t xml:space="preserve"> При побудові </w:t>
      </w:r>
      <w:r>
        <w:rPr>
          <w:rFonts w:ascii="Times New Roman" w:hAnsi="Times New Roman"/>
          <w:sz w:val="28"/>
          <w:szCs w:val="28"/>
          <w:lang w:val="en-US"/>
        </w:rPr>
        <w:t>TIK</w:t>
      </w:r>
      <w:r w:rsidRPr="009E6C7E">
        <w:rPr>
          <w:rFonts w:ascii="Times New Roman" w:hAnsi="Times New Roman"/>
          <w:sz w:val="28"/>
          <w:szCs w:val="28"/>
          <w:lang w:val="ru-RU"/>
        </w:rPr>
        <w:t xml:space="preserve"> </w:t>
      </w:r>
      <w:r>
        <w:rPr>
          <w:rFonts w:ascii="Times New Roman" w:hAnsi="Times New Roman"/>
          <w:sz w:val="28"/>
          <w:szCs w:val="28"/>
        </w:rPr>
        <w:t xml:space="preserve">для конвенційного НКР та папілярного НКР низького та високого ступенів за </w:t>
      </w:r>
      <w:r>
        <w:rPr>
          <w:rFonts w:ascii="Times New Roman" w:hAnsi="Times New Roman"/>
          <w:sz w:val="28"/>
          <w:szCs w:val="28"/>
          <w:lang w:val="en-US"/>
        </w:rPr>
        <w:t>Fuhrman</w:t>
      </w:r>
      <w:r>
        <w:rPr>
          <w:rFonts w:ascii="Times New Roman" w:hAnsi="Times New Roman"/>
          <w:sz w:val="28"/>
          <w:szCs w:val="28"/>
        </w:rPr>
        <w:t>, істотних їх відмінностей між собою знайдено не було.</w:t>
      </w:r>
    </w:p>
    <w:p w:rsidR="00FA5DA4" w:rsidRDefault="00FA5DA4" w:rsidP="00FA5DA4">
      <w:pPr>
        <w:spacing w:line="360" w:lineRule="auto"/>
        <w:jc w:val="both"/>
        <w:rPr>
          <w:rFonts w:ascii="Times New Roman" w:hAnsi="Times New Roman" w:cs="Times New Roman"/>
          <w:sz w:val="28"/>
          <w:szCs w:val="28"/>
        </w:rPr>
      </w:pPr>
      <w:r>
        <w:rPr>
          <w:rFonts w:ascii="Times New Roman" w:hAnsi="Times New Roman"/>
          <w:sz w:val="28"/>
          <w:szCs w:val="28"/>
        </w:rPr>
        <w:tab/>
        <w:t xml:space="preserve">В результаті проведеного аналізу було з’ясовано, що при диференціації НКР від інших </w:t>
      </w:r>
      <w:r>
        <w:rPr>
          <w:rFonts w:ascii="Times New Roman" w:hAnsi="Times New Roman"/>
          <w:sz w:val="28"/>
          <w:szCs w:val="28"/>
          <w:lang w:val="en-US"/>
        </w:rPr>
        <w:t>SRM</w:t>
      </w:r>
      <w:r>
        <w:rPr>
          <w:rFonts w:ascii="Times New Roman" w:hAnsi="Times New Roman"/>
          <w:sz w:val="28"/>
          <w:szCs w:val="28"/>
        </w:rPr>
        <w:t>,</w:t>
      </w:r>
      <w:r w:rsidRPr="009E6C7E">
        <w:rPr>
          <w:rFonts w:ascii="Times New Roman" w:hAnsi="Times New Roman"/>
          <w:sz w:val="28"/>
          <w:szCs w:val="28"/>
        </w:rPr>
        <w:t xml:space="preserve"> </w:t>
      </w:r>
      <w:r>
        <w:rPr>
          <w:rFonts w:ascii="Times New Roman" w:hAnsi="Times New Roman"/>
          <w:sz w:val="28"/>
          <w:szCs w:val="28"/>
        </w:rPr>
        <w:t xml:space="preserve">серед досліджуваних потенційних променевих біомаркерів на основі КТ, найвищу ефективність мав параметр променевої щільності пухлини (інтенсивність сигналу) отриманий з КТ-зображень екскреторної фази при пороговому значенні </w:t>
      </w:r>
      <w:r>
        <w:rPr>
          <w:rFonts w:ascii="Times New Roman" w:hAnsi="Times New Roman" w:cs="Times New Roman"/>
          <w:sz w:val="28"/>
          <w:szCs w:val="28"/>
        </w:rPr>
        <w:t xml:space="preserve">52,29 </w:t>
      </w:r>
      <w:r>
        <w:rPr>
          <w:rFonts w:ascii="Times New Roman" w:hAnsi="Times New Roman" w:cs="Times New Roman"/>
          <w:sz w:val="28"/>
          <w:szCs w:val="28"/>
          <w:lang w:val="en-US"/>
        </w:rPr>
        <w:t>HU</w:t>
      </w:r>
      <w:r>
        <w:rPr>
          <w:rFonts w:ascii="Times New Roman" w:hAnsi="Times New Roman"/>
          <w:sz w:val="28"/>
          <w:szCs w:val="28"/>
        </w:rPr>
        <w:t xml:space="preserve">: чутливість 100%, специфічність 61,3%, </w:t>
      </w:r>
      <w:r>
        <w:rPr>
          <w:rFonts w:ascii="Times New Roman" w:hAnsi="Times New Roman"/>
          <w:sz w:val="28"/>
          <w:szCs w:val="28"/>
          <w:lang w:val="en-US"/>
        </w:rPr>
        <w:t>AUC</w:t>
      </w:r>
      <w:r w:rsidRPr="009E6C7E">
        <w:rPr>
          <w:rFonts w:ascii="Times New Roman" w:hAnsi="Times New Roman"/>
          <w:sz w:val="28"/>
          <w:szCs w:val="28"/>
        </w:rPr>
        <w:t xml:space="preserve"> – </w:t>
      </w:r>
      <w:r>
        <w:rPr>
          <w:rFonts w:ascii="Times New Roman" w:hAnsi="Times New Roman" w:cs="Times New Roman"/>
          <w:sz w:val="28"/>
          <w:szCs w:val="28"/>
        </w:rPr>
        <w:t>0,848</w:t>
      </w:r>
      <w:r w:rsidRPr="009E6C7E">
        <w:rPr>
          <w:rFonts w:ascii="Times New Roman" w:hAnsi="Times New Roman" w:cs="Times New Roman"/>
          <w:sz w:val="28"/>
          <w:szCs w:val="28"/>
        </w:rPr>
        <w:t>, р&lt;</w:t>
      </w:r>
      <w:r>
        <w:rPr>
          <w:rFonts w:ascii="Times New Roman" w:hAnsi="Times New Roman" w:cs="Times New Roman"/>
          <w:sz w:val="28"/>
          <w:szCs w:val="28"/>
        </w:rPr>
        <w:t xml:space="preserve">0,001. Це є неочікуваною знахідкою, оскільки для виявлення паренхіматозних пухлин нирок найвищу чутливість мають кортико-медулярна на нефрографічна фази КТ. Обчислення </w:t>
      </w:r>
      <w:r>
        <w:rPr>
          <w:rFonts w:ascii="Times New Roman" w:hAnsi="Times New Roman"/>
          <w:sz w:val="28"/>
          <w:szCs w:val="28"/>
        </w:rPr>
        <w:t>відношення променевої щільності пухлини до нормальної ниркової паренхіми</w:t>
      </w:r>
      <w:r>
        <w:rPr>
          <w:rFonts w:ascii="Times New Roman" w:hAnsi="Times New Roman" w:cs="Times New Roman"/>
          <w:sz w:val="28"/>
          <w:szCs w:val="28"/>
        </w:rPr>
        <w:t xml:space="preserve"> не мало переваг над ІС при диференціації НКР від інших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(рисунок 3.10).</w:t>
      </w:r>
    </w:p>
    <w:p w:rsidR="003537F1" w:rsidRDefault="003537F1" w:rsidP="00FA5DA4">
      <w:pPr>
        <w:spacing w:line="360" w:lineRule="auto"/>
        <w:jc w:val="both"/>
        <w:rPr>
          <w:rFonts w:ascii="Times New Roman" w:hAnsi="Times New Roman"/>
          <w:sz w:val="28"/>
          <w:szCs w:val="28"/>
        </w:rPr>
      </w:pPr>
    </w:p>
    <w:tbl>
      <w:tblPr>
        <w:tblStyle w:val="PlainTable4"/>
        <w:tblW w:w="9782" w:type="dxa"/>
        <w:tblLook w:val="04A0" w:firstRow="1" w:lastRow="0" w:firstColumn="1" w:lastColumn="0" w:noHBand="0" w:noVBand="1"/>
      </w:tblPr>
      <w:tblGrid>
        <w:gridCol w:w="4896"/>
        <w:gridCol w:w="4886"/>
      </w:tblGrid>
      <w:tr w:rsidR="00FA5DA4" w:rsidTr="001F0C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96" w:type="dxa"/>
          </w:tcPr>
          <w:p w:rsidR="00FA5DA4" w:rsidRDefault="00FA5DA4" w:rsidP="001F0C51">
            <w:pPr>
              <w:spacing w:line="360" w:lineRule="auto"/>
              <w:rPr>
                <w:rFonts w:ascii="Times New Roman" w:hAnsi="Times New Roman"/>
                <w:sz w:val="28"/>
                <w:szCs w:val="28"/>
              </w:rPr>
            </w:pPr>
            <w:r>
              <w:rPr>
                <w:rFonts w:ascii="Times New Roman" w:hAnsi="Times New Roman"/>
                <w:sz w:val="28"/>
                <w:szCs w:val="28"/>
              </w:rPr>
              <w:t>А</w:t>
            </w:r>
          </w:p>
          <w:p w:rsidR="00FA5DA4" w:rsidRDefault="00FA5DA4" w:rsidP="001F0C51">
            <w:pPr>
              <w:spacing w:line="360" w:lineRule="auto"/>
              <w:rPr>
                <w:rFonts w:ascii="Times New Roman" w:hAnsi="Times New Roman"/>
                <w:sz w:val="28"/>
                <w:szCs w:val="28"/>
              </w:rPr>
            </w:pPr>
            <w:r>
              <w:rPr>
                <w:rFonts w:ascii="Times New Roman" w:hAnsi="Times New Roman" w:cs="Times New Roman"/>
                <w:noProof/>
                <w:sz w:val="24"/>
                <w:szCs w:val="24"/>
                <w:lang w:val="en-US"/>
              </w:rPr>
              <w:drawing>
                <wp:inline distT="0" distB="0" distL="0" distR="0" wp14:anchorId="7470A97A" wp14:editId="2122A00A">
                  <wp:extent cx="2972396" cy="28800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9515" r="8018"/>
                          <a:stretch/>
                        </pic:blipFill>
                        <pic:spPr bwMode="auto">
                          <a:xfrm>
                            <a:off x="0" y="0"/>
                            <a:ext cx="2972396" cy="288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86" w:type="dxa"/>
          </w:tcPr>
          <w:p w:rsidR="00FA5DA4" w:rsidRDefault="00FA5DA4" w:rsidP="001F0C5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8"/>
                <w:szCs w:val="28"/>
              </w:rPr>
            </w:pPr>
            <w:r>
              <w:rPr>
                <w:rFonts w:ascii="Times New Roman" w:hAnsi="Times New Roman"/>
                <w:sz w:val="28"/>
                <w:szCs w:val="28"/>
              </w:rPr>
              <w:t>Б</w:t>
            </w:r>
          </w:p>
          <w:p w:rsidR="00FA5DA4" w:rsidRDefault="00FA5DA4" w:rsidP="001F0C5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8"/>
                <w:szCs w:val="28"/>
              </w:rPr>
            </w:pPr>
            <w:r>
              <w:rPr>
                <w:rFonts w:ascii="Times New Roman" w:hAnsi="Times New Roman" w:cs="Times New Roman"/>
                <w:noProof/>
                <w:sz w:val="24"/>
                <w:szCs w:val="24"/>
                <w:lang w:val="en-US"/>
              </w:rPr>
              <w:drawing>
                <wp:inline distT="0" distB="0" distL="0" distR="0" wp14:anchorId="486256B4" wp14:editId="7FA524A2">
                  <wp:extent cx="2934291" cy="28800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0307" r="8282"/>
                          <a:stretch/>
                        </pic:blipFill>
                        <pic:spPr bwMode="auto">
                          <a:xfrm>
                            <a:off x="0" y="0"/>
                            <a:ext cx="2934291" cy="2880000"/>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FA5DA4" w:rsidRPr="007546A5" w:rsidRDefault="00FA5DA4" w:rsidP="00FA5DA4">
      <w:pPr>
        <w:spacing w:line="360" w:lineRule="auto"/>
        <w:jc w:val="center"/>
        <w:rPr>
          <w:rFonts w:ascii="Times New Roman" w:hAnsi="Times New Roman"/>
          <w:sz w:val="28"/>
          <w:szCs w:val="28"/>
        </w:rPr>
      </w:pPr>
      <w:r>
        <w:rPr>
          <w:rFonts w:ascii="Times New Roman" w:hAnsi="Times New Roman"/>
          <w:sz w:val="28"/>
          <w:szCs w:val="28"/>
        </w:rPr>
        <w:t xml:space="preserve">Рис. 3.10. </w:t>
      </w:r>
      <w:r>
        <w:rPr>
          <w:rFonts w:ascii="Times New Roman" w:hAnsi="Times New Roman"/>
          <w:sz w:val="28"/>
          <w:szCs w:val="28"/>
          <w:lang w:val="en-US"/>
        </w:rPr>
        <w:t>ROC</w:t>
      </w:r>
      <w:r>
        <w:rPr>
          <w:rFonts w:ascii="Times New Roman" w:hAnsi="Times New Roman"/>
          <w:sz w:val="28"/>
          <w:szCs w:val="28"/>
        </w:rPr>
        <w:t xml:space="preserve">-криві при диференціації НКР від інших </w:t>
      </w:r>
      <w:r>
        <w:rPr>
          <w:rFonts w:ascii="Times New Roman" w:hAnsi="Times New Roman"/>
          <w:sz w:val="28"/>
          <w:szCs w:val="28"/>
          <w:lang w:val="en-US"/>
        </w:rPr>
        <w:t>SRM</w:t>
      </w:r>
      <w:r>
        <w:rPr>
          <w:rFonts w:ascii="Times New Roman" w:hAnsi="Times New Roman"/>
          <w:sz w:val="28"/>
          <w:szCs w:val="28"/>
        </w:rPr>
        <w:t xml:space="preserve"> побудовані на основі (А) променевої щільності пухлини (Б) відношення променевої щільності пухлини до нормальної ниркової паренхіми</w:t>
      </w:r>
    </w:p>
    <w:p w:rsidR="00FA5DA4" w:rsidRPr="00975B8D" w:rsidRDefault="00FA5DA4" w:rsidP="00FA5DA4">
      <w:pPr>
        <w:autoSpaceDE w:val="0"/>
        <w:autoSpaceDN w:val="0"/>
        <w:adjustRightInd w:val="0"/>
        <w:spacing w:after="0" w:line="240" w:lineRule="auto"/>
        <w:jc w:val="center"/>
        <w:rPr>
          <w:rFonts w:ascii="Times New Roman" w:hAnsi="Times New Roman" w:cs="Times New Roman"/>
          <w:sz w:val="24"/>
          <w:szCs w:val="24"/>
        </w:rPr>
      </w:pPr>
    </w:p>
    <w:p w:rsidR="00FA5DA4" w:rsidRPr="0056671E" w:rsidRDefault="00FA5DA4" w:rsidP="00FA5DA4">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4"/>
          <w:szCs w:val="24"/>
        </w:rPr>
        <w:lastRenderedPageBreak/>
        <w:tab/>
      </w:r>
      <w:r w:rsidRPr="004B5AD7">
        <w:rPr>
          <w:rFonts w:ascii="Times New Roman" w:hAnsi="Times New Roman" w:cs="Times New Roman"/>
          <w:sz w:val="28"/>
          <w:szCs w:val="28"/>
        </w:rPr>
        <w:t xml:space="preserve">При диференціації НКР </w:t>
      </w:r>
      <w:r>
        <w:rPr>
          <w:rFonts w:ascii="Times New Roman" w:hAnsi="Times New Roman" w:cs="Times New Roman"/>
          <w:sz w:val="28"/>
          <w:szCs w:val="28"/>
        </w:rPr>
        <w:t xml:space="preserve">від доброякісних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 усіх досліджених показників найвищу ефективність продемонструвало застосування ВПЩ </w:t>
      </w:r>
      <w:r>
        <w:rPr>
          <w:rFonts w:ascii="Times New Roman" w:hAnsi="Times New Roman"/>
          <w:sz w:val="28"/>
          <w:szCs w:val="28"/>
        </w:rPr>
        <w:t>пухлини до нормальної ниркової паренхіми екскреторної фази КТ</w:t>
      </w:r>
      <w:r w:rsidRPr="009E6C7E">
        <w:rPr>
          <w:rFonts w:ascii="Times New Roman" w:hAnsi="Times New Roman"/>
          <w:sz w:val="28"/>
          <w:szCs w:val="28"/>
        </w:rPr>
        <w:t xml:space="preserve"> </w:t>
      </w:r>
      <w:r>
        <w:rPr>
          <w:rFonts w:ascii="Times New Roman" w:hAnsi="Times New Roman"/>
          <w:sz w:val="28"/>
          <w:szCs w:val="28"/>
        </w:rPr>
        <w:t>при граничній величині</w:t>
      </w:r>
      <w:r w:rsidRPr="009E6C7E">
        <w:rPr>
          <w:rFonts w:ascii="Times New Roman" w:hAnsi="Times New Roman"/>
          <w:sz w:val="28"/>
          <w:szCs w:val="28"/>
        </w:rPr>
        <w:t xml:space="preserve"> </w:t>
      </w:r>
      <w:r>
        <w:rPr>
          <w:rFonts w:ascii="Times New Roman" w:hAnsi="Times New Roman" w:cs="Times New Roman"/>
          <w:sz w:val="28"/>
          <w:szCs w:val="28"/>
        </w:rPr>
        <w:t>0,63</w:t>
      </w:r>
      <w:r>
        <w:rPr>
          <w:rFonts w:ascii="Times New Roman" w:hAnsi="Times New Roman"/>
          <w:sz w:val="28"/>
          <w:szCs w:val="28"/>
        </w:rPr>
        <w:t xml:space="preserve">: чутливість </w:t>
      </w:r>
      <w:r>
        <w:rPr>
          <w:rFonts w:ascii="Times New Roman" w:hAnsi="Times New Roman" w:cs="Times New Roman"/>
          <w:sz w:val="28"/>
          <w:szCs w:val="28"/>
        </w:rPr>
        <w:t xml:space="preserve">88,6%, специфічність 52,4%, </w:t>
      </w:r>
      <w:r>
        <w:rPr>
          <w:rFonts w:ascii="Times New Roman" w:hAnsi="Times New Roman" w:cs="Times New Roman"/>
          <w:sz w:val="28"/>
          <w:szCs w:val="28"/>
          <w:lang w:val="en-US"/>
        </w:rPr>
        <w:t>AUC</w:t>
      </w:r>
      <w:r w:rsidRPr="009E6C7E">
        <w:rPr>
          <w:rFonts w:ascii="Times New Roman" w:hAnsi="Times New Roman" w:cs="Times New Roman"/>
          <w:sz w:val="28"/>
          <w:szCs w:val="28"/>
        </w:rPr>
        <w:t xml:space="preserve"> – </w:t>
      </w:r>
      <w:r>
        <w:rPr>
          <w:rFonts w:ascii="Times New Roman" w:hAnsi="Times New Roman" w:cs="Times New Roman"/>
          <w:sz w:val="28"/>
          <w:szCs w:val="28"/>
        </w:rPr>
        <w:t>0,763, р</w:t>
      </w:r>
      <w:r w:rsidRPr="009E6C7E">
        <w:rPr>
          <w:rFonts w:ascii="Times New Roman" w:hAnsi="Times New Roman" w:cs="Times New Roman"/>
          <w:sz w:val="28"/>
          <w:szCs w:val="28"/>
        </w:rPr>
        <w:t>&lt;</w:t>
      </w:r>
      <w:r>
        <w:rPr>
          <w:rFonts w:ascii="Times New Roman" w:hAnsi="Times New Roman" w:cs="Times New Roman"/>
          <w:sz w:val="28"/>
          <w:szCs w:val="28"/>
        </w:rPr>
        <w:t xml:space="preserve">0,001. </w:t>
      </w:r>
    </w:p>
    <w:p w:rsidR="00FA5DA4" w:rsidRDefault="00FA5DA4" w:rsidP="00FA5DA4">
      <w:pPr>
        <w:autoSpaceDE w:val="0"/>
        <w:autoSpaceDN w:val="0"/>
        <w:adjustRightInd w:val="0"/>
        <w:spacing w:after="0" w:line="240" w:lineRule="auto"/>
        <w:rPr>
          <w:rFonts w:ascii="Times New Roman" w:hAnsi="Times New Roman" w:cs="Times New Roman"/>
          <w:sz w:val="24"/>
          <w:szCs w:val="24"/>
        </w:rPr>
      </w:pPr>
    </w:p>
    <w:p w:rsidR="00FA5DA4" w:rsidRPr="0056671E" w:rsidRDefault="00FA5DA4" w:rsidP="00FA5DA4">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Під час диференціації світлоклітинного НКР від несвітлоклітинного </w:t>
      </w:r>
      <w:r>
        <w:rPr>
          <w:rFonts w:ascii="Times New Roman" w:hAnsi="Times New Roman"/>
          <w:sz w:val="28"/>
          <w:szCs w:val="28"/>
        </w:rPr>
        <w:t>при розмірі до 4 см</w:t>
      </w:r>
      <w:r>
        <w:rPr>
          <w:rFonts w:ascii="Times New Roman" w:hAnsi="Times New Roman" w:cs="Times New Roman"/>
          <w:sz w:val="28"/>
          <w:szCs w:val="28"/>
        </w:rPr>
        <w:t xml:space="preserve">, лише променева щільність пухлини, виміряна з КТ-зображень під час нефрографічної фази, дозволяла з допустимою статистичною достовірністю і точністю проводити таку диференціацію: чутливість, специфічність та </w:t>
      </w:r>
      <w:r>
        <w:rPr>
          <w:rFonts w:ascii="Times New Roman" w:hAnsi="Times New Roman" w:cs="Times New Roman"/>
          <w:sz w:val="28"/>
          <w:szCs w:val="28"/>
          <w:lang w:val="en-US"/>
        </w:rPr>
        <w:t>AUC</w:t>
      </w:r>
      <w:r w:rsidRPr="009E6C7E">
        <w:rPr>
          <w:rFonts w:ascii="Times New Roman" w:hAnsi="Times New Roman" w:cs="Times New Roman"/>
          <w:sz w:val="28"/>
          <w:szCs w:val="28"/>
        </w:rPr>
        <w:t xml:space="preserve"> </w:t>
      </w:r>
      <w:r>
        <w:rPr>
          <w:rFonts w:ascii="Times New Roman" w:hAnsi="Times New Roman" w:cs="Times New Roman"/>
          <w:sz w:val="28"/>
          <w:szCs w:val="28"/>
        </w:rPr>
        <w:t>становили відповідно 75,0%, 51,6% та 0,725 (р=0,001), при пороговому значенні 79,39</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xml:space="preserve">. У решті випадків тесту бракувало статистичної достовірності чи/і точності. </w:t>
      </w:r>
    </w:p>
    <w:p w:rsidR="00FA5DA4" w:rsidRPr="0056671E" w:rsidRDefault="00FA5DA4" w:rsidP="00FA5DA4">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4"/>
          <w:szCs w:val="24"/>
        </w:rPr>
        <w:tab/>
      </w:r>
      <w:r>
        <w:rPr>
          <w:rFonts w:ascii="Times New Roman" w:hAnsi="Times New Roman" w:cs="Times New Roman"/>
          <w:sz w:val="28"/>
          <w:szCs w:val="28"/>
        </w:rPr>
        <w:t xml:space="preserve">Найкращі показники при диференціації пНКР від хрНКР, </w:t>
      </w:r>
      <w:r>
        <w:rPr>
          <w:rFonts w:ascii="Times New Roman" w:hAnsi="Times New Roman"/>
          <w:sz w:val="28"/>
          <w:szCs w:val="28"/>
        </w:rPr>
        <w:t>при розмірі до 4 см,</w:t>
      </w:r>
      <w:r>
        <w:rPr>
          <w:rFonts w:ascii="Times New Roman" w:hAnsi="Times New Roman" w:cs="Times New Roman"/>
          <w:sz w:val="28"/>
          <w:szCs w:val="28"/>
        </w:rPr>
        <w:t xml:space="preserve"> були отримані при застосуванні ІС пухлини із пороговою величиною </w:t>
      </w:r>
      <w:r w:rsidRPr="009E6C7E">
        <w:rPr>
          <w:rFonts w:ascii="Times New Roman" w:hAnsi="Times New Roman" w:cs="Times New Roman"/>
          <w:sz w:val="28"/>
          <w:szCs w:val="28"/>
          <w:lang w:val="ru-RU"/>
        </w:rPr>
        <w:t>90</w:t>
      </w:r>
      <w:r>
        <w:rPr>
          <w:rFonts w:ascii="Times New Roman" w:hAnsi="Times New Roman" w:cs="Times New Roman"/>
          <w:sz w:val="28"/>
          <w:szCs w:val="28"/>
        </w:rPr>
        <w:t>,</w:t>
      </w:r>
      <w:r w:rsidRPr="009E6C7E">
        <w:rPr>
          <w:rFonts w:ascii="Times New Roman" w:hAnsi="Times New Roman" w:cs="Times New Roman"/>
          <w:sz w:val="28"/>
          <w:szCs w:val="28"/>
          <w:lang w:val="ru-RU"/>
        </w:rPr>
        <w:t>57</w:t>
      </w:r>
      <w:r>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xml:space="preserve"> виміряною на КТ-зображеннях кортико-медулярної фази, а саме: чутливість – 100%, специфічність – 66,7%, </w:t>
      </w:r>
      <w:r>
        <w:rPr>
          <w:rFonts w:ascii="Times New Roman" w:hAnsi="Times New Roman" w:cs="Times New Roman"/>
          <w:sz w:val="28"/>
          <w:szCs w:val="28"/>
          <w:lang w:val="en-US"/>
        </w:rPr>
        <w:t>AUC</w:t>
      </w:r>
      <w:r w:rsidRPr="009E6C7E">
        <w:rPr>
          <w:rFonts w:ascii="Times New Roman" w:hAnsi="Times New Roman" w:cs="Times New Roman"/>
          <w:sz w:val="28"/>
          <w:szCs w:val="28"/>
          <w:lang w:val="ru-RU"/>
        </w:rPr>
        <w:t xml:space="preserve"> - </w:t>
      </w:r>
      <w:r>
        <w:rPr>
          <w:rFonts w:ascii="Times New Roman" w:hAnsi="Times New Roman" w:cs="Times New Roman"/>
          <w:sz w:val="28"/>
          <w:szCs w:val="28"/>
        </w:rPr>
        <w:t>0,933</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р</w:t>
      </w:r>
      <w:r w:rsidRPr="009E6C7E">
        <w:rPr>
          <w:rFonts w:ascii="Times New Roman" w:hAnsi="Times New Roman" w:cs="Times New Roman"/>
          <w:sz w:val="28"/>
          <w:szCs w:val="28"/>
          <w:lang w:val="ru-RU"/>
        </w:rPr>
        <w:t>&lt;</w:t>
      </w:r>
      <w:r>
        <w:rPr>
          <w:rFonts w:ascii="Times New Roman" w:hAnsi="Times New Roman" w:cs="Times New Roman"/>
          <w:sz w:val="28"/>
          <w:szCs w:val="28"/>
        </w:rPr>
        <w:t xml:space="preserve">0,001. </w:t>
      </w:r>
    </w:p>
    <w:p w:rsidR="00FA5DA4" w:rsidRPr="0056671E" w:rsidRDefault="00FA5DA4" w:rsidP="00FA5DA4">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4"/>
          <w:szCs w:val="24"/>
        </w:rPr>
        <w:tab/>
      </w:r>
      <w:r w:rsidRPr="005511CA">
        <w:rPr>
          <w:rFonts w:ascii="Times New Roman" w:hAnsi="Times New Roman" w:cs="Times New Roman"/>
          <w:sz w:val="28"/>
          <w:szCs w:val="28"/>
        </w:rPr>
        <w:t xml:space="preserve">При диференціації </w:t>
      </w:r>
      <w:r>
        <w:rPr>
          <w:rFonts w:ascii="Times New Roman" w:hAnsi="Times New Roman" w:cs="Times New Roman"/>
          <w:sz w:val="28"/>
          <w:szCs w:val="28"/>
        </w:rPr>
        <w:t xml:space="preserve">конвенційного НКР низького від високого </w:t>
      </w:r>
      <w:r>
        <w:rPr>
          <w:rFonts w:ascii="Times New Roman" w:hAnsi="Times New Roman"/>
          <w:sz w:val="28"/>
          <w:szCs w:val="28"/>
        </w:rPr>
        <w:t xml:space="preserve">ступеня за </w:t>
      </w:r>
      <w:r>
        <w:rPr>
          <w:rFonts w:ascii="Times New Roman" w:hAnsi="Times New Roman"/>
          <w:sz w:val="28"/>
          <w:szCs w:val="28"/>
          <w:lang w:val="en-US"/>
        </w:rPr>
        <w:t>Fuhrman</w:t>
      </w:r>
      <w:r>
        <w:rPr>
          <w:rFonts w:ascii="Times New Roman" w:hAnsi="Times New Roman"/>
          <w:sz w:val="28"/>
          <w:szCs w:val="28"/>
        </w:rPr>
        <w:t xml:space="preserve">, при розмірі до 4 см, найвищу ефективність ми отримали при використанні ІС та порогового значення променевої щільності пухлини – </w:t>
      </w:r>
      <w:r>
        <w:rPr>
          <w:rFonts w:ascii="Times New Roman" w:hAnsi="Times New Roman" w:cs="Times New Roman"/>
          <w:sz w:val="28"/>
          <w:szCs w:val="28"/>
        </w:rPr>
        <w:t xml:space="preserve">89,67 </w:t>
      </w:r>
      <w:r>
        <w:rPr>
          <w:rFonts w:ascii="Times New Roman" w:hAnsi="Times New Roman" w:cs="Times New Roman"/>
          <w:sz w:val="28"/>
          <w:szCs w:val="28"/>
          <w:lang w:val="en-US"/>
        </w:rPr>
        <w:t>HU</w:t>
      </w:r>
      <w:r>
        <w:rPr>
          <w:rFonts w:ascii="Times New Roman" w:hAnsi="Times New Roman" w:cs="Times New Roman"/>
          <w:sz w:val="28"/>
          <w:szCs w:val="28"/>
        </w:rPr>
        <w:t xml:space="preserve"> виміряної на КТ-зображеннях нефрографічної фази: чутливість становила – 100,0%, </w:t>
      </w:r>
      <w:r w:rsidR="002B147A">
        <w:rPr>
          <w:rFonts w:ascii="Times New Roman" w:hAnsi="Times New Roman" w:cs="Times New Roman"/>
          <w:sz w:val="28"/>
          <w:szCs w:val="28"/>
        </w:rPr>
        <w:t>специфічність</w:t>
      </w:r>
      <w:r>
        <w:rPr>
          <w:rFonts w:ascii="Times New Roman" w:hAnsi="Times New Roman" w:cs="Times New Roman"/>
          <w:sz w:val="28"/>
          <w:szCs w:val="28"/>
        </w:rPr>
        <w:t xml:space="preserve"> – 86,4% та </w:t>
      </w:r>
      <w:r>
        <w:rPr>
          <w:rFonts w:ascii="Times New Roman" w:hAnsi="Times New Roman" w:cs="Times New Roman"/>
          <w:sz w:val="28"/>
          <w:szCs w:val="28"/>
          <w:lang w:val="en-US"/>
        </w:rPr>
        <w:t>AUC</w:t>
      </w:r>
      <w:r w:rsidRPr="009E6C7E">
        <w:rPr>
          <w:rFonts w:ascii="Times New Roman" w:hAnsi="Times New Roman" w:cs="Times New Roman"/>
          <w:sz w:val="28"/>
          <w:szCs w:val="28"/>
        </w:rPr>
        <w:t xml:space="preserve"> – </w:t>
      </w:r>
      <w:r>
        <w:rPr>
          <w:rFonts w:ascii="Times New Roman" w:hAnsi="Times New Roman" w:cs="Times New Roman"/>
          <w:sz w:val="28"/>
          <w:szCs w:val="28"/>
        </w:rPr>
        <w:t>0,976 при р</w:t>
      </w:r>
      <w:r w:rsidRPr="009E6C7E">
        <w:rPr>
          <w:rFonts w:ascii="Times New Roman" w:hAnsi="Times New Roman" w:cs="Times New Roman"/>
          <w:sz w:val="28"/>
          <w:szCs w:val="28"/>
        </w:rPr>
        <w:t>&lt;0</w:t>
      </w:r>
      <w:r>
        <w:rPr>
          <w:rFonts w:ascii="Times New Roman" w:hAnsi="Times New Roman" w:cs="Times New Roman"/>
          <w:sz w:val="28"/>
          <w:szCs w:val="28"/>
        </w:rPr>
        <w:t xml:space="preserve">,001. </w:t>
      </w:r>
    </w:p>
    <w:p w:rsidR="00FA5DA4" w:rsidRDefault="00FA5DA4" w:rsidP="00FA5DA4">
      <w:pPr>
        <w:autoSpaceDE w:val="0"/>
        <w:autoSpaceDN w:val="0"/>
        <w:adjustRightInd w:val="0"/>
        <w:spacing w:after="0" w:line="360" w:lineRule="auto"/>
        <w:jc w:val="both"/>
        <w:rPr>
          <w:rFonts w:ascii="Times New Roman" w:hAnsi="Times New Roman"/>
          <w:sz w:val="28"/>
          <w:szCs w:val="28"/>
        </w:rPr>
      </w:pPr>
      <w:r>
        <w:rPr>
          <w:rFonts w:ascii="Times New Roman" w:hAnsi="Times New Roman" w:cs="Times New Roman"/>
          <w:sz w:val="24"/>
          <w:szCs w:val="24"/>
        </w:rPr>
        <w:tab/>
      </w:r>
      <w:r>
        <w:rPr>
          <w:rFonts w:ascii="Times New Roman" w:hAnsi="Times New Roman" w:cs="Times New Roman"/>
          <w:sz w:val="28"/>
          <w:szCs w:val="28"/>
        </w:rPr>
        <w:t>Ж</w:t>
      </w:r>
      <w:r w:rsidRPr="001743A2">
        <w:rPr>
          <w:rFonts w:ascii="Times New Roman" w:hAnsi="Times New Roman" w:cs="Times New Roman"/>
          <w:sz w:val="28"/>
          <w:szCs w:val="28"/>
        </w:rPr>
        <w:t xml:space="preserve">оден із досліджуваних потенційних променевих біомаркерів на основі КТ не дозволив із допустимою точністю та статистичною достовірністю диференціювати </w:t>
      </w:r>
      <w:r w:rsidRPr="001743A2">
        <w:rPr>
          <w:rFonts w:ascii="Times New Roman" w:hAnsi="Times New Roman"/>
          <w:sz w:val="28"/>
          <w:szCs w:val="28"/>
        </w:rPr>
        <w:t xml:space="preserve">папілярний НКР низького від високого ступеня за </w:t>
      </w:r>
      <w:r w:rsidRPr="001743A2">
        <w:rPr>
          <w:rFonts w:ascii="Times New Roman" w:hAnsi="Times New Roman"/>
          <w:sz w:val="28"/>
          <w:szCs w:val="28"/>
          <w:lang w:val="en-US"/>
        </w:rPr>
        <w:t>Fuhrman</w:t>
      </w:r>
      <w:r>
        <w:rPr>
          <w:rFonts w:ascii="Times New Roman" w:hAnsi="Times New Roman"/>
          <w:sz w:val="28"/>
          <w:szCs w:val="28"/>
        </w:rPr>
        <w:t>, при розмірі пухлини до 4 см</w:t>
      </w:r>
      <w:r w:rsidRPr="001743A2">
        <w:rPr>
          <w:rFonts w:ascii="Times New Roman" w:hAnsi="Times New Roman"/>
          <w:sz w:val="28"/>
          <w:szCs w:val="28"/>
        </w:rPr>
        <w:t>.</w:t>
      </w:r>
    </w:p>
    <w:p w:rsidR="00A43D85" w:rsidRPr="003537F1" w:rsidRDefault="00FA5DA4" w:rsidP="004F0B1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Було виявлено, що 95% випадків хибно-позитивних та хибно-негативних результатів при диференціації НКР від інших малих ниркових новоутворів, як у випадку застосування променевої щільності пухлини, так і при використанні ВПЩ пухлини до нормальної ниркової паренхіми, </w:t>
      </w:r>
      <w:r>
        <w:rPr>
          <w:rFonts w:ascii="Times New Roman" w:hAnsi="Times New Roman" w:cs="Times New Roman"/>
          <w:sz w:val="28"/>
          <w:szCs w:val="28"/>
        </w:rPr>
        <w:lastRenderedPageBreak/>
        <w:t xml:space="preserve">спостерігались при розмірі новоутворення </w:t>
      </w:r>
      <w:r w:rsidRPr="009E6C7E">
        <w:rPr>
          <w:rFonts w:ascii="Times New Roman" w:hAnsi="Times New Roman" w:cs="Times New Roman"/>
          <w:sz w:val="28"/>
          <w:szCs w:val="28"/>
        </w:rPr>
        <w:t>≤</w:t>
      </w:r>
      <w:r>
        <w:rPr>
          <w:rFonts w:ascii="Times New Roman" w:hAnsi="Times New Roman" w:cs="Times New Roman"/>
          <w:sz w:val="28"/>
          <w:szCs w:val="28"/>
        </w:rPr>
        <w:t xml:space="preserve">2,5 см у найбільшому перерізі (мінімальний розмір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становив 1,60 см у найбільшому перерізі). </w:t>
      </w:r>
    </w:p>
    <w:p w:rsidR="00A43D85" w:rsidRPr="001B7186" w:rsidRDefault="00A43D85" w:rsidP="00A43D85">
      <w:pPr>
        <w:autoSpaceDE w:val="0"/>
        <w:autoSpaceDN w:val="0"/>
        <w:adjustRightInd w:val="0"/>
        <w:spacing w:after="0" w:line="400" w:lineRule="atLeast"/>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extent cx="5934074" cy="1981200"/>
            <wp:effectExtent l="0" t="0" r="0" b="0"/>
            <wp:docPr id="48" name="Рисунок 48" descr="КТ---3,97-х-3,83-Вітик (скНК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Т---3,97-х-3,83-Вітик (скНКР)"/>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7674" cy="1982402"/>
                    </a:xfrm>
                    <a:prstGeom prst="rect">
                      <a:avLst/>
                    </a:prstGeom>
                    <a:noFill/>
                    <a:ln>
                      <a:noFill/>
                    </a:ln>
                  </pic:spPr>
                </pic:pic>
              </a:graphicData>
            </a:graphic>
          </wp:inline>
        </w:drawing>
      </w:r>
    </w:p>
    <w:p w:rsidR="00A43D85" w:rsidRPr="00AF4B0A" w:rsidRDefault="00A43D85" w:rsidP="004F0B12">
      <w:pPr>
        <w:autoSpaceDE w:val="0"/>
        <w:autoSpaceDN w:val="0"/>
        <w:adjustRightInd w:val="0"/>
        <w:spacing w:after="0" w:line="276" w:lineRule="auto"/>
        <w:jc w:val="both"/>
        <w:rPr>
          <w:rFonts w:ascii="Times New Roman" w:hAnsi="Times New Roman" w:cs="Times New Roman"/>
          <w:sz w:val="28"/>
          <w:szCs w:val="28"/>
        </w:rPr>
      </w:pPr>
      <w:r>
        <w:rPr>
          <w:rFonts w:ascii="Times New Roman" w:hAnsi="Times New Roman" w:cs="Times New Roman"/>
          <w:sz w:val="28"/>
          <w:szCs w:val="28"/>
        </w:rPr>
        <w:t>Рис. 3.11</w:t>
      </w:r>
      <w:r w:rsidRPr="00AE41E6">
        <w:rPr>
          <w:rFonts w:ascii="Times New Roman" w:hAnsi="Times New Roman" w:cs="Times New Roman"/>
          <w:sz w:val="28"/>
          <w:szCs w:val="28"/>
        </w:rPr>
        <w:t>.</w:t>
      </w:r>
      <w:r>
        <w:rPr>
          <w:rFonts w:ascii="Times New Roman" w:hAnsi="Times New Roman" w:cs="Times New Roman"/>
          <w:sz w:val="28"/>
          <w:szCs w:val="28"/>
        </w:rPr>
        <w:t xml:space="preserve"> Дані мультифазної КТ хворого А., 57 р., аксіальна проекція, екзофітний </w:t>
      </w:r>
      <w:r>
        <w:rPr>
          <w:rFonts w:ascii="Times New Roman" w:hAnsi="Times New Roman" w:cs="Times New Roman"/>
          <w:sz w:val="28"/>
          <w:szCs w:val="28"/>
          <w:lang w:val="en-US"/>
        </w:rPr>
        <w:t>SRM</w:t>
      </w:r>
      <w:r>
        <w:rPr>
          <w:rFonts w:ascii="Times New Roman" w:hAnsi="Times New Roman" w:cs="Times New Roman"/>
          <w:sz w:val="28"/>
          <w:szCs w:val="28"/>
        </w:rPr>
        <w:t xml:space="preserve"> нижнього сегменту правої нирки</w:t>
      </w:r>
      <w:r>
        <w:rPr>
          <w:rFonts w:ascii="Times New Roman" w:hAnsi="Times New Roman" w:cs="Times New Roman"/>
          <w:sz w:val="28"/>
          <w:szCs w:val="28"/>
          <w:lang w:val="en-US"/>
        </w:rPr>
        <w:t xml:space="preserve"> </w:t>
      </w:r>
      <w:r w:rsidRPr="001B7186">
        <w:rPr>
          <w:rFonts w:ascii="Times New Roman" w:hAnsi="Times New Roman" w:cs="Times New Roman"/>
          <w:sz w:val="28"/>
          <w:szCs w:val="28"/>
        </w:rPr>
        <w:t>розміром</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3,90х3,84х3,81 см, ОЗ розташована над пухлиною. А: кортико-медулярна фаза, ІС=95,32 </w:t>
      </w:r>
      <w:r>
        <w:rPr>
          <w:rFonts w:ascii="Times New Roman" w:hAnsi="Times New Roman" w:cs="Times New Roman"/>
          <w:sz w:val="28"/>
          <w:szCs w:val="28"/>
          <w:lang w:val="en-US"/>
        </w:rPr>
        <w:t>HU</w:t>
      </w:r>
      <w:r>
        <w:rPr>
          <w:rFonts w:ascii="Times New Roman" w:hAnsi="Times New Roman" w:cs="Times New Roman"/>
          <w:sz w:val="28"/>
          <w:szCs w:val="28"/>
        </w:rPr>
        <w:t>, ВПЩ=0,</w:t>
      </w:r>
      <w:r w:rsidR="006645C8">
        <w:rPr>
          <w:rFonts w:ascii="Times New Roman" w:hAnsi="Times New Roman" w:cs="Times New Roman"/>
          <w:sz w:val="28"/>
          <w:szCs w:val="28"/>
        </w:rPr>
        <w:t>77; Б: нефрографічна фаза, ІС=88</w:t>
      </w:r>
      <w:r>
        <w:rPr>
          <w:rFonts w:ascii="Times New Roman" w:hAnsi="Times New Roman" w:cs="Times New Roman"/>
          <w:sz w:val="28"/>
          <w:szCs w:val="28"/>
        </w:rPr>
        <w:t xml:space="preserve">,32 </w:t>
      </w:r>
      <w:r>
        <w:rPr>
          <w:rFonts w:ascii="Times New Roman" w:hAnsi="Times New Roman" w:cs="Times New Roman"/>
          <w:sz w:val="28"/>
          <w:szCs w:val="28"/>
          <w:lang w:val="en-US"/>
        </w:rPr>
        <w:t>HU</w:t>
      </w:r>
      <w:r>
        <w:rPr>
          <w:rFonts w:ascii="Times New Roman" w:hAnsi="Times New Roman" w:cs="Times New Roman"/>
          <w:sz w:val="28"/>
          <w:szCs w:val="28"/>
        </w:rPr>
        <w:t xml:space="preserve">, ВПЩ=0,75; В: екскреторна фаза, ІС=68,12 </w:t>
      </w:r>
      <w:r>
        <w:rPr>
          <w:rFonts w:ascii="Times New Roman" w:hAnsi="Times New Roman" w:cs="Times New Roman"/>
          <w:sz w:val="28"/>
          <w:szCs w:val="28"/>
          <w:lang w:val="en-US"/>
        </w:rPr>
        <w:t>HU</w:t>
      </w:r>
      <w:r>
        <w:rPr>
          <w:rFonts w:ascii="Times New Roman" w:hAnsi="Times New Roman" w:cs="Times New Roman"/>
          <w:sz w:val="28"/>
          <w:szCs w:val="28"/>
        </w:rPr>
        <w:t xml:space="preserve">, ВПЩ=0,85. Хворому виконано парціальну нефректомію. Заключний діагноз: світлоклітинний НКР правої нирки, </w:t>
      </w:r>
      <w:r>
        <w:rPr>
          <w:rFonts w:ascii="Times New Roman" w:hAnsi="Times New Roman" w:cs="Times New Roman"/>
          <w:sz w:val="28"/>
          <w:szCs w:val="28"/>
          <w:lang w:val="en-US"/>
        </w:rPr>
        <w:t>p</w:t>
      </w:r>
      <w:r>
        <w:rPr>
          <w:rFonts w:ascii="Times New Roman" w:hAnsi="Times New Roman" w:cs="Times New Roman"/>
          <w:sz w:val="28"/>
          <w:szCs w:val="28"/>
        </w:rPr>
        <w:t>Т1а</w:t>
      </w:r>
      <w:r>
        <w:rPr>
          <w:rFonts w:ascii="Times New Roman" w:hAnsi="Times New Roman" w:cs="Times New Roman"/>
          <w:sz w:val="28"/>
          <w:szCs w:val="28"/>
          <w:lang w:val="en-US"/>
        </w:rPr>
        <w:t>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ІІ ступінь за </w:t>
      </w:r>
      <w:r>
        <w:rPr>
          <w:rFonts w:ascii="Times New Roman" w:hAnsi="Times New Roman" w:cs="Times New Roman"/>
          <w:sz w:val="28"/>
          <w:szCs w:val="28"/>
          <w:lang w:val="en-US"/>
        </w:rPr>
        <w:t>Fuhrman</w:t>
      </w:r>
    </w:p>
    <w:p w:rsidR="009C1018" w:rsidRPr="00AE41E6" w:rsidRDefault="009C1018" w:rsidP="004F0B12">
      <w:pPr>
        <w:autoSpaceDE w:val="0"/>
        <w:autoSpaceDN w:val="0"/>
        <w:adjustRightInd w:val="0"/>
        <w:spacing w:after="0" w:line="276" w:lineRule="auto"/>
        <w:jc w:val="both"/>
        <w:rPr>
          <w:rFonts w:ascii="Times New Roman" w:hAnsi="Times New Roman" w:cs="Times New Roman"/>
          <w:sz w:val="28"/>
          <w:szCs w:val="28"/>
        </w:rPr>
      </w:pPr>
    </w:p>
    <w:p w:rsidR="00A43D85" w:rsidRDefault="00A43D85" w:rsidP="00A43D85">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934075" cy="2371725"/>
            <wp:effectExtent l="0" t="0" r="9525" b="9525"/>
            <wp:docPr id="47" name="Рисунок 47" descr="КТ---2,84-х-2,66-Князюк (пНК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Т---2,84-х-2,66-Князюк (пНКР)"/>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34075" cy="2371725"/>
                    </a:xfrm>
                    <a:prstGeom prst="rect">
                      <a:avLst/>
                    </a:prstGeom>
                    <a:noFill/>
                    <a:ln>
                      <a:noFill/>
                    </a:ln>
                  </pic:spPr>
                </pic:pic>
              </a:graphicData>
            </a:graphic>
          </wp:inline>
        </w:drawing>
      </w:r>
    </w:p>
    <w:p w:rsidR="00A43D85" w:rsidRPr="00431CD1" w:rsidRDefault="00A43D85" w:rsidP="004F0B12">
      <w:pPr>
        <w:autoSpaceDE w:val="0"/>
        <w:autoSpaceDN w:val="0"/>
        <w:adjustRightInd w:val="0"/>
        <w:spacing w:after="0" w:line="276" w:lineRule="auto"/>
        <w:jc w:val="both"/>
        <w:rPr>
          <w:rFonts w:ascii="Times New Roman" w:hAnsi="Times New Roman" w:cs="Times New Roman"/>
          <w:sz w:val="28"/>
          <w:szCs w:val="28"/>
        </w:rPr>
      </w:pPr>
      <w:r>
        <w:rPr>
          <w:rFonts w:ascii="Times New Roman" w:hAnsi="Times New Roman" w:cs="Times New Roman"/>
          <w:sz w:val="28"/>
          <w:szCs w:val="28"/>
        </w:rPr>
        <w:t>Рис. 3.12</w:t>
      </w:r>
      <w:r w:rsidRPr="00AE41E6">
        <w:rPr>
          <w:rFonts w:ascii="Times New Roman" w:hAnsi="Times New Roman" w:cs="Times New Roman"/>
          <w:sz w:val="28"/>
          <w:szCs w:val="28"/>
        </w:rPr>
        <w:t>.</w:t>
      </w:r>
      <w:r>
        <w:rPr>
          <w:rFonts w:ascii="Times New Roman" w:hAnsi="Times New Roman" w:cs="Times New Roman"/>
          <w:sz w:val="28"/>
          <w:szCs w:val="28"/>
        </w:rPr>
        <w:t xml:space="preserve"> Дані мультифазної КТ хворої К., 64 р., </w:t>
      </w:r>
      <w:r>
        <w:rPr>
          <w:rFonts w:ascii="Times New Roman" w:hAnsi="Times New Roman" w:cs="Times New Roman"/>
          <w:sz w:val="28"/>
          <w:szCs w:val="28"/>
          <w:lang w:val="en-US"/>
        </w:rPr>
        <w:t>SRM</w:t>
      </w:r>
      <w:r>
        <w:rPr>
          <w:rFonts w:ascii="Times New Roman" w:hAnsi="Times New Roman" w:cs="Times New Roman"/>
          <w:sz w:val="28"/>
          <w:szCs w:val="28"/>
        </w:rPr>
        <w:t xml:space="preserve"> верхнього сегменту правої нирки</w:t>
      </w:r>
      <w:r w:rsidRPr="009E6C7E">
        <w:rPr>
          <w:rFonts w:ascii="Times New Roman" w:hAnsi="Times New Roman" w:cs="Times New Roman"/>
          <w:sz w:val="28"/>
          <w:szCs w:val="28"/>
        </w:rPr>
        <w:t xml:space="preserve"> </w:t>
      </w:r>
      <w:r w:rsidRPr="001B7186">
        <w:rPr>
          <w:rFonts w:ascii="Times New Roman" w:hAnsi="Times New Roman" w:cs="Times New Roman"/>
          <w:sz w:val="28"/>
          <w:szCs w:val="28"/>
        </w:rPr>
        <w:t>розміром</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2,84х2,66х2,64 см, ОЗ розташована над пухлиною. А: аксіальна проекція, кортико-медулярна фаза, ІС=108,23 </w:t>
      </w:r>
      <w:r>
        <w:rPr>
          <w:rFonts w:ascii="Times New Roman" w:hAnsi="Times New Roman" w:cs="Times New Roman"/>
          <w:sz w:val="28"/>
          <w:szCs w:val="28"/>
          <w:lang w:val="en-US"/>
        </w:rPr>
        <w:t>HU</w:t>
      </w:r>
      <w:r>
        <w:rPr>
          <w:rFonts w:ascii="Times New Roman" w:hAnsi="Times New Roman" w:cs="Times New Roman"/>
          <w:sz w:val="28"/>
          <w:szCs w:val="28"/>
        </w:rPr>
        <w:t xml:space="preserve">, ВПЩ=0,99; Б: аксіальна проекція, нефрографічна фаза, ІС=71,12 </w:t>
      </w:r>
      <w:r>
        <w:rPr>
          <w:rFonts w:ascii="Times New Roman" w:hAnsi="Times New Roman" w:cs="Times New Roman"/>
          <w:sz w:val="28"/>
          <w:szCs w:val="28"/>
          <w:lang w:val="en-US"/>
        </w:rPr>
        <w:t>HU</w:t>
      </w:r>
      <w:r>
        <w:rPr>
          <w:rFonts w:ascii="Times New Roman" w:hAnsi="Times New Roman" w:cs="Times New Roman"/>
          <w:sz w:val="28"/>
          <w:szCs w:val="28"/>
        </w:rPr>
        <w:t xml:space="preserve">, ВПЩ=0,71; В: корональна проекція, КМФ, пухлина позначена стрілкою. Хворій виконано парціальну нефректомію. Заключний діагноз: папілярний НКР правої нирки, </w:t>
      </w:r>
      <w:r>
        <w:rPr>
          <w:rFonts w:ascii="Times New Roman" w:hAnsi="Times New Roman" w:cs="Times New Roman"/>
          <w:sz w:val="28"/>
          <w:szCs w:val="28"/>
          <w:lang w:val="en-US"/>
        </w:rPr>
        <w:t>p</w:t>
      </w:r>
      <w:r>
        <w:rPr>
          <w:rFonts w:ascii="Times New Roman" w:hAnsi="Times New Roman" w:cs="Times New Roman"/>
          <w:sz w:val="28"/>
          <w:szCs w:val="28"/>
        </w:rPr>
        <w:t>Т1а</w:t>
      </w:r>
      <w:r>
        <w:rPr>
          <w:rFonts w:ascii="Times New Roman" w:hAnsi="Times New Roman" w:cs="Times New Roman"/>
          <w:sz w:val="28"/>
          <w:szCs w:val="28"/>
          <w:lang w:val="en-US"/>
        </w:rPr>
        <w:t>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ІІ ступінь за </w:t>
      </w:r>
      <w:r>
        <w:rPr>
          <w:rFonts w:ascii="Times New Roman" w:hAnsi="Times New Roman" w:cs="Times New Roman"/>
          <w:sz w:val="28"/>
          <w:szCs w:val="28"/>
          <w:lang w:val="en-US"/>
        </w:rPr>
        <w:t>Fuhrman</w:t>
      </w:r>
    </w:p>
    <w:p w:rsidR="00A43D85" w:rsidRPr="00EB67F1" w:rsidRDefault="00A43D85" w:rsidP="008C4970">
      <w:pPr>
        <w:autoSpaceDE w:val="0"/>
        <w:autoSpaceDN w:val="0"/>
        <w:adjustRightInd w:val="0"/>
        <w:spacing w:after="0" w:line="400" w:lineRule="atLeast"/>
        <w:rPr>
          <w:rFonts w:ascii="Times New Roman" w:hAnsi="Times New Roman" w:cs="Times New Roman"/>
          <w:sz w:val="28"/>
          <w:szCs w:val="28"/>
        </w:rPr>
      </w:pPr>
    </w:p>
    <w:p w:rsidR="00FA5DA4" w:rsidRDefault="00FA5DA4" w:rsidP="00694567">
      <w:pPr>
        <w:pStyle w:val="NoSpacing"/>
        <w:jc w:val="center"/>
        <w:rPr>
          <w:rFonts w:ascii="Times New Roman" w:hAnsi="Times New Roman" w:cs="Times New Roman"/>
          <w:sz w:val="28"/>
          <w:szCs w:val="28"/>
        </w:rPr>
      </w:pPr>
    </w:p>
    <w:p w:rsidR="00FE4D0E" w:rsidRPr="002E5826" w:rsidRDefault="00FE4D0E" w:rsidP="00FE4D0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3.1.1.2.</w:t>
      </w:r>
      <w:r w:rsidRPr="002E5826">
        <w:rPr>
          <w:rFonts w:ascii="Times New Roman" w:hAnsi="Times New Roman" w:cs="Times New Roman"/>
          <w:sz w:val="28"/>
          <w:szCs w:val="28"/>
        </w:rPr>
        <w:t xml:space="preserve"> П</w:t>
      </w:r>
      <w:r>
        <w:rPr>
          <w:rFonts w:ascii="Times New Roman" w:hAnsi="Times New Roman" w:cs="Times New Roman"/>
          <w:sz w:val="28"/>
          <w:szCs w:val="28"/>
        </w:rPr>
        <w:t>роменеві біомаркери на основі МРТ</w:t>
      </w:r>
    </w:p>
    <w:p w:rsidR="00FE4D0E" w:rsidRDefault="00FE4D0E" w:rsidP="00FE4D0E">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 xml:space="preserve">У хворих, яким була виконана </w:t>
      </w:r>
      <w:r>
        <w:rPr>
          <w:rFonts w:ascii="Times New Roman" w:hAnsi="Times New Roman" w:cs="Times New Roman"/>
          <w:sz w:val="28"/>
          <w:szCs w:val="28"/>
        </w:rPr>
        <w:t>МРТ</w:t>
      </w:r>
      <w:r w:rsidRPr="009E6C7E">
        <w:rPr>
          <w:rFonts w:ascii="Times New Roman" w:hAnsi="Times New Roman" w:cs="Times New Roman"/>
          <w:sz w:val="28"/>
          <w:szCs w:val="28"/>
          <w:lang w:val="ru-RU"/>
        </w:rPr>
        <w:t xml:space="preserve"> (</w:t>
      </w:r>
      <w:r>
        <w:rPr>
          <w:rFonts w:ascii="Times New Roman" w:hAnsi="Times New Roman" w:cs="Times New Roman"/>
          <w:sz w:val="28"/>
          <w:szCs w:val="28"/>
          <w:lang w:val="en-US"/>
        </w:rPr>
        <w:t>n</w:t>
      </w:r>
      <w:r w:rsidRPr="009E6C7E">
        <w:rPr>
          <w:rFonts w:ascii="Times New Roman" w:hAnsi="Times New Roman" w:cs="Times New Roman"/>
          <w:sz w:val="28"/>
          <w:szCs w:val="28"/>
          <w:lang w:val="ru-RU"/>
        </w:rPr>
        <w:t>=122)</w:t>
      </w:r>
      <w:r w:rsidRPr="00CB3FB6">
        <w:rPr>
          <w:rFonts w:ascii="Times New Roman" w:hAnsi="Times New Roman" w:cs="Times New Roman"/>
          <w:sz w:val="28"/>
          <w:szCs w:val="28"/>
        </w:rPr>
        <w:t xml:space="preserve"> середній розмір новоутворення складав </w:t>
      </w:r>
      <w:r>
        <w:rPr>
          <w:rFonts w:ascii="Times New Roman" w:hAnsi="Times New Roman" w:cs="Times New Roman"/>
          <w:sz w:val="28"/>
          <w:szCs w:val="28"/>
        </w:rPr>
        <w:t>3,11±0,50 см (від 1,95 до 3,97</w:t>
      </w:r>
      <w:r w:rsidRPr="00CB3FB6">
        <w:rPr>
          <w:rFonts w:ascii="Times New Roman" w:hAnsi="Times New Roman" w:cs="Times New Roman"/>
          <w:sz w:val="28"/>
          <w:szCs w:val="28"/>
        </w:rPr>
        <w:t xml:space="preserve"> см). Середній розмір новоутворе</w:t>
      </w:r>
      <w:r>
        <w:rPr>
          <w:rFonts w:ascii="Times New Roman" w:hAnsi="Times New Roman" w:cs="Times New Roman"/>
          <w:sz w:val="28"/>
          <w:szCs w:val="28"/>
        </w:rPr>
        <w:t>нь у хворих із НКР становив 3,21±0,49</w:t>
      </w:r>
      <w:r w:rsidRPr="00CB3FB6">
        <w:rPr>
          <w:rFonts w:ascii="Times New Roman" w:hAnsi="Times New Roman" w:cs="Times New Roman"/>
          <w:sz w:val="28"/>
          <w:szCs w:val="28"/>
        </w:rPr>
        <w:t xml:space="preserve"> см (від 2</w:t>
      </w:r>
      <w:r>
        <w:rPr>
          <w:rFonts w:ascii="Times New Roman" w:hAnsi="Times New Roman" w:cs="Times New Roman"/>
          <w:sz w:val="28"/>
          <w:szCs w:val="28"/>
        </w:rPr>
        <w:t>,2 до 3,95</w:t>
      </w:r>
      <w:r w:rsidRPr="00CB3FB6">
        <w:rPr>
          <w:rFonts w:ascii="Times New Roman" w:hAnsi="Times New Roman" w:cs="Times New Roman"/>
          <w:sz w:val="28"/>
          <w:szCs w:val="28"/>
        </w:rPr>
        <w:t xml:space="preserve"> см); пацієнтів і</w:t>
      </w:r>
      <w:r>
        <w:rPr>
          <w:rFonts w:ascii="Times New Roman" w:hAnsi="Times New Roman" w:cs="Times New Roman"/>
          <w:sz w:val="28"/>
          <w:szCs w:val="28"/>
        </w:rPr>
        <w:t>з</w:t>
      </w:r>
      <w:r w:rsidRPr="00CB3FB6">
        <w:rPr>
          <w:rFonts w:ascii="Times New Roman" w:hAnsi="Times New Roman" w:cs="Times New Roman"/>
          <w:sz w:val="28"/>
          <w:szCs w:val="28"/>
        </w:rPr>
        <w:t xml:space="preserve"> </w:t>
      </w:r>
      <w:r>
        <w:rPr>
          <w:rFonts w:ascii="Times New Roman" w:hAnsi="Times New Roman" w:cs="Times New Roman"/>
          <w:sz w:val="28"/>
          <w:szCs w:val="28"/>
        </w:rPr>
        <w:t>ПКК ниркової миски – 3,13±0,45 см (від 1,92 до 3,65</w:t>
      </w:r>
      <w:r w:rsidRPr="00CB3FB6">
        <w:rPr>
          <w:rFonts w:ascii="Times New Roman" w:hAnsi="Times New Roman" w:cs="Times New Roman"/>
          <w:sz w:val="28"/>
          <w:szCs w:val="28"/>
        </w:rPr>
        <w:t xml:space="preserve"> см); та хворих із доброякісними пухли</w:t>
      </w:r>
      <w:r>
        <w:rPr>
          <w:rFonts w:ascii="Times New Roman" w:hAnsi="Times New Roman" w:cs="Times New Roman"/>
          <w:sz w:val="28"/>
          <w:szCs w:val="28"/>
        </w:rPr>
        <w:t>нами нирок – 3,05±0,43 см (від 1,90 до 3,95</w:t>
      </w:r>
      <w:r w:rsidRPr="00CB3FB6">
        <w:rPr>
          <w:rFonts w:ascii="Times New Roman" w:hAnsi="Times New Roman" w:cs="Times New Roman"/>
          <w:sz w:val="28"/>
          <w:szCs w:val="28"/>
        </w:rPr>
        <w:t xml:space="preserve"> см). </w:t>
      </w:r>
    </w:p>
    <w:p w:rsidR="00FE4D0E" w:rsidRDefault="00FE4D0E" w:rsidP="00FE4D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всіх чотирьох групах н</w:t>
      </w:r>
      <w:r w:rsidRPr="00CB3FB6">
        <w:rPr>
          <w:rFonts w:ascii="Times New Roman" w:hAnsi="Times New Roman" w:cs="Times New Roman"/>
          <w:sz w:val="28"/>
          <w:szCs w:val="28"/>
        </w:rPr>
        <w:t>ами були проаналізовані показники</w:t>
      </w:r>
      <w:r>
        <w:rPr>
          <w:rFonts w:ascii="Times New Roman" w:hAnsi="Times New Roman" w:cs="Times New Roman"/>
          <w:sz w:val="28"/>
          <w:szCs w:val="28"/>
        </w:rPr>
        <w:t xml:space="preserve"> ІС пухлини та нормальної ниркової паренхіми дифузійно-зважених зображень мультифазної МРТ</w:t>
      </w:r>
      <w:r w:rsidRPr="009E6C7E">
        <w:rPr>
          <w:rFonts w:ascii="Times New Roman" w:hAnsi="Times New Roman" w:cs="Times New Roman"/>
          <w:sz w:val="28"/>
          <w:szCs w:val="28"/>
        </w:rPr>
        <w:t xml:space="preserve"> (ІС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та вимірюваного коефіцієнта дифузії, який отримувався із ВКД-карт, що генерувались на основі ДЗЗ (при </w:t>
      </w:r>
      <w:r>
        <w:rPr>
          <w:rFonts w:ascii="Times New Roman" w:hAnsi="Times New Roman" w:cs="Times New Roman"/>
          <w:sz w:val="28"/>
          <w:szCs w:val="28"/>
          <w:lang w:val="en-US"/>
        </w:rPr>
        <w:t>b</w:t>
      </w:r>
      <w:r>
        <w:rPr>
          <w:rFonts w:ascii="Times New Roman" w:hAnsi="Times New Roman" w:cs="Times New Roman"/>
          <w:sz w:val="28"/>
          <w:szCs w:val="28"/>
        </w:rPr>
        <w:t xml:space="preserve">-величинах 0 та 800 </w:t>
      </w:r>
      <w:r w:rsidRPr="00807530">
        <w:rPr>
          <w:rFonts w:ascii="Times New Roman" w:hAnsi="Times New Roman" w:cs="Times New Roman"/>
          <w:sz w:val="28"/>
          <w:szCs w:val="28"/>
        </w:rPr>
        <w:t>с</w:t>
      </w:r>
      <w:r>
        <w:rPr>
          <w:rFonts w:ascii="Times New Roman" w:hAnsi="Times New Roman" w:cs="Times New Roman"/>
          <w:sz w:val="28"/>
          <w:szCs w:val="28"/>
        </w:rPr>
        <w:t>ек</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мм</w:t>
      </w:r>
      <w:r w:rsidRPr="00807530">
        <w:rPr>
          <w:rFonts w:ascii="Times New Roman" w:eastAsiaTheme="minorEastAsia" w:hAnsi="Times New Roman" w:cs="Times New Roman"/>
          <w:sz w:val="28"/>
          <w:szCs w:val="28"/>
          <w:vertAlign w:val="superscript"/>
        </w:rPr>
        <w:t>2</w:t>
      </w:r>
      <w:r>
        <w:rPr>
          <w:rFonts w:ascii="Times New Roman" w:hAnsi="Times New Roman" w:cs="Times New Roman"/>
          <w:sz w:val="28"/>
          <w:szCs w:val="28"/>
        </w:rPr>
        <w:t>). Отримання ДЗЗ виконувалось до введення контрастних речовин, дана послідовність була включена додатково до стандартного протоколу МРТ-обстеження черевної порожнини.</w:t>
      </w:r>
    </w:p>
    <w:p w:rsidR="00FE4D0E" w:rsidRDefault="00FE4D0E" w:rsidP="00FE4D0E">
      <w:pPr>
        <w:spacing w:line="360" w:lineRule="auto"/>
        <w:ind w:firstLine="709"/>
        <w:jc w:val="both"/>
        <w:rPr>
          <w:rFonts w:ascii="Times New Roman" w:hAnsi="Times New Roman" w:cs="Times New Roman"/>
          <w:sz w:val="28"/>
          <w:szCs w:val="28"/>
        </w:rPr>
      </w:pPr>
      <w:r w:rsidRPr="007C12EE">
        <w:rPr>
          <w:rFonts w:ascii="Times New Roman" w:hAnsi="Times New Roman" w:cs="Times New Roman"/>
          <w:sz w:val="28"/>
          <w:szCs w:val="28"/>
        </w:rPr>
        <w:t xml:space="preserve">Для підтвердження наявності статистичного </w:t>
      </w:r>
      <w:r>
        <w:rPr>
          <w:rFonts w:ascii="Times New Roman" w:hAnsi="Times New Roman" w:cs="Times New Roman"/>
          <w:sz w:val="28"/>
          <w:szCs w:val="28"/>
        </w:rPr>
        <w:t>достовірної різниці у показниках досліджуваних біомаркерів,</w:t>
      </w:r>
      <w:r w:rsidRPr="007C12EE">
        <w:rPr>
          <w:rFonts w:ascii="Times New Roman" w:hAnsi="Times New Roman" w:cs="Times New Roman"/>
          <w:sz w:val="28"/>
          <w:szCs w:val="28"/>
        </w:rPr>
        <w:t xml:space="preserve"> вирішувалося завдання перевірки нульової гіпотези про відсутність </w:t>
      </w:r>
      <w:r>
        <w:rPr>
          <w:rFonts w:ascii="Times New Roman" w:hAnsi="Times New Roman" w:cs="Times New Roman"/>
          <w:sz w:val="28"/>
          <w:szCs w:val="28"/>
        </w:rPr>
        <w:t>різниці у середніх значеннях</w:t>
      </w:r>
      <w:r w:rsidRPr="007C12EE">
        <w:rPr>
          <w:rFonts w:ascii="Times New Roman" w:hAnsi="Times New Roman" w:cs="Times New Roman"/>
          <w:sz w:val="28"/>
          <w:szCs w:val="28"/>
        </w:rPr>
        <w:t xml:space="preserve"> </w:t>
      </w:r>
      <w:r>
        <w:rPr>
          <w:rFonts w:ascii="Times New Roman" w:hAnsi="Times New Roman" w:cs="Times New Roman"/>
          <w:sz w:val="28"/>
          <w:szCs w:val="28"/>
        </w:rPr>
        <w:t>ІС, та у середніх значеннях</w:t>
      </w:r>
      <w:r w:rsidRPr="007C12EE">
        <w:rPr>
          <w:rFonts w:ascii="Times New Roman" w:hAnsi="Times New Roman" w:cs="Times New Roman"/>
          <w:sz w:val="28"/>
          <w:szCs w:val="28"/>
        </w:rPr>
        <w:t xml:space="preserve"> </w:t>
      </w:r>
      <w:r>
        <w:rPr>
          <w:rFonts w:ascii="Times New Roman" w:hAnsi="Times New Roman" w:cs="Times New Roman"/>
          <w:sz w:val="28"/>
          <w:szCs w:val="28"/>
        </w:rPr>
        <w:t xml:space="preserve">ВКД </w:t>
      </w:r>
      <w:r>
        <w:rPr>
          <w:rFonts w:ascii="Times New Roman" w:hAnsi="Times New Roman" w:cs="Times New Roman"/>
          <w:sz w:val="28"/>
        </w:rPr>
        <w:t>новоутворення до нормальної ниркової паренхіми</w:t>
      </w:r>
      <w:r>
        <w:rPr>
          <w:rFonts w:ascii="Times New Roman" w:hAnsi="Times New Roman" w:cs="Times New Roman"/>
          <w:sz w:val="28"/>
          <w:szCs w:val="28"/>
        </w:rPr>
        <w:t xml:space="preserve"> в досліджуваних групах, </w:t>
      </w:r>
      <w:r w:rsidRPr="007C12EE">
        <w:rPr>
          <w:rFonts w:ascii="Times New Roman" w:hAnsi="Times New Roman" w:cs="Times New Roman"/>
          <w:sz w:val="28"/>
          <w:szCs w:val="28"/>
        </w:rPr>
        <w:t xml:space="preserve">при рівні значущості </w:t>
      </w:r>
      <w:r>
        <w:rPr>
          <w:rFonts w:ascii="Times New Roman" w:hAnsi="Times New Roman" w:cs="Times New Roman"/>
          <w:sz w:val="28"/>
          <w:szCs w:val="28"/>
        </w:rPr>
        <w:t>≤</w:t>
      </w:r>
      <w:r w:rsidRPr="007C12EE">
        <w:rPr>
          <w:rFonts w:ascii="Times New Roman" w:hAnsi="Times New Roman" w:cs="Times New Roman"/>
          <w:sz w:val="28"/>
          <w:szCs w:val="28"/>
        </w:rPr>
        <w:t xml:space="preserve">0,05. Для досягнення цієї мети використовувався </w:t>
      </w:r>
      <w:r>
        <w:rPr>
          <w:rFonts w:ascii="Times New Roman" w:hAnsi="Times New Roman" w:cs="Times New Roman"/>
          <w:sz w:val="28"/>
          <w:szCs w:val="28"/>
        </w:rPr>
        <w:t xml:space="preserve">дисперсійний аналіз </w:t>
      </w:r>
      <w:r>
        <w:rPr>
          <w:rFonts w:ascii="Times New Roman" w:hAnsi="Times New Roman" w:cs="Times New Roman"/>
          <w:sz w:val="28"/>
          <w:szCs w:val="28"/>
          <w:lang w:val="en-US"/>
        </w:rPr>
        <w:t>ANOVA</w:t>
      </w:r>
      <w:r>
        <w:rPr>
          <w:rFonts w:ascii="Times New Roman" w:hAnsi="Times New Roman" w:cs="Times New Roman"/>
          <w:sz w:val="28"/>
          <w:szCs w:val="28"/>
        </w:rPr>
        <w:t>.</w:t>
      </w:r>
      <w:r w:rsidRPr="00DB40EE">
        <w:rPr>
          <w:rFonts w:ascii="Times New Roman" w:hAnsi="Times New Roman" w:cs="Times New Roman"/>
          <w:sz w:val="28"/>
        </w:rPr>
        <w:t xml:space="preserve"> </w:t>
      </w:r>
      <w:r>
        <w:rPr>
          <w:rFonts w:ascii="Times New Roman" w:hAnsi="Times New Roman" w:cs="Times New Roman"/>
          <w:sz w:val="28"/>
        </w:rPr>
        <w:t xml:space="preserve">Чутливість, специфічність та точність методу розраховувались за допомогою </w:t>
      </w:r>
      <w:r>
        <w:rPr>
          <w:rFonts w:ascii="Times New Roman" w:hAnsi="Times New Roman" w:cs="Times New Roman"/>
          <w:sz w:val="28"/>
          <w:lang w:val="en-US"/>
        </w:rPr>
        <w:t>ROC</w:t>
      </w:r>
      <w:r w:rsidRPr="009E6C7E">
        <w:rPr>
          <w:rFonts w:ascii="Times New Roman" w:hAnsi="Times New Roman" w:cs="Times New Roman"/>
          <w:sz w:val="28"/>
        </w:rPr>
        <w:t>-</w:t>
      </w:r>
      <w:r>
        <w:rPr>
          <w:rFonts w:ascii="Times New Roman" w:hAnsi="Times New Roman" w:cs="Times New Roman"/>
          <w:sz w:val="28"/>
        </w:rPr>
        <w:t>аналізу.</w:t>
      </w:r>
    </w:p>
    <w:p w:rsidR="00FE4D0E" w:rsidRPr="008C5581" w:rsidRDefault="00FE4D0E" w:rsidP="00FE4D0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8C5581">
        <w:rPr>
          <w:rFonts w:ascii="Times New Roman" w:hAnsi="Times New Roman" w:cs="Times New Roman"/>
          <w:sz w:val="28"/>
          <w:szCs w:val="28"/>
        </w:rPr>
        <w:t>Для</w:t>
      </w:r>
      <w:r>
        <w:rPr>
          <w:rFonts w:ascii="Times New Roman" w:hAnsi="Times New Roman" w:cs="Times New Roman"/>
          <w:b/>
          <w:sz w:val="28"/>
          <w:szCs w:val="28"/>
        </w:rPr>
        <w:t xml:space="preserve"> </w:t>
      </w:r>
      <w:r w:rsidRPr="008C5581">
        <w:rPr>
          <w:rFonts w:ascii="Times New Roman" w:hAnsi="Times New Roman" w:cs="Times New Roman"/>
          <w:sz w:val="28"/>
          <w:szCs w:val="28"/>
        </w:rPr>
        <w:t>проведення вимірів</w:t>
      </w:r>
      <w:r>
        <w:rPr>
          <w:rFonts w:ascii="Times New Roman" w:hAnsi="Times New Roman" w:cs="Times New Roman"/>
          <w:b/>
          <w:sz w:val="28"/>
          <w:szCs w:val="28"/>
        </w:rPr>
        <w:t xml:space="preserve">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область зацікавлення копіювали на ділянку пухлини з Т1-ЗЗ чи Т2-ЗЗ за допомогою яких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була попередньо ідентифікована.</w:t>
      </w:r>
      <w:r>
        <w:rPr>
          <w:rFonts w:ascii="Times New Roman" w:hAnsi="Times New Roman" w:cs="Times New Roman"/>
          <w:b/>
          <w:sz w:val="28"/>
          <w:szCs w:val="28"/>
        </w:rPr>
        <w:t xml:space="preserve"> </w:t>
      </w:r>
      <w:r w:rsidRPr="00154687">
        <w:rPr>
          <w:rFonts w:ascii="Times New Roman" w:hAnsi="Times New Roman" w:cs="Times New Roman"/>
          <w:sz w:val="28"/>
          <w:szCs w:val="28"/>
        </w:rPr>
        <w:t>На ДЗЗ</w:t>
      </w:r>
      <w:r>
        <w:rPr>
          <w:rFonts w:ascii="Times New Roman" w:hAnsi="Times New Roman" w:cs="Times New Roman"/>
          <w:b/>
          <w:sz w:val="28"/>
          <w:szCs w:val="28"/>
        </w:rPr>
        <w:t xml:space="preserve"> </w:t>
      </w:r>
      <w:r w:rsidRPr="006F5354">
        <w:rPr>
          <w:rFonts w:ascii="Times New Roman" w:hAnsi="Times New Roman" w:cs="Times New Roman"/>
          <w:sz w:val="28"/>
          <w:szCs w:val="28"/>
        </w:rPr>
        <w:t>для</w:t>
      </w:r>
      <w:r>
        <w:rPr>
          <w:rFonts w:ascii="Times New Roman" w:hAnsi="Times New Roman" w:cs="Times New Roman"/>
          <w:b/>
          <w:sz w:val="28"/>
          <w:szCs w:val="28"/>
        </w:rPr>
        <w:t xml:space="preserve"> </w:t>
      </w:r>
      <w:r>
        <w:rPr>
          <w:rFonts w:ascii="Times New Roman" w:hAnsi="Times New Roman" w:cs="Times New Roman"/>
          <w:sz w:val="28"/>
          <w:szCs w:val="28"/>
        </w:rPr>
        <w:t xml:space="preserve">малих ниркових новоутворів було характерним порушення дифузії в їх тканинах, у порівнянні із нормальною нирковою паренхімою. При обмеженні дифузії молекул водню у тканинах нирки внаслідок пухлинного процесу, така ділянка на ДЗЗ мала гіперінтенсивний характер сигналу, а при її підвищенні – навпаки, гіпоінтенсивний, у порівнянні із здоровими тканинами нирки (згідно принципу побудови ДЗЗ). Ділянки </w:t>
      </w:r>
      <w:r>
        <w:rPr>
          <w:rFonts w:ascii="Times New Roman" w:hAnsi="Times New Roman" w:cs="Times New Roman"/>
          <w:sz w:val="28"/>
          <w:szCs w:val="28"/>
        </w:rPr>
        <w:lastRenderedPageBreak/>
        <w:t xml:space="preserve">зниженої дифузії характеризувались вищими значеннями </w:t>
      </w:r>
      <w:r w:rsidRPr="009E6C7E">
        <w:rPr>
          <w:rFonts w:ascii="Times New Roman" w:hAnsi="Times New Roman" w:cs="Times New Roman"/>
          <w:sz w:val="28"/>
          <w:szCs w:val="28"/>
          <w:lang w:val="ru-RU"/>
        </w:rPr>
        <w:t>ІС</w:t>
      </w:r>
      <w:r>
        <w:rPr>
          <w:rFonts w:ascii="Times New Roman" w:hAnsi="Times New Roman" w:cs="Times New Roman"/>
          <w:sz w:val="28"/>
          <w:szCs w:val="28"/>
          <w:vertAlign w:val="subscript"/>
        </w:rPr>
        <w:t>ДЗЗ</w:t>
      </w:r>
      <w:r>
        <w:rPr>
          <w:rFonts w:ascii="Times New Roman" w:hAnsi="Times New Roman" w:cs="Times New Roman"/>
          <w:sz w:val="28"/>
          <w:szCs w:val="28"/>
        </w:rPr>
        <w:t>, а підвищеної дифузії – нижчими.</w:t>
      </w:r>
    </w:p>
    <w:p w:rsidR="009C1018" w:rsidRPr="004F0B12" w:rsidRDefault="00FE4D0E" w:rsidP="009C101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 аналіз отриманих показників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засвідчив їх відмінності в основній, порівняльних та контрольні групах:</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найвище середнє значення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спостерігалось у групі з НКР (</w:t>
      </w:r>
      <w:r>
        <w:rPr>
          <w:rFonts w:ascii="Times New Roman" w:hAnsi="Times New Roman"/>
          <w:sz w:val="28"/>
          <w:szCs w:val="28"/>
        </w:rPr>
        <w:t>113,29</w:t>
      </w:r>
      <w:r>
        <w:rPr>
          <w:rFonts w:ascii="Times New Roman" w:hAnsi="Times New Roman" w:cs="Times New Roman"/>
          <w:sz w:val="28"/>
          <w:szCs w:val="28"/>
        </w:rPr>
        <w:t>±</w:t>
      </w:r>
      <w:r>
        <w:rPr>
          <w:rFonts w:ascii="Times New Roman" w:hAnsi="Times New Roman"/>
          <w:sz w:val="28"/>
          <w:szCs w:val="28"/>
        </w:rPr>
        <w:t xml:space="preserve">25,75), що свідчило про значне обмеження дифузії, а найнижче – у групі з доброякісними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71,30</w:t>
      </w:r>
      <w:r>
        <w:rPr>
          <w:rFonts w:ascii="Times New Roman" w:hAnsi="Times New Roman" w:cs="Times New Roman"/>
          <w:sz w:val="28"/>
          <w:szCs w:val="28"/>
        </w:rPr>
        <w:t>±</w:t>
      </w:r>
      <w:r>
        <w:rPr>
          <w:rFonts w:ascii="Times New Roman" w:hAnsi="Times New Roman"/>
          <w:sz w:val="28"/>
          <w:szCs w:val="28"/>
        </w:rPr>
        <w:t>26,63</w:t>
      </w:r>
      <w:r w:rsidRPr="009E6C7E">
        <w:rPr>
          <w:rFonts w:ascii="Times New Roman" w:hAnsi="Times New Roman"/>
          <w:sz w:val="28"/>
          <w:szCs w:val="28"/>
        </w:rPr>
        <w:t>)</w:t>
      </w:r>
      <w:r>
        <w:rPr>
          <w:rFonts w:ascii="Times New Roman" w:hAnsi="Times New Roman"/>
          <w:sz w:val="28"/>
          <w:szCs w:val="28"/>
        </w:rPr>
        <w:t>, при цьому така різниця була статистично достовірною (р</w:t>
      </w:r>
      <w:r w:rsidRPr="009E6C7E">
        <w:rPr>
          <w:rFonts w:ascii="Times New Roman" w:hAnsi="Times New Roman"/>
          <w:sz w:val="28"/>
          <w:szCs w:val="28"/>
          <w:lang w:val="ru-RU"/>
        </w:rPr>
        <w:t>&lt;</w:t>
      </w:r>
      <w:r>
        <w:rPr>
          <w:rFonts w:ascii="Times New Roman" w:hAnsi="Times New Roman"/>
          <w:sz w:val="28"/>
          <w:szCs w:val="28"/>
        </w:rPr>
        <w:t xml:space="preserve">0,001). Також суттєва різниця була між середніми значеннями </w:t>
      </w:r>
      <w:r w:rsidRPr="009E6C7E">
        <w:rPr>
          <w:rFonts w:ascii="Times New Roman" w:hAnsi="Times New Roman" w:cs="Times New Roman"/>
          <w:sz w:val="28"/>
          <w:szCs w:val="28"/>
          <w:lang w:val="ru-RU"/>
        </w:rPr>
        <w:t>ІС</w:t>
      </w:r>
      <w:r>
        <w:rPr>
          <w:rFonts w:ascii="Times New Roman" w:hAnsi="Times New Roman" w:cs="Times New Roman"/>
          <w:sz w:val="28"/>
          <w:szCs w:val="28"/>
          <w:vertAlign w:val="subscript"/>
        </w:rPr>
        <w:t>ДЗЗ</w:t>
      </w:r>
      <w:r>
        <w:rPr>
          <w:rFonts w:ascii="Times New Roman" w:hAnsi="Times New Roman" w:cs="Times New Roman"/>
          <w:sz w:val="28"/>
          <w:szCs w:val="28"/>
          <w:vertAlign w:val="superscript"/>
        </w:rPr>
        <w:t xml:space="preserve"> </w:t>
      </w:r>
      <w:r>
        <w:rPr>
          <w:rFonts w:ascii="Times New Roman" w:hAnsi="Times New Roman" w:cs="Times New Roman"/>
          <w:sz w:val="28"/>
          <w:szCs w:val="28"/>
        </w:rPr>
        <w:t xml:space="preserve">основної групи та контрольної, в якій цей показник становив </w:t>
      </w:r>
      <w:r>
        <w:rPr>
          <w:rFonts w:ascii="Times New Roman" w:hAnsi="Times New Roman"/>
          <w:sz w:val="28"/>
          <w:szCs w:val="28"/>
        </w:rPr>
        <w:t>87,94</w:t>
      </w:r>
      <w:r>
        <w:rPr>
          <w:rFonts w:ascii="Times New Roman" w:hAnsi="Times New Roman" w:cs="Times New Roman"/>
          <w:sz w:val="28"/>
          <w:szCs w:val="28"/>
        </w:rPr>
        <w:t>±</w:t>
      </w:r>
      <w:r>
        <w:rPr>
          <w:rFonts w:ascii="Times New Roman" w:hAnsi="Times New Roman"/>
          <w:sz w:val="28"/>
          <w:szCs w:val="28"/>
        </w:rPr>
        <w:t>29,53 (р</w:t>
      </w:r>
      <w:r w:rsidRPr="009E6C7E">
        <w:rPr>
          <w:rFonts w:ascii="Times New Roman" w:hAnsi="Times New Roman"/>
          <w:sz w:val="28"/>
          <w:szCs w:val="28"/>
          <w:lang w:val="ru-RU"/>
        </w:rPr>
        <w:t>&lt;</w:t>
      </w:r>
      <w:r>
        <w:rPr>
          <w:rFonts w:ascii="Times New Roman" w:hAnsi="Times New Roman"/>
          <w:sz w:val="28"/>
          <w:szCs w:val="28"/>
        </w:rPr>
        <w:t xml:space="preserve">0,001). Проте, при порівнянні між собою середніх значень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в інших підгрупах, зокрема між ПКК ниркової миски та доброякісними </w:t>
      </w:r>
      <w:r>
        <w:rPr>
          <w:rFonts w:ascii="Times New Roman" w:hAnsi="Times New Roman" w:cs="Times New Roman"/>
          <w:sz w:val="28"/>
          <w:szCs w:val="28"/>
          <w:lang w:val="en-US"/>
        </w:rPr>
        <w:t>SRM</w:t>
      </w:r>
      <w:r>
        <w:rPr>
          <w:rFonts w:ascii="Times New Roman" w:hAnsi="Times New Roman" w:cs="Times New Roman"/>
          <w:sz w:val="28"/>
          <w:szCs w:val="28"/>
        </w:rPr>
        <w:t xml:space="preserve">, а також обох цих груп із контрольною, достовірної різниці виявлено не було </w:t>
      </w:r>
      <w:r w:rsidR="00B83560">
        <w:rPr>
          <w:rFonts w:ascii="Times New Roman" w:hAnsi="Times New Roman" w:cs="Times New Roman"/>
          <w:sz w:val="28"/>
          <w:szCs w:val="28"/>
        </w:rPr>
        <w:t>(таблиця 3.9</w:t>
      </w:r>
      <w:r>
        <w:rPr>
          <w:rFonts w:ascii="Times New Roman" w:hAnsi="Times New Roman"/>
          <w:sz w:val="28"/>
          <w:szCs w:val="28"/>
        </w:rPr>
        <w:t>)</w:t>
      </w:r>
      <w:r>
        <w:rPr>
          <w:rFonts w:ascii="Times New Roman" w:hAnsi="Times New Roman" w:cs="Times New Roman"/>
          <w:sz w:val="28"/>
          <w:szCs w:val="28"/>
        </w:rPr>
        <w:t>.</w:t>
      </w:r>
    </w:p>
    <w:p w:rsidR="00FE4D0E" w:rsidRDefault="00B83560" w:rsidP="00FE4D0E">
      <w:pPr>
        <w:spacing w:line="360" w:lineRule="auto"/>
        <w:jc w:val="right"/>
        <w:rPr>
          <w:rFonts w:ascii="Times New Roman" w:hAnsi="Times New Roman"/>
          <w:sz w:val="28"/>
          <w:szCs w:val="28"/>
        </w:rPr>
      </w:pPr>
      <w:r>
        <w:rPr>
          <w:rFonts w:ascii="Times New Roman" w:hAnsi="Times New Roman"/>
          <w:sz w:val="28"/>
          <w:szCs w:val="28"/>
        </w:rPr>
        <w:t>Таблиця 3.9</w:t>
      </w:r>
    </w:p>
    <w:p w:rsidR="00FE4D0E" w:rsidRPr="00600276" w:rsidRDefault="00FE4D0E" w:rsidP="00FE4D0E">
      <w:pPr>
        <w:spacing w:line="360" w:lineRule="auto"/>
        <w:jc w:val="center"/>
        <w:rPr>
          <w:rFonts w:ascii="Times New Roman" w:hAnsi="Times New Roman"/>
          <w:sz w:val="28"/>
          <w:szCs w:val="28"/>
        </w:rPr>
      </w:pPr>
      <w:r>
        <w:rPr>
          <w:rFonts w:ascii="Times New Roman" w:hAnsi="Times New Roman"/>
          <w:sz w:val="28"/>
          <w:szCs w:val="28"/>
        </w:rPr>
        <w:t xml:space="preserve">Детальна статистична характеристика </w:t>
      </w:r>
      <w:r>
        <w:rPr>
          <w:rFonts w:ascii="Times New Roman" w:hAnsi="Times New Roman" w:cs="Times New Roman"/>
          <w:sz w:val="28"/>
          <w:szCs w:val="28"/>
        </w:rPr>
        <w:t xml:space="preserve">інтенсивності сигналу </w:t>
      </w:r>
      <w:r w:rsidR="00774E33">
        <w:rPr>
          <w:rFonts w:ascii="Times New Roman" w:hAnsi="Times New Roman"/>
          <w:sz w:val="28"/>
          <w:szCs w:val="28"/>
          <w:lang w:val="en-US"/>
        </w:rPr>
        <w:t>SRM</w:t>
      </w:r>
      <w:r w:rsidR="00774E33" w:rsidRPr="009E6C7E">
        <w:rPr>
          <w:rFonts w:ascii="Times New Roman" w:hAnsi="Times New Roman"/>
          <w:sz w:val="28"/>
          <w:szCs w:val="28"/>
          <w:lang w:val="ru-RU"/>
        </w:rPr>
        <w:t xml:space="preserve"> </w:t>
      </w:r>
      <w:r w:rsidR="00774E33">
        <w:rPr>
          <w:rFonts w:ascii="Times New Roman" w:hAnsi="Times New Roman"/>
          <w:sz w:val="28"/>
          <w:szCs w:val="28"/>
        </w:rPr>
        <w:t xml:space="preserve">та нормальної ниркової паренхіми </w:t>
      </w:r>
      <w:r>
        <w:rPr>
          <w:rFonts w:ascii="Times New Roman" w:hAnsi="Times New Roman" w:cs="Times New Roman"/>
          <w:sz w:val="28"/>
          <w:szCs w:val="28"/>
        </w:rPr>
        <w:t>на дифузійно-зважених зображеннях</w:t>
      </w:r>
      <w:r w:rsidRPr="009E6C7E">
        <w:rPr>
          <w:rFonts w:ascii="Times New Roman" w:hAnsi="Times New Roman"/>
          <w:sz w:val="28"/>
          <w:szCs w:val="28"/>
          <w:lang w:val="ru-RU"/>
        </w:rPr>
        <w:t xml:space="preserve"> </w:t>
      </w:r>
    </w:p>
    <w:tbl>
      <w:tblPr>
        <w:tblStyle w:val="TableGrid"/>
        <w:tblW w:w="0" w:type="auto"/>
        <w:tblLook w:val="04A0" w:firstRow="1" w:lastRow="0" w:firstColumn="1" w:lastColumn="0" w:noHBand="0" w:noVBand="1"/>
      </w:tblPr>
      <w:tblGrid>
        <w:gridCol w:w="1860"/>
        <w:gridCol w:w="1247"/>
        <w:gridCol w:w="846"/>
        <w:gridCol w:w="1282"/>
        <w:gridCol w:w="1111"/>
        <w:gridCol w:w="1136"/>
        <w:gridCol w:w="862"/>
        <w:gridCol w:w="1000"/>
      </w:tblGrid>
      <w:tr w:rsidR="00FE4D0E" w:rsidTr="001F0C51">
        <w:tc>
          <w:tcPr>
            <w:tcW w:w="2263" w:type="dxa"/>
            <w:vMerge w:val="restart"/>
          </w:tcPr>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Група</w:t>
            </w:r>
          </w:p>
        </w:tc>
        <w:tc>
          <w:tcPr>
            <w:tcW w:w="808" w:type="dxa"/>
            <w:vMerge w:val="restart"/>
          </w:tcPr>
          <w:p w:rsidR="00FE4D0E" w:rsidRPr="00DB40EE" w:rsidRDefault="00FE4D0E" w:rsidP="001F0C51">
            <w:pPr>
              <w:jc w:val="center"/>
              <w:rPr>
                <w:rFonts w:ascii="Times New Roman" w:hAnsi="Times New Roman"/>
                <w:b/>
                <w:sz w:val="28"/>
                <w:szCs w:val="28"/>
              </w:rPr>
            </w:pPr>
            <w:r w:rsidRPr="00BD5837">
              <w:rPr>
                <w:rFonts w:ascii="Times New Roman" w:hAnsi="Times New Roman"/>
                <w:b/>
                <w:sz w:val="28"/>
                <w:szCs w:val="28"/>
              </w:rPr>
              <w:t>Середнє</w:t>
            </w:r>
          </w:p>
        </w:tc>
        <w:tc>
          <w:tcPr>
            <w:tcW w:w="729" w:type="dxa"/>
            <w:vMerge w:val="restart"/>
          </w:tcPr>
          <w:p w:rsidR="00FE4D0E" w:rsidRPr="0035712F" w:rsidRDefault="00FE4D0E" w:rsidP="001F0C51">
            <w:pPr>
              <w:jc w:val="center"/>
              <w:rPr>
                <w:rFonts w:ascii="Times New Roman" w:hAnsi="Times New Roman"/>
                <w:b/>
                <w:sz w:val="28"/>
                <w:szCs w:val="28"/>
              </w:rPr>
            </w:pPr>
            <w:r w:rsidRPr="00BD5837">
              <w:rPr>
                <w:rFonts w:ascii="Times New Roman" w:hAnsi="Times New Roman"/>
                <w:b/>
                <w:sz w:val="28"/>
                <w:szCs w:val="28"/>
              </w:rPr>
              <w:t>СВ</w:t>
            </w:r>
          </w:p>
        </w:tc>
        <w:tc>
          <w:tcPr>
            <w:tcW w:w="1336" w:type="dxa"/>
            <w:vMerge w:val="restart"/>
          </w:tcPr>
          <w:p w:rsidR="00FE4D0E" w:rsidRPr="006E76F3" w:rsidRDefault="00FE4D0E" w:rsidP="001F0C51">
            <w:pPr>
              <w:jc w:val="center"/>
              <w:rPr>
                <w:rFonts w:ascii="Times New Roman" w:hAnsi="Times New Roman"/>
                <w:b/>
                <w:sz w:val="28"/>
                <w:szCs w:val="28"/>
                <w:lang w:val="en-US"/>
              </w:rPr>
            </w:pPr>
            <w:r w:rsidRPr="00BD5837">
              <w:rPr>
                <w:rFonts w:ascii="Times New Roman" w:hAnsi="Times New Roman"/>
                <w:b/>
                <w:sz w:val="28"/>
                <w:szCs w:val="28"/>
              </w:rPr>
              <w:t>Медіана</w:t>
            </w:r>
          </w:p>
        </w:tc>
        <w:tc>
          <w:tcPr>
            <w:tcW w:w="2247" w:type="dxa"/>
            <w:gridSpan w:val="2"/>
          </w:tcPr>
          <w:p w:rsidR="00FE4D0E" w:rsidRPr="006E76F3" w:rsidRDefault="00FE4D0E" w:rsidP="001F0C51">
            <w:pPr>
              <w:jc w:val="center"/>
              <w:rPr>
                <w:rFonts w:ascii="Times New Roman" w:hAnsi="Times New Roman"/>
                <w:b/>
                <w:sz w:val="28"/>
                <w:szCs w:val="28"/>
                <w:lang w:val="en-US"/>
              </w:rPr>
            </w:pPr>
            <w:r w:rsidRPr="00BD5837">
              <w:rPr>
                <w:rFonts w:ascii="Times New Roman" w:hAnsi="Times New Roman"/>
                <w:b/>
                <w:sz w:val="28"/>
                <w:szCs w:val="28"/>
              </w:rPr>
              <w:t>95% ДІ</w:t>
            </w:r>
          </w:p>
        </w:tc>
        <w:tc>
          <w:tcPr>
            <w:tcW w:w="915" w:type="dxa"/>
            <w:vMerge w:val="restart"/>
          </w:tcPr>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Мін</w:t>
            </w:r>
            <w:r>
              <w:rPr>
                <w:rFonts w:ascii="Times New Roman" w:hAnsi="Times New Roman"/>
                <w:b/>
                <w:sz w:val="28"/>
                <w:szCs w:val="28"/>
              </w:rPr>
              <w:t>.</w:t>
            </w:r>
          </w:p>
        </w:tc>
        <w:tc>
          <w:tcPr>
            <w:tcW w:w="1046" w:type="dxa"/>
            <w:vMerge w:val="restart"/>
          </w:tcPr>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Макс</w:t>
            </w:r>
            <w:r>
              <w:rPr>
                <w:rFonts w:ascii="Times New Roman" w:hAnsi="Times New Roman"/>
                <w:b/>
                <w:sz w:val="28"/>
                <w:szCs w:val="28"/>
              </w:rPr>
              <w:t>.</w:t>
            </w:r>
          </w:p>
        </w:tc>
      </w:tr>
      <w:tr w:rsidR="00FE4D0E" w:rsidTr="001F0C51">
        <w:tc>
          <w:tcPr>
            <w:tcW w:w="2263" w:type="dxa"/>
            <w:vMerge/>
          </w:tcPr>
          <w:p w:rsidR="00FE4D0E" w:rsidRPr="00BD5837" w:rsidRDefault="00FE4D0E" w:rsidP="001F0C51">
            <w:pPr>
              <w:jc w:val="center"/>
              <w:rPr>
                <w:rFonts w:ascii="Times New Roman" w:hAnsi="Times New Roman"/>
                <w:b/>
                <w:sz w:val="28"/>
                <w:szCs w:val="28"/>
                <w:lang w:val="en-US"/>
              </w:rPr>
            </w:pPr>
          </w:p>
        </w:tc>
        <w:tc>
          <w:tcPr>
            <w:tcW w:w="808" w:type="dxa"/>
            <w:vMerge/>
          </w:tcPr>
          <w:p w:rsidR="00FE4D0E" w:rsidRPr="00BD5837" w:rsidRDefault="00FE4D0E" w:rsidP="001F0C51">
            <w:pPr>
              <w:jc w:val="center"/>
              <w:rPr>
                <w:rFonts w:ascii="Times New Roman" w:hAnsi="Times New Roman"/>
                <w:b/>
                <w:sz w:val="28"/>
                <w:szCs w:val="28"/>
                <w:lang w:val="en-US"/>
              </w:rPr>
            </w:pPr>
          </w:p>
        </w:tc>
        <w:tc>
          <w:tcPr>
            <w:tcW w:w="729" w:type="dxa"/>
            <w:vMerge/>
          </w:tcPr>
          <w:p w:rsidR="00FE4D0E" w:rsidRPr="00BD5837" w:rsidRDefault="00FE4D0E" w:rsidP="001F0C51">
            <w:pPr>
              <w:jc w:val="center"/>
              <w:rPr>
                <w:rFonts w:ascii="Times New Roman" w:hAnsi="Times New Roman"/>
                <w:b/>
                <w:sz w:val="28"/>
                <w:szCs w:val="28"/>
                <w:lang w:val="en-US"/>
              </w:rPr>
            </w:pPr>
          </w:p>
        </w:tc>
        <w:tc>
          <w:tcPr>
            <w:tcW w:w="1336" w:type="dxa"/>
            <w:vMerge/>
          </w:tcPr>
          <w:p w:rsidR="00FE4D0E" w:rsidRPr="00BD5837" w:rsidRDefault="00FE4D0E" w:rsidP="001F0C51">
            <w:pPr>
              <w:jc w:val="center"/>
              <w:rPr>
                <w:rFonts w:ascii="Times New Roman" w:hAnsi="Times New Roman"/>
                <w:b/>
                <w:sz w:val="28"/>
                <w:szCs w:val="28"/>
                <w:lang w:val="en-US"/>
              </w:rPr>
            </w:pPr>
          </w:p>
        </w:tc>
        <w:tc>
          <w:tcPr>
            <w:tcW w:w="1111" w:type="dxa"/>
          </w:tcPr>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Нижня</w:t>
            </w:r>
          </w:p>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межа</w:t>
            </w:r>
          </w:p>
        </w:tc>
        <w:tc>
          <w:tcPr>
            <w:tcW w:w="1136" w:type="dxa"/>
          </w:tcPr>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Верхня</w:t>
            </w:r>
          </w:p>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межа</w:t>
            </w:r>
          </w:p>
        </w:tc>
        <w:tc>
          <w:tcPr>
            <w:tcW w:w="915" w:type="dxa"/>
            <w:vMerge/>
          </w:tcPr>
          <w:p w:rsidR="00FE4D0E" w:rsidRPr="00BD5837" w:rsidRDefault="00FE4D0E" w:rsidP="001F0C51">
            <w:pPr>
              <w:jc w:val="center"/>
              <w:rPr>
                <w:rFonts w:ascii="Times New Roman" w:hAnsi="Times New Roman"/>
                <w:b/>
                <w:sz w:val="28"/>
                <w:szCs w:val="28"/>
                <w:lang w:val="en-US"/>
              </w:rPr>
            </w:pPr>
          </w:p>
        </w:tc>
        <w:tc>
          <w:tcPr>
            <w:tcW w:w="1046" w:type="dxa"/>
            <w:vMerge/>
          </w:tcPr>
          <w:p w:rsidR="00FE4D0E" w:rsidRPr="00BD5837" w:rsidRDefault="00FE4D0E" w:rsidP="001F0C51">
            <w:pPr>
              <w:jc w:val="center"/>
              <w:rPr>
                <w:rFonts w:ascii="Times New Roman" w:hAnsi="Times New Roman"/>
                <w:b/>
                <w:sz w:val="28"/>
                <w:szCs w:val="28"/>
                <w:lang w:val="en-US"/>
              </w:rPr>
            </w:pPr>
          </w:p>
        </w:tc>
      </w:tr>
      <w:tr w:rsidR="00FE4D0E" w:rsidTr="001F0C51">
        <w:tc>
          <w:tcPr>
            <w:tcW w:w="2263" w:type="dxa"/>
          </w:tcPr>
          <w:p w:rsidR="00FE4D0E" w:rsidRPr="001424FC" w:rsidRDefault="00FE4D0E" w:rsidP="001F0C51">
            <w:pPr>
              <w:rPr>
                <w:rFonts w:ascii="Times New Roman" w:hAnsi="Times New Roman" w:cs="Times New Roman"/>
                <w:b/>
                <w:sz w:val="28"/>
                <w:szCs w:val="28"/>
              </w:rPr>
            </w:pPr>
            <w:r w:rsidRPr="006E76F3">
              <w:rPr>
                <w:rFonts w:ascii="Times New Roman" w:hAnsi="Times New Roman"/>
                <w:b/>
                <w:sz w:val="28"/>
                <w:szCs w:val="28"/>
              </w:rPr>
              <w:t>НКР</w:t>
            </w:r>
            <w:r>
              <w:rPr>
                <w:rFonts w:ascii="Times New Roman" w:hAnsi="Times New Roman"/>
                <w:b/>
                <w:sz w:val="28"/>
                <w:szCs w:val="28"/>
              </w:rPr>
              <w:t xml:space="preserve">, </w:t>
            </w:r>
            <w:r>
              <w:rPr>
                <w:rFonts w:ascii="Times New Roman" w:hAnsi="Times New Roman" w:cs="Times New Roman"/>
                <w:b/>
                <w:sz w:val="28"/>
                <w:szCs w:val="28"/>
              </w:rPr>
              <w:t>n=91</w:t>
            </w:r>
          </w:p>
        </w:tc>
        <w:tc>
          <w:tcPr>
            <w:tcW w:w="80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113,29</w:t>
            </w:r>
          </w:p>
        </w:tc>
        <w:tc>
          <w:tcPr>
            <w:tcW w:w="72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25,75</w:t>
            </w:r>
          </w:p>
        </w:tc>
        <w:tc>
          <w:tcPr>
            <w:tcW w:w="13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112,17</w:t>
            </w:r>
          </w:p>
        </w:tc>
        <w:tc>
          <w:tcPr>
            <w:tcW w:w="1111"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107,92</w:t>
            </w:r>
          </w:p>
        </w:tc>
        <w:tc>
          <w:tcPr>
            <w:tcW w:w="11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118,65</w:t>
            </w:r>
          </w:p>
        </w:tc>
        <w:tc>
          <w:tcPr>
            <w:tcW w:w="91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63,11</w:t>
            </w:r>
          </w:p>
        </w:tc>
        <w:tc>
          <w:tcPr>
            <w:tcW w:w="104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168,95</w:t>
            </w:r>
          </w:p>
        </w:tc>
      </w:tr>
      <w:tr w:rsidR="00FE4D0E" w:rsidTr="001F0C51">
        <w:tc>
          <w:tcPr>
            <w:tcW w:w="2263" w:type="dxa"/>
          </w:tcPr>
          <w:p w:rsidR="00FE4D0E" w:rsidRPr="001424FC" w:rsidRDefault="00FE4D0E" w:rsidP="001F0C51">
            <w:pPr>
              <w:rPr>
                <w:rFonts w:ascii="Times New Roman" w:hAnsi="Times New Roman" w:cs="Times New Roman"/>
                <w:b/>
                <w:sz w:val="28"/>
                <w:szCs w:val="28"/>
              </w:rPr>
            </w:pPr>
            <w:r>
              <w:rPr>
                <w:rFonts w:ascii="Times New Roman" w:hAnsi="Times New Roman"/>
                <w:b/>
                <w:sz w:val="28"/>
                <w:szCs w:val="28"/>
              </w:rPr>
              <w:t xml:space="preserve">ПКК ниркової миски, </w:t>
            </w:r>
            <w:r>
              <w:rPr>
                <w:rFonts w:ascii="Times New Roman" w:hAnsi="Times New Roman" w:cs="Times New Roman"/>
                <w:b/>
                <w:sz w:val="28"/>
                <w:szCs w:val="28"/>
              </w:rPr>
              <w:t>n=9</w:t>
            </w:r>
          </w:p>
        </w:tc>
        <w:tc>
          <w:tcPr>
            <w:tcW w:w="80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80,54</w:t>
            </w:r>
          </w:p>
        </w:tc>
        <w:tc>
          <w:tcPr>
            <w:tcW w:w="72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9,17</w:t>
            </w:r>
          </w:p>
        </w:tc>
        <w:tc>
          <w:tcPr>
            <w:tcW w:w="13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79,34</w:t>
            </w:r>
          </w:p>
        </w:tc>
        <w:tc>
          <w:tcPr>
            <w:tcW w:w="1111"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73,50</w:t>
            </w:r>
          </w:p>
        </w:tc>
        <w:tc>
          <w:tcPr>
            <w:tcW w:w="11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87,59</w:t>
            </w:r>
          </w:p>
        </w:tc>
        <w:tc>
          <w:tcPr>
            <w:tcW w:w="91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63,91</w:t>
            </w:r>
          </w:p>
        </w:tc>
        <w:tc>
          <w:tcPr>
            <w:tcW w:w="104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87,59</w:t>
            </w:r>
          </w:p>
        </w:tc>
      </w:tr>
      <w:tr w:rsidR="00FE4D0E" w:rsidTr="001F0C51">
        <w:tc>
          <w:tcPr>
            <w:tcW w:w="2263" w:type="dxa"/>
          </w:tcPr>
          <w:p w:rsidR="00FE4D0E" w:rsidRPr="006E76F3" w:rsidRDefault="00FE4D0E" w:rsidP="001F0C51">
            <w:pPr>
              <w:rPr>
                <w:rFonts w:ascii="Times New Roman" w:hAnsi="Times New Roman"/>
                <w:b/>
                <w:sz w:val="28"/>
                <w:szCs w:val="28"/>
              </w:rPr>
            </w:pPr>
            <w:r w:rsidRPr="006E76F3">
              <w:rPr>
                <w:rFonts w:ascii="Times New Roman" w:hAnsi="Times New Roman"/>
                <w:b/>
                <w:sz w:val="28"/>
                <w:szCs w:val="28"/>
              </w:rPr>
              <w:t>Доброякісні</w:t>
            </w:r>
          </w:p>
          <w:p w:rsidR="00FE4D0E" w:rsidRPr="001424FC" w:rsidRDefault="00FE4D0E" w:rsidP="001F0C51">
            <w:pPr>
              <w:rPr>
                <w:lang w:val="en-US"/>
              </w:rPr>
            </w:pPr>
            <w:r>
              <w:rPr>
                <w:rFonts w:ascii="Times New Roman" w:hAnsi="Times New Roman"/>
                <w:b/>
                <w:sz w:val="28"/>
                <w:szCs w:val="28"/>
              </w:rPr>
              <w:t>п</w:t>
            </w:r>
            <w:r w:rsidRPr="006E76F3">
              <w:rPr>
                <w:rFonts w:ascii="Times New Roman" w:hAnsi="Times New Roman"/>
                <w:b/>
                <w:sz w:val="28"/>
                <w:szCs w:val="28"/>
              </w:rPr>
              <w:t>ухлини</w:t>
            </w:r>
            <w:r>
              <w:rPr>
                <w:rFonts w:ascii="Times New Roman" w:hAnsi="Times New Roman"/>
                <w:b/>
                <w:sz w:val="28"/>
                <w:szCs w:val="28"/>
              </w:rPr>
              <w:t xml:space="preserve">, </w:t>
            </w:r>
            <w:r>
              <w:rPr>
                <w:rFonts w:ascii="Times New Roman" w:hAnsi="Times New Roman" w:cs="Times New Roman"/>
                <w:b/>
                <w:sz w:val="28"/>
                <w:szCs w:val="28"/>
              </w:rPr>
              <w:t>n=22</w:t>
            </w:r>
          </w:p>
        </w:tc>
        <w:tc>
          <w:tcPr>
            <w:tcW w:w="808"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71,30</w:t>
            </w:r>
          </w:p>
        </w:tc>
        <w:tc>
          <w:tcPr>
            <w:tcW w:w="729"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26,63</w:t>
            </w:r>
          </w:p>
        </w:tc>
        <w:tc>
          <w:tcPr>
            <w:tcW w:w="1336"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81,10</w:t>
            </w:r>
          </w:p>
        </w:tc>
        <w:tc>
          <w:tcPr>
            <w:tcW w:w="1111"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59,50</w:t>
            </w:r>
          </w:p>
        </w:tc>
        <w:tc>
          <w:tcPr>
            <w:tcW w:w="1136"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83,11</w:t>
            </w:r>
          </w:p>
        </w:tc>
        <w:tc>
          <w:tcPr>
            <w:tcW w:w="91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19,23</w:t>
            </w:r>
          </w:p>
        </w:tc>
        <w:tc>
          <w:tcPr>
            <w:tcW w:w="1046"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119,16</w:t>
            </w:r>
          </w:p>
        </w:tc>
      </w:tr>
      <w:tr w:rsidR="00FE4D0E" w:rsidTr="001F0C51">
        <w:tc>
          <w:tcPr>
            <w:tcW w:w="2263" w:type="dxa"/>
          </w:tcPr>
          <w:p w:rsidR="00FE4D0E" w:rsidRPr="001424FC" w:rsidRDefault="00FE4D0E" w:rsidP="001F0C51">
            <w:pPr>
              <w:rPr>
                <w:rFonts w:ascii="Times New Roman" w:hAnsi="Times New Roman"/>
                <w:b/>
                <w:sz w:val="28"/>
                <w:szCs w:val="28"/>
              </w:rPr>
            </w:pPr>
            <w:r w:rsidRPr="006E76F3">
              <w:rPr>
                <w:rFonts w:ascii="Times New Roman" w:hAnsi="Times New Roman"/>
                <w:b/>
                <w:sz w:val="28"/>
                <w:szCs w:val="28"/>
              </w:rPr>
              <w:t>Контроль</w:t>
            </w:r>
            <w:r>
              <w:rPr>
                <w:rFonts w:ascii="Times New Roman" w:hAnsi="Times New Roman"/>
                <w:b/>
                <w:sz w:val="28"/>
                <w:szCs w:val="28"/>
              </w:rPr>
              <w:t xml:space="preserve">, </w:t>
            </w:r>
            <w:r>
              <w:rPr>
                <w:rFonts w:ascii="Times New Roman" w:hAnsi="Times New Roman" w:cs="Times New Roman"/>
                <w:b/>
                <w:sz w:val="28"/>
                <w:szCs w:val="28"/>
              </w:rPr>
              <w:t>n=30</w:t>
            </w:r>
          </w:p>
        </w:tc>
        <w:tc>
          <w:tcPr>
            <w:tcW w:w="808"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87,94</w:t>
            </w:r>
          </w:p>
        </w:tc>
        <w:tc>
          <w:tcPr>
            <w:tcW w:w="729"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29,53</w:t>
            </w:r>
          </w:p>
        </w:tc>
        <w:tc>
          <w:tcPr>
            <w:tcW w:w="1336"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89,74</w:t>
            </w:r>
          </w:p>
        </w:tc>
        <w:tc>
          <w:tcPr>
            <w:tcW w:w="1111"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76,92</w:t>
            </w:r>
          </w:p>
        </w:tc>
        <w:tc>
          <w:tcPr>
            <w:tcW w:w="1136"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98,97</w:t>
            </w:r>
          </w:p>
        </w:tc>
        <w:tc>
          <w:tcPr>
            <w:tcW w:w="91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31,57</w:t>
            </w:r>
          </w:p>
        </w:tc>
        <w:tc>
          <w:tcPr>
            <w:tcW w:w="1046" w:type="dxa"/>
          </w:tcPr>
          <w:p w:rsidR="00FE4D0E" w:rsidRPr="00A2632B" w:rsidRDefault="00FE4D0E" w:rsidP="001F0C51">
            <w:pPr>
              <w:jc w:val="center"/>
              <w:rPr>
                <w:rFonts w:ascii="Times New Roman" w:hAnsi="Times New Roman"/>
                <w:sz w:val="28"/>
                <w:szCs w:val="28"/>
              </w:rPr>
            </w:pPr>
            <w:r>
              <w:rPr>
                <w:rFonts w:ascii="Times New Roman" w:hAnsi="Times New Roman"/>
                <w:sz w:val="28"/>
                <w:szCs w:val="28"/>
              </w:rPr>
              <w:t>145,03</w:t>
            </w:r>
          </w:p>
        </w:tc>
      </w:tr>
      <w:tr w:rsidR="00FE4D0E" w:rsidTr="001F0C51">
        <w:tc>
          <w:tcPr>
            <w:tcW w:w="2263" w:type="dxa"/>
          </w:tcPr>
          <w:p w:rsidR="00FE4D0E" w:rsidRPr="006E76F3" w:rsidRDefault="00FE4D0E" w:rsidP="001F0C51">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808"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0,002</w:t>
            </w:r>
          </w:p>
        </w:tc>
        <w:tc>
          <w:tcPr>
            <w:tcW w:w="72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11"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91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4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2263"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,3</w:t>
            </w:r>
          </w:p>
        </w:tc>
        <w:tc>
          <w:tcPr>
            <w:tcW w:w="808" w:type="dxa"/>
          </w:tcPr>
          <w:p w:rsidR="00FE4D0E" w:rsidRPr="00A2632B"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72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11"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91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4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2263"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,4</w:t>
            </w:r>
          </w:p>
        </w:tc>
        <w:tc>
          <w:tcPr>
            <w:tcW w:w="808"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72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11"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91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4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2263"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2,3</w:t>
            </w:r>
          </w:p>
        </w:tc>
        <w:tc>
          <w:tcPr>
            <w:tcW w:w="808"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0,807</w:t>
            </w:r>
          </w:p>
        </w:tc>
        <w:tc>
          <w:tcPr>
            <w:tcW w:w="72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11"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91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4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2263"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2,4</w:t>
            </w:r>
          </w:p>
        </w:tc>
        <w:tc>
          <w:tcPr>
            <w:tcW w:w="808"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0,878</w:t>
            </w:r>
          </w:p>
        </w:tc>
        <w:tc>
          <w:tcPr>
            <w:tcW w:w="72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11"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91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4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2263"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3,4</w:t>
            </w:r>
          </w:p>
        </w:tc>
        <w:tc>
          <w:tcPr>
            <w:tcW w:w="808"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0,109</w:t>
            </w:r>
          </w:p>
        </w:tc>
        <w:tc>
          <w:tcPr>
            <w:tcW w:w="72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11"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3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91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46"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bl>
    <w:p w:rsidR="00FE4D0E" w:rsidRDefault="00FE4D0E" w:rsidP="00FE4D0E">
      <w:pPr>
        <w:spacing w:line="360" w:lineRule="auto"/>
        <w:jc w:val="both"/>
        <w:rPr>
          <w:rFonts w:ascii="Times New Roman" w:hAnsi="Times New Roman"/>
          <w:sz w:val="28"/>
          <w:szCs w:val="28"/>
        </w:rPr>
      </w:pPr>
      <w:r w:rsidRPr="00BD5837">
        <w:rPr>
          <w:rFonts w:ascii="Times New Roman" w:hAnsi="Times New Roman"/>
          <w:sz w:val="28"/>
          <w:szCs w:val="28"/>
        </w:rPr>
        <w:t xml:space="preserve">Умовні позначення: СВ – стандартне відхилення, </w:t>
      </w:r>
      <w:r w:rsidR="004F0B12">
        <w:rPr>
          <w:rFonts w:ascii="Times New Roman" w:hAnsi="Times New Roman"/>
          <w:sz w:val="28"/>
          <w:szCs w:val="28"/>
        </w:rPr>
        <w:t>ДІ – довірчий інтервал</w:t>
      </w:r>
    </w:p>
    <w:p w:rsidR="00FE4D0E" w:rsidRPr="00C533B2" w:rsidRDefault="00FE4D0E" w:rsidP="00FE4D0E">
      <w:pPr>
        <w:spacing w:line="360" w:lineRule="auto"/>
        <w:ind w:firstLine="708"/>
        <w:jc w:val="both"/>
        <w:rPr>
          <w:rFonts w:ascii="Times New Roman" w:hAnsi="Times New Roman"/>
          <w:sz w:val="28"/>
          <w:szCs w:val="28"/>
        </w:rPr>
      </w:pPr>
      <w:r>
        <w:rPr>
          <w:rFonts w:ascii="Times New Roman" w:hAnsi="Times New Roman"/>
          <w:sz w:val="28"/>
          <w:szCs w:val="28"/>
        </w:rPr>
        <w:lastRenderedPageBreak/>
        <w:t xml:space="preserve">Серед різних гістологічних підтипів НКР, на дифузійно-зважених зображеннях найвище середнє значення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було отримане у підгрупі із скНКР (</w:t>
      </w:r>
      <w:r>
        <w:rPr>
          <w:rFonts w:ascii="Times New Roman" w:hAnsi="Times New Roman"/>
          <w:sz w:val="28"/>
          <w:szCs w:val="28"/>
        </w:rPr>
        <w:t>117,73</w:t>
      </w:r>
      <w:r>
        <w:rPr>
          <w:rFonts w:ascii="Times New Roman" w:hAnsi="Times New Roman" w:cs="Times New Roman"/>
          <w:sz w:val="28"/>
          <w:szCs w:val="28"/>
        </w:rPr>
        <w:t>±</w:t>
      </w:r>
      <w:r>
        <w:rPr>
          <w:rFonts w:ascii="Times New Roman" w:hAnsi="Times New Roman"/>
          <w:sz w:val="28"/>
          <w:szCs w:val="28"/>
        </w:rPr>
        <w:t>26,40), а найнижче – у хворих із пНКР (94,84</w:t>
      </w:r>
      <w:r>
        <w:rPr>
          <w:rFonts w:ascii="Times New Roman" w:hAnsi="Times New Roman" w:cs="Times New Roman"/>
          <w:sz w:val="28"/>
          <w:szCs w:val="28"/>
        </w:rPr>
        <w:t>±</w:t>
      </w:r>
      <w:r>
        <w:rPr>
          <w:rFonts w:ascii="Times New Roman" w:hAnsi="Times New Roman"/>
          <w:sz w:val="28"/>
          <w:szCs w:val="28"/>
        </w:rPr>
        <w:t>20,21), різниця між ними була достовірною (р=0,005). Водночас, не було суттєвої різниці у цьому показнику між підгрупами із конвенційним і хрНКР (р=0,835) та пНКР і хрНКР (р=0,097).</w:t>
      </w:r>
    </w:p>
    <w:p w:rsidR="00FE4D0E" w:rsidRDefault="00FE4D0E" w:rsidP="00FE4D0E">
      <w:pPr>
        <w:spacing w:line="360" w:lineRule="auto"/>
        <w:jc w:val="both"/>
        <w:rPr>
          <w:rFonts w:ascii="Times New Roman" w:hAnsi="Times New Roman" w:cs="Times New Roman"/>
          <w:sz w:val="28"/>
          <w:szCs w:val="28"/>
        </w:rPr>
      </w:pPr>
      <w:r>
        <w:rPr>
          <w:rFonts w:ascii="Times New Roman" w:hAnsi="Times New Roman" w:cs="Times New Roman"/>
          <w:sz w:val="28"/>
          <w:szCs w:val="28"/>
        </w:rPr>
        <w:tab/>
        <w:t>При аналізі І</w:t>
      </w:r>
      <w:r w:rsidRPr="00B02037">
        <w:rPr>
          <w:rFonts w:ascii="Times New Roman" w:hAnsi="Times New Roman" w:cs="Times New Roman"/>
          <w:sz w:val="28"/>
          <w:szCs w:val="28"/>
        </w:rPr>
        <w:t>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конвенційного НКР </w:t>
      </w:r>
      <w:r>
        <w:rPr>
          <w:rFonts w:ascii="Times New Roman" w:hAnsi="Times New Roman"/>
          <w:sz w:val="28"/>
          <w:szCs w:val="28"/>
        </w:rPr>
        <w:t xml:space="preserve">різного ступеня за </w:t>
      </w:r>
      <w:r>
        <w:rPr>
          <w:rFonts w:ascii="Times New Roman" w:hAnsi="Times New Roman"/>
          <w:sz w:val="28"/>
          <w:szCs w:val="28"/>
          <w:lang w:val="en-US"/>
        </w:rPr>
        <w:t>Fuhrman</w:t>
      </w:r>
      <w:r>
        <w:rPr>
          <w:rFonts w:ascii="Times New Roman" w:hAnsi="Times New Roman"/>
          <w:sz w:val="28"/>
          <w:szCs w:val="28"/>
        </w:rPr>
        <w:t xml:space="preserve">, найвищі середні значення було виявлено при скНКР високого </w:t>
      </w:r>
      <w:r w:rsidR="00B02037">
        <w:rPr>
          <w:rFonts w:ascii="Times New Roman" w:hAnsi="Times New Roman"/>
          <w:sz w:val="28"/>
          <w:szCs w:val="28"/>
        </w:rPr>
        <w:t>ступеня</w:t>
      </w:r>
      <w:r>
        <w:rPr>
          <w:rFonts w:ascii="Times New Roman" w:hAnsi="Times New Roman"/>
          <w:sz w:val="28"/>
          <w:szCs w:val="28"/>
        </w:rPr>
        <w:t xml:space="preserve"> (125,54</w:t>
      </w:r>
      <w:r>
        <w:rPr>
          <w:rFonts w:ascii="Times New Roman" w:hAnsi="Times New Roman" w:cs="Times New Roman"/>
          <w:sz w:val="28"/>
          <w:szCs w:val="28"/>
        </w:rPr>
        <w:t>±</w:t>
      </w:r>
      <w:r>
        <w:rPr>
          <w:rFonts w:ascii="Times New Roman" w:hAnsi="Times New Roman"/>
          <w:sz w:val="28"/>
          <w:szCs w:val="28"/>
        </w:rPr>
        <w:t>27,81), проти низького (110,17</w:t>
      </w:r>
      <w:r>
        <w:rPr>
          <w:rFonts w:ascii="Times New Roman" w:hAnsi="Times New Roman" w:cs="Times New Roman"/>
          <w:sz w:val="28"/>
          <w:szCs w:val="28"/>
        </w:rPr>
        <w:t>±</w:t>
      </w:r>
      <w:r>
        <w:rPr>
          <w:rFonts w:ascii="Times New Roman" w:hAnsi="Times New Roman"/>
          <w:sz w:val="28"/>
          <w:szCs w:val="28"/>
        </w:rPr>
        <w:t xml:space="preserve">22,95), що мало обернений характер у порівнянні із ІС виміряною на КТ-зображеннях; проте, достовірної різниці між цими показниками знайдено не було (р=0,079). Так само не було суттєвої різниці у середніх значеннях </w:t>
      </w:r>
      <w:r>
        <w:rPr>
          <w:rFonts w:ascii="Times New Roman" w:hAnsi="Times New Roman" w:cs="Times New Roman"/>
          <w:sz w:val="28"/>
          <w:szCs w:val="28"/>
        </w:rPr>
        <w:t>І</w:t>
      </w:r>
      <w:r w:rsidRPr="009E6C7E">
        <w:rPr>
          <w:rFonts w:ascii="Times New Roman" w:hAnsi="Times New Roman" w:cs="Times New Roman"/>
          <w:sz w:val="28"/>
          <w:szCs w:val="28"/>
          <w:lang w:val="ru-RU"/>
        </w:rPr>
        <w:t>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папілярного НКР </w:t>
      </w:r>
      <w:r>
        <w:rPr>
          <w:rFonts w:ascii="Times New Roman" w:hAnsi="Times New Roman"/>
          <w:sz w:val="28"/>
          <w:szCs w:val="28"/>
        </w:rPr>
        <w:t xml:space="preserve">низького та високого ступенів за </w:t>
      </w:r>
      <w:r>
        <w:rPr>
          <w:rFonts w:ascii="Times New Roman" w:hAnsi="Times New Roman"/>
          <w:sz w:val="28"/>
          <w:szCs w:val="28"/>
          <w:lang w:val="en-US"/>
        </w:rPr>
        <w:t>Fuhrman</w:t>
      </w:r>
      <w:r>
        <w:rPr>
          <w:rFonts w:ascii="Times New Roman" w:hAnsi="Times New Roman"/>
          <w:sz w:val="28"/>
          <w:szCs w:val="28"/>
        </w:rPr>
        <w:t xml:space="preserve"> (р=0,862).</w:t>
      </w:r>
      <w:r>
        <w:rPr>
          <w:rFonts w:ascii="Times New Roman" w:hAnsi="Times New Roman" w:cs="Times New Roman"/>
          <w:sz w:val="28"/>
          <w:szCs w:val="28"/>
        </w:rPr>
        <w:t xml:space="preserve"> </w:t>
      </w:r>
    </w:p>
    <w:p w:rsidR="00FE4D0E" w:rsidRDefault="00FE4D0E" w:rsidP="00FE4D0E">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підгрупах із доброякісними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ми спостерігали наступні відмінності у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найвище середнє значення цього параметру ми реєстрували у підгрупі із ОЦ нирки (</w:t>
      </w:r>
      <w:r>
        <w:rPr>
          <w:rFonts w:ascii="Times New Roman" w:hAnsi="Times New Roman"/>
          <w:sz w:val="28"/>
          <w:szCs w:val="28"/>
        </w:rPr>
        <w:t>92,31</w:t>
      </w:r>
      <w:r>
        <w:rPr>
          <w:rFonts w:ascii="Times New Roman" w:hAnsi="Times New Roman" w:cs="Times New Roman"/>
          <w:sz w:val="28"/>
          <w:szCs w:val="28"/>
        </w:rPr>
        <w:t>±</w:t>
      </w:r>
      <w:r>
        <w:rPr>
          <w:rFonts w:ascii="Times New Roman" w:hAnsi="Times New Roman"/>
          <w:sz w:val="28"/>
          <w:szCs w:val="28"/>
        </w:rPr>
        <w:t>11,71), а найнижче – у хворих із АМЛ (37,50</w:t>
      </w:r>
      <w:r>
        <w:rPr>
          <w:rFonts w:ascii="Times New Roman" w:hAnsi="Times New Roman" w:cs="Times New Roman"/>
          <w:sz w:val="28"/>
          <w:szCs w:val="28"/>
        </w:rPr>
        <w:t>±</w:t>
      </w:r>
      <w:r>
        <w:rPr>
          <w:rFonts w:ascii="Times New Roman" w:hAnsi="Times New Roman"/>
          <w:sz w:val="28"/>
          <w:szCs w:val="28"/>
        </w:rPr>
        <w:t>12,61), така різниця мала достовірну статистичну різницю (</w:t>
      </w:r>
      <w:r w:rsidRPr="009E6C7E">
        <w:rPr>
          <w:rFonts w:ascii="Times New Roman" w:hAnsi="Times New Roman"/>
          <w:sz w:val="28"/>
          <w:szCs w:val="28"/>
        </w:rPr>
        <w:t>&lt;</w:t>
      </w:r>
      <w:r>
        <w:rPr>
          <w:rFonts w:ascii="Times New Roman" w:hAnsi="Times New Roman"/>
          <w:sz w:val="28"/>
          <w:szCs w:val="28"/>
        </w:rPr>
        <w:t xml:space="preserve">0,001). Крім цього, було отримано суттєву різницю між середніми значеннями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у підгрупах з АМЛ та ПА нирки (</w:t>
      </w:r>
      <w:r>
        <w:rPr>
          <w:rFonts w:ascii="Times New Roman" w:hAnsi="Times New Roman"/>
          <w:sz w:val="28"/>
          <w:szCs w:val="28"/>
        </w:rPr>
        <w:t>79,22</w:t>
      </w:r>
      <w:r>
        <w:rPr>
          <w:rFonts w:ascii="Times New Roman" w:hAnsi="Times New Roman" w:cs="Times New Roman"/>
          <w:sz w:val="28"/>
          <w:szCs w:val="28"/>
        </w:rPr>
        <w:t>±</w:t>
      </w:r>
      <w:r>
        <w:rPr>
          <w:rFonts w:ascii="Times New Roman" w:hAnsi="Times New Roman"/>
          <w:sz w:val="28"/>
          <w:szCs w:val="28"/>
        </w:rPr>
        <w:t>9,93): р</w:t>
      </w:r>
      <w:r w:rsidRPr="009E6C7E">
        <w:rPr>
          <w:rFonts w:ascii="Times New Roman" w:hAnsi="Times New Roman"/>
          <w:sz w:val="28"/>
          <w:szCs w:val="28"/>
        </w:rPr>
        <w:t>&lt;</w:t>
      </w:r>
      <w:r>
        <w:rPr>
          <w:rFonts w:ascii="Times New Roman" w:hAnsi="Times New Roman"/>
          <w:sz w:val="28"/>
          <w:szCs w:val="28"/>
        </w:rPr>
        <w:t xml:space="preserve">0,001. Однак, достовірних відмінностей між середніми показниками </w:t>
      </w:r>
      <w:r w:rsidRPr="009E6C7E">
        <w:rPr>
          <w:rFonts w:ascii="Times New Roman" w:hAnsi="Times New Roman" w:cs="Times New Roman"/>
          <w:sz w:val="28"/>
          <w:szCs w:val="28"/>
          <w:lang w:val="ru-RU"/>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підгруп із ОЦ і ПА ми не відмічали (р=</w:t>
      </w:r>
      <w:r>
        <w:rPr>
          <w:rFonts w:ascii="Times New Roman" w:hAnsi="Times New Roman"/>
          <w:sz w:val="28"/>
          <w:szCs w:val="28"/>
        </w:rPr>
        <w:t>0,107).</w:t>
      </w:r>
    </w:p>
    <w:p w:rsidR="00FE4D0E" w:rsidRDefault="00FE4D0E" w:rsidP="00FE4D0E">
      <w:pPr>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ab/>
        <w:t xml:space="preserve">При виконанні </w:t>
      </w:r>
      <w:r>
        <w:rPr>
          <w:rFonts w:ascii="Times New Roman" w:hAnsi="Times New Roman" w:cs="Times New Roman"/>
          <w:sz w:val="28"/>
          <w:szCs w:val="28"/>
          <w:lang w:val="en-US"/>
        </w:rPr>
        <w:t>ROC</w:t>
      </w:r>
      <w:r w:rsidRPr="009E6C7E">
        <w:rPr>
          <w:rFonts w:ascii="Times New Roman" w:hAnsi="Times New Roman" w:cs="Times New Roman"/>
          <w:sz w:val="28"/>
          <w:szCs w:val="28"/>
        </w:rPr>
        <w:t>-</w:t>
      </w:r>
      <w:r>
        <w:rPr>
          <w:rFonts w:ascii="Times New Roman" w:hAnsi="Times New Roman" w:cs="Times New Roman"/>
          <w:sz w:val="28"/>
          <w:szCs w:val="28"/>
        </w:rPr>
        <w:t xml:space="preserve">аналізу було виявлено, що застосування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для диференціації НКР від інших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(включно з ПКК ниркової миски) дозволяє проводити це із помірно високими показниками чутливості, специфічності та точності, які становили відповідно 84,6%, 71,0% та </w:t>
      </w:r>
      <w:r>
        <w:rPr>
          <w:rFonts w:ascii="Times New Roman" w:hAnsi="Times New Roman" w:cs="Times New Roman"/>
          <w:sz w:val="28"/>
          <w:szCs w:val="28"/>
          <w:lang w:val="en-US"/>
        </w:rPr>
        <w:t>AUC</w:t>
      </w:r>
      <w:r w:rsidRPr="009E6C7E">
        <w:rPr>
          <w:rFonts w:ascii="Times New Roman" w:hAnsi="Times New Roman" w:cs="Times New Roman"/>
          <w:sz w:val="28"/>
          <w:szCs w:val="28"/>
        </w:rPr>
        <w:t>=0</w:t>
      </w:r>
      <w:r>
        <w:rPr>
          <w:rFonts w:ascii="Times New Roman" w:hAnsi="Times New Roman" w:cs="Times New Roman"/>
          <w:sz w:val="28"/>
          <w:szCs w:val="28"/>
        </w:rPr>
        <w:t>,873 (95% ДІ=0,809-0,937, р</w:t>
      </w:r>
      <w:r w:rsidRPr="009E6C7E">
        <w:rPr>
          <w:rFonts w:ascii="Times New Roman" w:hAnsi="Times New Roman" w:cs="Times New Roman"/>
          <w:sz w:val="28"/>
          <w:szCs w:val="28"/>
        </w:rPr>
        <w:t>&lt;</w:t>
      </w:r>
      <w:r>
        <w:rPr>
          <w:rFonts w:ascii="Times New Roman" w:hAnsi="Times New Roman" w:cs="Times New Roman"/>
          <w:sz w:val="28"/>
          <w:szCs w:val="28"/>
        </w:rPr>
        <w:t xml:space="preserve">0,001) при граничному значенні 86,40. При диференціації НКР від доброякісних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застосування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демонструвало дещо гірші показники, проте, які все ще залишались задовільними: 80,2% чутливість, 72,7 специфічність,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sz w:val="28"/>
          <w:szCs w:val="28"/>
        </w:rPr>
        <w:t>0,869 (95% ДІ=0,794-0,944, р</w:t>
      </w:r>
      <w:r w:rsidRPr="009E6C7E">
        <w:rPr>
          <w:rFonts w:ascii="Times New Roman" w:hAnsi="Times New Roman" w:cs="Times New Roman"/>
          <w:sz w:val="28"/>
          <w:szCs w:val="28"/>
        </w:rPr>
        <w:t>&lt;</w:t>
      </w:r>
      <w:r>
        <w:rPr>
          <w:rFonts w:ascii="Times New Roman" w:hAnsi="Times New Roman" w:cs="Times New Roman"/>
          <w:sz w:val="28"/>
          <w:szCs w:val="28"/>
        </w:rPr>
        <w:t>0,001) п</w:t>
      </w:r>
      <w:r w:rsidRPr="00283C70">
        <w:rPr>
          <w:rFonts w:ascii="Times New Roman" w:hAnsi="Times New Roman" w:cs="Times New Roman"/>
          <w:sz w:val="28"/>
          <w:szCs w:val="28"/>
        </w:rPr>
        <w:t>ри пороговій величині</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90,10. Водночас, використання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для диференціації </w:t>
      </w:r>
      <w:r>
        <w:rPr>
          <w:rFonts w:ascii="Times New Roman" w:hAnsi="Times New Roman" w:cs="Times New Roman"/>
          <w:sz w:val="28"/>
          <w:szCs w:val="28"/>
        </w:rPr>
        <w:lastRenderedPageBreak/>
        <w:t>скітлоклітинного від несвітлоклітинного НКР демонструвало незадовільний показник точності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color w:val="000000" w:themeColor="text1"/>
          <w:sz w:val="28"/>
          <w:szCs w:val="28"/>
        </w:rPr>
        <w:t>0,644, 95% ДІ=0,526-0,762, р=0,026), який був ще нижчим при вирізненні папілярного від хромофобного НКР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color w:val="000000" w:themeColor="text1"/>
          <w:sz w:val="28"/>
          <w:szCs w:val="28"/>
        </w:rPr>
        <w:t xml:space="preserve">0,262, 95% ДІ=0,078-0,447, р=0,026). Окрім цього, низьку точність та статистичну достовірність ми спостерігали при </w:t>
      </w:r>
      <w:r>
        <w:rPr>
          <w:rFonts w:ascii="Times New Roman" w:hAnsi="Times New Roman" w:cs="Times New Roman"/>
          <w:sz w:val="28"/>
          <w:szCs w:val="28"/>
        </w:rPr>
        <w:t xml:space="preserve">використанні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для диференціації скНКР </w:t>
      </w:r>
      <w:r w:rsidRPr="00F3118B">
        <w:rPr>
          <w:rFonts w:ascii="Times New Roman" w:hAnsi="Times New Roman" w:cs="Times New Roman"/>
          <w:color w:val="000000" w:themeColor="text1"/>
          <w:sz w:val="28"/>
          <w:szCs w:val="28"/>
        </w:rPr>
        <w:t xml:space="preserve">низького від високого </w:t>
      </w:r>
      <w:r w:rsidR="00B02037">
        <w:rPr>
          <w:rFonts w:ascii="Times New Roman" w:hAnsi="Times New Roman" w:cs="Times New Roman"/>
          <w:color w:val="000000" w:themeColor="text1"/>
          <w:sz w:val="28"/>
          <w:szCs w:val="28"/>
        </w:rPr>
        <w:t>ступеня</w:t>
      </w:r>
      <w:r w:rsidRPr="00F3118B">
        <w:rPr>
          <w:rFonts w:ascii="Times New Roman" w:hAnsi="Times New Roman" w:cs="Times New Roman"/>
          <w:color w:val="000000" w:themeColor="text1"/>
          <w:sz w:val="28"/>
          <w:szCs w:val="28"/>
        </w:rPr>
        <w:t xml:space="preserve"> за </w:t>
      </w:r>
      <w:r w:rsidRPr="00F3118B">
        <w:rPr>
          <w:rFonts w:ascii="Times New Roman" w:hAnsi="Times New Roman" w:cs="Times New Roman"/>
          <w:color w:val="000000" w:themeColor="text1"/>
          <w:sz w:val="28"/>
          <w:szCs w:val="28"/>
          <w:lang w:val="en-US"/>
        </w:rPr>
        <w:t>Fuhrman</w:t>
      </w:r>
      <w:r>
        <w:rPr>
          <w:rFonts w:ascii="Times New Roman" w:hAnsi="Times New Roman" w:cs="Times New Roman"/>
          <w:color w:val="000000" w:themeColor="text1"/>
          <w:sz w:val="28"/>
          <w:szCs w:val="28"/>
        </w:rPr>
        <w:t xml:space="preserve">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color w:val="000000" w:themeColor="text1"/>
          <w:sz w:val="28"/>
          <w:szCs w:val="28"/>
        </w:rPr>
        <w:t xml:space="preserve">0,359, 95% ДІ=0,219-0,499, р=0,059), та пНКР низького від високого </w:t>
      </w:r>
      <w:r w:rsidR="00B02037">
        <w:rPr>
          <w:rFonts w:ascii="Times New Roman" w:hAnsi="Times New Roman" w:cs="Times New Roman"/>
          <w:color w:val="000000" w:themeColor="text1"/>
          <w:sz w:val="28"/>
          <w:szCs w:val="28"/>
        </w:rPr>
        <w:t>ступеня</w:t>
      </w:r>
      <w:r>
        <w:rPr>
          <w:rFonts w:ascii="Times New Roman" w:hAnsi="Times New Roman" w:cs="Times New Roman"/>
          <w:color w:val="000000" w:themeColor="text1"/>
          <w:sz w:val="28"/>
          <w:szCs w:val="28"/>
        </w:rPr>
        <w:t xml:space="preserve"> за тією ж класифікацією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color w:val="000000" w:themeColor="text1"/>
          <w:sz w:val="28"/>
          <w:szCs w:val="28"/>
        </w:rPr>
        <w:t>0,370, 95% ДІ=0,078-0,633, р=0,409).</w:t>
      </w:r>
    </w:p>
    <w:p w:rsidR="00FE4D0E" w:rsidRDefault="00FE4D0E" w:rsidP="00FE4D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На ВКД-картах ступінь дифузії молекул водню в тканинах черевної порожнини був представлений у вигляді відповідного кольору, при цьому, високий ступінь дифузії носив темно-червоний і темно-оранжевий колір, а значно обмежена дифузія – від зеленого до синього. Наприклад, ділянки гіперінтенсивності на ДЗЗ, які найчастіше були притаманні НКР внаслідок обмеження дифузії в тканинах пухлини, зазвичай на ВКД-картах відповідали зонам зниженої дифузії (зелений колір), а зони некрозу чи кістозні елементи, які навпаки, були гіпоінтенсивними на ДЗЗ внаслідок вільнішої у порівнянні з оточуючими тканинами дифузії, відповідали темно-червоним зонам на ВКР-картах. Після проведення вимірів ІС</w:t>
      </w:r>
      <w:r>
        <w:rPr>
          <w:rFonts w:ascii="Times New Roman" w:hAnsi="Times New Roman" w:cs="Times New Roman"/>
          <w:color w:val="000000" w:themeColor="text1"/>
          <w:sz w:val="28"/>
          <w:szCs w:val="28"/>
          <w:vertAlign w:val="subscript"/>
        </w:rPr>
        <w:t>ДЗЗ</w:t>
      </w:r>
      <w:r>
        <w:rPr>
          <w:rFonts w:ascii="Times New Roman" w:hAnsi="Times New Roman" w:cs="Times New Roman"/>
          <w:color w:val="000000" w:themeColor="text1"/>
          <w:sz w:val="28"/>
          <w:szCs w:val="28"/>
        </w:rPr>
        <w:t xml:space="preserve">, область зацікавлення копіювали на анатомічно відповідну ділянку ВКД-зображення. Числове значення ВКД було обернено пропорційне </w:t>
      </w:r>
      <w:r w:rsidR="00B02037">
        <w:rPr>
          <w:rFonts w:ascii="Times New Roman" w:hAnsi="Times New Roman" w:cs="Times New Roman"/>
          <w:color w:val="000000" w:themeColor="text1"/>
          <w:sz w:val="28"/>
          <w:szCs w:val="28"/>
        </w:rPr>
        <w:t>ступеня</w:t>
      </w:r>
      <w:r>
        <w:rPr>
          <w:rFonts w:ascii="Times New Roman" w:hAnsi="Times New Roman" w:cs="Times New Roman"/>
          <w:color w:val="000000" w:themeColor="text1"/>
          <w:sz w:val="28"/>
          <w:szCs w:val="28"/>
        </w:rPr>
        <w:t xml:space="preserve"> порушення дифузії у тканинах. </w:t>
      </w:r>
    </w:p>
    <w:p w:rsidR="00FE4D0E" w:rsidRDefault="00FE4D0E" w:rsidP="00FE4D0E">
      <w:pPr>
        <w:spacing w:line="360" w:lineRule="auto"/>
        <w:jc w:val="both"/>
        <w:rPr>
          <w:rFonts w:ascii="Times New Roman" w:hAnsi="Times New Roman"/>
          <w:sz w:val="28"/>
          <w:szCs w:val="28"/>
        </w:rPr>
      </w:pPr>
      <w:r>
        <w:rPr>
          <w:rFonts w:ascii="Times New Roman" w:hAnsi="Times New Roman" w:cs="Times New Roman"/>
          <w:color w:val="000000" w:themeColor="text1"/>
          <w:sz w:val="28"/>
          <w:szCs w:val="28"/>
        </w:rPr>
        <w:tab/>
        <w:t>Нами були отримані значні відмінності у середніх значеннях ВКД в основній, порівняльних та контрольній групах. Так, найвищі значення ВКД спостерігались в контрольній групі (</w:t>
      </w:r>
      <w:r>
        <w:rPr>
          <w:rFonts w:ascii="Times New Roman" w:hAnsi="Times New Roman"/>
          <w:sz w:val="28"/>
          <w:szCs w:val="28"/>
        </w:rPr>
        <w:t>2,12</w:t>
      </w:r>
      <w:r>
        <w:rPr>
          <w:rFonts w:ascii="Times New Roman" w:hAnsi="Times New Roman" w:cs="Times New Roman"/>
          <w:sz w:val="28"/>
          <w:szCs w:val="28"/>
        </w:rPr>
        <w:t>±</w:t>
      </w:r>
      <w:r>
        <w:rPr>
          <w:rFonts w:ascii="Times New Roman" w:hAnsi="Times New Roman"/>
          <w:sz w:val="28"/>
          <w:szCs w:val="28"/>
        </w:rPr>
        <w:t>0,14</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які відображали дифузію молекул водню в здоровій паренхімі нирки і слугували референтними значеннями для даного показника, при цьому різниця від середніх значень ВКД в інших групах була статистично достовірною (</w:t>
      </w:r>
      <w:r w:rsidRPr="009E6C7E">
        <w:rPr>
          <w:rFonts w:ascii="Times New Roman" w:hAnsi="Times New Roman"/>
          <w:sz w:val="28"/>
          <w:szCs w:val="28"/>
        </w:rPr>
        <w:t>&lt;</w:t>
      </w:r>
      <w:r>
        <w:rPr>
          <w:rFonts w:ascii="Times New Roman" w:hAnsi="Times New Roman"/>
          <w:sz w:val="28"/>
          <w:szCs w:val="28"/>
        </w:rPr>
        <w:t>0,001). Найменше середнє значення ВКД було зареєстроване у групі із ПКК ниркової миски (1,03</w:t>
      </w:r>
      <w:r>
        <w:rPr>
          <w:rFonts w:ascii="Times New Roman" w:hAnsi="Times New Roman" w:cs="Times New Roman"/>
          <w:sz w:val="28"/>
          <w:szCs w:val="28"/>
        </w:rPr>
        <w:t>±</w:t>
      </w:r>
      <w:r>
        <w:rPr>
          <w:rFonts w:ascii="Times New Roman" w:hAnsi="Times New Roman"/>
          <w:sz w:val="28"/>
          <w:szCs w:val="28"/>
        </w:rPr>
        <w:t>0,12</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xml:space="preserve">), що свідчило про виражене обмеження дифузії в </w:t>
      </w:r>
      <w:r>
        <w:rPr>
          <w:rFonts w:ascii="Times New Roman" w:hAnsi="Times New Roman"/>
          <w:sz w:val="28"/>
          <w:szCs w:val="28"/>
        </w:rPr>
        <w:lastRenderedPageBreak/>
        <w:t xml:space="preserve">тканинах цих </w:t>
      </w:r>
      <w:r>
        <w:rPr>
          <w:rFonts w:ascii="Times New Roman" w:hAnsi="Times New Roman"/>
          <w:sz w:val="28"/>
          <w:szCs w:val="28"/>
          <w:lang w:val="en-US"/>
        </w:rPr>
        <w:t>SRM</w:t>
      </w:r>
      <w:r>
        <w:rPr>
          <w:rFonts w:ascii="Times New Roman" w:hAnsi="Times New Roman"/>
          <w:sz w:val="28"/>
          <w:szCs w:val="28"/>
        </w:rPr>
        <w:t>, при цьому, відмінність даного показника від інших груп також була достовірною (</w:t>
      </w:r>
      <w:r w:rsidRPr="009E6C7E">
        <w:rPr>
          <w:rFonts w:ascii="Times New Roman" w:hAnsi="Times New Roman"/>
          <w:sz w:val="28"/>
          <w:szCs w:val="28"/>
        </w:rPr>
        <w:t>&lt;</w:t>
      </w:r>
      <w:r>
        <w:rPr>
          <w:rFonts w:ascii="Times New Roman" w:hAnsi="Times New Roman"/>
          <w:sz w:val="28"/>
          <w:szCs w:val="28"/>
        </w:rPr>
        <w:t xml:space="preserve">0,001). </w:t>
      </w:r>
    </w:p>
    <w:p w:rsidR="009C1018" w:rsidRDefault="00FE4D0E" w:rsidP="009C1018">
      <w:pPr>
        <w:spacing w:line="360" w:lineRule="auto"/>
        <w:ind w:firstLine="708"/>
        <w:jc w:val="both"/>
        <w:rPr>
          <w:rFonts w:ascii="Times New Roman" w:hAnsi="Times New Roman"/>
          <w:sz w:val="28"/>
          <w:szCs w:val="28"/>
        </w:rPr>
      </w:pPr>
      <w:r>
        <w:rPr>
          <w:rFonts w:ascii="Times New Roman" w:hAnsi="Times New Roman"/>
          <w:sz w:val="28"/>
          <w:szCs w:val="28"/>
        </w:rPr>
        <w:t>В основній групі ми спостерігали, щоправда дещо менше, обмеження дифузії в тканинах НКР: середній показник ВКД складав 1,68</w:t>
      </w:r>
      <w:r>
        <w:rPr>
          <w:rFonts w:ascii="Times New Roman" w:hAnsi="Times New Roman" w:cs="Times New Roman"/>
          <w:sz w:val="28"/>
          <w:szCs w:val="28"/>
        </w:rPr>
        <w:t>±</w:t>
      </w:r>
      <w:r>
        <w:rPr>
          <w:rFonts w:ascii="Times New Roman" w:hAnsi="Times New Roman"/>
          <w:sz w:val="28"/>
          <w:szCs w:val="28"/>
        </w:rPr>
        <w:t>0,18</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xml:space="preserve"> і суттєво відрізнявся від інших груп (</w:t>
      </w:r>
      <w:r w:rsidRPr="009E6C7E">
        <w:rPr>
          <w:rFonts w:ascii="Times New Roman" w:hAnsi="Times New Roman"/>
          <w:sz w:val="28"/>
          <w:szCs w:val="28"/>
        </w:rPr>
        <w:t>&lt;</w:t>
      </w:r>
      <w:r>
        <w:rPr>
          <w:rFonts w:ascii="Times New Roman" w:hAnsi="Times New Roman"/>
          <w:sz w:val="28"/>
          <w:szCs w:val="28"/>
        </w:rPr>
        <w:t>0,001). При доброякісних пухлинах нирки середнє значення ВКД складало 2,12</w:t>
      </w:r>
      <w:r>
        <w:rPr>
          <w:rFonts w:ascii="Times New Roman" w:hAnsi="Times New Roman" w:cs="Times New Roman"/>
          <w:sz w:val="28"/>
          <w:szCs w:val="28"/>
        </w:rPr>
        <w:t>±</w:t>
      </w:r>
      <w:r>
        <w:rPr>
          <w:rFonts w:ascii="Times New Roman" w:hAnsi="Times New Roman"/>
          <w:sz w:val="28"/>
          <w:szCs w:val="28"/>
        </w:rPr>
        <w:t>0,14</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що все ще було менше за показник контрольної групи і віддзеркалювало обмеження дифузії в тканинах пухлини, а відмінність від інших груп мала статистичне підґрунтя (р</w:t>
      </w:r>
      <w:r w:rsidRPr="009E6C7E">
        <w:rPr>
          <w:rFonts w:ascii="Times New Roman" w:hAnsi="Times New Roman"/>
          <w:sz w:val="28"/>
          <w:szCs w:val="28"/>
        </w:rPr>
        <w:t>&lt;</w:t>
      </w:r>
      <w:r>
        <w:rPr>
          <w:rFonts w:ascii="Times New Roman" w:hAnsi="Times New Roman"/>
          <w:sz w:val="28"/>
          <w:szCs w:val="28"/>
        </w:rPr>
        <w:t xml:space="preserve">0,001). Такі дані ми пояснюємо зміною щільності тканин при розвитку у них пухлинних процесів, і як насідок, обмеженням в них дифузії молекул водню, результатом чого є менші значення ВКД в порівнянні з нормальною нирковою паренхімою, а також відмінностями у дифузійній здатності тканин НКР, ПКК ниркової миски та доброякісних пухлин, по причині їх різної анатомічної та гістологічної архітектури. </w:t>
      </w:r>
      <w:r w:rsidR="009C1018">
        <w:rPr>
          <w:rFonts w:ascii="Times New Roman" w:hAnsi="Times New Roman"/>
          <w:sz w:val="28"/>
          <w:szCs w:val="28"/>
        </w:rPr>
        <w:t xml:space="preserve">Детальна статистична характеристика ВКД </w:t>
      </w:r>
      <w:r w:rsidR="009C1018">
        <w:rPr>
          <w:rFonts w:ascii="Times New Roman" w:hAnsi="Times New Roman"/>
          <w:sz w:val="28"/>
          <w:szCs w:val="28"/>
          <w:lang w:val="en-US"/>
        </w:rPr>
        <w:t>SRM</w:t>
      </w:r>
      <w:r w:rsidR="009C1018" w:rsidRPr="009E6C7E">
        <w:rPr>
          <w:rFonts w:ascii="Times New Roman" w:hAnsi="Times New Roman"/>
          <w:sz w:val="28"/>
          <w:szCs w:val="28"/>
          <w:lang w:val="ru-RU"/>
        </w:rPr>
        <w:t xml:space="preserve"> </w:t>
      </w:r>
      <w:r w:rsidR="009C1018">
        <w:rPr>
          <w:rFonts w:ascii="Times New Roman" w:hAnsi="Times New Roman"/>
          <w:sz w:val="28"/>
          <w:szCs w:val="28"/>
        </w:rPr>
        <w:t>та нормальної ниркової паренхіми наведена нами в таблиці 3.10</w:t>
      </w:r>
      <w:r w:rsidR="003E6143">
        <w:rPr>
          <w:rFonts w:ascii="Times New Roman" w:hAnsi="Times New Roman"/>
          <w:sz w:val="28"/>
          <w:szCs w:val="28"/>
        </w:rPr>
        <w:t xml:space="preserve"> та відображена на рисунку 3.13</w:t>
      </w:r>
      <w:r w:rsidR="009C1018">
        <w:rPr>
          <w:rFonts w:ascii="Times New Roman" w:hAnsi="Times New Roman"/>
          <w:sz w:val="28"/>
          <w:szCs w:val="28"/>
        </w:rPr>
        <w:t xml:space="preserve">. </w:t>
      </w:r>
    </w:p>
    <w:p w:rsidR="009C1018" w:rsidRPr="004917C1" w:rsidRDefault="009C1018" w:rsidP="009C101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79C8DF3B" wp14:editId="2A28CB6D">
            <wp:extent cx="4100655" cy="32766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11043" cy="3284901"/>
                    </a:xfrm>
                    <a:prstGeom prst="rect">
                      <a:avLst/>
                    </a:prstGeom>
                    <a:noFill/>
                    <a:ln>
                      <a:noFill/>
                    </a:ln>
                  </pic:spPr>
                </pic:pic>
              </a:graphicData>
            </a:graphic>
          </wp:inline>
        </w:drawing>
      </w:r>
    </w:p>
    <w:p w:rsidR="009C1018" w:rsidRPr="009C1018" w:rsidRDefault="003E6143" w:rsidP="009C1018">
      <w:pPr>
        <w:autoSpaceDE w:val="0"/>
        <w:autoSpaceDN w:val="0"/>
        <w:adjustRightInd w:val="0"/>
        <w:spacing w:after="0" w:line="360" w:lineRule="auto"/>
        <w:jc w:val="center"/>
        <w:rPr>
          <w:rFonts w:ascii="Times New Roman" w:hAnsi="Times New Roman"/>
          <w:sz w:val="28"/>
          <w:szCs w:val="28"/>
        </w:rPr>
      </w:pPr>
      <w:r>
        <w:rPr>
          <w:rFonts w:ascii="Times New Roman" w:hAnsi="Times New Roman" w:cs="Times New Roman"/>
          <w:sz w:val="28"/>
          <w:szCs w:val="28"/>
        </w:rPr>
        <w:tab/>
        <w:t>Рис. 3.13</w:t>
      </w:r>
      <w:r w:rsidR="009C1018">
        <w:rPr>
          <w:rFonts w:ascii="Times New Roman" w:hAnsi="Times New Roman" w:cs="Times New Roman"/>
          <w:sz w:val="28"/>
          <w:szCs w:val="28"/>
        </w:rPr>
        <w:t xml:space="preserve">. </w:t>
      </w:r>
      <w:r w:rsidR="009C1018">
        <w:rPr>
          <w:rFonts w:ascii="Times New Roman" w:hAnsi="Times New Roman"/>
          <w:sz w:val="28"/>
          <w:szCs w:val="28"/>
        </w:rPr>
        <w:t xml:space="preserve">Коробкова діаграма </w:t>
      </w:r>
      <w:r w:rsidR="009C1018">
        <w:rPr>
          <w:rFonts w:ascii="Times New Roman" w:hAnsi="Times New Roman" w:cs="Times New Roman"/>
          <w:sz w:val="28"/>
          <w:szCs w:val="28"/>
        </w:rPr>
        <w:t>вимірюваного коефіцієнта дифузії</w:t>
      </w:r>
      <w:r w:rsidR="009C1018">
        <w:rPr>
          <w:rFonts w:ascii="Times New Roman" w:hAnsi="Times New Roman"/>
          <w:sz w:val="28"/>
          <w:szCs w:val="28"/>
        </w:rPr>
        <w:t xml:space="preserve"> </w:t>
      </w:r>
      <w:r w:rsidR="009C1018">
        <w:rPr>
          <w:rFonts w:ascii="Times New Roman" w:hAnsi="Times New Roman"/>
          <w:sz w:val="28"/>
          <w:szCs w:val="28"/>
          <w:lang w:val="en-US"/>
        </w:rPr>
        <w:t>SRM</w:t>
      </w:r>
      <w:r w:rsidR="009C1018">
        <w:rPr>
          <w:rFonts w:ascii="Times New Roman" w:hAnsi="Times New Roman"/>
          <w:sz w:val="28"/>
          <w:szCs w:val="28"/>
        </w:rPr>
        <w:t xml:space="preserve"> в основній, порівняння та контрольній групах</w:t>
      </w:r>
      <w:r w:rsidR="009C1018" w:rsidRPr="000116BB">
        <w:rPr>
          <w:rFonts w:ascii="Times New Roman" w:hAnsi="Times New Roman"/>
          <w:sz w:val="28"/>
          <w:szCs w:val="28"/>
        </w:rPr>
        <w:t xml:space="preserve"> </w:t>
      </w:r>
      <w:r w:rsidR="009C1018">
        <w:rPr>
          <w:rFonts w:ascii="Times New Roman" w:hAnsi="Times New Roman"/>
          <w:sz w:val="28"/>
          <w:szCs w:val="28"/>
        </w:rPr>
        <w:t>(</w:t>
      </w:r>
      <w:r w:rsidR="009C1018">
        <w:rPr>
          <w:rFonts w:ascii="Times New Roman" w:hAnsi="Times New Roman" w:cs="Times New Roman"/>
          <w:sz w:val="28"/>
          <w:szCs w:val="28"/>
        </w:rPr>
        <w:t>×</w:t>
      </w:r>
      <w:r w:rsidR="009C1018">
        <w:rPr>
          <w:rFonts w:ascii="Times New Roman" w:hAnsi="Times New Roman"/>
          <w:sz w:val="28"/>
          <w:szCs w:val="28"/>
        </w:rPr>
        <w:t>10</w:t>
      </w:r>
      <w:r w:rsidR="009C1018">
        <w:rPr>
          <w:rFonts w:ascii="Times New Roman" w:hAnsi="Times New Roman"/>
          <w:sz w:val="28"/>
          <w:szCs w:val="28"/>
          <w:vertAlign w:val="superscript"/>
        </w:rPr>
        <w:t>-3</w:t>
      </w:r>
      <w:r w:rsidR="009C1018">
        <w:rPr>
          <w:rFonts w:ascii="Times New Roman" w:hAnsi="Times New Roman"/>
          <w:sz w:val="28"/>
          <w:szCs w:val="28"/>
        </w:rPr>
        <w:t xml:space="preserve"> мм</w:t>
      </w:r>
      <w:r w:rsidR="009C1018">
        <w:rPr>
          <w:rFonts w:ascii="Times New Roman" w:hAnsi="Times New Roman"/>
          <w:sz w:val="28"/>
          <w:szCs w:val="28"/>
          <w:vertAlign w:val="superscript"/>
        </w:rPr>
        <w:t>2</w:t>
      </w:r>
      <w:r w:rsidR="009C1018">
        <w:rPr>
          <w:rFonts w:ascii="Times New Roman" w:hAnsi="Times New Roman"/>
          <w:sz w:val="28"/>
          <w:szCs w:val="28"/>
        </w:rPr>
        <w:t>/с</w:t>
      </w:r>
      <w:r w:rsidR="009C1018" w:rsidRPr="00806991">
        <w:rPr>
          <w:rFonts w:ascii="Times New Roman" w:hAnsi="Times New Roman"/>
          <w:sz w:val="28"/>
          <w:szCs w:val="28"/>
        </w:rPr>
        <w:t>)</w:t>
      </w:r>
    </w:p>
    <w:p w:rsidR="00FE4D0E" w:rsidRDefault="00B83560" w:rsidP="00FE4D0E">
      <w:pPr>
        <w:spacing w:line="360" w:lineRule="auto"/>
        <w:jc w:val="right"/>
        <w:rPr>
          <w:rFonts w:ascii="Times New Roman" w:hAnsi="Times New Roman"/>
          <w:sz w:val="28"/>
          <w:szCs w:val="28"/>
        </w:rPr>
      </w:pPr>
      <w:r>
        <w:rPr>
          <w:rFonts w:ascii="Times New Roman" w:hAnsi="Times New Roman"/>
          <w:sz w:val="28"/>
          <w:szCs w:val="28"/>
        </w:rPr>
        <w:lastRenderedPageBreak/>
        <w:t>Таблиця 3.10</w:t>
      </w:r>
    </w:p>
    <w:p w:rsidR="00FE4D0E" w:rsidRPr="00600276" w:rsidRDefault="00FE4D0E" w:rsidP="00FE4D0E">
      <w:pPr>
        <w:spacing w:line="360" w:lineRule="auto"/>
        <w:jc w:val="center"/>
        <w:rPr>
          <w:rFonts w:ascii="Times New Roman" w:hAnsi="Times New Roman"/>
          <w:sz w:val="28"/>
          <w:szCs w:val="28"/>
        </w:rPr>
      </w:pPr>
      <w:r>
        <w:rPr>
          <w:rFonts w:ascii="Times New Roman" w:hAnsi="Times New Roman"/>
          <w:sz w:val="28"/>
          <w:szCs w:val="28"/>
        </w:rPr>
        <w:t xml:space="preserve">Детальна статистична характеристика вимірюваного коефіцієнта дифузії солідних </w:t>
      </w:r>
      <w:r>
        <w:rPr>
          <w:rFonts w:ascii="Times New Roman" w:hAnsi="Times New Roman"/>
          <w:sz w:val="28"/>
          <w:szCs w:val="28"/>
          <w:lang w:val="en-US"/>
        </w:rPr>
        <w:t>SRM</w:t>
      </w:r>
      <w:r w:rsidRPr="009E6C7E">
        <w:rPr>
          <w:rFonts w:ascii="Times New Roman" w:hAnsi="Times New Roman"/>
          <w:sz w:val="28"/>
          <w:szCs w:val="28"/>
          <w:lang w:val="ru-RU"/>
        </w:rPr>
        <w:t xml:space="preserve"> </w:t>
      </w:r>
      <w:r>
        <w:rPr>
          <w:rFonts w:ascii="Times New Roman" w:hAnsi="Times New Roman"/>
          <w:sz w:val="28"/>
          <w:szCs w:val="28"/>
        </w:rPr>
        <w:t>та нормальної ниркової паренхіми</w:t>
      </w:r>
    </w:p>
    <w:tbl>
      <w:tblPr>
        <w:tblStyle w:val="TableGrid"/>
        <w:tblW w:w="9493" w:type="dxa"/>
        <w:tblLook w:val="04A0" w:firstRow="1" w:lastRow="0" w:firstColumn="1" w:lastColumn="0" w:noHBand="0" w:noVBand="1"/>
      </w:tblPr>
      <w:tblGrid>
        <w:gridCol w:w="1739"/>
        <w:gridCol w:w="1317"/>
        <w:gridCol w:w="890"/>
        <w:gridCol w:w="1336"/>
        <w:gridCol w:w="1111"/>
        <w:gridCol w:w="1136"/>
        <w:gridCol w:w="890"/>
        <w:gridCol w:w="1074"/>
      </w:tblGrid>
      <w:tr w:rsidR="00FE4D0E" w:rsidTr="001F0C51">
        <w:tc>
          <w:tcPr>
            <w:tcW w:w="1716" w:type="dxa"/>
            <w:vMerge w:val="restart"/>
          </w:tcPr>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Група</w:t>
            </w:r>
          </w:p>
        </w:tc>
        <w:tc>
          <w:tcPr>
            <w:tcW w:w="1300" w:type="dxa"/>
            <w:vMerge w:val="restart"/>
          </w:tcPr>
          <w:p w:rsidR="00FE4D0E" w:rsidRDefault="00FE4D0E" w:rsidP="001F0C51">
            <w:pPr>
              <w:jc w:val="center"/>
              <w:rPr>
                <w:rFonts w:ascii="Times New Roman" w:hAnsi="Times New Roman"/>
                <w:b/>
                <w:sz w:val="28"/>
                <w:szCs w:val="28"/>
              </w:rPr>
            </w:pPr>
            <w:r w:rsidRPr="00BD5837">
              <w:rPr>
                <w:rFonts w:ascii="Times New Roman" w:hAnsi="Times New Roman"/>
                <w:b/>
                <w:sz w:val="28"/>
                <w:szCs w:val="28"/>
              </w:rPr>
              <w:t>Середнє</w:t>
            </w:r>
            <w:r>
              <w:rPr>
                <w:rFonts w:ascii="Times New Roman" w:hAnsi="Times New Roman"/>
                <w:b/>
                <w:sz w:val="28"/>
                <w:szCs w:val="28"/>
              </w:rPr>
              <w:t>,</w:t>
            </w:r>
          </w:p>
          <w:p w:rsidR="00FE4D0E" w:rsidRPr="00CC744A" w:rsidRDefault="00FE4D0E" w:rsidP="001F0C51">
            <w:pPr>
              <w:jc w:val="center"/>
              <w:rPr>
                <w:rFonts w:ascii="Times New Roman" w:hAnsi="Times New Roman"/>
                <w:b/>
                <w:sz w:val="28"/>
                <w:szCs w:val="28"/>
              </w:rPr>
            </w:pPr>
            <w:r>
              <w:rPr>
                <w:rFonts w:ascii="Times New Roman" w:hAnsi="Times New Roman" w:cs="Times New Roman"/>
                <w:b/>
                <w:sz w:val="28"/>
                <w:szCs w:val="28"/>
              </w:rPr>
              <w:t>×</w:t>
            </w:r>
            <w:r>
              <w:rPr>
                <w:rFonts w:ascii="Times New Roman" w:hAnsi="Times New Roman"/>
                <w:b/>
                <w:sz w:val="28"/>
                <w:szCs w:val="28"/>
              </w:rPr>
              <w:t>10</w:t>
            </w:r>
            <w:r>
              <w:rPr>
                <w:rFonts w:ascii="Times New Roman" w:hAnsi="Times New Roman"/>
                <w:b/>
                <w:sz w:val="28"/>
                <w:szCs w:val="28"/>
                <w:vertAlign w:val="superscript"/>
              </w:rPr>
              <w:t>-3</w:t>
            </w:r>
            <w:r>
              <w:rPr>
                <w:rFonts w:ascii="Times New Roman" w:hAnsi="Times New Roman"/>
                <w:b/>
                <w:sz w:val="28"/>
                <w:szCs w:val="28"/>
              </w:rPr>
              <w:t xml:space="preserve"> мм</w:t>
            </w:r>
            <w:r>
              <w:rPr>
                <w:rFonts w:ascii="Times New Roman" w:hAnsi="Times New Roman"/>
                <w:b/>
                <w:sz w:val="28"/>
                <w:szCs w:val="28"/>
                <w:vertAlign w:val="superscript"/>
              </w:rPr>
              <w:t>2</w:t>
            </w:r>
            <w:r>
              <w:rPr>
                <w:rFonts w:ascii="Times New Roman" w:hAnsi="Times New Roman"/>
                <w:b/>
                <w:sz w:val="28"/>
                <w:szCs w:val="28"/>
              </w:rPr>
              <w:t>/с</w:t>
            </w:r>
          </w:p>
        </w:tc>
        <w:tc>
          <w:tcPr>
            <w:tcW w:w="879" w:type="dxa"/>
            <w:vMerge w:val="restart"/>
          </w:tcPr>
          <w:p w:rsidR="00FE4D0E" w:rsidRDefault="00FE4D0E" w:rsidP="001F0C51">
            <w:pPr>
              <w:jc w:val="center"/>
              <w:rPr>
                <w:rFonts w:ascii="Times New Roman" w:hAnsi="Times New Roman"/>
                <w:b/>
                <w:sz w:val="28"/>
                <w:szCs w:val="28"/>
              </w:rPr>
            </w:pPr>
            <w:r w:rsidRPr="00BD5837">
              <w:rPr>
                <w:rFonts w:ascii="Times New Roman" w:hAnsi="Times New Roman"/>
                <w:b/>
                <w:sz w:val="28"/>
                <w:szCs w:val="28"/>
              </w:rPr>
              <w:t>СВ</w:t>
            </w:r>
            <w:r>
              <w:rPr>
                <w:rFonts w:ascii="Times New Roman" w:hAnsi="Times New Roman"/>
                <w:b/>
                <w:sz w:val="28"/>
                <w:szCs w:val="28"/>
              </w:rPr>
              <w:t>,</w:t>
            </w:r>
          </w:p>
          <w:p w:rsidR="00FE4D0E" w:rsidRPr="0035712F" w:rsidRDefault="00FE4D0E" w:rsidP="001F0C51">
            <w:pPr>
              <w:jc w:val="center"/>
              <w:rPr>
                <w:rFonts w:ascii="Times New Roman" w:hAnsi="Times New Roman"/>
                <w:b/>
                <w:sz w:val="28"/>
                <w:szCs w:val="28"/>
              </w:rPr>
            </w:pPr>
            <w:r>
              <w:rPr>
                <w:rFonts w:ascii="Times New Roman" w:hAnsi="Times New Roman" w:cs="Times New Roman"/>
                <w:b/>
                <w:sz w:val="28"/>
                <w:szCs w:val="28"/>
              </w:rPr>
              <w:t>×</w:t>
            </w:r>
            <w:r>
              <w:rPr>
                <w:rFonts w:ascii="Times New Roman" w:hAnsi="Times New Roman"/>
                <w:b/>
                <w:sz w:val="28"/>
                <w:szCs w:val="28"/>
              </w:rPr>
              <w:t>10</w:t>
            </w:r>
            <w:r>
              <w:rPr>
                <w:rFonts w:ascii="Times New Roman" w:hAnsi="Times New Roman"/>
                <w:b/>
                <w:sz w:val="28"/>
                <w:szCs w:val="28"/>
                <w:vertAlign w:val="superscript"/>
              </w:rPr>
              <w:t>-3</w:t>
            </w:r>
            <w:r>
              <w:rPr>
                <w:rFonts w:ascii="Times New Roman" w:hAnsi="Times New Roman"/>
                <w:b/>
                <w:sz w:val="28"/>
                <w:szCs w:val="28"/>
              </w:rPr>
              <w:t xml:space="preserve"> мм</w:t>
            </w:r>
            <w:r>
              <w:rPr>
                <w:rFonts w:ascii="Times New Roman" w:hAnsi="Times New Roman"/>
                <w:b/>
                <w:sz w:val="28"/>
                <w:szCs w:val="28"/>
                <w:vertAlign w:val="superscript"/>
              </w:rPr>
              <w:t>2</w:t>
            </w:r>
            <w:r>
              <w:rPr>
                <w:rFonts w:ascii="Times New Roman" w:hAnsi="Times New Roman"/>
                <w:b/>
                <w:sz w:val="28"/>
                <w:szCs w:val="28"/>
              </w:rPr>
              <w:t>/с</w:t>
            </w:r>
          </w:p>
        </w:tc>
        <w:tc>
          <w:tcPr>
            <w:tcW w:w="1318" w:type="dxa"/>
            <w:vMerge w:val="restart"/>
          </w:tcPr>
          <w:p w:rsidR="00FE4D0E" w:rsidRDefault="00FE4D0E" w:rsidP="001F0C51">
            <w:pPr>
              <w:jc w:val="center"/>
              <w:rPr>
                <w:rFonts w:ascii="Times New Roman" w:hAnsi="Times New Roman"/>
                <w:b/>
                <w:sz w:val="28"/>
                <w:szCs w:val="28"/>
              </w:rPr>
            </w:pPr>
            <w:r w:rsidRPr="00BD5837">
              <w:rPr>
                <w:rFonts w:ascii="Times New Roman" w:hAnsi="Times New Roman"/>
                <w:b/>
                <w:sz w:val="28"/>
                <w:szCs w:val="28"/>
              </w:rPr>
              <w:t>Медіана</w:t>
            </w:r>
            <w:r>
              <w:rPr>
                <w:rFonts w:ascii="Times New Roman" w:hAnsi="Times New Roman"/>
                <w:b/>
                <w:sz w:val="28"/>
                <w:szCs w:val="28"/>
              </w:rPr>
              <w:t>,</w:t>
            </w:r>
          </w:p>
          <w:p w:rsidR="00FE4D0E" w:rsidRPr="006E76F3" w:rsidRDefault="00FE4D0E" w:rsidP="001F0C51">
            <w:pPr>
              <w:jc w:val="center"/>
              <w:rPr>
                <w:rFonts w:ascii="Times New Roman" w:hAnsi="Times New Roman"/>
                <w:b/>
                <w:sz w:val="28"/>
                <w:szCs w:val="28"/>
                <w:lang w:val="en-US"/>
              </w:rPr>
            </w:pPr>
            <w:r>
              <w:rPr>
                <w:rFonts w:ascii="Times New Roman" w:hAnsi="Times New Roman" w:cs="Times New Roman"/>
                <w:b/>
                <w:sz w:val="28"/>
                <w:szCs w:val="28"/>
              </w:rPr>
              <w:t>×</w:t>
            </w:r>
            <w:r>
              <w:rPr>
                <w:rFonts w:ascii="Times New Roman" w:hAnsi="Times New Roman"/>
                <w:b/>
                <w:sz w:val="28"/>
                <w:szCs w:val="28"/>
              </w:rPr>
              <w:t>10</w:t>
            </w:r>
            <w:r>
              <w:rPr>
                <w:rFonts w:ascii="Times New Roman" w:hAnsi="Times New Roman"/>
                <w:b/>
                <w:sz w:val="28"/>
                <w:szCs w:val="28"/>
                <w:vertAlign w:val="superscript"/>
              </w:rPr>
              <w:t>-3</w:t>
            </w:r>
            <w:r>
              <w:rPr>
                <w:rFonts w:ascii="Times New Roman" w:hAnsi="Times New Roman"/>
                <w:b/>
                <w:sz w:val="28"/>
                <w:szCs w:val="28"/>
              </w:rPr>
              <w:t xml:space="preserve"> мм</w:t>
            </w:r>
            <w:r>
              <w:rPr>
                <w:rFonts w:ascii="Times New Roman" w:hAnsi="Times New Roman"/>
                <w:b/>
                <w:sz w:val="28"/>
                <w:szCs w:val="28"/>
                <w:vertAlign w:val="superscript"/>
              </w:rPr>
              <w:t>2</w:t>
            </w:r>
            <w:r>
              <w:rPr>
                <w:rFonts w:ascii="Times New Roman" w:hAnsi="Times New Roman"/>
                <w:b/>
                <w:sz w:val="28"/>
                <w:szCs w:val="28"/>
              </w:rPr>
              <w:t>/с</w:t>
            </w:r>
          </w:p>
        </w:tc>
        <w:tc>
          <w:tcPr>
            <w:tcW w:w="2219" w:type="dxa"/>
            <w:gridSpan w:val="2"/>
          </w:tcPr>
          <w:p w:rsidR="00FE4D0E" w:rsidRPr="006E76F3" w:rsidRDefault="00FE4D0E" w:rsidP="001F0C51">
            <w:pPr>
              <w:jc w:val="center"/>
              <w:rPr>
                <w:rFonts w:ascii="Times New Roman" w:hAnsi="Times New Roman"/>
                <w:b/>
                <w:sz w:val="28"/>
                <w:szCs w:val="28"/>
                <w:lang w:val="en-US"/>
              </w:rPr>
            </w:pPr>
            <w:r w:rsidRPr="00BD5837">
              <w:rPr>
                <w:rFonts w:ascii="Times New Roman" w:hAnsi="Times New Roman"/>
                <w:b/>
                <w:sz w:val="28"/>
                <w:szCs w:val="28"/>
              </w:rPr>
              <w:t>95% ДІ</w:t>
            </w:r>
            <w:r>
              <w:rPr>
                <w:rFonts w:ascii="Times New Roman" w:hAnsi="Times New Roman"/>
                <w:b/>
                <w:sz w:val="28"/>
                <w:szCs w:val="28"/>
              </w:rPr>
              <w:t>,</w:t>
            </w:r>
            <w:r>
              <w:rPr>
                <w:rFonts w:ascii="Times New Roman" w:hAnsi="Times New Roman" w:cs="Times New Roman"/>
                <w:b/>
                <w:sz w:val="28"/>
                <w:szCs w:val="28"/>
              </w:rPr>
              <w:t xml:space="preserve"> ×</w:t>
            </w:r>
            <w:r>
              <w:rPr>
                <w:rFonts w:ascii="Times New Roman" w:hAnsi="Times New Roman"/>
                <w:b/>
                <w:sz w:val="28"/>
                <w:szCs w:val="28"/>
              </w:rPr>
              <w:t>10</w:t>
            </w:r>
            <w:r>
              <w:rPr>
                <w:rFonts w:ascii="Times New Roman" w:hAnsi="Times New Roman"/>
                <w:b/>
                <w:sz w:val="28"/>
                <w:szCs w:val="28"/>
                <w:vertAlign w:val="superscript"/>
              </w:rPr>
              <w:t>-3</w:t>
            </w:r>
            <w:r>
              <w:rPr>
                <w:rFonts w:ascii="Times New Roman" w:hAnsi="Times New Roman"/>
                <w:b/>
                <w:sz w:val="28"/>
                <w:szCs w:val="28"/>
              </w:rPr>
              <w:t xml:space="preserve"> мм</w:t>
            </w:r>
            <w:r>
              <w:rPr>
                <w:rFonts w:ascii="Times New Roman" w:hAnsi="Times New Roman"/>
                <w:b/>
                <w:sz w:val="28"/>
                <w:szCs w:val="28"/>
                <w:vertAlign w:val="superscript"/>
              </w:rPr>
              <w:t>2</w:t>
            </w:r>
            <w:r>
              <w:rPr>
                <w:rFonts w:ascii="Times New Roman" w:hAnsi="Times New Roman"/>
                <w:b/>
                <w:sz w:val="28"/>
                <w:szCs w:val="28"/>
              </w:rPr>
              <w:t>/с</w:t>
            </w:r>
          </w:p>
        </w:tc>
        <w:tc>
          <w:tcPr>
            <w:tcW w:w="879" w:type="dxa"/>
            <w:vMerge w:val="restart"/>
          </w:tcPr>
          <w:p w:rsidR="00FE4D0E" w:rsidRDefault="00FE4D0E" w:rsidP="001F0C51">
            <w:pPr>
              <w:jc w:val="center"/>
              <w:rPr>
                <w:rFonts w:ascii="Times New Roman" w:hAnsi="Times New Roman"/>
                <w:b/>
                <w:sz w:val="28"/>
                <w:szCs w:val="28"/>
              </w:rPr>
            </w:pPr>
            <w:r w:rsidRPr="00BD5837">
              <w:rPr>
                <w:rFonts w:ascii="Times New Roman" w:hAnsi="Times New Roman"/>
                <w:b/>
                <w:sz w:val="28"/>
                <w:szCs w:val="28"/>
              </w:rPr>
              <w:t>Мін</w:t>
            </w:r>
            <w:r>
              <w:rPr>
                <w:rFonts w:ascii="Times New Roman" w:hAnsi="Times New Roman"/>
                <w:b/>
                <w:sz w:val="28"/>
                <w:szCs w:val="28"/>
              </w:rPr>
              <w:t>.,</w:t>
            </w:r>
          </w:p>
          <w:p w:rsidR="00FE4D0E" w:rsidRPr="00BD5837" w:rsidRDefault="00FE4D0E" w:rsidP="001F0C51">
            <w:pPr>
              <w:jc w:val="center"/>
              <w:rPr>
                <w:rFonts w:ascii="Times New Roman" w:hAnsi="Times New Roman"/>
                <w:b/>
                <w:sz w:val="28"/>
                <w:szCs w:val="28"/>
              </w:rPr>
            </w:pPr>
            <w:r>
              <w:rPr>
                <w:rFonts w:ascii="Times New Roman" w:hAnsi="Times New Roman" w:cs="Times New Roman"/>
                <w:b/>
                <w:sz w:val="28"/>
                <w:szCs w:val="28"/>
              </w:rPr>
              <w:t>×</w:t>
            </w:r>
            <w:r>
              <w:rPr>
                <w:rFonts w:ascii="Times New Roman" w:hAnsi="Times New Roman"/>
                <w:b/>
                <w:sz w:val="28"/>
                <w:szCs w:val="28"/>
              </w:rPr>
              <w:t>10</w:t>
            </w:r>
            <w:r>
              <w:rPr>
                <w:rFonts w:ascii="Times New Roman" w:hAnsi="Times New Roman"/>
                <w:b/>
                <w:sz w:val="28"/>
                <w:szCs w:val="28"/>
                <w:vertAlign w:val="superscript"/>
              </w:rPr>
              <w:t>-3</w:t>
            </w:r>
            <w:r>
              <w:rPr>
                <w:rFonts w:ascii="Times New Roman" w:hAnsi="Times New Roman"/>
                <w:b/>
                <w:sz w:val="28"/>
                <w:szCs w:val="28"/>
              </w:rPr>
              <w:t xml:space="preserve"> мм</w:t>
            </w:r>
            <w:r>
              <w:rPr>
                <w:rFonts w:ascii="Times New Roman" w:hAnsi="Times New Roman"/>
                <w:b/>
                <w:sz w:val="28"/>
                <w:szCs w:val="28"/>
                <w:vertAlign w:val="superscript"/>
              </w:rPr>
              <w:t>2</w:t>
            </w:r>
            <w:r>
              <w:rPr>
                <w:rFonts w:ascii="Times New Roman" w:hAnsi="Times New Roman"/>
                <w:b/>
                <w:sz w:val="28"/>
                <w:szCs w:val="28"/>
              </w:rPr>
              <w:t>/с</w:t>
            </w:r>
          </w:p>
        </w:tc>
        <w:tc>
          <w:tcPr>
            <w:tcW w:w="1182" w:type="dxa"/>
            <w:vMerge w:val="restart"/>
          </w:tcPr>
          <w:p w:rsidR="00FE4D0E" w:rsidRDefault="00FE4D0E" w:rsidP="001F0C51">
            <w:pPr>
              <w:jc w:val="center"/>
              <w:rPr>
                <w:rFonts w:ascii="Times New Roman" w:hAnsi="Times New Roman"/>
                <w:b/>
                <w:sz w:val="28"/>
                <w:szCs w:val="28"/>
              </w:rPr>
            </w:pPr>
            <w:r>
              <w:rPr>
                <w:rFonts w:ascii="Times New Roman" w:hAnsi="Times New Roman"/>
                <w:b/>
                <w:sz w:val="28"/>
                <w:szCs w:val="28"/>
              </w:rPr>
              <w:t>Макс.,</w:t>
            </w:r>
          </w:p>
          <w:p w:rsidR="00FE4D0E" w:rsidRPr="00BD5837" w:rsidRDefault="00FE4D0E" w:rsidP="001F0C51">
            <w:pPr>
              <w:jc w:val="center"/>
              <w:rPr>
                <w:rFonts w:ascii="Times New Roman" w:hAnsi="Times New Roman"/>
                <w:b/>
                <w:sz w:val="28"/>
                <w:szCs w:val="28"/>
              </w:rPr>
            </w:pPr>
            <w:r>
              <w:rPr>
                <w:rFonts w:ascii="Times New Roman" w:hAnsi="Times New Roman" w:cs="Times New Roman"/>
                <w:b/>
                <w:sz w:val="28"/>
                <w:szCs w:val="28"/>
              </w:rPr>
              <w:t>×</w:t>
            </w:r>
            <w:r>
              <w:rPr>
                <w:rFonts w:ascii="Times New Roman" w:hAnsi="Times New Roman"/>
                <w:b/>
                <w:sz w:val="28"/>
                <w:szCs w:val="28"/>
              </w:rPr>
              <w:t>10</w:t>
            </w:r>
            <w:r>
              <w:rPr>
                <w:rFonts w:ascii="Times New Roman" w:hAnsi="Times New Roman"/>
                <w:b/>
                <w:sz w:val="28"/>
                <w:szCs w:val="28"/>
                <w:vertAlign w:val="superscript"/>
              </w:rPr>
              <w:t>-3</w:t>
            </w:r>
            <w:r>
              <w:rPr>
                <w:rFonts w:ascii="Times New Roman" w:hAnsi="Times New Roman"/>
                <w:b/>
                <w:sz w:val="28"/>
                <w:szCs w:val="28"/>
              </w:rPr>
              <w:t xml:space="preserve"> мм</w:t>
            </w:r>
            <w:r>
              <w:rPr>
                <w:rFonts w:ascii="Times New Roman" w:hAnsi="Times New Roman"/>
                <w:b/>
                <w:sz w:val="28"/>
                <w:szCs w:val="28"/>
                <w:vertAlign w:val="superscript"/>
              </w:rPr>
              <w:t>2</w:t>
            </w:r>
            <w:r>
              <w:rPr>
                <w:rFonts w:ascii="Times New Roman" w:hAnsi="Times New Roman"/>
                <w:b/>
                <w:sz w:val="28"/>
                <w:szCs w:val="28"/>
              </w:rPr>
              <w:t>/с</w:t>
            </w:r>
          </w:p>
        </w:tc>
      </w:tr>
      <w:tr w:rsidR="00FE4D0E" w:rsidTr="001F0C51">
        <w:tc>
          <w:tcPr>
            <w:tcW w:w="1716" w:type="dxa"/>
            <w:vMerge/>
          </w:tcPr>
          <w:p w:rsidR="00FE4D0E" w:rsidRPr="00BD5837" w:rsidRDefault="00FE4D0E" w:rsidP="001F0C51">
            <w:pPr>
              <w:jc w:val="center"/>
              <w:rPr>
                <w:rFonts w:ascii="Times New Roman" w:hAnsi="Times New Roman"/>
                <w:b/>
                <w:sz w:val="28"/>
                <w:szCs w:val="28"/>
                <w:lang w:val="en-US"/>
              </w:rPr>
            </w:pPr>
          </w:p>
        </w:tc>
        <w:tc>
          <w:tcPr>
            <w:tcW w:w="1300" w:type="dxa"/>
            <w:vMerge/>
          </w:tcPr>
          <w:p w:rsidR="00FE4D0E" w:rsidRPr="00BD5837" w:rsidRDefault="00FE4D0E" w:rsidP="001F0C51">
            <w:pPr>
              <w:jc w:val="center"/>
              <w:rPr>
                <w:rFonts w:ascii="Times New Roman" w:hAnsi="Times New Roman"/>
                <w:b/>
                <w:sz w:val="28"/>
                <w:szCs w:val="28"/>
                <w:lang w:val="en-US"/>
              </w:rPr>
            </w:pPr>
          </w:p>
        </w:tc>
        <w:tc>
          <w:tcPr>
            <w:tcW w:w="879" w:type="dxa"/>
            <w:vMerge/>
          </w:tcPr>
          <w:p w:rsidR="00FE4D0E" w:rsidRPr="00BD5837" w:rsidRDefault="00FE4D0E" w:rsidP="001F0C51">
            <w:pPr>
              <w:jc w:val="center"/>
              <w:rPr>
                <w:rFonts w:ascii="Times New Roman" w:hAnsi="Times New Roman"/>
                <w:b/>
                <w:sz w:val="28"/>
                <w:szCs w:val="28"/>
                <w:lang w:val="en-US"/>
              </w:rPr>
            </w:pPr>
          </w:p>
        </w:tc>
        <w:tc>
          <w:tcPr>
            <w:tcW w:w="1318" w:type="dxa"/>
            <w:vMerge/>
          </w:tcPr>
          <w:p w:rsidR="00FE4D0E" w:rsidRPr="00BD5837" w:rsidRDefault="00FE4D0E" w:rsidP="001F0C51">
            <w:pPr>
              <w:jc w:val="center"/>
              <w:rPr>
                <w:rFonts w:ascii="Times New Roman" w:hAnsi="Times New Roman"/>
                <w:b/>
                <w:sz w:val="28"/>
                <w:szCs w:val="28"/>
                <w:lang w:val="en-US"/>
              </w:rPr>
            </w:pPr>
          </w:p>
        </w:tc>
        <w:tc>
          <w:tcPr>
            <w:tcW w:w="1097" w:type="dxa"/>
          </w:tcPr>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Нижня</w:t>
            </w:r>
          </w:p>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межа</w:t>
            </w:r>
          </w:p>
        </w:tc>
        <w:tc>
          <w:tcPr>
            <w:tcW w:w="1122" w:type="dxa"/>
          </w:tcPr>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Верхня</w:t>
            </w:r>
          </w:p>
          <w:p w:rsidR="00FE4D0E" w:rsidRPr="00BD5837" w:rsidRDefault="00FE4D0E" w:rsidP="001F0C51">
            <w:pPr>
              <w:jc w:val="center"/>
              <w:rPr>
                <w:rFonts w:ascii="Times New Roman" w:hAnsi="Times New Roman"/>
                <w:b/>
                <w:sz w:val="28"/>
                <w:szCs w:val="28"/>
              </w:rPr>
            </w:pPr>
            <w:r w:rsidRPr="00BD5837">
              <w:rPr>
                <w:rFonts w:ascii="Times New Roman" w:hAnsi="Times New Roman"/>
                <w:b/>
                <w:sz w:val="28"/>
                <w:szCs w:val="28"/>
              </w:rPr>
              <w:t>межа</w:t>
            </w:r>
          </w:p>
        </w:tc>
        <w:tc>
          <w:tcPr>
            <w:tcW w:w="879" w:type="dxa"/>
            <w:vMerge/>
          </w:tcPr>
          <w:p w:rsidR="00FE4D0E" w:rsidRPr="00BD5837" w:rsidRDefault="00FE4D0E" w:rsidP="001F0C51">
            <w:pPr>
              <w:jc w:val="center"/>
              <w:rPr>
                <w:rFonts w:ascii="Times New Roman" w:hAnsi="Times New Roman"/>
                <w:b/>
                <w:sz w:val="28"/>
                <w:szCs w:val="28"/>
                <w:lang w:val="en-US"/>
              </w:rPr>
            </w:pPr>
          </w:p>
        </w:tc>
        <w:tc>
          <w:tcPr>
            <w:tcW w:w="1182" w:type="dxa"/>
            <w:vMerge/>
          </w:tcPr>
          <w:p w:rsidR="00FE4D0E" w:rsidRPr="00BD5837" w:rsidRDefault="00FE4D0E" w:rsidP="001F0C51">
            <w:pPr>
              <w:jc w:val="center"/>
              <w:rPr>
                <w:rFonts w:ascii="Times New Roman" w:hAnsi="Times New Roman"/>
                <w:b/>
                <w:sz w:val="28"/>
                <w:szCs w:val="28"/>
                <w:lang w:val="en-US"/>
              </w:rPr>
            </w:pPr>
          </w:p>
        </w:tc>
      </w:tr>
      <w:tr w:rsidR="00FE4D0E" w:rsidTr="001F0C51">
        <w:tc>
          <w:tcPr>
            <w:tcW w:w="1716" w:type="dxa"/>
          </w:tcPr>
          <w:p w:rsidR="00FE4D0E" w:rsidRPr="001959D7" w:rsidRDefault="00FE4D0E" w:rsidP="001F0C51">
            <w:pPr>
              <w:rPr>
                <w:rFonts w:ascii="Times New Roman" w:hAnsi="Times New Roman"/>
                <w:b/>
                <w:sz w:val="28"/>
                <w:szCs w:val="28"/>
              </w:rPr>
            </w:pPr>
            <w:r w:rsidRPr="006E76F3">
              <w:rPr>
                <w:rFonts w:ascii="Times New Roman" w:hAnsi="Times New Roman"/>
                <w:b/>
                <w:sz w:val="28"/>
                <w:szCs w:val="28"/>
              </w:rPr>
              <w:t>НКР</w:t>
            </w:r>
            <w:r>
              <w:rPr>
                <w:rFonts w:ascii="Times New Roman" w:hAnsi="Times New Roman"/>
                <w:b/>
                <w:sz w:val="28"/>
                <w:szCs w:val="28"/>
              </w:rPr>
              <w:t xml:space="preserve">, </w:t>
            </w:r>
            <w:r>
              <w:rPr>
                <w:rFonts w:ascii="Times New Roman" w:hAnsi="Times New Roman" w:cs="Times New Roman"/>
                <w:b/>
                <w:sz w:val="28"/>
                <w:szCs w:val="28"/>
              </w:rPr>
              <w:t>n=91</w:t>
            </w:r>
          </w:p>
        </w:tc>
        <w:tc>
          <w:tcPr>
            <w:tcW w:w="1300"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1,68</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0,18</w:t>
            </w:r>
          </w:p>
        </w:tc>
        <w:tc>
          <w:tcPr>
            <w:tcW w:w="131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1,70</w:t>
            </w:r>
          </w:p>
        </w:tc>
        <w:tc>
          <w:tcPr>
            <w:tcW w:w="1097"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1,64</w:t>
            </w:r>
          </w:p>
        </w:tc>
        <w:tc>
          <w:tcPr>
            <w:tcW w:w="112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1,72</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1,22</w:t>
            </w:r>
          </w:p>
        </w:tc>
        <w:tc>
          <w:tcPr>
            <w:tcW w:w="118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1,99</w:t>
            </w:r>
          </w:p>
        </w:tc>
      </w:tr>
      <w:tr w:rsidR="00FE4D0E" w:rsidTr="001F0C51">
        <w:tc>
          <w:tcPr>
            <w:tcW w:w="1716" w:type="dxa"/>
          </w:tcPr>
          <w:p w:rsidR="00FE4D0E" w:rsidRPr="001424FC" w:rsidRDefault="00FE4D0E" w:rsidP="001F0C51">
            <w:pPr>
              <w:rPr>
                <w:rFonts w:ascii="Times New Roman" w:hAnsi="Times New Roman" w:cs="Times New Roman"/>
                <w:b/>
                <w:sz w:val="28"/>
                <w:szCs w:val="28"/>
              </w:rPr>
            </w:pPr>
            <w:r>
              <w:rPr>
                <w:rFonts w:ascii="Times New Roman" w:hAnsi="Times New Roman"/>
                <w:b/>
                <w:sz w:val="28"/>
                <w:szCs w:val="28"/>
              </w:rPr>
              <w:t xml:space="preserve">ПКК ниркової миски, </w:t>
            </w:r>
            <w:r>
              <w:rPr>
                <w:rFonts w:ascii="Times New Roman" w:hAnsi="Times New Roman" w:cs="Times New Roman"/>
                <w:b/>
                <w:sz w:val="28"/>
                <w:szCs w:val="28"/>
              </w:rPr>
              <w:t>n=9</w:t>
            </w:r>
          </w:p>
        </w:tc>
        <w:tc>
          <w:tcPr>
            <w:tcW w:w="1300"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1,03</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0,12</w:t>
            </w:r>
          </w:p>
        </w:tc>
        <w:tc>
          <w:tcPr>
            <w:tcW w:w="131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1,06</w:t>
            </w:r>
          </w:p>
        </w:tc>
        <w:tc>
          <w:tcPr>
            <w:tcW w:w="1097"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0,93</w:t>
            </w:r>
          </w:p>
        </w:tc>
        <w:tc>
          <w:tcPr>
            <w:tcW w:w="112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1,12</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0,78</w:t>
            </w:r>
          </w:p>
        </w:tc>
        <w:tc>
          <w:tcPr>
            <w:tcW w:w="118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1,19</w:t>
            </w:r>
          </w:p>
        </w:tc>
      </w:tr>
      <w:tr w:rsidR="00FE4D0E" w:rsidTr="001F0C51">
        <w:tc>
          <w:tcPr>
            <w:tcW w:w="1716" w:type="dxa"/>
          </w:tcPr>
          <w:p w:rsidR="00FE4D0E" w:rsidRPr="006E76F3" w:rsidRDefault="00FE4D0E" w:rsidP="001F0C51">
            <w:pPr>
              <w:rPr>
                <w:rFonts w:ascii="Times New Roman" w:hAnsi="Times New Roman"/>
                <w:b/>
                <w:sz w:val="28"/>
                <w:szCs w:val="28"/>
              </w:rPr>
            </w:pPr>
            <w:r w:rsidRPr="006E76F3">
              <w:rPr>
                <w:rFonts w:ascii="Times New Roman" w:hAnsi="Times New Roman"/>
                <w:b/>
                <w:sz w:val="28"/>
                <w:szCs w:val="28"/>
              </w:rPr>
              <w:t>Доброякісні</w:t>
            </w:r>
          </w:p>
          <w:p w:rsidR="00FE4D0E" w:rsidRPr="001424FC" w:rsidRDefault="00FE4D0E" w:rsidP="001F0C51">
            <w:pPr>
              <w:rPr>
                <w:lang w:val="en-US"/>
              </w:rPr>
            </w:pPr>
            <w:r>
              <w:rPr>
                <w:rFonts w:ascii="Times New Roman" w:hAnsi="Times New Roman"/>
                <w:b/>
                <w:sz w:val="28"/>
                <w:szCs w:val="28"/>
              </w:rPr>
              <w:t>п</w:t>
            </w:r>
            <w:r w:rsidRPr="006E76F3">
              <w:rPr>
                <w:rFonts w:ascii="Times New Roman" w:hAnsi="Times New Roman"/>
                <w:b/>
                <w:sz w:val="28"/>
                <w:szCs w:val="28"/>
              </w:rPr>
              <w:t>ухлини</w:t>
            </w:r>
            <w:r>
              <w:rPr>
                <w:rFonts w:ascii="Times New Roman" w:hAnsi="Times New Roman"/>
                <w:b/>
                <w:sz w:val="28"/>
                <w:szCs w:val="28"/>
              </w:rPr>
              <w:t xml:space="preserve">, </w:t>
            </w:r>
            <w:r>
              <w:rPr>
                <w:rFonts w:ascii="Times New Roman" w:hAnsi="Times New Roman" w:cs="Times New Roman"/>
                <w:b/>
                <w:sz w:val="28"/>
                <w:szCs w:val="28"/>
              </w:rPr>
              <w:t>n=22</w:t>
            </w:r>
          </w:p>
        </w:tc>
        <w:tc>
          <w:tcPr>
            <w:tcW w:w="1300"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2,12</w:t>
            </w:r>
          </w:p>
        </w:tc>
        <w:tc>
          <w:tcPr>
            <w:tcW w:w="879"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0,14</w:t>
            </w:r>
          </w:p>
        </w:tc>
        <w:tc>
          <w:tcPr>
            <w:tcW w:w="1318"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2,12</w:t>
            </w:r>
          </w:p>
        </w:tc>
        <w:tc>
          <w:tcPr>
            <w:tcW w:w="1097"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1,91</w:t>
            </w:r>
          </w:p>
        </w:tc>
        <w:tc>
          <w:tcPr>
            <w:tcW w:w="1122"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2,46</w:t>
            </w:r>
          </w:p>
        </w:tc>
        <w:tc>
          <w:tcPr>
            <w:tcW w:w="879"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1,91</w:t>
            </w:r>
          </w:p>
        </w:tc>
        <w:tc>
          <w:tcPr>
            <w:tcW w:w="1182"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2,46</w:t>
            </w:r>
          </w:p>
        </w:tc>
      </w:tr>
      <w:tr w:rsidR="00FE4D0E" w:rsidTr="001F0C51">
        <w:tc>
          <w:tcPr>
            <w:tcW w:w="1716" w:type="dxa"/>
          </w:tcPr>
          <w:p w:rsidR="00FE4D0E" w:rsidRPr="001424FC" w:rsidRDefault="00FE4D0E" w:rsidP="001F0C51">
            <w:pPr>
              <w:rPr>
                <w:rFonts w:ascii="Times New Roman" w:hAnsi="Times New Roman"/>
                <w:b/>
                <w:sz w:val="28"/>
                <w:szCs w:val="28"/>
              </w:rPr>
            </w:pPr>
            <w:r w:rsidRPr="006E76F3">
              <w:rPr>
                <w:rFonts w:ascii="Times New Roman" w:hAnsi="Times New Roman"/>
                <w:b/>
                <w:sz w:val="28"/>
                <w:szCs w:val="28"/>
              </w:rPr>
              <w:t>Контроль</w:t>
            </w:r>
            <w:r>
              <w:rPr>
                <w:rFonts w:ascii="Times New Roman" w:hAnsi="Times New Roman"/>
                <w:b/>
                <w:sz w:val="28"/>
                <w:szCs w:val="28"/>
              </w:rPr>
              <w:t xml:space="preserve">, </w:t>
            </w:r>
            <w:r>
              <w:rPr>
                <w:rFonts w:ascii="Times New Roman" w:hAnsi="Times New Roman" w:cs="Times New Roman"/>
                <w:b/>
                <w:sz w:val="28"/>
                <w:szCs w:val="28"/>
              </w:rPr>
              <w:t>n=30</w:t>
            </w:r>
          </w:p>
        </w:tc>
        <w:tc>
          <w:tcPr>
            <w:tcW w:w="1300"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2,58</w:t>
            </w:r>
          </w:p>
        </w:tc>
        <w:tc>
          <w:tcPr>
            <w:tcW w:w="879"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0,05</w:t>
            </w:r>
          </w:p>
        </w:tc>
        <w:tc>
          <w:tcPr>
            <w:tcW w:w="1318"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2,59</w:t>
            </w:r>
          </w:p>
        </w:tc>
        <w:tc>
          <w:tcPr>
            <w:tcW w:w="1097"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2,56</w:t>
            </w:r>
          </w:p>
        </w:tc>
        <w:tc>
          <w:tcPr>
            <w:tcW w:w="1122"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2,60</w:t>
            </w:r>
          </w:p>
        </w:tc>
        <w:tc>
          <w:tcPr>
            <w:tcW w:w="879"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2,48</w:t>
            </w:r>
          </w:p>
        </w:tc>
        <w:tc>
          <w:tcPr>
            <w:tcW w:w="1182" w:type="dxa"/>
          </w:tcPr>
          <w:p w:rsidR="00FE4D0E" w:rsidRPr="00A2632B" w:rsidRDefault="00FE4D0E" w:rsidP="001F0C51">
            <w:pPr>
              <w:jc w:val="center"/>
              <w:rPr>
                <w:rFonts w:ascii="Times New Roman" w:hAnsi="Times New Roman"/>
                <w:sz w:val="28"/>
                <w:szCs w:val="28"/>
              </w:rPr>
            </w:pPr>
            <w:r>
              <w:rPr>
                <w:rFonts w:ascii="Times New Roman" w:hAnsi="Times New Roman"/>
                <w:sz w:val="28"/>
                <w:szCs w:val="28"/>
              </w:rPr>
              <w:t>2,68</w:t>
            </w:r>
          </w:p>
        </w:tc>
      </w:tr>
      <w:tr w:rsidR="00FE4D0E" w:rsidTr="001F0C51">
        <w:tc>
          <w:tcPr>
            <w:tcW w:w="1716" w:type="dxa"/>
          </w:tcPr>
          <w:p w:rsidR="00FE4D0E" w:rsidRPr="006E76F3" w:rsidRDefault="00FE4D0E" w:rsidP="001F0C51">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300" w:type="dxa"/>
          </w:tcPr>
          <w:p w:rsidR="00FE4D0E" w:rsidRPr="004917C1"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1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97"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2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8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1716"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,3</w:t>
            </w:r>
          </w:p>
        </w:tc>
        <w:tc>
          <w:tcPr>
            <w:tcW w:w="1300" w:type="dxa"/>
          </w:tcPr>
          <w:p w:rsidR="00FE4D0E" w:rsidRPr="00A2632B"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1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97"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2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8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1716"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,4</w:t>
            </w:r>
          </w:p>
        </w:tc>
        <w:tc>
          <w:tcPr>
            <w:tcW w:w="1300"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1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97"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2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8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1716"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2,3</w:t>
            </w:r>
          </w:p>
        </w:tc>
        <w:tc>
          <w:tcPr>
            <w:tcW w:w="1300"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1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97"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2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8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1716"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2,4</w:t>
            </w:r>
          </w:p>
        </w:tc>
        <w:tc>
          <w:tcPr>
            <w:tcW w:w="1300"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1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97"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2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8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r w:rsidR="00FE4D0E" w:rsidTr="001F0C51">
        <w:tc>
          <w:tcPr>
            <w:tcW w:w="1716"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3,4</w:t>
            </w:r>
          </w:p>
        </w:tc>
        <w:tc>
          <w:tcPr>
            <w:tcW w:w="1300"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318"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097"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2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879"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c>
          <w:tcPr>
            <w:tcW w:w="1182"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w:t>
            </w:r>
          </w:p>
        </w:tc>
      </w:tr>
    </w:tbl>
    <w:p w:rsidR="00FE4D0E" w:rsidRPr="00183441" w:rsidRDefault="00FE4D0E" w:rsidP="00FE4D0E">
      <w:pPr>
        <w:spacing w:line="360" w:lineRule="auto"/>
        <w:jc w:val="both"/>
        <w:rPr>
          <w:rFonts w:ascii="Times New Roman" w:hAnsi="Times New Roman" w:cs="Times New Roman"/>
          <w:sz w:val="28"/>
          <w:szCs w:val="28"/>
        </w:rPr>
      </w:pPr>
      <w:r w:rsidRPr="00BD5837">
        <w:rPr>
          <w:rFonts w:ascii="Times New Roman" w:hAnsi="Times New Roman"/>
          <w:sz w:val="28"/>
          <w:szCs w:val="28"/>
        </w:rPr>
        <w:t xml:space="preserve">Умовні позначення: СВ – стандартне відхилення, </w:t>
      </w:r>
      <w:r>
        <w:rPr>
          <w:rFonts w:ascii="Times New Roman" w:hAnsi="Times New Roman"/>
          <w:sz w:val="28"/>
          <w:szCs w:val="28"/>
        </w:rPr>
        <w:t>ДІ – довірчий інтервал</w:t>
      </w:r>
    </w:p>
    <w:p w:rsidR="00FE4D0E" w:rsidRPr="009E6C7E" w:rsidRDefault="00FE4D0E" w:rsidP="00FE4D0E">
      <w:pPr>
        <w:autoSpaceDE w:val="0"/>
        <w:autoSpaceDN w:val="0"/>
        <w:adjustRightInd w:val="0"/>
        <w:spacing w:after="0" w:line="360" w:lineRule="auto"/>
        <w:jc w:val="center"/>
        <w:rPr>
          <w:rFonts w:ascii="Times New Roman" w:hAnsi="Times New Roman"/>
          <w:sz w:val="28"/>
          <w:szCs w:val="28"/>
          <w:lang w:val="ru-RU"/>
        </w:rPr>
      </w:pPr>
    </w:p>
    <w:p w:rsidR="008C4970" w:rsidRPr="008C4970" w:rsidRDefault="00FE4D0E" w:rsidP="00FE4D0E">
      <w:pPr>
        <w:spacing w:line="360" w:lineRule="auto"/>
        <w:jc w:val="both"/>
        <w:rPr>
          <w:rFonts w:ascii="Times New Roman" w:hAnsi="Times New Roman"/>
          <w:sz w:val="28"/>
          <w:szCs w:val="28"/>
        </w:rPr>
      </w:pPr>
      <w:r>
        <w:rPr>
          <w:rFonts w:ascii="Times New Roman" w:hAnsi="Times New Roman" w:cs="Times New Roman"/>
          <w:sz w:val="28"/>
          <w:szCs w:val="28"/>
        </w:rPr>
        <w:tab/>
        <w:t>При аналізі показників ВКД у підгрупах різних гістологічних підтипів НКР нами було виявлено, що найнижче середнє значення ВКД було у хворих із хрНКР (</w:t>
      </w:r>
      <w:r>
        <w:rPr>
          <w:rFonts w:ascii="Times New Roman" w:hAnsi="Times New Roman"/>
          <w:sz w:val="28"/>
          <w:szCs w:val="28"/>
        </w:rPr>
        <w:t>1,39</w:t>
      </w:r>
      <w:r>
        <w:rPr>
          <w:rFonts w:ascii="Times New Roman" w:hAnsi="Times New Roman" w:cs="Times New Roman"/>
          <w:sz w:val="28"/>
          <w:szCs w:val="28"/>
        </w:rPr>
        <w:t>±</w:t>
      </w:r>
      <w:r>
        <w:rPr>
          <w:rFonts w:ascii="Times New Roman" w:hAnsi="Times New Roman"/>
          <w:sz w:val="28"/>
          <w:szCs w:val="28"/>
        </w:rPr>
        <w:t>0,09</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а найвище – при конвенційному гістологічному варіанті (1,78</w:t>
      </w:r>
      <w:r>
        <w:rPr>
          <w:rFonts w:ascii="Times New Roman" w:hAnsi="Times New Roman" w:cs="Times New Roman"/>
          <w:sz w:val="28"/>
          <w:szCs w:val="28"/>
        </w:rPr>
        <w:t>±</w:t>
      </w:r>
      <w:r>
        <w:rPr>
          <w:rFonts w:ascii="Times New Roman" w:hAnsi="Times New Roman"/>
          <w:sz w:val="28"/>
          <w:szCs w:val="28"/>
        </w:rPr>
        <w:t>0,10</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що безперечно пояснюється значно більш вираженою мікроваскуляризацією тканин останнього у порівнянні із хрНКР, а така різниця була статистично достовірною (</w:t>
      </w:r>
      <w:r w:rsidRPr="009E6C7E">
        <w:rPr>
          <w:rFonts w:ascii="Times New Roman" w:hAnsi="Times New Roman"/>
          <w:sz w:val="28"/>
          <w:szCs w:val="28"/>
        </w:rPr>
        <w:t>&lt;</w:t>
      </w:r>
      <w:r>
        <w:rPr>
          <w:rFonts w:ascii="Times New Roman" w:hAnsi="Times New Roman"/>
          <w:sz w:val="28"/>
          <w:szCs w:val="28"/>
        </w:rPr>
        <w:t>0,001). Середнє значення ВКД папілярного НКР становило 1,56</w:t>
      </w:r>
      <w:r>
        <w:rPr>
          <w:rFonts w:ascii="Times New Roman" w:hAnsi="Times New Roman" w:cs="Times New Roman"/>
          <w:sz w:val="28"/>
          <w:szCs w:val="28"/>
        </w:rPr>
        <w:t>±</w:t>
      </w:r>
      <w:r>
        <w:rPr>
          <w:rFonts w:ascii="Times New Roman" w:hAnsi="Times New Roman"/>
          <w:sz w:val="28"/>
          <w:szCs w:val="28"/>
        </w:rPr>
        <w:t>0,07</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xml:space="preserve"> і також суттєво відрізнялось від обох інших підгруп (</w:t>
      </w:r>
      <w:r w:rsidRPr="009E6C7E">
        <w:rPr>
          <w:rFonts w:ascii="Times New Roman" w:hAnsi="Times New Roman"/>
          <w:sz w:val="28"/>
          <w:szCs w:val="28"/>
        </w:rPr>
        <w:t>&lt;</w:t>
      </w:r>
      <w:r>
        <w:rPr>
          <w:rFonts w:ascii="Times New Roman" w:hAnsi="Times New Roman"/>
          <w:sz w:val="28"/>
          <w:szCs w:val="28"/>
        </w:rPr>
        <w:t>0,001). Слід зауважити, що у випадку ВКД ми вперше отримали достовірну різницю у середньому значенні потенційного променевого біомаркеру між усіма трьома гістологічни</w:t>
      </w:r>
      <w:r w:rsidR="003E6143">
        <w:rPr>
          <w:rFonts w:ascii="Times New Roman" w:hAnsi="Times New Roman"/>
          <w:sz w:val="28"/>
          <w:szCs w:val="28"/>
        </w:rPr>
        <w:t>ми підтипами НКР (рисунок 3.14</w:t>
      </w:r>
      <w:r w:rsidR="008C4970">
        <w:rPr>
          <w:rFonts w:ascii="Times New Roman" w:hAnsi="Times New Roman"/>
          <w:sz w:val="28"/>
          <w:szCs w:val="28"/>
        </w:rPr>
        <w:t>)</w:t>
      </w:r>
      <w:r w:rsidR="00034E9D">
        <w:rPr>
          <w:rFonts w:ascii="Times New Roman" w:hAnsi="Times New Roman"/>
          <w:sz w:val="28"/>
          <w:szCs w:val="28"/>
        </w:rPr>
        <w:t>.</w:t>
      </w:r>
    </w:p>
    <w:p w:rsidR="00FE4D0E" w:rsidRPr="00875FDC" w:rsidRDefault="00FE4D0E" w:rsidP="00FE4D0E">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2457490F" wp14:editId="439A9692">
            <wp:extent cx="3604311" cy="28800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4311" cy="2880000"/>
                    </a:xfrm>
                    <a:prstGeom prst="rect">
                      <a:avLst/>
                    </a:prstGeom>
                    <a:noFill/>
                    <a:ln>
                      <a:noFill/>
                    </a:ln>
                  </pic:spPr>
                </pic:pic>
              </a:graphicData>
            </a:graphic>
          </wp:inline>
        </w:drawing>
      </w:r>
    </w:p>
    <w:p w:rsidR="00FE4D0E" w:rsidRDefault="003E6143" w:rsidP="00FE4D0E">
      <w:pPr>
        <w:spacing w:line="360" w:lineRule="auto"/>
        <w:jc w:val="center"/>
        <w:rPr>
          <w:rFonts w:ascii="Times New Roman" w:hAnsi="Times New Roman"/>
          <w:sz w:val="28"/>
          <w:szCs w:val="28"/>
        </w:rPr>
      </w:pPr>
      <w:r>
        <w:rPr>
          <w:rFonts w:ascii="Times New Roman" w:hAnsi="Times New Roman" w:cs="Times New Roman"/>
          <w:sz w:val="28"/>
          <w:szCs w:val="28"/>
        </w:rPr>
        <w:t>Рис. 3.14</w:t>
      </w:r>
      <w:r w:rsidR="00FE4D0E">
        <w:rPr>
          <w:rFonts w:ascii="Times New Roman" w:hAnsi="Times New Roman" w:cs="Times New Roman"/>
          <w:sz w:val="28"/>
          <w:szCs w:val="28"/>
        </w:rPr>
        <w:t xml:space="preserve">. </w:t>
      </w:r>
      <w:r w:rsidR="00FE4D0E">
        <w:rPr>
          <w:rFonts w:ascii="Times New Roman" w:hAnsi="Times New Roman"/>
          <w:sz w:val="28"/>
          <w:szCs w:val="28"/>
        </w:rPr>
        <w:t xml:space="preserve">Коробкова діаграма </w:t>
      </w:r>
      <w:r w:rsidR="00FE4D0E">
        <w:rPr>
          <w:rFonts w:ascii="Times New Roman" w:hAnsi="Times New Roman" w:cs="Times New Roman"/>
          <w:sz w:val="28"/>
          <w:szCs w:val="28"/>
        </w:rPr>
        <w:t>вимірюваного коефіцієнта дифузії</w:t>
      </w:r>
      <w:r w:rsidR="00FE4D0E">
        <w:rPr>
          <w:rFonts w:ascii="Times New Roman" w:hAnsi="Times New Roman"/>
          <w:sz w:val="28"/>
          <w:szCs w:val="28"/>
        </w:rPr>
        <w:t xml:space="preserve"> гістологічних підтипів НКР при розмірі до 4 см (</w:t>
      </w:r>
      <w:r w:rsidR="00FE4D0E">
        <w:rPr>
          <w:rFonts w:ascii="Times New Roman" w:hAnsi="Times New Roman" w:cs="Times New Roman"/>
          <w:sz w:val="28"/>
          <w:szCs w:val="28"/>
        </w:rPr>
        <w:t>×</w:t>
      </w:r>
      <w:r w:rsidR="00FE4D0E">
        <w:rPr>
          <w:rFonts w:ascii="Times New Roman" w:hAnsi="Times New Roman"/>
          <w:sz w:val="28"/>
          <w:szCs w:val="28"/>
        </w:rPr>
        <w:t>10</w:t>
      </w:r>
      <w:r w:rsidR="00FE4D0E">
        <w:rPr>
          <w:rFonts w:ascii="Times New Roman" w:hAnsi="Times New Roman"/>
          <w:sz w:val="28"/>
          <w:szCs w:val="28"/>
          <w:vertAlign w:val="superscript"/>
        </w:rPr>
        <w:t>-3</w:t>
      </w:r>
      <w:r w:rsidR="00FE4D0E">
        <w:rPr>
          <w:rFonts w:ascii="Times New Roman" w:hAnsi="Times New Roman"/>
          <w:sz w:val="28"/>
          <w:szCs w:val="28"/>
        </w:rPr>
        <w:t xml:space="preserve"> мм</w:t>
      </w:r>
      <w:r w:rsidR="00FE4D0E">
        <w:rPr>
          <w:rFonts w:ascii="Times New Roman" w:hAnsi="Times New Roman"/>
          <w:sz w:val="28"/>
          <w:szCs w:val="28"/>
          <w:vertAlign w:val="superscript"/>
        </w:rPr>
        <w:t>2</w:t>
      </w:r>
      <w:r w:rsidR="00FE4D0E">
        <w:rPr>
          <w:rFonts w:ascii="Times New Roman" w:hAnsi="Times New Roman"/>
          <w:sz w:val="28"/>
          <w:szCs w:val="28"/>
        </w:rPr>
        <w:t>/с</w:t>
      </w:r>
      <w:r w:rsidR="00FE4D0E" w:rsidRPr="00806991">
        <w:rPr>
          <w:rFonts w:ascii="Times New Roman" w:hAnsi="Times New Roman"/>
          <w:sz w:val="28"/>
          <w:szCs w:val="28"/>
        </w:rPr>
        <w:t>)</w:t>
      </w:r>
    </w:p>
    <w:p w:rsidR="00FE4D0E" w:rsidRDefault="00FE4D0E" w:rsidP="00FE4D0E">
      <w:pPr>
        <w:spacing w:line="360" w:lineRule="auto"/>
        <w:rPr>
          <w:rFonts w:ascii="Times New Roman" w:hAnsi="Times New Roman"/>
          <w:sz w:val="28"/>
          <w:szCs w:val="28"/>
        </w:rPr>
      </w:pPr>
    </w:p>
    <w:p w:rsidR="00FE4D0E" w:rsidRDefault="00FE4D0E" w:rsidP="00FE4D0E">
      <w:pPr>
        <w:spacing w:line="360" w:lineRule="auto"/>
        <w:jc w:val="both"/>
        <w:rPr>
          <w:rFonts w:ascii="Times New Roman" w:hAnsi="Times New Roman"/>
          <w:sz w:val="28"/>
          <w:szCs w:val="28"/>
        </w:rPr>
      </w:pPr>
      <w:r>
        <w:rPr>
          <w:rFonts w:ascii="Times New Roman" w:hAnsi="Times New Roman"/>
          <w:sz w:val="28"/>
          <w:szCs w:val="28"/>
        </w:rPr>
        <w:tab/>
        <w:t xml:space="preserve">Порівнюючи середні значення ВКД у підгрупах конвенційного НКР різного </w:t>
      </w:r>
      <w:r w:rsidR="00B02037">
        <w:rPr>
          <w:rFonts w:ascii="Times New Roman" w:hAnsi="Times New Roman"/>
          <w:sz w:val="28"/>
          <w:szCs w:val="28"/>
        </w:rPr>
        <w:t>ступеня</w:t>
      </w:r>
      <w:r>
        <w:rPr>
          <w:rFonts w:ascii="Times New Roman" w:hAnsi="Times New Roman"/>
          <w:sz w:val="28"/>
          <w:szCs w:val="28"/>
        </w:rPr>
        <w:t xml:space="preserve"> за </w:t>
      </w:r>
      <w:r>
        <w:rPr>
          <w:rFonts w:ascii="Times New Roman" w:hAnsi="Times New Roman"/>
          <w:sz w:val="28"/>
          <w:szCs w:val="28"/>
          <w:lang w:val="en-US"/>
        </w:rPr>
        <w:t>Fuhrman</w:t>
      </w:r>
      <w:r>
        <w:rPr>
          <w:rFonts w:ascii="Times New Roman" w:hAnsi="Times New Roman"/>
          <w:sz w:val="28"/>
          <w:szCs w:val="28"/>
        </w:rPr>
        <w:t>, у хворих із високим ступенем цей показник був достовірно меншим (1,71</w:t>
      </w:r>
      <w:r>
        <w:rPr>
          <w:rFonts w:ascii="Times New Roman" w:hAnsi="Times New Roman" w:cs="Times New Roman"/>
          <w:sz w:val="28"/>
          <w:szCs w:val="28"/>
        </w:rPr>
        <w:t>±</w:t>
      </w:r>
      <w:r>
        <w:rPr>
          <w:rFonts w:ascii="Times New Roman" w:hAnsi="Times New Roman"/>
          <w:sz w:val="28"/>
          <w:szCs w:val="28"/>
        </w:rPr>
        <w:t>0,06</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у порівнянні із низьким ступенем (1,84</w:t>
      </w:r>
      <w:r>
        <w:rPr>
          <w:rFonts w:ascii="Times New Roman" w:hAnsi="Times New Roman" w:cs="Times New Roman"/>
          <w:sz w:val="28"/>
          <w:szCs w:val="28"/>
        </w:rPr>
        <w:t>±</w:t>
      </w:r>
      <w:r>
        <w:rPr>
          <w:rFonts w:ascii="Times New Roman" w:hAnsi="Times New Roman"/>
          <w:sz w:val="28"/>
          <w:szCs w:val="28"/>
        </w:rPr>
        <w:t>0,09</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Pr>
          <w:rFonts w:ascii="Times New Roman" w:hAnsi="Times New Roman"/>
          <w:sz w:val="28"/>
          <w:szCs w:val="28"/>
        </w:rPr>
        <w:t>),  р</w:t>
      </w:r>
      <w:r w:rsidRPr="009E6C7E">
        <w:rPr>
          <w:rFonts w:ascii="Times New Roman" w:hAnsi="Times New Roman"/>
          <w:sz w:val="28"/>
          <w:szCs w:val="28"/>
        </w:rPr>
        <w:t>&lt;</w:t>
      </w:r>
      <w:r>
        <w:rPr>
          <w:rFonts w:ascii="Times New Roman" w:hAnsi="Times New Roman"/>
          <w:sz w:val="28"/>
          <w:szCs w:val="28"/>
        </w:rPr>
        <w:t xml:space="preserve">0,001. Такі дані свідчать про більш виражене обмеження дифузії в тканинах скНКР низького ступеня диференціації, у порівнянні з високим, що може бути пояснене доведеним зростанням показника ядерно-цитоплазматичного співвідношення, та зменшенням щільності мікроваскуляризації в тканинах пухлини зі зростанням </w:t>
      </w:r>
      <w:r w:rsidR="00B02037">
        <w:rPr>
          <w:rFonts w:ascii="Times New Roman" w:hAnsi="Times New Roman"/>
          <w:sz w:val="28"/>
          <w:szCs w:val="28"/>
        </w:rPr>
        <w:t>ступеня</w:t>
      </w:r>
      <w:r>
        <w:rPr>
          <w:rFonts w:ascii="Times New Roman" w:hAnsi="Times New Roman"/>
          <w:sz w:val="28"/>
          <w:szCs w:val="28"/>
        </w:rPr>
        <w:t xml:space="preserve"> скНКР за </w:t>
      </w:r>
      <w:r>
        <w:rPr>
          <w:rFonts w:ascii="Times New Roman" w:hAnsi="Times New Roman"/>
          <w:sz w:val="28"/>
          <w:szCs w:val="28"/>
          <w:lang w:val="en-US"/>
        </w:rPr>
        <w:t>Fuhrman</w:t>
      </w:r>
      <w:r>
        <w:rPr>
          <w:rFonts w:ascii="Times New Roman" w:hAnsi="Times New Roman"/>
          <w:sz w:val="28"/>
          <w:szCs w:val="28"/>
        </w:rPr>
        <w:t xml:space="preserve">, що має прямий вплив на обидва компоненти дифузії молекул водню в тканинах – інтра- та екстрацелюлярний. Водночас, достовірної різниці між середніми значеннями ВКД в підгрупах із пНКР низького та високого </w:t>
      </w:r>
      <w:r w:rsidR="00B02037">
        <w:rPr>
          <w:rFonts w:ascii="Times New Roman" w:hAnsi="Times New Roman"/>
          <w:sz w:val="28"/>
          <w:szCs w:val="28"/>
        </w:rPr>
        <w:t>ступеня</w:t>
      </w:r>
      <w:r>
        <w:rPr>
          <w:rFonts w:ascii="Times New Roman" w:hAnsi="Times New Roman"/>
          <w:sz w:val="28"/>
          <w:szCs w:val="28"/>
        </w:rPr>
        <w:t xml:space="preserve"> за </w:t>
      </w:r>
      <w:r>
        <w:rPr>
          <w:rFonts w:ascii="Times New Roman" w:hAnsi="Times New Roman"/>
          <w:sz w:val="28"/>
          <w:szCs w:val="28"/>
          <w:lang w:val="en-US"/>
        </w:rPr>
        <w:t>Fuhrman</w:t>
      </w:r>
      <w:r>
        <w:rPr>
          <w:rFonts w:ascii="Times New Roman" w:hAnsi="Times New Roman"/>
          <w:sz w:val="28"/>
          <w:szCs w:val="28"/>
        </w:rPr>
        <w:t xml:space="preserve"> нами не спостерігалось (р=0,651), хоча, прослідковувалась чітка тенденція до нижчих величин ВКД у підгрупі із пНКР низького </w:t>
      </w:r>
      <w:r w:rsidR="00B02037">
        <w:rPr>
          <w:rFonts w:ascii="Times New Roman" w:hAnsi="Times New Roman"/>
          <w:sz w:val="28"/>
          <w:szCs w:val="28"/>
        </w:rPr>
        <w:t>ступеня</w:t>
      </w:r>
      <w:r>
        <w:rPr>
          <w:rFonts w:ascii="Times New Roman" w:hAnsi="Times New Roman"/>
          <w:sz w:val="28"/>
          <w:szCs w:val="28"/>
        </w:rPr>
        <w:t xml:space="preserve"> у порівнянні з високим (відповідно 1,53</w:t>
      </w:r>
      <w:r>
        <w:rPr>
          <w:rFonts w:ascii="Times New Roman" w:hAnsi="Times New Roman" w:cs="Times New Roman"/>
          <w:sz w:val="28"/>
          <w:szCs w:val="28"/>
        </w:rPr>
        <w:t>±</w:t>
      </w:r>
      <w:r>
        <w:rPr>
          <w:rFonts w:ascii="Times New Roman" w:hAnsi="Times New Roman"/>
          <w:sz w:val="28"/>
          <w:szCs w:val="28"/>
        </w:rPr>
        <w:t>0,09</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Pr>
          <w:rFonts w:ascii="Times New Roman" w:hAnsi="Times New Roman"/>
          <w:sz w:val="28"/>
          <w:szCs w:val="28"/>
        </w:rPr>
        <w:t xml:space="preserve"> та 1,58</w:t>
      </w:r>
      <w:r>
        <w:rPr>
          <w:rFonts w:ascii="Times New Roman" w:hAnsi="Times New Roman" w:cs="Times New Roman"/>
          <w:sz w:val="28"/>
          <w:szCs w:val="28"/>
        </w:rPr>
        <w:t>±</w:t>
      </w:r>
      <w:r>
        <w:rPr>
          <w:rFonts w:ascii="Times New Roman" w:hAnsi="Times New Roman"/>
          <w:sz w:val="28"/>
          <w:szCs w:val="28"/>
        </w:rPr>
        <w:t>0,04</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Pr>
          <w:rFonts w:ascii="Times New Roman" w:hAnsi="Times New Roman"/>
          <w:sz w:val="28"/>
          <w:szCs w:val="28"/>
        </w:rPr>
        <w:t>).</w:t>
      </w:r>
    </w:p>
    <w:p w:rsidR="00FE4D0E" w:rsidRDefault="00FE4D0E" w:rsidP="00FE4D0E">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При характеристиці доброякісних </w:t>
      </w:r>
      <w:r>
        <w:rPr>
          <w:rFonts w:ascii="Times New Roman" w:hAnsi="Times New Roman" w:cs="Times New Roman"/>
          <w:sz w:val="28"/>
          <w:szCs w:val="28"/>
          <w:lang w:val="en-US"/>
        </w:rPr>
        <w:t>SRM</w:t>
      </w:r>
      <w:r>
        <w:rPr>
          <w:rFonts w:ascii="Times New Roman" w:hAnsi="Times New Roman" w:cs="Times New Roman"/>
          <w:sz w:val="28"/>
          <w:szCs w:val="28"/>
        </w:rPr>
        <w:t xml:space="preserve"> застосування ВКД ми спостерігали наступні обмеження: при середньому значенні ВКД при ОЦ – </w:t>
      </w:r>
      <w:r>
        <w:rPr>
          <w:rFonts w:ascii="Times New Roman" w:hAnsi="Times New Roman"/>
          <w:sz w:val="28"/>
          <w:szCs w:val="28"/>
        </w:rPr>
        <w:t>2,17</w:t>
      </w:r>
      <w:r>
        <w:rPr>
          <w:rFonts w:ascii="Times New Roman" w:hAnsi="Times New Roman" w:cs="Times New Roman"/>
          <w:sz w:val="28"/>
          <w:szCs w:val="28"/>
        </w:rPr>
        <w:t>±</w:t>
      </w:r>
      <w:r>
        <w:rPr>
          <w:rFonts w:ascii="Times New Roman" w:hAnsi="Times New Roman"/>
          <w:sz w:val="28"/>
          <w:szCs w:val="28"/>
        </w:rPr>
        <w:t>0,15</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xml:space="preserve"> ми отримали достовірну різницю від цього показника при ПА, який був найнижчим – 1,99</w:t>
      </w:r>
      <w:r>
        <w:rPr>
          <w:rFonts w:ascii="Times New Roman" w:hAnsi="Times New Roman" w:cs="Times New Roman"/>
          <w:sz w:val="28"/>
          <w:szCs w:val="28"/>
        </w:rPr>
        <w:t>±</w:t>
      </w:r>
      <w:r>
        <w:rPr>
          <w:rFonts w:ascii="Times New Roman" w:hAnsi="Times New Roman"/>
          <w:sz w:val="28"/>
          <w:szCs w:val="28"/>
        </w:rPr>
        <w:t>0,07</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xml:space="preserve"> (р=0,028). Однак, суттєвої різниці не було між середніми значеннями у підгрупах з ОЦ та АМЛ (р=0,940) та в підгрупах із АМЛ та ПА (р=0,071).</w:t>
      </w:r>
    </w:p>
    <w:p w:rsidR="003E6143" w:rsidRPr="003E6143" w:rsidRDefault="00FE4D0E" w:rsidP="00FE4D0E">
      <w:pPr>
        <w:spacing w:line="360" w:lineRule="auto"/>
        <w:jc w:val="both"/>
        <w:rPr>
          <w:rFonts w:ascii="Times New Roman" w:hAnsi="Times New Roman"/>
          <w:sz w:val="28"/>
          <w:szCs w:val="28"/>
        </w:rPr>
      </w:pPr>
      <w:r>
        <w:rPr>
          <w:rFonts w:ascii="Times New Roman" w:hAnsi="Times New Roman" w:cs="Times New Roman"/>
          <w:sz w:val="28"/>
          <w:szCs w:val="28"/>
        </w:rPr>
        <w:tab/>
        <w:t xml:space="preserve">За результатами </w:t>
      </w:r>
      <w:r>
        <w:rPr>
          <w:rFonts w:ascii="Times New Roman" w:hAnsi="Times New Roman" w:cs="Times New Roman"/>
          <w:sz w:val="28"/>
          <w:szCs w:val="28"/>
          <w:lang w:val="en-US"/>
        </w:rPr>
        <w:t>ROC</w:t>
      </w:r>
      <w:r>
        <w:rPr>
          <w:rFonts w:ascii="Times New Roman" w:hAnsi="Times New Roman" w:cs="Times New Roman"/>
          <w:sz w:val="28"/>
          <w:szCs w:val="28"/>
        </w:rPr>
        <w:t xml:space="preserve">-аналізу, застосування ВКД для диференціації НКР від інших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(включно із ПКК ниркової миски) дозволяло отримати наступні показники чутливості, специфічності і точності, які становили відповідно 90,1%, 71,0% та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color w:val="000000" w:themeColor="text1"/>
          <w:sz w:val="28"/>
          <w:szCs w:val="28"/>
        </w:rPr>
        <w:t>0,705</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95% ДІ=0,546-0,864, р=0,001) при пороговій величині 1,91</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sidR="003E6143">
        <w:rPr>
          <w:rFonts w:ascii="Times New Roman" w:hAnsi="Times New Roman"/>
          <w:sz w:val="28"/>
          <w:szCs w:val="28"/>
        </w:rPr>
        <w:t xml:space="preserve"> (</w:t>
      </w:r>
      <w:r w:rsidR="003E6143">
        <w:rPr>
          <w:rFonts w:ascii="Times New Roman" w:hAnsi="Times New Roman" w:cs="Times New Roman"/>
          <w:color w:val="000000" w:themeColor="text1"/>
          <w:sz w:val="28"/>
          <w:szCs w:val="28"/>
        </w:rPr>
        <w:t>рис. 3.15).</w:t>
      </w:r>
    </w:p>
    <w:p w:rsidR="003E6143" w:rsidRPr="00425309" w:rsidRDefault="003E6143" w:rsidP="003E6143">
      <w:pPr>
        <w:jc w:val="center"/>
      </w:pPr>
      <w:r>
        <w:rPr>
          <w:noProof/>
          <w:lang w:val="en-US"/>
        </w:rPr>
        <mc:AlternateContent>
          <mc:Choice Requires="wps">
            <w:drawing>
              <wp:anchor distT="0" distB="0" distL="114300" distR="114300" simplePos="0" relativeHeight="251787264" behindDoc="0" locked="0" layoutInCell="1" allowOverlap="1" wp14:anchorId="1A9AB897" wp14:editId="3CA82DE8">
                <wp:simplePos x="0" y="0"/>
                <wp:positionH relativeFrom="page">
                  <wp:align>center</wp:align>
                </wp:positionH>
                <wp:positionV relativeFrom="paragraph">
                  <wp:posOffset>2054860</wp:posOffset>
                </wp:positionV>
                <wp:extent cx="2533650" cy="400050"/>
                <wp:effectExtent l="0" t="0" r="0" b="0"/>
                <wp:wrapNone/>
                <wp:docPr id="2" name="Надпись 2"/>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5E2D59" w:rsidRDefault="007B5A1D" w:rsidP="003E6143">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D59">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9AB897" id="Надпись 2" o:spid="_x0000_s1030" type="#_x0000_t202" style="position:absolute;left:0;text-align:left;margin-left:0;margin-top:161.8pt;width:199.5pt;height:31.5pt;z-index:251787264;visibility:visible;mso-wrap-style:none;mso-height-percent:0;mso-wrap-distance-left:9pt;mso-wrap-distance-top:0;mso-wrap-distance-right:9pt;mso-wrap-distance-bottom:0;mso-position-horizontal:center;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" filled="f" stroked="f">
                <v:textbox>
                  <w:txbxContent>
                    <w:p w:rsidR="007B5A1D" w:rsidRPr="005E2D59" w:rsidRDefault="007B5A1D" w:rsidP="003E6143">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D59">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Pr>
          <w:noProof/>
          <w:lang w:val="en-US"/>
        </w:rPr>
        <mc:AlternateContent>
          <mc:Choice Requires="wps">
            <w:drawing>
              <wp:anchor distT="0" distB="0" distL="114300" distR="114300" simplePos="0" relativeHeight="251788288" behindDoc="0" locked="0" layoutInCell="1" allowOverlap="1" wp14:anchorId="1AF5E7D6" wp14:editId="66CBCC50">
                <wp:simplePos x="0" y="0"/>
                <wp:positionH relativeFrom="page">
                  <wp:posOffset>6478270</wp:posOffset>
                </wp:positionH>
                <wp:positionV relativeFrom="paragraph">
                  <wp:posOffset>2073910</wp:posOffset>
                </wp:positionV>
                <wp:extent cx="2533650" cy="400050"/>
                <wp:effectExtent l="0" t="0" r="0" b="0"/>
                <wp:wrapNone/>
                <wp:docPr id="4" name="Надпись 4"/>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5E2D59" w:rsidRDefault="007B5A1D" w:rsidP="003E6143">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F5E7D6" id="Надпись 4" o:spid="_x0000_s1031" type="#_x0000_t202" style="position:absolute;left:0;text-align:left;margin-left:510.1pt;margin-top:163.3pt;width:199.5pt;height:31.5pt;z-index:25178828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" filled="f" stroked="f">
                <v:textbox>
                  <w:txbxContent>
                    <w:p w:rsidR="007B5A1D" w:rsidRPr="005E2D59" w:rsidRDefault="007B5A1D" w:rsidP="003E6143">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Pr>
          <w:rFonts w:ascii="Times New Roman" w:hAnsi="Times New Roman" w:cs="Times New Roman"/>
          <w:noProof/>
          <w:sz w:val="24"/>
          <w:szCs w:val="24"/>
          <w:lang w:val="en-US"/>
        </w:rPr>
        <w:drawing>
          <wp:inline distT="0" distB="0" distL="0" distR="0" wp14:anchorId="336A1585" wp14:editId="07C85DD8">
            <wp:extent cx="2895877" cy="2880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1100" r="8555"/>
                    <a:stretch/>
                  </pic:blipFill>
                  <pic:spPr bwMode="auto">
                    <a:xfrm>
                      <a:off x="0" y="0"/>
                      <a:ext cx="2895877" cy="28800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noProof/>
          <w:sz w:val="28"/>
          <w:szCs w:val="28"/>
          <w:lang w:val="en-US"/>
        </w:rPr>
        <w:drawing>
          <wp:inline distT="0" distB="0" distL="0" distR="0" wp14:anchorId="2CC4E8BC" wp14:editId="19212FCB">
            <wp:extent cx="2908609" cy="2880000"/>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Untitled-1.jpg"/>
                    <pic:cNvPicPr/>
                  </pic:nvPicPr>
                  <pic:blipFill>
                    <a:blip r:embed="rId33">
                      <a:extLst>
                        <a:ext uri="{28A0092B-C50C-407E-A947-70E740481C1C}">
                          <a14:useLocalDpi xmlns:a14="http://schemas.microsoft.com/office/drawing/2010/main" val="0"/>
                        </a:ext>
                      </a:extLst>
                    </a:blip>
                    <a:stretch>
                      <a:fillRect/>
                    </a:stretch>
                  </pic:blipFill>
                  <pic:spPr>
                    <a:xfrm>
                      <a:off x="0" y="0"/>
                      <a:ext cx="2908609" cy="2880000"/>
                    </a:xfrm>
                    <a:prstGeom prst="rect">
                      <a:avLst/>
                    </a:prstGeom>
                  </pic:spPr>
                </pic:pic>
              </a:graphicData>
            </a:graphic>
          </wp:inline>
        </w:drawing>
      </w:r>
    </w:p>
    <w:p w:rsidR="003E6143" w:rsidRDefault="003E6143" w:rsidP="003E6143">
      <w:pPr>
        <w:spacing w:line="360" w:lineRule="auto"/>
        <w:jc w:val="center"/>
        <w:rPr>
          <w:rFonts w:ascii="Times New Roman" w:hAnsi="Times New Roman"/>
          <w:sz w:val="28"/>
          <w:szCs w:val="28"/>
        </w:rPr>
      </w:pPr>
      <w:r>
        <w:rPr>
          <w:rFonts w:ascii="Times New Roman" w:hAnsi="Times New Roman"/>
          <w:sz w:val="28"/>
          <w:szCs w:val="28"/>
        </w:rPr>
        <w:t xml:space="preserve">Рис. 3.15. </w:t>
      </w:r>
      <w:r>
        <w:rPr>
          <w:rFonts w:ascii="Times New Roman" w:hAnsi="Times New Roman"/>
          <w:sz w:val="28"/>
          <w:szCs w:val="28"/>
          <w:lang w:val="en-US"/>
        </w:rPr>
        <w:t>ROC</w:t>
      </w:r>
      <w:r>
        <w:rPr>
          <w:rFonts w:ascii="Times New Roman" w:hAnsi="Times New Roman"/>
          <w:sz w:val="28"/>
          <w:szCs w:val="28"/>
        </w:rPr>
        <w:t xml:space="preserve">-криві при диференціації НКР від інших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на основі (А) інтенсивності сигналу дифузійно-зважених зображень та (Б) вимірюваного коефіцієнта дифузії</w:t>
      </w:r>
    </w:p>
    <w:p w:rsidR="003E6143" w:rsidRDefault="003E6143" w:rsidP="003E6143">
      <w:pPr>
        <w:spacing w:line="360" w:lineRule="auto"/>
        <w:jc w:val="center"/>
        <w:rPr>
          <w:rFonts w:ascii="Times New Roman" w:hAnsi="Times New Roman"/>
          <w:sz w:val="28"/>
          <w:szCs w:val="28"/>
        </w:rPr>
      </w:pPr>
    </w:p>
    <w:p w:rsidR="003E6143" w:rsidRDefault="00FE4D0E" w:rsidP="003E6143">
      <w:pPr>
        <w:spacing w:line="360" w:lineRule="auto"/>
        <w:ind w:firstLine="708"/>
        <w:jc w:val="both"/>
        <w:rPr>
          <w:rFonts w:ascii="Times New Roman" w:hAnsi="Times New Roman" w:cs="Times New Roman"/>
          <w:color w:val="000000" w:themeColor="text1"/>
          <w:sz w:val="28"/>
          <w:szCs w:val="28"/>
        </w:rPr>
      </w:pPr>
      <w:r>
        <w:rPr>
          <w:rFonts w:ascii="Times New Roman" w:hAnsi="Times New Roman"/>
          <w:sz w:val="28"/>
          <w:szCs w:val="28"/>
        </w:rPr>
        <w:t xml:space="preserve">Диференціація </w:t>
      </w:r>
      <w:r w:rsidRPr="009E6C7E">
        <w:rPr>
          <w:rFonts w:ascii="Times New Roman" w:hAnsi="Times New Roman"/>
          <w:sz w:val="28"/>
          <w:szCs w:val="28"/>
        </w:rPr>
        <w:t xml:space="preserve">НКР </w:t>
      </w:r>
      <w:r w:rsidRPr="00C01DAC">
        <w:rPr>
          <w:rFonts w:ascii="Times New Roman" w:hAnsi="Times New Roman"/>
          <w:sz w:val="28"/>
          <w:szCs w:val="28"/>
        </w:rPr>
        <w:t>із доброякісними</w:t>
      </w:r>
      <w:r w:rsidRPr="009E6C7E">
        <w:rPr>
          <w:rFonts w:ascii="Times New Roman" w:hAnsi="Times New Roman"/>
          <w:sz w:val="28"/>
          <w:szCs w:val="28"/>
        </w:rPr>
        <w:t xml:space="preserve"> </w:t>
      </w:r>
      <w:r>
        <w:rPr>
          <w:rFonts w:ascii="Times New Roman" w:hAnsi="Times New Roman"/>
          <w:sz w:val="28"/>
          <w:szCs w:val="28"/>
          <w:lang w:val="en-US"/>
        </w:rPr>
        <w:t>SRM</w:t>
      </w:r>
      <w:r w:rsidRPr="009E6C7E">
        <w:rPr>
          <w:rFonts w:ascii="Times New Roman" w:hAnsi="Times New Roman"/>
          <w:sz w:val="28"/>
          <w:szCs w:val="28"/>
        </w:rPr>
        <w:t xml:space="preserve"> </w:t>
      </w:r>
      <w:r>
        <w:rPr>
          <w:rFonts w:ascii="Times New Roman" w:hAnsi="Times New Roman"/>
          <w:sz w:val="28"/>
          <w:szCs w:val="28"/>
        </w:rPr>
        <w:t xml:space="preserve">на основі ВКД була можливою навіть із кращими параметрами тесту: 100% чутливість, 81,8% специфічність, </w:t>
      </w:r>
      <w:r>
        <w:rPr>
          <w:rFonts w:ascii="Times New Roman" w:hAnsi="Times New Roman"/>
          <w:sz w:val="28"/>
          <w:szCs w:val="28"/>
          <w:lang w:val="en-US"/>
        </w:rPr>
        <w:t>AUC</w:t>
      </w:r>
      <w:r>
        <w:rPr>
          <w:rFonts w:ascii="Times New Roman" w:hAnsi="Times New Roman"/>
          <w:sz w:val="28"/>
          <w:szCs w:val="28"/>
        </w:rPr>
        <w:t>=</w:t>
      </w:r>
      <w:r>
        <w:rPr>
          <w:rFonts w:ascii="Times New Roman" w:hAnsi="Times New Roman" w:cs="Times New Roman"/>
          <w:color w:val="000000" w:themeColor="text1"/>
          <w:sz w:val="28"/>
          <w:szCs w:val="28"/>
        </w:rPr>
        <w:t>0,993 (95% ДІ=0,983-1,0, р</w:t>
      </w:r>
      <w:r w:rsidRPr="009E6C7E">
        <w:rPr>
          <w:rFonts w:ascii="Times New Roman" w:hAnsi="Times New Roman" w:cs="Times New Roman"/>
          <w:sz w:val="28"/>
          <w:szCs w:val="28"/>
        </w:rPr>
        <w:t>&lt;</w:t>
      </w:r>
      <w:r>
        <w:rPr>
          <w:rFonts w:ascii="Times New Roman" w:hAnsi="Times New Roman" w:cs="Times New Roman"/>
          <w:sz w:val="28"/>
          <w:szCs w:val="28"/>
        </w:rPr>
        <w:t xml:space="preserve">0,001) при пороговому значенні – </w:t>
      </w:r>
      <w:r>
        <w:rPr>
          <w:rFonts w:ascii="Times New Roman" w:hAnsi="Times New Roman" w:cs="Times New Roman"/>
          <w:color w:val="000000" w:themeColor="text1"/>
          <w:sz w:val="28"/>
          <w:szCs w:val="28"/>
        </w:rPr>
        <w:t>2,0</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w:t>
      </w:r>
      <w:r>
        <w:rPr>
          <w:rFonts w:ascii="Times New Roman" w:hAnsi="Times New Roman" w:cs="Times New Roman"/>
          <w:sz w:val="28"/>
          <w:szCs w:val="28"/>
        </w:rPr>
        <w:t xml:space="preserve"> Окрім цього, ми отримали високі значення </w:t>
      </w:r>
      <w:r>
        <w:rPr>
          <w:rFonts w:ascii="Times New Roman" w:hAnsi="Times New Roman" w:cs="Times New Roman"/>
          <w:sz w:val="28"/>
          <w:szCs w:val="28"/>
        </w:rPr>
        <w:lastRenderedPageBreak/>
        <w:t xml:space="preserve">чутливості, специфічності та точності при використанні ВКД із граничною величиною </w:t>
      </w:r>
      <w:r>
        <w:rPr>
          <w:rFonts w:ascii="Times New Roman" w:hAnsi="Times New Roman" w:cs="Times New Roman"/>
          <w:color w:val="000000" w:themeColor="text1"/>
          <w:sz w:val="28"/>
          <w:szCs w:val="28"/>
        </w:rPr>
        <w:t>1,66</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xml:space="preserve"> при диференціації конвенційного гістологічного підтипу НКР від неконвенційного: чутливість – 93,4%, специфічність – 96,7%, </w:t>
      </w:r>
      <w:r>
        <w:rPr>
          <w:rFonts w:ascii="Times New Roman" w:hAnsi="Times New Roman"/>
          <w:sz w:val="28"/>
          <w:szCs w:val="28"/>
          <w:lang w:val="en-US"/>
        </w:rPr>
        <w:t>AUC</w:t>
      </w:r>
      <w:r w:rsidRPr="009E6C7E">
        <w:rPr>
          <w:rFonts w:ascii="Times New Roman" w:hAnsi="Times New Roman"/>
          <w:sz w:val="28"/>
          <w:szCs w:val="28"/>
        </w:rPr>
        <w:t>=</w:t>
      </w:r>
      <w:r>
        <w:rPr>
          <w:rFonts w:ascii="Times New Roman" w:hAnsi="Times New Roman" w:cs="Times New Roman"/>
          <w:color w:val="000000" w:themeColor="text1"/>
          <w:sz w:val="28"/>
          <w:szCs w:val="28"/>
        </w:rPr>
        <w:t>0,981 (95% ДІ=0,954-1,0, р</w:t>
      </w:r>
      <w:r w:rsidRPr="009E6C7E">
        <w:rPr>
          <w:rFonts w:ascii="Times New Roman" w:hAnsi="Times New Roman" w:cs="Times New Roman"/>
          <w:sz w:val="28"/>
          <w:szCs w:val="28"/>
        </w:rPr>
        <w:t>&lt;</w:t>
      </w:r>
      <w:r>
        <w:rPr>
          <w:rFonts w:ascii="Times New Roman" w:hAnsi="Times New Roman" w:cs="Times New Roman"/>
          <w:sz w:val="28"/>
          <w:szCs w:val="28"/>
        </w:rPr>
        <w:t xml:space="preserve">0,001). Відрізнення папілярного НКР від хромофобного за допомогою ВКД була можливою із показниками чутливості, специфічності та точності відповідно </w:t>
      </w:r>
      <w:r>
        <w:rPr>
          <w:rFonts w:ascii="Times New Roman" w:hAnsi="Times New Roman" w:cs="Times New Roman"/>
          <w:color w:val="000000" w:themeColor="text1"/>
          <w:sz w:val="28"/>
          <w:szCs w:val="28"/>
        </w:rPr>
        <w:t xml:space="preserve">93,4%, 86,7% та </w:t>
      </w:r>
      <w:r>
        <w:rPr>
          <w:rFonts w:ascii="Times New Roman" w:hAnsi="Times New Roman" w:cs="Times New Roman"/>
          <w:color w:val="000000" w:themeColor="text1"/>
          <w:sz w:val="28"/>
          <w:szCs w:val="28"/>
          <w:lang w:val="en-US"/>
        </w:rPr>
        <w:t>AUC</w:t>
      </w:r>
      <w:r w:rsidRPr="009E6C7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0,956</w:t>
      </w:r>
      <w:r w:rsidRPr="009E6C7E">
        <w:rPr>
          <w:rFonts w:ascii="Times New Roman" w:hAnsi="Times New Roman" w:cs="Times New Roman"/>
          <w:color w:val="000000" w:themeColor="text1"/>
          <w:sz w:val="28"/>
          <w:szCs w:val="28"/>
        </w:rPr>
        <w:t xml:space="preserve"> (95% </w:t>
      </w:r>
      <w:r>
        <w:rPr>
          <w:rFonts w:ascii="Times New Roman" w:hAnsi="Times New Roman" w:cs="Times New Roman"/>
          <w:color w:val="000000" w:themeColor="text1"/>
          <w:sz w:val="28"/>
          <w:szCs w:val="28"/>
        </w:rPr>
        <w:t>ДІ=0,884-1,0, р</w:t>
      </w:r>
      <w:r w:rsidRPr="009E6C7E">
        <w:rPr>
          <w:rFonts w:ascii="Times New Roman" w:hAnsi="Times New Roman" w:cs="Times New Roman"/>
          <w:sz w:val="28"/>
          <w:szCs w:val="28"/>
        </w:rPr>
        <w:t>&lt;</w:t>
      </w:r>
      <w:r>
        <w:rPr>
          <w:rFonts w:ascii="Times New Roman" w:hAnsi="Times New Roman" w:cs="Times New Roman"/>
          <w:sz w:val="28"/>
          <w:szCs w:val="28"/>
        </w:rPr>
        <w:t xml:space="preserve">0,001) при граничній величині </w:t>
      </w:r>
      <w:r>
        <w:rPr>
          <w:rFonts w:ascii="Times New Roman" w:hAnsi="Times New Roman" w:cs="Times New Roman"/>
          <w:color w:val="000000" w:themeColor="text1"/>
          <w:sz w:val="28"/>
          <w:szCs w:val="28"/>
        </w:rPr>
        <w:t>1,48</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xml:space="preserve">. Ми отримали високі показники чутливості, </w:t>
      </w:r>
      <w:r>
        <w:rPr>
          <w:rFonts w:ascii="Times New Roman" w:hAnsi="Times New Roman" w:cs="Times New Roman"/>
          <w:sz w:val="28"/>
          <w:szCs w:val="28"/>
        </w:rPr>
        <w:t xml:space="preserve">специфічності та точності при диференціації </w:t>
      </w:r>
      <w:r w:rsidRPr="009F264C">
        <w:rPr>
          <w:rFonts w:ascii="Times New Roman" w:hAnsi="Times New Roman" w:cs="Times New Roman"/>
          <w:color w:val="000000" w:themeColor="text1"/>
          <w:sz w:val="28"/>
          <w:szCs w:val="28"/>
        </w:rPr>
        <w:t xml:space="preserve">світлоклітинного НКР низького від високого </w:t>
      </w:r>
      <w:r w:rsidR="00B02037">
        <w:rPr>
          <w:rFonts w:ascii="Times New Roman" w:hAnsi="Times New Roman" w:cs="Times New Roman"/>
          <w:color w:val="000000" w:themeColor="text1"/>
          <w:sz w:val="28"/>
          <w:szCs w:val="28"/>
        </w:rPr>
        <w:t>ступеня</w:t>
      </w:r>
      <w:r w:rsidRPr="009F264C">
        <w:rPr>
          <w:rFonts w:ascii="Times New Roman" w:hAnsi="Times New Roman" w:cs="Times New Roman"/>
          <w:color w:val="000000" w:themeColor="text1"/>
          <w:sz w:val="28"/>
          <w:szCs w:val="28"/>
        </w:rPr>
        <w:t xml:space="preserve"> за </w:t>
      </w:r>
      <w:r w:rsidRPr="009F264C">
        <w:rPr>
          <w:rFonts w:ascii="Times New Roman" w:hAnsi="Times New Roman" w:cs="Times New Roman"/>
          <w:color w:val="000000" w:themeColor="text1"/>
          <w:sz w:val="28"/>
          <w:szCs w:val="28"/>
          <w:lang w:val="en-US"/>
        </w:rPr>
        <w:t>Fuhrman</w:t>
      </w:r>
      <w:r>
        <w:rPr>
          <w:rFonts w:ascii="Times New Roman" w:hAnsi="Times New Roman" w:cs="Times New Roman"/>
          <w:color w:val="000000" w:themeColor="text1"/>
          <w:sz w:val="28"/>
          <w:szCs w:val="28"/>
        </w:rPr>
        <w:t xml:space="preserve">, які складали відповідно 93,3%, 85,2% та </w:t>
      </w:r>
      <w:r>
        <w:rPr>
          <w:rFonts w:ascii="Times New Roman" w:hAnsi="Times New Roman" w:cs="Times New Roman"/>
          <w:color w:val="000000" w:themeColor="text1"/>
          <w:sz w:val="28"/>
          <w:szCs w:val="28"/>
          <w:lang w:val="en-US"/>
        </w:rPr>
        <w:t>AUC</w:t>
      </w:r>
      <w:r>
        <w:rPr>
          <w:rFonts w:ascii="Times New Roman" w:hAnsi="Times New Roman" w:cs="Times New Roman"/>
          <w:color w:val="000000" w:themeColor="text1"/>
          <w:sz w:val="28"/>
          <w:szCs w:val="28"/>
        </w:rPr>
        <w:t>=0,881 (95% ДІ=0,790-0,971,</w:t>
      </w:r>
      <w:r w:rsidRPr="009F264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р</w:t>
      </w:r>
      <w:r w:rsidRPr="009E6C7E">
        <w:rPr>
          <w:rFonts w:ascii="Times New Roman" w:hAnsi="Times New Roman" w:cs="Times New Roman"/>
          <w:sz w:val="28"/>
          <w:szCs w:val="28"/>
        </w:rPr>
        <w:t>&lt;</w:t>
      </w:r>
      <w:r>
        <w:rPr>
          <w:rFonts w:ascii="Times New Roman" w:hAnsi="Times New Roman" w:cs="Times New Roman"/>
          <w:sz w:val="28"/>
          <w:szCs w:val="28"/>
        </w:rPr>
        <w:t xml:space="preserve">0,001) при пороговому значенні </w:t>
      </w:r>
      <w:r>
        <w:rPr>
          <w:rFonts w:ascii="Times New Roman" w:hAnsi="Times New Roman" w:cs="Times New Roman"/>
          <w:color w:val="000000" w:themeColor="text1"/>
          <w:sz w:val="28"/>
          <w:szCs w:val="28"/>
        </w:rPr>
        <w:t>1,77</w:t>
      </w:r>
      <w:r w:rsidRPr="002521A4">
        <w:rPr>
          <w:rFonts w:ascii="Times New Roman" w:hAnsi="Times New Roman" w:cs="Times New Roman"/>
          <w:sz w:val="28"/>
          <w:szCs w:val="28"/>
        </w:rPr>
        <w:t>×</w:t>
      </w:r>
      <w:r w:rsidRPr="002521A4">
        <w:rPr>
          <w:rFonts w:ascii="Times New Roman" w:hAnsi="Times New Roman"/>
          <w:sz w:val="28"/>
          <w:szCs w:val="28"/>
        </w:rPr>
        <w:t>10</w:t>
      </w:r>
      <w:r w:rsidRPr="002521A4">
        <w:rPr>
          <w:rFonts w:ascii="Times New Roman" w:hAnsi="Times New Roman"/>
          <w:sz w:val="28"/>
          <w:szCs w:val="28"/>
          <w:vertAlign w:val="superscript"/>
        </w:rPr>
        <w:t>-3</w:t>
      </w:r>
      <w:r w:rsidRPr="002521A4">
        <w:rPr>
          <w:rFonts w:ascii="Times New Roman" w:hAnsi="Times New Roman"/>
          <w:sz w:val="28"/>
          <w:szCs w:val="28"/>
        </w:rPr>
        <w:t xml:space="preserve"> мм</w:t>
      </w:r>
      <w:r w:rsidRPr="002521A4">
        <w:rPr>
          <w:rFonts w:ascii="Times New Roman" w:hAnsi="Times New Roman"/>
          <w:sz w:val="28"/>
          <w:szCs w:val="28"/>
          <w:vertAlign w:val="superscript"/>
        </w:rPr>
        <w:t>2</w:t>
      </w:r>
      <w:r w:rsidRPr="002521A4">
        <w:rPr>
          <w:rFonts w:ascii="Times New Roman" w:hAnsi="Times New Roman"/>
          <w:sz w:val="28"/>
          <w:szCs w:val="28"/>
        </w:rPr>
        <w:t>/с</w:t>
      </w:r>
      <w:r>
        <w:rPr>
          <w:rFonts w:ascii="Times New Roman" w:hAnsi="Times New Roman"/>
          <w:sz w:val="28"/>
          <w:szCs w:val="28"/>
        </w:rPr>
        <w:t xml:space="preserve">. Застосування ВКД для </w:t>
      </w:r>
      <w:r w:rsidRPr="009F264C">
        <w:rPr>
          <w:rFonts w:ascii="Times New Roman" w:hAnsi="Times New Roman" w:cs="Times New Roman"/>
          <w:color w:val="000000" w:themeColor="text1"/>
          <w:sz w:val="28"/>
          <w:szCs w:val="28"/>
        </w:rPr>
        <w:t>д</w:t>
      </w:r>
      <w:r>
        <w:rPr>
          <w:rFonts w:ascii="Times New Roman" w:hAnsi="Times New Roman" w:cs="Times New Roman"/>
          <w:color w:val="000000" w:themeColor="text1"/>
          <w:sz w:val="28"/>
          <w:szCs w:val="28"/>
        </w:rPr>
        <w:t>иференціації</w:t>
      </w:r>
      <w:r w:rsidRPr="009F264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w:t>
      </w:r>
      <w:r w:rsidRPr="009F264C">
        <w:rPr>
          <w:rFonts w:ascii="Times New Roman" w:hAnsi="Times New Roman" w:cs="Times New Roman"/>
          <w:color w:val="000000" w:themeColor="text1"/>
          <w:sz w:val="28"/>
          <w:szCs w:val="28"/>
        </w:rPr>
        <w:t xml:space="preserve">НКР низького від високого </w:t>
      </w:r>
      <w:r w:rsidR="00B02037">
        <w:rPr>
          <w:rFonts w:ascii="Times New Roman" w:hAnsi="Times New Roman" w:cs="Times New Roman"/>
          <w:color w:val="000000" w:themeColor="text1"/>
          <w:sz w:val="28"/>
          <w:szCs w:val="28"/>
        </w:rPr>
        <w:t>ступеня</w:t>
      </w:r>
      <w:r w:rsidRPr="009F264C">
        <w:rPr>
          <w:rFonts w:ascii="Times New Roman" w:hAnsi="Times New Roman" w:cs="Times New Roman"/>
          <w:color w:val="000000" w:themeColor="text1"/>
          <w:sz w:val="28"/>
          <w:szCs w:val="28"/>
        </w:rPr>
        <w:t xml:space="preserve"> за </w:t>
      </w:r>
      <w:r w:rsidRPr="009F264C">
        <w:rPr>
          <w:rFonts w:ascii="Times New Roman" w:hAnsi="Times New Roman" w:cs="Times New Roman"/>
          <w:color w:val="000000" w:themeColor="text1"/>
          <w:sz w:val="28"/>
          <w:szCs w:val="28"/>
          <w:lang w:val="en-US"/>
        </w:rPr>
        <w:t>Fuhrman</w:t>
      </w:r>
      <w:r>
        <w:rPr>
          <w:rFonts w:ascii="Times New Roman" w:hAnsi="Times New Roman" w:cs="Times New Roman"/>
          <w:color w:val="000000" w:themeColor="text1"/>
          <w:sz w:val="28"/>
          <w:szCs w:val="28"/>
        </w:rPr>
        <w:t xml:space="preserve"> не продемонструвало задовільної точності (</w:t>
      </w:r>
      <w:r>
        <w:rPr>
          <w:rFonts w:ascii="Times New Roman" w:hAnsi="Times New Roman" w:cs="Times New Roman"/>
          <w:color w:val="000000" w:themeColor="text1"/>
          <w:sz w:val="28"/>
          <w:szCs w:val="28"/>
          <w:lang w:val="en-US"/>
        </w:rPr>
        <w:t>AUC</w:t>
      </w:r>
      <w:r w:rsidRPr="009E6C7E">
        <w:rPr>
          <w:rFonts w:ascii="Times New Roman" w:hAnsi="Times New Roman" w:cs="Times New Roman"/>
          <w:color w:val="000000" w:themeColor="text1"/>
          <w:sz w:val="28"/>
          <w:szCs w:val="28"/>
        </w:rPr>
        <w:t>=</w:t>
      </w:r>
      <w:r w:rsidR="003E6143">
        <w:rPr>
          <w:rFonts w:ascii="Times New Roman" w:hAnsi="Times New Roman" w:cs="Times New Roman"/>
          <w:color w:val="000000" w:themeColor="text1"/>
          <w:sz w:val="28"/>
          <w:szCs w:val="28"/>
        </w:rPr>
        <w:t xml:space="preserve">0,167, р=0,034). </w:t>
      </w:r>
    </w:p>
    <w:p w:rsidR="00FE4D0E" w:rsidRDefault="00FE4D0E" w:rsidP="00FE4D0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Було з’ясовано, що 95% випадків хибно-позитивних та хибно-негативних результатів при диференціації НКР від інших </w:t>
      </w:r>
      <w:r>
        <w:rPr>
          <w:rFonts w:ascii="Times New Roman" w:hAnsi="Times New Roman" w:cs="Times New Roman"/>
          <w:sz w:val="28"/>
          <w:szCs w:val="28"/>
          <w:lang w:val="en-US"/>
        </w:rPr>
        <w:t>SRM</w:t>
      </w:r>
      <w:r>
        <w:rPr>
          <w:rFonts w:ascii="Times New Roman" w:hAnsi="Times New Roman" w:cs="Times New Roman"/>
          <w:sz w:val="28"/>
          <w:szCs w:val="28"/>
        </w:rPr>
        <w:t xml:space="preserve"> як у випадку застосування </w:t>
      </w:r>
      <w:r w:rsidRPr="009E6C7E">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так і при використанні </w:t>
      </w:r>
      <w:r w:rsidRPr="009E6C7E">
        <w:rPr>
          <w:rFonts w:ascii="Times New Roman" w:hAnsi="Times New Roman" w:cs="Times New Roman"/>
          <w:sz w:val="28"/>
          <w:szCs w:val="28"/>
        </w:rPr>
        <w:t>ВКД</w:t>
      </w:r>
      <w:r>
        <w:rPr>
          <w:rFonts w:ascii="Times New Roman" w:hAnsi="Times New Roman" w:cs="Times New Roman"/>
          <w:sz w:val="28"/>
          <w:szCs w:val="28"/>
        </w:rPr>
        <w:t xml:space="preserve"> спостерігались при розмірі новоутворення </w:t>
      </w:r>
      <w:r w:rsidRPr="009E6C7E">
        <w:rPr>
          <w:rFonts w:ascii="Times New Roman" w:hAnsi="Times New Roman" w:cs="Times New Roman"/>
          <w:sz w:val="28"/>
          <w:szCs w:val="28"/>
        </w:rPr>
        <w:t>≤</w:t>
      </w:r>
      <w:r>
        <w:rPr>
          <w:rFonts w:ascii="Times New Roman" w:hAnsi="Times New Roman" w:cs="Times New Roman"/>
          <w:sz w:val="28"/>
          <w:szCs w:val="28"/>
        </w:rPr>
        <w:t xml:space="preserve">2,5 см у найбільшому перерізі (в нашому дослідженні мінімальний розмір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становив 1,95 см у найбільшому перерізі).</w:t>
      </w:r>
    </w:p>
    <w:p w:rsidR="00FE4D0E" w:rsidRPr="003E6143" w:rsidRDefault="00FE4D0E" w:rsidP="003E6143">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Таким чином, серед вивчених потенційних променевих біомаркерів на основі МРТ, найвищу ефективність у диференціації НКР від інших малих новоутворів, гістологічних підтипів НКР та ступенів світлоклітинного НКР </w:t>
      </w:r>
      <w:r w:rsidRPr="0068128C">
        <w:rPr>
          <w:rFonts w:ascii="Times New Roman" w:hAnsi="Times New Roman" w:cs="Times New Roman"/>
          <w:color w:val="000000" w:themeColor="text1"/>
          <w:sz w:val="28"/>
          <w:szCs w:val="28"/>
        </w:rPr>
        <w:t>за</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Fuhrman</w:t>
      </w:r>
      <w:r>
        <w:rPr>
          <w:rFonts w:ascii="Times New Roman" w:hAnsi="Times New Roman" w:cs="Times New Roman"/>
          <w:color w:val="000000" w:themeColor="text1"/>
          <w:sz w:val="28"/>
          <w:szCs w:val="28"/>
        </w:rPr>
        <w:t xml:space="preserve"> мав ВКД, в той час як, </w:t>
      </w:r>
      <w:r>
        <w:rPr>
          <w:rFonts w:ascii="Times New Roman" w:hAnsi="Times New Roman" w:cs="Times New Roman"/>
          <w:color w:val="000000" w:themeColor="text1"/>
          <w:sz w:val="28"/>
          <w:szCs w:val="28"/>
          <w:lang w:val="en-US"/>
        </w:rPr>
        <w:t>IC</w:t>
      </w:r>
      <w:r>
        <w:rPr>
          <w:rFonts w:ascii="Times New Roman" w:hAnsi="Times New Roman" w:cs="Times New Roman"/>
          <w:color w:val="000000" w:themeColor="text1"/>
          <w:sz w:val="28"/>
          <w:szCs w:val="28"/>
          <w:vertAlign w:val="subscript"/>
        </w:rPr>
        <w:t>ДЗЗ</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у всіх випадках </w:t>
      </w:r>
      <w:r w:rsidRPr="0068128C">
        <w:rPr>
          <w:rFonts w:ascii="Times New Roman" w:hAnsi="Times New Roman" w:cs="Times New Roman"/>
          <w:color w:val="000000" w:themeColor="text1"/>
          <w:sz w:val="28"/>
          <w:szCs w:val="28"/>
        </w:rPr>
        <w:t xml:space="preserve">значно поступалась </w:t>
      </w:r>
      <w:r>
        <w:rPr>
          <w:rFonts w:ascii="Times New Roman" w:hAnsi="Times New Roman" w:cs="Times New Roman"/>
          <w:color w:val="000000" w:themeColor="text1"/>
          <w:sz w:val="28"/>
          <w:szCs w:val="28"/>
        </w:rPr>
        <w:t xml:space="preserve">йому </w:t>
      </w:r>
      <w:r w:rsidRPr="0068128C">
        <w:rPr>
          <w:rFonts w:ascii="Times New Roman" w:hAnsi="Times New Roman" w:cs="Times New Roman"/>
          <w:color w:val="000000" w:themeColor="text1"/>
          <w:sz w:val="28"/>
          <w:szCs w:val="28"/>
        </w:rPr>
        <w:t>у</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показниках чутливості, специфічності та точності. Водночас, як </w:t>
      </w:r>
      <w:r>
        <w:rPr>
          <w:rFonts w:ascii="Times New Roman" w:hAnsi="Times New Roman" w:cs="Times New Roman"/>
          <w:color w:val="000000" w:themeColor="text1"/>
          <w:sz w:val="28"/>
          <w:szCs w:val="28"/>
          <w:lang w:val="en-US"/>
        </w:rPr>
        <w:t>IC</w:t>
      </w:r>
      <w:r>
        <w:rPr>
          <w:rFonts w:ascii="Times New Roman" w:hAnsi="Times New Roman" w:cs="Times New Roman"/>
          <w:color w:val="000000" w:themeColor="text1"/>
          <w:sz w:val="28"/>
          <w:szCs w:val="28"/>
          <w:vertAlign w:val="subscript"/>
        </w:rPr>
        <w:t xml:space="preserve">ДЗЗ </w:t>
      </w:r>
      <w:r>
        <w:rPr>
          <w:rFonts w:ascii="Times New Roman" w:hAnsi="Times New Roman" w:cs="Times New Roman"/>
          <w:color w:val="000000" w:themeColor="text1"/>
          <w:sz w:val="28"/>
          <w:szCs w:val="28"/>
        </w:rPr>
        <w:t xml:space="preserve">так і ВКД не дозволяли диференціювати ступені папілярного НКР </w:t>
      </w:r>
      <w:r w:rsidRPr="0068128C">
        <w:rPr>
          <w:rFonts w:ascii="Times New Roman" w:hAnsi="Times New Roman" w:cs="Times New Roman"/>
          <w:color w:val="000000" w:themeColor="text1"/>
          <w:sz w:val="28"/>
          <w:szCs w:val="28"/>
        </w:rPr>
        <w:t>за</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Fuhrman</w:t>
      </w:r>
      <w:r>
        <w:rPr>
          <w:rFonts w:ascii="Times New Roman" w:hAnsi="Times New Roman" w:cs="Times New Roman"/>
          <w:color w:val="000000" w:themeColor="text1"/>
          <w:sz w:val="28"/>
          <w:szCs w:val="28"/>
        </w:rPr>
        <w:t>, а також добро</w:t>
      </w:r>
      <w:r w:rsidR="000C3BC1">
        <w:rPr>
          <w:rFonts w:ascii="Times New Roman" w:hAnsi="Times New Roman" w:cs="Times New Roman"/>
          <w:color w:val="000000" w:themeColor="text1"/>
          <w:sz w:val="28"/>
          <w:szCs w:val="28"/>
        </w:rPr>
        <w:t>якісні пухлини нирок між собою.</w:t>
      </w:r>
      <w:r>
        <w:rPr>
          <w:rFonts w:ascii="Times New Roman" w:hAnsi="Times New Roman" w:cs="Times New Roman"/>
          <w:sz w:val="24"/>
          <w:szCs w:val="24"/>
        </w:rPr>
        <w:tab/>
      </w:r>
    </w:p>
    <w:p w:rsidR="00FE4D0E" w:rsidRPr="00B230F6" w:rsidRDefault="00FE4D0E" w:rsidP="003E6143">
      <w:pPr>
        <w:autoSpaceDE w:val="0"/>
        <w:autoSpaceDN w:val="0"/>
        <w:adjustRightInd w:val="0"/>
        <w:spacing w:after="0" w:line="360" w:lineRule="auto"/>
        <w:ind w:firstLine="708"/>
        <w:rPr>
          <w:rFonts w:ascii="Times New Roman" w:hAnsi="Times New Roman" w:cs="Times New Roman"/>
          <w:sz w:val="28"/>
          <w:szCs w:val="28"/>
        </w:rPr>
      </w:pPr>
      <w:r w:rsidRPr="00B230F6">
        <w:rPr>
          <w:rFonts w:ascii="Times New Roman" w:hAnsi="Times New Roman" w:cs="Times New Roman"/>
          <w:sz w:val="28"/>
          <w:szCs w:val="28"/>
        </w:rPr>
        <w:t xml:space="preserve">Далі наводимо </w:t>
      </w:r>
      <w:r>
        <w:rPr>
          <w:rFonts w:ascii="Times New Roman" w:hAnsi="Times New Roman" w:cs="Times New Roman"/>
          <w:sz w:val="28"/>
          <w:szCs w:val="28"/>
        </w:rPr>
        <w:t xml:space="preserve">ілюстрації застосування дифузійно-зважених зображень МРТ та вимірюваного коефіцієнта дифузії при диференціації малих ниркових новоутворень, отримані в ході </w:t>
      </w:r>
      <w:r w:rsidR="003E6143">
        <w:rPr>
          <w:rFonts w:ascii="Times New Roman" w:hAnsi="Times New Roman" w:cs="Times New Roman"/>
          <w:sz w:val="28"/>
          <w:szCs w:val="28"/>
        </w:rPr>
        <w:t>нашого дослідження (рисунки 3.16, 3.17</w:t>
      </w:r>
      <w:r>
        <w:rPr>
          <w:rFonts w:ascii="Times New Roman" w:hAnsi="Times New Roman" w:cs="Times New Roman"/>
          <w:sz w:val="28"/>
          <w:szCs w:val="28"/>
        </w:rPr>
        <w:t>).</w:t>
      </w:r>
    </w:p>
    <w:p w:rsidR="00FE4D0E" w:rsidRDefault="00FE4D0E" w:rsidP="00FE4D0E">
      <w:pPr>
        <w:autoSpaceDE w:val="0"/>
        <w:autoSpaceDN w:val="0"/>
        <w:adjustRightInd w:val="0"/>
        <w:spacing w:after="0" w:line="400" w:lineRule="atLeast"/>
        <w:ind w:left="-142"/>
        <w:jc w:val="center"/>
        <w:rPr>
          <w:rFonts w:ascii="Times New Roman" w:hAnsi="Times New Roman" w:cs="Times New Roman"/>
          <w:sz w:val="24"/>
          <w:szCs w:val="24"/>
        </w:rPr>
      </w:pPr>
      <w:r w:rsidRPr="00BD4862">
        <w:rPr>
          <w:rFonts w:cs="Times New Roman"/>
          <w:b/>
          <w:bCs/>
          <w:noProof/>
          <w:sz w:val="28"/>
          <w:szCs w:val="28"/>
          <w:lang w:val="en-US"/>
        </w:rPr>
        <w:lastRenderedPageBreak/>
        <w:drawing>
          <wp:inline distT="0" distB="0" distL="0" distR="0" wp14:anchorId="7933940A" wp14:editId="4AC3457C">
            <wp:extent cx="1980000" cy="1980000"/>
            <wp:effectExtent l="0" t="0" r="1270" b="127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tif"/>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980000" cy="1980000"/>
                    </a:xfrm>
                    <a:prstGeom prst="rect">
                      <a:avLst/>
                    </a:prstGeom>
                  </pic:spPr>
                </pic:pic>
              </a:graphicData>
            </a:graphic>
          </wp:inline>
        </w:drawing>
      </w:r>
      <w:r w:rsidRPr="00BD4862">
        <w:rPr>
          <w:rFonts w:cs="Times New Roman"/>
          <w:b/>
          <w:bCs/>
          <w:noProof/>
          <w:sz w:val="28"/>
          <w:szCs w:val="28"/>
          <w:lang w:val="en-US"/>
        </w:rPr>
        <w:drawing>
          <wp:inline distT="0" distB="0" distL="0" distR="0" wp14:anchorId="404D77A5" wp14:editId="76F3C75C">
            <wp:extent cx="1980000" cy="1980000"/>
            <wp:effectExtent l="0" t="0" r="1270" b="127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tif"/>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980000" cy="1980000"/>
                    </a:xfrm>
                    <a:prstGeom prst="rect">
                      <a:avLst/>
                    </a:prstGeom>
                  </pic:spPr>
                </pic:pic>
              </a:graphicData>
            </a:graphic>
          </wp:inline>
        </w:drawing>
      </w:r>
      <w:r w:rsidRPr="00BD4862">
        <w:rPr>
          <w:rFonts w:cs="Times New Roman"/>
          <w:b/>
          <w:bCs/>
          <w:noProof/>
          <w:sz w:val="28"/>
          <w:szCs w:val="28"/>
          <w:lang w:val="en-US"/>
        </w:rPr>
        <w:drawing>
          <wp:inline distT="0" distB="0" distL="0" distR="0" wp14:anchorId="01340D23" wp14:editId="44E89CCE">
            <wp:extent cx="1980000" cy="1980000"/>
            <wp:effectExtent l="0" t="0" r="1270" b="127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if"/>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980000" cy="1980000"/>
                    </a:xfrm>
                    <a:prstGeom prst="rect">
                      <a:avLst/>
                    </a:prstGeom>
                  </pic:spPr>
                </pic:pic>
              </a:graphicData>
            </a:graphic>
          </wp:inline>
        </w:drawing>
      </w:r>
    </w:p>
    <w:p w:rsidR="00FE4D0E" w:rsidRDefault="00FE4D0E" w:rsidP="00FE4D0E">
      <w:pPr>
        <w:autoSpaceDE w:val="0"/>
        <w:autoSpaceDN w:val="0"/>
        <w:adjustRightInd w:val="0"/>
        <w:spacing w:after="0" w:line="400" w:lineRule="atLeast"/>
        <w:jc w:val="center"/>
        <w:rPr>
          <w:rFonts w:ascii="Times New Roman" w:hAnsi="Times New Roman" w:cs="Times New Roman"/>
          <w:sz w:val="24"/>
          <w:szCs w:val="24"/>
        </w:rPr>
      </w:pPr>
      <w:r w:rsidRPr="00BD4862">
        <w:rPr>
          <w:rFonts w:cs="Times New Roman"/>
          <w:b/>
          <w:bCs/>
          <w:noProof/>
          <w:sz w:val="28"/>
          <w:szCs w:val="28"/>
          <w:lang w:val="en-US"/>
        </w:rPr>
        <w:drawing>
          <wp:inline distT="0" distB="0" distL="0" distR="0" wp14:anchorId="2AD4614E" wp14:editId="30A5C3CE">
            <wp:extent cx="2771775" cy="2771775"/>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tif"/>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72123" cy="2772123"/>
                    </a:xfrm>
                    <a:prstGeom prst="rect">
                      <a:avLst/>
                    </a:prstGeom>
                  </pic:spPr>
                </pic:pic>
              </a:graphicData>
            </a:graphic>
          </wp:inline>
        </w:drawing>
      </w:r>
      <w:r>
        <w:rPr>
          <w:rFonts w:ascii="Times New Roman" w:hAnsi="Times New Roman" w:cs="Times New Roman"/>
          <w:noProof/>
          <w:sz w:val="24"/>
          <w:szCs w:val="24"/>
          <w:lang w:val="en-US"/>
        </w:rPr>
        <w:drawing>
          <wp:inline distT="0" distB="0" distL="0" distR="0" wp14:anchorId="625580D6" wp14:editId="053C8B21">
            <wp:extent cx="2771775" cy="2771775"/>
            <wp:effectExtent l="0" t="0" r="9525" b="952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Untitled-1.jpg"/>
                    <pic:cNvPicPr/>
                  </pic:nvPicPr>
                  <pic:blipFill>
                    <a:blip r:embed="rId38">
                      <a:extLst>
                        <a:ext uri="{28A0092B-C50C-407E-A947-70E740481C1C}">
                          <a14:useLocalDpi xmlns:a14="http://schemas.microsoft.com/office/drawing/2010/main" val="0"/>
                        </a:ext>
                      </a:extLst>
                    </a:blip>
                    <a:stretch>
                      <a:fillRect/>
                    </a:stretch>
                  </pic:blipFill>
                  <pic:spPr>
                    <a:xfrm>
                      <a:off x="0" y="0"/>
                      <a:ext cx="2771775" cy="2771775"/>
                    </a:xfrm>
                    <a:prstGeom prst="rect">
                      <a:avLst/>
                    </a:prstGeom>
                  </pic:spPr>
                </pic:pic>
              </a:graphicData>
            </a:graphic>
          </wp:inline>
        </w:drawing>
      </w:r>
    </w:p>
    <w:p w:rsidR="00FE4D0E" w:rsidRDefault="00FE4D0E" w:rsidP="00FE4D0E">
      <w:pPr>
        <w:autoSpaceDE w:val="0"/>
        <w:autoSpaceDN w:val="0"/>
        <w:adjustRightInd w:val="0"/>
        <w:spacing w:after="0" w:line="276" w:lineRule="auto"/>
        <w:rPr>
          <w:rFonts w:ascii="Times New Roman" w:hAnsi="Times New Roman" w:cs="Times New Roman"/>
          <w:sz w:val="24"/>
          <w:szCs w:val="24"/>
        </w:rPr>
      </w:pPr>
    </w:p>
    <w:p w:rsidR="00FE4D0E" w:rsidRPr="00423DA8" w:rsidRDefault="003E6143" w:rsidP="003E3164">
      <w:pPr>
        <w:autoSpaceDE w:val="0"/>
        <w:autoSpaceDN w:val="0"/>
        <w:adjustRightInd w:val="0"/>
        <w:spacing w:after="0" w:line="312" w:lineRule="auto"/>
        <w:jc w:val="both"/>
        <w:rPr>
          <w:rFonts w:ascii="Times New Roman" w:hAnsi="Times New Roman" w:cs="Times New Roman"/>
          <w:bCs/>
          <w:sz w:val="28"/>
          <w:szCs w:val="28"/>
        </w:rPr>
      </w:pPr>
      <w:r>
        <w:rPr>
          <w:rFonts w:ascii="Times New Roman" w:hAnsi="Times New Roman" w:cs="Times New Roman"/>
          <w:sz w:val="28"/>
          <w:szCs w:val="28"/>
        </w:rPr>
        <w:t>Рис. 3.16</w:t>
      </w:r>
      <w:r w:rsidR="00FE4D0E" w:rsidRPr="008C5984">
        <w:rPr>
          <w:rFonts w:ascii="Times New Roman" w:hAnsi="Times New Roman" w:cs="Times New Roman"/>
          <w:sz w:val="28"/>
          <w:szCs w:val="28"/>
        </w:rPr>
        <w:t xml:space="preserve">. </w:t>
      </w:r>
      <w:r w:rsidR="00FE4D0E" w:rsidRPr="008C5984">
        <w:rPr>
          <w:rFonts w:ascii="Times New Roman" w:hAnsi="Times New Roman" w:cs="Times New Roman"/>
          <w:bCs/>
          <w:sz w:val="28"/>
          <w:szCs w:val="28"/>
        </w:rPr>
        <w:t>Результат</w:t>
      </w:r>
      <w:r w:rsidR="00FE4D0E" w:rsidRPr="008C5984">
        <w:rPr>
          <w:rFonts w:ascii="Times New Roman" w:hAnsi="Times New Roman" w:cs="Times New Roman"/>
          <w:b/>
          <w:bCs/>
          <w:sz w:val="28"/>
          <w:szCs w:val="28"/>
        </w:rPr>
        <w:t xml:space="preserve"> </w:t>
      </w:r>
      <w:r w:rsidR="00FE4D0E">
        <w:rPr>
          <w:rFonts w:ascii="Times New Roman" w:hAnsi="Times New Roman" w:cs="Times New Roman"/>
          <w:bCs/>
          <w:sz w:val="28"/>
          <w:szCs w:val="28"/>
        </w:rPr>
        <w:t>МРТ-</w:t>
      </w:r>
      <w:r w:rsidR="00FE4D0E" w:rsidRPr="008C5984">
        <w:rPr>
          <w:rFonts w:ascii="Times New Roman" w:hAnsi="Times New Roman" w:cs="Times New Roman"/>
          <w:bCs/>
          <w:sz w:val="28"/>
          <w:szCs w:val="28"/>
        </w:rPr>
        <w:t>дослідження</w:t>
      </w:r>
      <w:r w:rsidR="00FE4D0E" w:rsidRPr="008C5984">
        <w:rPr>
          <w:rFonts w:ascii="Times New Roman" w:hAnsi="Times New Roman" w:cs="Times New Roman"/>
          <w:b/>
          <w:bCs/>
          <w:sz w:val="28"/>
          <w:szCs w:val="28"/>
        </w:rPr>
        <w:t xml:space="preserve"> </w:t>
      </w:r>
      <w:r w:rsidR="00FE4D0E" w:rsidRPr="008C5984">
        <w:rPr>
          <w:rFonts w:ascii="Times New Roman" w:hAnsi="Times New Roman" w:cs="Times New Roman"/>
          <w:bCs/>
          <w:sz w:val="28"/>
          <w:szCs w:val="28"/>
        </w:rPr>
        <w:t xml:space="preserve">хворого П., 52 р., </w:t>
      </w:r>
      <w:r w:rsidR="00FE4D0E">
        <w:rPr>
          <w:rFonts w:ascii="Times New Roman" w:hAnsi="Times New Roman" w:cs="Times New Roman"/>
          <w:bCs/>
          <w:sz w:val="28"/>
          <w:szCs w:val="28"/>
        </w:rPr>
        <w:t>SRM верхнього сегменту правої нирки розміром 2,2х2,1х2,1 см (</w:t>
      </w:r>
      <w:r w:rsidR="00FE4D0E">
        <w:rPr>
          <w:rFonts w:ascii="Times New Roman" w:hAnsi="Times New Roman" w:cs="Times New Roman"/>
          <w:color w:val="131413"/>
          <w:sz w:val="28"/>
          <w:szCs w:val="28"/>
        </w:rPr>
        <w:t>стрілки).</w:t>
      </w:r>
      <w:r w:rsidR="00FE4D0E" w:rsidRPr="008C5984">
        <w:rPr>
          <w:rFonts w:ascii="Times New Roman" w:hAnsi="Times New Roman" w:cs="Times New Roman"/>
          <w:color w:val="131413"/>
          <w:sz w:val="28"/>
          <w:szCs w:val="28"/>
        </w:rPr>
        <w:t xml:space="preserve"> А: на </w:t>
      </w:r>
      <w:r w:rsidR="00FE4D0E" w:rsidRPr="008C5984">
        <w:rPr>
          <w:rFonts w:ascii="Times New Roman" w:hAnsi="Times New Roman" w:cs="Times New Roman"/>
          <w:bCs/>
          <w:sz w:val="28"/>
          <w:szCs w:val="28"/>
        </w:rPr>
        <w:t xml:space="preserve">корональному </w:t>
      </w:r>
      <w:r w:rsidR="00FE4D0E" w:rsidRPr="008C5984">
        <w:rPr>
          <w:rFonts w:ascii="Times New Roman" w:hAnsi="Times New Roman" w:cs="Times New Roman"/>
          <w:bCs/>
          <w:sz w:val="28"/>
          <w:szCs w:val="28"/>
          <w:lang w:val="en-US"/>
        </w:rPr>
        <w:t>T</w:t>
      </w:r>
      <w:r w:rsidR="00FE4D0E" w:rsidRPr="008C5984">
        <w:rPr>
          <w:rFonts w:ascii="Times New Roman" w:hAnsi="Times New Roman" w:cs="Times New Roman"/>
          <w:bCs/>
          <w:sz w:val="28"/>
          <w:szCs w:val="28"/>
        </w:rPr>
        <w:t xml:space="preserve">2-зваженому зображенні в режимі </w:t>
      </w:r>
      <w:r w:rsidR="00FE4D0E" w:rsidRPr="008C5984">
        <w:rPr>
          <w:rFonts w:ascii="Times New Roman" w:hAnsi="Times New Roman" w:cs="Times New Roman"/>
          <w:sz w:val="28"/>
          <w:szCs w:val="28"/>
          <w:lang w:val="en-US"/>
        </w:rPr>
        <w:t>SSFSE</w:t>
      </w:r>
      <w:r w:rsidR="00FE4D0E" w:rsidRPr="008C5984">
        <w:rPr>
          <w:rFonts w:ascii="Times New Roman" w:hAnsi="Times New Roman" w:cs="Times New Roman"/>
          <w:sz w:val="28"/>
          <w:szCs w:val="28"/>
        </w:rPr>
        <w:t xml:space="preserve"> пухлина у верхній третині правої нирки, має негомогенний ізо- та гіперінтенсивний сигнал, без ознак інвазії паранефральної клітковини; Б: </w:t>
      </w:r>
      <w:r w:rsidR="00FE4D0E" w:rsidRPr="008C5984">
        <w:rPr>
          <w:rFonts w:ascii="Times New Roman" w:hAnsi="Times New Roman" w:cs="Times New Roman"/>
          <w:bCs/>
          <w:sz w:val="28"/>
          <w:szCs w:val="28"/>
        </w:rPr>
        <w:t>осьове 2</w:t>
      </w:r>
      <w:r w:rsidR="00FE4D0E" w:rsidRPr="008C5984">
        <w:rPr>
          <w:rFonts w:ascii="Times New Roman" w:hAnsi="Times New Roman" w:cs="Times New Roman"/>
          <w:bCs/>
          <w:sz w:val="28"/>
          <w:szCs w:val="28"/>
          <w:lang w:val="en-US"/>
        </w:rPr>
        <w:t>D</w:t>
      </w:r>
      <w:r w:rsidR="00FE4D0E" w:rsidRPr="008C5984">
        <w:rPr>
          <w:rFonts w:ascii="Times New Roman" w:hAnsi="Times New Roman" w:cs="Times New Roman"/>
          <w:bCs/>
          <w:sz w:val="28"/>
          <w:szCs w:val="28"/>
        </w:rPr>
        <w:t xml:space="preserve"> швидке зображення з використанням жирового насичення </w:t>
      </w:r>
      <w:r w:rsidR="00FE4D0E" w:rsidRPr="008C5984">
        <w:rPr>
          <w:rFonts w:ascii="Times New Roman" w:hAnsi="Times New Roman" w:cs="Times New Roman"/>
          <w:sz w:val="28"/>
          <w:szCs w:val="28"/>
          <w:lang w:val="en-US"/>
        </w:rPr>
        <w:t>FIESTA</w:t>
      </w:r>
      <w:r w:rsidR="00FE4D0E" w:rsidRPr="008C5984">
        <w:rPr>
          <w:rFonts w:ascii="Times New Roman" w:hAnsi="Times New Roman" w:cs="Times New Roman"/>
          <w:sz w:val="28"/>
          <w:szCs w:val="28"/>
        </w:rPr>
        <w:t xml:space="preserve"> </w:t>
      </w:r>
      <w:r w:rsidR="00FE4D0E" w:rsidRPr="008C5984">
        <w:rPr>
          <w:rFonts w:ascii="Times New Roman" w:hAnsi="Times New Roman" w:cs="Times New Roman"/>
          <w:sz w:val="28"/>
          <w:szCs w:val="28"/>
          <w:lang w:val="en-US"/>
        </w:rPr>
        <w:t>FAT</w:t>
      </w:r>
      <w:r w:rsidR="00FE4D0E" w:rsidRPr="008C5984">
        <w:rPr>
          <w:rFonts w:ascii="Times New Roman" w:hAnsi="Times New Roman" w:cs="Times New Roman"/>
          <w:sz w:val="28"/>
          <w:szCs w:val="28"/>
        </w:rPr>
        <w:t xml:space="preserve"> </w:t>
      </w:r>
      <w:r w:rsidR="00FE4D0E" w:rsidRPr="008C5984">
        <w:rPr>
          <w:rFonts w:ascii="Times New Roman" w:hAnsi="Times New Roman" w:cs="Times New Roman"/>
          <w:sz w:val="28"/>
          <w:szCs w:val="28"/>
          <w:lang w:val="en-US"/>
        </w:rPr>
        <w:t>SAT</w:t>
      </w:r>
      <w:r w:rsidR="00FE4D0E" w:rsidRPr="008C5984">
        <w:rPr>
          <w:rFonts w:ascii="Times New Roman" w:hAnsi="Times New Roman" w:cs="Times New Roman"/>
          <w:bCs/>
          <w:sz w:val="28"/>
          <w:szCs w:val="28"/>
        </w:rPr>
        <w:t>, пухлина деформує задній контур правої нирки, має гіперінтенсивний сигнал; В: осьове Т1-зважене швидке градієнтне повторюване подвійне ехо</w:t>
      </w:r>
      <w:r w:rsidR="00FE4D0E" w:rsidRPr="008C5984">
        <w:rPr>
          <w:rFonts w:ascii="Times New Roman" w:hAnsi="Times New Roman" w:cs="Times New Roman"/>
          <w:sz w:val="28"/>
          <w:szCs w:val="28"/>
        </w:rPr>
        <w:t xml:space="preserve"> в режимі </w:t>
      </w:r>
      <w:r w:rsidR="00FE4D0E" w:rsidRPr="008C5984">
        <w:rPr>
          <w:rFonts w:ascii="Times New Roman" w:hAnsi="Times New Roman" w:cs="Times New Roman"/>
          <w:sz w:val="28"/>
          <w:szCs w:val="28"/>
          <w:lang w:val="en-US"/>
        </w:rPr>
        <w:t>FSPGR</w:t>
      </w:r>
      <w:r w:rsidR="00FE4D0E" w:rsidRPr="008C5984">
        <w:rPr>
          <w:rFonts w:ascii="Times New Roman" w:hAnsi="Times New Roman" w:cs="Times New Roman"/>
          <w:sz w:val="28"/>
          <w:szCs w:val="28"/>
        </w:rPr>
        <w:t>-</w:t>
      </w:r>
      <w:r w:rsidR="00FE4D0E" w:rsidRPr="008C5984">
        <w:rPr>
          <w:rFonts w:ascii="Times New Roman" w:hAnsi="Times New Roman" w:cs="Times New Roman"/>
          <w:sz w:val="28"/>
          <w:szCs w:val="28"/>
          <w:lang w:val="en-US"/>
        </w:rPr>
        <w:t>DE</w:t>
      </w:r>
      <w:r w:rsidR="00FE4D0E" w:rsidRPr="008C5984">
        <w:rPr>
          <w:rFonts w:ascii="Times New Roman" w:hAnsi="Times New Roman" w:cs="Times New Roman"/>
          <w:sz w:val="28"/>
          <w:szCs w:val="28"/>
        </w:rPr>
        <w:t>, ділянка пухлини є гіпоінтенсивною; Г:</w:t>
      </w:r>
      <w:r w:rsidR="00FE4D0E">
        <w:rPr>
          <w:rFonts w:ascii="Times New Roman" w:hAnsi="Times New Roman" w:cs="Times New Roman"/>
          <w:sz w:val="28"/>
          <w:szCs w:val="28"/>
        </w:rPr>
        <w:t xml:space="preserve"> дифузійно-зважене зображення, b</w:t>
      </w:r>
      <w:r w:rsidR="00FE4D0E" w:rsidRPr="008C5984">
        <w:rPr>
          <w:rFonts w:ascii="Times New Roman" w:hAnsi="Times New Roman" w:cs="Times New Roman"/>
          <w:sz w:val="28"/>
          <w:szCs w:val="28"/>
        </w:rPr>
        <w:t>-</w:t>
      </w:r>
      <w:r w:rsidR="00FE4D0E">
        <w:rPr>
          <w:rFonts w:ascii="Times New Roman" w:hAnsi="Times New Roman" w:cs="Times New Roman"/>
          <w:sz w:val="28"/>
          <w:szCs w:val="28"/>
        </w:rPr>
        <w:t xml:space="preserve">значення=0 та </w:t>
      </w:r>
      <w:r w:rsidR="00FE4D0E" w:rsidRPr="008C5984">
        <w:rPr>
          <w:rFonts w:ascii="Times New Roman" w:hAnsi="Times New Roman" w:cs="Times New Roman"/>
          <w:sz w:val="28"/>
          <w:szCs w:val="28"/>
        </w:rPr>
        <w:t>800 мм</w:t>
      </w:r>
      <w:r w:rsidR="00FE4D0E" w:rsidRPr="008C5984">
        <w:rPr>
          <w:rFonts w:ascii="Times New Roman" w:hAnsi="Times New Roman" w:cs="Times New Roman"/>
          <w:sz w:val="28"/>
          <w:szCs w:val="28"/>
          <w:vertAlign w:val="superscript"/>
        </w:rPr>
        <w:t>2</w:t>
      </w:r>
      <w:r w:rsidR="00FE4D0E" w:rsidRPr="008C5984">
        <w:rPr>
          <w:rFonts w:ascii="Times New Roman" w:hAnsi="Times New Roman" w:cs="Times New Roman"/>
          <w:sz w:val="28"/>
          <w:szCs w:val="28"/>
        </w:rPr>
        <w:t>/с,  ділянка пухлини є виражено гіперінтенсивною</w:t>
      </w:r>
      <w:r w:rsidR="00FE4D0E">
        <w:rPr>
          <w:rFonts w:ascii="Times New Roman" w:hAnsi="Times New Roman" w:cs="Times New Roman"/>
          <w:sz w:val="28"/>
          <w:szCs w:val="28"/>
        </w:rPr>
        <w:t xml:space="preserve"> над якою </w:t>
      </w:r>
      <w:r w:rsidR="00FE4D0E">
        <w:rPr>
          <w:rFonts w:ascii="Times New Roman" w:hAnsi="Times New Roman" w:cs="Times New Roman"/>
          <w:sz w:val="28"/>
          <w:szCs w:val="28"/>
          <w:lang w:val="en-US"/>
        </w:rPr>
        <w:t>IC</w:t>
      </w:r>
      <w:r w:rsidR="00FE4D0E">
        <w:rPr>
          <w:rFonts w:ascii="Times New Roman" w:hAnsi="Times New Roman" w:cs="Times New Roman"/>
          <w:sz w:val="28"/>
          <w:szCs w:val="28"/>
          <w:vertAlign w:val="subscript"/>
        </w:rPr>
        <w:t>ДЗЗ</w:t>
      </w:r>
      <w:r w:rsidR="00FE4D0E">
        <w:rPr>
          <w:rFonts w:ascii="Times New Roman" w:hAnsi="Times New Roman" w:cs="Times New Roman"/>
          <w:sz w:val="28"/>
          <w:szCs w:val="28"/>
        </w:rPr>
        <w:t>=109,23</w:t>
      </w:r>
      <w:r w:rsidR="00FE4D0E" w:rsidRPr="008C5984">
        <w:rPr>
          <w:rFonts w:ascii="Times New Roman" w:hAnsi="Times New Roman" w:cs="Times New Roman"/>
          <w:sz w:val="28"/>
          <w:szCs w:val="28"/>
        </w:rPr>
        <w:t xml:space="preserve">; Д: ВКД-карта, значення ВКД у зоні зацікавлення над пухлиною становило </w:t>
      </w:r>
      <w:r w:rsidR="00FE4D0E">
        <w:rPr>
          <w:rFonts w:ascii="Times New Roman" w:hAnsi="Times New Roman" w:cs="Times New Roman"/>
          <w:sz w:val="28"/>
          <w:szCs w:val="28"/>
        </w:rPr>
        <w:t>1,73</w:t>
      </w:r>
      <w:r w:rsidR="00FE4D0E" w:rsidRPr="008C5984">
        <w:rPr>
          <w:rFonts w:ascii="Times New Roman" w:hAnsi="Times New Roman" w:cs="Times New Roman"/>
          <w:bCs/>
          <w:sz w:val="28"/>
          <w:szCs w:val="28"/>
        </w:rPr>
        <w:t>×10</w:t>
      </w:r>
      <w:r w:rsidR="00FE4D0E" w:rsidRPr="008C5984">
        <w:rPr>
          <w:rFonts w:ascii="Times New Roman" w:hAnsi="Times New Roman" w:cs="Times New Roman"/>
          <w:bCs/>
          <w:sz w:val="28"/>
          <w:szCs w:val="28"/>
          <w:vertAlign w:val="superscript"/>
        </w:rPr>
        <w:t>−3</w:t>
      </w:r>
      <w:r w:rsidR="00FE4D0E" w:rsidRPr="008C5984">
        <w:rPr>
          <w:rFonts w:ascii="Times New Roman" w:hAnsi="Times New Roman" w:cs="Times New Roman"/>
          <w:bCs/>
          <w:sz w:val="28"/>
          <w:szCs w:val="28"/>
        </w:rPr>
        <w:t xml:space="preserve"> мм</w:t>
      </w:r>
      <w:r w:rsidR="00FE4D0E" w:rsidRPr="008C5984">
        <w:rPr>
          <w:rFonts w:ascii="Times New Roman" w:hAnsi="Times New Roman" w:cs="Times New Roman"/>
          <w:bCs/>
          <w:sz w:val="28"/>
          <w:szCs w:val="28"/>
          <w:vertAlign w:val="superscript"/>
        </w:rPr>
        <w:t>2</w:t>
      </w:r>
      <w:r w:rsidR="00FE4D0E" w:rsidRPr="008C5984">
        <w:rPr>
          <w:rFonts w:ascii="Times New Roman" w:hAnsi="Times New Roman" w:cs="Times New Roman"/>
          <w:bCs/>
          <w:sz w:val="28"/>
          <w:szCs w:val="28"/>
        </w:rPr>
        <w:t xml:space="preserve">/с та над ділянкою неураженої  ниркової паренхіми контрлатеральної нирки </w:t>
      </w:r>
      <w:r w:rsidR="00FE4D0E">
        <w:rPr>
          <w:rFonts w:ascii="Times New Roman" w:hAnsi="Times New Roman" w:cs="Times New Roman"/>
          <w:bCs/>
          <w:sz w:val="28"/>
          <w:szCs w:val="28"/>
        </w:rPr>
        <w:t>–</w:t>
      </w:r>
      <w:r w:rsidR="00FE4D0E" w:rsidRPr="008C5984">
        <w:rPr>
          <w:rFonts w:ascii="Times New Roman" w:hAnsi="Times New Roman" w:cs="Times New Roman"/>
          <w:bCs/>
          <w:sz w:val="28"/>
          <w:szCs w:val="28"/>
        </w:rPr>
        <w:t xml:space="preserve"> </w:t>
      </w:r>
      <w:r w:rsidR="00FE4D0E" w:rsidRPr="008C5984">
        <w:rPr>
          <w:rFonts w:ascii="Times New Roman" w:hAnsi="Times New Roman" w:cs="Times New Roman"/>
          <w:sz w:val="28"/>
          <w:szCs w:val="28"/>
        </w:rPr>
        <w:t>2</w:t>
      </w:r>
      <w:r w:rsidR="00FE4D0E">
        <w:rPr>
          <w:rFonts w:ascii="Times New Roman" w:hAnsi="Times New Roman" w:cs="Times New Roman"/>
          <w:sz w:val="28"/>
          <w:szCs w:val="28"/>
        </w:rPr>
        <w:t>,57</w:t>
      </w:r>
      <w:r w:rsidR="00FE4D0E" w:rsidRPr="008C5984">
        <w:rPr>
          <w:rFonts w:ascii="Times New Roman" w:hAnsi="Times New Roman" w:cs="Times New Roman"/>
          <w:bCs/>
          <w:sz w:val="28"/>
          <w:szCs w:val="28"/>
        </w:rPr>
        <w:t>×10</w:t>
      </w:r>
      <w:r w:rsidR="00FE4D0E" w:rsidRPr="008C5984">
        <w:rPr>
          <w:rFonts w:ascii="Times New Roman" w:hAnsi="Times New Roman" w:cs="Times New Roman"/>
          <w:bCs/>
          <w:sz w:val="28"/>
          <w:szCs w:val="28"/>
          <w:vertAlign w:val="superscript"/>
        </w:rPr>
        <w:t>−3</w:t>
      </w:r>
      <w:r w:rsidR="00FE4D0E" w:rsidRPr="008C5984">
        <w:rPr>
          <w:rFonts w:ascii="Times New Roman" w:hAnsi="Times New Roman" w:cs="Times New Roman"/>
          <w:bCs/>
          <w:sz w:val="28"/>
          <w:szCs w:val="28"/>
        </w:rPr>
        <w:t xml:space="preserve"> мм</w:t>
      </w:r>
      <w:r w:rsidR="00FE4D0E" w:rsidRPr="008C5984">
        <w:rPr>
          <w:rFonts w:ascii="Times New Roman" w:hAnsi="Times New Roman" w:cs="Times New Roman"/>
          <w:bCs/>
          <w:sz w:val="28"/>
          <w:szCs w:val="28"/>
          <w:vertAlign w:val="superscript"/>
        </w:rPr>
        <w:t>2</w:t>
      </w:r>
      <w:r w:rsidR="00FE4D0E" w:rsidRPr="008C5984">
        <w:rPr>
          <w:rFonts w:ascii="Times New Roman" w:hAnsi="Times New Roman" w:cs="Times New Roman"/>
          <w:bCs/>
          <w:sz w:val="28"/>
          <w:szCs w:val="28"/>
        </w:rPr>
        <w:t>/с.</w:t>
      </w:r>
      <w:r w:rsidR="00FE4D0E">
        <w:rPr>
          <w:rFonts w:ascii="Times New Roman" w:hAnsi="Times New Roman" w:cs="Times New Roman"/>
          <w:bCs/>
          <w:sz w:val="28"/>
          <w:szCs w:val="28"/>
        </w:rPr>
        <w:t xml:space="preserve"> Хворому виконана парціальна нефректомія. П</w:t>
      </w:r>
      <w:r w:rsidR="00FE4D0E" w:rsidRPr="008C5984">
        <w:rPr>
          <w:rFonts w:ascii="Times New Roman" w:hAnsi="Times New Roman" w:cs="Times New Roman"/>
          <w:bCs/>
          <w:sz w:val="28"/>
          <w:szCs w:val="28"/>
        </w:rPr>
        <w:t xml:space="preserve">атоморфологічне заключення: скНКР правої нирки, </w:t>
      </w:r>
      <w:r w:rsidR="00FE4D0E">
        <w:rPr>
          <w:rFonts w:ascii="Times New Roman" w:hAnsi="Times New Roman" w:cs="Times New Roman"/>
          <w:bCs/>
          <w:sz w:val="28"/>
          <w:szCs w:val="28"/>
        </w:rPr>
        <w:t>Т1а</w:t>
      </w:r>
      <w:r w:rsidR="00FE4D0E">
        <w:rPr>
          <w:rFonts w:ascii="Times New Roman" w:hAnsi="Times New Roman" w:cs="Times New Roman"/>
          <w:bCs/>
          <w:sz w:val="28"/>
          <w:szCs w:val="28"/>
          <w:lang w:val="en-US"/>
        </w:rPr>
        <w:t>N</w:t>
      </w:r>
      <w:r w:rsidR="00FE4D0E" w:rsidRPr="009E6C7E">
        <w:rPr>
          <w:rFonts w:ascii="Times New Roman" w:hAnsi="Times New Roman" w:cs="Times New Roman"/>
          <w:bCs/>
          <w:sz w:val="28"/>
          <w:szCs w:val="28"/>
          <w:lang w:val="ru-RU"/>
        </w:rPr>
        <w:t>0</w:t>
      </w:r>
      <w:r w:rsidR="00FE4D0E">
        <w:rPr>
          <w:rFonts w:ascii="Times New Roman" w:hAnsi="Times New Roman" w:cs="Times New Roman"/>
          <w:bCs/>
          <w:sz w:val="28"/>
          <w:szCs w:val="28"/>
          <w:lang w:val="en-US"/>
        </w:rPr>
        <w:t>M</w:t>
      </w:r>
      <w:r w:rsidR="00FE4D0E" w:rsidRPr="009E6C7E">
        <w:rPr>
          <w:rFonts w:ascii="Times New Roman" w:hAnsi="Times New Roman" w:cs="Times New Roman"/>
          <w:bCs/>
          <w:sz w:val="28"/>
          <w:szCs w:val="28"/>
          <w:lang w:val="ru-RU"/>
        </w:rPr>
        <w:t>0</w:t>
      </w:r>
      <w:r w:rsidR="00FE4D0E">
        <w:rPr>
          <w:rFonts w:ascii="Times New Roman" w:hAnsi="Times New Roman" w:cs="Times New Roman"/>
          <w:bCs/>
          <w:sz w:val="28"/>
          <w:szCs w:val="28"/>
        </w:rPr>
        <w:t xml:space="preserve">, </w:t>
      </w:r>
      <w:r w:rsidR="00FE4D0E" w:rsidRPr="008C5984">
        <w:rPr>
          <w:rFonts w:ascii="Times New Roman" w:hAnsi="Times New Roman" w:cs="Times New Roman"/>
          <w:bCs/>
          <w:sz w:val="28"/>
          <w:szCs w:val="28"/>
        </w:rPr>
        <w:t xml:space="preserve">ІІ ступінь за </w:t>
      </w:r>
      <w:r w:rsidR="00FE4D0E" w:rsidRPr="008C5984">
        <w:rPr>
          <w:rFonts w:ascii="Times New Roman" w:hAnsi="Times New Roman" w:cs="Times New Roman"/>
          <w:color w:val="131413"/>
          <w:sz w:val="28"/>
          <w:szCs w:val="28"/>
        </w:rPr>
        <w:t>Fuhrman.</w:t>
      </w:r>
    </w:p>
    <w:tbl>
      <w:tblPr>
        <w:tblStyle w:val="TableGrid"/>
        <w:tblW w:w="985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27"/>
        <w:gridCol w:w="4928"/>
      </w:tblGrid>
      <w:tr w:rsidR="00FE4D0E" w:rsidRPr="00524DDC" w:rsidTr="001F0C51">
        <w:trPr>
          <w:trHeight w:val="3109"/>
        </w:trPr>
        <w:tc>
          <w:tcPr>
            <w:tcW w:w="4927" w:type="dxa"/>
          </w:tcPr>
          <w:p w:rsidR="00FE4D0E" w:rsidRPr="00D162D6" w:rsidRDefault="00FE4D0E" w:rsidP="001F0C51">
            <w:pPr>
              <w:pStyle w:val="NoSpacing"/>
              <w:rPr>
                <w:rFonts w:ascii="Times New Roman CYR" w:hAnsi="Times New Roman CYR" w:cs="Times New Roman"/>
                <w:bCs/>
                <w:sz w:val="28"/>
                <w:szCs w:val="28"/>
                <w:lang w:val="en-US"/>
              </w:rPr>
            </w:pPr>
            <w:r w:rsidRPr="00D162D6">
              <w:rPr>
                <w:rFonts w:ascii="Times New Roman CYR" w:hAnsi="Times New Roman CYR" w:cs="Times New Roman"/>
                <w:bCs/>
                <w:noProof/>
                <w:sz w:val="28"/>
                <w:szCs w:val="28"/>
                <w:lang w:val="en-US"/>
              </w:rPr>
              <w:lastRenderedPageBreak/>
              <mc:AlternateContent>
                <mc:Choice Requires="wps">
                  <w:drawing>
                    <wp:anchor distT="0" distB="0" distL="114300" distR="114300" simplePos="0" relativeHeight="251667456" behindDoc="0" locked="0" layoutInCell="1" allowOverlap="1" wp14:anchorId="7EB22E5A" wp14:editId="14A929D6">
                      <wp:simplePos x="0" y="0"/>
                      <wp:positionH relativeFrom="page">
                        <wp:posOffset>7620</wp:posOffset>
                      </wp:positionH>
                      <wp:positionV relativeFrom="paragraph">
                        <wp:posOffset>1572895</wp:posOffset>
                      </wp:positionV>
                      <wp:extent cx="2533650" cy="400050"/>
                      <wp:effectExtent l="0" t="0" r="0" b="0"/>
                      <wp:wrapNone/>
                      <wp:docPr id="79" name="Надпись 79"/>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B22E5A" id="Надпись 79" o:spid="_x0000_s1032" type="#_x0000_t202" style="position:absolute;margin-left:.6pt;margin-top:123.85pt;width:199.5pt;height:31.5pt;z-index:251667456;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" filled="f" stroked="f">
                      <v:textbox>
                        <w:txbxContent>
                          <w:p w:rsidR="007B5A1D" w:rsidRPr="00D162D6"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sidRPr="00524DDC">
              <w:rPr>
                <w:rFonts w:ascii="Times New Roman CYR" w:hAnsi="Times New Roman CYR" w:cs="Times New Roman"/>
                <w:bCs/>
                <w:noProof/>
                <w:sz w:val="28"/>
                <w:szCs w:val="28"/>
                <w:lang w:val="en-US"/>
              </w:rPr>
              <w:drawing>
                <wp:inline distT="0" distB="0" distL="0" distR="0" wp14:anchorId="38B6A307" wp14:editId="5199046E">
                  <wp:extent cx="3059430" cy="1933575"/>
                  <wp:effectExtent l="0" t="0" r="7620" b="9525"/>
                  <wp:docPr id="59" name="Рисунок 1" descr="C:\Users\VITER\Диск Google\Papers\Polish Journla of Radiology\pics\tiff\1 ax fiesta fatsa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TER\Диск Google\Papers\Polish Journla of Radiology\pics\tiff\1 ax fiesta fatsat.tif"/>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20548" b="16251"/>
                          <a:stretch/>
                        </pic:blipFill>
                        <pic:spPr bwMode="auto">
                          <a:xfrm>
                            <a:off x="0" y="0"/>
                            <a:ext cx="3060000" cy="193393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928" w:type="dxa"/>
          </w:tcPr>
          <w:p w:rsidR="00FE4D0E" w:rsidRPr="008739C9" w:rsidRDefault="00FE4D0E" w:rsidP="001F0C51">
            <w:pPr>
              <w:pStyle w:val="NoSpacing"/>
              <w:rPr>
                <w:rFonts w:ascii="Times New Roman CYR" w:hAnsi="Times New Roman CYR" w:cs="Times New Roman"/>
                <w:bCs/>
                <w:color w:val="FFFFFF" w:themeColor="background1"/>
                <w:sz w:val="28"/>
                <w:szCs w:val="28"/>
                <w:lang w:val="en-US"/>
              </w:rPr>
            </w:pPr>
            <w:r w:rsidRPr="00D162D6">
              <w:rPr>
                <w:rFonts w:ascii="Times New Roman CYR" w:hAnsi="Times New Roman CYR" w:cs="Times New Roman"/>
                <w:bCs/>
                <w:noProof/>
                <w:sz w:val="28"/>
                <w:szCs w:val="28"/>
                <w:lang w:val="en-US"/>
              </w:rPr>
              <mc:AlternateContent>
                <mc:Choice Requires="wps">
                  <w:drawing>
                    <wp:anchor distT="0" distB="0" distL="114300" distR="114300" simplePos="0" relativeHeight="251668480" behindDoc="0" locked="0" layoutInCell="1" allowOverlap="1" wp14:anchorId="764BD556" wp14:editId="56443B3A">
                      <wp:simplePos x="0" y="0"/>
                      <wp:positionH relativeFrom="page">
                        <wp:posOffset>13970</wp:posOffset>
                      </wp:positionH>
                      <wp:positionV relativeFrom="paragraph">
                        <wp:posOffset>1584960</wp:posOffset>
                      </wp:positionV>
                      <wp:extent cx="2533650" cy="400050"/>
                      <wp:effectExtent l="0" t="0" r="0" b="0"/>
                      <wp:wrapNone/>
                      <wp:docPr id="80" name="Надпись 80"/>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4BD556" id="Надпись 80" o:spid="_x0000_s1033" type="#_x0000_t202" style="position:absolute;margin-left:1.1pt;margin-top:124.8pt;width:199.5pt;height:31.5pt;z-index:251668480;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" filled="f" stroked="f">
                      <v:textbox>
                        <w:txbxContent>
                          <w:p w:rsidR="007B5A1D" w:rsidRPr="00D162D6"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524DDC">
              <w:rPr>
                <w:rFonts w:ascii="Times New Roman CYR" w:hAnsi="Times New Roman CYR" w:cs="Times New Roman"/>
                <w:bCs/>
                <w:noProof/>
                <w:sz w:val="28"/>
                <w:szCs w:val="28"/>
                <w:lang w:val="en-US"/>
              </w:rPr>
              <w:drawing>
                <wp:inline distT="0" distB="0" distL="0" distR="0" wp14:anchorId="12A10AFF" wp14:editId="472F93D4">
                  <wp:extent cx="2733675" cy="1940467"/>
                  <wp:effectExtent l="0" t="0" r="0" b="3175"/>
                  <wp:docPr id="64" name="Рисунок 2" descr="C:\Users\VITER\Диск Google\Papers\Polish Journla of Radiology\pics\tiff\1 sag ssfs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TER\Диск Google\Papers\Polish Journla of Radiology\pics\tiff\1 sag ssfse.tif"/>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10897" b="18119"/>
                          <a:stretch/>
                        </pic:blipFill>
                        <pic:spPr bwMode="auto">
                          <a:xfrm>
                            <a:off x="0" y="0"/>
                            <a:ext cx="2740466" cy="194528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E4D0E" w:rsidRPr="00524DDC" w:rsidTr="001F0C51">
        <w:tc>
          <w:tcPr>
            <w:tcW w:w="4927" w:type="dxa"/>
          </w:tcPr>
          <w:p w:rsidR="00FE4D0E" w:rsidRPr="00524DDC" w:rsidRDefault="00FE4D0E" w:rsidP="001F0C51">
            <w:pPr>
              <w:pStyle w:val="NoSpacing"/>
              <w:rPr>
                <w:rFonts w:ascii="Times New Roman CYR" w:hAnsi="Times New Roman CYR" w:cs="Times New Roman"/>
                <w:bCs/>
                <w:color w:val="FFFFFF" w:themeColor="background1"/>
                <w:sz w:val="28"/>
                <w:szCs w:val="28"/>
                <w:lang w:val="en-US"/>
              </w:rPr>
            </w:pPr>
            <w:r w:rsidRPr="00524DDC">
              <w:rPr>
                <w:rFonts w:ascii="Times New Roman CYR" w:hAnsi="Times New Roman CYR" w:cs="Times New Roman"/>
                <w:bCs/>
                <w:noProof/>
                <w:sz w:val="28"/>
                <w:szCs w:val="28"/>
                <w:lang w:val="en-US"/>
              </w:rPr>
              <w:drawing>
                <wp:inline distT="0" distB="0" distL="0" distR="0" wp14:anchorId="074718E4" wp14:editId="4D929362">
                  <wp:extent cx="3028950" cy="2159495"/>
                  <wp:effectExtent l="0" t="0" r="0" b="0"/>
                  <wp:docPr id="77" name="Рисунок 3" descr="C:\Users\VITER\Диск Google\Papers\Polish Journla of Radiology\pics\tiff\1 dw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TER\Диск Google\Papers\Polish Journla of Radiology\pics\tiff\1 dwi.tif"/>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17435" b="11271"/>
                          <a:stretch/>
                        </pic:blipFill>
                        <pic:spPr bwMode="auto">
                          <a:xfrm>
                            <a:off x="0" y="0"/>
                            <a:ext cx="3051874" cy="217583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928" w:type="dxa"/>
          </w:tcPr>
          <w:p w:rsidR="00FE4D0E" w:rsidRPr="00524DDC" w:rsidRDefault="00FE4D0E" w:rsidP="001F0C51">
            <w:pPr>
              <w:pStyle w:val="NoSpacing"/>
              <w:rPr>
                <w:rFonts w:ascii="Times New Roman CYR" w:hAnsi="Times New Roman CYR" w:cs="Times New Roman"/>
                <w:bCs/>
                <w:color w:val="FFFFFF" w:themeColor="background1"/>
                <w:sz w:val="28"/>
                <w:szCs w:val="28"/>
                <w:lang w:val="en-US"/>
              </w:rPr>
            </w:pPr>
            <w:r w:rsidRPr="00D162D6">
              <w:rPr>
                <w:rFonts w:ascii="Times New Roman CYR" w:hAnsi="Times New Roman CYR" w:cs="Times New Roman"/>
                <w:bCs/>
                <w:noProof/>
                <w:sz w:val="28"/>
                <w:szCs w:val="28"/>
                <w:lang w:val="en-US"/>
              </w:rPr>
              <mc:AlternateContent>
                <mc:Choice Requires="wps">
                  <w:drawing>
                    <wp:anchor distT="0" distB="0" distL="114300" distR="114300" simplePos="0" relativeHeight="251670528" behindDoc="0" locked="0" layoutInCell="1" allowOverlap="1" wp14:anchorId="0B2CE50E" wp14:editId="545C0461">
                      <wp:simplePos x="0" y="0"/>
                      <wp:positionH relativeFrom="page">
                        <wp:posOffset>42545</wp:posOffset>
                      </wp:positionH>
                      <wp:positionV relativeFrom="paragraph">
                        <wp:posOffset>1688465</wp:posOffset>
                      </wp:positionV>
                      <wp:extent cx="2533650" cy="400050"/>
                      <wp:effectExtent l="0" t="0" r="0" b="0"/>
                      <wp:wrapNone/>
                      <wp:docPr id="82" name="Надпись 82"/>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2CE50E" id="Надпись 82" o:spid="_x0000_s1034" type="#_x0000_t202" style="position:absolute;margin-left:3.35pt;margin-top:132.95pt;width:199.5pt;height:31.5pt;z-index:25167052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" filled="f" stroked="f">
                      <v:textbox>
                        <w:txbxContent>
                          <w:p w:rsidR="007B5A1D" w:rsidRPr="00D162D6"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w10:wrap anchorx="page"/>
                    </v:shape>
                  </w:pict>
                </mc:Fallback>
              </mc:AlternateContent>
            </w:r>
            <w:r>
              <w:rPr>
                <w:rFonts w:ascii="Times New Roman CYR" w:hAnsi="Times New Roman CYR" w:cs="Times New Roman"/>
                <w:bCs/>
                <w:noProof/>
                <w:sz w:val="28"/>
                <w:szCs w:val="28"/>
                <w:lang w:val="en-US"/>
              </w:rPr>
              <w:drawing>
                <wp:inline distT="0" distB="0" distL="0" distR="0" wp14:anchorId="6920E337" wp14:editId="2DB996FD">
                  <wp:extent cx="2733675" cy="2180590"/>
                  <wp:effectExtent l="0" t="0" r="952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titled-1.jpg"/>
                          <pic:cNvPicPr/>
                        </pic:nvPicPr>
                        <pic:blipFill rotWithShape="1">
                          <a:blip r:embed="rId42">
                            <a:extLst>
                              <a:ext uri="{28A0092B-C50C-407E-A947-70E740481C1C}">
                                <a14:useLocalDpi xmlns:a14="http://schemas.microsoft.com/office/drawing/2010/main" val="0"/>
                              </a:ext>
                            </a:extLst>
                          </a:blip>
                          <a:srcRect l="10837" t="20860" r="7307" b="15629"/>
                          <a:stretch/>
                        </pic:blipFill>
                        <pic:spPr bwMode="auto">
                          <a:xfrm>
                            <a:off x="0" y="0"/>
                            <a:ext cx="2734471" cy="2181225"/>
                          </a:xfrm>
                          <a:prstGeom prst="rect">
                            <a:avLst/>
                          </a:prstGeom>
                          <a:ln>
                            <a:noFill/>
                          </a:ln>
                          <a:extLst>
                            <a:ext uri="{53640926-AAD7-44D8-BBD7-CCE9431645EC}">
                              <a14:shadowObscured xmlns:a14="http://schemas.microsoft.com/office/drawing/2010/main"/>
                            </a:ext>
                          </a:extLst>
                        </pic:spPr>
                      </pic:pic>
                    </a:graphicData>
                  </a:graphic>
                </wp:inline>
              </w:drawing>
            </w:r>
          </w:p>
        </w:tc>
      </w:tr>
    </w:tbl>
    <w:p w:rsidR="00FE4D0E" w:rsidRPr="00423DA8" w:rsidRDefault="00FE4D0E" w:rsidP="008C4970">
      <w:pPr>
        <w:pStyle w:val="NoSpacing"/>
        <w:spacing w:line="360" w:lineRule="auto"/>
        <w:jc w:val="both"/>
        <w:rPr>
          <w:rFonts w:ascii="Times New Roman" w:hAnsi="Times New Roman" w:cs="Times New Roman"/>
          <w:sz w:val="27"/>
          <w:szCs w:val="27"/>
        </w:rPr>
      </w:pPr>
      <w:r w:rsidRPr="00D162D6">
        <w:rPr>
          <w:rFonts w:ascii="Times New Roman CYR" w:hAnsi="Times New Roman CYR" w:cs="Times New Roman"/>
          <w:bCs/>
          <w:noProof/>
          <w:sz w:val="28"/>
          <w:szCs w:val="28"/>
          <w:lang w:val="en-US"/>
        </w:rPr>
        <mc:AlternateContent>
          <mc:Choice Requires="wps">
            <w:drawing>
              <wp:anchor distT="0" distB="0" distL="114300" distR="114300" simplePos="0" relativeHeight="251669504" behindDoc="0" locked="0" layoutInCell="1" allowOverlap="1" wp14:anchorId="43E231DD" wp14:editId="579FCFD6">
                <wp:simplePos x="0" y="0"/>
                <wp:positionH relativeFrom="page">
                  <wp:posOffset>895985</wp:posOffset>
                </wp:positionH>
                <wp:positionV relativeFrom="paragraph">
                  <wp:posOffset>-375285</wp:posOffset>
                </wp:positionV>
                <wp:extent cx="2533650" cy="400050"/>
                <wp:effectExtent l="0" t="0" r="0" b="0"/>
                <wp:wrapNone/>
                <wp:docPr id="81" name="Надпись 81"/>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E231DD" id="Надпись 81" o:spid="_x0000_s1035" type="#_x0000_t202" style="position:absolute;left:0;text-align:left;margin-left:70.55pt;margin-top:-29.55pt;width:199.5pt;height:31.5pt;z-index:25166950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" filled="f" stroked="f">
                <v:textbox>
                  <w:txbxContent>
                    <w:p w:rsidR="007B5A1D" w:rsidRPr="00D162D6"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r w:rsidR="003E6143">
        <w:rPr>
          <w:rFonts w:ascii="Times New Roman" w:hAnsi="Times New Roman" w:cs="Times New Roman"/>
          <w:sz w:val="28"/>
          <w:szCs w:val="28"/>
        </w:rPr>
        <w:t>Рис. 3.17</w:t>
      </w:r>
      <w:r w:rsidRPr="00D162D6">
        <w:rPr>
          <w:rFonts w:ascii="Times New Roman" w:hAnsi="Times New Roman" w:cs="Times New Roman"/>
          <w:sz w:val="28"/>
          <w:szCs w:val="28"/>
        </w:rPr>
        <w:t>.</w:t>
      </w:r>
      <w:r w:rsidRPr="00D162D6">
        <w:rPr>
          <w:rFonts w:ascii="Times New Roman CYR" w:hAnsi="Times New Roman CYR" w:cs="Times New Roman"/>
          <w:bCs/>
          <w:sz w:val="28"/>
          <w:szCs w:val="28"/>
        </w:rPr>
        <w:t xml:space="preserve"> </w:t>
      </w:r>
      <w:r>
        <w:rPr>
          <w:rFonts w:ascii="Times New Roman" w:hAnsi="Times New Roman" w:cs="Times New Roman"/>
          <w:sz w:val="28"/>
          <w:szCs w:val="28"/>
        </w:rPr>
        <w:t xml:space="preserve">Результат </w:t>
      </w:r>
      <w:r>
        <w:rPr>
          <w:rFonts w:ascii="Times New Roman CYR" w:hAnsi="Times New Roman CYR" w:cs="Times New Roman"/>
          <w:bCs/>
          <w:sz w:val="28"/>
          <w:szCs w:val="28"/>
        </w:rPr>
        <w:t>МРТ-дослідження хворої К.</w:t>
      </w:r>
      <w:r w:rsidRPr="00D162D6">
        <w:rPr>
          <w:rFonts w:ascii="Times New Roman CYR" w:hAnsi="Times New Roman CYR" w:cs="Times New Roman"/>
          <w:bCs/>
          <w:sz w:val="28"/>
          <w:szCs w:val="28"/>
        </w:rPr>
        <w:t xml:space="preserve">, 65 </w:t>
      </w:r>
      <w:r>
        <w:rPr>
          <w:rFonts w:ascii="Times New Roman CYR" w:hAnsi="Times New Roman CYR" w:cs="Times New Roman"/>
          <w:bCs/>
          <w:sz w:val="28"/>
          <w:szCs w:val="28"/>
        </w:rPr>
        <w:t xml:space="preserve">р., </w:t>
      </w:r>
      <w:r>
        <w:rPr>
          <w:rFonts w:ascii="Times New Roman CYR" w:hAnsi="Times New Roman CYR" w:cs="Times New Roman"/>
          <w:bCs/>
          <w:sz w:val="28"/>
          <w:szCs w:val="28"/>
          <w:lang w:val="en-US"/>
        </w:rPr>
        <w:t>SRM</w:t>
      </w:r>
      <w:r w:rsidRPr="009E6C7E">
        <w:rPr>
          <w:rFonts w:ascii="Times New Roman CYR" w:hAnsi="Times New Roman CYR" w:cs="Times New Roman"/>
          <w:bCs/>
          <w:sz w:val="28"/>
          <w:szCs w:val="28"/>
          <w:lang w:val="ru-RU"/>
        </w:rPr>
        <w:t xml:space="preserve"> </w:t>
      </w:r>
      <w:r>
        <w:rPr>
          <w:rFonts w:ascii="Times New Roman CYR" w:hAnsi="Times New Roman CYR" w:cs="Times New Roman"/>
          <w:bCs/>
          <w:sz w:val="28"/>
          <w:szCs w:val="28"/>
        </w:rPr>
        <w:t xml:space="preserve">правої нирки розміром 3,9х3,8х3,8. </w:t>
      </w:r>
      <w:r w:rsidRPr="005C4F6B">
        <w:rPr>
          <w:rStyle w:val="Emphasis"/>
          <w:rFonts w:ascii="Times New Roman" w:hAnsi="Times New Roman" w:cs="Times New Roman"/>
          <w:i w:val="0"/>
          <w:sz w:val="28"/>
          <w:szCs w:val="28"/>
        </w:rPr>
        <w:t>А: виражена гетерогенність ураженої пухлиною ділянки по передньому контуру правої нирки (стрілка) на аксіальному зображенні в режимі</w:t>
      </w:r>
      <w:r w:rsidRPr="00D162D6">
        <w:rPr>
          <w:rStyle w:val="Emphasis"/>
          <w:rFonts w:ascii="Times New Roman" w:hAnsi="Times New Roman" w:cs="Times New Roman"/>
          <w:sz w:val="28"/>
          <w:szCs w:val="28"/>
        </w:rPr>
        <w:t xml:space="preserve"> </w:t>
      </w:r>
      <w:r w:rsidRPr="00D162D6">
        <w:rPr>
          <w:rFonts w:ascii="Times New Roman CYR" w:hAnsi="Times New Roman CYR" w:cs="AdvTT3713a231"/>
          <w:color w:val="141314"/>
          <w:sz w:val="28"/>
          <w:szCs w:val="28"/>
          <w:lang w:val="en-US"/>
        </w:rPr>
        <w:t>FIESTA</w:t>
      </w:r>
      <w:r w:rsidRPr="00D162D6">
        <w:rPr>
          <w:rFonts w:ascii="Times New Roman CYR" w:hAnsi="Times New Roman CYR" w:cs="AdvTT3713a231"/>
          <w:color w:val="141314"/>
          <w:sz w:val="28"/>
          <w:szCs w:val="28"/>
        </w:rPr>
        <w:t xml:space="preserve"> із жировим насиченням, візуалізуються ділянки ізо-</w:t>
      </w:r>
      <w:r>
        <w:rPr>
          <w:rFonts w:ascii="Times New Roman CYR" w:hAnsi="Times New Roman CYR" w:cs="AdvTT3713a231"/>
          <w:color w:val="141314"/>
          <w:sz w:val="28"/>
          <w:szCs w:val="28"/>
        </w:rPr>
        <w:t>, гіпер- та гіпоінтенсивності; Б</w:t>
      </w:r>
      <w:r w:rsidRPr="00D162D6">
        <w:rPr>
          <w:rFonts w:ascii="Times New Roman CYR" w:hAnsi="Times New Roman CYR" w:cs="AdvTT3713a231"/>
          <w:color w:val="141314"/>
          <w:sz w:val="28"/>
          <w:szCs w:val="28"/>
        </w:rPr>
        <w:t xml:space="preserve">: сагітальне Т2-зважене зображення із добре вираженою гіпоінтенсивною псевдокапсулою (стрілки) і центральною зоною; </w:t>
      </w:r>
      <w:r>
        <w:rPr>
          <w:rFonts w:ascii="Times New Roman CYR" w:hAnsi="Times New Roman CYR" w:cs="AdvTT3713a231"/>
          <w:color w:val="141314"/>
          <w:sz w:val="28"/>
          <w:szCs w:val="28"/>
        </w:rPr>
        <w:t>В</w:t>
      </w:r>
      <w:r w:rsidRPr="00D162D6">
        <w:rPr>
          <w:rFonts w:ascii="Times New Roman CYR" w:hAnsi="Times New Roman CYR" w:cs="AdvTT3713a231"/>
          <w:color w:val="141314"/>
          <w:sz w:val="28"/>
          <w:szCs w:val="28"/>
        </w:rPr>
        <w:t xml:space="preserve">: ДЗЗ із </w:t>
      </w:r>
      <w:r w:rsidRPr="00D162D6">
        <w:rPr>
          <w:rFonts w:ascii="Times New Roman" w:hAnsi="Times New Roman" w:cs="Times New Roman"/>
          <w:bCs/>
          <w:sz w:val="28"/>
          <w:szCs w:val="28"/>
          <w:lang w:val="en-US"/>
        </w:rPr>
        <w:t>b</w:t>
      </w:r>
      <w:r w:rsidRPr="00D162D6">
        <w:rPr>
          <w:rFonts w:ascii="Times New Roman" w:hAnsi="Times New Roman" w:cs="Times New Roman"/>
          <w:bCs/>
          <w:sz w:val="28"/>
          <w:szCs w:val="28"/>
        </w:rPr>
        <w:t>-</w:t>
      </w:r>
      <w:r>
        <w:rPr>
          <w:rFonts w:ascii="Times New Roman" w:hAnsi="Times New Roman" w:cs="Times New Roman"/>
          <w:bCs/>
          <w:sz w:val="28"/>
          <w:szCs w:val="28"/>
        </w:rPr>
        <w:t>значенням</w:t>
      </w:r>
      <w:r w:rsidRPr="00D162D6">
        <w:rPr>
          <w:rFonts w:ascii="Times New Roman" w:hAnsi="Times New Roman" w:cs="Times New Roman"/>
          <w:bCs/>
          <w:sz w:val="28"/>
          <w:szCs w:val="28"/>
        </w:rPr>
        <w:t>=</w:t>
      </w:r>
      <w:r>
        <w:rPr>
          <w:rFonts w:ascii="Times New Roman" w:hAnsi="Times New Roman" w:cs="Times New Roman"/>
          <w:bCs/>
          <w:sz w:val="28"/>
          <w:szCs w:val="28"/>
        </w:rPr>
        <w:t>0 та 8</w:t>
      </w:r>
      <w:r w:rsidRPr="00D162D6">
        <w:rPr>
          <w:rFonts w:ascii="Times New Roman" w:hAnsi="Times New Roman" w:cs="Times New Roman"/>
          <w:bCs/>
          <w:sz w:val="28"/>
          <w:szCs w:val="28"/>
        </w:rPr>
        <w:t>00 мм</w:t>
      </w:r>
      <w:r w:rsidRPr="00D162D6">
        <w:rPr>
          <w:rFonts w:ascii="Times New Roman" w:hAnsi="Times New Roman" w:cs="Times New Roman"/>
          <w:bCs/>
          <w:sz w:val="28"/>
          <w:szCs w:val="28"/>
          <w:vertAlign w:val="superscript"/>
        </w:rPr>
        <w:t>2</w:t>
      </w:r>
      <w:r w:rsidRPr="00D162D6">
        <w:rPr>
          <w:rFonts w:ascii="Times New Roman" w:hAnsi="Times New Roman" w:cs="Times New Roman"/>
          <w:bCs/>
          <w:sz w:val="28"/>
          <w:szCs w:val="28"/>
        </w:rPr>
        <w:t xml:space="preserve">/с, </w:t>
      </w:r>
      <w:r>
        <w:rPr>
          <w:rFonts w:ascii="Times New Roman" w:hAnsi="Times New Roman" w:cs="Times New Roman"/>
          <w:bCs/>
          <w:sz w:val="28"/>
          <w:szCs w:val="28"/>
        </w:rPr>
        <w:t xml:space="preserve">пухлина – </w:t>
      </w:r>
      <w:r w:rsidRPr="00D162D6">
        <w:rPr>
          <w:rFonts w:ascii="Times New Roman" w:hAnsi="Times New Roman" w:cs="Times New Roman"/>
          <w:bCs/>
          <w:sz w:val="28"/>
          <w:szCs w:val="28"/>
        </w:rPr>
        <w:t xml:space="preserve">негомогенна ділянка </w:t>
      </w:r>
      <w:r>
        <w:rPr>
          <w:rFonts w:ascii="Times New Roman" w:hAnsi="Times New Roman" w:cs="Times New Roman"/>
          <w:bCs/>
          <w:sz w:val="28"/>
          <w:szCs w:val="28"/>
        </w:rPr>
        <w:t xml:space="preserve">з </w:t>
      </w:r>
      <w:r w:rsidRPr="00D162D6">
        <w:rPr>
          <w:rFonts w:ascii="Times New Roman" w:hAnsi="Times New Roman" w:cs="Times New Roman"/>
          <w:bCs/>
          <w:sz w:val="28"/>
          <w:szCs w:val="28"/>
        </w:rPr>
        <w:t>периферичною зоною гіперінтенсивності (стрілка)</w:t>
      </w:r>
      <w:r>
        <w:rPr>
          <w:rFonts w:ascii="Times New Roman" w:hAnsi="Times New Roman" w:cs="Times New Roman"/>
          <w:bCs/>
          <w:sz w:val="28"/>
          <w:szCs w:val="28"/>
        </w:rPr>
        <w:t xml:space="preserve">, </w:t>
      </w:r>
      <w:r>
        <w:rPr>
          <w:rFonts w:ascii="Times New Roman" w:hAnsi="Times New Roman" w:cs="Times New Roman"/>
          <w:sz w:val="28"/>
          <w:szCs w:val="28"/>
          <w:lang w:val="en-US"/>
        </w:rPr>
        <w:t>IC</w:t>
      </w:r>
      <w:r>
        <w:rPr>
          <w:rFonts w:ascii="Times New Roman" w:hAnsi="Times New Roman" w:cs="Times New Roman"/>
          <w:sz w:val="28"/>
          <w:szCs w:val="28"/>
          <w:vertAlign w:val="subscript"/>
        </w:rPr>
        <w:t xml:space="preserve">ДЗЗ </w:t>
      </w:r>
      <w:r>
        <w:rPr>
          <w:rFonts w:ascii="Times New Roman" w:hAnsi="Times New Roman" w:cs="Times New Roman"/>
          <w:sz w:val="28"/>
          <w:szCs w:val="28"/>
        </w:rPr>
        <w:t>пухлини=93,15</w:t>
      </w:r>
      <w:r w:rsidRPr="00D162D6">
        <w:rPr>
          <w:rFonts w:ascii="Times New Roman" w:hAnsi="Times New Roman" w:cs="Times New Roman"/>
          <w:bCs/>
          <w:sz w:val="28"/>
          <w:szCs w:val="28"/>
        </w:rPr>
        <w:t xml:space="preserve">; </w:t>
      </w:r>
      <w:r w:rsidRPr="009E6C7E">
        <w:rPr>
          <w:rFonts w:ascii="Times New Roman" w:hAnsi="Times New Roman" w:cs="Times New Roman"/>
          <w:bCs/>
          <w:sz w:val="28"/>
          <w:szCs w:val="28"/>
        </w:rPr>
        <w:t>Г</w:t>
      </w:r>
      <w:r w:rsidRPr="00D162D6">
        <w:rPr>
          <w:rFonts w:ascii="Times New Roman" w:hAnsi="Times New Roman" w:cs="Times New Roman"/>
          <w:bCs/>
          <w:sz w:val="28"/>
          <w:szCs w:val="28"/>
        </w:rPr>
        <w:t xml:space="preserve">: </w:t>
      </w:r>
      <w:r>
        <w:rPr>
          <w:rFonts w:ascii="Times New Roman" w:hAnsi="Times New Roman" w:cs="Times New Roman"/>
          <w:bCs/>
          <w:sz w:val="28"/>
          <w:szCs w:val="28"/>
        </w:rPr>
        <w:t xml:space="preserve">ВКД-карта із </w:t>
      </w:r>
      <w:r w:rsidRPr="00D162D6">
        <w:rPr>
          <w:rFonts w:ascii="Times New Roman" w:hAnsi="Times New Roman" w:cs="Times New Roman"/>
          <w:bCs/>
          <w:sz w:val="28"/>
          <w:szCs w:val="28"/>
        </w:rPr>
        <w:t xml:space="preserve">ділянкою </w:t>
      </w:r>
      <w:r>
        <w:rPr>
          <w:rFonts w:ascii="Times New Roman" w:hAnsi="Times New Roman" w:cs="Times New Roman"/>
          <w:bCs/>
          <w:sz w:val="28"/>
          <w:szCs w:val="28"/>
        </w:rPr>
        <w:t xml:space="preserve">обмеженої дифузії </w:t>
      </w:r>
      <w:r w:rsidRPr="00D162D6">
        <w:rPr>
          <w:rFonts w:ascii="Times New Roman" w:hAnsi="Times New Roman" w:cs="Times New Roman"/>
          <w:bCs/>
          <w:sz w:val="28"/>
          <w:szCs w:val="28"/>
        </w:rPr>
        <w:t xml:space="preserve">в правій нирці (ліва стрілка), що відповідає ділянці </w:t>
      </w:r>
      <w:r>
        <w:rPr>
          <w:rFonts w:ascii="Times New Roman" w:hAnsi="Times New Roman" w:cs="Times New Roman"/>
          <w:bCs/>
          <w:sz w:val="28"/>
          <w:szCs w:val="28"/>
        </w:rPr>
        <w:t>гіперінтенсивності на ДЗЗ, ВКД=1,53</w:t>
      </w:r>
      <w:r w:rsidRPr="00D162D6">
        <w:rPr>
          <w:rFonts w:ascii="Times New Roman" w:hAnsi="Times New Roman" w:cs="Times New Roman"/>
          <w:b/>
          <w:bCs/>
          <w:sz w:val="28"/>
          <w:szCs w:val="28"/>
        </w:rPr>
        <w:t>×</w:t>
      </w:r>
      <w:r w:rsidRPr="00D162D6">
        <w:rPr>
          <w:rFonts w:ascii="Times New Roman" w:hAnsi="Times New Roman" w:cs="Times New Roman"/>
          <w:bCs/>
          <w:sz w:val="28"/>
          <w:szCs w:val="28"/>
        </w:rPr>
        <w:t>10</w:t>
      </w:r>
      <w:r w:rsidRPr="00D162D6">
        <w:rPr>
          <w:rFonts w:ascii="Times New Roman" w:hAnsi="Times New Roman" w:cs="Times New Roman"/>
          <w:bCs/>
          <w:sz w:val="28"/>
          <w:szCs w:val="28"/>
          <w:vertAlign w:val="superscript"/>
        </w:rPr>
        <w:t>−3</w:t>
      </w:r>
      <w:r w:rsidRPr="00D162D6">
        <w:rPr>
          <w:rFonts w:ascii="Times New Roman" w:hAnsi="Times New Roman" w:cs="Times New Roman"/>
          <w:bCs/>
          <w:sz w:val="28"/>
          <w:szCs w:val="28"/>
        </w:rPr>
        <w:t xml:space="preserve"> мм</w:t>
      </w:r>
      <w:r w:rsidRPr="00D162D6">
        <w:rPr>
          <w:rFonts w:ascii="Times New Roman" w:hAnsi="Times New Roman" w:cs="Times New Roman"/>
          <w:bCs/>
          <w:sz w:val="28"/>
          <w:szCs w:val="28"/>
          <w:vertAlign w:val="superscript"/>
        </w:rPr>
        <w:t>2</w:t>
      </w:r>
      <w:r w:rsidRPr="00D162D6">
        <w:rPr>
          <w:rFonts w:ascii="Times New Roman" w:hAnsi="Times New Roman" w:cs="Times New Roman"/>
          <w:bCs/>
          <w:sz w:val="28"/>
          <w:szCs w:val="28"/>
        </w:rPr>
        <w:t>/с, права стрілка вказує на ОЗ над ділянкою нормальної ниркової паренхіми, ВКД=</w:t>
      </w:r>
      <w:r>
        <w:rPr>
          <w:rFonts w:ascii="Times New Roman CYR" w:hAnsi="Times New Roman CYR" w:cs="Times New Roman"/>
          <w:bCs/>
          <w:sz w:val="28"/>
          <w:szCs w:val="28"/>
        </w:rPr>
        <w:t>2</w:t>
      </w:r>
      <w:r w:rsidRPr="00D162D6">
        <w:rPr>
          <w:rFonts w:ascii="Times New Roman CYR" w:hAnsi="Times New Roman CYR" w:cs="Times New Roman"/>
          <w:bCs/>
          <w:sz w:val="28"/>
          <w:szCs w:val="28"/>
        </w:rPr>
        <w:t>,</w:t>
      </w:r>
      <w:r>
        <w:rPr>
          <w:rFonts w:ascii="Times New Roman CYR" w:hAnsi="Times New Roman CYR" w:cs="Times New Roman"/>
          <w:bCs/>
          <w:sz w:val="28"/>
          <w:szCs w:val="28"/>
        </w:rPr>
        <w:t>55</w:t>
      </w:r>
      <w:r w:rsidRPr="00D162D6">
        <w:rPr>
          <w:rFonts w:ascii="Times New Roman" w:hAnsi="Times New Roman" w:cs="Times New Roman"/>
          <w:b/>
          <w:bCs/>
          <w:sz w:val="28"/>
          <w:szCs w:val="28"/>
        </w:rPr>
        <w:t>×</w:t>
      </w:r>
      <w:r w:rsidRPr="00D162D6">
        <w:rPr>
          <w:rFonts w:ascii="Times New Roman" w:hAnsi="Times New Roman" w:cs="Times New Roman"/>
          <w:bCs/>
          <w:sz w:val="28"/>
          <w:szCs w:val="28"/>
        </w:rPr>
        <w:t>10</w:t>
      </w:r>
      <w:r w:rsidRPr="00D162D6">
        <w:rPr>
          <w:rFonts w:ascii="Times New Roman" w:hAnsi="Times New Roman" w:cs="Times New Roman"/>
          <w:bCs/>
          <w:sz w:val="28"/>
          <w:szCs w:val="28"/>
          <w:vertAlign w:val="superscript"/>
        </w:rPr>
        <w:t>−3</w:t>
      </w:r>
      <w:r w:rsidRPr="00D162D6">
        <w:rPr>
          <w:rFonts w:ascii="Times New Roman" w:hAnsi="Times New Roman" w:cs="Times New Roman"/>
          <w:bCs/>
          <w:sz w:val="28"/>
          <w:szCs w:val="28"/>
        </w:rPr>
        <w:t xml:space="preserve"> мм</w:t>
      </w:r>
      <w:r w:rsidRPr="00D162D6">
        <w:rPr>
          <w:rFonts w:ascii="Times New Roman" w:hAnsi="Times New Roman" w:cs="Times New Roman"/>
          <w:bCs/>
          <w:sz w:val="28"/>
          <w:szCs w:val="28"/>
          <w:vertAlign w:val="superscript"/>
        </w:rPr>
        <w:t>2</w:t>
      </w:r>
      <w:r w:rsidRPr="00D162D6">
        <w:rPr>
          <w:rFonts w:ascii="Times New Roman" w:hAnsi="Times New Roman" w:cs="Times New Roman"/>
          <w:bCs/>
          <w:sz w:val="28"/>
          <w:szCs w:val="28"/>
        </w:rPr>
        <w:t>/с.</w:t>
      </w:r>
      <w:r>
        <w:rPr>
          <w:rFonts w:ascii="Times New Roman" w:hAnsi="Times New Roman" w:cs="Times New Roman"/>
          <w:bCs/>
          <w:sz w:val="28"/>
          <w:szCs w:val="28"/>
        </w:rPr>
        <w:t xml:space="preserve"> Хворому виконана парціальна нефректомія. Патоморфологічне заключення: п</w:t>
      </w:r>
      <w:r w:rsidRPr="008C5984">
        <w:rPr>
          <w:rFonts w:ascii="Times New Roman" w:hAnsi="Times New Roman" w:cs="Times New Roman"/>
          <w:bCs/>
          <w:sz w:val="28"/>
          <w:szCs w:val="28"/>
        </w:rPr>
        <w:t xml:space="preserve">НКР правої нирки, </w:t>
      </w:r>
      <w:r>
        <w:rPr>
          <w:rFonts w:ascii="Times New Roman" w:hAnsi="Times New Roman" w:cs="Times New Roman"/>
          <w:bCs/>
          <w:sz w:val="28"/>
          <w:szCs w:val="28"/>
        </w:rPr>
        <w:t>Т1а</w:t>
      </w:r>
      <w:r>
        <w:rPr>
          <w:rFonts w:ascii="Times New Roman" w:hAnsi="Times New Roman" w:cs="Times New Roman"/>
          <w:bCs/>
          <w:sz w:val="28"/>
          <w:szCs w:val="28"/>
          <w:lang w:val="en-US"/>
        </w:rPr>
        <w:t>N</w:t>
      </w:r>
      <w:r w:rsidRPr="009E6C7E">
        <w:rPr>
          <w:rFonts w:ascii="Times New Roman" w:hAnsi="Times New Roman" w:cs="Times New Roman"/>
          <w:bCs/>
          <w:sz w:val="28"/>
          <w:szCs w:val="28"/>
        </w:rPr>
        <w:t>0</w:t>
      </w:r>
      <w:r>
        <w:rPr>
          <w:rFonts w:ascii="Times New Roman" w:hAnsi="Times New Roman" w:cs="Times New Roman"/>
          <w:bCs/>
          <w:sz w:val="28"/>
          <w:szCs w:val="28"/>
          <w:lang w:val="en-US"/>
        </w:rPr>
        <w:t>M</w:t>
      </w:r>
      <w:r w:rsidRPr="009E6C7E">
        <w:rPr>
          <w:rFonts w:ascii="Times New Roman" w:hAnsi="Times New Roman" w:cs="Times New Roman"/>
          <w:bCs/>
          <w:sz w:val="28"/>
          <w:szCs w:val="28"/>
        </w:rPr>
        <w:t>0</w:t>
      </w:r>
      <w:r>
        <w:rPr>
          <w:rFonts w:ascii="Times New Roman" w:hAnsi="Times New Roman" w:cs="Times New Roman"/>
          <w:bCs/>
          <w:sz w:val="28"/>
          <w:szCs w:val="28"/>
        </w:rPr>
        <w:t>, ІІІ</w:t>
      </w:r>
      <w:r w:rsidRPr="008C5984">
        <w:rPr>
          <w:rFonts w:ascii="Times New Roman" w:hAnsi="Times New Roman" w:cs="Times New Roman"/>
          <w:bCs/>
          <w:sz w:val="28"/>
          <w:szCs w:val="28"/>
        </w:rPr>
        <w:t xml:space="preserve"> ступінь за </w:t>
      </w:r>
      <w:r w:rsidRPr="008C5984">
        <w:rPr>
          <w:rFonts w:ascii="Times New Roman" w:hAnsi="Times New Roman" w:cs="Times New Roman"/>
          <w:color w:val="131413"/>
          <w:sz w:val="28"/>
          <w:szCs w:val="28"/>
        </w:rPr>
        <w:t>Fuhrman.</w:t>
      </w:r>
    </w:p>
    <w:p w:rsidR="003E3164" w:rsidRDefault="003E3164" w:rsidP="003E3164">
      <w:pPr>
        <w:spacing w:line="360" w:lineRule="auto"/>
        <w:jc w:val="both"/>
        <w:rPr>
          <w:rFonts w:ascii="Times New Roman" w:hAnsi="Times New Roman" w:cs="Times New Roman"/>
          <w:sz w:val="24"/>
          <w:szCs w:val="24"/>
        </w:rPr>
      </w:pPr>
    </w:p>
    <w:p w:rsidR="009C1018" w:rsidRDefault="009C1018" w:rsidP="003E3164">
      <w:pPr>
        <w:spacing w:line="360" w:lineRule="auto"/>
        <w:jc w:val="both"/>
        <w:rPr>
          <w:rFonts w:ascii="Times New Roman" w:hAnsi="Times New Roman" w:cs="Times New Roman"/>
          <w:sz w:val="24"/>
          <w:szCs w:val="24"/>
        </w:rPr>
      </w:pPr>
    </w:p>
    <w:p w:rsidR="009C1018" w:rsidRDefault="009C1018" w:rsidP="003E3164">
      <w:pPr>
        <w:spacing w:line="360" w:lineRule="auto"/>
        <w:jc w:val="both"/>
        <w:rPr>
          <w:rFonts w:ascii="Times New Roman" w:hAnsi="Times New Roman" w:cs="Times New Roman"/>
          <w:sz w:val="24"/>
          <w:szCs w:val="24"/>
        </w:rPr>
      </w:pPr>
    </w:p>
    <w:p w:rsidR="00FE4D0E" w:rsidRDefault="00FE4D0E" w:rsidP="003E3164">
      <w:pPr>
        <w:spacing w:line="360" w:lineRule="auto"/>
        <w:ind w:firstLine="708"/>
        <w:jc w:val="both"/>
        <w:rPr>
          <w:rFonts w:ascii="Times New Roman" w:hAnsi="Times New Roman"/>
          <w:sz w:val="28"/>
          <w:szCs w:val="28"/>
        </w:rPr>
      </w:pPr>
      <w:r>
        <w:rPr>
          <w:rFonts w:ascii="Times New Roman" w:hAnsi="Times New Roman"/>
          <w:sz w:val="28"/>
          <w:szCs w:val="28"/>
        </w:rPr>
        <w:lastRenderedPageBreak/>
        <w:t>3.1.2</w:t>
      </w:r>
      <w:r w:rsidRPr="00CB3FB6">
        <w:rPr>
          <w:rFonts w:ascii="Times New Roman" w:hAnsi="Times New Roman"/>
          <w:sz w:val="28"/>
          <w:szCs w:val="28"/>
        </w:rPr>
        <w:t>. Діагностика кістозних SRM</w:t>
      </w:r>
    </w:p>
    <w:p w:rsidR="00FE4D0E" w:rsidRDefault="00FE4D0E" w:rsidP="00FE4D0E">
      <w:pPr>
        <w:spacing w:line="360" w:lineRule="auto"/>
        <w:ind w:firstLine="708"/>
        <w:jc w:val="both"/>
        <w:rPr>
          <w:rFonts w:ascii="Times New Roman" w:hAnsi="Times New Roman" w:cs="Times New Roman"/>
          <w:sz w:val="28"/>
          <w:szCs w:val="28"/>
        </w:rPr>
      </w:pPr>
      <w:r w:rsidRPr="00CB3FB6">
        <w:rPr>
          <w:rFonts w:ascii="Times New Roman" w:hAnsi="Times New Roman" w:cs="Times New Roman"/>
          <w:sz w:val="28"/>
          <w:szCs w:val="28"/>
        </w:rPr>
        <w:t xml:space="preserve">Для вивчення діагностичної цінності нових променевих біомаркерів у диференціації НКР при </w:t>
      </w:r>
      <w:r>
        <w:rPr>
          <w:rFonts w:ascii="Times New Roman" w:hAnsi="Times New Roman" w:cs="Times New Roman"/>
          <w:sz w:val="28"/>
          <w:szCs w:val="28"/>
        </w:rPr>
        <w:t>кістозних</w:t>
      </w:r>
      <w:r w:rsidRPr="00CB3FB6">
        <w:rPr>
          <w:rFonts w:ascii="Times New Roman" w:hAnsi="Times New Roman" w:cs="Times New Roman"/>
          <w:sz w:val="28"/>
          <w:szCs w:val="28"/>
        </w:rPr>
        <w:t xml:space="preserve"> SRM нами було відібрано </w:t>
      </w:r>
      <w:r>
        <w:rPr>
          <w:rFonts w:ascii="Times New Roman" w:hAnsi="Times New Roman" w:cs="Times New Roman"/>
          <w:sz w:val="28"/>
          <w:szCs w:val="28"/>
        </w:rPr>
        <w:t xml:space="preserve">156 випадків кіст нирок. Для цього нами були опрацьовані історії хворіб хворих із </w:t>
      </w:r>
      <w:r>
        <w:rPr>
          <w:rFonts w:ascii="Times New Roman" w:hAnsi="Times New Roman" w:cs="Times New Roman"/>
          <w:sz w:val="28"/>
          <w:szCs w:val="28"/>
          <w:lang w:val="en-US"/>
        </w:rPr>
        <w:t>SRM</w:t>
      </w:r>
      <w:r>
        <w:rPr>
          <w:rFonts w:ascii="Times New Roman" w:hAnsi="Times New Roman" w:cs="Times New Roman"/>
          <w:sz w:val="28"/>
          <w:szCs w:val="28"/>
        </w:rPr>
        <w:t xml:space="preserve"> та електронні бази із результатами КТ та МРТ досліджень. Середній вік хворих складав 58,82±7,25 років (від 36 до 70 р.). Гендерний розподіл пацієнтів із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був наступний: 85 (54,49%) чоловіків та 71 (45,51%) жінка. Усім 156</w:t>
      </w:r>
      <w:r w:rsidRPr="00CB3FB6">
        <w:rPr>
          <w:rFonts w:ascii="Times New Roman" w:hAnsi="Times New Roman" w:cs="Times New Roman"/>
          <w:sz w:val="28"/>
          <w:szCs w:val="28"/>
        </w:rPr>
        <w:t xml:space="preserve"> хворим проводилось крос-секційне обстеження черевної порожнини</w:t>
      </w:r>
      <w:r>
        <w:rPr>
          <w:rFonts w:ascii="Times New Roman" w:hAnsi="Times New Roman" w:cs="Times New Roman"/>
          <w:sz w:val="28"/>
          <w:szCs w:val="28"/>
        </w:rPr>
        <w:t>. В дослідження включались лише такі хворі, яким за умови проведення КТ виконувалось внутрішньовенне контрастування (нам це було важливим для порівняння інформативності новітніх променевих біомаркерів під час всіх фаз КТ). У випадку простих кіст нирок, зазвичай, це були сумнівні з радіологічної точки зору варіанти. Для хворих, яким виконували МРТ при простих кістах (</w:t>
      </w:r>
      <w:r>
        <w:rPr>
          <w:rFonts w:ascii="Times New Roman" w:hAnsi="Times New Roman" w:cs="Times New Roman"/>
          <w:sz w:val="28"/>
          <w:szCs w:val="28"/>
          <w:lang w:val="en-US"/>
        </w:rPr>
        <w:t>Bosniak</w:t>
      </w:r>
      <w:r w:rsidRPr="009E6C7E">
        <w:rPr>
          <w:rFonts w:ascii="Times New Roman" w:hAnsi="Times New Roman" w:cs="Times New Roman"/>
          <w:sz w:val="28"/>
          <w:szCs w:val="28"/>
          <w:lang w:val="ru-RU"/>
        </w:rPr>
        <w:t xml:space="preserve"> 1 </w:t>
      </w:r>
      <w:r>
        <w:rPr>
          <w:rFonts w:ascii="Times New Roman" w:hAnsi="Times New Roman" w:cs="Times New Roman"/>
          <w:sz w:val="28"/>
          <w:szCs w:val="28"/>
        </w:rPr>
        <w:t xml:space="preserve">та 2) це не було обов’язковою умовою. </w:t>
      </w:r>
    </w:p>
    <w:p w:rsidR="00FE4D0E" w:rsidRDefault="00FE4D0E" w:rsidP="00FE4D0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Всі кісти були класифіковані згідно системи </w:t>
      </w:r>
      <w:r>
        <w:rPr>
          <w:rFonts w:ascii="Times New Roman" w:hAnsi="Times New Roman" w:cs="Times New Roman"/>
          <w:sz w:val="28"/>
          <w:szCs w:val="28"/>
          <w:lang w:val="en-US"/>
        </w:rPr>
        <w:t>Bosniak</w:t>
      </w:r>
      <w:r>
        <w:rPr>
          <w:rFonts w:ascii="Times New Roman" w:hAnsi="Times New Roman" w:cs="Times New Roman"/>
          <w:sz w:val="28"/>
          <w:szCs w:val="28"/>
        </w:rPr>
        <w:t xml:space="preserve"> за допомогою крос-секційних обстежень (КТ чи МРТ), згідно якої був виконаний розподіл на групи: кісти категорії І (</w:t>
      </w:r>
      <w:r>
        <w:rPr>
          <w:rFonts w:ascii="Times New Roman" w:hAnsi="Times New Roman" w:cs="Times New Roman"/>
          <w:sz w:val="28"/>
          <w:szCs w:val="28"/>
          <w:lang w:val="en-US"/>
        </w:rPr>
        <w:t>n</w:t>
      </w:r>
      <w:r w:rsidRPr="009E6C7E">
        <w:rPr>
          <w:rFonts w:ascii="Times New Roman" w:hAnsi="Times New Roman" w:cs="Times New Roman"/>
          <w:sz w:val="28"/>
          <w:szCs w:val="28"/>
        </w:rPr>
        <w:t>=30)</w:t>
      </w:r>
      <w:r>
        <w:rPr>
          <w:rFonts w:ascii="Times New Roman" w:hAnsi="Times New Roman" w:cs="Times New Roman"/>
          <w:sz w:val="28"/>
          <w:szCs w:val="28"/>
        </w:rPr>
        <w:t>, кісти категорії ІІ</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n</w:t>
      </w:r>
      <w:r w:rsidRPr="009E6C7E">
        <w:rPr>
          <w:rFonts w:ascii="Times New Roman" w:hAnsi="Times New Roman" w:cs="Times New Roman"/>
          <w:sz w:val="28"/>
          <w:szCs w:val="28"/>
        </w:rPr>
        <w:t>=25)</w:t>
      </w:r>
      <w:r>
        <w:rPr>
          <w:rFonts w:ascii="Times New Roman" w:hAnsi="Times New Roman" w:cs="Times New Roman"/>
          <w:sz w:val="28"/>
          <w:szCs w:val="28"/>
        </w:rPr>
        <w:t>, кісти категорії ІІ</w:t>
      </w:r>
      <w:r>
        <w:rPr>
          <w:rFonts w:ascii="Times New Roman" w:hAnsi="Times New Roman" w:cs="Times New Roman"/>
          <w:sz w:val="28"/>
          <w:szCs w:val="28"/>
          <w:lang w:val="en-US"/>
        </w:rPr>
        <w:t>F</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n</w:t>
      </w:r>
      <w:r w:rsidRPr="009E6C7E">
        <w:rPr>
          <w:rFonts w:ascii="Times New Roman" w:hAnsi="Times New Roman" w:cs="Times New Roman"/>
          <w:sz w:val="28"/>
          <w:szCs w:val="28"/>
        </w:rPr>
        <w:t>=21)</w:t>
      </w:r>
      <w:r>
        <w:rPr>
          <w:rFonts w:ascii="Times New Roman" w:hAnsi="Times New Roman" w:cs="Times New Roman"/>
          <w:sz w:val="28"/>
          <w:szCs w:val="28"/>
        </w:rPr>
        <w:t xml:space="preserve">, кісти категорії ІІІ </w:t>
      </w:r>
      <w:r w:rsidRPr="009E6C7E">
        <w:rPr>
          <w:rFonts w:ascii="Times New Roman" w:hAnsi="Times New Roman" w:cs="Times New Roman"/>
          <w:sz w:val="28"/>
          <w:szCs w:val="28"/>
        </w:rPr>
        <w:t>(</w:t>
      </w:r>
      <w:r>
        <w:rPr>
          <w:rFonts w:ascii="Times New Roman" w:hAnsi="Times New Roman" w:cs="Times New Roman"/>
          <w:sz w:val="28"/>
          <w:szCs w:val="28"/>
          <w:lang w:val="en-US"/>
        </w:rPr>
        <w:t>n</w:t>
      </w:r>
      <w:r w:rsidRPr="009E6C7E">
        <w:rPr>
          <w:rFonts w:ascii="Times New Roman" w:hAnsi="Times New Roman" w:cs="Times New Roman"/>
          <w:sz w:val="28"/>
          <w:szCs w:val="28"/>
        </w:rPr>
        <w:t xml:space="preserve">=31) </w:t>
      </w:r>
      <w:r>
        <w:rPr>
          <w:rFonts w:ascii="Times New Roman" w:hAnsi="Times New Roman" w:cs="Times New Roman"/>
          <w:sz w:val="28"/>
          <w:szCs w:val="28"/>
        </w:rPr>
        <w:t>та кісти категорії І</w:t>
      </w:r>
      <w:r>
        <w:rPr>
          <w:rFonts w:ascii="Times New Roman" w:hAnsi="Times New Roman" w:cs="Times New Roman"/>
          <w:sz w:val="28"/>
          <w:szCs w:val="28"/>
          <w:lang w:val="en-US"/>
        </w:rPr>
        <w:t>V</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n</w:t>
      </w:r>
      <w:r w:rsidRPr="009E6C7E">
        <w:rPr>
          <w:rFonts w:ascii="Times New Roman" w:hAnsi="Times New Roman" w:cs="Times New Roman"/>
          <w:sz w:val="28"/>
          <w:szCs w:val="28"/>
        </w:rPr>
        <w:t>=29)</w:t>
      </w:r>
      <w:r>
        <w:rPr>
          <w:rFonts w:ascii="Times New Roman" w:hAnsi="Times New Roman" w:cs="Times New Roman"/>
          <w:sz w:val="28"/>
          <w:szCs w:val="28"/>
        </w:rPr>
        <w:t>. При кістах категорії ІІ</w:t>
      </w:r>
      <w:r>
        <w:rPr>
          <w:rFonts w:ascii="Times New Roman" w:hAnsi="Times New Roman" w:cs="Times New Roman"/>
          <w:sz w:val="28"/>
          <w:szCs w:val="28"/>
          <w:lang w:val="en-US"/>
        </w:rPr>
        <w:t>F</w:t>
      </w:r>
      <w:r>
        <w:rPr>
          <w:rFonts w:ascii="Times New Roman" w:hAnsi="Times New Roman" w:cs="Times New Roman"/>
          <w:sz w:val="28"/>
          <w:szCs w:val="28"/>
        </w:rPr>
        <w:t xml:space="preserve"> у дослідження включали випадки, які спостерігались протягом мінімум 1 року (середня тривалість спостереження – 1,2 р.), за допомогою крос-секційних методів обстеження</w:t>
      </w:r>
      <w:r w:rsidRPr="004E57D1">
        <w:rPr>
          <w:rFonts w:ascii="Times New Roman" w:hAnsi="Times New Roman" w:cs="Times New Roman"/>
          <w:sz w:val="28"/>
          <w:szCs w:val="28"/>
        </w:rPr>
        <w:t xml:space="preserve"> </w:t>
      </w:r>
      <w:r>
        <w:rPr>
          <w:rFonts w:ascii="Times New Roman" w:hAnsi="Times New Roman" w:cs="Times New Roman"/>
          <w:sz w:val="28"/>
          <w:szCs w:val="28"/>
        </w:rPr>
        <w:t xml:space="preserve">із контрастуванням, і у яких протягом цього часу не було виявлено променевих ознак малігнізації кісти; або кісти, які впродовж періоду активного променевого спостереження за ними виявляли ознаки малігнізації (потовщення перегородок та/чи стінок, підвищене накопичення контрастних речовин в них тощо), що було показом для хірургічного лікування. Усім відібраним в дослідження хворим з ускладненими кістами нирок категорій 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ІІІ та </w:t>
      </w:r>
      <w:r>
        <w:rPr>
          <w:rFonts w:ascii="Times New Roman" w:hAnsi="Times New Roman" w:cs="Times New Roman"/>
          <w:sz w:val="28"/>
          <w:szCs w:val="28"/>
          <w:lang w:val="en-US"/>
        </w:rPr>
        <w:t>IV</w:t>
      </w:r>
      <w:r>
        <w:rPr>
          <w:rFonts w:ascii="Times New Roman" w:hAnsi="Times New Roman" w:cs="Times New Roman"/>
          <w:sz w:val="28"/>
          <w:szCs w:val="28"/>
        </w:rPr>
        <w:t xml:space="preserve"> було виконане хірургічне лікування. В таких випадках обов’язковою умовою включення в дослідження була наявність патоморфологічного заключення. Для контролю </w:t>
      </w:r>
      <w:r>
        <w:rPr>
          <w:rFonts w:ascii="Times New Roman" w:hAnsi="Times New Roman" w:cs="Times New Roman"/>
          <w:sz w:val="28"/>
          <w:szCs w:val="28"/>
        </w:rPr>
        <w:lastRenderedPageBreak/>
        <w:t>нами було використано референтні значення нормальної ниркової паренхіми, отримані в попередній частині дослідження при проведенні КТ (</w:t>
      </w:r>
      <w:r>
        <w:rPr>
          <w:rFonts w:ascii="Times New Roman" w:hAnsi="Times New Roman" w:cs="Times New Roman"/>
          <w:sz w:val="28"/>
          <w:szCs w:val="28"/>
          <w:lang w:val="en-US"/>
        </w:rPr>
        <w:t>n</w:t>
      </w:r>
      <w:r w:rsidRPr="009E6C7E">
        <w:rPr>
          <w:rFonts w:ascii="Times New Roman" w:hAnsi="Times New Roman" w:cs="Times New Roman"/>
          <w:sz w:val="28"/>
          <w:szCs w:val="28"/>
          <w:lang w:val="ru-RU"/>
        </w:rPr>
        <w:t xml:space="preserve">=30) </w:t>
      </w:r>
      <w:r>
        <w:rPr>
          <w:rFonts w:ascii="Times New Roman" w:hAnsi="Times New Roman" w:cs="Times New Roman"/>
          <w:sz w:val="28"/>
          <w:szCs w:val="28"/>
        </w:rPr>
        <w:t>чи МРТ</w:t>
      </w:r>
      <w:r w:rsidRPr="009E6C7E">
        <w:rPr>
          <w:rFonts w:ascii="Times New Roman" w:hAnsi="Times New Roman" w:cs="Times New Roman"/>
          <w:sz w:val="28"/>
          <w:szCs w:val="28"/>
          <w:lang w:val="ru-RU"/>
        </w:rPr>
        <w:t xml:space="preserve"> (</w:t>
      </w:r>
      <w:r>
        <w:rPr>
          <w:rFonts w:ascii="Times New Roman" w:hAnsi="Times New Roman" w:cs="Times New Roman"/>
          <w:sz w:val="28"/>
          <w:szCs w:val="28"/>
          <w:lang w:val="en-US"/>
        </w:rPr>
        <w:t>n</w:t>
      </w:r>
      <w:r w:rsidRPr="009E6C7E">
        <w:rPr>
          <w:rFonts w:ascii="Times New Roman" w:hAnsi="Times New Roman" w:cs="Times New Roman"/>
          <w:sz w:val="28"/>
          <w:szCs w:val="28"/>
          <w:lang w:val="ru-RU"/>
        </w:rPr>
        <w:t>=30)</w:t>
      </w:r>
      <w:r>
        <w:rPr>
          <w:rFonts w:ascii="Times New Roman" w:hAnsi="Times New Roman" w:cs="Times New Roman"/>
          <w:sz w:val="28"/>
          <w:szCs w:val="28"/>
        </w:rPr>
        <w:t xml:space="preserve"> у осіб без ниркової патології. </w:t>
      </w:r>
    </w:p>
    <w:p w:rsidR="003E3164" w:rsidRPr="006A0DAA" w:rsidRDefault="00FE4D0E" w:rsidP="00034E9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після ретельного ретроспективного відбору випадків за даними історій хворіб та проспективного відбору хворих, до</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групи із кістами нирок категорії </w:t>
      </w:r>
      <w:r>
        <w:rPr>
          <w:rFonts w:ascii="Times New Roman" w:hAnsi="Times New Roman" w:cs="Times New Roman"/>
          <w:sz w:val="28"/>
          <w:szCs w:val="28"/>
          <w:lang w:val="en-US"/>
        </w:rPr>
        <w:t>IIF</w:t>
      </w:r>
      <w:r>
        <w:rPr>
          <w:rFonts w:ascii="Times New Roman" w:hAnsi="Times New Roman" w:cs="Times New Roman"/>
          <w:sz w:val="28"/>
          <w:szCs w:val="28"/>
        </w:rPr>
        <w:t xml:space="preserve"> увійшло 23 (56,10%) пацієнти з кістами із доброякісним перебігом та 18 (43,90%) хворих із малігнізованими кістами за даними післяоперційних пато</w:t>
      </w:r>
      <w:r w:rsidR="00FB296B">
        <w:rPr>
          <w:rFonts w:ascii="Times New Roman" w:hAnsi="Times New Roman" w:cs="Times New Roman"/>
          <w:sz w:val="28"/>
          <w:szCs w:val="28"/>
        </w:rPr>
        <w:t>морфо</w:t>
      </w:r>
      <w:r>
        <w:rPr>
          <w:rFonts w:ascii="Times New Roman" w:hAnsi="Times New Roman" w:cs="Times New Roman"/>
          <w:sz w:val="28"/>
          <w:szCs w:val="28"/>
        </w:rPr>
        <w:t xml:space="preserve">логічних заключень. Серед категорії кіст ІІІ було 24 (77,42%) випадки НКР, 3 (9,68%) випадки кістозного варіанту АМЛ із низьким вмістом жиру, та 3 (9,68,90%) ОЦ із вираженим кістозним компонентом та 1 (3,23%) з кістозною нефромою. Поміж кіст категорії </w:t>
      </w:r>
      <w:r>
        <w:rPr>
          <w:rFonts w:ascii="Times New Roman" w:hAnsi="Times New Roman" w:cs="Times New Roman"/>
          <w:sz w:val="28"/>
          <w:szCs w:val="28"/>
          <w:lang w:val="en-US"/>
        </w:rPr>
        <w:t>IV</w:t>
      </w:r>
      <w:r>
        <w:rPr>
          <w:rFonts w:ascii="Times New Roman" w:hAnsi="Times New Roman" w:cs="Times New Roman"/>
          <w:sz w:val="28"/>
          <w:szCs w:val="28"/>
        </w:rPr>
        <w:t xml:space="preserve"> було 27 (93,10%) хворих із НКР, 1 (3,45%) з кістозним варіантом АМЛ із низьким вмістом жиру, та 1 (3,45%) з кістозною формою ОЦ. Детальна характеристика осіб з кістозними </w:t>
      </w:r>
      <w:r>
        <w:rPr>
          <w:rFonts w:ascii="Times New Roman" w:hAnsi="Times New Roman" w:cs="Times New Roman"/>
          <w:sz w:val="28"/>
          <w:szCs w:val="28"/>
          <w:lang w:val="en-US"/>
        </w:rPr>
        <w:t>SRM</w:t>
      </w:r>
      <w:r w:rsidRPr="009E6C7E">
        <w:rPr>
          <w:rFonts w:ascii="Times New Roman" w:hAnsi="Times New Roman" w:cs="Times New Roman"/>
          <w:sz w:val="28"/>
          <w:szCs w:val="28"/>
          <w:lang w:val="ru-RU"/>
        </w:rPr>
        <w:t xml:space="preserve"> </w:t>
      </w:r>
      <w:r w:rsidR="00B83560">
        <w:rPr>
          <w:rFonts w:ascii="Times New Roman" w:hAnsi="Times New Roman" w:cs="Times New Roman"/>
          <w:sz w:val="28"/>
          <w:szCs w:val="28"/>
        </w:rPr>
        <w:t>наведена у таблиці 3.11</w:t>
      </w:r>
      <w:r w:rsidR="00F37271">
        <w:rPr>
          <w:rFonts w:ascii="Times New Roman" w:hAnsi="Times New Roman" w:cs="Times New Roman"/>
          <w:sz w:val="28"/>
          <w:szCs w:val="28"/>
        </w:rPr>
        <w:t>.</w:t>
      </w:r>
    </w:p>
    <w:p w:rsidR="00FE4D0E" w:rsidRDefault="00B83560" w:rsidP="00FE4D0E">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3.11</w:t>
      </w:r>
    </w:p>
    <w:p w:rsidR="00FE4D0E" w:rsidRDefault="00FE4D0E" w:rsidP="00FE4D0E">
      <w:pPr>
        <w:spacing w:line="360" w:lineRule="auto"/>
        <w:ind w:firstLine="360"/>
        <w:jc w:val="center"/>
        <w:rPr>
          <w:rFonts w:ascii="Times New Roman" w:hAnsi="Times New Roman" w:cs="Times New Roman"/>
          <w:sz w:val="28"/>
          <w:szCs w:val="28"/>
        </w:rPr>
      </w:pPr>
      <w:r w:rsidRPr="00CB3FB6">
        <w:rPr>
          <w:rFonts w:ascii="Times New Roman" w:hAnsi="Times New Roman" w:cs="Times New Roman"/>
          <w:sz w:val="28"/>
          <w:szCs w:val="28"/>
        </w:rPr>
        <w:t xml:space="preserve">Характеристика досліджуваних хворих із </w:t>
      </w:r>
      <w:r>
        <w:rPr>
          <w:rFonts w:ascii="Times New Roman" w:hAnsi="Times New Roman" w:cs="Times New Roman"/>
          <w:sz w:val="28"/>
          <w:szCs w:val="28"/>
        </w:rPr>
        <w:t xml:space="preserve">кістозними </w:t>
      </w:r>
      <w:r w:rsidRPr="00CB3FB6">
        <w:rPr>
          <w:rFonts w:ascii="Times New Roman" w:hAnsi="Times New Roman" w:cs="Times New Roman"/>
          <w:sz w:val="28"/>
          <w:szCs w:val="28"/>
        </w:rPr>
        <w:t>SRM</w:t>
      </w:r>
    </w:p>
    <w:tbl>
      <w:tblPr>
        <w:tblStyle w:val="TableGrid"/>
        <w:tblW w:w="9351" w:type="dxa"/>
        <w:tblLook w:val="04A0" w:firstRow="1" w:lastRow="0" w:firstColumn="1" w:lastColumn="0" w:noHBand="0" w:noVBand="1"/>
      </w:tblPr>
      <w:tblGrid>
        <w:gridCol w:w="1838"/>
        <w:gridCol w:w="1134"/>
        <w:gridCol w:w="2977"/>
        <w:gridCol w:w="3402"/>
      </w:tblGrid>
      <w:tr w:rsidR="00FE4D0E" w:rsidRPr="00CB3FB6" w:rsidTr="001F0C51">
        <w:tc>
          <w:tcPr>
            <w:tcW w:w="1838" w:type="dxa"/>
            <w:vMerge w:val="restart"/>
          </w:tcPr>
          <w:p w:rsidR="00FE4D0E" w:rsidRPr="00CB3FB6" w:rsidRDefault="00FE4D0E" w:rsidP="001F0C51">
            <w:pPr>
              <w:spacing w:line="360" w:lineRule="auto"/>
              <w:jc w:val="both"/>
              <w:rPr>
                <w:rFonts w:ascii="Times New Roman" w:hAnsi="Times New Roman" w:cs="Times New Roman"/>
                <w:b/>
                <w:sz w:val="28"/>
                <w:szCs w:val="28"/>
              </w:rPr>
            </w:pPr>
            <w:r w:rsidRPr="00CB3FB6">
              <w:rPr>
                <w:rFonts w:ascii="Times New Roman" w:hAnsi="Times New Roman" w:cs="Times New Roman"/>
                <w:b/>
                <w:sz w:val="28"/>
                <w:szCs w:val="28"/>
              </w:rPr>
              <w:t>Діагноз</w:t>
            </w:r>
          </w:p>
        </w:tc>
        <w:tc>
          <w:tcPr>
            <w:tcW w:w="1134" w:type="dxa"/>
            <w:vMerge w:val="restart"/>
          </w:tcPr>
          <w:p w:rsidR="00FE4D0E" w:rsidRPr="00CB3FB6" w:rsidRDefault="00FE4D0E" w:rsidP="001F0C51">
            <w:pPr>
              <w:spacing w:line="360" w:lineRule="auto"/>
              <w:jc w:val="center"/>
              <w:rPr>
                <w:rFonts w:ascii="Times New Roman" w:hAnsi="Times New Roman" w:cs="Times New Roman"/>
                <w:b/>
                <w:sz w:val="28"/>
                <w:szCs w:val="28"/>
              </w:rPr>
            </w:pPr>
            <w:r w:rsidRPr="00CB3FB6">
              <w:rPr>
                <w:rFonts w:ascii="Times New Roman" w:hAnsi="Times New Roman" w:cs="Times New Roman"/>
                <w:b/>
                <w:sz w:val="28"/>
                <w:szCs w:val="28"/>
              </w:rPr>
              <w:t>N</w:t>
            </w:r>
          </w:p>
        </w:tc>
        <w:tc>
          <w:tcPr>
            <w:tcW w:w="6379" w:type="dxa"/>
            <w:gridSpan w:val="2"/>
          </w:tcPr>
          <w:p w:rsidR="00FE4D0E" w:rsidRPr="00CB3FB6" w:rsidRDefault="00FE4D0E" w:rsidP="001F0C51">
            <w:pPr>
              <w:spacing w:line="360" w:lineRule="auto"/>
              <w:jc w:val="center"/>
              <w:rPr>
                <w:rFonts w:ascii="Times New Roman" w:hAnsi="Times New Roman" w:cs="Times New Roman"/>
                <w:b/>
                <w:sz w:val="28"/>
                <w:szCs w:val="28"/>
              </w:rPr>
            </w:pPr>
            <w:r w:rsidRPr="00CB3FB6">
              <w:rPr>
                <w:rFonts w:ascii="Times New Roman" w:hAnsi="Times New Roman" w:cs="Times New Roman"/>
                <w:b/>
                <w:sz w:val="28"/>
                <w:szCs w:val="28"/>
              </w:rPr>
              <w:t>Характеристика</w:t>
            </w:r>
          </w:p>
        </w:tc>
      </w:tr>
      <w:tr w:rsidR="00FE4D0E" w:rsidRPr="00CB3FB6" w:rsidTr="001F0C51">
        <w:tc>
          <w:tcPr>
            <w:tcW w:w="1838" w:type="dxa"/>
            <w:vMerge/>
          </w:tcPr>
          <w:p w:rsidR="00FE4D0E" w:rsidRPr="00CB3FB6" w:rsidRDefault="00FE4D0E" w:rsidP="001F0C51">
            <w:pPr>
              <w:spacing w:line="360" w:lineRule="auto"/>
              <w:jc w:val="both"/>
              <w:rPr>
                <w:rFonts w:ascii="Times New Roman" w:hAnsi="Times New Roman" w:cs="Times New Roman"/>
                <w:b/>
                <w:sz w:val="28"/>
                <w:szCs w:val="28"/>
              </w:rPr>
            </w:pPr>
          </w:p>
        </w:tc>
        <w:tc>
          <w:tcPr>
            <w:tcW w:w="1134" w:type="dxa"/>
            <w:vMerge/>
          </w:tcPr>
          <w:p w:rsidR="00FE4D0E" w:rsidRPr="00CB3FB6" w:rsidRDefault="00FE4D0E" w:rsidP="001F0C51">
            <w:pPr>
              <w:spacing w:line="360" w:lineRule="auto"/>
              <w:jc w:val="center"/>
              <w:rPr>
                <w:rFonts w:ascii="Times New Roman" w:hAnsi="Times New Roman" w:cs="Times New Roman"/>
                <w:b/>
                <w:sz w:val="28"/>
                <w:szCs w:val="28"/>
              </w:rPr>
            </w:pPr>
          </w:p>
        </w:tc>
        <w:tc>
          <w:tcPr>
            <w:tcW w:w="2977" w:type="dxa"/>
          </w:tcPr>
          <w:p w:rsidR="00FE4D0E" w:rsidRPr="00CB3FB6" w:rsidRDefault="00FE4D0E" w:rsidP="001F0C51">
            <w:pPr>
              <w:spacing w:line="360" w:lineRule="auto"/>
              <w:jc w:val="center"/>
              <w:rPr>
                <w:rFonts w:ascii="Times New Roman" w:hAnsi="Times New Roman" w:cs="Times New Roman"/>
                <w:b/>
                <w:sz w:val="28"/>
                <w:szCs w:val="28"/>
              </w:rPr>
            </w:pPr>
            <w:r w:rsidRPr="00CB3FB6">
              <w:rPr>
                <w:rFonts w:ascii="Times New Roman" w:hAnsi="Times New Roman" w:cs="Times New Roman"/>
                <w:b/>
                <w:sz w:val="28"/>
                <w:szCs w:val="28"/>
              </w:rPr>
              <w:t>Середній вік, р±СВ</w:t>
            </w:r>
          </w:p>
        </w:tc>
        <w:tc>
          <w:tcPr>
            <w:tcW w:w="3402" w:type="dxa"/>
          </w:tcPr>
          <w:p w:rsidR="00FE4D0E" w:rsidRPr="00CB3FB6" w:rsidRDefault="00FE4D0E" w:rsidP="001F0C51">
            <w:pPr>
              <w:spacing w:line="360" w:lineRule="auto"/>
              <w:jc w:val="center"/>
              <w:rPr>
                <w:rFonts w:ascii="Times New Roman" w:hAnsi="Times New Roman" w:cs="Times New Roman"/>
                <w:b/>
                <w:sz w:val="28"/>
                <w:szCs w:val="28"/>
              </w:rPr>
            </w:pPr>
            <w:r w:rsidRPr="00CB3FB6">
              <w:rPr>
                <w:rFonts w:ascii="Times New Roman" w:hAnsi="Times New Roman" w:cs="Times New Roman"/>
                <w:b/>
                <w:sz w:val="28"/>
                <w:szCs w:val="28"/>
              </w:rPr>
              <w:t>Середній розмір SRM, см±СВ</w:t>
            </w:r>
          </w:p>
        </w:tc>
      </w:tr>
      <w:tr w:rsidR="00FE4D0E" w:rsidRPr="00CB3FB6" w:rsidTr="001F0C51">
        <w:tc>
          <w:tcPr>
            <w:tcW w:w="1838" w:type="dxa"/>
          </w:tcPr>
          <w:p w:rsidR="00FE4D0E" w:rsidRDefault="00FE4D0E" w:rsidP="001F0C51">
            <w:pPr>
              <w:jc w:val="both"/>
              <w:rPr>
                <w:rFonts w:ascii="Times New Roman" w:hAnsi="Times New Roman" w:cs="Times New Roman"/>
                <w:sz w:val="28"/>
                <w:szCs w:val="28"/>
              </w:rPr>
            </w:pP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І</w:t>
            </w:r>
          </w:p>
          <w:p w:rsidR="00FE4D0E" w:rsidRDefault="00FE4D0E" w:rsidP="001F0C51">
            <w:pPr>
              <w:jc w:val="both"/>
              <w:rPr>
                <w:rFonts w:ascii="Times New Roman" w:hAnsi="Times New Roman" w:cs="Times New Roman"/>
                <w:sz w:val="28"/>
                <w:szCs w:val="28"/>
              </w:rPr>
            </w:pP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ІІ</w:t>
            </w:r>
          </w:p>
          <w:p w:rsidR="00FE4D0E" w:rsidRPr="009E6C7E" w:rsidRDefault="00FE4D0E" w:rsidP="001F0C51">
            <w:pPr>
              <w:jc w:val="both"/>
              <w:rPr>
                <w:rFonts w:ascii="Times New Roman" w:hAnsi="Times New Roman" w:cs="Times New Roman"/>
                <w:sz w:val="28"/>
                <w:szCs w:val="28"/>
              </w:rPr>
            </w:pP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ІІ</w:t>
            </w:r>
            <w:r>
              <w:rPr>
                <w:rFonts w:ascii="Times New Roman" w:hAnsi="Times New Roman" w:cs="Times New Roman"/>
                <w:sz w:val="28"/>
                <w:szCs w:val="28"/>
                <w:lang w:val="en-US"/>
              </w:rPr>
              <w:t>F</w:t>
            </w:r>
          </w:p>
          <w:p w:rsidR="00FE4D0E" w:rsidRPr="006E5A46" w:rsidRDefault="00FE4D0E" w:rsidP="001F0C5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Bosniak </w:t>
            </w:r>
            <w:r>
              <w:rPr>
                <w:rFonts w:ascii="Times New Roman" w:hAnsi="Times New Roman" w:cs="Times New Roman"/>
                <w:sz w:val="28"/>
                <w:szCs w:val="28"/>
              </w:rPr>
              <w:t>І</w:t>
            </w:r>
            <w:r>
              <w:rPr>
                <w:rFonts w:ascii="Times New Roman" w:hAnsi="Times New Roman" w:cs="Times New Roman"/>
                <w:sz w:val="28"/>
                <w:szCs w:val="28"/>
                <w:lang w:val="en-US"/>
              </w:rPr>
              <w:t>II</w:t>
            </w:r>
          </w:p>
          <w:p w:rsidR="00FE4D0E" w:rsidRPr="006E5A46" w:rsidRDefault="00FE4D0E" w:rsidP="001F0C5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Bosniak </w:t>
            </w:r>
            <w:r>
              <w:rPr>
                <w:rFonts w:ascii="Times New Roman" w:hAnsi="Times New Roman" w:cs="Times New Roman"/>
                <w:sz w:val="28"/>
                <w:szCs w:val="28"/>
              </w:rPr>
              <w:t>І</w:t>
            </w:r>
            <w:r>
              <w:rPr>
                <w:rFonts w:ascii="Times New Roman" w:hAnsi="Times New Roman" w:cs="Times New Roman"/>
                <w:sz w:val="28"/>
                <w:szCs w:val="28"/>
                <w:lang w:val="en-US"/>
              </w:rPr>
              <w:t>V</w:t>
            </w:r>
          </w:p>
        </w:tc>
        <w:tc>
          <w:tcPr>
            <w:tcW w:w="1134"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30</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25</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41</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31</w:t>
            </w:r>
          </w:p>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29</w:t>
            </w:r>
          </w:p>
        </w:tc>
        <w:tc>
          <w:tcPr>
            <w:tcW w:w="2977" w:type="dxa"/>
          </w:tcPr>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57,15±4,36</w:t>
            </w:r>
          </w:p>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59,41±4,2</w:t>
            </w:r>
            <w:r w:rsidRPr="00CB3FB6">
              <w:rPr>
                <w:rFonts w:ascii="Times New Roman" w:hAnsi="Times New Roman" w:cs="Times New Roman"/>
                <w:sz w:val="28"/>
                <w:szCs w:val="28"/>
              </w:rPr>
              <w:t>2</w:t>
            </w:r>
          </w:p>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56,29±6,5</w:t>
            </w:r>
            <w:r w:rsidRPr="00CB3FB6">
              <w:rPr>
                <w:rFonts w:ascii="Times New Roman" w:hAnsi="Times New Roman" w:cs="Times New Roman"/>
                <w:sz w:val="28"/>
                <w:szCs w:val="28"/>
              </w:rPr>
              <w:t>8</w:t>
            </w:r>
          </w:p>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59,50±7,11</w:t>
            </w:r>
          </w:p>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59,72±5</w:t>
            </w:r>
            <w:r w:rsidRPr="00CB3FB6">
              <w:rPr>
                <w:rFonts w:ascii="Times New Roman" w:hAnsi="Times New Roman" w:cs="Times New Roman"/>
                <w:sz w:val="28"/>
                <w:szCs w:val="28"/>
              </w:rPr>
              <w:t>,46</w:t>
            </w:r>
          </w:p>
        </w:tc>
        <w:tc>
          <w:tcPr>
            <w:tcW w:w="3402" w:type="dxa"/>
          </w:tcPr>
          <w:p w:rsidR="00FE4D0E" w:rsidRPr="00CB3FB6" w:rsidRDefault="00FE4D0E"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3,15±0,4</w:t>
            </w:r>
            <w:r w:rsidRPr="00CB3FB6">
              <w:rPr>
                <w:rFonts w:ascii="Times New Roman" w:hAnsi="Times New Roman" w:cs="Times New Roman"/>
                <w:sz w:val="28"/>
                <w:szCs w:val="28"/>
              </w:rPr>
              <w:t>2</w:t>
            </w:r>
          </w:p>
          <w:p w:rsidR="00FE4D0E" w:rsidRPr="00CB3FB6" w:rsidRDefault="00FE4D0E"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3,36±0,4</w:t>
            </w:r>
            <w:r w:rsidRPr="00CB3FB6">
              <w:rPr>
                <w:rFonts w:ascii="Times New Roman" w:hAnsi="Times New Roman" w:cs="Times New Roman"/>
                <w:sz w:val="28"/>
                <w:szCs w:val="28"/>
              </w:rPr>
              <w:t>6</w:t>
            </w:r>
          </w:p>
          <w:p w:rsidR="00FE4D0E" w:rsidRPr="00CB3FB6" w:rsidRDefault="00FE4D0E"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3,30±0,43</w:t>
            </w:r>
          </w:p>
          <w:p w:rsidR="00FE4D0E" w:rsidRPr="00CB3FB6" w:rsidRDefault="00FE4D0E"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3,43±0,31</w:t>
            </w:r>
          </w:p>
          <w:p w:rsidR="00FE4D0E" w:rsidRPr="00CB3FB6" w:rsidRDefault="00FE4D0E"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3,51±0,23</w:t>
            </w:r>
          </w:p>
        </w:tc>
      </w:tr>
      <w:tr w:rsidR="00FE4D0E" w:rsidRPr="00CB3FB6" w:rsidTr="001F0C51">
        <w:tc>
          <w:tcPr>
            <w:tcW w:w="1838" w:type="dxa"/>
          </w:tcPr>
          <w:p w:rsidR="00FE4D0E" w:rsidRPr="00CB3FB6" w:rsidRDefault="00FE4D0E" w:rsidP="001F0C51">
            <w:pPr>
              <w:spacing w:line="360" w:lineRule="auto"/>
              <w:jc w:val="both"/>
              <w:rPr>
                <w:rFonts w:ascii="Times New Roman" w:hAnsi="Times New Roman" w:cs="Times New Roman"/>
                <w:sz w:val="28"/>
                <w:szCs w:val="28"/>
              </w:rPr>
            </w:pPr>
            <w:r w:rsidRPr="00CB3FB6">
              <w:rPr>
                <w:rFonts w:ascii="Times New Roman" w:hAnsi="Times New Roman" w:cs="Times New Roman"/>
                <w:sz w:val="28"/>
                <w:szCs w:val="28"/>
              </w:rPr>
              <w:t>Всього</w:t>
            </w:r>
          </w:p>
        </w:tc>
        <w:tc>
          <w:tcPr>
            <w:tcW w:w="1134" w:type="dxa"/>
          </w:tcPr>
          <w:p w:rsidR="00FE4D0E" w:rsidRPr="00CB3FB6" w:rsidRDefault="00FE4D0E" w:rsidP="001F0C51">
            <w:pPr>
              <w:spacing w:line="360" w:lineRule="auto"/>
              <w:jc w:val="center"/>
              <w:rPr>
                <w:rFonts w:ascii="Times New Roman" w:hAnsi="Times New Roman" w:cs="Times New Roman"/>
                <w:sz w:val="28"/>
                <w:szCs w:val="28"/>
              </w:rPr>
            </w:pPr>
            <w:r>
              <w:rPr>
                <w:rFonts w:ascii="Times New Roman" w:hAnsi="Times New Roman" w:cs="Times New Roman"/>
                <w:sz w:val="28"/>
                <w:szCs w:val="28"/>
              </w:rPr>
              <w:t>156</w:t>
            </w:r>
          </w:p>
        </w:tc>
        <w:tc>
          <w:tcPr>
            <w:tcW w:w="2977" w:type="dxa"/>
          </w:tcPr>
          <w:p w:rsidR="00FE4D0E" w:rsidRPr="00CB3FB6" w:rsidRDefault="00FE4D0E" w:rsidP="001F0C51">
            <w:pPr>
              <w:spacing w:line="360" w:lineRule="auto"/>
              <w:jc w:val="center"/>
              <w:rPr>
                <w:rFonts w:ascii="Times New Roman" w:hAnsi="Times New Roman" w:cs="Times New Roman"/>
                <w:sz w:val="28"/>
                <w:szCs w:val="28"/>
              </w:rPr>
            </w:pPr>
            <w:r>
              <w:rPr>
                <w:rFonts w:ascii="Times New Roman" w:hAnsi="Times New Roman" w:cs="Times New Roman"/>
                <w:sz w:val="28"/>
                <w:szCs w:val="28"/>
              </w:rPr>
              <w:t>58,82±7,25</w:t>
            </w:r>
          </w:p>
        </w:tc>
        <w:tc>
          <w:tcPr>
            <w:tcW w:w="3402" w:type="dxa"/>
          </w:tcPr>
          <w:p w:rsidR="00FE4D0E" w:rsidRPr="00CB3FB6" w:rsidRDefault="00FE4D0E" w:rsidP="001F0C51">
            <w:pPr>
              <w:spacing w:line="360" w:lineRule="auto"/>
              <w:jc w:val="center"/>
              <w:rPr>
                <w:rFonts w:ascii="Times New Roman" w:hAnsi="Times New Roman" w:cs="Times New Roman"/>
                <w:sz w:val="28"/>
                <w:szCs w:val="28"/>
              </w:rPr>
            </w:pPr>
            <w:r>
              <w:rPr>
                <w:rFonts w:ascii="Times New Roman" w:hAnsi="Times New Roman" w:cs="Times New Roman"/>
                <w:sz w:val="28"/>
                <w:szCs w:val="28"/>
              </w:rPr>
              <w:t>3,52±0,47</w:t>
            </w:r>
          </w:p>
        </w:tc>
      </w:tr>
    </w:tbl>
    <w:p w:rsidR="00034E9D" w:rsidRDefault="00FE4D0E" w:rsidP="00FE4D0E">
      <w:pPr>
        <w:spacing w:line="360" w:lineRule="auto"/>
        <w:jc w:val="both"/>
        <w:rPr>
          <w:rFonts w:ascii="Times New Roman" w:hAnsi="Times New Roman" w:cs="Times New Roman"/>
          <w:sz w:val="28"/>
          <w:szCs w:val="28"/>
        </w:rPr>
      </w:pPr>
      <w:r>
        <w:rPr>
          <w:rFonts w:ascii="Times New Roman" w:hAnsi="Times New Roman" w:cs="Times New Roman"/>
          <w:sz w:val="28"/>
          <w:szCs w:val="28"/>
        </w:rPr>
        <w:t>Умовні позначе</w:t>
      </w:r>
      <w:r w:rsidR="00034E9D">
        <w:rPr>
          <w:rFonts w:ascii="Times New Roman" w:hAnsi="Times New Roman" w:cs="Times New Roman"/>
          <w:sz w:val="28"/>
          <w:szCs w:val="28"/>
        </w:rPr>
        <w:t>ння: СВ – стандартне відхилення</w:t>
      </w:r>
    </w:p>
    <w:p w:rsidR="00034E9D" w:rsidRDefault="00034E9D" w:rsidP="00FE4D0E">
      <w:pPr>
        <w:spacing w:line="360" w:lineRule="auto"/>
        <w:ind w:firstLine="708"/>
        <w:jc w:val="both"/>
        <w:rPr>
          <w:rFonts w:ascii="Times New Roman" w:hAnsi="Times New Roman" w:cs="Times New Roman"/>
          <w:sz w:val="28"/>
          <w:szCs w:val="28"/>
        </w:rPr>
      </w:pPr>
    </w:p>
    <w:p w:rsidR="00FE4D0E" w:rsidRDefault="00FE4D0E" w:rsidP="00FE4D0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класифікацією </w:t>
      </w:r>
      <w:r>
        <w:rPr>
          <w:rFonts w:ascii="Times New Roman" w:hAnsi="Times New Roman" w:cs="Times New Roman"/>
          <w:sz w:val="28"/>
          <w:szCs w:val="28"/>
          <w:lang w:val="en-US"/>
        </w:rPr>
        <w:t>TNM</w:t>
      </w:r>
      <w:r>
        <w:rPr>
          <w:rFonts w:ascii="Times New Roman" w:hAnsi="Times New Roman" w:cs="Times New Roman"/>
          <w:sz w:val="28"/>
          <w:szCs w:val="28"/>
        </w:rPr>
        <w:t xml:space="preserve"> та за даними патоморфологічних заключень усі хворі з НКР були класифіковані, як р</w:t>
      </w:r>
      <w:r>
        <w:rPr>
          <w:rFonts w:ascii="Times New Roman" w:hAnsi="Times New Roman" w:cs="Times New Roman"/>
          <w:sz w:val="28"/>
          <w:szCs w:val="28"/>
          <w:lang w:val="en-US"/>
        </w:rPr>
        <w:t>T</w:t>
      </w:r>
      <w:r w:rsidRPr="009E6C7E">
        <w:rPr>
          <w:rFonts w:ascii="Times New Roman" w:hAnsi="Times New Roman" w:cs="Times New Roman"/>
          <w:sz w:val="28"/>
          <w:szCs w:val="28"/>
        </w:rPr>
        <w:t>1</w:t>
      </w:r>
      <w:r>
        <w:rPr>
          <w:rFonts w:ascii="Times New Roman" w:hAnsi="Times New Roman" w:cs="Times New Roman"/>
          <w:sz w:val="28"/>
          <w:szCs w:val="28"/>
          <w:lang w:val="en-US"/>
        </w:rPr>
        <w:t>aN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(І стадія). В усіх 69 випадках </w:t>
      </w:r>
      <w:r>
        <w:rPr>
          <w:rFonts w:ascii="Times New Roman" w:hAnsi="Times New Roman" w:cs="Times New Roman"/>
          <w:sz w:val="28"/>
          <w:szCs w:val="28"/>
        </w:rPr>
        <w:lastRenderedPageBreak/>
        <w:t xml:space="preserve">НКР було виявлено його конвенційний гістологічний підтип, розподіл згідно двоступеневої класифікації </w:t>
      </w:r>
      <w:r>
        <w:rPr>
          <w:rFonts w:ascii="Times New Roman" w:hAnsi="Times New Roman" w:cs="Times New Roman"/>
          <w:sz w:val="28"/>
          <w:szCs w:val="28"/>
          <w:lang w:val="en-US"/>
        </w:rPr>
        <w:t>Fuhrman</w:t>
      </w:r>
      <w:r w:rsidRPr="009E6C7E">
        <w:rPr>
          <w:rFonts w:ascii="Times New Roman" w:hAnsi="Times New Roman" w:cs="Times New Roman"/>
          <w:sz w:val="28"/>
          <w:szCs w:val="28"/>
        </w:rPr>
        <w:t xml:space="preserve"> </w:t>
      </w:r>
      <w:r>
        <w:rPr>
          <w:rFonts w:ascii="Times New Roman" w:hAnsi="Times New Roman" w:cs="Times New Roman"/>
          <w:sz w:val="28"/>
          <w:szCs w:val="28"/>
        </w:rPr>
        <w:t>був наступний: із низьким ступенем – 38 (55,07%) випадків скНКР, із високим ступенем – 31 (44,93%) випадок скНКР.</w:t>
      </w:r>
      <w:r w:rsidRPr="00CC3430">
        <w:rPr>
          <w:rFonts w:ascii="Times New Roman" w:hAnsi="Times New Roman" w:cs="Times New Roman"/>
          <w:sz w:val="28"/>
          <w:szCs w:val="28"/>
        </w:rPr>
        <w:t xml:space="preserve"> </w:t>
      </w:r>
    </w:p>
    <w:p w:rsidR="00F37271" w:rsidRDefault="00FE4D0E" w:rsidP="00034E9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дослідження було включено 71 (45,51</w:t>
      </w:r>
      <w:r w:rsidRPr="00CB3FB6">
        <w:rPr>
          <w:rFonts w:ascii="Times New Roman" w:hAnsi="Times New Roman" w:cs="Times New Roman"/>
          <w:sz w:val="28"/>
          <w:szCs w:val="28"/>
        </w:rPr>
        <w:t>%) ви</w:t>
      </w:r>
      <w:r>
        <w:rPr>
          <w:rFonts w:ascii="Times New Roman" w:hAnsi="Times New Roman" w:cs="Times New Roman"/>
          <w:sz w:val="28"/>
          <w:szCs w:val="28"/>
        </w:rPr>
        <w:t>падок</w:t>
      </w:r>
      <w:r w:rsidRPr="00CB3FB6">
        <w:rPr>
          <w:rFonts w:ascii="Times New Roman" w:hAnsi="Times New Roman" w:cs="Times New Roman"/>
          <w:sz w:val="28"/>
          <w:szCs w:val="28"/>
        </w:rPr>
        <w:t xml:space="preserve"> із проведеною</w:t>
      </w:r>
      <w:r>
        <w:rPr>
          <w:rFonts w:ascii="Times New Roman" w:hAnsi="Times New Roman" w:cs="Times New Roman"/>
          <w:sz w:val="28"/>
          <w:szCs w:val="28"/>
        </w:rPr>
        <w:t xml:space="preserve"> КТ та 85 (54,49</w:t>
      </w:r>
      <w:r w:rsidRPr="00CB3FB6">
        <w:rPr>
          <w:rFonts w:ascii="Times New Roman" w:hAnsi="Times New Roman" w:cs="Times New Roman"/>
          <w:sz w:val="28"/>
          <w:szCs w:val="28"/>
        </w:rPr>
        <w:t>%) випадків із виконаною МРТ. За даними променевих досліджень середній розмір новоутворе</w:t>
      </w:r>
      <w:r>
        <w:rPr>
          <w:rFonts w:ascii="Times New Roman" w:hAnsi="Times New Roman" w:cs="Times New Roman"/>
          <w:sz w:val="28"/>
          <w:szCs w:val="28"/>
        </w:rPr>
        <w:t>ння у хворих із НКР складав 3,15±0,83</w:t>
      </w:r>
      <w:r w:rsidRPr="00CB3FB6">
        <w:rPr>
          <w:rFonts w:ascii="Times New Roman" w:hAnsi="Times New Roman" w:cs="Times New Roman"/>
          <w:sz w:val="28"/>
          <w:szCs w:val="28"/>
        </w:rPr>
        <w:t xml:space="preserve"> см і бу</w:t>
      </w:r>
      <w:r>
        <w:rPr>
          <w:rFonts w:ascii="Times New Roman" w:hAnsi="Times New Roman" w:cs="Times New Roman"/>
          <w:sz w:val="28"/>
          <w:szCs w:val="28"/>
        </w:rPr>
        <w:t>в в межах від 2,0 см до 3,98 см, а доброякісних кіст – 3,31±0,67</w:t>
      </w:r>
      <w:r w:rsidRPr="00CB3FB6">
        <w:rPr>
          <w:rFonts w:ascii="Times New Roman" w:hAnsi="Times New Roman" w:cs="Times New Roman"/>
          <w:sz w:val="28"/>
          <w:szCs w:val="28"/>
        </w:rPr>
        <w:t xml:space="preserve"> см</w:t>
      </w:r>
      <w:r>
        <w:rPr>
          <w:rFonts w:ascii="Times New Roman" w:hAnsi="Times New Roman" w:cs="Times New Roman"/>
          <w:sz w:val="28"/>
          <w:szCs w:val="28"/>
        </w:rPr>
        <w:t xml:space="preserve"> (від 1,55 до 3,97 см). </w:t>
      </w:r>
      <w:r>
        <w:rPr>
          <w:rFonts w:ascii="Times New Roman" w:hAnsi="Times New Roman"/>
          <w:sz w:val="28"/>
          <w:szCs w:val="28"/>
        </w:rPr>
        <w:t xml:space="preserve">Розподіл </w:t>
      </w:r>
      <w:r w:rsidRPr="00CB3FB6">
        <w:rPr>
          <w:rFonts w:ascii="Times New Roman" w:hAnsi="Times New Roman" w:cs="Times New Roman"/>
          <w:sz w:val="28"/>
          <w:szCs w:val="28"/>
        </w:rPr>
        <w:t xml:space="preserve">досліджуваних хворих із </w:t>
      </w:r>
      <w:r>
        <w:rPr>
          <w:rFonts w:ascii="Times New Roman" w:hAnsi="Times New Roman" w:cs="Times New Roman"/>
          <w:sz w:val="28"/>
          <w:szCs w:val="28"/>
        </w:rPr>
        <w:t xml:space="preserve">кістозними </w:t>
      </w:r>
      <w:r w:rsidRPr="00CB3FB6">
        <w:rPr>
          <w:rFonts w:ascii="Times New Roman" w:hAnsi="Times New Roman" w:cs="Times New Roman"/>
          <w:sz w:val="28"/>
          <w:szCs w:val="28"/>
        </w:rPr>
        <w:t>SRM</w:t>
      </w:r>
      <w:r>
        <w:rPr>
          <w:rFonts w:ascii="Times New Roman" w:hAnsi="Times New Roman" w:cs="Times New Roman"/>
          <w:sz w:val="28"/>
          <w:szCs w:val="28"/>
        </w:rPr>
        <w:t xml:space="preserve"> в залежності від класу кісти та методу крос-секційного обс</w:t>
      </w:r>
      <w:r w:rsidR="00B83560">
        <w:rPr>
          <w:rFonts w:ascii="Times New Roman" w:hAnsi="Times New Roman" w:cs="Times New Roman"/>
          <w:sz w:val="28"/>
          <w:szCs w:val="28"/>
        </w:rPr>
        <w:t>теження наведений у таблиці 3.12</w:t>
      </w:r>
      <w:r w:rsidR="00F37271">
        <w:rPr>
          <w:rFonts w:ascii="Times New Roman" w:hAnsi="Times New Roman" w:cs="Times New Roman"/>
          <w:sz w:val="28"/>
          <w:szCs w:val="28"/>
        </w:rPr>
        <w:t>.</w:t>
      </w:r>
    </w:p>
    <w:p w:rsidR="00034E9D" w:rsidRPr="00034E9D" w:rsidRDefault="00034E9D" w:rsidP="00034E9D">
      <w:pPr>
        <w:spacing w:line="360" w:lineRule="auto"/>
        <w:ind w:firstLine="708"/>
        <w:jc w:val="both"/>
        <w:rPr>
          <w:rFonts w:ascii="Times New Roman" w:hAnsi="Times New Roman" w:cs="Times New Roman"/>
          <w:sz w:val="28"/>
          <w:szCs w:val="28"/>
        </w:rPr>
      </w:pPr>
    </w:p>
    <w:p w:rsidR="00FE4D0E" w:rsidRDefault="00FE4D0E" w:rsidP="00FE4D0E">
      <w:pPr>
        <w:spacing w:line="360" w:lineRule="auto"/>
        <w:ind w:firstLine="360"/>
        <w:jc w:val="right"/>
        <w:rPr>
          <w:rFonts w:ascii="Times New Roman" w:hAnsi="Times New Roman"/>
          <w:sz w:val="28"/>
          <w:szCs w:val="28"/>
        </w:rPr>
      </w:pPr>
      <w:r w:rsidRPr="00CB3FB6">
        <w:rPr>
          <w:rFonts w:ascii="Times New Roman" w:hAnsi="Times New Roman"/>
          <w:sz w:val="28"/>
          <w:szCs w:val="28"/>
        </w:rPr>
        <w:t>Таблиця 3.</w:t>
      </w:r>
      <w:r w:rsidR="00B83560">
        <w:rPr>
          <w:rFonts w:ascii="Times New Roman" w:hAnsi="Times New Roman"/>
          <w:sz w:val="28"/>
          <w:szCs w:val="28"/>
        </w:rPr>
        <w:t>12</w:t>
      </w:r>
    </w:p>
    <w:p w:rsidR="00FE4D0E" w:rsidRDefault="00FE4D0E" w:rsidP="00FE4D0E">
      <w:pPr>
        <w:spacing w:line="360" w:lineRule="auto"/>
        <w:ind w:firstLine="360"/>
        <w:jc w:val="center"/>
        <w:rPr>
          <w:rFonts w:ascii="Times New Roman" w:hAnsi="Times New Roman" w:cs="Times New Roman"/>
          <w:sz w:val="28"/>
          <w:szCs w:val="28"/>
        </w:rPr>
      </w:pPr>
      <w:r>
        <w:rPr>
          <w:rFonts w:ascii="Times New Roman" w:hAnsi="Times New Roman"/>
          <w:sz w:val="28"/>
          <w:szCs w:val="28"/>
        </w:rPr>
        <w:t xml:space="preserve">Розподіл </w:t>
      </w:r>
      <w:r w:rsidRPr="00CB3FB6">
        <w:rPr>
          <w:rFonts w:ascii="Times New Roman" w:hAnsi="Times New Roman" w:cs="Times New Roman"/>
          <w:sz w:val="28"/>
          <w:szCs w:val="28"/>
        </w:rPr>
        <w:t xml:space="preserve">досліджуваних хворих із </w:t>
      </w:r>
      <w:r>
        <w:rPr>
          <w:rFonts w:ascii="Times New Roman" w:hAnsi="Times New Roman" w:cs="Times New Roman"/>
          <w:sz w:val="28"/>
          <w:szCs w:val="28"/>
        </w:rPr>
        <w:t xml:space="preserve">кістозними </w:t>
      </w:r>
      <w:r w:rsidRPr="00CB3FB6">
        <w:rPr>
          <w:rFonts w:ascii="Times New Roman" w:hAnsi="Times New Roman" w:cs="Times New Roman"/>
          <w:sz w:val="28"/>
          <w:szCs w:val="28"/>
        </w:rPr>
        <w:t>SRM</w:t>
      </w:r>
      <w:r>
        <w:rPr>
          <w:rFonts w:ascii="Times New Roman" w:hAnsi="Times New Roman" w:cs="Times New Roman"/>
          <w:sz w:val="28"/>
          <w:szCs w:val="28"/>
        </w:rPr>
        <w:t xml:space="preserve"> в залежності від класу кісти та методу крос-секційного обстеження</w:t>
      </w:r>
    </w:p>
    <w:tbl>
      <w:tblPr>
        <w:tblStyle w:val="TableGrid"/>
        <w:tblW w:w="9209" w:type="dxa"/>
        <w:tblLook w:val="04A0" w:firstRow="1" w:lastRow="0" w:firstColumn="1" w:lastColumn="0" w:noHBand="0" w:noVBand="1"/>
      </w:tblPr>
      <w:tblGrid>
        <w:gridCol w:w="3823"/>
        <w:gridCol w:w="1559"/>
        <w:gridCol w:w="1843"/>
        <w:gridCol w:w="1984"/>
      </w:tblGrid>
      <w:tr w:rsidR="00FE4D0E" w:rsidRPr="00CB3FB6" w:rsidTr="001F0C51">
        <w:tc>
          <w:tcPr>
            <w:tcW w:w="3823" w:type="dxa"/>
            <w:vMerge w:val="restart"/>
          </w:tcPr>
          <w:p w:rsidR="00FE4D0E" w:rsidRPr="00CB3FB6" w:rsidRDefault="00FE4D0E" w:rsidP="001F0C51">
            <w:pPr>
              <w:jc w:val="both"/>
              <w:rPr>
                <w:rFonts w:ascii="Times New Roman" w:hAnsi="Times New Roman" w:cs="Times New Roman"/>
                <w:b/>
                <w:sz w:val="28"/>
                <w:szCs w:val="28"/>
              </w:rPr>
            </w:pPr>
            <w:r w:rsidRPr="00CB3FB6">
              <w:rPr>
                <w:rFonts w:ascii="Times New Roman" w:hAnsi="Times New Roman" w:cs="Times New Roman"/>
                <w:b/>
                <w:sz w:val="28"/>
                <w:szCs w:val="28"/>
              </w:rPr>
              <w:t>Діагноз</w:t>
            </w:r>
          </w:p>
        </w:tc>
        <w:tc>
          <w:tcPr>
            <w:tcW w:w="1559" w:type="dxa"/>
            <w:vMerge w:val="restart"/>
          </w:tcPr>
          <w:p w:rsidR="00FE4D0E" w:rsidRDefault="00FE4D0E" w:rsidP="001F0C51">
            <w:pPr>
              <w:jc w:val="center"/>
              <w:rPr>
                <w:rFonts w:ascii="Times New Roman" w:hAnsi="Times New Roman" w:cs="Times New Roman"/>
                <w:b/>
                <w:sz w:val="28"/>
                <w:szCs w:val="28"/>
              </w:rPr>
            </w:pPr>
            <w:r>
              <w:rPr>
                <w:rFonts w:ascii="Times New Roman" w:hAnsi="Times New Roman" w:cs="Times New Roman"/>
                <w:b/>
                <w:sz w:val="28"/>
                <w:szCs w:val="28"/>
              </w:rPr>
              <w:t>Всього,</w:t>
            </w:r>
          </w:p>
          <w:p w:rsidR="00FE4D0E" w:rsidRPr="00CB3FB6" w:rsidRDefault="00FE4D0E" w:rsidP="001F0C51">
            <w:pPr>
              <w:jc w:val="center"/>
              <w:rPr>
                <w:rFonts w:ascii="Times New Roman" w:hAnsi="Times New Roman" w:cs="Times New Roman"/>
                <w:b/>
                <w:sz w:val="28"/>
                <w:szCs w:val="28"/>
              </w:rPr>
            </w:pPr>
            <w:r>
              <w:rPr>
                <w:rFonts w:ascii="Times New Roman" w:hAnsi="Times New Roman" w:cs="Times New Roman"/>
                <w:b/>
                <w:sz w:val="28"/>
                <w:szCs w:val="28"/>
              </w:rPr>
              <w:t>асб</w:t>
            </w:r>
          </w:p>
        </w:tc>
        <w:tc>
          <w:tcPr>
            <w:tcW w:w="3827" w:type="dxa"/>
            <w:gridSpan w:val="2"/>
          </w:tcPr>
          <w:p w:rsidR="00FE4D0E" w:rsidRPr="00CB3FB6" w:rsidRDefault="00FE4D0E" w:rsidP="001F0C51">
            <w:pPr>
              <w:jc w:val="center"/>
              <w:rPr>
                <w:rFonts w:ascii="Times New Roman" w:hAnsi="Times New Roman" w:cs="Times New Roman"/>
                <w:b/>
                <w:sz w:val="28"/>
                <w:szCs w:val="28"/>
              </w:rPr>
            </w:pPr>
            <w:r>
              <w:rPr>
                <w:rFonts w:ascii="Times New Roman" w:hAnsi="Times New Roman" w:cs="Times New Roman"/>
                <w:b/>
                <w:sz w:val="28"/>
                <w:szCs w:val="28"/>
              </w:rPr>
              <w:t>Тип дослідження</w:t>
            </w:r>
          </w:p>
        </w:tc>
      </w:tr>
      <w:tr w:rsidR="00FE4D0E" w:rsidRPr="00CB3FB6" w:rsidTr="001F0C51">
        <w:tc>
          <w:tcPr>
            <w:tcW w:w="3823" w:type="dxa"/>
            <w:vMerge/>
          </w:tcPr>
          <w:p w:rsidR="00FE4D0E" w:rsidRPr="00CB3FB6" w:rsidRDefault="00FE4D0E" w:rsidP="001F0C51">
            <w:pPr>
              <w:jc w:val="both"/>
              <w:rPr>
                <w:rFonts w:ascii="Times New Roman" w:hAnsi="Times New Roman" w:cs="Times New Roman"/>
                <w:b/>
                <w:sz w:val="28"/>
                <w:szCs w:val="28"/>
              </w:rPr>
            </w:pPr>
          </w:p>
        </w:tc>
        <w:tc>
          <w:tcPr>
            <w:tcW w:w="1559" w:type="dxa"/>
            <w:vMerge/>
          </w:tcPr>
          <w:p w:rsidR="00FE4D0E" w:rsidRPr="00CB3FB6" w:rsidRDefault="00FE4D0E" w:rsidP="001F0C51">
            <w:pPr>
              <w:jc w:val="both"/>
              <w:rPr>
                <w:rFonts w:ascii="Times New Roman" w:hAnsi="Times New Roman" w:cs="Times New Roman"/>
                <w:b/>
                <w:sz w:val="28"/>
                <w:szCs w:val="28"/>
              </w:rPr>
            </w:pPr>
          </w:p>
        </w:tc>
        <w:tc>
          <w:tcPr>
            <w:tcW w:w="1843" w:type="dxa"/>
          </w:tcPr>
          <w:p w:rsidR="00FE4D0E" w:rsidRPr="00CB3FB6" w:rsidRDefault="00FE4D0E" w:rsidP="001F0C51">
            <w:pPr>
              <w:jc w:val="center"/>
              <w:rPr>
                <w:rFonts w:ascii="Times New Roman" w:hAnsi="Times New Roman" w:cs="Times New Roman"/>
                <w:b/>
                <w:sz w:val="28"/>
                <w:szCs w:val="28"/>
              </w:rPr>
            </w:pPr>
            <w:r>
              <w:rPr>
                <w:rFonts w:ascii="Times New Roman" w:hAnsi="Times New Roman" w:cs="Times New Roman"/>
                <w:b/>
                <w:sz w:val="28"/>
                <w:szCs w:val="28"/>
              </w:rPr>
              <w:t>КТ, абс</w:t>
            </w:r>
          </w:p>
        </w:tc>
        <w:tc>
          <w:tcPr>
            <w:tcW w:w="1984" w:type="dxa"/>
          </w:tcPr>
          <w:p w:rsidR="00FE4D0E" w:rsidRPr="00CB3FB6" w:rsidRDefault="00FE4D0E" w:rsidP="001F0C51">
            <w:pPr>
              <w:jc w:val="center"/>
              <w:rPr>
                <w:rFonts w:ascii="Times New Roman" w:hAnsi="Times New Roman" w:cs="Times New Roman"/>
                <w:b/>
                <w:sz w:val="28"/>
                <w:szCs w:val="28"/>
              </w:rPr>
            </w:pPr>
            <w:r>
              <w:rPr>
                <w:rFonts w:ascii="Times New Roman" w:hAnsi="Times New Roman" w:cs="Times New Roman"/>
                <w:b/>
                <w:sz w:val="28"/>
                <w:szCs w:val="28"/>
              </w:rPr>
              <w:t>МРТ, абс</w:t>
            </w:r>
          </w:p>
        </w:tc>
      </w:tr>
      <w:tr w:rsidR="00FE4D0E" w:rsidRPr="00CB3FB6" w:rsidTr="001F0C51">
        <w:tc>
          <w:tcPr>
            <w:tcW w:w="3823" w:type="dxa"/>
          </w:tcPr>
          <w:p w:rsidR="00FE4D0E" w:rsidRDefault="00FE4D0E" w:rsidP="001F0C51">
            <w:pPr>
              <w:jc w:val="both"/>
              <w:rPr>
                <w:rFonts w:ascii="Times New Roman" w:hAnsi="Times New Roman" w:cs="Times New Roman"/>
                <w:sz w:val="28"/>
                <w:szCs w:val="28"/>
              </w:rPr>
            </w:pP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І</w:t>
            </w:r>
          </w:p>
          <w:p w:rsidR="00FE4D0E" w:rsidRDefault="00FE4D0E" w:rsidP="001F0C51">
            <w:pPr>
              <w:jc w:val="both"/>
              <w:rPr>
                <w:rFonts w:ascii="Times New Roman" w:hAnsi="Times New Roman" w:cs="Times New Roman"/>
                <w:sz w:val="28"/>
                <w:szCs w:val="28"/>
              </w:rPr>
            </w:pP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ІІ</w:t>
            </w:r>
          </w:p>
          <w:p w:rsidR="00FE4D0E" w:rsidRPr="009E6C7E" w:rsidRDefault="00FE4D0E" w:rsidP="001F0C51">
            <w:pPr>
              <w:jc w:val="both"/>
              <w:rPr>
                <w:rFonts w:ascii="Times New Roman" w:hAnsi="Times New Roman" w:cs="Times New Roman"/>
                <w:sz w:val="28"/>
                <w:szCs w:val="28"/>
              </w:rPr>
            </w:pP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ІІ</w:t>
            </w:r>
            <w:r>
              <w:rPr>
                <w:rFonts w:ascii="Times New Roman" w:hAnsi="Times New Roman" w:cs="Times New Roman"/>
                <w:sz w:val="28"/>
                <w:szCs w:val="28"/>
                <w:lang w:val="en-US"/>
              </w:rPr>
              <w:t>F</w:t>
            </w:r>
          </w:p>
          <w:p w:rsidR="00FE4D0E" w:rsidRPr="006E5A46" w:rsidRDefault="00FE4D0E" w:rsidP="001F0C51">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Bosniak </w:t>
            </w:r>
            <w:r>
              <w:rPr>
                <w:rFonts w:ascii="Times New Roman" w:hAnsi="Times New Roman" w:cs="Times New Roman"/>
                <w:sz w:val="28"/>
                <w:szCs w:val="28"/>
              </w:rPr>
              <w:t>І</w:t>
            </w:r>
            <w:r>
              <w:rPr>
                <w:rFonts w:ascii="Times New Roman" w:hAnsi="Times New Roman" w:cs="Times New Roman"/>
                <w:sz w:val="28"/>
                <w:szCs w:val="28"/>
                <w:lang w:val="en-US"/>
              </w:rPr>
              <w:t>II</w:t>
            </w:r>
          </w:p>
          <w:p w:rsidR="00FE4D0E" w:rsidRPr="00CB3FB6" w:rsidRDefault="00FE4D0E" w:rsidP="001F0C51">
            <w:pPr>
              <w:jc w:val="both"/>
              <w:rPr>
                <w:rFonts w:ascii="Times New Roman" w:hAnsi="Times New Roman" w:cs="Times New Roman"/>
                <w:sz w:val="28"/>
                <w:szCs w:val="28"/>
              </w:rPr>
            </w:pPr>
            <w:r>
              <w:rPr>
                <w:rFonts w:ascii="Times New Roman" w:hAnsi="Times New Roman" w:cs="Times New Roman"/>
                <w:sz w:val="28"/>
                <w:szCs w:val="28"/>
                <w:lang w:val="en-US"/>
              </w:rPr>
              <w:t xml:space="preserve">Bosniak </w:t>
            </w:r>
            <w:r>
              <w:rPr>
                <w:rFonts w:ascii="Times New Roman" w:hAnsi="Times New Roman" w:cs="Times New Roman"/>
                <w:sz w:val="28"/>
                <w:szCs w:val="28"/>
              </w:rPr>
              <w:t>І</w:t>
            </w:r>
            <w:r>
              <w:rPr>
                <w:rFonts w:ascii="Times New Roman" w:hAnsi="Times New Roman" w:cs="Times New Roman"/>
                <w:sz w:val="28"/>
                <w:szCs w:val="28"/>
                <w:lang w:val="en-US"/>
              </w:rPr>
              <w:t>V</w:t>
            </w:r>
          </w:p>
        </w:tc>
        <w:tc>
          <w:tcPr>
            <w:tcW w:w="1559"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30</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25</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41</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31</w:t>
            </w:r>
          </w:p>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29</w:t>
            </w:r>
          </w:p>
        </w:tc>
        <w:tc>
          <w:tcPr>
            <w:tcW w:w="1843"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14</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12</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16</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15</w:t>
            </w:r>
          </w:p>
          <w:p w:rsidR="00FE4D0E" w:rsidRPr="000A07D6" w:rsidRDefault="00FE4D0E" w:rsidP="001F0C51">
            <w:pPr>
              <w:jc w:val="center"/>
              <w:rPr>
                <w:rFonts w:ascii="Times New Roman" w:hAnsi="Times New Roman" w:cs="Times New Roman"/>
                <w:sz w:val="28"/>
                <w:szCs w:val="28"/>
              </w:rPr>
            </w:pPr>
            <w:r>
              <w:rPr>
                <w:rFonts w:ascii="Times New Roman" w:hAnsi="Times New Roman" w:cs="Times New Roman"/>
                <w:sz w:val="28"/>
                <w:szCs w:val="28"/>
              </w:rPr>
              <w:t>14</w:t>
            </w:r>
          </w:p>
        </w:tc>
        <w:tc>
          <w:tcPr>
            <w:tcW w:w="1984"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16</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13</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25</w:t>
            </w:r>
          </w:p>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16</w:t>
            </w:r>
          </w:p>
          <w:p w:rsidR="00FE4D0E" w:rsidRPr="000A07D6" w:rsidRDefault="00FE4D0E" w:rsidP="001F0C51">
            <w:pPr>
              <w:jc w:val="center"/>
              <w:rPr>
                <w:rFonts w:ascii="Times New Roman" w:hAnsi="Times New Roman" w:cs="Times New Roman"/>
                <w:sz w:val="28"/>
                <w:szCs w:val="28"/>
              </w:rPr>
            </w:pPr>
            <w:r>
              <w:rPr>
                <w:rFonts w:ascii="Times New Roman" w:hAnsi="Times New Roman" w:cs="Times New Roman"/>
                <w:sz w:val="28"/>
                <w:szCs w:val="28"/>
              </w:rPr>
              <w:t>15</w:t>
            </w:r>
          </w:p>
        </w:tc>
      </w:tr>
      <w:tr w:rsidR="00FE4D0E" w:rsidRPr="00CB3FB6" w:rsidTr="001F0C51">
        <w:tc>
          <w:tcPr>
            <w:tcW w:w="3823" w:type="dxa"/>
          </w:tcPr>
          <w:p w:rsidR="00FE4D0E" w:rsidRPr="00B417ED" w:rsidRDefault="00FE4D0E" w:rsidP="001F0C51">
            <w:pPr>
              <w:rPr>
                <w:rFonts w:ascii="Times New Roman" w:hAnsi="Times New Roman" w:cs="Times New Roman"/>
                <w:sz w:val="28"/>
                <w:szCs w:val="28"/>
              </w:rPr>
            </w:pPr>
            <w:r>
              <w:rPr>
                <w:rFonts w:ascii="Times New Roman" w:hAnsi="Times New Roman" w:cs="Times New Roman"/>
                <w:sz w:val="28"/>
                <w:szCs w:val="28"/>
              </w:rPr>
              <w:t xml:space="preserve">Середній розмір всіх </w:t>
            </w:r>
            <w:r>
              <w:rPr>
                <w:rFonts w:ascii="Times New Roman" w:hAnsi="Times New Roman" w:cs="Times New Roman"/>
                <w:sz w:val="28"/>
                <w:szCs w:val="28"/>
                <w:lang w:val="en-US"/>
              </w:rPr>
              <w:t>SRM</w:t>
            </w:r>
            <w:r>
              <w:rPr>
                <w:rFonts w:ascii="Times New Roman" w:hAnsi="Times New Roman" w:cs="Times New Roman"/>
                <w:sz w:val="28"/>
                <w:szCs w:val="28"/>
              </w:rPr>
              <w:t>, см</w:t>
            </w:r>
          </w:p>
        </w:tc>
        <w:tc>
          <w:tcPr>
            <w:tcW w:w="1559" w:type="dxa"/>
          </w:tcPr>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843" w:type="dxa"/>
          </w:tcPr>
          <w:p w:rsidR="00FE4D0E" w:rsidRDefault="00FE4D0E"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3,49±0,43 </w:t>
            </w:r>
          </w:p>
        </w:tc>
        <w:tc>
          <w:tcPr>
            <w:tcW w:w="1984" w:type="dxa"/>
          </w:tcPr>
          <w:p w:rsidR="00FE4D0E" w:rsidRDefault="00FE4D0E"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3,53±0,41</w:t>
            </w:r>
          </w:p>
        </w:tc>
      </w:tr>
      <w:tr w:rsidR="00FE4D0E" w:rsidRPr="00CB3FB6" w:rsidTr="001F0C51">
        <w:tc>
          <w:tcPr>
            <w:tcW w:w="3823" w:type="dxa"/>
          </w:tcPr>
          <w:p w:rsidR="00FE4D0E" w:rsidRPr="00CB3FB6" w:rsidRDefault="00FE4D0E" w:rsidP="001F0C51">
            <w:pPr>
              <w:jc w:val="both"/>
              <w:rPr>
                <w:rFonts w:ascii="Times New Roman" w:hAnsi="Times New Roman" w:cs="Times New Roman"/>
                <w:sz w:val="28"/>
                <w:szCs w:val="28"/>
              </w:rPr>
            </w:pPr>
            <w:r w:rsidRPr="00CB3FB6">
              <w:rPr>
                <w:rFonts w:ascii="Times New Roman" w:hAnsi="Times New Roman" w:cs="Times New Roman"/>
                <w:sz w:val="28"/>
                <w:szCs w:val="28"/>
              </w:rPr>
              <w:t>Всього</w:t>
            </w:r>
            <w:r>
              <w:rPr>
                <w:rFonts w:ascii="Times New Roman" w:hAnsi="Times New Roman" w:cs="Times New Roman"/>
                <w:sz w:val="28"/>
                <w:szCs w:val="28"/>
              </w:rPr>
              <w:t xml:space="preserve"> хворих</w:t>
            </w:r>
          </w:p>
        </w:tc>
        <w:tc>
          <w:tcPr>
            <w:tcW w:w="1559" w:type="dxa"/>
          </w:tcPr>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156</w:t>
            </w:r>
          </w:p>
        </w:tc>
        <w:tc>
          <w:tcPr>
            <w:tcW w:w="1843" w:type="dxa"/>
          </w:tcPr>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71</w:t>
            </w:r>
          </w:p>
        </w:tc>
        <w:tc>
          <w:tcPr>
            <w:tcW w:w="1984" w:type="dxa"/>
          </w:tcPr>
          <w:p w:rsidR="00FE4D0E" w:rsidRPr="00CB3FB6" w:rsidRDefault="00FE4D0E" w:rsidP="001F0C51">
            <w:pPr>
              <w:jc w:val="center"/>
              <w:rPr>
                <w:rFonts w:ascii="Times New Roman" w:hAnsi="Times New Roman" w:cs="Times New Roman"/>
                <w:sz w:val="28"/>
                <w:szCs w:val="28"/>
              </w:rPr>
            </w:pPr>
            <w:r>
              <w:rPr>
                <w:rFonts w:ascii="Times New Roman" w:hAnsi="Times New Roman" w:cs="Times New Roman"/>
                <w:sz w:val="28"/>
                <w:szCs w:val="28"/>
              </w:rPr>
              <w:t>85</w:t>
            </w:r>
          </w:p>
        </w:tc>
      </w:tr>
    </w:tbl>
    <w:p w:rsidR="00FE4D0E" w:rsidRPr="00CB3FB6" w:rsidRDefault="00FE4D0E" w:rsidP="00FE4D0E">
      <w:pPr>
        <w:spacing w:line="360" w:lineRule="auto"/>
        <w:jc w:val="both"/>
        <w:rPr>
          <w:rFonts w:ascii="Times New Roman" w:hAnsi="Times New Roman" w:cs="Times New Roman"/>
          <w:sz w:val="28"/>
          <w:szCs w:val="28"/>
        </w:rPr>
      </w:pPr>
    </w:p>
    <w:p w:rsidR="003E3164" w:rsidRDefault="00FE4D0E" w:rsidP="008C497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Дані отримані під час візуалізації кістозних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r>
        <w:rPr>
          <w:rFonts w:ascii="Times New Roman" w:hAnsi="Times New Roman" w:cs="Times New Roman"/>
          <w:sz w:val="28"/>
          <w:szCs w:val="28"/>
        </w:rPr>
        <w:t>за допомогою КТ та МРТ були проаналізовані та співставленні із даними патоморфологічних заключень. Результати про</w:t>
      </w:r>
      <w:r w:rsidR="00F37271">
        <w:rPr>
          <w:rFonts w:ascii="Times New Roman" w:hAnsi="Times New Roman" w:cs="Times New Roman"/>
          <w:sz w:val="28"/>
          <w:szCs w:val="28"/>
        </w:rPr>
        <w:t>веденого аналізу наводимо далі.</w:t>
      </w:r>
    </w:p>
    <w:p w:rsidR="008C4970" w:rsidRDefault="008C4970" w:rsidP="008C4970">
      <w:pPr>
        <w:spacing w:line="360" w:lineRule="auto"/>
        <w:ind w:firstLine="708"/>
        <w:jc w:val="both"/>
        <w:rPr>
          <w:rFonts w:ascii="Times New Roman" w:hAnsi="Times New Roman" w:cs="Times New Roman"/>
          <w:sz w:val="28"/>
          <w:szCs w:val="28"/>
        </w:rPr>
      </w:pPr>
    </w:p>
    <w:p w:rsidR="009C1018" w:rsidRDefault="009C1018" w:rsidP="008C4970">
      <w:pPr>
        <w:spacing w:line="360" w:lineRule="auto"/>
        <w:ind w:firstLine="708"/>
        <w:jc w:val="both"/>
        <w:rPr>
          <w:rFonts w:ascii="Times New Roman" w:hAnsi="Times New Roman" w:cs="Times New Roman"/>
          <w:sz w:val="28"/>
          <w:szCs w:val="28"/>
        </w:rPr>
      </w:pPr>
    </w:p>
    <w:p w:rsidR="00034E9D" w:rsidRDefault="00034E9D" w:rsidP="008C4970">
      <w:pPr>
        <w:spacing w:line="360" w:lineRule="auto"/>
        <w:ind w:firstLine="708"/>
        <w:jc w:val="both"/>
        <w:rPr>
          <w:rFonts w:ascii="Times New Roman" w:hAnsi="Times New Roman" w:cs="Times New Roman"/>
          <w:sz w:val="28"/>
          <w:szCs w:val="28"/>
        </w:rPr>
      </w:pPr>
    </w:p>
    <w:p w:rsidR="00FE4D0E" w:rsidRPr="00CB3FB6" w:rsidRDefault="00FE4D0E" w:rsidP="00FE4D0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3.1.2.1.</w:t>
      </w:r>
      <w:r w:rsidRPr="002E5826">
        <w:rPr>
          <w:rFonts w:ascii="Times New Roman" w:hAnsi="Times New Roman" w:cs="Times New Roman"/>
          <w:sz w:val="28"/>
          <w:szCs w:val="28"/>
        </w:rPr>
        <w:t xml:space="preserve"> П</w:t>
      </w:r>
      <w:r>
        <w:rPr>
          <w:rFonts w:ascii="Times New Roman" w:hAnsi="Times New Roman" w:cs="Times New Roman"/>
          <w:sz w:val="28"/>
          <w:szCs w:val="28"/>
        </w:rPr>
        <w:t>роменеві біомаркери на основі КТ</w:t>
      </w:r>
    </w:p>
    <w:p w:rsidR="00FE4D0E" w:rsidRDefault="00FE4D0E" w:rsidP="00FE4D0E">
      <w:pPr>
        <w:spacing w:line="360" w:lineRule="auto"/>
        <w:ind w:firstLine="709"/>
        <w:jc w:val="both"/>
        <w:rPr>
          <w:rFonts w:ascii="Times New Roman" w:hAnsi="Times New Roman" w:cs="Times New Roman"/>
          <w:sz w:val="28"/>
          <w:szCs w:val="28"/>
        </w:rPr>
      </w:pPr>
      <w:r w:rsidRPr="00CB3FB6">
        <w:rPr>
          <w:rFonts w:ascii="Times New Roman" w:hAnsi="Times New Roman" w:cs="Times New Roman"/>
          <w:sz w:val="28"/>
          <w:szCs w:val="28"/>
        </w:rPr>
        <w:t>Нами були проаналізовані показники</w:t>
      </w:r>
      <w:r>
        <w:rPr>
          <w:rFonts w:ascii="Times New Roman" w:hAnsi="Times New Roman" w:cs="Times New Roman"/>
          <w:sz w:val="28"/>
          <w:szCs w:val="28"/>
        </w:rPr>
        <w:t xml:space="preserve"> променевої щільності кістозних </w:t>
      </w:r>
      <w:r>
        <w:rPr>
          <w:rFonts w:ascii="Times New Roman" w:hAnsi="Times New Roman" w:cs="Times New Roman"/>
          <w:sz w:val="28"/>
          <w:szCs w:val="28"/>
          <w:lang w:val="en-US"/>
        </w:rPr>
        <w:t>SRM</w:t>
      </w:r>
      <w:r>
        <w:rPr>
          <w:rFonts w:ascii="Times New Roman" w:hAnsi="Times New Roman" w:cs="Times New Roman"/>
          <w:sz w:val="28"/>
          <w:szCs w:val="28"/>
        </w:rPr>
        <w:t xml:space="preserve">, які були </w:t>
      </w:r>
      <w:r w:rsidRPr="00CB3FB6">
        <w:rPr>
          <w:rFonts w:ascii="Times New Roman" w:hAnsi="Times New Roman" w:cs="Times New Roman"/>
          <w:sz w:val="28"/>
          <w:szCs w:val="28"/>
        </w:rPr>
        <w:t xml:space="preserve">отримані під час кожної з фаз мультифазної КТ </w:t>
      </w:r>
      <w:r>
        <w:rPr>
          <w:rFonts w:ascii="Times New Roman" w:hAnsi="Times New Roman" w:cs="Times New Roman"/>
          <w:sz w:val="28"/>
          <w:szCs w:val="28"/>
        </w:rPr>
        <w:t>у всіх групах кіст, а також обчислені на їх основі</w:t>
      </w:r>
      <w:r w:rsidRPr="00CB3FB6">
        <w:rPr>
          <w:rFonts w:ascii="Times New Roman" w:hAnsi="Times New Roman" w:cs="Times New Roman"/>
          <w:sz w:val="28"/>
          <w:szCs w:val="28"/>
        </w:rPr>
        <w:t xml:space="preserve"> </w:t>
      </w:r>
      <w:r>
        <w:rPr>
          <w:rFonts w:ascii="Times New Roman" w:hAnsi="Times New Roman" w:cs="Times New Roman"/>
          <w:sz w:val="28"/>
        </w:rPr>
        <w:t>ВПЩ новоутворення до здорової паренхіми нирки.</w:t>
      </w:r>
      <w:r w:rsidRPr="009E6C7E">
        <w:rPr>
          <w:rFonts w:ascii="Times New Roman" w:hAnsi="Times New Roman" w:cs="Times New Roman"/>
          <w:sz w:val="28"/>
        </w:rPr>
        <w:t xml:space="preserve"> </w:t>
      </w:r>
      <w:r>
        <w:rPr>
          <w:rFonts w:ascii="Times New Roman" w:hAnsi="Times New Roman" w:cs="Times New Roman"/>
          <w:sz w:val="28"/>
          <w:szCs w:val="28"/>
        </w:rPr>
        <w:t xml:space="preserve">При обрахунках ВПЩ </w:t>
      </w:r>
      <w:r>
        <w:rPr>
          <w:rFonts w:ascii="Times New Roman" w:hAnsi="Times New Roman" w:cs="Times New Roman"/>
          <w:sz w:val="28"/>
        </w:rPr>
        <w:t>новоутворення до здорової паренхіми нирки для контрольної групи даний параметр був прийнятий за 1,0.</w:t>
      </w:r>
      <w:r w:rsidRPr="009E6C7E">
        <w:rPr>
          <w:rFonts w:ascii="Times New Roman" w:hAnsi="Times New Roman" w:cs="Times New Roman"/>
          <w:sz w:val="28"/>
          <w:lang w:val="ru-RU"/>
        </w:rPr>
        <w:t xml:space="preserve"> </w:t>
      </w:r>
      <w:r w:rsidRPr="007C12EE">
        <w:rPr>
          <w:rFonts w:ascii="Times New Roman" w:hAnsi="Times New Roman" w:cs="Times New Roman"/>
          <w:sz w:val="28"/>
          <w:szCs w:val="28"/>
        </w:rPr>
        <w:t xml:space="preserve">Для </w:t>
      </w:r>
      <w:r>
        <w:rPr>
          <w:rFonts w:ascii="Times New Roman" w:hAnsi="Times New Roman" w:cs="Times New Roman"/>
          <w:sz w:val="28"/>
          <w:szCs w:val="28"/>
        </w:rPr>
        <w:t>виконання статистичного аналізу використовувались вже описані вище методи.</w:t>
      </w:r>
    </w:p>
    <w:p w:rsidR="00FE4D0E" w:rsidRPr="005538CC" w:rsidRDefault="00FE4D0E" w:rsidP="00FE4D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аналізі показників променевої щільності кістозних </w:t>
      </w:r>
      <w:r>
        <w:rPr>
          <w:rFonts w:ascii="Times New Roman" w:hAnsi="Times New Roman" w:cs="Times New Roman"/>
          <w:sz w:val="28"/>
          <w:szCs w:val="28"/>
          <w:lang w:val="en-US"/>
        </w:rPr>
        <w:t>SRM</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в досліджуваних групах було з’ясовано,  що найнижчі показники ІС спостерігались при кістах класів І та ІІ, а найвищі – при кістах класу </w:t>
      </w:r>
      <w:r>
        <w:rPr>
          <w:rFonts w:ascii="Times New Roman" w:hAnsi="Times New Roman" w:cs="Times New Roman"/>
          <w:sz w:val="28"/>
          <w:szCs w:val="28"/>
          <w:lang w:val="en-US"/>
        </w:rPr>
        <w:t>IV</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При цьому середні значення ІС кіст категорій І та ІІ достовірно між собою не відрізнялись на КТ-зображеннях жодної з фаз КТ (р</w:t>
      </w:r>
      <w:r w:rsidRPr="009E6C7E">
        <w:rPr>
          <w:rFonts w:ascii="Times New Roman" w:hAnsi="Times New Roman" w:cs="Times New Roman"/>
          <w:sz w:val="28"/>
          <w:szCs w:val="28"/>
        </w:rPr>
        <w:t>&gt;</w:t>
      </w:r>
      <w:r>
        <w:rPr>
          <w:rFonts w:ascii="Times New Roman" w:hAnsi="Times New Roman" w:cs="Times New Roman"/>
          <w:sz w:val="28"/>
          <w:szCs w:val="28"/>
        </w:rPr>
        <w:t>0,05), що пояснюється взаємонакладанням отриманих значень променевої щільності у даних групах хворих. Відсутність такої різниці не мала особливого клінічного значення, оскільки обидва класи належать до простих доброякісних  кіст і тактика ведення хворих із такими діагнозами суттєво не відрізняється. Єдиною фазою, яка дозволяла отримати достовірну різницю між середніми значеннями ІС всіх інших класів кіст, була кортико-медулярна. На КТ-зображеннях даної фази кісти класу І мали найнижче середнє значення ІС (</w:t>
      </w:r>
      <w:r>
        <w:rPr>
          <w:rFonts w:ascii="Times New Roman" w:hAnsi="Times New Roman"/>
          <w:sz w:val="28"/>
          <w:szCs w:val="28"/>
        </w:rPr>
        <w:t>11,34</w:t>
      </w:r>
      <w:r>
        <w:rPr>
          <w:rFonts w:ascii="Times New Roman" w:hAnsi="Times New Roman" w:cs="Times New Roman"/>
          <w:sz w:val="28"/>
          <w:szCs w:val="28"/>
        </w:rPr>
        <w:t>±</w:t>
      </w:r>
      <w:r>
        <w:rPr>
          <w:rFonts w:ascii="Times New Roman" w:hAnsi="Times New Roman"/>
          <w:sz w:val="28"/>
          <w:szCs w:val="28"/>
        </w:rPr>
        <w:t xml:space="preserve">2,69), а кісти класу </w:t>
      </w:r>
      <w:r>
        <w:rPr>
          <w:rFonts w:ascii="Times New Roman" w:hAnsi="Times New Roman"/>
          <w:sz w:val="28"/>
          <w:szCs w:val="28"/>
          <w:lang w:val="en-US"/>
        </w:rPr>
        <w:t>IV</w:t>
      </w:r>
      <w:r>
        <w:rPr>
          <w:rFonts w:ascii="Times New Roman" w:hAnsi="Times New Roman"/>
          <w:sz w:val="28"/>
          <w:szCs w:val="28"/>
        </w:rPr>
        <w:t xml:space="preserve"> – найвище (119,38</w:t>
      </w:r>
      <w:r>
        <w:rPr>
          <w:rFonts w:ascii="Times New Roman" w:hAnsi="Times New Roman" w:cs="Times New Roman"/>
          <w:sz w:val="28"/>
          <w:szCs w:val="28"/>
        </w:rPr>
        <w:t>±</w:t>
      </w:r>
      <w:r>
        <w:rPr>
          <w:rFonts w:ascii="Times New Roman" w:hAnsi="Times New Roman"/>
          <w:sz w:val="28"/>
          <w:szCs w:val="28"/>
        </w:rPr>
        <w:t xml:space="preserve">13,21). Статистична різниця між даними показниками в групах із кістами класів ІІ та ІІF становила р=0,004, а між іншими класами </w:t>
      </w:r>
      <w:r w:rsidRPr="009E6C7E">
        <w:rPr>
          <w:rFonts w:ascii="Times New Roman" w:hAnsi="Times New Roman"/>
          <w:sz w:val="28"/>
          <w:szCs w:val="28"/>
          <w:lang w:val="ru-RU"/>
        </w:rPr>
        <w:t>&lt;</w:t>
      </w:r>
      <w:r>
        <w:rPr>
          <w:rFonts w:ascii="Times New Roman" w:hAnsi="Times New Roman"/>
          <w:sz w:val="28"/>
          <w:szCs w:val="28"/>
        </w:rPr>
        <w:t>0,001. Також під час КМФ  ми спостерігали достовірну різницю між середньою ІС в групах кіст всіх класів та групою контрою (</w:t>
      </w:r>
      <w:r w:rsidRPr="00CF1C49">
        <w:rPr>
          <w:rFonts w:ascii="Times New Roman" w:hAnsi="Times New Roman"/>
          <w:sz w:val="28"/>
          <w:szCs w:val="28"/>
        </w:rPr>
        <w:t>&lt;</w:t>
      </w:r>
      <w:r>
        <w:rPr>
          <w:rFonts w:ascii="Times New Roman" w:hAnsi="Times New Roman"/>
          <w:sz w:val="28"/>
          <w:szCs w:val="28"/>
        </w:rPr>
        <w:t xml:space="preserve">0,001), за винятком кіст класу </w:t>
      </w:r>
      <w:r>
        <w:rPr>
          <w:rFonts w:ascii="Times New Roman" w:hAnsi="Times New Roman"/>
          <w:sz w:val="28"/>
          <w:szCs w:val="28"/>
          <w:lang w:val="en-US"/>
        </w:rPr>
        <w:t>IV</w:t>
      </w:r>
      <w:r w:rsidRPr="00CF1C49">
        <w:rPr>
          <w:rFonts w:ascii="Times New Roman" w:hAnsi="Times New Roman"/>
          <w:sz w:val="28"/>
          <w:szCs w:val="28"/>
        </w:rPr>
        <w:t xml:space="preserve">, </w:t>
      </w:r>
      <w:r w:rsidRPr="00CE747F">
        <w:rPr>
          <w:rFonts w:ascii="Times New Roman" w:hAnsi="Times New Roman"/>
          <w:sz w:val="28"/>
          <w:szCs w:val="28"/>
        </w:rPr>
        <w:t xml:space="preserve">у зв’язку із </w:t>
      </w:r>
      <w:r>
        <w:rPr>
          <w:rFonts w:ascii="Times New Roman" w:hAnsi="Times New Roman"/>
          <w:sz w:val="28"/>
          <w:szCs w:val="28"/>
        </w:rPr>
        <w:t xml:space="preserve">значним </w:t>
      </w:r>
      <w:r w:rsidRPr="00CE747F">
        <w:rPr>
          <w:rFonts w:ascii="Times New Roman" w:hAnsi="Times New Roman"/>
          <w:sz w:val="28"/>
          <w:szCs w:val="28"/>
        </w:rPr>
        <w:t>взаємона</w:t>
      </w:r>
      <w:r>
        <w:rPr>
          <w:rFonts w:ascii="Times New Roman" w:hAnsi="Times New Roman"/>
          <w:sz w:val="28"/>
          <w:szCs w:val="28"/>
        </w:rPr>
        <w:t>к</w:t>
      </w:r>
      <w:r w:rsidRPr="00CE747F">
        <w:rPr>
          <w:rFonts w:ascii="Times New Roman" w:hAnsi="Times New Roman"/>
          <w:sz w:val="28"/>
          <w:szCs w:val="28"/>
        </w:rPr>
        <w:t>ладанням показників променевої щільності</w:t>
      </w:r>
      <w:r w:rsidR="00B83560">
        <w:rPr>
          <w:rFonts w:ascii="Times New Roman" w:hAnsi="Times New Roman"/>
          <w:sz w:val="28"/>
          <w:szCs w:val="28"/>
        </w:rPr>
        <w:t xml:space="preserve"> (р=0,644), </w:t>
      </w:r>
      <w:r w:rsidR="00CF1C49">
        <w:rPr>
          <w:rFonts w:ascii="Times New Roman" w:hAnsi="Times New Roman"/>
          <w:sz w:val="28"/>
          <w:szCs w:val="28"/>
        </w:rPr>
        <w:t>що</w:t>
      </w:r>
      <w:r w:rsidRPr="00CE747F">
        <w:rPr>
          <w:rFonts w:ascii="Times New Roman" w:hAnsi="Times New Roman"/>
          <w:sz w:val="28"/>
          <w:szCs w:val="28"/>
        </w:rPr>
        <w:t xml:space="preserve"> </w:t>
      </w:r>
      <w:r>
        <w:rPr>
          <w:rFonts w:ascii="Times New Roman" w:hAnsi="Times New Roman"/>
          <w:sz w:val="28"/>
          <w:szCs w:val="28"/>
        </w:rPr>
        <w:t>ми пояснюємо присутністю вираженого тканинного компоненту в кістах даного класу та значною його здатністю накопичувати контрастні речовини</w:t>
      </w:r>
      <w:r w:rsidR="00CF1C49">
        <w:rPr>
          <w:rFonts w:ascii="Times New Roman" w:hAnsi="Times New Roman"/>
          <w:sz w:val="28"/>
          <w:szCs w:val="28"/>
        </w:rPr>
        <w:t xml:space="preserve"> (таблиця 3.13).</w:t>
      </w:r>
      <w:r>
        <w:rPr>
          <w:rFonts w:ascii="Times New Roman" w:hAnsi="Times New Roman"/>
          <w:sz w:val="28"/>
          <w:szCs w:val="28"/>
        </w:rPr>
        <w:t xml:space="preserve"> Водночас, </w:t>
      </w:r>
      <w:r>
        <w:rPr>
          <w:rFonts w:ascii="Times New Roman" w:hAnsi="Times New Roman"/>
          <w:sz w:val="28"/>
          <w:szCs w:val="28"/>
        </w:rPr>
        <w:lastRenderedPageBreak/>
        <w:t>візуальна інспекція без утруднень дозволяла диференціювати нормальну ниркову паренхіму від кісти</w:t>
      </w:r>
      <w:r w:rsidR="00CF1C49">
        <w:rPr>
          <w:rFonts w:ascii="Times New Roman" w:hAnsi="Times New Roman"/>
          <w:sz w:val="28"/>
          <w:szCs w:val="28"/>
        </w:rPr>
        <w:t xml:space="preserve">. </w:t>
      </w:r>
    </w:p>
    <w:p w:rsidR="00FE4D0E" w:rsidRDefault="00B83560" w:rsidP="00FE4D0E">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3.13</w:t>
      </w:r>
    </w:p>
    <w:p w:rsidR="00FE4D0E" w:rsidRPr="0079373A" w:rsidRDefault="00FE4D0E" w:rsidP="00FE4D0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Показники середньої променевої щільності кістозних </w:t>
      </w:r>
      <w:r>
        <w:rPr>
          <w:rFonts w:ascii="Times New Roman" w:hAnsi="Times New Roman" w:cs="Times New Roman"/>
          <w:sz w:val="28"/>
          <w:szCs w:val="28"/>
          <w:lang w:val="en-US"/>
        </w:rPr>
        <w:t>SRM</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на КТ-зображеннях різних фаз</w:t>
      </w:r>
    </w:p>
    <w:tbl>
      <w:tblPr>
        <w:tblStyle w:val="TableGrid"/>
        <w:tblW w:w="9634" w:type="dxa"/>
        <w:tblLook w:val="04A0" w:firstRow="1" w:lastRow="0" w:firstColumn="1" w:lastColumn="0" w:noHBand="0" w:noVBand="1"/>
      </w:tblPr>
      <w:tblGrid>
        <w:gridCol w:w="1853"/>
        <w:gridCol w:w="1849"/>
        <w:gridCol w:w="1847"/>
        <w:gridCol w:w="2202"/>
        <w:gridCol w:w="1883"/>
      </w:tblGrid>
      <w:tr w:rsidR="00FE4D0E" w:rsidTr="001F0C51">
        <w:trPr>
          <w:trHeight w:val="322"/>
        </w:trPr>
        <w:tc>
          <w:tcPr>
            <w:tcW w:w="2054" w:type="dxa"/>
            <w:vMerge w:val="restart"/>
          </w:tcPr>
          <w:p w:rsidR="00FE4D0E" w:rsidRDefault="00FE4D0E" w:rsidP="001F0C51">
            <w:pPr>
              <w:jc w:val="center"/>
              <w:rPr>
                <w:rFonts w:ascii="Times New Roman" w:hAnsi="Times New Roman"/>
                <w:b/>
                <w:sz w:val="28"/>
                <w:szCs w:val="28"/>
              </w:rPr>
            </w:pPr>
            <w:r>
              <w:rPr>
                <w:rFonts w:ascii="Times New Roman" w:hAnsi="Times New Roman"/>
                <w:b/>
                <w:sz w:val="28"/>
                <w:szCs w:val="28"/>
              </w:rPr>
              <w:t>Г</w:t>
            </w:r>
            <w:r w:rsidRPr="00BD5837">
              <w:rPr>
                <w:rFonts w:ascii="Times New Roman" w:hAnsi="Times New Roman"/>
                <w:b/>
                <w:sz w:val="28"/>
                <w:szCs w:val="28"/>
              </w:rPr>
              <w:t>рупа</w:t>
            </w:r>
          </w:p>
        </w:tc>
        <w:tc>
          <w:tcPr>
            <w:tcW w:w="7580" w:type="dxa"/>
            <w:gridSpan w:val="4"/>
          </w:tcPr>
          <w:p w:rsidR="00FE4D0E" w:rsidRDefault="00FE4D0E" w:rsidP="001F0C51">
            <w:pPr>
              <w:jc w:val="center"/>
              <w:rPr>
                <w:rFonts w:ascii="Times New Roman" w:hAnsi="Times New Roman"/>
                <w:b/>
                <w:sz w:val="28"/>
                <w:szCs w:val="28"/>
              </w:rPr>
            </w:pPr>
            <w:r>
              <w:rPr>
                <w:rFonts w:ascii="Times New Roman" w:hAnsi="Times New Roman"/>
                <w:b/>
                <w:sz w:val="28"/>
                <w:szCs w:val="28"/>
              </w:rPr>
              <w:t>Фаза КТ</w:t>
            </w:r>
          </w:p>
        </w:tc>
      </w:tr>
      <w:tr w:rsidR="00FE4D0E" w:rsidTr="001F0C51">
        <w:trPr>
          <w:trHeight w:val="654"/>
        </w:trPr>
        <w:tc>
          <w:tcPr>
            <w:tcW w:w="2054" w:type="dxa"/>
            <w:vMerge/>
            <w:tcBorders>
              <w:bottom w:val="single" w:sz="4" w:space="0" w:color="auto"/>
            </w:tcBorders>
          </w:tcPr>
          <w:p w:rsidR="00FE4D0E" w:rsidRPr="00BD5837" w:rsidRDefault="00FE4D0E" w:rsidP="001F0C51">
            <w:pPr>
              <w:jc w:val="center"/>
              <w:rPr>
                <w:rFonts w:ascii="Times New Roman" w:hAnsi="Times New Roman"/>
                <w:b/>
                <w:sz w:val="28"/>
                <w:szCs w:val="28"/>
              </w:rPr>
            </w:pPr>
          </w:p>
        </w:tc>
        <w:tc>
          <w:tcPr>
            <w:tcW w:w="1895" w:type="dxa"/>
            <w:tcBorders>
              <w:bottom w:val="single" w:sz="4" w:space="0" w:color="auto"/>
            </w:tcBorders>
          </w:tcPr>
          <w:p w:rsidR="00FE4D0E" w:rsidRPr="006E76F3" w:rsidRDefault="00FE4D0E" w:rsidP="001F0C51">
            <w:pPr>
              <w:spacing w:line="276" w:lineRule="auto"/>
              <w:jc w:val="center"/>
              <w:rPr>
                <w:rFonts w:ascii="Times New Roman" w:hAnsi="Times New Roman"/>
                <w:b/>
                <w:sz w:val="28"/>
                <w:szCs w:val="28"/>
                <w:lang w:val="en-US"/>
              </w:rPr>
            </w:pPr>
            <w:r>
              <w:rPr>
                <w:rFonts w:ascii="Times New Roman" w:hAnsi="Times New Roman"/>
                <w:b/>
                <w:sz w:val="28"/>
                <w:szCs w:val="28"/>
              </w:rPr>
              <w:t xml:space="preserve">Пре-контрастні зображення, </w:t>
            </w:r>
            <w:r>
              <w:rPr>
                <w:rFonts w:ascii="Times New Roman" w:hAnsi="Times New Roman"/>
                <w:b/>
                <w:sz w:val="28"/>
                <w:szCs w:val="28"/>
                <w:lang w:val="en-US"/>
              </w:rPr>
              <w:t>HU</w:t>
            </w:r>
          </w:p>
        </w:tc>
        <w:tc>
          <w:tcPr>
            <w:tcW w:w="1895" w:type="dxa"/>
            <w:tcBorders>
              <w:bottom w:val="single" w:sz="4" w:space="0" w:color="auto"/>
            </w:tcBorders>
          </w:tcPr>
          <w:p w:rsidR="00FE4D0E" w:rsidRPr="006E76F3" w:rsidRDefault="00FE4D0E" w:rsidP="001F0C51">
            <w:pPr>
              <w:spacing w:line="276" w:lineRule="auto"/>
              <w:jc w:val="center"/>
              <w:rPr>
                <w:rFonts w:ascii="Times New Roman" w:hAnsi="Times New Roman"/>
                <w:b/>
                <w:sz w:val="28"/>
                <w:szCs w:val="28"/>
                <w:lang w:val="en-US"/>
              </w:rPr>
            </w:pPr>
            <w:r>
              <w:rPr>
                <w:rFonts w:ascii="Times New Roman" w:hAnsi="Times New Roman"/>
                <w:b/>
                <w:sz w:val="28"/>
                <w:szCs w:val="28"/>
              </w:rPr>
              <w:t xml:space="preserve">Кортико-медулярна фаза, </w:t>
            </w:r>
            <w:r>
              <w:rPr>
                <w:rFonts w:ascii="Times New Roman" w:hAnsi="Times New Roman"/>
                <w:b/>
                <w:sz w:val="28"/>
                <w:szCs w:val="28"/>
                <w:lang w:val="en-US"/>
              </w:rPr>
              <w:t>HU</w:t>
            </w:r>
          </w:p>
        </w:tc>
        <w:tc>
          <w:tcPr>
            <w:tcW w:w="1895" w:type="dxa"/>
            <w:tcBorders>
              <w:bottom w:val="single" w:sz="4" w:space="0" w:color="auto"/>
            </w:tcBorders>
          </w:tcPr>
          <w:p w:rsidR="00FE4D0E" w:rsidRPr="006E76F3" w:rsidRDefault="00FE4D0E" w:rsidP="001F0C51">
            <w:pPr>
              <w:spacing w:line="276" w:lineRule="auto"/>
              <w:jc w:val="center"/>
              <w:rPr>
                <w:rFonts w:ascii="Times New Roman" w:hAnsi="Times New Roman"/>
                <w:b/>
                <w:sz w:val="28"/>
                <w:szCs w:val="28"/>
                <w:lang w:val="en-US"/>
              </w:rPr>
            </w:pPr>
            <w:r>
              <w:rPr>
                <w:rFonts w:ascii="Times New Roman" w:hAnsi="Times New Roman"/>
                <w:b/>
                <w:sz w:val="28"/>
                <w:szCs w:val="28"/>
              </w:rPr>
              <w:t xml:space="preserve">Нефрографічна фаза, </w:t>
            </w:r>
            <w:r>
              <w:rPr>
                <w:rFonts w:ascii="Times New Roman" w:hAnsi="Times New Roman"/>
                <w:b/>
                <w:sz w:val="28"/>
                <w:szCs w:val="28"/>
                <w:lang w:val="en-US"/>
              </w:rPr>
              <w:t>HU</w:t>
            </w:r>
          </w:p>
        </w:tc>
        <w:tc>
          <w:tcPr>
            <w:tcW w:w="1895" w:type="dxa"/>
            <w:tcBorders>
              <w:bottom w:val="single" w:sz="4" w:space="0" w:color="auto"/>
            </w:tcBorders>
          </w:tcPr>
          <w:p w:rsidR="00FE4D0E" w:rsidRPr="00BD5837" w:rsidRDefault="00FE4D0E" w:rsidP="001F0C51">
            <w:pPr>
              <w:spacing w:line="276" w:lineRule="auto"/>
              <w:jc w:val="center"/>
              <w:rPr>
                <w:rFonts w:ascii="Times New Roman" w:hAnsi="Times New Roman"/>
                <w:b/>
                <w:sz w:val="28"/>
                <w:szCs w:val="28"/>
              </w:rPr>
            </w:pPr>
            <w:r>
              <w:rPr>
                <w:rFonts w:ascii="Times New Roman" w:hAnsi="Times New Roman"/>
                <w:b/>
                <w:sz w:val="28"/>
                <w:szCs w:val="28"/>
              </w:rPr>
              <w:t xml:space="preserve">Екскреторна фаза, </w:t>
            </w:r>
            <w:r>
              <w:rPr>
                <w:rFonts w:ascii="Times New Roman" w:hAnsi="Times New Roman"/>
                <w:b/>
                <w:sz w:val="28"/>
                <w:szCs w:val="28"/>
                <w:lang w:val="en-US"/>
              </w:rPr>
              <w:t>HU</w:t>
            </w:r>
          </w:p>
        </w:tc>
      </w:tr>
      <w:tr w:rsidR="00FE4D0E" w:rsidTr="001F0C51">
        <w:trPr>
          <w:trHeight w:val="182"/>
        </w:trPr>
        <w:tc>
          <w:tcPr>
            <w:tcW w:w="2054" w:type="dxa"/>
          </w:tcPr>
          <w:p w:rsidR="00FE4D0E" w:rsidRPr="0030089F" w:rsidRDefault="00FE4D0E" w:rsidP="001F0C51">
            <w:pPr>
              <w:spacing w:line="276" w:lineRule="auto"/>
              <w:jc w:val="both"/>
              <w:rPr>
                <w:rFonts w:ascii="Times New Roman" w:hAnsi="Times New Roman" w:cs="Times New Roman"/>
                <w:b/>
                <w:sz w:val="28"/>
                <w:szCs w:val="28"/>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w:t>
            </w:r>
          </w:p>
          <w:p w:rsidR="00FE4D0E" w:rsidRPr="0030089F" w:rsidRDefault="00FE4D0E" w:rsidP="001F0C51">
            <w:pPr>
              <w:spacing w:line="276" w:lineRule="auto"/>
              <w:rPr>
                <w:rFonts w:ascii="Times New Roman" w:hAnsi="Times New Roman" w:cs="Times New Roman"/>
                <w:b/>
                <w:sz w:val="28"/>
                <w:szCs w:val="28"/>
              </w:rPr>
            </w:pPr>
            <w:r w:rsidRPr="0030089F">
              <w:rPr>
                <w:rFonts w:ascii="Times New Roman" w:hAnsi="Times New Roman" w:cs="Times New Roman"/>
                <w:b/>
                <w:sz w:val="28"/>
                <w:szCs w:val="28"/>
                <w:lang w:val="en-US"/>
              </w:rPr>
              <w:t>n=</w:t>
            </w:r>
            <w:r w:rsidRPr="0030089F">
              <w:rPr>
                <w:rFonts w:ascii="Times New Roman" w:hAnsi="Times New Roman" w:cs="Times New Roman"/>
                <w:b/>
                <w:sz w:val="28"/>
                <w:szCs w:val="28"/>
              </w:rPr>
              <w:t>14</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5,59</w:t>
            </w:r>
            <w:r>
              <w:rPr>
                <w:rFonts w:ascii="Times New Roman" w:hAnsi="Times New Roman" w:cs="Times New Roman"/>
                <w:sz w:val="28"/>
                <w:szCs w:val="28"/>
              </w:rPr>
              <w:t>±</w:t>
            </w:r>
            <w:r>
              <w:rPr>
                <w:rFonts w:ascii="Times New Roman" w:hAnsi="Times New Roman"/>
                <w:sz w:val="28"/>
                <w:szCs w:val="28"/>
              </w:rPr>
              <w:t>3,23</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11,34</w:t>
            </w:r>
            <w:r>
              <w:rPr>
                <w:rFonts w:ascii="Times New Roman" w:hAnsi="Times New Roman" w:cs="Times New Roman"/>
                <w:sz w:val="28"/>
                <w:szCs w:val="28"/>
              </w:rPr>
              <w:t>±</w:t>
            </w:r>
            <w:r>
              <w:rPr>
                <w:rFonts w:ascii="Times New Roman" w:hAnsi="Times New Roman"/>
                <w:sz w:val="28"/>
                <w:szCs w:val="28"/>
              </w:rPr>
              <w:t>2,69</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10,10</w:t>
            </w:r>
            <w:r>
              <w:rPr>
                <w:rFonts w:ascii="Times New Roman" w:hAnsi="Times New Roman" w:cs="Times New Roman"/>
                <w:sz w:val="28"/>
                <w:szCs w:val="28"/>
              </w:rPr>
              <w:t>±</w:t>
            </w:r>
            <w:r>
              <w:rPr>
                <w:rFonts w:ascii="Times New Roman" w:hAnsi="Times New Roman"/>
                <w:sz w:val="28"/>
                <w:szCs w:val="28"/>
              </w:rPr>
              <w:t>3,54</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9,69</w:t>
            </w:r>
            <w:r>
              <w:rPr>
                <w:rFonts w:ascii="Times New Roman" w:hAnsi="Times New Roman" w:cs="Times New Roman"/>
                <w:sz w:val="28"/>
                <w:szCs w:val="28"/>
              </w:rPr>
              <w:t>±</w:t>
            </w:r>
            <w:r>
              <w:rPr>
                <w:rFonts w:ascii="Times New Roman" w:hAnsi="Times New Roman"/>
                <w:sz w:val="28"/>
                <w:szCs w:val="28"/>
              </w:rPr>
              <w:t>1,95</w:t>
            </w:r>
          </w:p>
        </w:tc>
      </w:tr>
      <w:tr w:rsidR="00FE4D0E" w:rsidTr="001F0C51">
        <w:tc>
          <w:tcPr>
            <w:tcW w:w="2054" w:type="dxa"/>
          </w:tcPr>
          <w:p w:rsidR="00FE4D0E" w:rsidRPr="0030089F" w:rsidRDefault="00FE4D0E" w:rsidP="001F0C51">
            <w:pPr>
              <w:spacing w:line="276" w:lineRule="auto"/>
              <w:jc w:val="both"/>
              <w:rPr>
                <w:rFonts w:ascii="Times New Roman" w:hAnsi="Times New Roman" w:cs="Times New Roman"/>
                <w:b/>
                <w:sz w:val="28"/>
                <w:szCs w:val="28"/>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ІІ,</w:t>
            </w:r>
          </w:p>
          <w:p w:rsidR="00FE4D0E" w:rsidRPr="0030089F" w:rsidRDefault="00FE4D0E" w:rsidP="001F0C51">
            <w:pPr>
              <w:spacing w:line="276" w:lineRule="auto"/>
              <w:jc w:val="both"/>
              <w:rPr>
                <w:rFonts w:ascii="Times New Roman" w:hAnsi="Times New Roman" w:cs="Times New Roman"/>
                <w:b/>
                <w:sz w:val="28"/>
                <w:szCs w:val="28"/>
              </w:rPr>
            </w:pPr>
            <w:r w:rsidRPr="0030089F">
              <w:rPr>
                <w:rFonts w:ascii="Times New Roman" w:hAnsi="Times New Roman" w:cs="Times New Roman"/>
                <w:b/>
                <w:sz w:val="28"/>
                <w:szCs w:val="28"/>
                <w:lang w:val="en-US"/>
              </w:rPr>
              <w:t>n=</w:t>
            </w:r>
            <w:r w:rsidRPr="0030089F">
              <w:rPr>
                <w:rFonts w:ascii="Times New Roman" w:hAnsi="Times New Roman" w:cs="Times New Roman"/>
                <w:b/>
                <w:sz w:val="28"/>
                <w:szCs w:val="28"/>
              </w:rPr>
              <w:t>12</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10,35</w:t>
            </w:r>
            <w:r>
              <w:rPr>
                <w:rFonts w:ascii="Times New Roman" w:hAnsi="Times New Roman" w:cs="Times New Roman"/>
                <w:sz w:val="28"/>
                <w:szCs w:val="28"/>
              </w:rPr>
              <w:t>±</w:t>
            </w:r>
            <w:r>
              <w:rPr>
                <w:rFonts w:ascii="Times New Roman" w:hAnsi="Times New Roman"/>
                <w:sz w:val="28"/>
                <w:szCs w:val="28"/>
              </w:rPr>
              <w:t>3,10</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17,08</w:t>
            </w:r>
            <w:r>
              <w:rPr>
                <w:rFonts w:ascii="Times New Roman" w:hAnsi="Times New Roman" w:cs="Times New Roman"/>
                <w:sz w:val="28"/>
                <w:szCs w:val="28"/>
              </w:rPr>
              <w:t>±</w:t>
            </w:r>
            <w:r>
              <w:rPr>
                <w:rFonts w:ascii="Times New Roman" w:hAnsi="Times New Roman"/>
                <w:sz w:val="28"/>
                <w:szCs w:val="28"/>
              </w:rPr>
              <w:t>5,21</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19,11</w:t>
            </w:r>
            <w:r>
              <w:rPr>
                <w:rFonts w:ascii="Times New Roman" w:hAnsi="Times New Roman" w:cs="Times New Roman"/>
                <w:sz w:val="28"/>
                <w:szCs w:val="28"/>
              </w:rPr>
              <w:t>±</w:t>
            </w:r>
            <w:r>
              <w:rPr>
                <w:rFonts w:ascii="Times New Roman" w:hAnsi="Times New Roman"/>
                <w:sz w:val="28"/>
                <w:szCs w:val="28"/>
              </w:rPr>
              <w:t>3,83</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11,39</w:t>
            </w:r>
            <w:r>
              <w:rPr>
                <w:rFonts w:ascii="Times New Roman" w:hAnsi="Times New Roman" w:cs="Times New Roman"/>
                <w:sz w:val="28"/>
                <w:szCs w:val="28"/>
              </w:rPr>
              <w:t>±</w:t>
            </w:r>
            <w:r>
              <w:rPr>
                <w:rFonts w:ascii="Times New Roman" w:hAnsi="Times New Roman"/>
                <w:sz w:val="28"/>
                <w:szCs w:val="28"/>
              </w:rPr>
              <w:t>3,80</w:t>
            </w:r>
          </w:p>
        </w:tc>
      </w:tr>
      <w:tr w:rsidR="00FE4D0E" w:rsidTr="001F0C51">
        <w:tc>
          <w:tcPr>
            <w:tcW w:w="2054" w:type="dxa"/>
          </w:tcPr>
          <w:p w:rsidR="00FE4D0E" w:rsidRPr="0030089F" w:rsidRDefault="00FE4D0E" w:rsidP="001F0C51">
            <w:pPr>
              <w:spacing w:line="276" w:lineRule="auto"/>
              <w:jc w:val="both"/>
              <w:rPr>
                <w:rFonts w:ascii="Times New Roman" w:hAnsi="Times New Roman" w:cs="Times New Roman"/>
                <w:b/>
                <w:sz w:val="28"/>
                <w:szCs w:val="28"/>
                <w:lang w:val="en-US"/>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ІІ</w:t>
            </w:r>
            <w:r w:rsidRPr="0030089F">
              <w:rPr>
                <w:rFonts w:ascii="Times New Roman" w:hAnsi="Times New Roman" w:cs="Times New Roman"/>
                <w:b/>
                <w:sz w:val="28"/>
                <w:szCs w:val="28"/>
                <w:lang w:val="en-US"/>
              </w:rPr>
              <w:t>F</w:t>
            </w:r>
            <w:r w:rsidRPr="0030089F">
              <w:rPr>
                <w:rFonts w:ascii="Times New Roman" w:hAnsi="Times New Roman" w:cs="Times New Roman"/>
                <w:b/>
                <w:sz w:val="28"/>
                <w:szCs w:val="28"/>
              </w:rPr>
              <w:t>,</w:t>
            </w:r>
          </w:p>
          <w:p w:rsidR="00FE4D0E" w:rsidRPr="0030089F" w:rsidRDefault="00FE4D0E" w:rsidP="001F0C51">
            <w:pPr>
              <w:spacing w:line="276" w:lineRule="auto"/>
              <w:rPr>
                <w:rFonts w:ascii="Times New Roman" w:hAnsi="Times New Roman" w:cs="Times New Roman"/>
                <w:b/>
                <w:sz w:val="28"/>
                <w:szCs w:val="28"/>
              </w:rPr>
            </w:pPr>
            <w:r w:rsidRPr="0030089F">
              <w:rPr>
                <w:rFonts w:ascii="Times New Roman" w:hAnsi="Times New Roman" w:cs="Times New Roman"/>
                <w:b/>
                <w:sz w:val="28"/>
                <w:szCs w:val="28"/>
                <w:lang w:val="en-US"/>
              </w:rPr>
              <w:t>n=</w:t>
            </w:r>
            <w:r w:rsidRPr="0030089F">
              <w:rPr>
                <w:rFonts w:ascii="Times New Roman" w:hAnsi="Times New Roman" w:cs="Times New Roman"/>
                <w:b/>
                <w:sz w:val="28"/>
                <w:szCs w:val="28"/>
              </w:rPr>
              <w:t>16</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26,55</w:t>
            </w:r>
            <w:r>
              <w:rPr>
                <w:rFonts w:ascii="Times New Roman" w:hAnsi="Times New Roman" w:cs="Times New Roman"/>
                <w:sz w:val="28"/>
                <w:szCs w:val="28"/>
              </w:rPr>
              <w:t>±</w:t>
            </w:r>
            <w:r>
              <w:rPr>
                <w:rFonts w:ascii="Times New Roman" w:hAnsi="Times New Roman"/>
                <w:sz w:val="28"/>
                <w:szCs w:val="28"/>
              </w:rPr>
              <w:t>6,21</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38,74</w:t>
            </w:r>
            <w:r>
              <w:rPr>
                <w:rFonts w:ascii="Times New Roman" w:hAnsi="Times New Roman" w:cs="Times New Roman"/>
                <w:sz w:val="28"/>
                <w:szCs w:val="28"/>
              </w:rPr>
              <w:t>±</w:t>
            </w:r>
            <w:r>
              <w:rPr>
                <w:rFonts w:ascii="Times New Roman" w:hAnsi="Times New Roman"/>
                <w:sz w:val="28"/>
                <w:szCs w:val="28"/>
              </w:rPr>
              <w:t>13,76</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32,89</w:t>
            </w:r>
            <w:r>
              <w:rPr>
                <w:rFonts w:ascii="Times New Roman" w:hAnsi="Times New Roman" w:cs="Times New Roman"/>
                <w:sz w:val="28"/>
                <w:szCs w:val="28"/>
              </w:rPr>
              <w:t>±</w:t>
            </w:r>
            <w:r>
              <w:rPr>
                <w:rFonts w:ascii="Times New Roman" w:hAnsi="Times New Roman"/>
                <w:sz w:val="28"/>
                <w:szCs w:val="28"/>
              </w:rPr>
              <w:t>14,04</w:t>
            </w:r>
          </w:p>
        </w:tc>
        <w:tc>
          <w:tcPr>
            <w:tcW w:w="1895" w:type="dxa"/>
          </w:tcPr>
          <w:p w:rsidR="00FE4D0E" w:rsidRPr="006E76F3" w:rsidRDefault="00FE4D0E" w:rsidP="001F0C51">
            <w:pPr>
              <w:jc w:val="center"/>
              <w:rPr>
                <w:rFonts w:ascii="Times New Roman" w:hAnsi="Times New Roman"/>
                <w:sz w:val="28"/>
                <w:szCs w:val="28"/>
              </w:rPr>
            </w:pPr>
            <w:r>
              <w:rPr>
                <w:rFonts w:ascii="Times New Roman" w:hAnsi="Times New Roman"/>
                <w:sz w:val="28"/>
                <w:szCs w:val="28"/>
              </w:rPr>
              <w:t>37,51</w:t>
            </w:r>
            <w:r>
              <w:rPr>
                <w:rFonts w:ascii="Times New Roman" w:hAnsi="Times New Roman" w:cs="Times New Roman"/>
                <w:sz w:val="28"/>
                <w:szCs w:val="28"/>
              </w:rPr>
              <w:t>±</w:t>
            </w:r>
            <w:r>
              <w:rPr>
                <w:rFonts w:ascii="Times New Roman" w:hAnsi="Times New Roman"/>
                <w:sz w:val="28"/>
                <w:szCs w:val="28"/>
              </w:rPr>
              <w:t>10,31</w:t>
            </w:r>
          </w:p>
        </w:tc>
      </w:tr>
      <w:tr w:rsidR="00FE4D0E" w:rsidTr="001F0C51">
        <w:tc>
          <w:tcPr>
            <w:tcW w:w="2054" w:type="dxa"/>
          </w:tcPr>
          <w:p w:rsidR="00FE4D0E" w:rsidRPr="0030089F" w:rsidRDefault="00FE4D0E" w:rsidP="001F0C51">
            <w:pPr>
              <w:spacing w:line="276" w:lineRule="auto"/>
              <w:jc w:val="both"/>
              <w:rPr>
                <w:rFonts w:ascii="Times New Roman" w:hAnsi="Times New Roman" w:cs="Times New Roman"/>
                <w:b/>
                <w:sz w:val="28"/>
                <w:szCs w:val="28"/>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w:t>
            </w:r>
            <w:r w:rsidRPr="0030089F">
              <w:rPr>
                <w:rFonts w:ascii="Times New Roman" w:hAnsi="Times New Roman" w:cs="Times New Roman"/>
                <w:b/>
                <w:sz w:val="28"/>
                <w:szCs w:val="28"/>
                <w:lang w:val="en-US"/>
              </w:rPr>
              <w:t>II</w:t>
            </w:r>
            <w:r w:rsidRPr="0030089F">
              <w:rPr>
                <w:rFonts w:ascii="Times New Roman" w:hAnsi="Times New Roman" w:cs="Times New Roman"/>
                <w:b/>
                <w:sz w:val="28"/>
                <w:szCs w:val="28"/>
              </w:rPr>
              <w:t>,</w:t>
            </w:r>
          </w:p>
          <w:p w:rsidR="00FE4D0E" w:rsidRPr="0030089F" w:rsidRDefault="00FE4D0E" w:rsidP="001F0C51">
            <w:pPr>
              <w:spacing w:line="276" w:lineRule="auto"/>
              <w:rPr>
                <w:b/>
                <w:lang w:val="en-US"/>
              </w:rPr>
            </w:pPr>
            <w:r w:rsidRPr="0030089F">
              <w:rPr>
                <w:rFonts w:ascii="Times New Roman" w:hAnsi="Times New Roman" w:cs="Times New Roman"/>
                <w:b/>
                <w:sz w:val="28"/>
                <w:szCs w:val="28"/>
                <w:lang w:val="en-US"/>
              </w:rPr>
              <w:t>n=</w:t>
            </w:r>
            <w:r w:rsidRPr="0030089F">
              <w:rPr>
                <w:rFonts w:ascii="Times New Roman" w:hAnsi="Times New Roman" w:cs="Times New Roman"/>
                <w:b/>
                <w:sz w:val="28"/>
                <w:szCs w:val="28"/>
              </w:rPr>
              <w:t>15</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37,64</w:t>
            </w:r>
            <w:r>
              <w:rPr>
                <w:rFonts w:ascii="Times New Roman" w:hAnsi="Times New Roman" w:cs="Times New Roman"/>
                <w:sz w:val="28"/>
                <w:szCs w:val="28"/>
              </w:rPr>
              <w:t>±</w:t>
            </w:r>
            <w:r>
              <w:rPr>
                <w:rFonts w:ascii="Times New Roman" w:hAnsi="Times New Roman"/>
                <w:sz w:val="28"/>
                <w:szCs w:val="28"/>
              </w:rPr>
              <w:t>5,91</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77,28</w:t>
            </w:r>
            <w:r>
              <w:rPr>
                <w:rFonts w:ascii="Times New Roman" w:hAnsi="Times New Roman" w:cs="Times New Roman"/>
                <w:sz w:val="28"/>
                <w:szCs w:val="28"/>
              </w:rPr>
              <w:t>±</w:t>
            </w:r>
            <w:r>
              <w:rPr>
                <w:rFonts w:ascii="Times New Roman" w:hAnsi="Times New Roman"/>
                <w:sz w:val="28"/>
                <w:szCs w:val="28"/>
              </w:rPr>
              <w:t>20,88</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74,97</w:t>
            </w:r>
            <w:r>
              <w:rPr>
                <w:rFonts w:ascii="Times New Roman" w:hAnsi="Times New Roman" w:cs="Times New Roman"/>
                <w:sz w:val="28"/>
                <w:szCs w:val="28"/>
              </w:rPr>
              <w:t>±</w:t>
            </w:r>
            <w:r>
              <w:rPr>
                <w:rFonts w:ascii="Times New Roman" w:hAnsi="Times New Roman"/>
                <w:sz w:val="28"/>
                <w:szCs w:val="28"/>
              </w:rPr>
              <w:t>23,46</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67,03</w:t>
            </w:r>
            <w:r>
              <w:rPr>
                <w:rFonts w:ascii="Times New Roman" w:hAnsi="Times New Roman" w:cs="Times New Roman"/>
                <w:sz w:val="28"/>
                <w:szCs w:val="28"/>
              </w:rPr>
              <w:t>±</w:t>
            </w:r>
            <w:r>
              <w:rPr>
                <w:rFonts w:ascii="Times New Roman" w:hAnsi="Times New Roman"/>
                <w:sz w:val="28"/>
                <w:szCs w:val="28"/>
              </w:rPr>
              <w:t>16,81</w:t>
            </w:r>
          </w:p>
        </w:tc>
      </w:tr>
      <w:tr w:rsidR="00FE4D0E" w:rsidTr="001F0C51">
        <w:tc>
          <w:tcPr>
            <w:tcW w:w="2054" w:type="dxa"/>
          </w:tcPr>
          <w:p w:rsidR="00FE4D0E" w:rsidRPr="0030089F" w:rsidRDefault="00FE4D0E" w:rsidP="001F0C51">
            <w:pPr>
              <w:spacing w:line="276" w:lineRule="auto"/>
              <w:rPr>
                <w:rFonts w:ascii="Times New Roman" w:hAnsi="Times New Roman"/>
                <w:b/>
                <w:sz w:val="28"/>
                <w:szCs w:val="28"/>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w:t>
            </w:r>
            <w:r w:rsidRPr="0030089F">
              <w:rPr>
                <w:rFonts w:ascii="Times New Roman" w:hAnsi="Times New Roman" w:cs="Times New Roman"/>
                <w:b/>
                <w:sz w:val="28"/>
                <w:szCs w:val="28"/>
                <w:lang w:val="en-US"/>
              </w:rPr>
              <w:t>V</w:t>
            </w:r>
            <w:r w:rsidRPr="0030089F">
              <w:rPr>
                <w:rFonts w:ascii="Times New Roman" w:hAnsi="Times New Roman" w:cs="Times New Roman"/>
                <w:b/>
                <w:sz w:val="28"/>
                <w:szCs w:val="28"/>
              </w:rPr>
              <w:t>,</w:t>
            </w:r>
            <w:r w:rsidRPr="0030089F">
              <w:rPr>
                <w:rFonts w:ascii="Times New Roman" w:hAnsi="Times New Roman" w:cs="Times New Roman"/>
                <w:b/>
                <w:sz w:val="28"/>
                <w:szCs w:val="28"/>
                <w:lang w:val="en-US"/>
              </w:rPr>
              <w:t xml:space="preserve"> n=</w:t>
            </w:r>
            <w:r w:rsidRPr="0030089F">
              <w:rPr>
                <w:rFonts w:ascii="Times New Roman" w:hAnsi="Times New Roman" w:cs="Times New Roman"/>
                <w:b/>
                <w:sz w:val="28"/>
                <w:szCs w:val="28"/>
              </w:rPr>
              <w:t>13</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30,84</w:t>
            </w:r>
            <w:r>
              <w:rPr>
                <w:rFonts w:ascii="Times New Roman" w:hAnsi="Times New Roman" w:cs="Times New Roman"/>
                <w:sz w:val="28"/>
                <w:szCs w:val="28"/>
              </w:rPr>
              <w:t>±</w:t>
            </w:r>
            <w:r>
              <w:rPr>
                <w:rFonts w:ascii="Times New Roman" w:hAnsi="Times New Roman"/>
                <w:sz w:val="28"/>
                <w:szCs w:val="28"/>
              </w:rPr>
              <w:t>6,51</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111,87</w:t>
            </w:r>
            <w:r>
              <w:rPr>
                <w:rFonts w:ascii="Times New Roman" w:hAnsi="Times New Roman" w:cs="Times New Roman"/>
                <w:sz w:val="28"/>
                <w:szCs w:val="28"/>
              </w:rPr>
              <w:t>±</w:t>
            </w:r>
            <w:r>
              <w:rPr>
                <w:rFonts w:ascii="Times New Roman" w:hAnsi="Times New Roman"/>
                <w:sz w:val="28"/>
                <w:szCs w:val="28"/>
              </w:rPr>
              <w:t>23,82</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87,89</w:t>
            </w:r>
            <w:r>
              <w:rPr>
                <w:rFonts w:ascii="Times New Roman" w:hAnsi="Times New Roman" w:cs="Times New Roman"/>
                <w:sz w:val="28"/>
                <w:szCs w:val="28"/>
              </w:rPr>
              <w:t>±</w:t>
            </w:r>
            <w:r>
              <w:rPr>
                <w:rFonts w:ascii="Times New Roman" w:hAnsi="Times New Roman"/>
                <w:sz w:val="28"/>
                <w:szCs w:val="28"/>
              </w:rPr>
              <w:t>27,05</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74,89</w:t>
            </w:r>
            <w:r>
              <w:rPr>
                <w:rFonts w:ascii="Times New Roman" w:hAnsi="Times New Roman" w:cs="Times New Roman"/>
                <w:sz w:val="28"/>
                <w:szCs w:val="28"/>
              </w:rPr>
              <w:t>±</w:t>
            </w:r>
            <w:r>
              <w:rPr>
                <w:rFonts w:ascii="Times New Roman" w:hAnsi="Times New Roman"/>
                <w:sz w:val="28"/>
                <w:szCs w:val="28"/>
              </w:rPr>
              <w:t>14,19</w:t>
            </w:r>
          </w:p>
        </w:tc>
      </w:tr>
      <w:tr w:rsidR="00FE4D0E" w:rsidTr="001F0C51">
        <w:tc>
          <w:tcPr>
            <w:tcW w:w="2054" w:type="dxa"/>
          </w:tcPr>
          <w:p w:rsidR="00FE4D0E" w:rsidRPr="001424FC" w:rsidRDefault="00FE4D0E" w:rsidP="001F0C51">
            <w:pPr>
              <w:spacing w:line="276" w:lineRule="auto"/>
              <w:rPr>
                <w:rFonts w:ascii="Times New Roman" w:hAnsi="Times New Roman"/>
                <w:b/>
                <w:sz w:val="28"/>
                <w:szCs w:val="28"/>
              </w:rPr>
            </w:pPr>
            <w:r w:rsidRPr="006E76F3">
              <w:rPr>
                <w:rFonts w:ascii="Times New Roman" w:hAnsi="Times New Roman"/>
                <w:b/>
                <w:sz w:val="28"/>
                <w:szCs w:val="28"/>
              </w:rPr>
              <w:t>Контроль</w:t>
            </w:r>
            <w:r>
              <w:rPr>
                <w:rFonts w:ascii="Times New Roman" w:hAnsi="Times New Roman"/>
                <w:b/>
                <w:sz w:val="28"/>
                <w:szCs w:val="28"/>
              </w:rPr>
              <w:t xml:space="preserve">, </w:t>
            </w:r>
            <w:r>
              <w:rPr>
                <w:rFonts w:ascii="Times New Roman" w:hAnsi="Times New Roman" w:cs="Times New Roman"/>
                <w:b/>
                <w:sz w:val="28"/>
                <w:szCs w:val="28"/>
              </w:rPr>
              <w:t>n=30</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30,84</w:t>
            </w:r>
            <w:r>
              <w:rPr>
                <w:rFonts w:ascii="Times New Roman" w:hAnsi="Times New Roman" w:cs="Times New Roman"/>
                <w:sz w:val="28"/>
                <w:szCs w:val="28"/>
              </w:rPr>
              <w:t>±</w:t>
            </w:r>
            <w:r>
              <w:rPr>
                <w:rFonts w:ascii="Times New Roman" w:hAnsi="Times New Roman"/>
                <w:sz w:val="28"/>
                <w:szCs w:val="28"/>
              </w:rPr>
              <w:t>6,51</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119,38</w:t>
            </w:r>
            <w:r>
              <w:rPr>
                <w:rFonts w:ascii="Times New Roman" w:hAnsi="Times New Roman" w:cs="Times New Roman"/>
                <w:sz w:val="28"/>
                <w:szCs w:val="28"/>
              </w:rPr>
              <w:t>±</w:t>
            </w:r>
            <w:r>
              <w:rPr>
                <w:rFonts w:ascii="Times New Roman" w:hAnsi="Times New Roman"/>
                <w:sz w:val="28"/>
                <w:szCs w:val="28"/>
              </w:rPr>
              <w:t>13,21</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115,11</w:t>
            </w:r>
            <w:r>
              <w:rPr>
                <w:rFonts w:ascii="Times New Roman" w:hAnsi="Times New Roman" w:cs="Times New Roman"/>
                <w:sz w:val="28"/>
                <w:szCs w:val="28"/>
              </w:rPr>
              <w:t>±</w:t>
            </w:r>
            <w:r>
              <w:rPr>
                <w:rFonts w:ascii="Times New Roman" w:hAnsi="Times New Roman"/>
                <w:sz w:val="28"/>
                <w:szCs w:val="28"/>
              </w:rPr>
              <w:t>36,03</w:t>
            </w:r>
          </w:p>
        </w:tc>
        <w:tc>
          <w:tcPr>
            <w:tcW w:w="1895" w:type="dxa"/>
          </w:tcPr>
          <w:p w:rsidR="00FE4D0E" w:rsidRPr="00FB6A55" w:rsidRDefault="00FE4D0E" w:rsidP="001F0C51">
            <w:pPr>
              <w:jc w:val="center"/>
              <w:rPr>
                <w:rFonts w:ascii="Times New Roman" w:hAnsi="Times New Roman"/>
                <w:sz w:val="28"/>
                <w:szCs w:val="28"/>
              </w:rPr>
            </w:pPr>
            <w:r>
              <w:rPr>
                <w:rFonts w:ascii="Times New Roman" w:hAnsi="Times New Roman"/>
                <w:sz w:val="28"/>
                <w:szCs w:val="28"/>
              </w:rPr>
              <w:t>85,52</w:t>
            </w:r>
            <w:r>
              <w:rPr>
                <w:rFonts w:ascii="Times New Roman" w:hAnsi="Times New Roman" w:cs="Times New Roman"/>
                <w:sz w:val="28"/>
                <w:szCs w:val="28"/>
              </w:rPr>
              <w:t>±</w:t>
            </w:r>
            <w:r>
              <w:rPr>
                <w:rFonts w:ascii="Times New Roman" w:hAnsi="Times New Roman"/>
                <w:sz w:val="28"/>
                <w:szCs w:val="28"/>
              </w:rPr>
              <w:t>11,34</w:t>
            </w:r>
          </w:p>
        </w:tc>
      </w:tr>
      <w:tr w:rsidR="00FE4D0E" w:rsidTr="001F0C51">
        <w:tc>
          <w:tcPr>
            <w:tcW w:w="2054" w:type="dxa"/>
          </w:tcPr>
          <w:p w:rsidR="00FE4D0E" w:rsidRPr="006E76F3" w:rsidRDefault="00FE4D0E" w:rsidP="001F0C51">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0,269</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0,928</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0,961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0,999</w:t>
            </w:r>
          </w:p>
        </w:tc>
      </w:tr>
      <w:tr w:rsidR="00FE4D0E" w:rsidTr="001F0C51">
        <w:tc>
          <w:tcPr>
            <w:tcW w:w="2054"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,3</w:t>
            </w:r>
          </w:p>
        </w:tc>
        <w:tc>
          <w:tcPr>
            <w:tcW w:w="1895" w:type="dxa"/>
          </w:tcPr>
          <w:p w:rsidR="00FE4D0E" w:rsidRPr="008C38F0"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25F31"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25F31" w:rsidRDefault="00FE4D0E" w:rsidP="001F0C51">
            <w:pPr>
              <w:jc w:val="center"/>
              <w:rPr>
                <w:rFonts w:ascii="Times New Roman" w:hAnsi="Times New Roman"/>
                <w:sz w:val="28"/>
                <w:szCs w:val="28"/>
              </w:rPr>
            </w:pPr>
            <w:r>
              <w:rPr>
                <w:rFonts w:ascii="Times New Roman" w:hAnsi="Times New Roman"/>
                <w:sz w:val="28"/>
                <w:szCs w:val="28"/>
              </w:rPr>
              <w:t>0,161</w:t>
            </w:r>
          </w:p>
        </w:tc>
        <w:tc>
          <w:tcPr>
            <w:tcW w:w="1895" w:type="dxa"/>
          </w:tcPr>
          <w:p w:rsidR="00FE4D0E" w:rsidRPr="00F1380F"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r>
      <w:tr w:rsidR="00FE4D0E" w:rsidTr="001F0C51">
        <w:tc>
          <w:tcPr>
            <w:tcW w:w="2054"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,4</w:t>
            </w:r>
          </w:p>
        </w:tc>
        <w:tc>
          <w:tcPr>
            <w:tcW w:w="1895"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2C2019"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,5</w:t>
            </w:r>
          </w:p>
        </w:tc>
        <w:tc>
          <w:tcPr>
            <w:tcW w:w="1895"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,6</w:t>
            </w:r>
          </w:p>
        </w:tc>
        <w:tc>
          <w:tcPr>
            <w:tcW w:w="1895"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rPr>
                <w:rFonts w:ascii="Times New Roman" w:hAnsi="Times New Roman"/>
                <w:sz w:val="28"/>
                <w:szCs w:val="28"/>
                <w:lang w:val="en-US"/>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2,3</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0,004</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0,691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2,4</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2,5</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2,6</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Default="00FE4D0E"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3,4</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3,5</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3,6</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Default="00FE4D0E" w:rsidP="001F0C51">
            <w:pPr>
              <w:jc w:val="center"/>
            </w:pPr>
            <w:r w:rsidRPr="0027543C">
              <w:rPr>
                <w:rFonts w:ascii="Times New Roman" w:hAnsi="Times New Roman"/>
                <w:sz w:val="28"/>
                <w:szCs w:val="28"/>
                <w:lang w:val="en-US"/>
              </w:rPr>
              <w:t>&lt;</w:t>
            </w:r>
            <w:r w:rsidRPr="0027543C">
              <w:rPr>
                <w:rFonts w:ascii="Times New Roman" w:hAnsi="Times New Roman"/>
                <w:sz w:val="28"/>
                <w:szCs w:val="28"/>
              </w:rPr>
              <w:t>0,001</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4,5</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0,260</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0,724</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0,425</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4,6</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0,003</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r>
      <w:tr w:rsidR="00FE4D0E" w:rsidTr="001F0C51">
        <w:tc>
          <w:tcPr>
            <w:tcW w:w="2054" w:type="dxa"/>
          </w:tcPr>
          <w:p w:rsidR="00FE4D0E" w:rsidRPr="006E76F3" w:rsidRDefault="00FE4D0E"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5,6</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0,644</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0,012</w:t>
            </w:r>
          </w:p>
        </w:tc>
        <w:tc>
          <w:tcPr>
            <w:tcW w:w="1895" w:type="dxa"/>
          </w:tcPr>
          <w:p w:rsidR="00FE4D0E" w:rsidRPr="00482ADC" w:rsidRDefault="00FE4D0E" w:rsidP="001F0C51">
            <w:pPr>
              <w:jc w:val="center"/>
              <w:rPr>
                <w:rFonts w:ascii="Times New Roman" w:hAnsi="Times New Roman"/>
                <w:sz w:val="28"/>
                <w:szCs w:val="28"/>
              </w:rPr>
            </w:pPr>
            <w:r>
              <w:rPr>
                <w:rFonts w:ascii="Times New Roman" w:hAnsi="Times New Roman"/>
                <w:sz w:val="28"/>
                <w:szCs w:val="28"/>
              </w:rPr>
              <w:t>0,055</w:t>
            </w:r>
          </w:p>
        </w:tc>
      </w:tr>
    </w:tbl>
    <w:p w:rsidR="00FE4D0E" w:rsidRDefault="00FE4D0E" w:rsidP="000C3BC1">
      <w:pPr>
        <w:spacing w:line="360" w:lineRule="auto"/>
        <w:jc w:val="center"/>
        <w:rPr>
          <w:rFonts w:ascii="Times New Roman" w:hAnsi="Times New Roman" w:cs="Times New Roman"/>
          <w:sz w:val="28"/>
          <w:szCs w:val="28"/>
        </w:rPr>
      </w:pPr>
      <w:r>
        <w:rPr>
          <w:rFonts w:ascii="Times New Roman" w:hAnsi="Times New Roman" w:cs="Times New Roman"/>
          <w:noProof/>
          <w:sz w:val="24"/>
          <w:szCs w:val="24"/>
          <w:lang w:val="en-US"/>
        </w:rPr>
        <w:lastRenderedPageBreak/>
        <w:drawing>
          <wp:inline distT="0" distB="0" distL="0" distR="0" wp14:anchorId="6D257BE0" wp14:editId="520E2D8B">
            <wp:extent cx="3604311" cy="28800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04311" cy="2880000"/>
                    </a:xfrm>
                    <a:prstGeom prst="rect">
                      <a:avLst/>
                    </a:prstGeom>
                    <a:noFill/>
                    <a:ln>
                      <a:noFill/>
                    </a:ln>
                  </pic:spPr>
                </pic:pic>
              </a:graphicData>
            </a:graphic>
          </wp:inline>
        </w:drawing>
      </w:r>
    </w:p>
    <w:p w:rsidR="00FE4D0E" w:rsidRPr="009E6C7E" w:rsidRDefault="00CF1C49" w:rsidP="00FE4D0E">
      <w:pPr>
        <w:spacing w:line="360" w:lineRule="auto"/>
        <w:ind w:firstLine="708"/>
        <w:jc w:val="center"/>
        <w:rPr>
          <w:rFonts w:ascii="Times New Roman" w:hAnsi="Times New Roman" w:cs="Times New Roman"/>
          <w:sz w:val="28"/>
          <w:szCs w:val="28"/>
          <w:lang w:val="ru-RU"/>
        </w:rPr>
      </w:pPr>
      <w:r>
        <w:rPr>
          <w:rFonts w:ascii="Times New Roman" w:hAnsi="Times New Roman" w:cs="Times New Roman"/>
          <w:sz w:val="28"/>
          <w:szCs w:val="28"/>
        </w:rPr>
        <w:t>Рис. 3.</w:t>
      </w:r>
      <w:r w:rsidR="00FE4D0E">
        <w:rPr>
          <w:rFonts w:ascii="Times New Roman" w:hAnsi="Times New Roman" w:cs="Times New Roman"/>
          <w:sz w:val="28"/>
          <w:szCs w:val="28"/>
        </w:rPr>
        <w:t>1</w:t>
      </w:r>
      <w:r>
        <w:rPr>
          <w:rFonts w:ascii="Times New Roman" w:hAnsi="Times New Roman" w:cs="Times New Roman"/>
          <w:sz w:val="28"/>
          <w:szCs w:val="28"/>
        </w:rPr>
        <w:t>8</w:t>
      </w:r>
      <w:r w:rsidR="00FE4D0E">
        <w:rPr>
          <w:rFonts w:ascii="Times New Roman" w:hAnsi="Times New Roman" w:cs="Times New Roman"/>
          <w:sz w:val="28"/>
          <w:szCs w:val="28"/>
        </w:rPr>
        <w:t>. Коробкова діаграма</w:t>
      </w:r>
      <w:r w:rsidR="00FE4D0E" w:rsidRPr="0079373A">
        <w:rPr>
          <w:rFonts w:ascii="Times New Roman" w:hAnsi="Times New Roman" w:cs="Times New Roman"/>
          <w:sz w:val="28"/>
          <w:szCs w:val="28"/>
        </w:rPr>
        <w:t xml:space="preserve"> </w:t>
      </w:r>
      <w:r w:rsidR="00FE4D0E">
        <w:rPr>
          <w:rFonts w:ascii="Times New Roman" w:hAnsi="Times New Roman" w:cs="Times New Roman"/>
          <w:sz w:val="28"/>
          <w:szCs w:val="28"/>
        </w:rPr>
        <w:t xml:space="preserve">променевої щільності кістозних </w:t>
      </w:r>
      <w:r w:rsidR="00FE4D0E">
        <w:rPr>
          <w:rFonts w:ascii="Times New Roman" w:hAnsi="Times New Roman" w:cs="Times New Roman"/>
          <w:sz w:val="28"/>
          <w:szCs w:val="28"/>
          <w:lang w:val="en-US"/>
        </w:rPr>
        <w:t>SRM</w:t>
      </w:r>
      <w:r w:rsidR="00FE4D0E" w:rsidRPr="009E6C7E">
        <w:rPr>
          <w:rFonts w:ascii="Times New Roman" w:hAnsi="Times New Roman" w:cs="Times New Roman"/>
          <w:sz w:val="28"/>
          <w:szCs w:val="28"/>
          <w:lang w:val="ru-RU"/>
        </w:rPr>
        <w:t xml:space="preserve"> </w:t>
      </w:r>
      <w:r w:rsidR="00FE4D0E">
        <w:rPr>
          <w:rFonts w:ascii="Times New Roman" w:hAnsi="Times New Roman" w:cs="Times New Roman"/>
          <w:sz w:val="28"/>
          <w:szCs w:val="28"/>
        </w:rPr>
        <w:t>на КТ-зображеннях кортико-медулярної фази</w:t>
      </w:r>
    </w:p>
    <w:p w:rsidR="00FE4D0E" w:rsidRPr="009E6C7E" w:rsidRDefault="00FE4D0E" w:rsidP="00FE4D0E">
      <w:pPr>
        <w:spacing w:line="360" w:lineRule="auto"/>
        <w:ind w:firstLine="708"/>
        <w:jc w:val="both"/>
        <w:rPr>
          <w:rFonts w:ascii="Times New Roman" w:hAnsi="Times New Roman" w:cs="Times New Roman"/>
          <w:sz w:val="28"/>
          <w:szCs w:val="28"/>
          <w:lang w:val="ru-RU"/>
        </w:rPr>
      </w:pPr>
    </w:p>
    <w:p w:rsidR="00FE4D0E" w:rsidRDefault="00FE4D0E" w:rsidP="00FE4D0E">
      <w:pPr>
        <w:spacing w:line="360" w:lineRule="auto"/>
        <w:jc w:val="both"/>
        <w:rPr>
          <w:rFonts w:ascii="Times New Roman" w:hAnsi="Times New Roman" w:cs="Times New Roman"/>
          <w:sz w:val="28"/>
          <w:szCs w:val="28"/>
        </w:rPr>
      </w:pPr>
      <w:r>
        <w:rPr>
          <w:rFonts w:ascii="Times New Roman" w:hAnsi="Times New Roman" w:cs="Times New Roman"/>
          <w:sz w:val="28"/>
          <w:szCs w:val="28"/>
        </w:rPr>
        <w:tab/>
        <w:t>Проведений аналіз відношення променевої щільності кістозних малих ниркових новоутворів до нормальної ниркової паренхіми у досліджуваних групах не виявив суттєвих переваг над показниками променевої щільності пухлини (лише при порівнянні кіст категорій ІІ та ІІ</w:t>
      </w:r>
      <w:r>
        <w:rPr>
          <w:rFonts w:ascii="Times New Roman" w:hAnsi="Times New Roman" w:cs="Times New Roman"/>
          <w:sz w:val="28"/>
          <w:szCs w:val="28"/>
          <w:lang w:val="en-US"/>
        </w:rPr>
        <w:t>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статистична різниця була дещо вищою у порівнянні з ІС). Найнижчі значення ВПЩ спостерігались при кістах І та ІІ класів, а найвищі – при кістах </w:t>
      </w:r>
      <w:r>
        <w:rPr>
          <w:rFonts w:ascii="Times New Roman" w:hAnsi="Times New Roman" w:cs="Times New Roman"/>
          <w:sz w:val="28"/>
          <w:szCs w:val="28"/>
          <w:lang w:val="en-US"/>
        </w:rPr>
        <w:t>IV</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класу. Як і у випадку із ІС ми не спостерігали достовірної різниці у середніх показниках ВПЩ між кістами класів І та ІІ 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на КТ-зображеннях жодної з фаз </w:t>
      </w:r>
      <w:r w:rsidRPr="009E6C7E">
        <w:rPr>
          <w:rFonts w:ascii="Times New Roman" w:hAnsi="Times New Roman" w:cs="Times New Roman"/>
          <w:sz w:val="28"/>
          <w:szCs w:val="28"/>
        </w:rPr>
        <w:t>(</w:t>
      </w:r>
      <w:r>
        <w:rPr>
          <w:rFonts w:ascii="Times New Roman" w:hAnsi="Times New Roman" w:cs="Times New Roman"/>
          <w:sz w:val="28"/>
          <w:szCs w:val="28"/>
          <w:lang w:val="en-US"/>
        </w:rPr>
        <w:t>p</w:t>
      </w:r>
      <w:r w:rsidRPr="009E6C7E">
        <w:rPr>
          <w:rFonts w:ascii="Times New Roman" w:hAnsi="Times New Roman" w:cs="Times New Roman"/>
          <w:sz w:val="28"/>
          <w:szCs w:val="28"/>
        </w:rPr>
        <w:t>&gt;</w:t>
      </w:r>
      <w:r>
        <w:rPr>
          <w:rFonts w:ascii="Times New Roman" w:hAnsi="Times New Roman" w:cs="Times New Roman"/>
          <w:sz w:val="28"/>
          <w:szCs w:val="28"/>
        </w:rPr>
        <w:t>0,05). У випадку всіх інших груп кіст середні показники ВПЩ кісти до здорової ниркової паренхіми достовірно між собою відрізнялись (р</w:t>
      </w:r>
      <w:r w:rsidRPr="009E6C7E">
        <w:rPr>
          <w:rFonts w:ascii="Times New Roman" w:hAnsi="Times New Roman"/>
          <w:sz w:val="28"/>
          <w:szCs w:val="28"/>
          <w:lang w:val="ru-RU"/>
        </w:rPr>
        <w:t>&lt;</w:t>
      </w:r>
      <w:r>
        <w:rPr>
          <w:rFonts w:ascii="Times New Roman" w:hAnsi="Times New Roman"/>
          <w:sz w:val="28"/>
          <w:szCs w:val="28"/>
        </w:rPr>
        <w:t xml:space="preserve">0,001). Як і при ІС, ми не отримали суттєвої різниці між середніми значеннями ВПЩ кіст категорії </w:t>
      </w:r>
      <w:r>
        <w:rPr>
          <w:rFonts w:ascii="Times New Roman" w:hAnsi="Times New Roman"/>
          <w:sz w:val="28"/>
          <w:szCs w:val="28"/>
          <w:lang w:val="en-US"/>
        </w:rPr>
        <w:t>IV</w:t>
      </w:r>
      <w:r>
        <w:rPr>
          <w:rFonts w:ascii="Times New Roman" w:hAnsi="Times New Roman"/>
          <w:sz w:val="28"/>
          <w:szCs w:val="28"/>
        </w:rPr>
        <w:t xml:space="preserve"> та контрольної групи (р=</w:t>
      </w:r>
      <w:r>
        <w:rPr>
          <w:rFonts w:ascii="Times New Roman" w:hAnsi="Times New Roman" w:cs="Times New Roman"/>
          <w:sz w:val="28"/>
          <w:szCs w:val="28"/>
        </w:rPr>
        <w:t>0,860), у решті випадків така різниця була статистично достовірною (р</w:t>
      </w:r>
      <w:r w:rsidRPr="009E6C7E">
        <w:rPr>
          <w:rFonts w:ascii="Times New Roman" w:hAnsi="Times New Roman" w:cs="Times New Roman"/>
          <w:sz w:val="28"/>
          <w:szCs w:val="28"/>
        </w:rPr>
        <w:t>&lt;</w:t>
      </w:r>
      <w:r w:rsidR="00CF1C49">
        <w:rPr>
          <w:rFonts w:ascii="Times New Roman" w:hAnsi="Times New Roman" w:cs="Times New Roman"/>
          <w:sz w:val="28"/>
          <w:szCs w:val="28"/>
        </w:rPr>
        <w:t>0,001)</w:t>
      </w:r>
      <w:r>
        <w:rPr>
          <w:rFonts w:ascii="Times New Roman" w:hAnsi="Times New Roman" w:cs="Times New Roman"/>
          <w:sz w:val="28"/>
          <w:szCs w:val="28"/>
        </w:rPr>
        <w:t>.</w:t>
      </w:r>
      <w:r w:rsidRPr="00BF1D7D">
        <w:rPr>
          <w:rFonts w:ascii="Times New Roman" w:hAnsi="Times New Roman" w:cs="Times New Roman"/>
          <w:sz w:val="28"/>
          <w:szCs w:val="28"/>
        </w:rPr>
        <w:t xml:space="preserve"> </w:t>
      </w:r>
    </w:p>
    <w:p w:rsidR="00FE4D0E" w:rsidRPr="0085764C" w:rsidRDefault="00FE4D0E" w:rsidP="00FE4D0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Наступним кроком був аналіз відмінностей між середніми значеннями</w:t>
      </w:r>
      <w:r w:rsidRPr="007C12EE">
        <w:rPr>
          <w:rFonts w:ascii="Times New Roman" w:hAnsi="Times New Roman" w:cs="Times New Roman"/>
          <w:sz w:val="28"/>
          <w:szCs w:val="28"/>
        </w:rPr>
        <w:t xml:space="preserve"> </w:t>
      </w:r>
      <w:r>
        <w:rPr>
          <w:rFonts w:ascii="Times New Roman" w:hAnsi="Times New Roman" w:cs="Times New Roman"/>
          <w:sz w:val="28"/>
          <w:szCs w:val="28"/>
        </w:rPr>
        <w:t>інтенсивності сигналу та середніми значеннями</w:t>
      </w:r>
      <w:r w:rsidRPr="007C12EE">
        <w:rPr>
          <w:rFonts w:ascii="Times New Roman" w:hAnsi="Times New Roman" w:cs="Times New Roman"/>
          <w:sz w:val="28"/>
          <w:szCs w:val="28"/>
        </w:rPr>
        <w:t xml:space="preserve"> </w:t>
      </w:r>
      <w:r>
        <w:rPr>
          <w:rFonts w:ascii="Times New Roman" w:hAnsi="Times New Roman" w:cs="Times New Roman"/>
          <w:sz w:val="28"/>
          <w:szCs w:val="28"/>
        </w:rPr>
        <w:t xml:space="preserve">відношення променевої щільності </w:t>
      </w:r>
      <w:r>
        <w:rPr>
          <w:rFonts w:ascii="Times New Roman" w:hAnsi="Times New Roman" w:cs="Times New Roman"/>
          <w:sz w:val="28"/>
        </w:rPr>
        <w:t>кісти до нормальної ниркової паренхіми</w:t>
      </w:r>
      <w:r>
        <w:rPr>
          <w:rFonts w:ascii="Times New Roman" w:hAnsi="Times New Roman" w:cs="Times New Roman"/>
          <w:sz w:val="28"/>
          <w:szCs w:val="28"/>
        </w:rPr>
        <w:t xml:space="preserve"> у підгрупах із </w:t>
      </w:r>
      <w:r>
        <w:rPr>
          <w:rFonts w:ascii="Times New Roman" w:hAnsi="Times New Roman" w:cs="Times New Roman"/>
          <w:sz w:val="28"/>
          <w:szCs w:val="28"/>
        </w:rPr>
        <w:lastRenderedPageBreak/>
        <w:t xml:space="preserve">доброякісними та злоякісними кістами. </w:t>
      </w:r>
      <w:r w:rsidRPr="007C12EE">
        <w:rPr>
          <w:rFonts w:ascii="Times New Roman" w:hAnsi="Times New Roman" w:cs="Times New Roman"/>
          <w:sz w:val="28"/>
          <w:szCs w:val="28"/>
        </w:rPr>
        <w:t xml:space="preserve">Для </w:t>
      </w:r>
      <w:r>
        <w:rPr>
          <w:rFonts w:ascii="Times New Roman" w:hAnsi="Times New Roman" w:cs="Times New Roman"/>
          <w:sz w:val="28"/>
          <w:szCs w:val="28"/>
        </w:rPr>
        <w:t xml:space="preserve">цього </w:t>
      </w:r>
      <w:r w:rsidRPr="007C12EE">
        <w:rPr>
          <w:rFonts w:ascii="Times New Roman" w:hAnsi="Times New Roman" w:cs="Times New Roman"/>
          <w:sz w:val="28"/>
          <w:szCs w:val="28"/>
        </w:rPr>
        <w:t xml:space="preserve">вирішувалося завдання перевірки нульової гіпотези про відсутність </w:t>
      </w:r>
      <w:r>
        <w:rPr>
          <w:rFonts w:ascii="Times New Roman" w:hAnsi="Times New Roman" w:cs="Times New Roman"/>
          <w:sz w:val="28"/>
          <w:szCs w:val="28"/>
        </w:rPr>
        <w:t>різниці у середніх значеннях</w:t>
      </w:r>
      <w:r w:rsidRPr="007C12EE">
        <w:rPr>
          <w:rFonts w:ascii="Times New Roman" w:hAnsi="Times New Roman" w:cs="Times New Roman"/>
          <w:sz w:val="28"/>
          <w:szCs w:val="28"/>
        </w:rPr>
        <w:t xml:space="preserve"> </w:t>
      </w:r>
      <w:r>
        <w:rPr>
          <w:rFonts w:ascii="Times New Roman" w:hAnsi="Times New Roman" w:cs="Times New Roman"/>
          <w:sz w:val="28"/>
          <w:szCs w:val="28"/>
        </w:rPr>
        <w:t xml:space="preserve">вказаних показників </w:t>
      </w:r>
      <w:r w:rsidRPr="007C12EE">
        <w:rPr>
          <w:rFonts w:ascii="Times New Roman" w:hAnsi="Times New Roman" w:cs="Times New Roman"/>
          <w:sz w:val="28"/>
          <w:szCs w:val="28"/>
        </w:rPr>
        <w:t xml:space="preserve">при рівні значущості </w:t>
      </w:r>
      <w:r>
        <w:rPr>
          <w:rFonts w:ascii="Times New Roman" w:hAnsi="Times New Roman" w:cs="Times New Roman"/>
          <w:sz w:val="28"/>
          <w:szCs w:val="28"/>
        </w:rPr>
        <w:t>≤</w:t>
      </w:r>
      <w:r w:rsidRPr="007C12EE">
        <w:rPr>
          <w:rFonts w:ascii="Times New Roman" w:hAnsi="Times New Roman" w:cs="Times New Roman"/>
          <w:sz w:val="28"/>
          <w:szCs w:val="28"/>
        </w:rPr>
        <w:t xml:space="preserve">0,05. Для досягнення цієї мети використовувався </w:t>
      </w:r>
      <w:r>
        <w:rPr>
          <w:rFonts w:ascii="Times New Roman" w:hAnsi="Times New Roman" w:cs="Times New Roman"/>
          <w:sz w:val="28"/>
          <w:szCs w:val="28"/>
          <w:lang w:val="en-US"/>
        </w:rPr>
        <w:t>t</w:t>
      </w:r>
      <w:r w:rsidRPr="009E6C7E">
        <w:rPr>
          <w:rFonts w:ascii="Times New Roman" w:hAnsi="Times New Roman" w:cs="Times New Roman"/>
          <w:sz w:val="28"/>
          <w:szCs w:val="28"/>
        </w:rPr>
        <w:t>-</w:t>
      </w:r>
      <w:r>
        <w:rPr>
          <w:rFonts w:ascii="Times New Roman" w:hAnsi="Times New Roman" w:cs="Times New Roman"/>
          <w:sz w:val="28"/>
          <w:szCs w:val="28"/>
        </w:rPr>
        <w:t>тест Стьюдента.</w:t>
      </w:r>
    </w:p>
    <w:p w:rsidR="00FE4D0E" w:rsidRDefault="00FE4D0E" w:rsidP="00FE4D0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аналізі відмінностей у середніх значеннях ІС в підгрупах із доброякісними (</w:t>
      </w:r>
      <w:r w:rsidRPr="00E14950">
        <w:rPr>
          <w:rFonts w:ascii="Times New Roman" w:hAnsi="Times New Roman" w:cs="Times New Roman"/>
          <w:sz w:val="28"/>
          <w:szCs w:val="28"/>
          <w:lang w:val="en-US"/>
        </w:rPr>
        <w:t>n</w:t>
      </w:r>
      <w:r w:rsidRPr="009E6C7E">
        <w:rPr>
          <w:rFonts w:ascii="Times New Roman" w:hAnsi="Times New Roman" w:cs="Times New Roman"/>
          <w:sz w:val="28"/>
          <w:szCs w:val="28"/>
        </w:rPr>
        <w:t>=</w:t>
      </w:r>
      <w:r w:rsidRPr="00E14950">
        <w:rPr>
          <w:rFonts w:ascii="Times New Roman" w:hAnsi="Times New Roman" w:cs="Times New Roman"/>
          <w:sz w:val="28"/>
          <w:szCs w:val="28"/>
        </w:rPr>
        <w:t>8)</w:t>
      </w:r>
      <w:r>
        <w:rPr>
          <w:rFonts w:ascii="Times New Roman" w:hAnsi="Times New Roman" w:cs="Times New Roman"/>
          <w:sz w:val="28"/>
          <w:szCs w:val="28"/>
        </w:rPr>
        <w:t xml:space="preserve"> та злоякісними (</w:t>
      </w:r>
      <w:r w:rsidRPr="00E14950">
        <w:rPr>
          <w:rFonts w:ascii="Times New Roman" w:hAnsi="Times New Roman" w:cs="Times New Roman"/>
          <w:sz w:val="28"/>
          <w:szCs w:val="28"/>
          <w:lang w:val="en-US"/>
        </w:rPr>
        <w:t>n</w:t>
      </w:r>
      <w:r w:rsidRPr="009E6C7E">
        <w:rPr>
          <w:rFonts w:ascii="Times New Roman" w:hAnsi="Times New Roman" w:cs="Times New Roman"/>
          <w:sz w:val="28"/>
          <w:szCs w:val="28"/>
        </w:rPr>
        <w:t>=</w:t>
      </w:r>
      <w:r w:rsidRPr="00E14950">
        <w:rPr>
          <w:rFonts w:ascii="Times New Roman" w:hAnsi="Times New Roman" w:cs="Times New Roman"/>
          <w:sz w:val="28"/>
          <w:szCs w:val="28"/>
        </w:rPr>
        <w:t>8)</w:t>
      </w:r>
      <w:r>
        <w:rPr>
          <w:rFonts w:ascii="Times New Roman" w:hAnsi="Times New Roman" w:cs="Times New Roman"/>
          <w:sz w:val="28"/>
          <w:szCs w:val="28"/>
        </w:rPr>
        <w:t xml:space="preserve"> кістами категорії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(охоплюючи ОЗ весь контур кісти) на КТ-зображеннях всіх фаз доброякісні кісти мали нижчі показники променевої щільності у порівнянні із злоякісними. Проте, ми не спостерігали достовірної різниці у середніх значеннях ІС в вказаних підгрупах хворих на зображеннях пре-контрастної фази (0,089). Однак, не зважаючи на відносно невеликі розміри вибірок, нами була отримана достовірна різниця середніх значеннях ІС у підгрупах</w:t>
      </w:r>
      <w:r w:rsidRPr="004D580B">
        <w:rPr>
          <w:rFonts w:ascii="Times New Roman" w:hAnsi="Times New Roman" w:cs="Times New Roman"/>
          <w:sz w:val="28"/>
          <w:szCs w:val="28"/>
        </w:rPr>
        <w:t xml:space="preserve"> </w:t>
      </w:r>
      <w:r>
        <w:rPr>
          <w:rFonts w:ascii="Times New Roman" w:hAnsi="Times New Roman" w:cs="Times New Roman"/>
          <w:sz w:val="28"/>
          <w:szCs w:val="28"/>
        </w:rPr>
        <w:t>із доброякісними та злоякісними кістами як на КТ-зображеннях кортико-медулярної фази (р=0,006), нефрографічної фази (р=0,003), так і екскреторної фази (р=0,04), що було неоч</w:t>
      </w:r>
      <w:r w:rsidR="00B83560">
        <w:rPr>
          <w:rFonts w:ascii="Times New Roman" w:hAnsi="Times New Roman" w:cs="Times New Roman"/>
          <w:sz w:val="28"/>
          <w:szCs w:val="28"/>
        </w:rPr>
        <w:t>ікуваною знахідкою (таблиця 3.14</w:t>
      </w:r>
      <w:r w:rsidR="00CF1C49">
        <w:rPr>
          <w:rFonts w:ascii="Times New Roman" w:hAnsi="Times New Roman" w:cs="Times New Roman"/>
          <w:sz w:val="28"/>
          <w:szCs w:val="28"/>
        </w:rPr>
        <w:t>, рисунок 3.19</w:t>
      </w:r>
      <w:r>
        <w:rPr>
          <w:rFonts w:ascii="Times New Roman" w:hAnsi="Times New Roman" w:cs="Times New Roman"/>
          <w:sz w:val="28"/>
          <w:szCs w:val="28"/>
        </w:rPr>
        <w:t>)</w:t>
      </w:r>
      <w:r w:rsidR="00F37271">
        <w:rPr>
          <w:rFonts w:ascii="Times New Roman" w:hAnsi="Times New Roman" w:cs="Times New Roman"/>
          <w:sz w:val="28"/>
          <w:szCs w:val="28"/>
        </w:rPr>
        <w:t>.</w:t>
      </w:r>
      <w:r>
        <w:rPr>
          <w:rFonts w:ascii="Times New Roman" w:hAnsi="Times New Roman" w:cs="Times New Roman"/>
          <w:sz w:val="28"/>
          <w:szCs w:val="28"/>
        </w:rPr>
        <w:t xml:space="preserve"> </w:t>
      </w:r>
    </w:p>
    <w:p w:rsidR="00FE4D0E" w:rsidRDefault="00FE4D0E" w:rsidP="00FE4D0E">
      <w:pPr>
        <w:spacing w:line="360" w:lineRule="auto"/>
        <w:ind w:firstLine="709"/>
        <w:jc w:val="both"/>
        <w:rPr>
          <w:rFonts w:ascii="Times New Roman" w:hAnsi="Times New Roman" w:cs="Times New Roman"/>
          <w:sz w:val="28"/>
          <w:szCs w:val="28"/>
        </w:rPr>
      </w:pPr>
    </w:p>
    <w:p w:rsidR="00FE4D0E" w:rsidRDefault="00B83560" w:rsidP="00FE4D0E">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3.14</w:t>
      </w:r>
    </w:p>
    <w:p w:rsidR="00FE4D0E" w:rsidRPr="00E14950" w:rsidRDefault="00FE4D0E" w:rsidP="00FE4D0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Статистичні характеристики показників променевої щільності доброякісних та злоякісних кіст категорії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в залежності від фази КТ</w:t>
      </w:r>
    </w:p>
    <w:tbl>
      <w:tblPr>
        <w:tblStyle w:val="TableGrid"/>
        <w:tblW w:w="0" w:type="auto"/>
        <w:tblLook w:val="04A0" w:firstRow="1" w:lastRow="0" w:firstColumn="1" w:lastColumn="0" w:noHBand="0" w:noVBand="1"/>
      </w:tblPr>
      <w:tblGrid>
        <w:gridCol w:w="4055"/>
        <w:gridCol w:w="1758"/>
        <w:gridCol w:w="1699"/>
        <w:gridCol w:w="851"/>
        <w:gridCol w:w="981"/>
      </w:tblGrid>
      <w:tr w:rsidR="00FE4D0E" w:rsidTr="001F0C51">
        <w:tc>
          <w:tcPr>
            <w:tcW w:w="4106" w:type="dxa"/>
            <w:tcBorders>
              <w:tl2br w:val="single" w:sz="4" w:space="0" w:color="auto"/>
            </w:tcBorders>
          </w:tcPr>
          <w:p w:rsidR="00FE4D0E" w:rsidRPr="009B46B3" w:rsidRDefault="00FE4D0E" w:rsidP="001F0C51">
            <w:pPr>
              <w:jc w:val="right"/>
              <w:rPr>
                <w:rFonts w:ascii="Times New Roman" w:hAnsi="Times New Roman" w:cs="Times New Roman"/>
                <w:b/>
                <w:sz w:val="28"/>
                <w:szCs w:val="28"/>
              </w:rPr>
            </w:pPr>
            <w:r w:rsidRPr="009B46B3">
              <w:rPr>
                <w:rFonts w:ascii="Times New Roman" w:hAnsi="Times New Roman" w:cs="Times New Roman"/>
                <w:b/>
                <w:sz w:val="28"/>
                <w:szCs w:val="28"/>
              </w:rPr>
              <w:t>Підгрупа</w:t>
            </w:r>
          </w:p>
          <w:p w:rsidR="00FE4D0E" w:rsidRDefault="00FE4D0E" w:rsidP="001F0C51">
            <w:pPr>
              <w:jc w:val="both"/>
              <w:rPr>
                <w:rFonts w:ascii="Times New Roman" w:hAnsi="Times New Roman" w:cs="Times New Roman"/>
                <w:b/>
                <w:sz w:val="28"/>
                <w:szCs w:val="28"/>
              </w:rPr>
            </w:pPr>
          </w:p>
          <w:p w:rsidR="00FE4D0E" w:rsidRPr="009B46B3" w:rsidRDefault="00FE4D0E" w:rsidP="001F0C51">
            <w:pPr>
              <w:jc w:val="both"/>
              <w:rPr>
                <w:rFonts w:ascii="Times New Roman" w:hAnsi="Times New Roman" w:cs="Times New Roman"/>
                <w:b/>
                <w:sz w:val="28"/>
                <w:szCs w:val="28"/>
              </w:rPr>
            </w:pPr>
            <w:r w:rsidRPr="009B46B3">
              <w:rPr>
                <w:rFonts w:ascii="Times New Roman" w:hAnsi="Times New Roman" w:cs="Times New Roman"/>
                <w:b/>
                <w:sz w:val="28"/>
                <w:szCs w:val="28"/>
              </w:rPr>
              <w:t>Фаза КТ</w:t>
            </w:r>
          </w:p>
        </w:tc>
        <w:tc>
          <w:tcPr>
            <w:tcW w:w="1701" w:type="dxa"/>
          </w:tcPr>
          <w:p w:rsidR="00FE4D0E" w:rsidRDefault="00FE4D0E"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Bosniak</w:t>
            </w:r>
            <w:r w:rsidRPr="009E6C7E">
              <w:rPr>
                <w:rFonts w:ascii="Times New Roman" w:hAnsi="Times New Roman" w:cs="Times New Roman"/>
                <w:b/>
                <w:sz w:val="28"/>
                <w:szCs w:val="28"/>
              </w:rPr>
              <w:t xml:space="preserve"> </w:t>
            </w:r>
            <w:r w:rsidRPr="009B46B3">
              <w:rPr>
                <w:rFonts w:ascii="Times New Roman" w:hAnsi="Times New Roman" w:cs="Times New Roman"/>
                <w:b/>
                <w:sz w:val="28"/>
                <w:szCs w:val="28"/>
                <w:lang w:val="en-US"/>
              </w:rPr>
              <w:t>IIF</w:t>
            </w:r>
            <w:r w:rsidRPr="009B46B3">
              <w:rPr>
                <w:rFonts w:ascii="Times New Roman" w:hAnsi="Times New Roman" w:cs="Times New Roman"/>
                <w:b/>
                <w:sz w:val="28"/>
                <w:szCs w:val="28"/>
              </w:rPr>
              <w:t xml:space="preserve"> доброякісні, </w:t>
            </w:r>
          </w:p>
          <w:p w:rsidR="00FE4D0E" w:rsidRPr="009B46B3" w:rsidRDefault="00FE4D0E"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n</w:t>
            </w:r>
            <w:r w:rsidRPr="009E6C7E">
              <w:rPr>
                <w:rFonts w:ascii="Times New Roman" w:hAnsi="Times New Roman" w:cs="Times New Roman"/>
                <w:b/>
                <w:sz w:val="28"/>
                <w:szCs w:val="28"/>
              </w:rPr>
              <w:t>=</w:t>
            </w:r>
            <w:r>
              <w:rPr>
                <w:rFonts w:ascii="Times New Roman" w:hAnsi="Times New Roman" w:cs="Times New Roman"/>
                <w:b/>
                <w:sz w:val="28"/>
                <w:szCs w:val="28"/>
              </w:rPr>
              <w:t>8,</w:t>
            </w:r>
          </w:p>
          <w:p w:rsidR="00FE4D0E" w:rsidRPr="009E6C7E" w:rsidRDefault="00FE4D0E" w:rsidP="001F0C51">
            <w:pPr>
              <w:jc w:val="center"/>
              <w:rPr>
                <w:rFonts w:ascii="Times New Roman" w:hAnsi="Times New Roman" w:cs="Times New Roman"/>
                <w:b/>
                <w:sz w:val="28"/>
                <w:szCs w:val="28"/>
              </w:rPr>
            </w:pPr>
            <w:r>
              <w:rPr>
                <w:rFonts w:ascii="Times New Roman" w:hAnsi="Times New Roman" w:cs="Times New Roman"/>
                <w:b/>
                <w:sz w:val="28"/>
                <w:szCs w:val="28"/>
                <w:lang w:val="en-US"/>
              </w:rPr>
              <w:t>HU</w:t>
            </w:r>
          </w:p>
        </w:tc>
        <w:tc>
          <w:tcPr>
            <w:tcW w:w="1701" w:type="dxa"/>
          </w:tcPr>
          <w:p w:rsidR="00FE4D0E" w:rsidRPr="009B46B3" w:rsidRDefault="00FE4D0E"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Bosniak</w:t>
            </w:r>
            <w:r w:rsidRPr="009E6C7E">
              <w:rPr>
                <w:rFonts w:ascii="Times New Roman" w:hAnsi="Times New Roman" w:cs="Times New Roman"/>
                <w:b/>
                <w:sz w:val="28"/>
                <w:szCs w:val="28"/>
              </w:rPr>
              <w:t xml:space="preserve"> </w:t>
            </w:r>
            <w:r w:rsidRPr="009B46B3">
              <w:rPr>
                <w:rFonts w:ascii="Times New Roman" w:hAnsi="Times New Roman" w:cs="Times New Roman"/>
                <w:b/>
                <w:sz w:val="28"/>
                <w:szCs w:val="28"/>
                <w:lang w:val="en-US"/>
              </w:rPr>
              <w:t>IIF</w:t>
            </w:r>
            <w:r w:rsidRPr="009B46B3">
              <w:rPr>
                <w:rFonts w:ascii="Times New Roman" w:hAnsi="Times New Roman" w:cs="Times New Roman"/>
                <w:b/>
                <w:sz w:val="28"/>
                <w:szCs w:val="28"/>
              </w:rPr>
              <w:t xml:space="preserve"> злоякісні</w:t>
            </w:r>
            <w:r>
              <w:rPr>
                <w:rFonts w:ascii="Times New Roman" w:hAnsi="Times New Roman" w:cs="Times New Roman"/>
                <w:b/>
                <w:sz w:val="28"/>
                <w:szCs w:val="28"/>
              </w:rPr>
              <w:t xml:space="preserve"> (НКР)</w:t>
            </w:r>
            <w:r w:rsidRPr="009B46B3">
              <w:rPr>
                <w:rFonts w:ascii="Times New Roman" w:hAnsi="Times New Roman" w:cs="Times New Roman"/>
                <w:b/>
                <w:sz w:val="28"/>
                <w:szCs w:val="28"/>
              </w:rPr>
              <w:t xml:space="preserve">, </w:t>
            </w:r>
            <w:r w:rsidRPr="009B46B3">
              <w:rPr>
                <w:rFonts w:ascii="Times New Roman" w:hAnsi="Times New Roman" w:cs="Times New Roman"/>
                <w:b/>
                <w:sz w:val="28"/>
                <w:szCs w:val="28"/>
                <w:lang w:val="en-US"/>
              </w:rPr>
              <w:t>n</w:t>
            </w:r>
            <w:r w:rsidRPr="009E6C7E">
              <w:rPr>
                <w:rFonts w:ascii="Times New Roman" w:hAnsi="Times New Roman" w:cs="Times New Roman"/>
                <w:b/>
                <w:sz w:val="28"/>
                <w:szCs w:val="28"/>
              </w:rPr>
              <w:t>=</w:t>
            </w:r>
            <w:r>
              <w:rPr>
                <w:rFonts w:ascii="Times New Roman" w:hAnsi="Times New Roman" w:cs="Times New Roman"/>
                <w:b/>
                <w:sz w:val="28"/>
                <w:szCs w:val="28"/>
              </w:rPr>
              <w:t>8,</w:t>
            </w:r>
          </w:p>
          <w:p w:rsidR="00FE4D0E" w:rsidRPr="009B46B3" w:rsidRDefault="00FE4D0E" w:rsidP="001F0C51">
            <w:pPr>
              <w:jc w:val="center"/>
              <w:rPr>
                <w:rFonts w:ascii="Times New Roman" w:hAnsi="Times New Roman" w:cs="Times New Roman"/>
                <w:b/>
                <w:sz w:val="28"/>
                <w:szCs w:val="28"/>
              </w:rPr>
            </w:pPr>
            <w:r>
              <w:rPr>
                <w:rFonts w:ascii="Times New Roman" w:hAnsi="Times New Roman" w:cs="Times New Roman"/>
                <w:b/>
                <w:sz w:val="28"/>
                <w:szCs w:val="28"/>
                <w:lang w:val="en-US"/>
              </w:rPr>
              <w:t>HU</w:t>
            </w:r>
          </w:p>
        </w:tc>
        <w:tc>
          <w:tcPr>
            <w:tcW w:w="851" w:type="dxa"/>
          </w:tcPr>
          <w:p w:rsidR="00FE4D0E" w:rsidRDefault="00FE4D0E" w:rsidP="001F0C51">
            <w:pPr>
              <w:jc w:val="center"/>
              <w:rPr>
                <w:rFonts w:ascii="Times New Roman" w:hAnsi="Times New Roman" w:cs="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985" w:type="dxa"/>
          </w:tcPr>
          <w:p w:rsidR="00FE4D0E" w:rsidRPr="009B46B3" w:rsidRDefault="00FE4D0E" w:rsidP="001F0C51">
            <w:pPr>
              <w:jc w:val="center"/>
              <w:rPr>
                <w:rFonts w:ascii="Times New Roman" w:hAnsi="Times New Roman"/>
                <w:b/>
                <w:i/>
                <w:sz w:val="28"/>
                <w:szCs w:val="28"/>
                <w:vertAlign w:val="subscript"/>
              </w:rPr>
            </w:pPr>
            <w:r>
              <w:rPr>
                <w:rFonts w:ascii="Times New Roman" w:hAnsi="Times New Roman"/>
                <w:b/>
                <w:i/>
                <w:sz w:val="28"/>
                <w:szCs w:val="28"/>
                <w:lang w:val="en-US"/>
              </w:rPr>
              <w:t>t</w:t>
            </w:r>
            <w:r>
              <w:rPr>
                <w:rFonts w:ascii="Times New Roman" w:hAnsi="Times New Roman"/>
                <w:b/>
                <w:i/>
                <w:sz w:val="28"/>
                <w:szCs w:val="28"/>
                <w:vertAlign w:val="subscript"/>
                <w:lang w:val="en-US"/>
              </w:rPr>
              <w:t>1</w:t>
            </w:r>
            <w:r>
              <w:rPr>
                <w:rFonts w:ascii="Times New Roman" w:hAnsi="Times New Roman"/>
                <w:b/>
                <w:i/>
                <w:sz w:val="28"/>
                <w:szCs w:val="28"/>
                <w:vertAlign w:val="subscript"/>
              </w:rPr>
              <w:t>,2</w:t>
            </w:r>
          </w:p>
        </w:tc>
      </w:tr>
      <w:tr w:rsidR="00FE4D0E" w:rsidTr="001F0C51">
        <w:tc>
          <w:tcPr>
            <w:tcW w:w="4106" w:type="dxa"/>
          </w:tcPr>
          <w:p w:rsidR="00FE4D0E" w:rsidRPr="009B46B3" w:rsidRDefault="00FE4D0E" w:rsidP="001F0C51">
            <w:pPr>
              <w:jc w:val="both"/>
              <w:rPr>
                <w:rFonts w:ascii="Times New Roman" w:hAnsi="Times New Roman" w:cs="Times New Roman"/>
                <w:b/>
                <w:sz w:val="28"/>
                <w:szCs w:val="28"/>
              </w:rPr>
            </w:pPr>
            <w:r>
              <w:rPr>
                <w:rFonts w:ascii="Times New Roman" w:hAnsi="Times New Roman" w:cs="Times New Roman"/>
                <w:b/>
                <w:sz w:val="28"/>
                <w:szCs w:val="28"/>
              </w:rPr>
              <w:t>Пре-контрастні зображення</w:t>
            </w:r>
          </w:p>
        </w:tc>
        <w:tc>
          <w:tcPr>
            <w:tcW w:w="170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23,91±4,84</w:t>
            </w:r>
          </w:p>
        </w:tc>
        <w:tc>
          <w:tcPr>
            <w:tcW w:w="170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29,19±6,57</w:t>
            </w:r>
          </w:p>
        </w:tc>
        <w:tc>
          <w:tcPr>
            <w:tcW w:w="85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0,089</w:t>
            </w:r>
          </w:p>
        </w:tc>
        <w:tc>
          <w:tcPr>
            <w:tcW w:w="985"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1,828</w:t>
            </w:r>
          </w:p>
        </w:tc>
      </w:tr>
      <w:tr w:rsidR="00FE4D0E" w:rsidTr="001F0C51">
        <w:tc>
          <w:tcPr>
            <w:tcW w:w="4106" w:type="dxa"/>
          </w:tcPr>
          <w:p w:rsidR="00FE4D0E" w:rsidRPr="009B46B3" w:rsidRDefault="00FE4D0E" w:rsidP="001F0C51">
            <w:pPr>
              <w:jc w:val="both"/>
              <w:rPr>
                <w:rFonts w:ascii="Times New Roman" w:hAnsi="Times New Roman" w:cs="Times New Roman"/>
                <w:b/>
                <w:sz w:val="28"/>
                <w:szCs w:val="28"/>
              </w:rPr>
            </w:pPr>
            <w:r>
              <w:rPr>
                <w:rFonts w:ascii="Times New Roman" w:hAnsi="Times New Roman" w:cs="Times New Roman"/>
                <w:b/>
                <w:sz w:val="28"/>
                <w:szCs w:val="28"/>
              </w:rPr>
              <w:t>Кортико-медулярна фаза</w:t>
            </w:r>
          </w:p>
        </w:tc>
        <w:tc>
          <w:tcPr>
            <w:tcW w:w="170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29,98±7,27</w:t>
            </w:r>
          </w:p>
        </w:tc>
        <w:tc>
          <w:tcPr>
            <w:tcW w:w="170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47,51±13,32</w:t>
            </w:r>
          </w:p>
        </w:tc>
        <w:tc>
          <w:tcPr>
            <w:tcW w:w="85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0,006</w:t>
            </w:r>
          </w:p>
        </w:tc>
        <w:tc>
          <w:tcPr>
            <w:tcW w:w="985"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3,265</w:t>
            </w:r>
          </w:p>
        </w:tc>
      </w:tr>
      <w:tr w:rsidR="00FE4D0E" w:rsidTr="001F0C51">
        <w:tc>
          <w:tcPr>
            <w:tcW w:w="4106" w:type="dxa"/>
          </w:tcPr>
          <w:p w:rsidR="00FE4D0E" w:rsidRPr="009B46B3" w:rsidRDefault="00FE4D0E" w:rsidP="001F0C51">
            <w:pPr>
              <w:jc w:val="both"/>
              <w:rPr>
                <w:rFonts w:ascii="Times New Roman" w:hAnsi="Times New Roman" w:cs="Times New Roman"/>
                <w:b/>
                <w:sz w:val="28"/>
                <w:szCs w:val="28"/>
              </w:rPr>
            </w:pPr>
            <w:r>
              <w:rPr>
                <w:rFonts w:ascii="Times New Roman" w:hAnsi="Times New Roman" w:cs="Times New Roman"/>
                <w:b/>
                <w:sz w:val="28"/>
                <w:szCs w:val="28"/>
              </w:rPr>
              <w:t>Нефрографічна фаза</w:t>
            </w:r>
          </w:p>
        </w:tc>
        <w:tc>
          <w:tcPr>
            <w:tcW w:w="170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23,40±6,49</w:t>
            </w:r>
          </w:p>
        </w:tc>
        <w:tc>
          <w:tcPr>
            <w:tcW w:w="170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42,37±13,22</w:t>
            </w:r>
          </w:p>
        </w:tc>
        <w:tc>
          <w:tcPr>
            <w:tcW w:w="85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0,003</w:t>
            </w:r>
          </w:p>
        </w:tc>
        <w:tc>
          <w:tcPr>
            <w:tcW w:w="985"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3,641</w:t>
            </w:r>
          </w:p>
        </w:tc>
      </w:tr>
      <w:tr w:rsidR="00FE4D0E" w:rsidTr="001F0C51">
        <w:tc>
          <w:tcPr>
            <w:tcW w:w="4106" w:type="dxa"/>
          </w:tcPr>
          <w:p w:rsidR="00FE4D0E" w:rsidRPr="009B46B3" w:rsidRDefault="00FE4D0E" w:rsidP="001F0C51">
            <w:pPr>
              <w:jc w:val="both"/>
              <w:rPr>
                <w:rFonts w:ascii="Times New Roman" w:hAnsi="Times New Roman" w:cs="Times New Roman"/>
                <w:b/>
                <w:sz w:val="28"/>
                <w:szCs w:val="28"/>
              </w:rPr>
            </w:pPr>
            <w:r>
              <w:rPr>
                <w:rFonts w:ascii="Times New Roman" w:hAnsi="Times New Roman" w:cs="Times New Roman"/>
                <w:b/>
                <w:sz w:val="28"/>
                <w:szCs w:val="28"/>
              </w:rPr>
              <w:t>Екскреторна фаза</w:t>
            </w:r>
          </w:p>
        </w:tc>
        <w:tc>
          <w:tcPr>
            <w:tcW w:w="170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29,70±7,35</w:t>
            </w:r>
          </w:p>
        </w:tc>
        <w:tc>
          <w:tcPr>
            <w:tcW w:w="1701"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45,32±5,85</w:t>
            </w:r>
          </w:p>
        </w:tc>
        <w:tc>
          <w:tcPr>
            <w:tcW w:w="851" w:type="dxa"/>
          </w:tcPr>
          <w:p w:rsidR="00FE4D0E" w:rsidRPr="001F6E49" w:rsidRDefault="00FE4D0E" w:rsidP="001F0C51">
            <w:pPr>
              <w:jc w:val="center"/>
              <w:rPr>
                <w:rFonts w:ascii="Times New Roman" w:hAnsi="Times New Roman" w:cs="Times New Roman"/>
                <w:sz w:val="28"/>
                <w:szCs w:val="28"/>
              </w:rPr>
            </w:pPr>
            <w:r>
              <w:rPr>
                <w:rFonts w:ascii="Times New Roman" w:hAnsi="Times New Roman" w:cs="Times New Roman"/>
                <w:sz w:val="28"/>
                <w:szCs w:val="28"/>
              </w:rPr>
              <w:t>0,04</w:t>
            </w:r>
          </w:p>
        </w:tc>
        <w:tc>
          <w:tcPr>
            <w:tcW w:w="985"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2,402</w:t>
            </w:r>
          </w:p>
        </w:tc>
      </w:tr>
    </w:tbl>
    <w:p w:rsidR="00FE4D0E" w:rsidRDefault="00FE4D0E" w:rsidP="00FE4D0E">
      <w:pPr>
        <w:autoSpaceDE w:val="0"/>
        <w:autoSpaceDN w:val="0"/>
        <w:adjustRightInd w:val="0"/>
        <w:spacing w:after="0" w:line="240" w:lineRule="auto"/>
        <w:rPr>
          <w:rFonts w:ascii="Times New Roman" w:hAnsi="Times New Roman" w:cs="Times New Roman"/>
          <w:noProof/>
          <w:sz w:val="24"/>
          <w:szCs w:val="24"/>
          <w:lang w:eastAsia="uk-UA"/>
        </w:rPr>
      </w:pPr>
    </w:p>
    <w:p w:rsidR="00FE4D0E" w:rsidRDefault="008C4970" w:rsidP="00F37271">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t>8</w:t>
      </w:r>
      <w:r w:rsidR="00FE4D0E">
        <w:rPr>
          <w:rFonts w:ascii="Times New Roman" w:hAnsi="Times New Roman" w:cs="Times New Roman"/>
          <w:noProof/>
          <w:sz w:val="24"/>
          <w:szCs w:val="24"/>
          <w:lang w:val="en-US"/>
        </w:rPr>
        <w:drawing>
          <wp:inline distT="0" distB="0" distL="0" distR="0" wp14:anchorId="04F6205D" wp14:editId="714454B7">
            <wp:extent cx="3604311" cy="288000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04311" cy="2880000"/>
                    </a:xfrm>
                    <a:prstGeom prst="rect">
                      <a:avLst/>
                    </a:prstGeom>
                    <a:noFill/>
                    <a:ln>
                      <a:noFill/>
                    </a:ln>
                  </pic:spPr>
                </pic:pic>
              </a:graphicData>
            </a:graphic>
          </wp:inline>
        </w:drawing>
      </w:r>
      <w:r w:rsidR="00F37271">
        <w:rPr>
          <w:rFonts w:ascii="Times New Roman" w:hAnsi="Times New Roman" w:cs="Times New Roman"/>
          <w:sz w:val="24"/>
          <w:szCs w:val="24"/>
        </w:rPr>
        <w:t xml:space="preserve"> </w:t>
      </w:r>
    </w:p>
    <w:p w:rsidR="00FE4D0E" w:rsidRPr="00E14950" w:rsidRDefault="00CF1C49" w:rsidP="00FE4D0E">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3.19</w:t>
      </w:r>
      <w:r w:rsidR="00FE4D0E">
        <w:rPr>
          <w:rFonts w:ascii="Times New Roman" w:hAnsi="Times New Roman" w:cs="Times New Roman"/>
          <w:sz w:val="28"/>
          <w:szCs w:val="28"/>
        </w:rPr>
        <w:t>. Коробкова діаграма</w:t>
      </w:r>
      <w:r w:rsidR="00FE4D0E" w:rsidRPr="0079373A">
        <w:rPr>
          <w:rFonts w:ascii="Times New Roman" w:hAnsi="Times New Roman" w:cs="Times New Roman"/>
          <w:sz w:val="28"/>
          <w:szCs w:val="28"/>
        </w:rPr>
        <w:t xml:space="preserve"> </w:t>
      </w:r>
      <w:r w:rsidR="00FE4D0E">
        <w:rPr>
          <w:rFonts w:ascii="Times New Roman" w:hAnsi="Times New Roman" w:cs="Times New Roman"/>
          <w:sz w:val="28"/>
          <w:szCs w:val="28"/>
        </w:rPr>
        <w:t xml:space="preserve">променевої щільності доброякісних та злоякісних кіст категорії </w:t>
      </w:r>
      <w:r w:rsidR="00FE4D0E">
        <w:rPr>
          <w:rFonts w:ascii="Times New Roman" w:hAnsi="Times New Roman" w:cs="Times New Roman"/>
          <w:sz w:val="28"/>
          <w:szCs w:val="28"/>
          <w:lang w:val="en-US"/>
        </w:rPr>
        <w:t>IIF</w:t>
      </w:r>
      <w:r w:rsidR="00FE4D0E" w:rsidRPr="009E6C7E">
        <w:rPr>
          <w:rFonts w:ascii="Times New Roman" w:hAnsi="Times New Roman" w:cs="Times New Roman"/>
          <w:sz w:val="28"/>
          <w:szCs w:val="28"/>
        </w:rPr>
        <w:t xml:space="preserve"> </w:t>
      </w:r>
      <w:r w:rsidR="00FE4D0E">
        <w:rPr>
          <w:rFonts w:ascii="Times New Roman" w:hAnsi="Times New Roman" w:cs="Times New Roman"/>
          <w:sz w:val="28"/>
          <w:szCs w:val="28"/>
        </w:rPr>
        <w:t xml:space="preserve">за </w:t>
      </w:r>
      <w:r w:rsidR="00FE4D0E">
        <w:rPr>
          <w:rFonts w:ascii="Times New Roman" w:hAnsi="Times New Roman" w:cs="Times New Roman"/>
          <w:sz w:val="28"/>
          <w:szCs w:val="28"/>
          <w:lang w:val="en-US"/>
        </w:rPr>
        <w:t>Bosniak</w:t>
      </w:r>
      <w:r w:rsidR="00FE4D0E">
        <w:rPr>
          <w:rFonts w:ascii="Times New Roman" w:hAnsi="Times New Roman" w:cs="Times New Roman"/>
          <w:sz w:val="28"/>
          <w:szCs w:val="28"/>
        </w:rPr>
        <w:t xml:space="preserve"> в залежності від фази КТ</w:t>
      </w:r>
    </w:p>
    <w:p w:rsidR="00FE4D0E" w:rsidRDefault="00FE4D0E" w:rsidP="00FE4D0E">
      <w:pPr>
        <w:spacing w:line="360" w:lineRule="auto"/>
        <w:rPr>
          <w:rFonts w:ascii="Times New Roman" w:hAnsi="Times New Roman" w:cs="Times New Roman"/>
          <w:sz w:val="28"/>
          <w:szCs w:val="28"/>
        </w:rPr>
      </w:pPr>
      <w:r>
        <w:rPr>
          <w:rFonts w:ascii="Times New Roman" w:hAnsi="Times New Roman" w:cs="Times New Roman"/>
          <w:sz w:val="28"/>
          <w:szCs w:val="28"/>
        </w:rPr>
        <w:tab/>
      </w:r>
    </w:p>
    <w:p w:rsidR="00FE4D0E" w:rsidRDefault="00FE4D0E" w:rsidP="00FE4D0E">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 проведенні такого ж аналізу для показників ВПЩ новоутворення до нормальної ниркової паренхіми при доброякісних та злоякісних кіст категорії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ми виявили достовірну різницю між середніми значеннями даного показника на КТ-зображення</w:t>
      </w:r>
      <w:r w:rsidR="00B83560">
        <w:rPr>
          <w:rFonts w:ascii="Times New Roman" w:hAnsi="Times New Roman" w:cs="Times New Roman"/>
          <w:sz w:val="28"/>
          <w:szCs w:val="28"/>
        </w:rPr>
        <w:t>х КМФ (р=0,021) та ЕФ (р=0,001).</w:t>
      </w:r>
    </w:p>
    <w:p w:rsidR="00FE4D0E" w:rsidRDefault="00FE4D0E" w:rsidP="00FE4D0E">
      <w:pPr>
        <w:spacing w:line="360" w:lineRule="auto"/>
        <w:jc w:val="both"/>
        <w:rPr>
          <w:rFonts w:ascii="Times New Roman" w:hAnsi="Times New Roman" w:cs="Times New Roman"/>
          <w:sz w:val="28"/>
          <w:szCs w:val="28"/>
        </w:rPr>
      </w:pPr>
    </w:p>
    <w:p w:rsidR="00FE4D0E" w:rsidRDefault="00B83560" w:rsidP="00FE4D0E">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3.15</w:t>
      </w:r>
    </w:p>
    <w:p w:rsidR="00FE4D0E" w:rsidRPr="00E928E1" w:rsidRDefault="00FE4D0E" w:rsidP="00FE4D0E">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Статистичні характеристики показників відношення променевої щільності </w:t>
      </w:r>
      <w:r>
        <w:rPr>
          <w:rFonts w:ascii="Times New Roman" w:hAnsi="Times New Roman" w:cs="Times New Roman"/>
          <w:sz w:val="28"/>
          <w:szCs w:val="28"/>
          <w:lang w:val="en-US"/>
        </w:rPr>
        <w:t>SRM</w:t>
      </w:r>
      <w:r>
        <w:rPr>
          <w:rFonts w:ascii="Times New Roman" w:hAnsi="Times New Roman" w:cs="Times New Roman"/>
          <w:sz w:val="28"/>
          <w:szCs w:val="28"/>
        </w:rPr>
        <w:t xml:space="preserve"> до нормальної ниркової паренхіми при доброякісних та злоякісних кістах категорії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в залежності від фази КТ</w:t>
      </w:r>
      <w:r>
        <w:rPr>
          <w:rFonts w:ascii="Times New Roman" w:hAnsi="Times New Roman" w:cs="Times New Roman"/>
          <w:noProof/>
          <w:sz w:val="24"/>
          <w:szCs w:val="24"/>
          <w:lang w:eastAsia="uk-UA"/>
        </w:rPr>
        <w:tab/>
      </w:r>
    </w:p>
    <w:tbl>
      <w:tblPr>
        <w:tblStyle w:val="TableGrid"/>
        <w:tblW w:w="0" w:type="auto"/>
        <w:tblLook w:val="04A0" w:firstRow="1" w:lastRow="0" w:firstColumn="1" w:lastColumn="0" w:noHBand="0" w:noVBand="1"/>
      </w:tblPr>
      <w:tblGrid>
        <w:gridCol w:w="4069"/>
        <w:gridCol w:w="1758"/>
        <w:gridCol w:w="1695"/>
        <w:gridCol w:w="846"/>
        <w:gridCol w:w="976"/>
      </w:tblGrid>
      <w:tr w:rsidR="00FE4D0E" w:rsidTr="001F0C51">
        <w:tc>
          <w:tcPr>
            <w:tcW w:w="4069" w:type="dxa"/>
            <w:tcBorders>
              <w:tl2br w:val="single" w:sz="4" w:space="0" w:color="auto"/>
            </w:tcBorders>
          </w:tcPr>
          <w:p w:rsidR="00FE4D0E" w:rsidRPr="009B46B3" w:rsidRDefault="00FE4D0E" w:rsidP="001F0C51">
            <w:pPr>
              <w:jc w:val="right"/>
              <w:rPr>
                <w:rFonts w:ascii="Times New Roman" w:hAnsi="Times New Roman" w:cs="Times New Roman"/>
                <w:b/>
                <w:sz w:val="28"/>
                <w:szCs w:val="28"/>
              </w:rPr>
            </w:pPr>
            <w:r w:rsidRPr="009B46B3">
              <w:rPr>
                <w:rFonts w:ascii="Times New Roman" w:hAnsi="Times New Roman" w:cs="Times New Roman"/>
                <w:b/>
                <w:sz w:val="28"/>
                <w:szCs w:val="28"/>
              </w:rPr>
              <w:t>Підгрупа</w:t>
            </w:r>
          </w:p>
          <w:p w:rsidR="00FE4D0E" w:rsidRDefault="00FE4D0E" w:rsidP="001F0C51">
            <w:pPr>
              <w:jc w:val="both"/>
              <w:rPr>
                <w:rFonts w:ascii="Times New Roman" w:hAnsi="Times New Roman" w:cs="Times New Roman"/>
                <w:b/>
                <w:sz w:val="28"/>
                <w:szCs w:val="28"/>
              </w:rPr>
            </w:pPr>
          </w:p>
          <w:p w:rsidR="00FE4D0E" w:rsidRPr="009B46B3" w:rsidRDefault="00FE4D0E" w:rsidP="001F0C51">
            <w:pPr>
              <w:jc w:val="both"/>
              <w:rPr>
                <w:rFonts w:ascii="Times New Roman" w:hAnsi="Times New Roman" w:cs="Times New Roman"/>
                <w:b/>
                <w:sz w:val="28"/>
                <w:szCs w:val="28"/>
              </w:rPr>
            </w:pPr>
            <w:r w:rsidRPr="009B46B3">
              <w:rPr>
                <w:rFonts w:ascii="Times New Roman" w:hAnsi="Times New Roman" w:cs="Times New Roman"/>
                <w:b/>
                <w:sz w:val="28"/>
                <w:szCs w:val="28"/>
              </w:rPr>
              <w:t>Фаза КТ</w:t>
            </w:r>
          </w:p>
        </w:tc>
        <w:tc>
          <w:tcPr>
            <w:tcW w:w="1758" w:type="dxa"/>
          </w:tcPr>
          <w:p w:rsidR="00FE4D0E" w:rsidRDefault="00FE4D0E"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Bosniak IIF</w:t>
            </w:r>
            <w:r w:rsidRPr="009B46B3">
              <w:rPr>
                <w:rFonts w:ascii="Times New Roman" w:hAnsi="Times New Roman" w:cs="Times New Roman"/>
                <w:b/>
                <w:sz w:val="28"/>
                <w:szCs w:val="28"/>
              </w:rPr>
              <w:t xml:space="preserve"> доброякісні, </w:t>
            </w:r>
          </w:p>
          <w:p w:rsidR="00FE4D0E" w:rsidRPr="00E928E1" w:rsidRDefault="00FE4D0E"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n=</w:t>
            </w:r>
            <w:r>
              <w:rPr>
                <w:rFonts w:ascii="Times New Roman" w:hAnsi="Times New Roman" w:cs="Times New Roman"/>
                <w:b/>
                <w:sz w:val="28"/>
                <w:szCs w:val="28"/>
              </w:rPr>
              <w:t>8</w:t>
            </w:r>
          </w:p>
        </w:tc>
        <w:tc>
          <w:tcPr>
            <w:tcW w:w="1695" w:type="dxa"/>
          </w:tcPr>
          <w:p w:rsidR="00FE4D0E" w:rsidRPr="009B46B3" w:rsidRDefault="00FE4D0E"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Bosniak</w:t>
            </w:r>
            <w:r w:rsidRPr="009E6C7E">
              <w:rPr>
                <w:rFonts w:ascii="Times New Roman" w:hAnsi="Times New Roman" w:cs="Times New Roman"/>
                <w:b/>
                <w:sz w:val="28"/>
                <w:szCs w:val="28"/>
              </w:rPr>
              <w:t xml:space="preserve"> </w:t>
            </w:r>
            <w:r w:rsidRPr="009B46B3">
              <w:rPr>
                <w:rFonts w:ascii="Times New Roman" w:hAnsi="Times New Roman" w:cs="Times New Roman"/>
                <w:b/>
                <w:sz w:val="28"/>
                <w:szCs w:val="28"/>
                <w:lang w:val="en-US"/>
              </w:rPr>
              <w:t>IIF</w:t>
            </w:r>
            <w:r w:rsidRPr="009B46B3">
              <w:rPr>
                <w:rFonts w:ascii="Times New Roman" w:hAnsi="Times New Roman" w:cs="Times New Roman"/>
                <w:b/>
                <w:sz w:val="28"/>
                <w:szCs w:val="28"/>
              </w:rPr>
              <w:t xml:space="preserve"> злоякісні</w:t>
            </w:r>
            <w:r>
              <w:rPr>
                <w:rFonts w:ascii="Times New Roman" w:hAnsi="Times New Roman" w:cs="Times New Roman"/>
                <w:b/>
                <w:sz w:val="28"/>
                <w:szCs w:val="28"/>
              </w:rPr>
              <w:t xml:space="preserve"> (НКР)</w:t>
            </w:r>
            <w:r w:rsidRPr="009B46B3">
              <w:rPr>
                <w:rFonts w:ascii="Times New Roman" w:hAnsi="Times New Roman" w:cs="Times New Roman"/>
                <w:b/>
                <w:sz w:val="28"/>
                <w:szCs w:val="28"/>
              </w:rPr>
              <w:t xml:space="preserve">, </w:t>
            </w:r>
            <w:r w:rsidRPr="009B46B3">
              <w:rPr>
                <w:rFonts w:ascii="Times New Roman" w:hAnsi="Times New Roman" w:cs="Times New Roman"/>
                <w:b/>
                <w:sz w:val="28"/>
                <w:szCs w:val="28"/>
                <w:lang w:val="en-US"/>
              </w:rPr>
              <w:t>n</w:t>
            </w:r>
            <w:r w:rsidRPr="009E6C7E">
              <w:rPr>
                <w:rFonts w:ascii="Times New Roman" w:hAnsi="Times New Roman" w:cs="Times New Roman"/>
                <w:b/>
                <w:sz w:val="28"/>
                <w:szCs w:val="28"/>
              </w:rPr>
              <w:t>=</w:t>
            </w:r>
            <w:r>
              <w:rPr>
                <w:rFonts w:ascii="Times New Roman" w:hAnsi="Times New Roman" w:cs="Times New Roman"/>
                <w:b/>
                <w:sz w:val="28"/>
                <w:szCs w:val="28"/>
              </w:rPr>
              <w:t>8</w:t>
            </w:r>
          </w:p>
        </w:tc>
        <w:tc>
          <w:tcPr>
            <w:tcW w:w="846" w:type="dxa"/>
          </w:tcPr>
          <w:p w:rsidR="00FE4D0E" w:rsidRDefault="00FE4D0E" w:rsidP="001F0C51">
            <w:pPr>
              <w:jc w:val="center"/>
              <w:rPr>
                <w:rFonts w:ascii="Times New Roman" w:hAnsi="Times New Roman" w:cs="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976" w:type="dxa"/>
          </w:tcPr>
          <w:p w:rsidR="00FE4D0E" w:rsidRPr="009B46B3" w:rsidRDefault="00FE4D0E" w:rsidP="001F0C51">
            <w:pPr>
              <w:jc w:val="center"/>
              <w:rPr>
                <w:rFonts w:ascii="Times New Roman" w:hAnsi="Times New Roman"/>
                <w:b/>
                <w:i/>
                <w:sz w:val="28"/>
                <w:szCs w:val="28"/>
                <w:vertAlign w:val="subscript"/>
              </w:rPr>
            </w:pPr>
            <w:r>
              <w:rPr>
                <w:rFonts w:ascii="Times New Roman" w:hAnsi="Times New Roman"/>
                <w:b/>
                <w:i/>
                <w:sz w:val="28"/>
                <w:szCs w:val="28"/>
                <w:lang w:val="en-US"/>
              </w:rPr>
              <w:t>t</w:t>
            </w:r>
            <w:r>
              <w:rPr>
                <w:rFonts w:ascii="Times New Roman" w:hAnsi="Times New Roman"/>
                <w:b/>
                <w:i/>
                <w:sz w:val="28"/>
                <w:szCs w:val="28"/>
                <w:vertAlign w:val="subscript"/>
                <w:lang w:val="en-US"/>
              </w:rPr>
              <w:t>1</w:t>
            </w:r>
            <w:r>
              <w:rPr>
                <w:rFonts w:ascii="Times New Roman" w:hAnsi="Times New Roman"/>
                <w:b/>
                <w:i/>
                <w:sz w:val="28"/>
                <w:szCs w:val="28"/>
                <w:vertAlign w:val="subscript"/>
              </w:rPr>
              <w:t>,2</w:t>
            </w:r>
          </w:p>
        </w:tc>
      </w:tr>
      <w:tr w:rsidR="00FE4D0E" w:rsidTr="001F0C51">
        <w:tc>
          <w:tcPr>
            <w:tcW w:w="4069" w:type="dxa"/>
          </w:tcPr>
          <w:p w:rsidR="00FE4D0E" w:rsidRPr="009B46B3" w:rsidRDefault="00FE4D0E" w:rsidP="001F0C51">
            <w:pPr>
              <w:jc w:val="both"/>
              <w:rPr>
                <w:rFonts w:ascii="Times New Roman" w:hAnsi="Times New Roman" w:cs="Times New Roman"/>
                <w:b/>
                <w:sz w:val="28"/>
                <w:szCs w:val="28"/>
              </w:rPr>
            </w:pPr>
            <w:r>
              <w:rPr>
                <w:rFonts w:ascii="Times New Roman" w:hAnsi="Times New Roman" w:cs="Times New Roman"/>
                <w:b/>
                <w:sz w:val="28"/>
                <w:szCs w:val="28"/>
              </w:rPr>
              <w:t>Пре-контрастні зображення</w:t>
            </w:r>
          </w:p>
        </w:tc>
        <w:tc>
          <w:tcPr>
            <w:tcW w:w="1758"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0,92±0,34</w:t>
            </w:r>
          </w:p>
        </w:tc>
        <w:tc>
          <w:tcPr>
            <w:tcW w:w="1695"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0,94±0,27</w:t>
            </w:r>
          </w:p>
        </w:tc>
        <w:tc>
          <w:tcPr>
            <w:tcW w:w="846"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0,867</w:t>
            </w:r>
          </w:p>
        </w:tc>
        <w:tc>
          <w:tcPr>
            <w:tcW w:w="976"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0,170</w:t>
            </w:r>
          </w:p>
        </w:tc>
      </w:tr>
      <w:tr w:rsidR="00FE4D0E" w:rsidTr="001F0C51">
        <w:tc>
          <w:tcPr>
            <w:tcW w:w="4069" w:type="dxa"/>
          </w:tcPr>
          <w:p w:rsidR="00FE4D0E" w:rsidRPr="009B46B3" w:rsidRDefault="00FE4D0E" w:rsidP="001F0C51">
            <w:pPr>
              <w:jc w:val="both"/>
              <w:rPr>
                <w:rFonts w:ascii="Times New Roman" w:hAnsi="Times New Roman" w:cs="Times New Roman"/>
                <w:b/>
                <w:sz w:val="28"/>
                <w:szCs w:val="28"/>
              </w:rPr>
            </w:pPr>
            <w:r>
              <w:rPr>
                <w:rFonts w:ascii="Times New Roman" w:hAnsi="Times New Roman" w:cs="Times New Roman"/>
                <w:b/>
                <w:sz w:val="28"/>
                <w:szCs w:val="28"/>
              </w:rPr>
              <w:t>Кортико-медулярна фаза</w:t>
            </w:r>
          </w:p>
        </w:tc>
        <w:tc>
          <w:tcPr>
            <w:tcW w:w="1758"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0,27±0,07</w:t>
            </w:r>
          </w:p>
        </w:tc>
        <w:tc>
          <w:tcPr>
            <w:tcW w:w="1695"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0,39±0,11</w:t>
            </w:r>
          </w:p>
        </w:tc>
        <w:tc>
          <w:tcPr>
            <w:tcW w:w="846"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0,021</w:t>
            </w:r>
          </w:p>
        </w:tc>
        <w:tc>
          <w:tcPr>
            <w:tcW w:w="976"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2,598</w:t>
            </w:r>
          </w:p>
        </w:tc>
      </w:tr>
      <w:tr w:rsidR="00FE4D0E" w:rsidTr="001F0C51">
        <w:tc>
          <w:tcPr>
            <w:tcW w:w="4069" w:type="dxa"/>
          </w:tcPr>
          <w:p w:rsidR="00FE4D0E" w:rsidRPr="009B46B3" w:rsidRDefault="00FE4D0E" w:rsidP="001F0C51">
            <w:pPr>
              <w:jc w:val="both"/>
              <w:rPr>
                <w:rFonts w:ascii="Times New Roman" w:hAnsi="Times New Roman" w:cs="Times New Roman"/>
                <w:b/>
                <w:sz w:val="28"/>
                <w:szCs w:val="28"/>
              </w:rPr>
            </w:pPr>
            <w:r>
              <w:rPr>
                <w:rFonts w:ascii="Times New Roman" w:hAnsi="Times New Roman" w:cs="Times New Roman"/>
                <w:b/>
                <w:sz w:val="28"/>
                <w:szCs w:val="28"/>
              </w:rPr>
              <w:t>Нефрографічна фаза</w:t>
            </w:r>
          </w:p>
        </w:tc>
        <w:tc>
          <w:tcPr>
            <w:tcW w:w="1758"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0,21±0,07</w:t>
            </w:r>
          </w:p>
        </w:tc>
        <w:tc>
          <w:tcPr>
            <w:tcW w:w="1695"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0,37±0,20</w:t>
            </w:r>
          </w:p>
        </w:tc>
        <w:tc>
          <w:tcPr>
            <w:tcW w:w="846"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0,053</w:t>
            </w:r>
          </w:p>
        </w:tc>
        <w:tc>
          <w:tcPr>
            <w:tcW w:w="976"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2,227</w:t>
            </w:r>
          </w:p>
        </w:tc>
      </w:tr>
      <w:tr w:rsidR="00FE4D0E" w:rsidTr="001F0C51">
        <w:tc>
          <w:tcPr>
            <w:tcW w:w="4069" w:type="dxa"/>
          </w:tcPr>
          <w:p w:rsidR="00FE4D0E" w:rsidRPr="009B46B3" w:rsidRDefault="00FE4D0E" w:rsidP="001F0C51">
            <w:pPr>
              <w:jc w:val="both"/>
              <w:rPr>
                <w:rFonts w:ascii="Times New Roman" w:hAnsi="Times New Roman" w:cs="Times New Roman"/>
                <w:b/>
                <w:sz w:val="28"/>
                <w:szCs w:val="28"/>
              </w:rPr>
            </w:pPr>
            <w:r>
              <w:rPr>
                <w:rFonts w:ascii="Times New Roman" w:hAnsi="Times New Roman" w:cs="Times New Roman"/>
                <w:b/>
                <w:sz w:val="28"/>
                <w:szCs w:val="28"/>
              </w:rPr>
              <w:t>Екскреторна фаза</w:t>
            </w:r>
          </w:p>
        </w:tc>
        <w:tc>
          <w:tcPr>
            <w:tcW w:w="1758"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0,31±0,07</w:t>
            </w:r>
          </w:p>
        </w:tc>
        <w:tc>
          <w:tcPr>
            <w:tcW w:w="1695"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0,51±0,11</w:t>
            </w:r>
          </w:p>
        </w:tc>
        <w:tc>
          <w:tcPr>
            <w:tcW w:w="846" w:type="dxa"/>
          </w:tcPr>
          <w:p w:rsidR="00FE4D0E" w:rsidRPr="001F6E49" w:rsidRDefault="00FE4D0E" w:rsidP="001F0C51">
            <w:pPr>
              <w:jc w:val="center"/>
              <w:rPr>
                <w:rFonts w:ascii="Times New Roman" w:hAnsi="Times New Roman" w:cs="Times New Roman"/>
                <w:sz w:val="28"/>
                <w:szCs w:val="28"/>
              </w:rPr>
            </w:pPr>
            <w:r>
              <w:rPr>
                <w:rFonts w:ascii="Times New Roman" w:hAnsi="Times New Roman" w:cs="Times New Roman"/>
                <w:sz w:val="28"/>
                <w:szCs w:val="28"/>
              </w:rPr>
              <w:t>0,001</w:t>
            </w:r>
          </w:p>
        </w:tc>
        <w:tc>
          <w:tcPr>
            <w:tcW w:w="976" w:type="dxa"/>
          </w:tcPr>
          <w:p w:rsidR="00FE4D0E" w:rsidRDefault="00FE4D0E" w:rsidP="001F0C51">
            <w:pPr>
              <w:jc w:val="center"/>
              <w:rPr>
                <w:rFonts w:ascii="Times New Roman" w:hAnsi="Times New Roman" w:cs="Times New Roman"/>
                <w:sz w:val="28"/>
                <w:szCs w:val="28"/>
              </w:rPr>
            </w:pPr>
            <w:r>
              <w:rPr>
                <w:rFonts w:ascii="Times New Roman" w:hAnsi="Times New Roman" w:cs="Times New Roman"/>
                <w:sz w:val="28"/>
                <w:szCs w:val="28"/>
              </w:rPr>
              <w:t>4,258</w:t>
            </w:r>
          </w:p>
        </w:tc>
      </w:tr>
    </w:tbl>
    <w:p w:rsidR="00FE4D0E" w:rsidRDefault="00FE4D0E" w:rsidP="000C3BC1">
      <w:pPr>
        <w:autoSpaceDE w:val="0"/>
        <w:autoSpaceDN w:val="0"/>
        <w:adjustRightInd w:val="0"/>
        <w:spacing w:after="0" w:line="360" w:lineRule="auto"/>
        <w:ind w:firstLine="708"/>
        <w:jc w:val="both"/>
        <w:rPr>
          <w:rFonts w:ascii="Times New Roman" w:hAnsi="Times New Roman" w:cs="Times New Roman"/>
          <w:sz w:val="28"/>
          <w:szCs w:val="28"/>
        </w:rPr>
      </w:pPr>
      <w:r w:rsidRPr="009E6C7E">
        <w:rPr>
          <w:rFonts w:ascii="Times New Roman" w:hAnsi="Times New Roman" w:cs="Times New Roman"/>
          <w:noProof/>
          <w:sz w:val="28"/>
          <w:szCs w:val="28"/>
          <w:lang w:eastAsia="uk-UA"/>
        </w:rPr>
        <w:lastRenderedPageBreak/>
        <w:t xml:space="preserve">Проведення </w:t>
      </w:r>
      <w:r>
        <w:rPr>
          <w:rFonts w:ascii="Times New Roman" w:hAnsi="Times New Roman" w:cs="Times New Roman"/>
          <w:noProof/>
          <w:sz w:val="28"/>
          <w:szCs w:val="28"/>
          <w:lang w:val="en-US" w:eastAsia="uk-UA"/>
        </w:rPr>
        <w:t>ROC</w:t>
      </w:r>
      <w:r>
        <w:rPr>
          <w:rFonts w:ascii="Times New Roman" w:hAnsi="Times New Roman" w:cs="Times New Roman"/>
          <w:noProof/>
          <w:sz w:val="28"/>
          <w:szCs w:val="28"/>
          <w:lang w:eastAsia="uk-UA"/>
        </w:rPr>
        <w:t xml:space="preserve">-аналізу дозволило зясувати, що при застосуванні ІС для диференціації </w:t>
      </w:r>
      <w:r>
        <w:rPr>
          <w:rFonts w:ascii="Times New Roman" w:hAnsi="Times New Roman" w:cs="Times New Roman"/>
          <w:sz w:val="28"/>
          <w:szCs w:val="28"/>
        </w:rPr>
        <w:t xml:space="preserve">доброякісних та злоякісних кіст категорії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найкращі показники були отримані із зображень КМФ: 100% чутливість,  87,5% специфічність,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sz w:val="28"/>
          <w:szCs w:val="28"/>
        </w:rPr>
        <w:t xml:space="preserve">0,938 (95% ДІ=0,808-1,0, р=0,003) при пороговому значенні 34,81 </w:t>
      </w:r>
      <w:r>
        <w:rPr>
          <w:rFonts w:ascii="Times New Roman" w:hAnsi="Times New Roman" w:cs="Times New Roman"/>
          <w:sz w:val="28"/>
          <w:szCs w:val="28"/>
          <w:lang w:val="en-US"/>
        </w:rPr>
        <w:t>HU</w:t>
      </w:r>
      <w:r>
        <w:rPr>
          <w:rFonts w:ascii="Times New Roman" w:hAnsi="Times New Roman" w:cs="Times New Roman"/>
          <w:sz w:val="28"/>
          <w:szCs w:val="28"/>
        </w:rPr>
        <w:t>. Цікаво, що при застосуванні з цією ж метою ВПЩ, найкращі показники тесту були отриманні у поєднанні із зображеннями ЕФ:</w:t>
      </w:r>
      <w:r w:rsidRPr="0016182E">
        <w:rPr>
          <w:rFonts w:ascii="Times New Roman" w:hAnsi="Times New Roman" w:cs="Times New Roman"/>
          <w:sz w:val="28"/>
          <w:szCs w:val="28"/>
        </w:rPr>
        <w:t xml:space="preserve"> 87,5</w:t>
      </w:r>
      <w:r>
        <w:rPr>
          <w:rFonts w:ascii="Times New Roman" w:hAnsi="Times New Roman" w:cs="Times New Roman"/>
          <w:sz w:val="28"/>
          <w:szCs w:val="28"/>
        </w:rPr>
        <w:t xml:space="preserve">% чутливість,  </w:t>
      </w:r>
      <w:r w:rsidRPr="0016182E">
        <w:rPr>
          <w:rFonts w:ascii="Times New Roman" w:hAnsi="Times New Roman" w:cs="Times New Roman"/>
          <w:sz w:val="28"/>
          <w:szCs w:val="28"/>
        </w:rPr>
        <w:t>100</w:t>
      </w:r>
      <w:r>
        <w:rPr>
          <w:rFonts w:ascii="Times New Roman" w:hAnsi="Times New Roman" w:cs="Times New Roman"/>
          <w:sz w:val="28"/>
          <w:szCs w:val="28"/>
        </w:rPr>
        <w:t xml:space="preserve">% специфічність, </w:t>
      </w:r>
      <w:r>
        <w:rPr>
          <w:rFonts w:ascii="Times New Roman" w:hAnsi="Times New Roman" w:cs="Times New Roman"/>
          <w:sz w:val="28"/>
          <w:szCs w:val="28"/>
          <w:lang w:val="en-US"/>
        </w:rPr>
        <w:t>AUC</w:t>
      </w:r>
      <w:r w:rsidRPr="009E6C7E">
        <w:rPr>
          <w:rFonts w:ascii="Times New Roman" w:hAnsi="Times New Roman" w:cs="Times New Roman"/>
          <w:sz w:val="28"/>
          <w:szCs w:val="28"/>
        </w:rPr>
        <w:t>=</w:t>
      </w:r>
      <w:r w:rsidRPr="0016182E">
        <w:rPr>
          <w:rFonts w:ascii="Times New Roman" w:hAnsi="Times New Roman" w:cs="Times New Roman"/>
          <w:sz w:val="28"/>
          <w:szCs w:val="28"/>
        </w:rPr>
        <w:t xml:space="preserve">0,953  </w:t>
      </w:r>
      <w:r>
        <w:rPr>
          <w:rFonts w:ascii="Times New Roman" w:hAnsi="Times New Roman" w:cs="Times New Roman"/>
          <w:sz w:val="28"/>
          <w:szCs w:val="28"/>
        </w:rPr>
        <w:t>(95% ДІ=</w:t>
      </w:r>
      <w:r w:rsidR="00CF1C49">
        <w:rPr>
          <w:rFonts w:ascii="Times New Roman" w:hAnsi="Times New Roman" w:cs="Times New Roman"/>
          <w:sz w:val="28"/>
          <w:szCs w:val="28"/>
        </w:rPr>
        <w:t>0,850-1,0</w:t>
      </w:r>
      <w:r>
        <w:rPr>
          <w:rFonts w:ascii="Times New Roman" w:hAnsi="Times New Roman" w:cs="Times New Roman"/>
          <w:sz w:val="28"/>
          <w:szCs w:val="28"/>
        </w:rPr>
        <w:t>,</w:t>
      </w:r>
      <w:r w:rsidRPr="0016182E">
        <w:rPr>
          <w:rFonts w:ascii="Times New Roman" w:hAnsi="Times New Roman" w:cs="Times New Roman"/>
          <w:sz w:val="28"/>
          <w:szCs w:val="28"/>
        </w:rPr>
        <w:t xml:space="preserve"> </w:t>
      </w:r>
      <w:r>
        <w:rPr>
          <w:rFonts w:ascii="Times New Roman" w:hAnsi="Times New Roman" w:cs="Times New Roman"/>
          <w:sz w:val="28"/>
          <w:szCs w:val="28"/>
        </w:rPr>
        <w:t>р=0,002) при гран</w:t>
      </w:r>
      <w:r w:rsidR="00CF1C49">
        <w:rPr>
          <w:rFonts w:ascii="Times New Roman" w:hAnsi="Times New Roman" w:cs="Times New Roman"/>
          <w:sz w:val="28"/>
          <w:szCs w:val="28"/>
        </w:rPr>
        <w:t>ичній величині 0,40 (рисунок 3.19</w:t>
      </w:r>
      <w:r>
        <w:rPr>
          <w:rFonts w:ascii="Times New Roman" w:hAnsi="Times New Roman" w:cs="Times New Roman"/>
          <w:sz w:val="28"/>
          <w:szCs w:val="28"/>
        </w:rPr>
        <w:t>).</w:t>
      </w:r>
    </w:p>
    <w:p w:rsidR="00FE4D0E" w:rsidRPr="0016182E" w:rsidRDefault="00FE4D0E" w:rsidP="00FE4D0E">
      <w:pPr>
        <w:spacing w:line="360" w:lineRule="auto"/>
        <w:jc w:val="center"/>
        <w:rPr>
          <w:rFonts w:ascii="Times New Roman" w:hAnsi="Times New Roman" w:cs="Times New Roman"/>
          <w:sz w:val="28"/>
          <w:szCs w:val="28"/>
        </w:rPr>
      </w:pPr>
      <w:r w:rsidRPr="0016182E">
        <w:rPr>
          <w:rFonts w:ascii="Times New Roman" w:hAnsi="Times New Roman" w:cs="Times New Roman"/>
          <w:noProof/>
          <w:sz w:val="28"/>
          <w:szCs w:val="28"/>
          <w:lang w:val="en-US"/>
        </w:rPr>
        <mc:AlternateContent>
          <mc:Choice Requires="wps">
            <w:drawing>
              <wp:anchor distT="0" distB="0" distL="114300" distR="114300" simplePos="0" relativeHeight="251679744" behindDoc="0" locked="0" layoutInCell="1" allowOverlap="1" wp14:anchorId="6572F4E0" wp14:editId="06293415">
                <wp:simplePos x="0" y="0"/>
                <wp:positionH relativeFrom="page">
                  <wp:posOffset>6576695</wp:posOffset>
                </wp:positionH>
                <wp:positionV relativeFrom="paragraph">
                  <wp:posOffset>1999615</wp:posOffset>
                </wp:positionV>
                <wp:extent cx="2533650" cy="400050"/>
                <wp:effectExtent l="0" t="0" r="0" b="0"/>
                <wp:wrapNone/>
                <wp:docPr id="58" name="Надпись 58"/>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5E2D59" w:rsidRDefault="007B5A1D" w:rsidP="00FE4D0E">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72F4E0" id="Надпись 58" o:spid="_x0000_s1036" type="#_x0000_t202" style="position:absolute;left:0;text-align:left;margin-left:517.85pt;margin-top:157.45pt;width:199.5pt;height:31.5pt;z-index:25167974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" filled="f" stroked="f">
                <v:textbox>
                  <w:txbxContent>
                    <w:p w:rsidR="007B5A1D" w:rsidRPr="005E2D59" w:rsidRDefault="007B5A1D" w:rsidP="00FE4D0E">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16182E">
        <w:rPr>
          <w:rFonts w:ascii="Times New Roman" w:hAnsi="Times New Roman" w:cs="Times New Roman"/>
          <w:noProof/>
          <w:sz w:val="28"/>
          <w:szCs w:val="28"/>
          <w:lang w:val="en-US"/>
        </w:rPr>
        <mc:AlternateContent>
          <mc:Choice Requires="wps">
            <w:drawing>
              <wp:anchor distT="0" distB="0" distL="114300" distR="114300" simplePos="0" relativeHeight="251678720" behindDoc="0" locked="0" layoutInCell="1" allowOverlap="1" wp14:anchorId="75BFC305" wp14:editId="58A99C43">
                <wp:simplePos x="0" y="0"/>
                <wp:positionH relativeFrom="page">
                  <wp:posOffset>3590925</wp:posOffset>
                </wp:positionH>
                <wp:positionV relativeFrom="paragraph">
                  <wp:posOffset>2009140</wp:posOffset>
                </wp:positionV>
                <wp:extent cx="2533650" cy="400050"/>
                <wp:effectExtent l="0" t="0" r="0" b="0"/>
                <wp:wrapNone/>
                <wp:docPr id="56" name="Надпись 56"/>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5E2D59" w:rsidRDefault="007B5A1D" w:rsidP="00FE4D0E">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D59">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5BFC305" id="Надпись 56" o:spid="_x0000_s1037" type="#_x0000_t202" style="position:absolute;left:0;text-align:left;margin-left:282.75pt;margin-top:158.2pt;width:199.5pt;height:31.5pt;z-index:251678720;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" filled="f" stroked="f">
                <v:textbox>
                  <w:txbxContent>
                    <w:p w:rsidR="007B5A1D" w:rsidRPr="005E2D59" w:rsidRDefault="007B5A1D" w:rsidP="00FE4D0E">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D59">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Pr>
          <w:rFonts w:ascii="Times New Roman" w:hAnsi="Times New Roman" w:cs="Times New Roman"/>
          <w:noProof/>
          <w:sz w:val="24"/>
          <w:szCs w:val="24"/>
          <w:lang w:val="en-US"/>
        </w:rPr>
        <w:drawing>
          <wp:inline distT="0" distB="0" distL="0" distR="0" wp14:anchorId="7DDCA382" wp14:editId="1479A505">
            <wp:extent cx="2913139" cy="2880000"/>
            <wp:effectExtent l="0" t="0" r="1905"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11226" r="7951"/>
                    <a:stretch/>
                  </pic:blipFill>
                  <pic:spPr bwMode="auto">
                    <a:xfrm>
                      <a:off x="0" y="0"/>
                      <a:ext cx="2913139" cy="28800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4"/>
          <w:szCs w:val="24"/>
          <w:lang w:val="en-US"/>
        </w:rPr>
        <w:drawing>
          <wp:inline distT="0" distB="0" distL="0" distR="0" wp14:anchorId="19BC6EC9" wp14:editId="6CF2D0CF">
            <wp:extent cx="2940139" cy="28800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0572" r="7855"/>
                    <a:stretch/>
                  </pic:blipFill>
                  <pic:spPr bwMode="auto">
                    <a:xfrm>
                      <a:off x="0" y="0"/>
                      <a:ext cx="2940139" cy="2880000"/>
                    </a:xfrm>
                    <a:prstGeom prst="rect">
                      <a:avLst/>
                    </a:prstGeom>
                    <a:noFill/>
                    <a:ln>
                      <a:noFill/>
                    </a:ln>
                    <a:extLst>
                      <a:ext uri="{53640926-AAD7-44D8-BBD7-CCE9431645EC}">
                        <a14:shadowObscured xmlns:a14="http://schemas.microsoft.com/office/drawing/2010/main"/>
                      </a:ext>
                    </a:extLst>
                  </pic:spPr>
                </pic:pic>
              </a:graphicData>
            </a:graphic>
          </wp:inline>
        </w:drawing>
      </w:r>
    </w:p>
    <w:p w:rsidR="00FE4D0E" w:rsidRPr="0016182E" w:rsidRDefault="00CF1C49" w:rsidP="00FE4D0E">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3.19</w:t>
      </w:r>
      <w:r w:rsidR="00FE4D0E" w:rsidRPr="0016182E">
        <w:rPr>
          <w:rFonts w:ascii="Times New Roman" w:hAnsi="Times New Roman" w:cs="Times New Roman"/>
          <w:sz w:val="28"/>
          <w:szCs w:val="28"/>
        </w:rPr>
        <w:t>.</w:t>
      </w:r>
      <w:r w:rsidR="00FE4D0E">
        <w:rPr>
          <w:rFonts w:ascii="Times New Roman" w:hAnsi="Times New Roman" w:cs="Times New Roman"/>
          <w:sz w:val="28"/>
          <w:szCs w:val="28"/>
        </w:rPr>
        <w:t xml:space="preserve"> </w:t>
      </w:r>
      <w:r w:rsidR="00FE4D0E">
        <w:rPr>
          <w:rFonts w:ascii="Times New Roman" w:hAnsi="Times New Roman" w:cs="Times New Roman"/>
          <w:sz w:val="28"/>
          <w:szCs w:val="28"/>
          <w:lang w:val="en-US"/>
        </w:rPr>
        <w:t>ROC</w:t>
      </w:r>
      <w:r w:rsidR="00FE4D0E" w:rsidRPr="009E6C7E">
        <w:rPr>
          <w:rFonts w:ascii="Times New Roman" w:hAnsi="Times New Roman" w:cs="Times New Roman"/>
          <w:sz w:val="28"/>
          <w:szCs w:val="28"/>
        </w:rPr>
        <w:t>-</w:t>
      </w:r>
      <w:r w:rsidR="00FE4D0E">
        <w:rPr>
          <w:rFonts w:ascii="Times New Roman" w:hAnsi="Times New Roman" w:cs="Times New Roman"/>
          <w:sz w:val="28"/>
          <w:szCs w:val="28"/>
        </w:rPr>
        <w:t xml:space="preserve">криві використання (А) інтенсивності сингалу та (Б) відношення променевої щільності кістозного </w:t>
      </w:r>
      <w:r w:rsidR="00FE4D0E">
        <w:rPr>
          <w:rFonts w:ascii="Times New Roman" w:hAnsi="Times New Roman" w:cs="Times New Roman"/>
          <w:sz w:val="28"/>
          <w:szCs w:val="28"/>
          <w:lang w:val="en-US"/>
        </w:rPr>
        <w:t>SRM</w:t>
      </w:r>
      <w:r w:rsidR="00FE4D0E">
        <w:rPr>
          <w:rFonts w:ascii="Times New Roman" w:hAnsi="Times New Roman" w:cs="Times New Roman"/>
          <w:sz w:val="28"/>
          <w:szCs w:val="28"/>
        </w:rPr>
        <w:t xml:space="preserve"> до нормальної ниркової паренхіми для </w:t>
      </w:r>
      <w:r w:rsidR="00FE4D0E">
        <w:rPr>
          <w:rFonts w:ascii="Times New Roman" w:hAnsi="Times New Roman" w:cs="Times New Roman"/>
          <w:noProof/>
          <w:sz w:val="28"/>
          <w:szCs w:val="28"/>
          <w:lang w:eastAsia="uk-UA"/>
        </w:rPr>
        <w:t xml:space="preserve">диференціації </w:t>
      </w:r>
      <w:r w:rsidR="00FE4D0E">
        <w:rPr>
          <w:rFonts w:ascii="Times New Roman" w:hAnsi="Times New Roman" w:cs="Times New Roman"/>
          <w:sz w:val="28"/>
          <w:szCs w:val="28"/>
        </w:rPr>
        <w:t xml:space="preserve">доброякісних та злоякісних кіст категорії </w:t>
      </w:r>
      <w:r w:rsidR="00FE4D0E">
        <w:rPr>
          <w:rFonts w:ascii="Times New Roman" w:hAnsi="Times New Roman" w:cs="Times New Roman"/>
          <w:sz w:val="28"/>
          <w:szCs w:val="28"/>
          <w:lang w:val="en-US"/>
        </w:rPr>
        <w:t>IIF</w:t>
      </w:r>
      <w:r w:rsidR="00FE4D0E" w:rsidRPr="009E6C7E">
        <w:rPr>
          <w:rFonts w:ascii="Times New Roman" w:hAnsi="Times New Roman" w:cs="Times New Roman"/>
          <w:sz w:val="28"/>
          <w:szCs w:val="28"/>
        </w:rPr>
        <w:t xml:space="preserve"> </w:t>
      </w:r>
      <w:r w:rsidR="00FE4D0E">
        <w:rPr>
          <w:rFonts w:ascii="Times New Roman" w:hAnsi="Times New Roman" w:cs="Times New Roman"/>
          <w:sz w:val="28"/>
          <w:szCs w:val="28"/>
        </w:rPr>
        <w:t xml:space="preserve">за </w:t>
      </w:r>
      <w:r w:rsidR="00FE4D0E">
        <w:rPr>
          <w:rFonts w:ascii="Times New Roman" w:hAnsi="Times New Roman" w:cs="Times New Roman"/>
          <w:sz w:val="28"/>
          <w:szCs w:val="28"/>
          <w:lang w:val="en-US"/>
        </w:rPr>
        <w:t>Bosniak</w:t>
      </w:r>
      <w:r w:rsidR="00FE4D0E">
        <w:rPr>
          <w:rFonts w:ascii="Times New Roman" w:hAnsi="Times New Roman" w:cs="Times New Roman"/>
          <w:sz w:val="28"/>
          <w:szCs w:val="28"/>
        </w:rPr>
        <w:t xml:space="preserve"> </w:t>
      </w:r>
    </w:p>
    <w:p w:rsidR="00FE4D0E" w:rsidRDefault="00FE4D0E" w:rsidP="00FE4D0E">
      <w:pPr>
        <w:spacing w:line="360" w:lineRule="auto"/>
        <w:ind w:firstLine="708"/>
        <w:rPr>
          <w:rFonts w:ascii="Times New Roman" w:hAnsi="Times New Roman" w:cs="Times New Roman"/>
          <w:sz w:val="28"/>
          <w:szCs w:val="28"/>
        </w:rPr>
      </w:pPr>
    </w:p>
    <w:p w:rsidR="00FE4D0E" w:rsidRPr="000C3BC1" w:rsidRDefault="00FE4D0E" w:rsidP="000C3BC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порівнянні середніх значень ІС та відношення променевої щільності </w:t>
      </w:r>
      <w:r>
        <w:rPr>
          <w:rFonts w:ascii="Times New Roman" w:hAnsi="Times New Roman" w:cs="Times New Roman"/>
          <w:sz w:val="28"/>
          <w:szCs w:val="28"/>
          <w:lang w:val="en-US"/>
        </w:rPr>
        <w:t>SRM</w:t>
      </w:r>
      <w:r>
        <w:rPr>
          <w:rFonts w:ascii="Times New Roman" w:hAnsi="Times New Roman" w:cs="Times New Roman"/>
          <w:sz w:val="28"/>
          <w:szCs w:val="28"/>
        </w:rPr>
        <w:t xml:space="preserve"> до нормальної ниркової паренхіми тканинних елементів доброякісних та злоякісних кіст категорій ІІІ</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(об’єднаних разом задля збільшення вибірки доброякісних кіст)</w:t>
      </w:r>
      <w:r w:rsidRPr="009E6C7E">
        <w:rPr>
          <w:rFonts w:ascii="Times New Roman" w:hAnsi="Times New Roman" w:cs="Times New Roman"/>
          <w:sz w:val="28"/>
          <w:szCs w:val="28"/>
        </w:rPr>
        <w:t xml:space="preserve"> </w:t>
      </w:r>
      <w:r>
        <w:rPr>
          <w:rFonts w:ascii="Times New Roman" w:hAnsi="Times New Roman" w:cs="Times New Roman"/>
          <w:sz w:val="28"/>
          <w:szCs w:val="28"/>
        </w:rPr>
        <w:t>нами не було знайдено достовірних відмінностей при використанні зображень будь-якої фази КТ (р</w:t>
      </w:r>
      <w:r w:rsidRPr="009E6C7E">
        <w:rPr>
          <w:rFonts w:ascii="Times New Roman" w:hAnsi="Times New Roman" w:cs="Times New Roman"/>
          <w:sz w:val="28"/>
          <w:szCs w:val="28"/>
        </w:rPr>
        <w:t>&gt;</w:t>
      </w:r>
      <w:r>
        <w:rPr>
          <w:rFonts w:ascii="Times New Roman" w:hAnsi="Times New Roman" w:cs="Times New Roman"/>
          <w:sz w:val="28"/>
          <w:szCs w:val="28"/>
        </w:rPr>
        <w:t xml:space="preserve">0,05). Крім </w:t>
      </w:r>
      <w:r>
        <w:rPr>
          <w:rFonts w:ascii="Times New Roman" w:hAnsi="Times New Roman" w:cs="Times New Roman"/>
          <w:sz w:val="28"/>
          <w:szCs w:val="28"/>
        </w:rPr>
        <w:lastRenderedPageBreak/>
        <w:t xml:space="preserve">цього, не було суттєвих відмінностей при порівнянні середніх значень ІС та ВПЩ при кістозному НКР низького та високого ступенів за </w:t>
      </w:r>
      <w:r>
        <w:rPr>
          <w:rFonts w:ascii="Times New Roman" w:hAnsi="Times New Roman" w:cs="Times New Roman"/>
          <w:sz w:val="28"/>
          <w:szCs w:val="28"/>
          <w:lang w:val="en-US"/>
        </w:rPr>
        <w:t>Fuhrman</w:t>
      </w:r>
      <w:r>
        <w:rPr>
          <w:rFonts w:ascii="Times New Roman" w:hAnsi="Times New Roman" w:cs="Times New Roman"/>
          <w:sz w:val="28"/>
          <w:szCs w:val="28"/>
        </w:rPr>
        <w:t xml:space="preserve"> (р</w:t>
      </w:r>
      <w:r w:rsidRPr="009E6C7E">
        <w:rPr>
          <w:rFonts w:ascii="Times New Roman" w:hAnsi="Times New Roman" w:cs="Times New Roman"/>
          <w:sz w:val="28"/>
          <w:szCs w:val="28"/>
        </w:rPr>
        <w:t>&gt;</w:t>
      </w:r>
      <w:r>
        <w:rPr>
          <w:rFonts w:ascii="Times New Roman" w:hAnsi="Times New Roman" w:cs="Times New Roman"/>
          <w:sz w:val="28"/>
          <w:szCs w:val="28"/>
        </w:rPr>
        <w:t>0,05).</w:t>
      </w:r>
    </w:p>
    <w:p w:rsidR="00FE4D0E" w:rsidRDefault="00FE4D0E" w:rsidP="00FE4D0E">
      <w:pPr>
        <w:spacing w:line="360" w:lineRule="auto"/>
        <w:jc w:val="center"/>
        <w:rPr>
          <w:rFonts w:ascii="Times New Roman" w:hAnsi="Times New Roman" w:cs="Times New Roman"/>
          <w:sz w:val="28"/>
          <w:szCs w:val="28"/>
        </w:rPr>
      </w:pPr>
      <w:r w:rsidRPr="000E1E81">
        <w:rPr>
          <w:rFonts w:ascii="Times New Roman" w:hAnsi="Times New Roman" w:cs="Times New Roman"/>
          <w:noProof/>
          <w:sz w:val="28"/>
          <w:szCs w:val="28"/>
          <w:lang w:val="en-US"/>
        </w:rPr>
        <mc:AlternateContent>
          <mc:Choice Requires="wps">
            <w:drawing>
              <wp:anchor distT="0" distB="0" distL="114300" distR="114300" simplePos="0" relativeHeight="251684864" behindDoc="0" locked="0" layoutInCell="1" allowOverlap="1" wp14:anchorId="44DD5229" wp14:editId="79A5D505">
                <wp:simplePos x="0" y="0"/>
                <wp:positionH relativeFrom="page">
                  <wp:posOffset>4113530</wp:posOffset>
                </wp:positionH>
                <wp:positionV relativeFrom="paragraph">
                  <wp:posOffset>1771015</wp:posOffset>
                </wp:positionV>
                <wp:extent cx="2533650" cy="400050"/>
                <wp:effectExtent l="0" t="0" r="0" b="0"/>
                <wp:wrapNone/>
                <wp:docPr id="99" name="Надпись 99"/>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DD5229" id="Надпись 99" o:spid="_x0000_s1038" type="#_x0000_t202" style="position:absolute;left:0;text-align:left;margin-left:323.9pt;margin-top:139.45pt;width:199.5pt;height:31.5pt;z-index:25168486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" filled="f" stroked="f">
                <v:textbo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w10:wrap anchorx="page"/>
              </v:shape>
            </w:pict>
          </mc:Fallback>
        </mc:AlternateContent>
      </w:r>
      <w:r w:rsidRPr="000E1E81">
        <w:rPr>
          <w:rFonts w:ascii="Times New Roman" w:hAnsi="Times New Roman" w:cs="Times New Roman"/>
          <w:noProof/>
          <w:sz w:val="28"/>
          <w:szCs w:val="28"/>
          <w:lang w:val="en-US"/>
        </w:rPr>
        <mc:AlternateContent>
          <mc:Choice Requires="wps">
            <w:drawing>
              <wp:anchor distT="0" distB="0" distL="114300" distR="114300" simplePos="0" relativeHeight="251683840" behindDoc="0" locked="0" layoutInCell="1" allowOverlap="1" wp14:anchorId="69EA10C2" wp14:editId="5391CAB3">
                <wp:simplePos x="0" y="0"/>
                <wp:positionH relativeFrom="page">
                  <wp:posOffset>1775460</wp:posOffset>
                </wp:positionH>
                <wp:positionV relativeFrom="paragraph">
                  <wp:posOffset>1771015</wp:posOffset>
                </wp:positionV>
                <wp:extent cx="2533650" cy="400050"/>
                <wp:effectExtent l="0" t="0" r="0" b="0"/>
                <wp:wrapNone/>
                <wp:docPr id="96" name="Надпись 96"/>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9EA10C2" id="Надпись 96" o:spid="_x0000_s1039" type="#_x0000_t202" style="position:absolute;left:0;text-align:left;margin-left:139.8pt;margin-top:139.45pt;width:199.5pt;height:31.5pt;z-index:251683840;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" filled="f" stroked="f">
                <v:textbo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r w:rsidRPr="000E1E81">
        <w:rPr>
          <w:rFonts w:ascii="Times New Roman" w:hAnsi="Times New Roman" w:cs="Times New Roman"/>
          <w:noProof/>
          <w:sz w:val="28"/>
          <w:szCs w:val="28"/>
          <w:lang w:val="en-US"/>
        </w:rPr>
        <mc:AlternateContent>
          <mc:Choice Requires="wps">
            <w:drawing>
              <wp:anchor distT="0" distB="0" distL="114300" distR="114300" simplePos="0" relativeHeight="251682816" behindDoc="0" locked="0" layoutInCell="1" allowOverlap="1" wp14:anchorId="1B1A2845" wp14:editId="5587A07A">
                <wp:simplePos x="0" y="0"/>
                <wp:positionH relativeFrom="page">
                  <wp:posOffset>4113530</wp:posOffset>
                </wp:positionH>
                <wp:positionV relativeFrom="paragraph">
                  <wp:posOffset>8890</wp:posOffset>
                </wp:positionV>
                <wp:extent cx="2533650" cy="400050"/>
                <wp:effectExtent l="0" t="0" r="0" b="0"/>
                <wp:wrapNone/>
                <wp:docPr id="89" name="Надпись 89"/>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1A2845" id="Надпись 89" o:spid="_x0000_s1040" type="#_x0000_t202" style="position:absolute;left:0;text-align:left;margin-left:323.9pt;margin-top:.7pt;width:199.5pt;height:31.5pt;z-index:251682816;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" filled="f" stroked="f">
                <v:textbo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0E1E81">
        <w:rPr>
          <w:rFonts w:ascii="Times New Roman" w:hAnsi="Times New Roman" w:cs="Times New Roman"/>
          <w:noProof/>
          <w:sz w:val="28"/>
          <w:szCs w:val="28"/>
          <w:lang w:val="en-US"/>
        </w:rPr>
        <mc:AlternateContent>
          <mc:Choice Requires="wps">
            <w:drawing>
              <wp:anchor distT="0" distB="0" distL="114300" distR="114300" simplePos="0" relativeHeight="251681792" behindDoc="0" locked="0" layoutInCell="1" allowOverlap="1" wp14:anchorId="4F24581D" wp14:editId="40552AAD">
                <wp:simplePos x="0" y="0"/>
                <wp:positionH relativeFrom="page">
                  <wp:posOffset>1775460</wp:posOffset>
                </wp:positionH>
                <wp:positionV relativeFrom="paragraph">
                  <wp:posOffset>8890</wp:posOffset>
                </wp:positionV>
                <wp:extent cx="2533650" cy="400050"/>
                <wp:effectExtent l="0" t="0" r="0" b="0"/>
                <wp:wrapNone/>
                <wp:docPr id="83" name="Надпись 83"/>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24581D" id="Надпись 83" o:spid="_x0000_s1041" type="#_x0000_t202" style="position:absolute;left:0;text-align:left;margin-left:139.8pt;margin-top:.7pt;width:199.5pt;height:31.5pt;z-index:25168179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" filled="f" stroked="f">
                <v:textbo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Pr>
          <w:rFonts w:ascii="Times New Roman" w:hAnsi="Times New Roman" w:cs="Times New Roman"/>
          <w:noProof/>
          <w:sz w:val="28"/>
          <w:szCs w:val="28"/>
          <w:lang w:val="en-US"/>
        </w:rPr>
        <w:drawing>
          <wp:inline distT="0" distB="0" distL="0" distR="0">
            <wp:extent cx="4029075" cy="3216416"/>
            <wp:effectExtent l="0" t="0" r="0" b="3175"/>
            <wp:docPr id="68" name="Рисунок 68" descr="Влох - 2,40х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Влох - 2,40х2,2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033610" cy="3220036"/>
                    </a:xfrm>
                    <a:prstGeom prst="rect">
                      <a:avLst/>
                    </a:prstGeom>
                    <a:noFill/>
                    <a:ln>
                      <a:noFill/>
                    </a:ln>
                  </pic:spPr>
                </pic:pic>
              </a:graphicData>
            </a:graphic>
          </wp:inline>
        </w:drawing>
      </w:r>
    </w:p>
    <w:p w:rsidR="00FE4D0E" w:rsidRDefault="00FE4D0E" w:rsidP="00FE4D0E">
      <w:pPr>
        <w:autoSpaceDE w:val="0"/>
        <w:autoSpaceDN w:val="0"/>
        <w:adjustRightInd w:val="0"/>
        <w:spacing w:after="0" w:line="276" w:lineRule="auto"/>
        <w:jc w:val="both"/>
        <w:rPr>
          <w:rFonts w:ascii="Times New Roman" w:hAnsi="Times New Roman" w:cs="Times New Roman"/>
          <w:sz w:val="28"/>
          <w:szCs w:val="28"/>
        </w:rPr>
      </w:pPr>
      <w:r w:rsidRPr="0016182E">
        <w:rPr>
          <w:rFonts w:ascii="Times New Roman" w:hAnsi="Times New Roman" w:cs="Times New Roman"/>
          <w:sz w:val="28"/>
          <w:szCs w:val="28"/>
        </w:rPr>
        <w:t xml:space="preserve">Рис. </w:t>
      </w:r>
      <w:r w:rsidR="00CF1C49">
        <w:rPr>
          <w:rFonts w:ascii="Times New Roman" w:hAnsi="Times New Roman" w:cs="Times New Roman"/>
          <w:sz w:val="28"/>
          <w:szCs w:val="28"/>
        </w:rPr>
        <w:t>3.20</w:t>
      </w:r>
      <w:r w:rsidRPr="0016182E">
        <w:rPr>
          <w:rFonts w:ascii="Times New Roman" w:hAnsi="Times New Roman" w:cs="Times New Roman"/>
          <w:sz w:val="28"/>
          <w:szCs w:val="28"/>
        </w:rPr>
        <w:t>.</w:t>
      </w:r>
      <w:r>
        <w:rPr>
          <w:rFonts w:ascii="Times New Roman" w:hAnsi="Times New Roman" w:cs="Times New Roman"/>
          <w:sz w:val="28"/>
          <w:szCs w:val="28"/>
        </w:rPr>
        <w:t xml:space="preserve"> КТ-дані хворого С., 41 р.,</w:t>
      </w:r>
      <w:r w:rsidRPr="000E1E81">
        <w:rPr>
          <w:rFonts w:ascii="Times New Roman" w:hAnsi="Times New Roman" w:cs="Times New Roman"/>
          <w:sz w:val="28"/>
          <w:szCs w:val="28"/>
        </w:rPr>
        <w:t xml:space="preserve"> </w:t>
      </w:r>
      <w:r>
        <w:rPr>
          <w:rFonts w:ascii="Times New Roman" w:hAnsi="Times New Roman" w:cs="Times New Roman"/>
          <w:sz w:val="28"/>
          <w:szCs w:val="28"/>
        </w:rPr>
        <w:t xml:space="preserve">осьова проекція, діагноз – проста кіста верхнього сегменту правої нирки розміром 2,40х2,25х2,23 см, клас за </w:t>
      </w:r>
      <w:r>
        <w:rPr>
          <w:rFonts w:ascii="Times New Roman" w:hAnsi="Times New Roman" w:cs="Times New Roman"/>
          <w:sz w:val="28"/>
          <w:szCs w:val="28"/>
          <w:lang w:val="en-US"/>
        </w:rPr>
        <w:t>Bosniak</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І, ОЗ розміщена над новоутвором. А: пре-контрастне зображення, ІС=5,45 </w:t>
      </w:r>
      <w:r>
        <w:rPr>
          <w:rFonts w:ascii="Times New Roman" w:hAnsi="Times New Roman" w:cs="Times New Roman"/>
          <w:sz w:val="28"/>
          <w:szCs w:val="28"/>
          <w:lang w:val="en-US"/>
        </w:rPr>
        <w:t>HU</w:t>
      </w:r>
      <w:r>
        <w:rPr>
          <w:rFonts w:ascii="Times New Roman" w:hAnsi="Times New Roman" w:cs="Times New Roman"/>
          <w:sz w:val="28"/>
          <w:szCs w:val="28"/>
        </w:rPr>
        <w:t xml:space="preserve">, ВПЩ=0,20; Б: кортико-медулярна фаза, ІС=10,23 </w:t>
      </w:r>
      <w:r>
        <w:rPr>
          <w:rFonts w:ascii="Times New Roman" w:hAnsi="Times New Roman" w:cs="Times New Roman"/>
          <w:sz w:val="28"/>
          <w:szCs w:val="28"/>
          <w:lang w:val="en-US"/>
        </w:rPr>
        <w:t>HU</w:t>
      </w:r>
      <w:r>
        <w:rPr>
          <w:rFonts w:ascii="Times New Roman" w:hAnsi="Times New Roman" w:cs="Times New Roman"/>
          <w:sz w:val="28"/>
          <w:szCs w:val="28"/>
        </w:rPr>
        <w:t xml:space="preserve">, ВПЩ=0,10; В: нефрографічна фаза, ІС=9,11 </w:t>
      </w:r>
      <w:r>
        <w:rPr>
          <w:rFonts w:ascii="Times New Roman" w:hAnsi="Times New Roman" w:cs="Times New Roman"/>
          <w:sz w:val="28"/>
          <w:szCs w:val="28"/>
          <w:lang w:val="en-US"/>
        </w:rPr>
        <w:t>HU</w:t>
      </w:r>
      <w:r w:rsidRPr="009E6C7E">
        <w:rPr>
          <w:rFonts w:ascii="Times New Roman" w:hAnsi="Times New Roman" w:cs="Times New Roman"/>
          <w:sz w:val="28"/>
          <w:szCs w:val="28"/>
        </w:rPr>
        <w:t>, ВПЩ=</w:t>
      </w:r>
      <w:r>
        <w:rPr>
          <w:rFonts w:ascii="Times New Roman" w:hAnsi="Times New Roman" w:cs="Times New Roman"/>
          <w:sz w:val="28"/>
          <w:szCs w:val="28"/>
        </w:rPr>
        <w:t xml:space="preserve">0,11; Г: екскреторна фаза, ІС=9,05 </w:t>
      </w:r>
      <w:r>
        <w:rPr>
          <w:rFonts w:ascii="Times New Roman" w:hAnsi="Times New Roman" w:cs="Times New Roman"/>
          <w:sz w:val="28"/>
          <w:szCs w:val="28"/>
          <w:lang w:val="en-US"/>
        </w:rPr>
        <w:t>HU</w:t>
      </w:r>
      <w:r>
        <w:rPr>
          <w:rFonts w:ascii="Times New Roman" w:hAnsi="Times New Roman" w:cs="Times New Roman"/>
          <w:sz w:val="28"/>
          <w:szCs w:val="28"/>
        </w:rPr>
        <w:t>, ВПЩ=0,11</w:t>
      </w:r>
    </w:p>
    <w:p w:rsidR="00FE4D0E" w:rsidRDefault="00FE4D0E" w:rsidP="00FE4D0E">
      <w:pPr>
        <w:autoSpaceDE w:val="0"/>
        <w:autoSpaceDN w:val="0"/>
        <w:adjustRightInd w:val="0"/>
        <w:spacing w:after="0" w:line="276" w:lineRule="auto"/>
        <w:jc w:val="center"/>
        <w:rPr>
          <w:rFonts w:ascii="Times New Roman" w:hAnsi="Times New Roman" w:cs="Times New Roman"/>
          <w:sz w:val="28"/>
          <w:szCs w:val="28"/>
        </w:rPr>
      </w:pPr>
      <w:r w:rsidRPr="000E1E81">
        <w:rPr>
          <w:rFonts w:ascii="Times New Roman" w:hAnsi="Times New Roman" w:cs="Times New Roman"/>
          <w:noProof/>
          <w:sz w:val="28"/>
          <w:szCs w:val="28"/>
          <w:lang w:val="en-US"/>
        </w:rPr>
        <mc:AlternateContent>
          <mc:Choice Requires="wps">
            <w:drawing>
              <wp:anchor distT="0" distB="0" distL="114300" distR="114300" simplePos="0" relativeHeight="251687936" behindDoc="0" locked="0" layoutInCell="1" allowOverlap="1" wp14:anchorId="1E52F608" wp14:editId="6FB559CF">
                <wp:simplePos x="0" y="0"/>
                <wp:positionH relativeFrom="page">
                  <wp:posOffset>5095875</wp:posOffset>
                </wp:positionH>
                <wp:positionV relativeFrom="paragraph">
                  <wp:posOffset>276225</wp:posOffset>
                </wp:positionV>
                <wp:extent cx="2533650" cy="400050"/>
                <wp:effectExtent l="0" t="0" r="0" b="0"/>
                <wp:wrapNone/>
                <wp:docPr id="102" name="Надпись 102"/>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E52F608" id="Надпись 102" o:spid="_x0000_s1042" type="#_x0000_t202" style="position:absolute;left:0;text-align:left;margin-left:401.25pt;margin-top:21.75pt;width:199.5pt;height:31.5pt;z-index:251687936;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" filled="f" stroked="f">
                <v:textbo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p>
    <w:p w:rsidR="00FE4D0E" w:rsidRPr="004069FA" w:rsidRDefault="00FE4D0E" w:rsidP="00FE4D0E">
      <w:pPr>
        <w:autoSpaceDE w:val="0"/>
        <w:autoSpaceDN w:val="0"/>
        <w:adjustRightInd w:val="0"/>
        <w:spacing w:after="0" w:line="360" w:lineRule="auto"/>
        <w:jc w:val="center"/>
        <w:rPr>
          <w:rFonts w:ascii="Times New Roman" w:hAnsi="Times New Roman" w:cs="Times New Roman"/>
          <w:sz w:val="28"/>
          <w:szCs w:val="28"/>
        </w:rPr>
      </w:pPr>
      <w:r w:rsidRPr="000E1E81">
        <w:rPr>
          <w:rFonts w:ascii="Times New Roman" w:hAnsi="Times New Roman" w:cs="Times New Roman"/>
          <w:noProof/>
          <w:sz w:val="28"/>
          <w:szCs w:val="28"/>
          <w:lang w:val="en-US"/>
        </w:rPr>
        <mc:AlternateContent>
          <mc:Choice Requires="wps">
            <w:drawing>
              <wp:anchor distT="0" distB="0" distL="114300" distR="114300" simplePos="0" relativeHeight="251686912" behindDoc="0" locked="0" layoutInCell="1" allowOverlap="1" wp14:anchorId="1B43504A" wp14:editId="006BE48E">
                <wp:simplePos x="0" y="0"/>
                <wp:positionH relativeFrom="page">
                  <wp:posOffset>3141980</wp:posOffset>
                </wp:positionH>
                <wp:positionV relativeFrom="paragraph">
                  <wp:posOffset>3175</wp:posOffset>
                </wp:positionV>
                <wp:extent cx="2533650" cy="400050"/>
                <wp:effectExtent l="0" t="0" r="0" b="0"/>
                <wp:wrapNone/>
                <wp:docPr id="101" name="Надпись 101"/>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43504A" id="Надпись 101" o:spid="_x0000_s1043" type="#_x0000_t202" style="position:absolute;left:0;text-align:left;margin-left:247.4pt;margin-top:.25pt;width:199.5pt;height:31.5pt;z-index:25168691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" filled="f" stroked="f">
                <v:textbo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0E1E81">
        <w:rPr>
          <w:rFonts w:ascii="Times New Roman" w:hAnsi="Times New Roman" w:cs="Times New Roman"/>
          <w:noProof/>
          <w:sz w:val="28"/>
          <w:szCs w:val="28"/>
          <w:lang w:val="en-US"/>
        </w:rPr>
        <mc:AlternateContent>
          <mc:Choice Requires="wps">
            <w:drawing>
              <wp:anchor distT="0" distB="0" distL="114300" distR="114300" simplePos="0" relativeHeight="251685888" behindDoc="0" locked="0" layoutInCell="1" allowOverlap="1" wp14:anchorId="462BBB81" wp14:editId="16C52C3E">
                <wp:simplePos x="0" y="0"/>
                <wp:positionH relativeFrom="page">
                  <wp:posOffset>1080135</wp:posOffset>
                </wp:positionH>
                <wp:positionV relativeFrom="paragraph">
                  <wp:posOffset>12700</wp:posOffset>
                </wp:positionV>
                <wp:extent cx="2533650" cy="400050"/>
                <wp:effectExtent l="0" t="0" r="0" b="0"/>
                <wp:wrapNone/>
                <wp:docPr id="100" name="Надпись 100"/>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62BBB81" id="Надпись 100" o:spid="_x0000_s1044" type="#_x0000_t202" style="position:absolute;left:0;text-align:left;margin-left:85.05pt;margin-top:1pt;width:199.5pt;height:31.5pt;z-index:25168588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" filled="f" stroked="f">
                <v:textbox>
                  <w:txbxContent>
                    <w:p w:rsidR="007B5A1D" w:rsidRPr="000E1E81" w:rsidRDefault="007B5A1D" w:rsidP="00FE4D0E">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Pr>
          <w:rFonts w:ascii="Times New Roman" w:hAnsi="Times New Roman" w:cs="Times New Roman"/>
          <w:noProof/>
          <w:sz w:val="28"/>
          <w:szCs w:val="28"/>
          <w:lang w:val="en-US"/>
        </w:rPr>
        <w:drawing>
          <wp:inline distT="0" distB="0" distL="0" distR="0">
            <wp:extent cx="5343525" cy="1898583"/>
            <wp:effectExtent l="0" t="0" r="0" b="6985"/>
            <wp:docPr id="63" name="Рисунок 63" descr="Мельник 1,02х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Мельник 1,02х0,9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390406" cy="1915240"/>
                    </a:xfrm>
                    <a:prstGeom prst="rect">
                      <a:avLst/>
                    </a:prstGeom>
                    <a:noFill/>
                    <a:ln>
                      <a:noFill/>
                    </a:ln>
                  </pic:spPr>
                </pic:pic>
              </a:graphicData>
            </a:graphic>
          </wp:inline>
        </w:drawing>
      </w:r>
    </w:p>
    <w:p w:rsidR="008C4970" w:rsidRDefault="00FE4D0E" w:rsidP="00F37271">
      <w:pPr>
        <w:spacing w:line="276" w:lineRule="auto"/>
        <w:jc w:val="both"/>
        <w:rPr>
          <w:rFonts w:ascii="Times New Roman" w:hAnsi="Times New Roman" w:cs="Times New Roman"/>
          <w:sz w:val="28"/>
          <w:szCs w:val="28"/>
        </w:rPr>
      </w:pPr>
      <w:r w:rsidRPr="0016182E">
        <w:rPr>
          <w:rFonts w:ascii="Times New Roman" w:hAnsi="Times New Roman" w:cs="Times New Roman"/>
          <w:sz w:val="28"/>
          <w:szCs w:val="28"/>
        </w:rPr>
        <w:t xml:space="preserve">Рис. </w:t>
      </w:r>
      <w:r w:rsidR="00CF1C49">
        <w:rPr>
          <w:rFonts w:ascii="Times New Roman" w:hAnsi="Times New Roman" w:cs="Times New Roman"/>
          <w:sz w:val="28"/>
          <w:szCs w:val="28"/>
        </w:rPr>
        <w:t>3.21</w:t>
      </w:r>
      <w:r w:rsidRPr="0016182E">
        <w:rPr>
          <w:rFonts w:ascii="Times New Roman" w:hAnsi="Times New Roman" w:cs="Times New Roman"/>
          <w:sz w:val="28"/>
          <w:szCs w:val="28"/>
        </w:rPr>
        <w:t>.</w:t>
      </w:r>
      <w:r>
        <w:rPr>
          <w:rFonts w:ascii="Times New Roman" w:hAnsi="Times New Roman" w:cs="Times New Roman"/>
          <w:sz w:val="28"/>
          <w:szCs w:val="28"/>
        </w:rPr>
        <w:t xml:space="preserve"> КТ-дані хворої П., 53 р., діагноз –</w:t>
      </w:r>
      <w:r w:rsidR="00C52B2C">
        <w:rPr>
          <w:rFonts w:ascii="Times New Roman" w:hAnsi="Times New Roman" w:cs="Times New Roman"/>
          <w:sz w:val="28"/>
          <w:szCs w:val="28"/>
        </w:rPr>
        <w:t xml:space="preserve"> </w:t>
      </w:r>
      <w:r>
        <w:rPr>
          <w:rFonts w:ascii="Times New Roman" w:hAnsi="Times New Roman" w:cs="Times New Roman"/>
          <w:sz w:val="28"/>
          <w:szCs w:val="28"/>
        </w:rPr>
        <w:t>кіста нижнього</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переднього сегменту лівої </w:t>
      </w:r>
      <w:r w:rsidR="00BD5405">
        <w:rPr>
          <w:rFonts w:ascii="Times New Roman" w:hAnsi="Times New Roman" w:cs="Times New Roman"/>
          <w:sz w:val="28"/>
          <w:szCs w:val="28"/>
        </w:rPr>
        <w:t xml:space="preserve">нирки </w:t>
      </w:r>
      <w:r>
        <w:rPr>
          <w:rFonts w:ascii="Times New Roman" w:hAnsi="Times New Roman" w:cs="Times New Roman"/>
          <w:sz w:val="28"/>
          <w:szCs w:val="28"/>
        </w:rPr>
        <w:t xml:space="preserve">розміром 1,55х1,56х1,56 см, клас 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ІІ</w:t>
      </w:r>
      <w:r>
        <w:rPr>
          <w:rFonts w:ascii="Times New Roman" w:hAnsi="Times New Roman" w:cs="Times New Roman"/>
          <w:sz w:val="28"/>
          <w:szCs w:val="28"/>
          <w:lang w:val="en-US"/>
        </w:rPr>
        <w:t>F</w:t>
      </w:r>
      <w:r>
        <w:rPr>
          <w:rFonts w:ascii="Times New Roman" w:hAnsi="Times New Roman" w:cs="Times New Roman"/>
          <w:sz w:val="28"/>
          <w:szCs w:val="28"/>
        </w:rPr>
        <w:t>, ОЗ розміщена над новоутвором.</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При спостереженні впродовж 1 року ознак злоякісності не виявлено. А: корональна проекція, кіста позначена стрілкою; Б: кортико-медулярна фаза, ІС=29,11 </w:t>
      </w:r>
      <w:r>
        <w:rPr>
          <w:rFonts w:ascii="Times New Roman" w:hAnsi="Times New Roman" w:cs="Times New Roman"/>
          <w:sz w:val="28"/>
          <w:szCs w:val="28"/>
          <w:lang w:val="en-US"/>
        </w:rPr>
        <w:t>HU</w:t>
      </w:r>
      <w:r>
        <w:rPr>
          <w:rFonts w:ascii="Times New Roman" w:hAnsi="Times New Roman" w:cs="Times New Roman"/>
          <w:sz w:val="28"/>
          <w:szCs w:val="28"/>
        </w:rPr>
        <w:t xml:space="preserve">, ВПЩ=0,25; В: нефрографічна фаза, ІС=25,56 </w:t>
      </w:r>
      <w:r>
        <w:rPr>
          <w:rFonts w:ascii="Times New Roman" w:hAnsi="Times New Roman" w:cs="Times New Roman"/>
          <w:sz w:val="28"/>
          <w:szCs w:val="28"/>
          <w:lang w:val="en-US"/>
        </w:rPr>
        <w:t>HU</w:t>
      </w:r>
      <w:r>
        <w:rPr>
          <w:rFonts w:ascii="Times New Roman" w:hAnsi="Times New Roman" w:cs="Times New Roman"/>
          <w:sz w:val="28"/>
          <w:szCs w:val="28"/>
        </w:rPr>
        <w:t>, ВПЩ=0,22</w:t>
      </w:r>
    </w:p>
    <w:p w:rsidR="00817533" w:rsidRDefault="00817533" w:rsidP="0081753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3.1.2.2.</w:t>
      </w:r>
      <w:r w:rsidRPr="002E5826">
        <w:rPr>
          <w:rFonts w:ascii="Times New Roman" w:hAnsi="Times New Roman" w:cs="Times New Roman"/>
          <w:sz w:val="28"/>
          <w:szCs w:val="28"/>
        </w:rPr>
        <w:t xml:space="preserve"> П</w:t>
      </w:r>
      <w:r>
        <w:rPr>
          <w:rFonts w:ascii="Times New Roman" w:hAnsi="Times New Roman" w:cs="Times New Roman"/>
          <w:sz w:val="28"/>
          <w:szCs w:val="28"/>
        </w:rPr>
        <w:t>роменеві біомаркери на основі МРТ</w:t>
      </w:r>
    </w:p>
    <w:p w:rsidR="00817533" w:rsidRPr="00460813" w:rsidRDefault="00817533" w:rsidP="0081753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оцінки ефективності потенційних променевих біомаркерів кістозного НКР на основі МРТ, у всіх групах кіст нами б</w:t>
      </w:r>
      <w:r w:rsidRPr="00CB3FB6">
        <w:rPr>
          <w:rFonts w:ascii="Times New Roman" w:hAnsi="Times New Roman" w:cs="Times New Roman"/>
          <w:sz w:val="28"/>
          <w:szCs w:val="28"/>
        </w:rPr>
        <w:t>ули проаналізовані показники</w:t>
      </w:r>
      <w:r>
        <w:rPr>
          <w:rFonts w:ascii="Times New Roman" w:hAnsi="Times New Roman" w:cs="Times New Roman"/>
          <w:sz w:val="28"/>
          <w:szCs w:val="28"/>
        </w:rPr>
        <w:t xml:space="preserve"> інтенсивності сигналу дифузійно-зважених зображень та </w:t>
      </w:r>
      <w:r w:rsidRPr="000B631E">
        <w:rPr>
          <w:rFonts w:ascii="Times New Roman" w:hAnsi="Times New Roman" w:cs="Times New Roman"/>
          <w:sz w:val="28"/>
          <w:szCs w:val="28"/>
          <w:vertAlign w:val="subscript"/>
        </w:rPr>
        <w:t xml:space="preserve"> </w:t>
      </w:r>
      <w:r>
        <w:rPr>
          <w:rFonts w:ascii="Times New Roman" w:hAnsi="Times New Roman" w:cs="Times New Roman"/>
          <w:sz w:val="28"/>
          <w:szCs w:val="28"/>
        </w:rPr>
        <w:t>вимірюваний коефіцієнт дифузії</w:t>
      </w:r>
      <w:r w:rsidRPr="000B631E">
        <w:rPr>
          <w:rFonts w:ascii="Times New Roman" w:hAnsi="Times New Roman" w:cs="Times New Roman"/>
          <w:sz w:val="28"/>
          <w:szCs w:val="28"/>
        </w:rPr>
        <w:t xml:space="preserve"> </w:t>
      </w:r>
      <w:r>
        <w:rPr>
          <w:rFonts w:ascii="Times New Roman" w:hAnsi="Times New Roman" w:cs="Times New Roman"/>
          <w:sz w:val="28"/>
          <w:szCs w:val="28"/>
        </w:rPr>
        <w:t xml:space="preserve">визначені при </w:t>
      </w:r>
      <w:r>
        <w:rPr>
          <w:rFonts w:ascii="Times New Roman" w:hAnsi="Times New Roman" w:cs="Times New Roman"/>
          <w:sz w:val="28"/>
          <w:szCs w:val="28"/>
          <w:lang w:val="en-US"/>
        </w:rPr>
        <w:t>b</w:t>
      </w:r>
      <w:r>
        <w:rPr>
          <w:rFonts w:ascii="Times New Roman" w:hAnsi="Times New Roman" w:cs="Times New Roman"/>
          <w:sz w:val="28"/>
          <w:szCs w:val="28"/>
        </w:rPr>
        <w:t xml:space="preserve">-значеннях 0 та 800 </w:t>
      </w:r>
      <w:r w:rsidRPr="00807530">
        <w:rPr>
          <w:rFonts w:ascii="Times New Roman" w:hAnsi="Times New Roman" w:cs="Times New Roman"/>
          <w:sz w:val="28"/>
          <w:szCs w:val="28"/>
        </w:rPr>
        <w:t>с</w:t>
      </w:r>
      <w:r>
        <w:rPr>
          <w:rFonts w:ascii="Times New Roman" w:hAnsi="Times New Roman" w:cs="Times New Roman"/>
          <w:sz w:val="28"/>
          <w:szCs w:val="28"/>
        </w:rPr>
        <w:t>ек</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мм</w:t>
      </w:r>
      <w:r w:rsidRPr="00807530">
        <w:rPr>
          <w:rFonts w:ascii="Times New Roman" w:eastAsiaTheme="minorEastAsia" w:hAnsi="Times New Roman" w:cs="Times New Roman"/>
          <w:sz w:val="28"/>
          <w:szCs w:val="28"/>
          <w:vertAlign w:val="superscript"/>
        </w:rPr>
        <w:t>2</w:t>
      </w:r>
      <w:r>
        <w:rPr>
          <w:rFonts w:ascii="Times New Roman" w:hAnsi="Times New Roman" w:cs="Times New Roman"/>
          <w:sz w:val="28"/>
          <w:szCs w:val="28"/>
        </w:rPr>
        <w:t>, за допомогою вище описаних методів. При кістах нирок найвищі показники 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були отримані при кістах класів І та ІІ 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sz w:val="28"/>
          <w:szCs w:val="28"/>
        </w:rPr>
        <w:t>відповідно 135,06</w:t>
      </w:r>
      <w:r>
        <w:rPr>
          <w:rFonts w:ascii="Times New Roman" w:hAnsi="Times New Roman" w:cs="Times New Roman"/>
          <w:sz w:val="28"/>
          <w:szCs w:val="28"/>
        </w:rPr>
        <w:t>±</w:t>
      </w:r>
      <w:r>
        <w:rPr>
          <w:rFonts w:ascii="Times New Roman" w:hAnsi="Times New Roman"/>
          <w:sz w:val="28"/>
          <w:szCs w:val="28"/>
        </w:rPr>
        <w:t>39,07 та 135,51</w:t>
      </w:r>
      <w:r>
        <w:rPr>
          <w:rFonts w:ascii="Times New Roman" w:hAnsi="Times New Roman" w:cs="Times New Roman"/>
          <w:sz w:val="28"/>
          <w:szCs w:val="28"/>
        </w:rPr>
        <w:t>±</w:t>
      </w:r>
      <w:r>
        <w:rPr>
          <w:rFonts w:ascii="Times New Roman" w:hAnsi="Times New Roman"/>
          <w:sz w:val="28"/>
          <w:szCs w:val="28"/>
        </w:rPr>
        <w:t xml:space="preserve">27,65), а найнижчі – при кістах </w:t>
      </w:r>
      <w:r>
        <w:rPr>
          <w:rFonts w:ascii="Times New Roman" w:hAnsi="Times New Roman"/>
          <w:sz w:val="28"/>
          <w:szCs w:val="28"/>
          <w:lang w:val="en-US"/>
        </w:rPr>
        <w:t>VI</w:t>
      </w:r>
      <w:r w:rsidRPr="009E6C7E">
        <w:rPr>
          <w:rFonts w:ascii="Times New Roman" w:hAnsi="Times New Roman"/>
          <w:sz w:val="28"/>
          <w:szCs w:val="28"/>
        </w:rPr>
        <w:t xml:space="preserve"> </w:t>
      </w:r>
      <w:r>
        <w:rPr>
          <w:rFonts w:ascii="Times New Roman" w:hAnsi="Times New Roman"/>
          <w:sz w:val="28"/>
          <w:szCs w:val="28"/>
        </w:rPr>
        <w:t>класу (84,77</w:t>
      </w:r>
      <w:r>
        <w:rPr>
          <w:rFonts w:ascii="Times New Roman" w:hAnsi="Times New Roman" w:cs="Times New Roman"/>
          <w:sz w:val="28"/>
          <w:szCs w:val="28"/>
        </w:rPr>
        <w:t>±</w:t>
      </w:r>
      <w:r>
        <w:rPr>
          <w:rFonts w:ascii="Times New Roman" w:hAnsi="Times New Roman"/>
          <w:sz w:val="28"/>
          <w:szCs w:val="28"/>
        </w:rPr>
        <w:t xml:space="preserve">21,62). В цілому, діапазон значень </w:t>
      </w:r>
      <w:r>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отриманих у групах із кістами нирок значною мірою пересікався, результатом чого була відсутність статистично достовірних відмінностей між категоріями кіст І та ІІ (р=</w:t>
      </w:r>
      <w:r>
        <w:rPr>
          <w:rFonts w:ascii="Times New Roman" w:hAnsi="Times New Roman"/>
          <w:sz w:val="28"/>
          <w:szCs w:val="28"/>
        </w:rPr>
        <w:t>0,986)</w:t>
      </w:r>
      <w:r>
        <w:rPr>
          <w:rFonts w:ascii="Times New Roman" w:hAnsi="Times New Roman" w:cs="Times New Roman"/>
          <w:sz w:val="28"/>
          <w:szCs w:val="28"/>
        </w:rPr>
        <w:t>, ІІ</w:t>
      </w:r>
      <w:r>
        <w:rPr>
          <w:rFonts w:ascii="Times New Roman" w:hAnsi="Times New Roman" w:cs="Times New Roman"/>
          <w:sz w:val="28"/>
          <w:szCs w:val="28"/>
          <w:lang w:val="en-US"/>
        </w:rPr>
        <w:t>F</w:t>
      </w:r>
      <w:r>
        <w:rPr>
          <w:rFonts w:ascii="Times New Roman" w:hAnsi="Times New Roman" w:cs="Times New Roman"/>
          <w:sz w:val="28"/>
          <w:szCs w:val="28"/>
        </w:rPr>
        <w:t xml:space="preserve"> та ІІІ (р=</w:t>
      </w:r>
      <w:r>
        <w:rPr>
          <w:rFonts w:ascii="Times New Roman" w:hAnsi="Times New Roman"/>
          <w:sz w:val="28"/>
          <w:szCs w:val="28"/>
        </w:rPr>
        <w:t>0,193)</w:t>
      </w:r>
      <w:r>
        <w:rPr>
          <w:rFonts w:ascii="Times New Roman" w:hAnsi="Times New Roman" w:cs="Times New Roman"/>
          <w:sz w:val="28"/>
          <w:szCs w:val="28"/>
        </w:rPr>
        <w:t>, ІІ</w:t>
      </w:r>
      <w:r>
        <w:rPr>
          <w:rFonts w:ascii="Times New Roman" w:hAnsi="Times New Roman" w:cs="Times New Roman"/>
          <w:sz w:val="28"/>
          <w:szCs w:val="28"/>
          <w:lang w:val="en-US"/>
        </w:rPr>
        <w:t>F</w:t>
      </w:r>
      <w:r>
        <w:rPr>
          <w:rFonts w:ascii="Times New Roman" w:hAnsi="Times New Roman" w:cs="Times New Roman"/>
          <w:sz w:val="28"/>
          <w:szCs w:val="28"/>
        </w:rPr>
        <w:t xml:space="preserve"> та </w:t>
      </w:r>
      <w:r>
        <w:rPr>
          <w:rFonts w:ascii="Times New Roman" w:hAnsi="Times New Roman" w:cs="Times New Roman"/>
          <w:sz w:val="28"/>
          <w:szCs w:val="28"/>
          <w:lang w:val="en-US"/>
        </w:rPr>
        <w:t>IV</w:t>
      </w:r>
      <w:r>
        <w:rPr>
          <w:rFonts w:ascii="Times New Roman" w:hAnsi="Times New Roman" w:cs="Times New Roman"/>
          <w:sz w:val="28"/>
          <w:szCs w:val="28"/>
        </w:rPr>
        <w:t xml:space="preserve"> (р=</w:t>
      </w:r>
      <w:r>
        <w:rPr>
          <w:rFonts w:ascii="Times New Roman" w:hAnsi="Times New Roman"/>
          <w:sz w:val="28"/>
          <w:szCs w:val="28"/>
        </w:rPr>
        <w:t>0,071)</w:t>
      </w:r>
      <w:r>
        <w:rPr>
          <w:rFonts w:ascii="Times New Roman" w:hAnsi="Times New Roman" w:cs="Times New Roman"/>
          <w:sz w:val="28"/>
          <w:szCs w:val="28"/>
        </w:rPr>
        <w:t>, ІІІ та</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IV</w:t>
      </w:r>
      <w:r>
        <w:rPr>
          <w:rFonts w:ascii="Times New Roman" w:hAnsi="Times New Roman" w:cs="Times New Roman"/>
          <w:sz w:val="28"/>
          <w:szCs w:val="28"/>
        </w:rPr>
        <w:t xml:space="preserve"> (р=</w:t>
      </w:r>
      <w:r>
        <w:rPr>
          <w:rFonts w:ascii="Times New Roman" w:hAnsi="Times New Roman"/>
          <w:sz w:val="28"/>
          <w:szCs w:val="28"/>
        </w:rPr>
        <w:t>0,998).</w:t>
      </w:r>
    </w:p>
    <w:p w:rsidR="00817533" w:rsidRPr="00F37271" w:rsidRDefault="00817533" w:rsidP="00F37271">
      <w:pPr>
        <w:spacing w:line="360" w:lineRule="auto"/>
        <w:ind w:firstLine="709"/>
        <w:jc w:val="both"/>
        <w:rPr>
          <w:rFonts w:ascii="Times New Roman" w:hAnsi="Times New Roman" w:cs="Times New Roman"/>
          <w:sz w:val="28"/>
          <w:szCs w:val="28"/>
        </w:rPr>
      </w:pPr>
      <w:r>
        <w:rPr>
          <w:rFonts w:ascii="Times New Roman" w:hAnsi="Times New Roman"/>
          <w:sz w:val="28"/>
          <w:szCs w:val="28"/>
        </w:rPr>
        <w:t>При визначенні показників ВКД (</w:t>
      </w:r>
      <w:r>
        <w:rPr>
          <w:rFonts w:ascii="Times New Roman" w:hAnsi="Times New Roman" w:cs="Times New Roman"/>
          <w:sz w:val="28"/>
          <w:szCs w:val="28"/>
        </w:rPr>
        <w:t>розміщуючи ОЗ над ділянкою всієї кісти)</w:t>
      </w:r>
      <w:r>
        <w:rPr>
          <w:rFonts w:ascii="Times New Roman" w:hAnsi="Times New Roman"/>
          <w:sz w:val="28"/>
          <w:szCs w:val="28"/>
        </w:rPr>
        <w:t xml:space="preserve">, найвище середнє значення було отримане в групі із </w:t>
      </w:r>
      <w:r>
        <w:rPr>
          <w:rFonts w:ascii="Times New Roman" w:hAnsi="Times New Roman" w:cs="Times New Roman"/>
          <w:sz w:val="28"/>
          <w:szCs w:val="28"/>
        </w:rPr>
        <w:t xml:space="preserve">кістами класу І за </w:t>
      </w:r>
      <w:r>
        <w:rPr>
          <w:rFonts w:ascii="Times New Roman" w:hAnsi="Times New Roman" w:cs="Times New Roman"/>
          <w:sz w:val="28"/>
          <w:szCs w:val="28"/>
          <w:lang w:val="en-US"/>
        </w:rPr>
        <w:t>Bosniak</w:t>
      </w:r>
      <w:r>
        <w:rPr>
          <w:rFonts w:ascii="Times New Roman" w:hAnsi="Times New Roman" w:cs="Times New Roman"/>
          <w:sz w:val="28"/>
          <w:szCs w:val="28"/>
        </w:rPr>
        <w:t xml:space="preserve"> (</w:t>
      </w:r>
      <w:r>
        <w:rPr>
          <w:rFonts w:ascii="Times New Roman" w:hAnsi="Times New Roman"/>
          <w:sz w:val="28"/>
          <w:szCs w:val="28"/>
        </w:rPr>
        <w:t>3,49</w:t>
      </w:r>
      <w:r>
        <w:rPr>
          <w:rFonts w:ascii="Times New Roman" w:hAnsi="Times New Roman" w:cs="Times New Roman"/>
          <w:sz w:val="28"/>
          <w:szCs w:val="28"/>
        </w:rPr>
        <w:t>±</w:t>
      </w:r>
      <w:r>
        <w:rPr>
          <w:rFonts w:ascii="Times New Roman" w:hAnsi="Times New Roman"/>
          <w:sz w:val="28"/>
          <w:szCs w:val="28"/>
        </w:rPr>
        <w:t>0,11</w:t>
      </w:r>
      <w:r w:rsidRPr="008C5984">
        <w:rPr>
          <w:rFonts w:ascii="Times New Roman" w:hAnsi="Times New Roman" w:cs="Times New Roman"/>
          <w:bCs/>
          <w:sz w:val="28"/>
          <w:szCs w:val="28"/>
        </w:rPr>
        <w:t>×10</w:t>
      </w:r>
      <w:r w:rsidRPr="008C5984">
        <w:rPr>
          <w:rFonts w:ascii="Times New Roman" w:hAnsi="Times New Roman" w:cs="Times New Roman"/>
          <w:bCs/>
          <w:sz w:val="28"/>
          <w:szCs w:val="28"/>
          <w:vertAlign w:val="superscript"/>
        </w:rPr>
        <w:t>−3</w:t>
      </w:r>
      <w:r w:rsidRPr="008C5984">
        <w:rPr>
          <w:rFonts w:ascii="Times New Roman" w:hAnsi="Times New Roman" w:cs="Times New Roman"/>
          <w:bCs/>
          <w:sz w:val="28"/>
          <w:szCs w:val="28"/>
        </w:rPr>
        <w:t xml:space="preserve"> мм</w:t>
      </w:r>
      <w:r w:rsidRPr="008C5984">
        <w:rPr>
          <w:rFonts w:ascii="Times New Roman" w:hAnsi="Times New Roman" w:cs="Times New Roman"/>
          <w:bCs/>
          <w:sz w:val="28"/>
          <w:szCs w:val="28"/>
          <w:vertAlign w:val="superscript"/>
        </w:rPr>
        <w:t>2</w:t>
      </w:r>
      <w:r w:rsidRPr="008C5984">
        <w:rPr>
          <w:rFonts w:ascii="Times New Roman" w:hAnsi="Times New Roman" w:cs="Times New Roman"/>
          <w:bCs/>
          <w:sz w:val="28"/>
          <w:szCs w:val="28"/>
        </w:rPr>
        <w:t>/с</w:t>
      </w:r>
      <w:r w:rsidRPr="009E6C7E">
        <w:rPr>
          <w:rFonts w:ascii="Times New Roman" w:hAnsi="Times New Roman" w:cs="Times New Roman"/>
          <w:bCs/>
          <w:sz w:val="28"/>
          <w:szCs w:val="28"/>
        </w:rPr>
        <w:t>)</w:t>
      </w:r>
      <w:r>
        <w:rPr>
          <w:rFonts w:ascii="Times New Roman" w:hAnsi="Times New Roman" w:cs="Times New Roman"/>
          <w:bCs/>
          <w:sz w:val="28"/>
          <w:szCs w:val="28"/>
        </w:rPr>
        <w:t xml:space="preserve"> і зменшувалось із збільшенням класу кіст, досягаючи найнижчого показника в групі із кістами класу </w:t>
      </w:r>
      <w:r>
        <w:rPr>
          <w:rFonts w:ascii="Times New Roman" w:hAnsi="Times New Roman" w:cs="Times New Roman"/>
          <w:bCs/>
          <w:sz w:val="28"/>
          <w:szCs w:val="28"/>
          <w:lang w:val="en-US"/>
        </w:rPr>
        <w:t>IV</w:t>
      </w:r>
      <w:r>
        <w:rPr>
          <w:rFonts w:ascii="Times New Roman" w:hAnsi="Times New Roman" w:cs="Times New Roman"/>
          <w:bCs/>
          <w:sz w:val="28"/>
          <w:szCs w:val="28"/>
        </w:rPr>
        <w:t xml:space="preserve"> (</w:t>
      </w:r>
      <w:r>
        <w:rPr>
          <w:rFonts w:ascii="Times New Roman" w:hAnsi="Times New Roman"/>
          <w:sz w:val="28"/>
          <w:szCs w:val="28"/>
        </w:rPr>
        <w:t>2,64</w:t>
      </w:r>
      <w:r>
        <w:rPr>
          <w:rFonts w:ascii="Times New Roman" w:hAnsi="Times New Roman" w:cs="Times New Roman"/>
          <w:sz w:val="28"/>
          <w:szCs w:val="28"/>
        </w:rPr>
        <w:t>±</w:t>
      </w:r>
      <w:r>
        <w:rPr>
          <w:rFonts w:ascii="Times New Roman" w:hAnsi="Times New Roman"/>
          <w:sz w:val="28"/>
          <w:szCs w:val="28"/>
        </w:rPr>
        <w:t>0,21</w:t>
      </w:r>
      <w:r w:rsidRPr="008C5984">
        <w:rPr>
          <w:rFonts w:ascii="Times New Roman" w:hAnsi="Times New Roman" w:cs="Times New Roman"/>
          <w:bCs/>
          <w:sz w:val="28"/>
          <w:szCs w:val="28"/>
        </w:rPr>
        <w:t>×10</w:t>
      </w:r>
      <w:r w:rsidRPr="008C5984">
        <w:rPr>
          <w:rFonts w:ascii="Times New Roman" w:hAnsi="Times New Roman" w:cs="Times New Roman"/>
          <w:bCs/>
          <w:sz w:val="28"/>
          <w:szCs w:val="28"/>
          <w:vertAlign w:val="superscript"/>
        </w:rPr>
        <w:t>−3</w:t>
      </w:r>
      <w:r w:rsidRPr="008C5984">
        <w:rPr>
          <w:rFonts w:ascii="Times New Roman" w:hAnsi="Times New Roman" w:cs="Times New Roman"/>
          <w:bCs/>
          <w:sz w:val="28"/>
          <w:szCs w:val="28"/>
        </w:rPr>
        <w:t xml:space="preserve"> мм</w:t>
      </w:r>
      <w:r w:rsidRPr="008C5984">
        <w:rPr>
          <w:rFonts w:ascii="Times New Roman" w:hAnsi="Times New Roman" w:cs="Times New Roman"/>
          <w:bCs/>
          <w:sz w:val="28"/>
          <w:szCs w:val="28"/>
          <w:vertAlign w:val="superscript"/>
        </w:rPr>
        <w:t>2</w:t>
      </w:r>
      <w:r w:rsidRPr="008C5984">
        <w:rPr>
          <w:rFonts w:ascii="Times New Roman" w:hAnsi="Times New Roman" w:cs="Times New Roman"/>
          <w:bCs/>
          <w:sz w:val="28"/>
          <w:szCs w:val="28"/>
        </w:rPr>
        <w:t>/с</w:t>
      </w:r>
      <w:r>
        <w:rPr>
          <w:rFonts w:ascii="Times New Roman" w:hAnsi="Times New Roman" w:cs="Times New Roman"/>
          <w:bCs/>
          <w:sz w:val="28"/>
          <w:szCs w:val="28"/>
        </w:rPr>
        <w:t>), що свідчило про більш виражене обмеження дифузії при кістах вищого класу. Таке явище ми пояснюємо зростанням частки тканинного компоненту (товщини стінок, перегородок кісти) та кількості мікрокальцифікацій, що в цілому притаманно для кіст вищих класів і що сприяє обмеженню дифузії молекул водню в їх ділянці у порівнянні із рідинним вмістом простих кіст. Слід зазначити, що нами була отримана достовірна різниця середніх значень ВКД між всіма класами кіст, чого не спостерігалось раніше, при вивченні інших потенційних променевих біомаркерів. Середні значення ВКД всіх класів кіст також достовірно відрізнялись від цього показника контрольної групи (р</w:t>
      </w:r>
      <w:r w:rsidRPr="009E6C7E">
        <w:rPr>
          <w:rFonts w:ascii="Times New Roman" w:hAnsi="Times New Roman"/>
          <w:sz w:val="28"/>
          <w:szCs w:val="28"/>
        </w:rPr>
        <w:t>&lt;</w:t>
      </w:r>
      <w:r w:rsidRPr="00987B00">
        <w:rPr>
          <w:rFonts w:ascii="Times New Roman" w:hAnsi="Times New Roman"/>
          <w:sz w:val="28"/>
          <w:szCs w:val="28"/>
        </w:rPr>
        <w:t>0,001</w:t>
      </w:r>
      <w:r>
        <w:rPr>
          <w:rFonts w:ascii="Times New Roman" w:hAnsi="Times New Roman"/>
          <w:sz w:val="28"/>
          <w:szCs w:val="28"/>
        </w:rPr>
        <w:t>), за винятком групи із класом кіст</w:t>
      </w:r>
      <w:r w:rsidRPr="009E6C7E">
        <w:rPr>
          <w:rFonts w:ascii="Times New Roman" w:hAnsi="Times New Roman"/>
          <w:sz w:val="28"/>
          <w:szCs w:val="28"/>
        </w:rPr>
        <w:t xml:space="preserve"> </w:t>
      </w:r>
      <w:r>
        <w:rPr>
          <w:rFonts w:ascii="Times New Roman" w:hAnsi="Times New Roman"/>
          <w:sz w:val="28"/>
          <w:szCs w:val="28"/>
          <w:lang w:val="en-US"/>
        </w:rPr>
        <w:t>IV</w:t>
      </w:r>
      <w:r>
        <w:rPr>
          <w:rFonts w:ascii="Times New Roman" w:hAnsi="Times New Roman"/>
          <w:sz w:val="28"/>
          <w:szCs w:val="28"/>
        </w:rPr>
        <w:t>,</w:t>
      </w:r>
      <w:r w:rsidRPr="009E6C7E">
        <w:rPr>
          <w:rFonts w:ascii="Times New Roman" w:hAnsi="Times New Roman"/>
          <w:sz w:val="28"/>
          <w:szCs w:val="28"/>
        </w:rPr>
        <w:t xml:space="preserve"> </w:t>
      </w:r>
      <w:r>
        <w:rPr>
          <w:rFonts w:ascii="Times New Roman" w:hAnsi="Times New Roman"/>
          <w:sz w:val="28"/>
          <w:szCs w:val="28"/>
        </w:rPr>
        <w:t xml:space="preserve">у зв’язку із присутністю при цьому класі кіст як кістозного, так і вираженого тканинного компонентів, результатом чого було  суттєве взаємонакладання показників ВКД із </w:t>
      </w:r>
      <w:r>
        <w:rPr>
          <w:rFonts w:ascii="Times New Roman" w:hAnsi="Times New Roman"/>
          <w:sz w:val="28"/>
          <w:szCs w:val="28"/>
        </w:rPr>
        <w:lastRenderedPageBreak/>
        <w:t xml:space="preserve">нормальною нирковою паренхімою (р=0,862). </w:t>
      </w:r>
      <w:r>
        <w:rPr>
          <w:rFonts w:ascii="Times New Roman" w:hAnsi="Times New Roman" w:cs="Times New Roman"/>
          <w:sz w:val="28"/>
          <w:szCs w:val="28"/>
        </w:rPr>
        <w:t>Статистична характеристика показників 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та ВКД</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кістозних </w:t>
      </w:r>
      <w:r>
        <w:rPr>
          <w:rFonts w:ascii="Times New Roman" w:hAnsi="Times New Roman" w:cs="Times New Roman"/>
          <w:sz w:val="28"/>
          <w:szCs w:val="28"/>
          <w:lang w:val="en-US"/>
        </w:rPr>
        <w:t>SRM</w:t>
      </w:r>
      <w:r w:rsidR="00293044">
        <w:rPr>
          <w:rFonts w:ascii="Times New Roman" w:hAnsi="Times New Roman" w:cs="Times New Roman"/>
          <w:sz w:val="28"/>
          <w:szCs w:val="28"/>
        </w:rPr>
        <w:t xml:space="preserve"> наведена у таблиці 3.16</w:t>
      </w:r>
      <w:r w:rsidR="00F37271">
        <w:rPr>
          <w:rFonts w:ascii="Times New Roman" w:hAnsi="Times New Roman" w:cs="Times New Roman"/>
          <w:sz w:val="28"/>
          <w:szCs w:val="28"/>
        </w:rPr>
        <w:t>.</w:t>
      </w:r>
    </w:p>
    <w:p w:rsidR="00817533" w:rsidRDefault="00293044" w:rsidP="00817533">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3.16</w:t>
      </w:r>
    </w:p>
    <w:p w:rsidR="00817533" w:rsidRDefault="00817533" w:rsidP="00817533">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Статистична характеристика показників </w:t>
      </w:r>
      <w:r w:rsidRPr="00E928E1">
        <w:rPr>
          <w:rFonts w:ascii="Times New Roman" w:hAnsi="Times New Roman"/>
          <w:sz w:val="28"/>
          <w:szCs w:val="28"/>
        </w:rPr>
        <w:t>інтенсивності сигналу дифузійно-зважених зображень та вимірюваного коефіцієнта дифузії</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кістозних </w:t>
      </w:r>
      <w:r>
        <w:rPr>
          <w:rFonts w:ascii="Times New Roman" w:hAnsi="Times New Roman" w:cs="Times New Roman"/>
          <w:sz w:val="28"/>
          <w:szCs w:val="28"/>
          <w:lang w:val="en-US"/>
        </w:rPr>
        <w:t>SRM</w:t>
      </w:r>
      <w:r w:rsidRPr="009E6C7E">
        <w:rPr>
          <w:rFonts w:ascii="Times New Roman" w:hAnsi="Times New Roman" w:cs="Times New Roman"/>
          <w:sz w:val="28"/>
          <w:szCs w:val="28"/>
        </w:rPr>
        <w:t xml:space="preserve"> </w:t>
      </w:r>
    </w:p>
    <w:tbl>
      <w:tblPr>
        <w:tblStyle w:val="TableGrid"/>
        <w:tblW w:w="0" w:type="auto"/>
        <w:tblLook w:val="04A0" w:firstRow="1" w:lastRow="0" w:firstColumn="1" w:lastColumn="0" w:noHBand="0" w:noVBand="1"/>
      </w:tblPr>
      <w:tblGrid>
        <w:gridCol w:w="1802"/>
        <w:gridCol w:w="1816"/>
        <w:gridCol w:w="1816"/>
        <w:gridCol w:w="1816"/>
        <w:gridCol w:w="1817"/>
      </w:tblGrid>
      <w:tr w:rsidR="00817533" w:rsidTr="001F0C51">
        <w:trPr>
          <w:trHeight w:val="370"/>
        </w:trPr>
        <w:tc>
          <w:tcPr>
            <w:tcW w:w="1802" w:type="dxa"/>
            <w:vMerge w:val="restart"/>
          </w:tcPr>
          <w:p w:rsidR="00817533" w:rsidRPr="00BD5837" w:rsidRDefault="00817533" w:rsidP="001F0C51">
            <w:pPr>
              <w:jc w:val="center"/>
              <w:rPr>
                <w:rFonts w:ascii="Times New Roman" w:hAnsi="Times New Roman"/>
                <w:b/>
                <w:sz w:val="28"/>
                <w:szCs w:val="28"/>
              </w:rPr>
            </w:pPr>
            <w:r w:rsidRPr="00BD5837">
              <w:rPr>
                <w:rFonts w:ascii="Times New Roman" w:hAnsi="Times New Roman"/>
                <w:b/>
                <w:sz w:val="28"/>
                <w:szCs w:val="28"/>
              </w:rPr>
              <w:t>Група</w:t>
            </w:r>
          </w:p>
        </w:tc>
        <w:tc>
          <w:tcPr>
            <w:tcW w:w="3632" w:type="dxa"/>
            <w:gridSpan w:val="2"/>
          </w:tcPr>
          <w:p w:rsidR="00817533" w:rsidRPr="00BD5837" w:rsidRDefault="00817533" w:rsidP="001F0C51">
            <w:pPr>
              <w:jc w:val="center"/>
              <w:rPr>
                <w:rFonts w:ascii="Times New Roman" w:hAnsi="Times New Roman"/>
                <w:b/>
                <w:sz w:val="28"/>
                <w:szCs w:val="28"/>
              </w:rPr>
            </w:pPr>
            <w:r>
              <w:rPr>
                <w:rFonts w:ascii="Times New Roman" w:hAnsi="Times New Roman"/>
                <w:b/>
                <w:sz w:val="28"/>
                <w:szCs w:val="28"/>
              </w:rPr>
              <w:t>Інтенсивність сигналу дифузійно-зважених зображень</w:t>
            </w:r>
          </w:p>
        </w:tc>
        <w:tc>
          <w:tcPr>
            <w:tcW w:w="3633" w:type="dxa"/>
            <w:gridSpan w:val="2"/>
          </w:tcPr>
          <w:p w:rsidR="00817533" w:rsidRPr="00BD5837" w:rsidRDefault="00817533" w:rsidP="001F0C51">
            <w:pPr>
              <w:jc w:val="center"/>
              <w:rPr>
                <w:rFonts w:ascii="Times New Roman" w:hAnsi="Times New Roman"/>
                <w:b/>
                <w:sz w:val="28"/>
                <w:szCs w:val="28"/>
              </w:rPr>
            </w:pPr>
            <w:r>
              <w:rPr>
                <w:rFonts w:ascii="Times New Roman" w:hAnsi="Times New Roman"/>
                <w:b/>
                <w:sz w:val="28"/>
                <w:szCs w:val="28"/>
              </w:rPr>
              <w:t>Вимірюваний коефіцієнт дифузії, ,</w:t>
            </w:r>
            <w:r w:rsidRPr="00DA4CF4">
              <w:rPr>
                <w:rFonts w:ascii="Times New Roman" w:hAnsi="Times New Roman" w:cs="Times New Roman"/>
                <w:b/>
                <w:bCs/>
                <w:sz w:val="28"/>
                <w:szCs w:val="28"/>
              </w:rPr>
              <w:t xml:space="preserve"> ×10</w:t>
            </w:r>
            <w:r w:rsidRPr="00DA4CF4">
              <w:rPr>
                <w:rFonts w:ascii="Times New Roman" w:hAnsi="Times New Roman" w:cs="Times New Roman"/>
                <w:b/>
                <w:bCs/>
                <w:sz w:val="28"/>
                <w:szCs w:val="28"/>
                <w:vertAlign w:val="superscript"/>
              </w:rPr>
              <w:t>−3</w:t>
            </w:r>
            <w:r w:rsidRPr="00DA4CF4">
              <w:rPr>
                <w:rFonts w:ascii="Times New Roman" w:hAnsi="Times New Roman" w:cs="Times New Roman"/>
                <w:b/>
                <w:bCs/>
                <w:sz w:val="28"/>
                <w:szCs w:val="28"/>
              </w:rPr>
              <w:t xml:space="preserve"> мм</w:t>
            </w:r>
            <w:r w:rsidRPr="00DA4CF4">
              <w:rPr>
                <w:rFonts w:ascii="Times New Roman" w:hAnsi="Times New Roman" w:cs="Times New Roman"/>
                <w:b/>
                <w:bCs/>
                <w:sz w:val="28"/>
                <w:szCs w:val="28"/>
                <w:vertAlign w:val="superscript"/>
              </w:rPr>
              <w:t>2</w:t>
            </w:r>
            <w:r w:rsidRPr="00DA4CF4">
              <w:rPr>
                <w:rFonts w:ascii="Times New Roman" w:hAnsi="Times New Roman" w:cs="Times New Roman"/>
                <w:b/>
                <w:bCs/>
                <w:sz w:val="28"/>
                <w:szCs w:val="28"/>
              </w:rPr>
              <w:t>/с</w:t>
            </w:r>
          </w:p>
        </w:tc>
      </w:tr>
      <w:tr w:rsidR="00817533" w:rsidTr="001F0C51">
        <w:trPr>
          <w:trHeight w:val="321"/>
        </w:trPr>
        <w:tc>
          <w:tcPr>
            <w:tcW w:w="1802" w:type="dxa"/>
            <w:vMerge/>
            <w:tcBorders>
              <w:bottom w:val="single" w:sz="4" w:space="0" w:color="auto"/>
            </w:tcBorders>
          </w:tcPr>
          <w:p w:rsidR="00817533" w:rsidRPr="00BD5837" w:rsidRDefault="00817533" w:rsidP="001F0C51">
            <w:pPr>
              <w:jc w:val="center"/>
              <w:rPr>
                <w:rFonts w:ascii="Times New Roman" w:hAnsi="Times New Roman"/>
                <w:b/>
                <w:sz w:val="28"/>
                <w:szCs w:val="28"/>
              </w:rPr>
            </w:pPr>
          </w:p>
        </w:tc>
        <w:tc>
          <w:tcPr>
            <w:tcW w:w="1816" w:type="dxa"/>
            <w:tcBorders>
              <w:bottom w:val="single" w:sz="4" w:space="0" w:color="auto"/>
            </w:tcBorders>
          </w:tcPr>
          <w:p w:rsidR="00817533" w:rsidRPr="00774B12" w:rsidRDefault="00817533" w:rsidP="001F0C51">
            <w:pPr>
              <w:jc w:val="center"/>
              <w:rPr>
                <w:rFonts w:ascii="Times New Roman" w:hAnsi="Times New Roman"/>
                <w:b/>
                <w:sz w:val="28"/>
                <w:szCs w:val="28"/>
              </w:rPr>
            </w:pPr>
            <w:r w:rsidRPr="00BD5837">
              <w:rPr>
                <w:rFonts w:ascii="Times New Roman" w:hAnsi="Times New Roman"/>
                <w:b/>
                <w:sz w:val="28"/>
                <w:szCs w:val="28"/>
              </w:rPr>
              <w:t>С</w:t>
            </w:r>
            <w:r>
              <w:rPr>
                <w:rFonts w:ascii="Times New Roman" w:hAnsi="Times New Roman"/>
                <w:b/>
                <w:sz w:val="28"/>
                <w:szCs w:val="28"/>
              </w:rPr>
              <w:t>ереднє</w:t>
            </w:r>
          </w:p>
        </w:tc>
        <w:tc>
          <w:tcPr>
            <w:tcW w:w="1816" w:type="dxa"/>
            <w:tcBorders>
              <w:bottom w:val="single" w:sz="4" w:space="0" w:color="auto"/>
            </w:tcBorders>
          </w:tcPr>
          <w:p w:rsidR="00817533" w:rsidRPr="00774B12" w:rsidRDefault="00817533" w:rsidP="001F0C51">
            <w:pPr>
              <w:jc w:val="center"/>
              <w:rPr>
                <w:rFonts w:ascii="Times New Roman" w:hAnsi="Times New Roman"/>
                <w:b/>
                <w:sz w:val="28"/>
                <w:szCs w:val="28"/>
              </w:rPr>
            </w:pPr>
            <w:r w:rsidRPr="00BD5837">
              <w:rPr>
                <w:rFonts w:ascii="Times New Roman" w:hAnsi="Times New Roman"/>
                <w:b/>
                <w:sz w:val="28"/>
                <w:szCs w:val="28"/>
              </w:rPr>
              <w:t>СВ</w:t>
            </w:r>
          </w:p>
        </w:tc>
        <w:tc>
          <w:tcPr>
            <w:tcW w:w="1816" w:type="dxa"/>
            <w:tcBorders>
              <w:bottom w:val="single" w:sz="4" w:space="0" w:color="auto"/>
            </w:tcBorders>
          </w:tcPr>
          <w:p w:rsidR="00817533" w:rsidRPr="00774B12" w:rsidRDefault="00817533" w:rsidP="001F0C51">
            <w:pPr>
              <w:jc w:val="center"/>
              <w:rPr>
                <w:rFonts w:ascii="Times New Roman" w:hAnsi="Times New Roman"/>
                <w:b/>
                <w:sz w:val="28"/>
                <w:szCs w:val="28"/>
              </w:rPr>
            </w:pPr>
            <w:r w:rsidRPr="00BD5837">
              <w:rPr>
                <w:rFonts w:ascii="Times New Roman" w:hAnsi="Times New Roman"/>
                <w:b/>
                <w:sz w:val="28"/>
                <w:szCs w:val="28"/>
              </w:rPr>
              <w:t>С</w:t>
            </w:r>
            <w:r>
              <w:rPr>
                <w:rFonts w:ascii="Times New Roman" w:hAnsi="Times New Roman"/>
                <w:b/>
                <w:sz w:val="28"/>
                <w:szCs w:val="28"/>
              </w:rPr>
              <w:t>ереднє</w:t>
            </w:r>
          </w:p>
        </w:tc>
        <w:tc>
          <w:tcPr>
            <w:tcW w:w="1817" w:type="dxa"/>
            <w:tcBorders>
              <w:bottom w:val="single" w:sz="4" w:space="0" w:color="auto"/>
            </w:tcBorders>
          </w:tcPr>
          <w:p w:rsidR="00817533" w:rsidRPr="00774B12" w:rsidRDefault="00817533" w:rsidP="001F0C51">
            <w:pPr>
              <w:jc w:val="center"/>
              <w:rPr>
                <w:rFonts w:ascii="Times New Roman" w:hAnsi="Times New Roman"/>
                <w:b/>
                <w:sz w:val="28"/>
                <w:szCs w:val="28"/>
              </w:rPr>
            </w:pPr>
            <w:r w:rsidRPr="00BD5837">
              <w:rPr>
                <w:rFonts w:ascii="Times New Roman" w:hAnsi="Times New Roman"/>
                <w:b/>
                <w:sz w:val="28"/>
                <w:szCs w:val="28"/>
              </w:rPr>
              <w:t>СВ</w:t>
            </w:r>
          </w:p>
        </w:tc>
      </w:tr>
      <w:tr w:rsidR="00817533" w:rsidTr="001F0C51">
        <w:tc>
          <w:tcPr>
            <w:tcW w:w="1802" w:type="dxa"/>
          </w:tcPr>
          <w:p w:rsidR="00817533" w:rsidRPr="0030089F" w:rsidRDefault="00817533" w:rsidP="001F0C51">
            <w:pPr>
              <w:jc w:val="both"/>
              <w:rPr>
                <w:rFonts w:ascii="Times New Roman" w:hAnsi="Times New Roman" w:cs="Times New Roman"/>
                <w:b/>
                <w:sz w:val="28"/>
                <w:szCs w:val="28"/>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w:t>
            </w:r>
          </w:p>
          <w:p w:rsidR="00817533" w:rsidRPr="0030089F" w:rsidRDefault="00817533" w:rsidP="001F0C51">
            <w:pPr>
              <w:rPr>
                <w:rFonts w:ascii="Times New Roman" w:hAnsi="Times New Roman" w:cs="Times New Roman"/>
                <w:b/>
                <w:sz w:val="28"/>
                <w:szCs w:val="28"/>
              </w:rPr>
            </w:pPr>
            <w:r w:rsidRPr="0030089F">
              <w:rPr>
                <w:rFonts w:ascii="Times New Roman" w:hAnsi="Times New Roman" w:cs="Times New Roman"/>
                <w:b/>
                <w:sz w:val="28"/>
                <w:szCs w:val="28"/>
                <w:lang w:val="en-US"/>
              </w:rPr>
              <w:t>n=</w:t>
            </w:r>
            <w:r w:rsidRPr="0030089F">
              <w:rPr>
                <w:rFonts w:ascii="Times New Roman" w:hAnsi="Times New Roman" w:cs="Times New Roman"/>
                <w:b/>
                <w:sz w:val="28"/>
                <w:szCs w:val="28"/>
              </w:rPr>
              <w:t>14</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135,06</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39,07</w:t>
            </w:r>
          </w:p>
        </w:tc>
        <w:tc>
          <w:tcPr>
            <w:tcW w:w="1816" w:type="dxa"/>
          </w:tcPr>
          <w:p w:rsidR="00817533" w:rsidRPr="00C43C36" w:rsidRDefault="00817533" w:rsidP="001F0C51">
            <w:pPr>
              <w:jc w:val="center"/>
              <w:rPr>
                <w:rFonts w:ascii="Times New Roman" w:hAnsi="Times New Roman"/>
                <w:sz w:val="28"/>
                <w:szCs w:val="28"/>
              </w:rPr>
            </w:pPr>
            <w:r>
              <w:rPr>
                <w:rFonts w:ascii="Times New Roman" w:hAnsi="Times New Roman"/>
                <w:sz w:val="28"/>
                <w:szCs w:val="28"/>
              </w:rPr>
              <w:t>3,49</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0,11</w:t>
            </w:r>
          </w:p>
        </w:tc>
      </w:tr>
      <w:tr w:rsidR="00817533" w:rsidTr="001F0C51">
        <w:tc>
          <w:tcPr>
            <w:tcW w:w="1802" w:type="dxa"/>
          </w:tcPr>
          <w:p w:rsidR="00817533" w:rsidRPr="0030089F" w:rsidRDefault="00817533" w:rsidP="001F0C51">
            <w:pPr>
              <w:jc w:val="both"/>
              <w:rPr>
                <w:rFonts w:ascii="Times New Roman" w:hAnsi="Times New Roman" w:cs="Times New Roman"/>
                <w:b/>
                <w:sz w:val="28"/>
                <w:szCs w:val="28"/>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ІІ,</w:t>
            </w:r>
          </w:p>
          <w:p w:rsidR="00817533" w:rsidRPr="0030089F" w:rsidRDefault="00817533" w:rsidP="001F0C51">
            <w:pPr>
              <w:jc w:val="both"/>
              <w:rPr>
                <w:rFonts w:ascii="Times New Roman" w:hAnsi="Times New Roman" w:cs="Times New Roman"/>
                <w:b/>
                <w:sz w:val="28"/>
                <w:szCs w:val="28"/>
              </w:rPr>
            </w:pPr>
            <w:r w:rsidRPr="0030089F">
              <w:rPr>
                <w:rFonts w:ascii="Times New Roman" w:hAnsi="Times New Roman" w:cs="Times New Roman"/>
                <w:b/>
                <w:sz w:val="28"/>
                <w:szCs w:val="28"/>
                <w:lang w:val="en-US"/>
              </w:rPr>
              <w:t>n=</w:t>
            </w:r>
            <w:r w:rsidRPr="0030089F">
              <w:rPr>
                <w:rFonts w:ascii="Times New Roman" w:hAnsi="Times New Roman" w:cs="Times New Roman"/>
                <w:b/>
                <w:sz w:val="28"/>
                <w:szCs w:val="28"/>
              </w:rPr>
              <w:t>12</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135,51</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27,65</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3,27</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0,14</w:t>
            </w:r>
          </w:p>
        </w:tc>
      </w:tr>
      <w:tr w:rsidR="00817533" w:rsidTr="001F0C51">
        <w:tc>
          <w:tcPr>
            <w:tcW w:w="1802" w:type="dxa"/>
          </w:tcPr>
          <w:p w:rsidR="00817533" w:rsidRPr="0030089F" w:rsidRDefault="00817533" w:rsidP="001F0C51">
            <w:pPr>
              <w:jc w:val="both"/>
              <w:rPr>
                <w:rFonts w:ascii="Times New Roman" w:hAnsi="Times New Roman" w:cs="Times New Roman"/>
                <w:b/>
                <w:sz w:val="28"/>
                <w:szCs w:val="28"/>
                <w:lang w:val="en-US"/>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ІІ</w:t>
            </w:r>
            <w:r w:rsidRPr="0030089F">
              <w:rPr>
                <w:rFonts w:ascii="Times New Roman" w:hAnsi="Times New Roman" w:cs="Times New Roman"/>
                <w:b/>
                <w:sz w:val="28"/>
                <w:szCs w:val="28"/>
                <w:lang w:val="en-US"/>
              </w:rPr>
              <w:t>F</w:t>
            </w:r>
            <w:r w:rsidRPr="0030089F">
              <w:rPr>
                <w:rFonts w:ascii="Times New Roman" w:hAnsi="Times New Roman" w:cs="Times New Roman"/>
                <w:b/>
                <w:sz w:val="28"/>
                <w:szCs w:val="28"/>
              </w:rPr>
              <w:t>,</w:t>
            </w:r>
          </w:p>
          <w:p w:rsidR="00817533" w:rsidRPr="0030089F" w:rsidRDefault="00817533" w:rsidP="001F0C51">
            <w:pPr>
              <w:rPr>
                <w:rFonts w:ascii="Times New Roman" w:hAnsi="Times New Roman" w:cs="Times New Roman"/>
                <w:b/>
                <w:sz w:val="28"/>
                <w:szCs w:val="28"/>
              </w:rPr>
            </w:pPr>
            <w:r w:rsidRPr="0030089F">
              <w:rPr>
                <w:rFonts w:ascii="Times New Roman" w:hAnsi="Times New Roman" w:cs="Times New Roman"/>
                <w:b/>
                <w:sz w:val="28"/>
                <w:szCs w:val="28"/>
                <w:lang w:val="en-US"/>
              </w:rPr>
              <w:t>n=</w:t>
            </w:r>
            <w:r w:rsidRPr="0030089F">
              <w:rPr>
                <w:rFonts w:ascii="Times New Roman" w:hAnsi="Times New Roman" w:cs="Times New Roman"/>
                <w:b/>
                <w:sz w:val="28"/>
                <w:szCs w:val="28"/>
              </w:rPr>
              <w:t>16</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107,55</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13,39</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3,0</w:t>
            </w:r>
          </w:p>
        </w:tc>
        <w:tc>
          <w:tcPr>
            <w:tcW w:w="1817"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0,21</w:t>
            </w:r>
          </w:p>
        </w:tc>
      </w:tr>
      <w:tr w:rsidR="00817533" w:rsidTr="001F0C51">
        <w:tc>
          <w:tcPr>
            <w:tcW w:w="1802" w:type="dxa"/>
          </w:tcPr>
          <w:p w:rsidR="00817533" w:rsidRPr="0030089F" w:rsidRDefault="00817533" w:rsidP="001F0C51">
            <w:pPr>
              <w:jc w:val="both"/>
              <w:rPr>
                <w:rFonts w:ascii="Times New Roman" w:hAnsi="Times New Roman" w:cs="Times New Roman"/>
                <w:b/>
                <w:sz w:val="28"/>
                <w:szCs w:val="28"/>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w:t>
            </w:r>
            <w:r w:rsidRPr="0030089F">
              <w:rPr>
                <w:rFonts w:ascii="Times New Roman" w:hAnsi="Times New Roman" w:cs="Times New Roman"/>
                <w:b/>
                <w:sz w:val="28"/>
                <w:szCs w:val="28"/>
                <w:lang w:val="en-US"/>
              </w:rPr>
              <w:t>II</w:t>
            </w:r>
            <w:r w:rsidRPr="0030089F">
              <w:rPr>
                <w:rFonts w:ascii="Times New Roman" w:hAnsi="Times New Roman" w:cs="Times New Roman"/>
                <w:b/>
                <w:sz w:val="28"/>
                <w:szCs w:val="28"/>
              </w:rPr>
              <w:t>,</w:t>
            </w:r>
          </w:p>
          <w:p w:rsidR="00817533" w:rsidRPr="0030089F" w:rsidRDefault="00817533" w:rsidP="001F0C51">
            <w:pPr>
              <w:rPr>
                <w:b/>
                <w:lang w:val="en-US"/>
              </w:rPr>
            </w:pPr>
            <w:r w:rsidRPr="0030089F">
              <w:rPr>
                <w:rFonts w:ascii="Times New Roman" w:hAnsi="Times New Roman" w:cs="Times New Roman"/>
                <w:b/>
                <w:sz w:val="28"/>
                <w:szCs w:val="28"/>
                <w:lang w:val="en-US"/>
              </w:rPr>
              <w:t>n=</w:t>
            </w:r>
            <w:r w:rsidRPr="0030089F">
              <w:rPr>
                <w:rFonts w:ascii="Times New Roman" w:hAnsi="Times New Roman" w:cs="Times New Roman"/>
                <w:b/>
                <w:sz w:val="28"/>
                <w:szCs w:val="28"/>
              </w:rPr>
              <w:t>15</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87,10</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16,21</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2,85</w:t>
            </w:r>
          </w:p>
        </w:tc>
        <w:tc>
          <w:tcPr>
            <w:tcW w:w="1817"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0,17</w:t>
            </w:r>
          </w:p>
        </w:tc>
      </w:tr>
      <w:tr w:rsidR="00817533" w:rsidTr="001F0C51">
        <w:tc>
          <w:tcPr>
            <w:tcW w:w="1802" w:type="dxa"/>
          </w:tcPr>
          <w:p w:rsidR="00817533" w:rsidRPr="0030089F" w:rsidRDefault="00817533" w:rsidP="001F0C51">
            <w:pPr>
              <w:rPr>
                <w:rFonts w:ascii="Times New Roman" w:hAnsi="Times New Roman"/>
                <w:b/>
                <w:sz w:val="28"/>
                <w:szCs w:val="28"/>
              </w:rPr>
            </w:pPr>
            <w:r w:rsidRPr="0030089F">
              <w:rPr>
                <w:rFonts w:ascii="Times New Roman" w:hAnsi="Times New Roman" w:cs="Times New Roman"/>
                <w:b/>
                <w:sz w:val="28"/>
                <w:szCs w:val="28"/>
                <w:lang w:val="en-US"/>
              </w:rPr>
              <w:t xml:space="preserve">Bosniak </w:t>
            </w:r>
            <w:r w:rsidRPr="0030089F">
              <w:rPr>
                <w:rFonts w:ascii="Times New Roman" w:hAnsi="Times New Roman" w:cs="Times New Roman"/>
                <w:b/>
                <w:sz w:val="28"/>
                <w:szCs w:val="28"/>
              </w:rPr>
              <w:t>І</w:t>
            </w:r>
            <w:r w:rsidRPr="0030089F">
              <w:rPr>
                <w:rFonts w:ascii="Times New Roman" w:hAnsi="Times New Roman" w:cs="Times New Roman"/>
                <w:b/>
                <w:sz w:val="28"/>
                <w:szCs w:val="28"/>
                <w:lang w:val="en-US"/>
              </w:rPr>
              <w:t>V</w:t>
            </w:r>
            <w:r w:rsidRPr="0030089F">
              <w:rPr>
                <w:rFonts w:ascii="Times New Roman" w:hAnsi="Times New Roman" w:cs="Times New Roman"/>
                <w:b/>
                <w:sz w:val="28"/>
                <w:szCs w:val="28"/>
              </w:rPr>
              <w:t>,</w:t>
            </w:r>
            <w:r w:rsidRPr="0030089F">
              <w:rPr>
                <w:rFonts w:ascii="Times New Roman" w:hAnsi="Times New Roman" w:cs="Times New Roman"/>
                <w:b/>
                <w:sz w:val="28"/>
                <w:szCs w:val="28"/>
                <w:lang w:val="en-US"/>
              </w:rPr>
              <w:t xml:space="preserve"> n=</w:t>
            </w:r>
            <w:r w:rsidRPr="0030089F">
              <w:rPr>
                <w:rFonts w:ascii="Times New Roman" w:hAnsi="Times New Roman" w:cs="Times New Roman"/>
                <w:b/>
                <w:sz w:val="28"/>
                <w:szCs w:val="28"/>
              </w:rPr>
              <w:t>13</w:t>
            </w:r>
          </w:p>
        </w:tc>
        <w:tc>
          <w:tcPr>
            <w:tcW w:w="1816" w:type="dxa"/>
          </w:tcPr>
          <w:p w:rsidR="00817533" w:rsidRPr="00C43C36" w:rsidRDefault="00817533" w:rsidP="001F0C51">
            <w:pPr>
              <w:jc w:val="center"/>
              <w:rPr>
                <w:rFonts w:ascii="Times New Roman" w:hAnsi="Times New Roman"/>
                <w:sz w:val="28"/>
                <w:szCs w:val="28"/>
              </w:rPr>
            </w:pPr>
            <w:r>
              <w:rPr>
                <w:rFonts w:ascii="Times New Roman" w:hAnsi="Times New Roman"/>
                <w:sz w:val="28"/>
                <w:szCs w:val="28"/>
              </w:rPr>
              <w:t>84,77</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21,62</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2,64</w:t>
            </w:r>
          </w:p>
        </w:tc>
        <w:tc>
          <w:tcPr>
            <w:tcW w:w="1817"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0,21</w:t>
            </w:r>
          </w:p>
        </w:tc>
      </w:tr>
      <w:tr w:rsidR="00817533" w:rsidTr="001F0C51">
        <w:tc>
          <w:tcPr>
            <w:tcW w:w="1802" w:type="dxa"/>
          </w:tcPr>
          <w:p w:rsidR="00817533" w:rsidRPr="001424FC" w:rsidRDefault="00817533" w:rsidP="001F0C51">
            <w:pPr>
              <w:rPr>
                <w:rFonts w:ascii="Times New Roman" w:hAnsi="Times New Roman"/>
                <w:b/>
                <w:sz w:val="28"/>
                <w:szCs w:val="28"/>
              </w:rPr>
            </w:pPr>
            <w:r w:rsidRPr="006E76F3">
              <w:rPr>
                <w:rFonts w:ascii="Times New Roman" w:hAnsi="Times New Roman"/>
                <w:b/>
                <w:sz w:val="28"/>
                <w:szCs w:val="28"/>
              </w:rPr>
              <w:t>Контроль</w:t>
            </w:r>
            <w:r>
              <w:rPr>
                <w:rFonts w:ascii="Times New Roman" w:hAnsi="Times New Roman"/>
                <w:b/>
                <w:sz w:val="28"/>
                <w:szCs w:val="28"/>
              </w:rPr>
              <w:t xml:space="preserve">, </w:t>
            </w:r>
            <w:r>
              <w:rPr>
                <w:rFonts w:ascii="Times New Roman" w:hAnsi="Times New Roman" w:cs="Times New Roman"/>
                <w:b/>
                <w:sz w:val="28"/>
                <w:szCs w:val="28"/>
              </w:rPr>
              <w:t>n=30</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87,94</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29,53</w:t>
            </w:r>
          </w:p>
        </w:tc>
        <w:tc>
          <w:tcPr>
            <w:tcW w:w="1816"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2,58</w:t>
            </w:r>
          </w:p>
        </w:tc>
        <w:tc>
          <w:tcPr>
            <w:tcW w:w="1817" w:type="dxa"/>
          </w:tcPr>
          <w:p w:rsidR="00817533" w:rsidRPr="00FB6A55" w:rsidRDefault="00817533" w:rsidP="001F0C51">
            <w:pPr>
              <w:jc w:val="center"/>
              <w:rPr>
                <w:rFonts w:ascii="Times New Roman" w:hAnsi="Times New Roman"/>
                <w:sz w:val="28"/>
                <w:szCs w:val="28"/>
              </w:rPr>
            </w:pPr>
            <w:r>
              <w:rPr>
                <w:rFonts w:ascii="Times New Roman" w:hAnsi="Times New Roman"/>
                <w:sz w:val="28"/>
                <w:szCs w:val="28"/>
              </w:rPr>
              <w:t>0,05</w:t>
            </w:r>
          </w:p>
        </w:tc>
      </w:tr>
      <w:tr w:rsidR="00817533" w:rsidTr="001F0C51">
        <w:tc>
          <w:tcPr>
            <w:tcW w:w="1802" w:type="dxa"/>
          </w:tcPr>
          <w:p w:rsidR="00817533" w:rsidRPr="006E76F3" w:rsidRDefault="00817533" w:rsidP="001F0C51">
            <w:pPr>
              <w:jc w:val="center"/>
              <w:rPr>
                <w:rFonts w:ascii="Times New Roman" w:hAnsi="Times New Roman"/>
                <w:b/>
                <w:i/>
                <w:sz w:val="28"/>
                <w:szCs w:val="28"/>
                <w:vertAlign w:val="subscript"/>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1816" w:type="dxa"/>
          </w:tcPr>
          <w:p w:rsidR="00817533" w:rsidRPr="00EC46D9" w:rsidRDefault="00817533" w:rsidP="001F0C51">
            <w:pPr>
              <w:jc w:val="center"/>
              <w:rPr>
                <w:rFonts w:ascii="Times New Roman" w:hAnsi="Times New Roman"/>
                <w:sz w:val="28"/>
                <w:szCs w:val="28"/>
              </w:rPr>
            </w:pPr>
            <w:r>
              <w:rPr>
                <w:rFonts w:ascii="Times New Roman" w:hAnsi="Times New Roman"/>
                <w:sz w:val="28"/>
                <w:szCs w:val="28"/>
              </w:rPr>
              <w:t>0,986</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Pr="00EC46D9" w:rsidRDefault="00817533" w:rsidP="001F0C51">
            <w:pPr>
              <w:jc w:val="center"/>
              <w:rPr>
                <w:rFonts w:ascii="Times New Roman" w:hAnsi="Times New Roman"/>
                <w:sz w:val="28"/>
                <w:szCs w:val="28"/>
              </w:rPr>
            </w:pPr>
            <w:r>
              <w:rPr>
                <w:rFonts w:ascii="Times New Roman" w:hAnsi="Times New Roman"/>
                <w:sz w:val="28"/>
                <w:szCs w:val="28"/>
              </w:rPr>
              <w:t>0,004</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Default="00817533"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,3</w:t>
            </w:r>
          </w:p>
        </w:tc>
        <w:tc>
          <w:tcPr>
            <w:tcW w:w="1816" w:type="dxa"/>
          </w:tcPr>
          <w:p w:rsidR="00817533" w:rsidRPr="00482ADC" w:rsidRDefault="00817533" w:rsidP="001F0C51">
            <w:pPr>
              <w:jc w:val="center"/>
              <w:rPr>
                <w:rFonts w:ascii="Times New Roman" w:hAnsi="Times New Roman"/>
                <w:sz w:val="28"/>
                <w:szCs w:val="28"/>
              </w:rPr>
            </w:pPr>
            <w:r>
              <w:rPr>
                <w:rFonts w:ascii="Times New Roman" w:hAnsi="Times New Roman"/>
                <w:sz w:val="28"/>
                <w:szCs w:val="28"/>
              </w:rPr>
              <w:t>0,017</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Pr="00A22800"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Default="00817533" w:rsidP="001F0C51">
            <w:pPr>
              <w:jc w:val="center"/>
              <w:rPr>
                <w:rFonts w:ascii="Times New Roman" w:hAnsi="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,4</w:t>
            </w:r>
          </w:p>
        </w:tc>
        <w:tc>
          <w:tcPr>
            <w:tcW w:w="1816" w:type="dxa"/>
          </w:tcPr>
          <w:p w:rsidR="00817533" w:rsidRPr="00AA514D"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Default="00817533" w:rsidP="001F0C51">
            <w:pPr>
              <w:jc w:val="center"/>
            </w:pPr>
            <w:r w:rsidRPr="00987B00">
              <w:rPr>
                <w:rFonts w:ascii="Times New Roman" w:hAnsi="Times New Roman"/>
                <w:sz w:val="28"/>
                <w:szCs w:val="28"/>
                <w:lang w:val="en-US"/>
              </w:rPr>
              <w:t>&lt;</w:t>
            </w:r>
            <w:r w:rsidRPr="00987B00">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,5</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Default="00817533" w:rsidP="001F0C51">
            <w:pPr>
              <w:jc w:val="center"/>
            </w:pPr>
            <w:r w:rsidRPr="00987B00">
              <w:rPr>
                <w:rFonts w:ascii="Times New Roman" w:hAnsi="Times New Roman"/>
                <w:sz w:val="28"/>
                <w:szCs w:val="28"/>
                <w:lang w:val="en-US"/>
              </w:rPr>
              <w:t>&lt;</w:t>
            </w:r>
            <w:r w:rsidRPr="00987B00">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w:t>
            </w:r>
            <w:r>
              <w:rPr>
                <w:rFonts w:ascii="Times New Roman" w:hAnsi="Times New Roman"/>
                <w:b/>
                <w:i/>
                <w:sz w:val="28"/>
                <w:szCs w:val="28"/>
                <w:vertAlign w:val="subscript"/>
              </w:rPr>
              <w:t>,6</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Default="00817533" w:rsidP="001F0C51">
            <w:pPr>
              <w:jc w:val="center"/>
            </w:pPr>
            <w:r w:rsidRPr="00987B00">
              <w:rPr>
                <w:rFonts w:ascii="Times New Roman" w:hAnsi="Times New Roman"/>
                <w:sz w:val="28"/>
                <w:szCs w:val="28"/>
                <w:lang w:val="en-US"/>
              </w:rPr>
              <w:t>&lt;</w:t>
            </w:r>
            <w:r w:rsidRPr="00987B00">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Default="00817533"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2,3</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0,012</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Default="00817533" w:rsidP="001F0C51">
            <w:pPr>
              <w:jc w:val="center"/>
            </w:pPr>
            <w:r w:rsidRPr="00987B00">
              <w:rPr>
                <w:rFonts w:ascii="Times New Roman" w:hAnsi="Times New Roman"/>
                <w:sz w:val="28"/>
                <w:szCs w:val="28"/>
                <w:lang w:val="en-US"/>
              </w:rPr>
              <w:t>&lt;</w:t>
            </w:r>
            <w:r w:rsidRPr="00987B00">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Default="00817533"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2,4</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Default="00817533" w:rsidP="001F0C51">
            <w:pPr>
              <w:jc w:val="center"/>
            </w:pPr>
            <w:r w:rsidRPr="00987B00">
              <w:rPr>
                <w:rFonts w:ascii="Times New Roman" w:hAnsi="Times New Roman"/>
                <w:sz w:val="28"/>
                <w:szCs w:val="28"/>
                <w:lang w:val="en-US"/>
              </w:rPr>
              <w:t>&lt;</w:t>
            </w:r>
            <w:r w:rsidRPr="00987B00">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2,5</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Default="00817533" w:rsidP="001F0C51">
            <w:pPr>
              <w:jc w:val="center"/>
            </w:pPr>
            <w:r w:rsidRPr="00987B00">
              <w:rPr>
                <w:rFonts w:ascii="Times New Roman" w:hAnsi="Times New Roman"/>
                <w:sz w:val="28"/>
                <w:szCs w:val="28"/>
                <w:lang w:val="en-US"/>
              </w:rPr>
              <w:t>&lt;</w:t>
            </w:r>
            <w:r w:rsidRPr="00987B00">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2,6</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Default="00817533" w:rsidP="001F0C51">
            <w:pPr>
              <w:jc w:val="center"/>
            </w:pPr>
            <w:r w:rsidRPr="00987B00">
              <w:rPr>
                <w:rFonts w:ascii="Times New Roman" w:hAnsi="Times New Roman"/>
                <w:sz w:val="28"/>
                <w:szCs w:val="28"/>
                <w:lang w:val="en-US"/>
              </w:rPr>
              <w:t>&lt;</w:t>
            </w:r>
            <w:r w:rsidRPr="00987B00">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Default="00817533" w:rsidP="001F0C51">
            <w:pPr>
              <w:jc w:val="center"/>
              <w:rPr>
                <w:rFonts w:ascii="Times New Roman" w:hAnsi="Times New Roman"/>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3,4</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0,193</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0,036</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3,5</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0,071</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3,6</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0,063</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4,5</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0,998</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0,003</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4,6</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0,998</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r w:rsidR="00817533" w:rsidTr="001F0C51">
        <w:tc>
          <w:tcPr>
            <w:tcW w:w="1802" w:type="dxa"/>
          </w:tcPr>
          <w:p w:rsidR="00817533" w:rsidRPr="006E76F3" w:rsidRDefault="00817533" w:rsidP="001F0C51">
            <w:pPr>
              <w:jc w:val="center"/>
              <w:rPr>
                <w:rFonts w:ascii="Times New Roman" w:hAnsi="Times New Roman"/>
                <w:b/>
                <w:i/>
                <w:sz w:val="28"/>
                <w:szCs w:val="28"/>
              </w:rPr>
            </w:pPr>
            <w:r w:rsidRPr="006E76F3">
              <w:rPr>
                <w:rFonts w:ascii="Times New Roman" w:hAnsi="Times New Roman"/>
                <w:b/>
                <w:i/>
                <w:sz w:val="28"/>
                <w:szCs w:val="28"/>
              </w:rPr>
              <w:t>Р</w:t>
            </w:r>
            <w:r>
              <w:rPr>
                <w:rFonts w:ascii="Times New Roman" w:hAnsi="Times New Roman"/>
                <w:b/>
                <w:i/>
                <w:sz w:val="28"/>
                <w:szCs w:val="28"/>
                <w:vertAlign w:val="subscript"/>
              </w:rPr>
              <w:t>5,6</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0,996</w:t>
            </w:r>
          </w:p>
        </w:tc>
        <w:tc>
          <w:tcPr>
            <w:tcW w:w="1816"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c>
          <w:tcPr>
            <w:tcW w:w="1816" w:type="dxa"/>
          </w:tcPr>
          <w:p w:rsidR="00817533" w:rsidRPr="00B04441" w:rsidRDefault="00817533" w:rsidP="001F0C51">
            <w:pPr>
              <w:jc w:val="center"/>
              <w:rPr>
                <w:rFonts w:ascii="Times New Roman" w:hAnsi="Times New Roman"/>
                <w:sz w:val="28"/>
                <w:szCs w:val="28"/>
              </w:rPr>
            </w:pPr>
            <w:r>
              <w:rPr>
                <w:rFonts w:ascii="Times New Roman" w:hAnsi="Times New Roman"/>
                <w:sz w:val="28"/>
                <w:szCs w:val="28"/>
              </w:rPr>
              <w:t>0,862</w:t>
            </w:r>
          </w:p>
        </w:tc>
        <w:tc>
          <w:tcPr>
            <w:tcW w:w="1817" w:type="dxa"/>
          </w:tcPr>
          <w:p w:rsidR="00817533" w:rsidRPr="006E76F3" w:rsidRDefault="00817533" w:rsidP="001F0C51">
            <w:pPr>
              <w:jc w:val="center"/>
              <w:rPr>
                <w:rFonts w:ascii="Times New Roman" w:hAnsi="Times New Roman"/>
                <w:sz w:val="28"/>
                <w:szCs w:val="28"/>
              </w:rPr>
            </w:pPr>
            <w:r>
              <w:rPr>
                <w:rFonts w:ascii="Times New Roman" w:hAnsi="Times New Roman"/>
                <w:sz w:val="28"/>
                <w:szCs w:val="28"/>
              </w:rPr>
              <w:t>-</w:t>
            </w:r>
          </w:p>
        </w:tc>
      </w:tr>
    </w:tbl>
    <w:p w:rsidR="00817533" w:rsidRDefault="00817533" w:rsidP="00817533">
      <w:pPr>
        <w:spacing w:line="360" w:lineRule="auto"/>
        <w:jc w:val="right"/>
        <w:rPr>
          <w:rFonts w:ascii="Times New Roman" w:hAnsi="Times New Roman" w:cs="Times New Roman"/>
          <w:sz w:val="28"/>
          <w:szCs w:val="28"/>
        </w:rPr>
      </w:pPr>
      <w:r w:rsidRPr="00CB3FB6">
        <w:rPr>
          <w:rFonts w:ascii="Times New Roman" w:hAnsi="Times New Roman" w:cs="Times New Roman"/>
          <w:sz w:val="28"/>
          <w:szCs w:val="28"/>
        </w:rPr>
        <w:tab/>
      </w:r>
    </w:p>
    <w:p w:rsidR="00817533" w:rsidRDefault="00817533" w:rsidP="00817533">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002D1CD6" wp14:editId="5DB7ED05">
            <wp:extent cx="3604311" cy="2880000"/>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604311" cy="2880000"/>
                    </a:xfrm>
                    <a:prstGeom prst="rect">
                      <a:avLst/>
                    </a:prstGeom>
                    <a:noFill/>
                    <a:ln>
                      <a:noFill/>
                    </a:ln>
                  </pic:spPr>
                </pic:pic>
              </a:graphicData>
            </a:graphic>
          </wp:inline>
        </w:drawing>
      </w:r>
    </w:p>
    <w:p w:rsidR="00817533" w:rsidRDefault="00CF1C49" w:rsidP="00817533">
      <w:pPr>
        <w:spacing w:line="360" w:lineRule="auto"/>
        <w:ind w:firstLine="708"/>
        <w:jc w:val="center"/>
        <w:rPr>
          <w:rFonts w:ascii="Times New Roman" w:hAnsi="Times New Roman"/>
          <w:sz w:val="28"/>
          <w:szCs w:val="28"/>
        </w:rPr>
      </w:pPr>
      <w:r>
        <w:rPr>
          <w:rFonts w:ascii="Times New Roman" w:hAnsi="Times New Roman" w:cs="Times New Roman"/>
          <w:sz w:val="28"/>
          <w:szCs w:val="28"/>
        </w:rPr>
        <w:t>Рис. 3.22</w:t>
      </w:r>
      <w:r w:rsidR="00817533">
        <w:rPr>
          <w:rFonts w:ascii="Times New Roman" w:hAnsi="Times New Roman" w:cs="Times New Roman"/>
          <w:sz w:val="28"/>
          <w:szCs w:val="28"/>
        </w:rPr>
        <w:t>. Коробкова діаграма</w:t>
      </w:r>
      <w:r w:rsidR="00817533" w:rsidRPr="0079373A">
        <w:rPr>
          <w:rFonts w:ascii="Times New Roman" w:hAnsi="Times New Roman" w:cs="Times New Roman"/>
          <w:sz w:val="28"/>
          <w:szCs w:val="28"/>
        </w:rPr>
        <w:t xml:space="preserve"> </w:t>
      </w:r>
      <w:r w:rsidR="00817533">
        <w:rPr>
          <w:rFonts w:ascii="Times New Roman" w:hAnsi="Times New Roman" w:cs="Times New Roman"/>
          <w:sz w:val="28"/>
          <w:szCs w:val="28"/>
        </w:rPr>
        <w:t xml:space="preserve">ВКД кістозних </w:t>
      </w:r>
      <w:r w:rsidR="00817533">
        <w:rPr>
          <w:rFonts w:ascii="Times New Roman" w:hAnsi="Times New Roman" w:cs="Times New Roman"/>
          <w:sz w:val="28"/>
          <w:szCs w:val="28"/>
          <w:lang w:val="en-US"/>
        </w:rPr>
        <w:t>SRM</w:t>
      </w:r>
      <w:r w:rsidR="00817533" w:rsidRPr="009E6C7E">
        <w:rPr>
          <w:rFonts w:ascii="Times New Roman" w:hAnsi="Times New Roman" w:cs="Times New Roman"/>
          <w:sz w:val="28"/>
          <w:szCs w:val="28"/>
          <w:lang w:val="ru-RU"/>
        </w:rPr>
        <w:t xml:space="preserve"> </w:t>
      </w:r>
      <w:r w:rsidR="00817533" w:rsidRPr="0006026F">
        <w:rPr>
          <w:rFonts w:ascii="Times New Roman" w:hAnsi="Times New Roman" w:cs="Times New Roman"/>
          <w:sz w:val="28"/>
          <w:szCs w:val="28"/>
        </w:rPr>
        <w:t>т</w:t>
      </w:r>
      <w:r w:rsidR="00817533">
        <w:rPr>
          <w:rFonts w:ascii="Times New Roman" w:hAnsi="Times New Roman" w:cs="Times New Roman"/>
          <w:sz w:val="28"/>
          <w:szCs w:val="28"/>
        </w:rPr>
        <w:t xml:space="preserve">а нормальної ниркової паренхіми </w:t>
      </w:r>
      <w:r w:rsidR="00817533">
        <w:rPr>
          <w:rFonts w:ascii="Times New Roman" w:hAnsi="Times New Roman"/>
          <w:sz w:val="28"/>
          <w:szCs w:val="28"/>
        </w:rPr>
        <w:t>(</w:t>
      </w:r>
      <w:r w:rsidR="00817533">
        <w:rPr>
          <w:rFonts w:ascii="Times New Roman" w:hAnsi="Times New Roman" w:cs="Times New Roman"/>
          <w:sz w:val="28"/>
          <w:szCs w:val="28"/>
        </w:rPr>
        <w:t>×</w:t>
      </w:r>
      <w:r w:rsidR="00817533">
        <w:rPr>
          <w:rFonts w:ascii="Times New Roman" w:hAnsi="Times New Roman"/>
          <w:sz w:val="28"/>
          <w:szCs w:val="28"/>
        </w:rPr>
        <w:t>10</w:t>
      </w:r>
      <w:r w:rsidR="00817533">
        <w:rPr>
          <w:rFonts w:ascii="Times New Roman" w:hAnsi="Times New Roman"/>
          <w:sz w:val="28"/>
          <w:szCs w:val="28"/>
          <w:vertAlign w:val="superscript"/>
        </w:rPr>
        <w:t>-3</w:t>
      </w:r>
      <w:r w:rsidR="00817533">
        <w:rPr>
          <w:rFonts w:ascii="Times New Roman" w:hAnsi="Times New Roman"/>
          <w:sz w:val="28"/>
          <w:szCs w:val="28"/>
        </w:rPr>
        <w:t xml:space="preserve"> мм</w:t>
      </w:r>
      <w:r w:rsidR="00817533">
        <w:rPr>
          <w:rFonts w:ascii="Times New Roman" w:hAnsi="Times New Roman"/>
          <w:sz w:val="28"/>
          <w:szCs w:val="28"/>
          <w:vertAlign w:val="superscript"/>
        </w:rPr>
        <w:t>2</w:t>
      </w:r>
      <w:r w:rsidR="00817533">
        <w:rPr>
          <w:rFonts w:ascii="Times New Roman" w:hAnsi="Times New Roman"/>
          <w:sz w:val="28"/>
          <w:szCs w:val="28"/>
        </w:rPr>
        <w:t>/с</w:t>
      </w:r>
      <w:r w:rsidR="00817533" w:rsidRPr="00806991">
        <w:rPr>
          <w:rFonts w:ascii="Times New Roman" w:hAnsi="Times New Roman"/>
          <w:sz w:val="28"/>
          <w:szCs w:val="28"/>
        </w:rPr>
        <w:t>)</w:t>
      </w:r>
    </w:p>
    <w:p w:rsidR="009C1018" w:rsidRDefault="009C1018" w:rsidP="00817533">
      <w:pPr>
        <w:spacing w:line="360" w:lineRule="auto"/>
        <w:ind w:firstLine="708"/>
        <w:jc w:val="center"/>
        <w:rPr>
          <w:rFonts w:ascii="Times New Roman" w:hAnsi="Times New Roman" w:cs="Times New Roman"/>
          <w:sz w:val="28"/>
          <w:szCs w:val="28"/>
        </w:rPr>
      </w:pPr>
    </w:p>
    <w:p w:rsidR="000C3BC1" w:rsidRDefault="00817533" w:rsidP="00F37271">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Аналіз відмінностей у середніх значеннях </w:t>
      </w:r>
      <w:r w:rsidRPr="006E56F2">
        <w:rPr>
          <w:rFonts w:ascii="Times New Roman" w:hAnsi="Times New Roman" w:cs="Times New Roman"/>
          <w:sz w:val="28"/>
          <w:szCs w:val="28"/>
          <w:lang w:val="en-US"/>
        </w:rPr>
        <w:t>IC</w:t>
      </w:r>
      <w:r w:rsidRPr="006E56F2">
        <w:rPr>
          <w:rFonts w:ascii="Times New Roman" w:hAnsi="Times New Roman" w:cs="Times New Roman"/>
          <w:sz w:val="28"/>
          <w:szCs w:val="28"/>
          <w:vertAlign w:val="subscript"/>
        </w:rPr>
        <w:t>ДЗЗ</w:t>
      </w:r>
      <w:r>
        <w:rPr>
          <w:rFonts w:ascii="Times New Roman" w:hAnsi="Times New Roman" w:cs="Times New Roman"/>
          <w:sz w:val="28"/>
          <w:szCs w:val="28"/>
        </w:rPr>
        <w:t xml:space="preserve"> та ВКД в підгрупах із доброякісними (</w:t>
      </w:r>
      <w:r w:rsidRPr="00E14950">
        <w:rPr>
          <w:rFonts w:ascii="Times New Roman" w:hAnsi="Times New Roman" w:cs="Times New Roman"/>
          <w:sz w:val="28"/>
          <w:szCs w:val="28"/>
          <w:lang w:val="en-US"/>
        </w:rPr>
        <w:t>n</w:t>
      </w:r>
      <w:r w:rsidRPr="009E6C7E">
        <w:rPr>
          <w:rFonts w:ascii="Times New Roman" w:hAnsi="Times New Roman" w:cs="Times New Roman"/>
          <w:sz w:val="28"/>
          <w:szCs w:val="28"/>
        </w:rPr>
        <w:t>=</w:t>
      </w:r>
      <w:r>
        <w:rPr>
          <w:rFonts w:ascii="Times New Roman" w:hAnsi="Times New Roman" w:cs="Times New Roman"/>
          <w:sz w:val="28"/>
          <w:szCs w:val="28"/>
        </w:rPr>
        <w:t>15</w:t>
      </w:r>
      <w:r w:rsidRPr="00E14950">
        <w:rPr>
          <w:rFonts w:ascii="Times New Roman" w:hAnsi="Times New Roman" w:cs="Times New Roman"/>
          <w:sz w:val="28"/>
          <w:szCs w:val="28"/>
        </w:rPr>
        <w:t>)</w:t>
      </w:r>
      <w:r>
        <w:rPr>
          <w:rFonts w:ascii="Times New Roman" w:hAnsi="Times New Roman" w:cs="Times New Roman"/>
          <w:sz w:val="28"/>
          <w:szCs w:val="28"/>
        </w:rPr>
        <w:t xml:space="preserve"> та злоякісними (</w:t>
      </w:r>
      <w:r w:rsidRPr="00E14950">
        <w:rPr>
          <w:rFonts w:ascii="Times New Roman" w:hAnsi="Times New Roman" w:cs="Times New Roman"/>
          <w:sz w:val="28"/>
          <w:szCs w:val="28"/>
          <w:lang w:val="en-US"/>
        </w:rPr>
        <w:t>n</w:t>
      </w:r>
      <w:r w:rsidRPr="009E6C7E">
        <w:rPr>
          <w:rFonts w:ascii="Times New Roman" w:hAnsi="Times New Roman" w:cs="Times New Roman"/>
          <w:sz w:val="28"/>
          <w:szCs w:val="28"/>
        </w:rPr>
        <w:t>=</w:t>
      </w:r>
      <w:r>
        <w:rPr>
          <w:rFonts w:ascii="Times New Roman" w:hAnsi="Times New Roman" w:cs="Times New Roman"/>
          <w:sz w:val="28"/>
          <w:szCs w:val="28"/>
        </w:rPr>
        <w:t>10</w:t>
      </w:r>
      <w:r w:rsidRPr="00E14950">
        <w:rPr>
          <w:rFonts w:ascii="Times New Roman" w:hAnsi="Times New Roman" w:cs="Times New Roman"/>
          <w:sz w:val="28"/>
          <w:szCs w:val="28"/>
        </w:rPr>
        <w:t>)</w:t>
      </w:r>
      <w:r>
        <w:rPr>
          <w:rFonts w:ascii="Times New Roman" w:hAnsi="Times New Roman" w:cs="Times New Roman"/>
          <w:sz w:val="28"/>
          <w:szCs w:val="28"/>
        </w:rPr>
        <w:t xml:space="preserve"> кістами категорії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розміром до 4 см довів (охоплюючи ОЗ весь контур кісти), що середнє значення </w:t>
      </w:r>
      <w:r w:rsidRPr="006E56F2">
        <w:rPr>
          <w:rFonts w:ascii="Times New Roman" w:hAnsi="Times New Roman" w:cs="Times New Roman"/>
          <w:sz w:val="28"/>
          <w:szCs w:val="28"/>
          <w:lang w:val="en-US"/>
        </w:rPr>
        <w:t>IC</w:t>
      </w:r>
      <w:r w:rsidRPr="006E56F2">
        <w:rPr>
          <w:rFonts w:ascii="Times New Roman" w:hAnsi="Times New Roman" w:cs="Times New Roman"/>
          <w:sz w:val="28"/>
          <w:szCs w:val="28"/>
          <w:vertAlign w:val="subscript"/>
        </w:rPr>
        <w:t>ДЗЗ</w:t>
      </w:r>
      <w:r>
        <w:rPr>
          <w:rFonts w:ascii="Times New Roman" w:hAnsi="Times New Roman" w:cs="Times New Roman"/>
          <w:sz w:val="28"/>
          <w:szCs w:val="28"/>
          <w:vertAlign w:val="subscript"/>
        </w:rPr>
        <w:t xml:space="preserve"> </w:t>
      </w:r>
      <w:r>
        <w:rPr>
          <w:rFonts w:ascii="Times New Roman" w:hAnsi="Times New Roman" w:cs="Times New Roman"/>
          <w:sz w:val="28"/>
          <w:szCs w:val="28"/>
        </w:rPr>
        <w:t>доброякісних не мало суттєвих відмінностей із злоякісними (р</w:t>
      </w:r>
      <w:r w:rsidRPr="009E6C7E">
        <w:rPr>
          <w:rFonts w:ascii="Times New Roman" w:hAnsi="Times New Roman" w:cs="Times New Roman"/>
          <w:sz w:val="28"/>
          <w:szCs w:val="28"/>
        </w:rPr>
        <w:t>=</w:t>
      </w:r>
      <w:r>
        <w:rPr>
          <w:rFonts w:ascii="Times New Roman" w:hAnsi="Times New Roman" w:cs="Times New Roman"/>
          <w:sz w:val="28"/>
          <w:szCs w:val="28"/>
        </w:rPr>
        <w:t>0,926). На противагу цьому, середній показник ВКД, при доброякісних кістах даного класу був достовірно вищим за злоякісні (р</w:t>
      </w:r>
      <w:r w:rsidRPr="009E6C7E">
        <w:rPr>
          <w:rFonts w:ascii="Times New Roman" w:hAnsi="Times New Roman" w:cs="Times New Roman"/>
          <w:sz w:val="28"/>
          <w:szCs w:val="28"/>
          <w:lang w:val="ru-RU"/>
        </w:rPr>
        <w:t>&lt;</w:t>
      </w:r>
      <w:r w:rsidR="00293044">
        <w:rPr>
          <w:rFonts w:ascii="Times New Roman" w:hAnsi="Times New Roman" w:cs="Times New Roman"/>
          <w:sz w:val="28"/>
          <w:szCs w:val="28"/>
        </w:rPr>
        <w:t>0,001), таблиця 3.17</w:t>
      </w:r>
      <w:r w:rsidR="00F37271">
        <w:rPr>
          <w:rFonts w:ascii="Times New Roman" w:hAnsi="Times New Roman" w:cs="Times New Roman"/>
          <w:sz w:val="28"/>
          <w:szCs w:val="28"/>
        </w:rPr>
        <w:t>.</w:t>
      </w:r>
    </w:p>
    <w:p w:rsidR="00817533" w:rsidRDefault="00293044" w:rsidP="00817533">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3.17</w:t>
      </w:r>
    </w:p>
    <w:p w:rsidR="00817533" w:rsidRPr="006E56F2" w:rsidRDefault="00817533" w:rsidP="00817533">
      <w:pPr>
        <w:spacing w:line="360" w:lineRule="auto"/>
        <w:jc w:val="center"/>
        <w:rPr>
          <w:rFonts w:ascii="Times New Roman" w:hAnsi="Times New Roman" w:cs="Times New Roman"/>
          <w:sz w:val="28"/>
          <w:szCs w:val="28"/>
        </w:rPr>
      </w:pPr>
      <w:r>
        <w:rPr>
          <w:rFonts w:ascii="Times New Roman" w:hAnsi="Times New Roman"/>
          <w:sz w:val="28"/>
          <w:szCs w:val="28"/>
        </w:rPr>
        <w:t xml:space="preserve">Середні значення </w:t>
      </w:r>
      <w:r>
        <w:rPr>
          <w:rFonts w:ascii="Times New Roman" w:hAnsi="Times New Roman" w:cs="Times New Roman"/>
          <w:sz w:val="28"/>
          <w:szCs w:val="28"/>
        </w:rPr>
        <w:t xml:space="preserve">інтенсивності сигналу дифузійно-зважених зображень та вимірюваного коефіцієнта дифузії в підгрупах із доброякісними  та злоякісними кістами категорії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розміром до 4 см</w:t>
      </w:r>
    </w:p>
    <w:tbl>
      <w:tblPr>
        <w:tblStyle w:val="TableGrid"/>
        <w:tblW w:w="0" w:type="auto"/>
        <w:tblInd w:w="-289" w:type="dxa"/>
        <w:tblLook w:val="04A0" w:firstRow="1" w:lastRow="0" w:firstColumn="1" w:lastColumn="0" w:noHBand="0" w:noVBand="1"/>
      </w:tblPr>
      <w:tblGrid>
        <w:gridCol w:w="4244"/>
        <w:gridCol w:w="1770"/>
        <w:gridCol w:w="1770"/>
        <w:gridCol w:w="1003"/>
        <w:gridCol w:w="846"/>
      </w:tblGrid>
      <w:tr w:rsidR="00817533" w:rsidTr="001F0C51">
        <w:tc>
          <w:tcPr>
            <w:tcW w:w="4244" w:type="dxa"/>
            <w:tcBorders>
              <w:tl2br w:val="single" w:sz="4" w:space="0" w:color="auto"/>
            </w:tcBorders>
          </w:tcPr>
          <w:p w:rsidR="00817533" w:rsidRPr="009B46B3" w:rsidRDefault="00817533" w:rsidP="001F0C51">
            <w:pPr>
              <w:jc w:val="right"/>
              <w:rPr>
                <w:rFonts w:ascii="Times New Roman" w:hAnsi="Times New Roman" w:cs="Times New Roman"/>
                <w:b/>
                <w:sz w:val="28"/>
                <w:szCs w:val="28"/>
              </w:rPr>
            </w:pPr>
            <w:r w:rsidRPr="009B46B3">
              <w:rPr>
                <w:rFonts w:ascii="Times New Roman" w:hAnsi="Times New Roman" w:cs="Times New Roman"/>
                <w:b/>
                <w:sz w:val="28"/>
                <w:szCs w:val="28"/>
              </w:rPr>
              <w:t>Підгрупа</w:t>
            </w:r>
          </w:p>
          <w:p w:rsidR="00817533" w:rsidRDefault="00817533" w:rsidP="001F0C51">
            <w:pPr>
              <w:jc w:val="both"/>
              <w:rPr>
                <w:rFonts w:ascii="Times New Roman" w:hAnsi="Times New Roman" w:cs="Times New Roman"/>
                <w:b/>
                <w:sz w:val="28"/>
                <w:szCs w:val="28"/>
              </w:rPr>
            </w:pPr>
          </w:p>
          <w:p w:rsidR="00817533" w:rsidRPr="009B46B3" w:rsidRDefault="00817533" w:rsidP="001F0C51">
            <w:pPr>
              <w:jc w:val="both"/>
              <w:rPr>
                <w:rFonts w:ascii="Times New Roman" w:hAnsi="Times New Roman" w:cs="Times New Roman"/>
                <w:b/>
                <w:sz w:val="28"/>
                <w:szCs w:val="28"/>
              </w:rPr>
            </w:pPr>
            <w:r>
              <w:rPr>
                <w:rFonts w:ascii="Times New Roman" w:hAnsi="Times New Roman" w:cs="Times New Roman"/>
                <w:b/>
                <w:sz w:val="28"/>
                <w:szCs w:val="28"/>
              </w:rPr>
              <w:t>Показник</w:t>
            </w:r>
          </w:p>
        </w:tc>
        <w:tc>
          <w:tcPr>
            <w:tcW w:w="1770" w:type="dxa"/>
          </w:tcPr>
          <w:p w:rsidR="00817533" w:rsidRDefault="00817533"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Bosniak IIF</w:t>
            </w:r>
            <w:r w:rsidRPr="009B46B3">
              <w:rPr>
                <w:rFonts w:ascii="Times New Roman" w:hAnsi="Times New Roman" w:cs="Times New Roman"/>
                <w:b/>
                <w:sz w:val="28"/>
                <w:szCs w:val="28"/>
              </w:rPr>
              <w:t xml:space="preserve"> доброякісні, </w:t>
            </w:r>
          </w:p>
          <w:p w:rsidR="00817533" w:rsidRPr="00E3696A" w:rsidRDefault="00817533"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n=</w:t>
            </w:r>
            <w:r>
              <w:rPr>
                <w:rFonts w:ascii="Times New Roman" w:hAnsi="Times New Roman" w:cs="Times New Roman"/>
                <w:b/>
                <w:sz w:val="28"/>
                <w:szCs w:val="28"/>
              </w:rPr>
              <w:t>15</w:t>
            </w:r>
          </w:p>
        </w:tc>
        <w:tc>
          <w:tcPr>
            <w:tcW w:w="1770" w:type="dxa"/>
          </w:tcPr>
          <w:p w:rsidR="00817533" w:rsidRPr="009B46B3" w:rsidRDefault="00817533" w:rsidP="001F0C51">
            <w:pPr>
              <w:jc w:val="center"/>
              <w:rPr>
                <w:rFonts w:ascii="Times New Roman" w:hAnsi="Times New Roman" w:cs="Times New Roman"/>
                <w:b/>
                <w:sz w:val="28"/>
                <w:szCs w:val="28"/>
              </w:rPr>
            </w:pPr>
            <w:r w:rsidRPr="009B46B3">
              <w:rPr>
                <w:rFonts w:ascii="Times New Roman" w:hAnsi="Times New Roman" w:cs="Times New Roman"/>
                <w:b/>
                <w:sz w:val="28"/>
                <w:szCs w:val="28"/>
                <w:lang w:val="en-US"/>
              </w:rPr>
              <w:t>Bosniak</w:t>
            </w:r>
            <w:r w:rsidRPr="009E6C7E">
              <w:rPr>
                <w:rFonts w:ascii="Times New Roman" w:hAnsi="Times New Roman" w:cs="Times New Roman"/>
                <w:b/>
                <w:sz w:val="28"/>
                <w:szCs w:val="28"/>
              </w:rPr>
              <w:t xml:space="preserve"> </w:t>
            </w:r>
            <w:r w:rsidRPr="009B46B3">
              <w:rPr>
                <w:rFonts w:ascii="Times New Roman" w:hAnsi="Times New Roman" w:cs="Times New Roman"/>
                <w:b/>
                <w:sz w:val="28"/>
                <w:szCs w:val="28"/>
                <w:lang w:val="en-US"/>
              </w:rPr>
              <w:t>IIF</w:t>
            </w:r>
            <w:r w:rsidRPr="009B46B3">
              <w:rPr>
                <w:rFonts w:ascii="Times New Roman" w:hAnsi="Times New Roman" w:cs="Times New Roman"/>
                <w:b/>
                <w:sz w:val="28"/>
                <w:szCs w:val="28"/>
              </w:rPr>
              <w:t xml:space="preserve"> злоякісні</w:t>
            </w:r>
            <w:r>
              <w:rPr>
                <w:rFonts w:ascii="Times New Roman" w:hAnsi="Times New Roman" w:cs="Times New Roman"/>
                <w:b/>
                <w:sz w:val="28"/>
                <w:szCs w:val="28"/>
              </w:rPr>
              <w:t xml:space="preserve"> (НКР)</w:t>
            </w:r>
            <w:r w:rsidRPr="009B46B3">
              <w:rPr>
                <w:rFonts w:ascii="Times New Roman" w:hAnsi="Times New Roman" w:cs="Times New Roman"/>
                <w:b/>
                <w:sz w:val="28"/>
                <w:szCs w:val="28"/>
              </w:rPr>
              <w:t xml:space="preserve">, </w:t>
            </w:r>
            <w:r w:rsidRPr="009B46B3">
              <w:rPr>
                <w:rFonts w:ascii="Times New Roman" w:hAnsi="Times New Roman" w:cs="Times New Roman"/>
                <w:b/>
                <w:sz w:val="28"/>
                <w:szCs w:val="28"/>
                <w:lang w:val="en-US"/>
              </w:rPr>
              <w:t>n</w:t>
            </w:r>
            <w:r w:rsidRPr="009E6C7E">
              <w:rPr>
                <w:rFonts w:ascii="Times New Roman" w:hAnsi="Times New Roman" w:cs="Times New Roman"/>
                <w:b/>
                <w:sz w:val="28"/>
                <w:szCs w:val="28"/>
              </w:rPr>
              <w:t>=</w:t>
            </w:r>
            <w:r>
              <w:rPr>
                <w:rFonts w:ascii="Times New Roman" w:hAnsi="Times New Roman" w:cs="Times New Roman"/>
                <w:b/>
                <w:sz w:val="28"/>
                <w:szCs w:val="28"/>
              </w:rPr>
              <w:t>10</w:t>
            </w:r>
          </w:p>
        </w:tc>
        <w:tc>
          <w:tcPr>
            <w:tcW w:w="1003" w:type="dxa"/>
          </w:tcPr>
          <w:p w:rsidR="00817533" w:rsidRDefault="00817533" w:rsidP="001F0C51">
            <w:pPr>
              <w:jc w:val="center"/>
              <w:rPr>
                <w:rFonts w:ascii="Times New Roman" w:hAnsi="Times New Roman" w:cs="Times New Roman"/>
                <w:sz w:val="28"/>
                <w:szCs w:val="28"/>
              </w:rPr>
            </w:pPr>
            <w:r w:rsidRPr="006E76F3">
              <w:rPr>
                <w:rFonts w:ascii="Times New Roman" w:hAnsi="Times New Roman"/>
                <w:b/>
                <w:i/>
                <w:sz w:val="28"/>
                <w:szCs w:val="28"/>
              </w:rPr>
              <w:t>р</w:t>
            </w:r>
            <w:r w:rsidRPr="006E76F3">
              <w:rPr>
                <w:rFonts w:ascii="Times New Roman" w:hAnsi="Times New Roman"/>
                <w:b/>
                <w:i/>
                <w:sz w:val="28"/>
                <w:szCs w:val="28"/>
                <w:vertAlign w:val="subscript"/>
              </w:rPr>
              <w:t>1,2</w:t>
            </w:r>
          </w:p>
        </w:tc>
        <w:tc>
          <w:tcPr>
            <w:tcW w:w="846" w:type="dxa"/>
          </w:tcPr>
          <w:p w:rsidR="00817533" w:rsidRPr="009B46B3" w:rsidRDefault="00817533" w:rsidP="001F0C51">
            <w:pPr>
              <w:jc w:val="center"/>
              <w:rPr>
                <w:rFonts w:ascii="Times New Roman" w:hAnsi="Times New Roman"/>
                <w:b/>
                <w:i/>
                <w:sz w:val="28"/>
                <w:szCs w:val="28"/>
                <w:vertAlign w:val="subscript"/>
              </w:rPr>
            </w:pPr>
            <w:r>
              <w:rPr>
                <w:rFonts w:ascii="Times New Roman" w:hAnsi="Times New Roman"/>
                <w:b/>
                <w:i/>
                <w:sz w:val="28"/>
                <w:szCs w:val="28"/>
                <w:lang w:val="en-US"/>
              </w:rPr>
              <w:t>t</w:t>
            </w:r>
            <w:r>
              <w:rPr>
                <w:rFonts w:ascii="Times New Roman" w:hAnsi="Times New Roman"/>
                <w:b/>
                <w:i/>
                <w:sz w:val="28"/>
                <w:szCs w:val="28"/>
                <w:vertAlign w:val="subscript"/>
                <w:lang w:val="en-US"/>
              </w:rPr>
              <w:t>1</w:t>
            </w:r>
            <w:r>
              <w:rPr>
                <w:rFonts w:ascii="Times New Roman" w:hAnsi="Times New Roman"/>
                <w:b/>
                <w:i/>
                <w:sz w:val="28"/>
                <w:szCs w:val="28"/>
                <w:vertAlign w:val="subscript"/>
              </w:rPr>
              <w:t>,2</w:t>
            </w:r>
          </w:p>
        </w:tc>
      </w:tr>
      <w:tr w:rsidR="00817533" w:rsidTr="001F0C51">
        <w:tc>
          <w:tcPr>
            <w:tcW w:w="4244" w:type="dxa"/>
          </w:tcPr>
          <w:p w:rsidR="00817533" w:rsidRPr="001A648C" w:rsidRDefault="00817533" w:rsidP="001F0C51">
            <w:pPr>
              <w:rPr>
                <w:rFonts w:ascii="Times New Roman" w:hAnsi="Times New Roman" w:cs="Times New Roman"/>
                <w:b/>
                <w:sz w:val="28"/>
                <w:szCs w:val="28"/>
              </w:rPr>
            </w:pPr>
            <w:r>
              <w:rPr>
                <w:rFonts w:ascii="Times New Roman" w:hAnsi="Times New Roman" w:cs="Times New Roman"/>
                <w:b/>
                <w:sz w:val="28"/>
                <w:szCs w:val="28"/>
              </w:rPr>
              <w:t>Інтенсивність сигналу дифузійно-зважених зображень</w:t>
            </w:r>
          </w:p>
        </w:tc>
        <w:tc>
          <w:tcPr>
            <w:tcW w:w="1770" w:type="dxa"/>
          </w:tcPr>
          <w:p w:rsidR="00817533" w:rsidRDefault="00817533" w:rsidP="001F0C51">
            <w:pPr>
              <w:jc w:val="center"/>
              <w:rPr>
                <w:rFonts w:ascii="Times New Roman" w:hAnsi="Times New Roman" w:cs="Times New Roman"/>
                <w:sz w:val="28"/>
                <w:szCs w:val="28"/>
              </w:rPr>
            </w:pPr>
            <w:r>
              <w:rPr>
                <w:rFonts w:ascii="Times New Roman" w:hAnsi="Times New Roman" w:cs="Times New Roman"/>
                <w:sz w:val="28"/>
                <w:szCs w:val="28"/>
              </w:rPr>
              <w:t>107,76±13,92</w:t>
            </w:r>
          </w:p>
        </w:tc>
        <w:tc>
          <w:tcPr>
            <w:tcW w:w="1770" w:type="dxa"/>
          </w:tcPr>
          <w:p w:rsidR="00817533" w:rsidRDefault="00817533" w:rsidP="001F0C51">
            <w:pPr>
              <w:jc w:val="center"/>
              <w:rPr>
                <w:rFonts w:ascii="Times New Roman" w:hAnsi="Times New Roman" w:cs="Times New Roman"/>
                <w:sz w:val="28"/>
                <w:szCs w:val="28"/>
              </w:rPr>
            </w:pPr>
            <w:r>
              <w:rPr>
                <w:rFonts w:ascii="Times New Roman" w:hAnsi="Times New Roman" w:cs="Times New Roman"/>
                <w:sz w:val="28"/>
                <w:szCs w:val="28"/>
              </w:rPr>
              <w:t>107,24±13,29</w:t>
            </w:r>
          </w:p>
        </w:tc>
        <w:tc>
          <w:tcPr>
            <w:tcW w:w="1003" w:type="dxa"/>
          </w:tcPr>
          <w:p w:rsidR="00817533" w:rsidRPr="00DB7673" w:rsidRDefault="00817533" w:rsidP="001F0C51">
            <w:pPr>
              <w:jc w:val="center"/>
              <w:rPr>
                <w:rFonts w:ascii="Times New Roman" w:hAnsi="Times New Roman" w:cs="Times New Roman"/>
                <w:sz w:val="28"/>
                <w:szCs w:val="28"/>
              </w:rPr>
            </w:pPr>
            <w:r>
              <w:rPr>
                <w:rFonts w:ascii="Times New Roman" w:hAnsi="Times New Roman" w:cs="Times New Roman"/>
                <w:sz w:val="28"/>
                <w:szCs w:val="28"/>
              </w:rPr>
              <w:t>0,926</w:t>
            </w:r>
          </w:p>
        </w:tc>
        <w:tc>
          <w:tcPr>
            <w:tcW w:w="846" w:type="dxa"/>
          </w:tcPr>
          <w:p w:rsidR="00817533" w:rsidRDefault="00817533" w:rsidP="001F0C51">
            <w:pPr>
              <w:jc w:val="center"/>
              <w:rPr>
                <w:rFonts w:ascii="Times New Roman" w:hAnsi="Times New Roman" w:cs="Times New Roman"/>
                <w:sz w:val="28"/>
                <w:szCs w:val="28"/>
              </w:rPr>
            </w:pPr>
            <w:r>
              <w:rPr>
                <w:rFonts w:ascii="Times New Roman" w:hAnsi="Times New Roman" w:cs="Times New Roman"/>
                <w:sz w:val="28"/>
                <w:szCs w:val="28"/>
              </w:rPr>
              <w:t>0,094</w:t>
            </w:r>
          </w:p>
        </w:tc>
      </w:tr>
      <w:tr w:rsidR="00817533" w:rsidTr="001F0C51">
        <w:tc>
          <w:tcPr>
            <w:tcW w:w="4244" w:type="dxa"/>
          </w:tcPr>
          <w:p w:rsidR="00817533" w:rsidRPr="009B46B3" w:rsidRDefault="00817533" w:rsidP="001F0C51">
            <w:pPr>
              <w:rPr>
                <w:rFonts w:ascii="Times New Roman" w:hAnsi="Times New Roman" w:cs="Times New Roman"/>
                <w:b/>
                <w:sz w:val="28"/>
                <w:szCs w:val="28"/>
              </w:rPr>
            </w:pPr>
            <w:r>
              <w:rPr>
                <w:rFonts w:ascii="Times New Roman" w:hAnsi="Times New Roman" w:cs="Times New Roman"/>
                <w:b/>
                <w:sz w:val="28"/>
                <w:szCs w:val="28"/>
              </w:rPr>
              <w:t xml:space="preserve">Вимірюваний коефіцієнт дифузії, </w:t>
            </w:r>
            <w:r w:rsidRPr="00DA4CF4">
              <w:rPr>
                <w:rFonts w:ascii="Times New Roman" w:hAnsi="Times New Roman" w:cs="Times New Roman"/>
                <w:b/>
                <w:bCs/>
                <w:sz w:val="28"/>
                <w:szCs w:val="28"/>
              </w:rPr>
              <w:t>×10</w:t>
            </w:r>
            <w:r w:rsidRPr="00DA4CF4">
              <w:rPr>
                <w:rFonts w:ascii="Times New Roman" w:hAnsi="Times New Roman" w:cs="Times New Roman"/>
                <w:b/>
                <w:bCs/>
                <w:sz w:val="28"/>
                <w:szCs w:val="28"/>
                <w:vertAlign w:val="superscript"/>
              </w:rPr>
              <w:t>−3</w:t>
            </w:r>
            <w:r w:rsidRPr="00DA4CF4">
              <w:rPr>
                <w:rFonts w:ascii="Times New Roman" w:hAnsi="Times New Roman" w:cs="Times New Roman"/>
                <w:b/>
                <w:bCs/>
                <w:sz w:val="28"/>
                <w:szCs w:val="28"/>
              </w:rPr>
              <w:t xml:space="preserve"> мм</w:t>
            </w:r>
            <w:r w:rsidRPr="00DA4CF4">
              <w:rPr>
                <w:rFonts w:ascii="Times New Roman" w:hAnsi="Times New Roman" w:cs="Times New Roman"/>
                <w:b/>
                <w:bCs/>
                <w:sz w:val="28"/>
                <w:szCs w:val="28"/>
                <w:vertAlign w:val="superscript"/>
              </w:rPr>
              <w:t>2</w:t>
            </w:r>
            <w:r w:rsidRPr="00DA4CF4">
              <w:rPr>
                <w:rFonts w:ascii="Times New Roman" w:hAnsi="Times New Roman" w:cs="Times New Roman"/>
                <w:b/>
                <w:bCs/>
                <w:sz w:val="28"/>
                <w:szCs w:val="28"/>
              </w:rPr>
              <w:t>/с</w:t>
            </w:r>
          </w:p>
        </w:tc>
        <w:tc>
          <w:tcPr>
            <w:tcW w:w="1770" w:type="dxa"/>
          </w:tcPr>
          <w:p w:rsidR="00817533" w:rsidRDefault="00817533" w:rsidP="001F0C51">
            <w:pPr>
              <w:jc w:val="center"/>
              <w:rPr>
                <w:rFonts w:ascii="Times New Roman" w:hAnsi="Times New Roman" w:cs="Times New Roman"/>
                <w:sz w:val="28"/>
                <w:szCs w:val="28"/>
              </w:rPr>
            </w:pPr>
            <w:r>
              <w:rPr>
                <w:rFonts w:ascii="Times New Roman" w:hAnsi="Times New Roman" w:cs="Times New Roman"/>
                <w:sz w:val="28"/>
                <w:szCs w:val="28"/>
              </w:rPr>
              <w:t>3,09±0,09</w:t>
            </w:r>
          </w:p>
        </w:tc>
        <w:tc>
          <w:tcPr>
            <w:tcW w:w="1770" w:type="dxa"/>
          </w:tcPr>
          <w:p w:rsidR="00817533" w:rsidRDefault="00817533" w:rsidP="001F0C51">
            <w:pPr>
              <w:jc w:val="center"/>
              <w:rPr>
                <w:rFonts w:ascii="Times New Roman" w:hAnsi="Times New Roman" w:cs="Times New Roman"/>
                <w:sz w:val="28"/>
                <w:szCs w:val="28"/>
              </w:rPr>
            </w:pPr>
            <w:r>
              <w:rPr>
                <w:rFonts w:ascii="Times New Roman" w:hAnsi="Times New Roman" w:cs="Times New Roman"/>
                <w:sz w:val="28"/>
                <w:szCs w:val="28"/>
              </w:rPr>
              <w:t>2,87±0,27</w:t>
            </w:r>
          </w:p>
        </w:tc>
        <w:tc>
          <w:tcPr>
            <w:tcW w:w="1003" w:type="dxa"/>
          </w:tcPr>
          <w:p w:rsidR="00817533" w:rsidRDefault="00817533" w:rsidP="001F0C51">
            <w:pPr>
              <w:jc w:val="center"/>
              <w:rPr>
                <w:rFonts w:ascii="Times New Roman" w:hAnsi="Times New Roman" w:cs="Times New Roman"/>
                <w:sz w:val="28"/>
                <w:szCs w:val="28"/>
              </w:rPr>
            </w:pPr>
            <w:r>
              <w:rPr>
                <w:rFonts w:ascii="Times New Roman" w:hAnsi="Times New Roman" w:cs="Times New Roman"/>
                <w:sz w:val="28"/>
                <w:szCs w:val="28"/>
                <w:lang w:val="en-US"/>
              </w:rPr>
              <w:t>0,035</w:t>
            </w:r>
          </w:p>
        </w:tc>
        <w:tc>
          <w:tcPr>
            <w:tcW w:w="846" w:type="dxa"/>
          </w:tcPr>
          <w:p w:rsidR="00817533" w:rsidRDefault="00817533" w:rsidP="001F0C51">
            <w:pPr>
              <w:jc w:val="center"/>
              <w:rPr>
                <w:rFonts w:ascii="Times New Roman" w:hAnsi="Times New Roman" w:cs="Times New Roman"/>
                <w:sz w:val="28"/>
                <w:szCs w:val="28"/>
              </w:rPr>
            </w:pPr>
            <w:r>
              <w:rPr>
                <w:rFonts w:ascii="Times New Roman" w:hAnsi="Times New Roman" w:cs="Times New Roman"/>
                <w:sz w:val="28"/>
                <w:szCs w:val="28"/>
              </w:rPr>
              <w:t>2,852</w:t>
            </w:r>
          </w:p>
        </w:tc>
      </w:tr>
    </w:tbl>
    <w:p w:rsidR="00817533" w:rsidRDefault="00817533" w:rsidP="00817533">
      <w:pPr>
        <w:spacing w:line="360" w:lineRule="auto"/>
        <w:ind w:firstLine="708"/>
        <w:jc w:val="both"/>
        <w:rPr>
          <w:rFonts w:ascii="Times New Roman" w:hAnsi="Times New Roman" w:cs="Times New Roman"/>
          <w:sz w:val="28"/>
          <w:szCs w:val="28"/>
        </w:rPr>
      </w:pPr>
    </w:p>
    <w:p w:rsidR="00817533" w:rsidRDefault="00817533" w:rsidP="0081753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В цілому, для кіст нирок було характерним підвищення у порівнянні із нормальною нирковою паренхімою інтенсивності сигналу на ДЗЗ та високі значення вимірюваного коефіцієнта дифузії. Такі спостереження відрізнялись від отриманих при вивченні солідного НКР, коли при підвищеному сигналі на ДЗЗ, ми отримували низькі значення вимірюваного коефіцієнта дифузії. Водночас, як і у випадку променевих біомаркерів на основі КТ, при порівнянні середніх значень 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та ВКД як кіст в цілому, так і тканинних елементів доброякісних та злоякісних кіст категорій ІІІ</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нами не було знайдено достовірних відмінностей (р</w:t>
      </w:r>
      <w:r w:rsidRPr="009E6C7E">
        <w:rPr>
          <w:rFonts w:ascii="Times New Roman" w:hAnsi="Times New Roman" w:cs="Times New Roman"/>
          <w:sz w:val="28"/>
          <w:szCs w:val="28"/>
        </w:rPr>
        <w:t>&gt;</w:t>
      </w:r>
      <w:r>
        <w:rPr>
          <w:rFonts w:ascii="Times New Roman" w:hAnsi="Times New Roman" w:cs="Times New Roman"/>
          <w:sz w:val="28"/>
          <w:szCs w:val="28"/>
        </w:rPr>
        <w:t>0,05). Також, не було суттєвих відмінностей при порівнянні середніх значень 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та ВКД при кістозному НКР низького та високого ступенів за </w:t>
      </w:r>
      <w:r>
        <w:rPr>
          <w:rFonts w:ascii="Times New Roman" w:hAnsi="Times New Roman" w:cs="Times New Roman"/>
          <w:sz w:val="28"/>
          <w:szCs w:val="28"/>
          <w:lang w:val="en-US"/>
        </w:rPr>
        <w:t>Fuhrman</w:t>
      </w:r>
      <w:r>
        <w:rPr>
          <w:rFonts w:ascii="Times New Roman" w:hAnsi="Times New Roman" w:cs="Times New Roman"/>
          <w:sz w:val="28"/>
          <w:szCs w:val="28"/>
        </w:rPr>
        <w:t xml:space="preserve"> (р</w:t>
      </w:r>
      <w:r w:rsidRPr="009E6C7E">
        <w:rPr>
          <w:rFonts w:ascii="Times New Roman" w:hAnsi="Times New Roman" w:cs="Times New Roman"/>
          <w:sz w:val="28"/>
          <w:szCs w:val="28"/>
          <w:lang w:val="ru-RU"/>
        </w:rPr>
        <w:t>&gt;</w:t>
      </w:r>
      <w:r>
        <w:rPr>
          <w:rFonts w:ascii="Times New Roman" w:hAnsi="Times New Roman" w:cs="Times New Roman"/>
          <w:sz w:val="28"/>
          <w:szCs w:val="28"/>
        </w:rPr>
        <w:t>0,05).</w:t>
      </w:r>
    </w:p>
    <w:p w:rsidR="00817533" w:rsidRPr="0058521D" w:rsidRDefault="00817533" w:rsidP="0081753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ROC</w:t>
      </w:r>
      <w:r w:rsidRPr="009E6C7E">
        <w:rPr>
          <w:rFonts w:ascii="Times New Roman" w:hAnsi="Times New Roman" w:cs="Times New Roman"/>
          <w:sz w:val="28"/>
          <w:szCs w:val="28"/>
        </w:rPr>
        <w:t>-</w:t>
      </w:r>
      <w:r>
        <w:rPr>
          <w:rFonts w:ascii="Times New Roman" w:hAnsi="Times New Roman" w:cs="Times New Roman"/>
          <w:sz w:val="28"/>
          <w:szCs w:val="28"/>
        </w:rPr>
        <w:t>аналіз продемонстрував, що використання граничного значення ВКД 3,03</w:t>
      </w:r>
      <w:r w:rsidRPr="008C5984">
        <w:rPr>
          <w:rFonts w:ascii="Times New Roman" w:hAnsi="Times New Roman" w:cs="Times New Roman"/>
          <w:bCs/>
          <w:sz w:val="28"/>
          <w:szCs w:val="28"/>
        </w:rPr>
        <w:t>×10</w:t>
      </w:r>
      <w:r w:rsidRPr="008C5984">
        <w:rPr>
          <w:rFonts w:ascii="Times New Roman" w:hAnsi="Times New Roman" w:cs="Times New Roman"/>
          <w:bCs/>
          <w:sz w:val="28"/>
          <w:szCs w:val="28"/>
          <w:vertAlign w:val="superscript"/>
        </w:rPr>
        <w:t>−3</w:t>
      </w:r>
      <w:r w:rsidRPr="008C5984">
        <w:rPr>
          <w:rFonts w:ascii="Times New Roman" w:hAnsi="Times New Roman" w:cs="Times New Roman"/>
          <w:bCs/>
          <w:sz w:val="28"/>
          <w:szCs w:val="28"/>
        </w:rPr>
        <w:t xml:space="preserve"> мм</w:t>
      </w:r>
      <w:r w:rsidRPr="008C5984">
        <w:rPr>
          <w:rFonts w:ascii="Times New Roman" w:hAnsi="Times New Roman" w:cs="Times New Roman"/>
          <w:bCs/>
          <w:sz w:val="28"/>
          <w:szCs w:val="28"/>
          <w:vertAlign w:val="superscript"/>
        </w:rPr>
        <w:t>2</w:t>
      </w:r>
      <w:r w:rsidRPr="008C5984">
        <w:rPr>
          <w:rFonts w:ascii="Times New Roman" w:hAnsi="Times New Roman" w:cs="Times New Roman"/>
          <w:bCs/>
          <w:sz w:val="28"/>
          <w:szCs w:val="28"/>
        </w:rPr>
        <w:t>/с</w:t>
      </w:r>
      <w:r>
        <w:rPr>
          <w:rFonts w:ascii="Times New Roman" w:hAnsi="Times New Roman" w:cs="Times New Roman"/>
          <w:sz w:val="28"/>
          <w:szCs w:val="28"/>
        </w:rPr>
        <w:t xml:space="preserve"> для диференціації доброякісних та злоякісних кіст категорії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розміром до 4 см дозволило отримати високі показники чутливості та специфічності – відповідно 93,0% та 80,0% при відмінній точності методу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sz w:val="28"/>
          <w:szCs w:val="28"/>
        </w:rPr>
        <w:t>0,867, 95% ДІ=0,700-1,0, р</w:t>
      </w:r>
      <w:r w:rsidRPr="009E6C7E">
        <w:rPr>
          <w:rFonts w:ascii="Times New Roman" w:hAnsi="Times New Roman" w:cs="Times New Roman"/>
          <w:sz w:val="28"/>
          <w:szCs w:val="28"/>
        </w:rPr>
        <w:t>=0,002</w:t>
      </w:r>
      <w:r w:rsidR="00CF1C49">
        <w:rPr>
          <w:rFonts w:ascii="Times New Roman" w:hAnsi="Times New Roman" w:cs="Times New Roman"/>
          <w:sz w:val="28"/>
          <w:szCs w:val="28"/>
        </w:rPr>
        <w:t>), рисунок 3.23</w:t>
      </w:r>
      <w:r>
        <w:rPr>
          <w:rFonts w:ascii="Times New Roman" w:hAnsi="Times New Roman" w:cs="Times New Roman"/>
          <w:sz w:val="28"/>
          <w:szCs w:val="28"/>
        </w:rPr>
        <w:t>.</w:t>
      </w:r>
    </w:p>
    <w:p w:rsidR="00817533" w:rsidRDefault="00817533" w:rsidP="00817533">
      <w:pPr>
        <w:autoSpaceDE w:val="0"/>
        <w:autoSpaceDN w:val="0"/>
        <w:adjustRightInd w:val="0"/>
        <w:spacing w:after="0" w:line="240" w:lineRule="auto"/>
        <w:rPr>
          <w:rFonts w:ascii="Times New Roman" w:hAnsi="Times New Roman" w:cs="Times New Roman"/>
          <w:sz w:val="24"/>
          <w:szCs w:val="24"/>
        </w:rPr>
      </w:pPr>
    </w:p>
    <w:p w:rsidR="00817533" w:rsidRDefault="00817533" w:rsidP="00817533">
      <w:pPr>
        <w:autoSpaceDE w:val="0"/>
        <w:autoSpaceDN w:val="0"/>
        <w:adjustRightInd w:val="0"/>
        <w:spacing w:after="0" w:line="240" w:lineRule="auto"/>
        <w:jc w:val="center"/>
        <w:rPr>
          <w:rFonts w:ascii="Times New Roman" w:hAnsi="Times New Roman" w:cs="Times New Roman"/>
          <w:sz w:val="24"/>
          <w:szCs w:val="24"/>
        </w:rPr>
      </w:pPr>
    </w:p>
    <w:p w:rsidR="00817533" w:rsidRDefault="00817533" w:rsidP="00817533">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740CCA42" wp14:editId="29B82E5A">
            <wp:extent cx="3000375" cy="2879422"/>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0">
                      <a:extLst>
                        <a:ext uri="{28A0092B-C50C-407E-A947-70E740481C1C}">
                          <a14:useLocalDpi xmlns:a14="http://schemas.microsoft.com/office/drawing/2010/main" val="0"/>
                        </a:ext>
                      </a:extLst>
                    </a:blip>
                    <a:srcRect l="9779" r="6961"/>
                    <a:stretch/>
                  </pic:blipFill>
                  <pic:spPr bwMode="auto">
                    <a:xfrm>
                      <a:off x="0" y="0"/>
                      <a:ext cx="3000978" cy="2880000"/>
                    </a:xfrm>
                    <a:prstGeom prst="rect">
                      <a:avLst/>
                    </a:prstGeom>
                    <a:noFill/>
                    <a:ln>
                      <a:noFill/>
                    </a:ln>
                    <a:extLst>
                      <a:ext uri="{53640926-AAD7-44D8-BBD7-CCE9431645EC}">
                        <a14:shadowObscured xmlns:a14="http://schemas.microsoft.com/office/drawing/2010/main"/>
                      </a:ext>
                    </a:extLst>
                  </pic:spPr>
                </pic:pic>
              </a:graphicData>
            </a:graphic>
          </wp:inline>
        </w:drawing>
      </w:r>
    </w:p>
    <w:p w:rsidR="00817533" w:rsidRPr="00460813" w:rsidRDefault="00CF1C49" w:rsidP="00F37271">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3.23</w:t>
      </w:r>
      <w:r w:rsidR="00817533">
        <w:rPr>
          <w:rFonts w:ascii="Times New Roman" w:hAnsi="Times New Roman" w:cs="Times New Roman"/>
          <w:sz w:val="28"/>
          <w:szCs w:val="28"/>
        </w:rPr>
        <w:t xml:space="preserve">. </w:t>
      </w:r>
      <w:r w:rsidR="00817533">
        <w:rPr>
          <w:rFonts w:ascii="Times New Roman" w:hAnsi="Times New Roman" w:cs="Times New Roman"/>
          <w:sz w:val="28"/>
          <w:szCs w:val="28"/>
          <w:lang w:val="en-US"/>
        </w:rPr>
        <w:t>ROC</w:t>
      </w:r>
      <w:r w:rsidR="00817533" w:rsidRPr="009E6C7E">
        <w:rPr>
          <w:rFonts w:ascii="Times New Roman" w:hAnsi="Times New Roman" w:cs="Times New Roman"/>
          <w:sz w:val="28"/>
          <w:szCs w:val="28"/>
        </w:rPr>
        <w:t>-</w:t>
      </w:r>
      <w:r w:rsidR="00817533">
        <w:rPr>
          <w:rFonts w:ascii="Times New Roman" w:hAnsi="Times New Roman" w:cs="Times New Roman"/>
          <w:sz w:val="28"/>
          <w:szCs w:val="28"/>
        </w:rPr>
        <w:t>криві застосування</w:t>
      </w:r>
      <w:r w:rsidR="00817533" w:rsidRPr="009E6C7E">
        <w:rPr>
          <w:rFonts w:ascii="Times New Roman" w:hAnsi="Times New Roman" w:cs="Times New Roman"/>
          <w:sz w:val="28"/>
          <w:szCs w:val="28"/>
        </w:rPr>
        <w:t xml:space="preserve"> </w:t>
      </w:r>
      <w:r w:rsidR="00817533">
        <w:rPr>
          <w:rFonts w:ascii="Times New Roman" w:hAnsi="Times New Roman" w:cs="Times New Roman"/>
          <w:sz w:val="28"/>
          <w:szCs w:val="28"/>
        </w:rPr>
        <w:t xml:space="preserve">вимірюваного коефіцієнта дифузії для диференціації доброякісних та злоякісних кіст категорії </w:t>
      </w:r>
      <w:r w:rsidR="00817533">
        <w:rPr>
          <w:rFonts w:ascii="Times New Roman" w:hAnsi="Times New Roman" w:cs="Times New Roman"/>
          <w:sz w:val="28"/>
          <w:szCs w:val="28"/>
          <w:lang w:val="en-US"/>
        </w:rPr>
        <w:t>IIF</w:t>
      </w:r>
      <w:r w:rsidR="00817533" w:rsidRPr="009E6C7E">
        <w:rPr>
          <w:rFonts w:ascii="Times New Roman" w:hAnsi="Times New Roman" w:cs="Times New Roman"/>
          <w:sz w:val="28"/>
          <w:szCs w:val="28"/>
        </w:rPr>
        <w:t xml:space="preserve"> </w:t>
      </w:r>
      <w:r w:rsidR="00817533">
        <w:rPr>
          <w:rFonts w:ascii="Times New Roman" w:hAnsi="Times New Roman" w:cs="Times New Roman"/>
          <w:sz w:val="28"/>
          <w:szCs w:val="28"/>
        </w:rPr>
        <w:t xml:space="preserve">за </w:t>
      </w:r>
      <w:r w:rsidR="00817533">
        <w:rPr>
          <w:rFonts w:ascii="Times New Roman" w:hAnsi="Times New Roman" w:cs="Times New Roman"/>
          <w:sz w:val="28"/>
          <w:szCs w:val="28"/>
          <w:lang w:val="en-US"/>
        </w:rPr>
        <w:t>Bosniak</w:t>
      </w:r>
      <w:r w:rsidR="00817533">
        <w:rPr>
          <w:rFonts w:ascii="Times New Roman" w:hAnsi="Times New Roman" w:cs="Times New Roman"/>
          <w:sz w:val="28"/>
          <w:szCs w:val="28"/>
        </w:rPr>
        <w:t xml:space="preserve"> розміром до 4 см</w:t>
      </w:r>
    </w:p>
    <w:p w:rsidR="00817533" w:rsidRPr="006816F6" w:rsidRDefault="00817533" w:rsidP="00817533">
      <w:pPr>
        <w:spacing w:line="360" w:lineRule="auto"/>
        <w:jc w:val="both"/>
        <w:rPr>
          <w:rFonts w:ascii="Times New Roman" w:hAnsi="Times New Roman" w:cs="Times New Roman"/>
          <w:bCs/>
          <w:sz w:val="28"/>
          <w:szCs w:val="28"/>
        </w:rPr>
      </w:pPr>
      <w:r w:rsidRPr="00852221">
        <w:rPr>
          <w:rFonts w:ascii="Times New Roman" w:hAnsi="Times New Roman" w:cs="Times New Roman"/>
          <w:bCs/>
          <w:noProof/>
          <w:sz w:val="28"/>
          <w:szCs w:val="28"/>
          <w:lang w:val="en-US"/>
        </w:rPr>
        <w:lastRenderedPageBreak/>
        <mc:AlternateContent>
          <mc:Choice Requires="wps">
            <w:drawing>
              <wp:anchor distT="0" distB="0" distL="114300" distR="114300" simplePos="0" relativeHeight="251696128" behindDoc="0" locked="0" layoutInCell="1" allowOverlap="1" wp14:anchorId="19D70D96" wp14:editId="6A30F3A1">
                <wp:simplePos x="0" y="0"/>
                <wp:positionH relativeFrom="page">
                  <wp:posOffset>2689860</wp:posOffset>
                </wp:positionH>
                <wp:positionV relativeFrom="paragraph">
                  <wp:posOffset>1551940</wp:posOffset>
                </wp:positionV>
                <wp:extent cx="2533650" cy="400050"/>
                <wp:effectExtent l="0" t="0" r="0" b="0"/>
                <wp:wrapNone/>
                <wp:docPr id="69" name="Надпись 69"/>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D70D96" id="Надпись 69" o:spid="_x0000_s1045" type="#_x0000_t202" style="position:absolute;left:0;text-align:left;margin-left:211.8pt;margin-top:122.2pt;width:199.5pt;height:31.5pt;z-index:25169612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sidRPr="00852221">
        <w:rPr>
          <w:rFonts w:ascii="Times New Roman" w:hAnsi="Times New Roman" w:cs="Times New Roman"/>
          <w:bCs/>
          <w:noProof/>
          <w:sz w:val="28"/>
          <w:szCs w:val="28"/>
          <w:lang w:val="en-US"/>
        </w:rPr>
        <mc:AlternateContent>
          <mc:Choice Requires="wps">
            <w:drawing>
              <wp:anchor distT="0" distB="0" distL="114300" distR="114300" simplePos="0" relativeHeight="251697152" behindDoc="0" locked="0" layoutInCell="1" allowOverlap="1" wp14:anchorId="72FF53E8" wp14:editId="4842E51D">
                <wp:simplePos x="0" y="0"/>
                <wp:positionH relativeFrom="page">
                  <wp:posOffset>4713605</wp:posOffset>
                </wp:positionH>
                <wp:positionV relativeFrom="paragraph">
                  <wp:posOffset>1561465</wp:posOffset>
                </wp:positionV>
                <wp:extent cx="2533650" cy="400050"/>
                <wp:effectExtent l="0" t="0" r="0" b="0"/>
                <wp:wrapNone/>
                <wp:docPr id="70" name="Надпись 70"/>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FF53E8" id="Надпись 70" o:spid="_x0000_s1046" type="#_x0000_t202" style="position:absolute;left:0;text-align:left;margin-left:371.15pt;margin-top:122.95pt;width:199.5pt;height:31.5pt;z-index:25169715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852221">
        <w:rPr>
          <w:rFonts w:ascii="Times New Roman" w:hAnsi="Times New Roman" w:cs="Times New Roman"/>
          <w:bCs/>
          <w:noProof/>
          <w:sz w:val="28"/>
          <w:szCs w:val="28"/>
          <w:lang w:val="en-US"/>
        </w:rPr>
        <mc:AlternateContent>
          <mc:Choice Requires="wps">
            <w:drawing>
              <wp:anchor distT="0" distB="0" distL="114300" distR="114300" simplePos="0" relativeHeight="251698176" behindDoc="0" locked="0" layoutInCell="1" allowOverlap="1" wp14:anchorId="495C70DC" wp14:editId="7A629444">
                <wp:simplePos x="0" y="0"/>
                <wp:positionH relativeFrom="page">
                  <wp:posOffset>6709410</wp:posOffset>
                </wp:positionH>
                <wp:positionV relativeFrom="paragraph">
                  <wp:posOffset>1523365</wp:posOffset>
                </wp:positionV>
                <wp:extent cx="2533650" cy="400050"/>
                <wp:effectExtent l="0" t="0" r="0" b="0"/>
                <wp:wrapNone/>
                <wp:docPr id="71" name="Надпись 71"/>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95C70DC" id="Надпись 71" o:spid="_x0000_s1047" type="#_x0000_t202" style="position:absolute;left:0;text-align:left;margin-left:528.3pt;margin-top:119.95pt;width:199.5pt;height:31.5pt;z-index:251698176;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r w:rsidRPr="00852221">
        <w:rPr>
          <w:rFonts w:ascii="Times New Roman" w:hAnsi="Times New Roman" w:cs="Times New Roman"/>
          <w:bCs/>
          <w:noProof/>
          <w:sz w:val="28"/>
          <w:szCs w:val="28"/>
          <w:lang w:val="en-US"/>
        </w:rPr>
        <mc:AlternateContent>
          <mc:Choice Requires="wps">
            <w:drawing>
              <wp:anchor distT="0" distB="0" distL="114300" distR="114300" simplePos="0" relativeHeight="251699200" behindDoc="0" locked="0" layoutInCell="1" allowOverlap="1" wp14:anchorId="32DEE792" wp14:editId="2C66910D">
                <wp:simplePos x="0" y="0"/>
                <wp:positionH relativeFrom="margin">
                  <wp:posOffset>1609725</wp:posOffset>
                </wp:positionH>
                <wp:positionV relativeFrom="paragraph">
                  <wp:posOffset>3485515</wp:posOffset>
                </wp:positionV>
                <wp:extent cx="2533650" cy="400050"/>
                <wp:effectExtent l="0" t="0" r="0" b="0"/>
                <wp:wrapNone/>
                <wp:docPr id="73" name="Надпись 73"/>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2DEE792" id="Надпись 73" o:spid="_x0000_s1048" type="#_x0000_t202" style="position:absolute;left:0;text-align:left;margin-left:126.75pt;margin-top:274.45pt;width:199.5pt;height:31.5pt;z-index:25169920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w10:wrap anchorx="margin"/>
              </v:shape>
            </w:pict>
          </mc:Fallback>
        </mc:AlternateContent>
      </w:r>
      <w:r w:rsidRPr="00852221">
        <w:rPr>
          <w:rFonts w:ascii="Times New Roman" w:hAnsi="Times New Roman" w:cs="Times New Roman"/>
          <w:bCs/>
          <w:noProof/>
          <w:sz w:val="28"/>
          <w:szCs w:val="28"/>
          <w:lang w:val="en-US"/>
        </w:rPr>
        <mc:AlternateContent>
          <mc:Choice Requires="wps">
            <w:drawing>
              <wp:anchor distT="0" distB="0" distL="114300" distR="114300" simplePos="0" relativeHeight="251700224" behindDoc="0" locked="0" layoutInCell="1" allowOverlap="1" wp14:anchorId="75D75E5C" wp14:editId="624BE9EE">
                <wp:simplePos x="0" y="0"/>
                <wp:positionH relativeFrom="margin">
                  <wp:posOffset>3562350</wp:posOffset>
                </wp:positionH>
                <wp:positionV relativeFrom="paragraph">
                  <wp:posOffset>3485515</wp:posOffset>
                </wp:positionV>
                <wp:extent cx="2533650" cy="400050"/>
                <wp:effectExtent l="0" t="0" r="0" b="0"/>
                <wp:wrapNone/>
                <wp:docPr id="74" name="Надпись 74"/>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5D75E5C" id="Надпись 74" o:spid="_x0000_s1049" type="#_x0000_t202" style="position:absolute;left:0;text-align:left;margin-left:280.5pt;margin-top:274.45pt;width:199.5pt;height:31.5pt;z-index:25170022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v:textbox>
                <w10:wrap anchorx="margin"/>
              </v:shape>
            </w:pict>
          </mc:Fallback>
        </mc:AlternateContent>
      </w:r>
      <w:r w:rsidRPr="00852221">
        <w:rPr>
          <w:rFonts w:ascii="Times New Roman" w:hAnsi="Times New Roman" w:cs="Times New Roman"/>
          <w:bCs/>
          <w:noProof/>
          <w:sz w:val="28"/>
          <w:szCs w:val="28"/>
          <w:lang w:val="en-US"/>
        </w:rPr>
        <mc:AlternateContent>
          <mc:Choice Requires="wps">
            <w:drawing>
              <wp:anchor distT="0" distB="0" distL="114300" distR="114300" simplePos="0" relativeHeight="251701248" behindDoc="0" locked="0" layoutInCell="1" allowOverlap="1" wp14:anchorId="155A28B4" wp14:editId="3ED841AE">
                <wp:simplePos x="0" y="0"/>
                <wp:positionH relativeFrom="margin">
                  <wp:posOffset>5553075</wp:posOffset>
                </wp:positionH>
                <wp:positionV relativeFrom="paragraph">
                  <wp:posOffset>3495040</wp:posOffset>
                </wp:positionV>
                <wp:extent cx="2533650" cy="400050"/>
                <wp:effectExtent l="0" t="0" r="0" b="0"/>
                <wp:wrapNone/>
                <wp:docPr id="75" name="Надпись 75"/>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Ж</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55A28B4" id="Надпись 75" o:spid="_x0000_s1050" type="#_x0000_t202" style="position:absolute;left:0;text-align:left;margin-left:437.25pt;margin-top:275.2pt;width:199.5pt;height:31.5pt;z-index:251701248;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Ж</w:t>
                      </w:r>
                    </w:p>
                  </w:txbxContent>
                </v:textbox>
                <w10:wrap anchorx="margin"/>
              </v:shape>
            </w:pict>
          </mc:Fallback>
        </mc:AlternateContent>
      </w:r>
      <w:r>
        <w:rPr>
          <w:rFonts w:ascii="Times New Roman" w:hAnsi="Times New Roman" w:cs="Times New Roman"/>
          <w:bCs/>
          <w:noProof/>
          <w:sz w:val="28"/>
          <w:szCs w:val="28"/>
          <w:lang w:val="en-US"/>
        </w:rPr>
        <w:drawing>
          <wp:inline distT="0" distB="0" distL="0" distR="0">
            <wp:extent cx="5934075" cy="3886200"/>
            <wp:effectExtent l="0" t="0" r="9525" b="0"/>
            <wp:docPr id="98" name="Рисунок 98" descr="2,18х1,88х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18х1,88х1,8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34075" cy="3886200"/>
                    </a:xfrm>
                    <a:prstGeom prst="rect">
                      <a:avLst/>
                    </a:prstGeom>
                    <a:noFill/>
                    <a:ln>
                      <a:noFill/>
                    </a:ln>
                  </pic:spPr>
                </pic:pic>
              </a:graphicData>
            </a:graphic>
          </wp:inline>
        </w:drawing>
      </w:r>
      <w:r w:rsidR="00CF1C49">
        <w:rPr>
          <w:rFonts w:ascii="Times New Roman" w:hAnsi="Times New Roman" w:cs="Times New Roman"/>
          <w:bCs/>
          <w:sz w:val="28"/>
          <w:szCs w:val="28"/>
        </w:rPr>
        <w:t>Рис. 3.24</w:t>
      </w:r>
      <w:r w:rsidRPr="000A42C5">
        <w:rPr>
          <w:rFonts w:ascii="Times New Roman" w:hAnsi="Times New Roman" w:cs="Times New Roman"/>
          <w:bCs/>
          <w:sz w:val="28"/>
          <w:szCs w:val="28"/>
        </w:rPr>
        <w:t xml:space="preserve">. </w:t>
      </w:r>
      <w:r>
        <w:rPr>
          <w:rFonts w:ascii="Times New Roman" w:hAnsi="Times New Roman" w:cs="Times New Roman"/>
          <w:bCs/>
          <w:sz w:val="28"/>
          <w:szCs w:val="28"/>
        </w:rPr>
        <w:t>МРТ хворої К., 45</w:t>
      </w:r>
      <w:r w:rsidRPr="00423A19">
        <w:rPr>
          <w:rFonts w:ascii="Times New Roman" w:hAnsi="Times New Roman" w:cs="Times New Roman"/>
          <w:bCs/>
          <w:sz w:val="28"/>
          <w:szCs w:val="28"/>
        </w:rPr>
        <w:t xml:space="preserve"> р.,</w:t>
      </w:r>
      <w:r>
        <w:rPr>
          <w:rFonts w:ascii="Times New Roman" w:hAnsi="Times New Roman" w:cs="Times New Roman"/>
          <w:bCs/>
          <w:sz w:val="28"/>
          <w:szCs w:val="28"/>
        </w:rPr>
        <w:t xml:space="preserve"> SRM лівої нирки: кіста класу IІ</w:t>
      </w:r>
      <w:r>
        <w:rPr>
          <w:rFonts w:ascii="Times New Roman" w:hAnsi="Times New Roman" w:cs="Times New Roman"/>
          <w:bCs/>
          <w:sz w:val="28"/>
          <w:szCs w:val="28"/>
          <w:lang w:val="en-US"/>
        </w:rPr>
        <w:t>F</w:t>
      </w:r>
      <w:r w:rsidRPr="00423A19">
        <w:rPr>
          <w:rFonts w:ascii="Times New Roman" w:hAnsi="Times New Roman" w:cs="Times New Roman"/>
          <w:bCs/>
          <w:sz w:val="28"/>
          <w:szCs w:val="28"/>
        </w:rPr>
        <w:t xml:space="preserve"> за Bosniak, </w:t>
      </w:r>
      <w:r w:rsidRPr="00423A19">
        <w:rPr>
          <w:rFonts w:ascii="Times New Roman" w:hAnsi="Times New Roman" w:cs="Times New Roman"/>
          <w:sz w:val="28"/>
          <w:szCs w:val="28"/>
        </w:rPr>
        <w:t>розміром 2,</w:t>
      </w:r>
      <w:r>
        <w:rPr>
          <w:rFonts w:ascii="Times New Roman" w:hAnsi="Times New Roman" w:cs="Times New Roman"/>
          <w:sz w:val="28"/>
          <w:szCs w:val="28"/>
        </w:rPr>
        <w:t>2х1,9х1</w:t>
      </w:r>
      <w:r w:rsidRPr="00423A19">
        <w:rPr>
          <w:rFonts w:ascii="Times New Roman" w:hAnsi="Times New Roman" w:cs="Times New Roman"/>
          <w:sz w:val="28"/>
          <w:szCs w:val="28"/>
        </w:rPr>
        <w:t>,</w:t>
      </w:r>
      <w:r>
        <w:rPr>
          <w:rFonts w:ascii="Times New Roman" w:hAnsi="Times New Roman" w:cs="Times New Roman"/>
          <w:sz w:val="28"/>
          <w:szCs w:val="28"/>
        </w:rPr>
        <w:t>9</w:t>
      </w:r>
      <w:r w:rsidRPr="00423A19">
        <w:rPr>
          <w:rFonts w:ascii="Times New Roman" w:hAnsi="Times New Roman" w:cs="Times New Roman"/>
          <w:sz w:val="28"/>
          <w:szCs w:val="28"/>
        </w:rPr>
        <w:t xml:space="preserve"> см.</w:t>
      </w:r>
      <w:r>
        <w:rPr>
          <w:rFonts w:ascii="Times New Roman" w:hAnsi="Times New Roman" w:cs="Times New Roman"/>
          <w:bCs/>
          <w:sz w:val="28"/>
          <w:szCs w:val="28"/>
        </w:rPr>
        <w:t xml:space="preserve"> </w:t>
      </w:r>
      <w:r w:rsidRPr="000A42C5">
        <w:rPr>
          <w:rFonts w:ascii="Times New Roman" w:hAnsi="Times New Roman" w:cs="Times New Roman"/>
          <w:sz w:val="28"/>
          <w:szCs w:val="28"/>
        </w:rPr>
        <w:t>На межі середнього та нижнього сегментів лівої нирки парапельвікально визначається к</w:t>
      </w:r>
      <w:r>
        <w:rPr>
          <w:rFonts w:ascii="Times New Roman" w:hAnsi="Times New Roman" w:cs="Times New Roman"/>
          <w:sz w:val="28"/>
          <w:szCs w:val="28"/>
        </w:rPr>
        <w:t xml:space="preserve">истовидний утвір округлої форми, </w:t>
      </w:r>
      <w:r w:rsidRPr="000A42C5">
        <w:rPr>
          <w:rFonts w:ascii="Times New Roman" w:hAnsi="Times New Roman" w:cs="Times New Roman"/>
          <w:sz w:val="28"/>
          <w:szCs w:val="28"/>
        </w:rPr>
        <w:t>гіперінтенсивний по відношенню до тканини нирки на Т2 ЗЗ та  помірно гіперінтенсивний на Т1 ЗЗ</w:t>
      </w:r>
      <w:r>
        <w:rPr>
          <w:rFonts w:ascii="Times New Roman" w:hAnsi="Times New Roman" w:cs="Times New Roman"/>
          <w:sz w:val="28"/>
          <w:szCs w:val="28"/>
        </w:rPr>
        <w:t xml:space="preserve"> (</w:t>
      </w:r>
      <w:r w:rsidRPr="000A42C5">
        <w:rPr>
          <w:rFonts w:ascii="Times New Roman" w:hAnsi="Times New Roman" w:cs="Times New Roman"/>
          <w:sz w:val="28"/>
          <w:szCs w:val="28"/>
        </w:rPr>
        <w:t>що свідчить про наявність у його вмісті геморагічних домішок); контури утвору чіткі, нерівні; по передньо-медіальному контуру утвору візалізується судина</w:t>
      </w:r>
      <w:r>
        <w:rPr>
          <w:rFonts w:ascii="Times New Roman" w:hAnsi="Times New Roman" w:cs="Times New Roman"/>
          <w:sz w:val="28"/>
          <w:szCs w:val="28"/>
        </w:rPr>
        <w:t xml:space="preserve">, що інтимно прилягає до утвору; А: сагітальна проекція, Т2-ЗЗ послідовність </w:t>
      </w:r>
      <w:r>
        <w:rPr>
          <w:rFonts w:ascii="Times New Roman" w:hAnsi="Times New Roman" w:cs="Times New Roman"/>
          <w:sz w:val="28"/>
          <w:szCs w:val="28"/>
          <w:lang w:val="en-US"/>
        </w:rPr>
        <w:t>FRFSE</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кіста позначена стрілкою; Б: осьова проекція, послідовність DEcho </w:t>
      </w:r>
      <w:r>
        <w:rPr>
          <w:rFonts w:ascii="Times New Roman" w:hAnsi="Times New Roman" w:cs="Times New Roman"/>
          <w:sz w:val="28"/>
          <w:szCs w:val="28"/>
          <w:lang w:val="en-US"/>
        </w:rPr>
        <w:t>FSPGR</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out</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phase</w:t>
      </w:r>
      <w:r w:rsidRPr="009E6C7E">
        <w:rPr>
          <w:rFonts w:ascii="Times New Roman" w:hAnsi="Times New Roman" w:cs="Times New Roman"/>
          <w:sz w:val="28"/>
          <w:szCs w:val="28"/>
        </w:rPr>
        <w:t xml:space="preserve">; В: </w:t>
      </w:r>
      <w:r>
        <w:rPr>
          <w:rFonts w:ascii="Times New Roman" w:hAnsi="Times New Roman" w:cs="Times New Roman"/>
          <w:sz w:val="28"/>
          <w:szCs w:val="28"/>
        </w:rPr>
        <w:t xml:space="preserve">осьова проекція, </w:t>
      </w:r>
      <w:r w:rsidRPr="009E6C7E">
        <w:rPr>
          <w:rFonts w:ascii="Times New Roman" w:hAnsi="Times New Roman" w:cs="Times New Roman"/>
          <w:sz w:val="28"/>
          <w:szCs w:val="28"/>
        </w:rPr>
        <w:t>Т2-ЗЗ</w:t>
      </w:r>
      <w:r>
        <w:rPr>
          <w:rFonts w:ascii="Times New Roman" w:hAnsi="Times New Roman" w:cs="Times New Roman"/>
          <w:sz w:val="28"/>
          <w:szCs w:val="28"/>
        </w:rPr>
        <w:t xml:space="preserve"> послідовність </w:t>
      </w:r>
      <w:r>
        <w:rPr>
          <w:rFonts w:ascii="Times New Roman" w:hAnsi="Times New Roman" w:cs="Times New Roman"/>
          <w:sz w:val="28"/>
          <w:szCs w:val="28"/>
          <w:lang w:val="en-US"/>
        </w:rPr>
        <w:t>SSFSE</w:t>
      </w:r>
      <w:r w:rsidRPr="009E6C7E">
        <w:rPr>
          <w:rFonts w:ascii="Times New Roman" w:hAnsi="Times New Roman" w:cs="Times New Roman"/>
          <w:sz w:val="28"/>
          <w:szCs w:val="28"/>
        </w:rPr>
        <w:t xml:space="preserve"> </w:t>
      </w:r>
      <w:r>
        <w:rPr>
          <w:rFonts w:ascii="Times New Roman" w:hAnsi="Times New Roman" w:cs="Times New Roman"/>
          <w:sz w:val="28"/>
          <w:szCs w:val="28"/>
        </w:rPr>
        <w:t>із сатурацією жиру; Г: Т1 послідовність</w:t>
      </w:r>
      <w:r>
        <w:rPr>
          <w:rFonts w:ascii="Times New Roman" w:hAnsi="Times New Roman" w:cs="Times New Roman"/>
          <w:bCs/>
          <w:sz w:val="28"/>
          <w:szCs w:val="28"/>
        </w:rPr>
        <w:t xml:space="preserve"> </w:t>
      </w:r>
      <w:r>
        <w:rPr>
          <w:rFonts w:ascii="Times New Roman" w:hAnsi="Times New Roman"/>
          <w:sz w:val="28"/>
          <w:szCs w:val="28"/>
          <w:lang w:val="en-US"/>
        </w:rPr>
        <w:t>FSE</w:t>
      </w:r>
      <w:r>
        <w:rPr>
          <w:rFonts w:ascii="Times New Roman" w:hAnsi="Times New Roman"/>
          <w:sz w:val="28"/>
          <w:szCs w:val="28"/>
        </w:rPr>
        <w:t xml:space="preserve">; </w:t>
      </w:r>
      <w:r w:rsidRPr="006816F6">
        <w:rPr>
          <w:rFonts w:ascii="Times New Roman" w:hAnsi="Times New Roman" w:cs="Times New Roman"/>
          <w:sz w:val="28"/>
          <w:szCs w:val="28"/>
        </w:rPr>
        <w:t xml:space="preserve">Д: аксіальне ДЗЗ, </w:t>
      </w:r>
      <w:r w:rsidRPr="006816F6">
        <w:rPr>
          <w:rFonts w:ascii="Times New Roman" w:hAnsi="Times New Roman" w:cs="Times New Roman"/>
          <w:sz w:val="28"/>
          <w:szCs w:val="28"/>
          <w:lang w:val="en-US"/>
        </w:rPr>
        <w:t>b</w:t>
      </w:r>
      <w:r w:rsidRPr="006816F6">
        <w:rPr>
          <w:rFonts w:ascii="Times New Roman" w:hAnsi="Times New Roman" w:cs="Times New Roman"/>
          <w:sz w:val="28"/>
          <w:szCs w:val="28"/>
        </w:rPr>
        <w:t>-значення=0, 800 сек</w:t>
      </w:r>
      <w:r w:rsidRPr="006816F6">
        <w:rPr>
          <w:rFonts w:ascii="Times New Roman" w:eastAsiaTheme="minorEastAsia" w:hAnsi="Times New Roman" w:cs="Times New Roman"/>
          <w:sz w:val="28"/>
          <w:szCs w:val="28"/>
        </w:rPr>
        <w:t>/мм</w:t>
      </w:r>
      <w:r w:rsidRPr="006816F6">
        <w:rPr>
          <w:rFonts w:ascii="Times New Roman" w:eastAsiaTheme="minorEastAsia" w:hAnsi="Times New Roman" w:cs="Times New Roman"/>
          <w:sz w:val="28"/>
          <w:szCs w:val="28"/>
          <w:vertAlign w:val="superscript"/>
        </w:rPr>
        <w:t>2</w:t>
      </w:r>
      <w:r w:rsidRPr="006816F6">
        <w:rPr>
          <w:rFonts w:ascii="Times New Roman" w:hAnsi="Times New Roman" w:cs="Times New Roman"/>
          <w:sz w:val="28"/>
          <w:szCs w:val="28"/>
        </w:rPr>
        <w:t xml:space="preserve">, </w:t>
      </w:r>
      <w:r>
        <w:rPr>
          <w:rFonts w:ascii="Times New Roman" w:hAnsi="Times New Roman" w:cs="Times New Roman"/>
          <w:sz w:val="28"/>
          <w:szCs w:val="28"/>
        </w:rPr>
        <w:t>кіста</w:t>
      </w:r>
      <w:r w:rsidRPr="006816F6">
        <w:rPr>
          <w:rFonts w:ascii="Times New Roman" w:hAnsi="Times New Roman" w:cs="Times New Roman"/>
          <w:sz w:val="28"/>
          <w:szCs w:val="28"/>
        </w:rPr>
        <w:t xml:space="preserve"> </w:t>
      </w:r>
      <w:r>
        <w:rPr>
          <w:rFonts w:ascii="Times New Roman" w:hAnsi="Times New Roman" w:cs="Times New Roman"/>
          <w:sz w:val="28"/>
          <w:szCs w:val="28"/>
        </w:rPr>
        <w:t>представлена гіперінтенсивною ділянкою</w:t>
      </w:r>
      <w:r w:rsidRPr="006816F6">
        <w:rPr>
          <w:rFonts w:ascii="Times New Roman" w:hAnsi="Times New Roman" w:cs="Times New Roman"/>
          <w:sz w:val="28"/>
          <w:szCs w:val="28"/>
        </w:rPr>
        <w:t xml:space="preserve">; </w:t>
      </w:r>
      <w:r w:rsidRPr="009E6C7E">
        <w:rPr>
          <w:rFonts w:ascii="Times New Roman" w:hAnsi="Times New Roman" w:cs="Times New Roman"/>
          <w:sz w:val="28"/>
          <w:szCs w:val="28"/>
        </w:rPr>
        <w:t xml:space="preserve">Ж: </w:t>
      </w:r>
      <w:r w:rsidRPr="006816F6">
        <w:rPr>
          <w:rFonts w:ascii="Times New Roman" w:hAnsi="Times New Roman" w:cs="Times New Roman"/>
          <w:sz w:val="28"/>
          <w:szCs w:val="28"/>
        </w:rPr>
        <w:t xml:space="preserve">ВКД-карта, ОЗ над ділянкою </w:t>
      </w:r>
      <w:r>
        <w:rPr>
          <w:rFonts w:ascii="Times New Roman" w:hAnsi="Times New Roman" w:cs="Times New Roman"/>
          <w:sz w:val="28"/>
          <w:szCs w:val="28"/>
        </w:rPr>
        <w:t>кісти</w:t>
      </w:r>
      <w:r w:rsidRPr="006816F6">
        <w:rPr>
          <w:rFonts w:ascii="Times New Roman" w:hAnsi="Times New Roman" w:cs="Times New Roman"/>
          <w:sz w:val="28"/>
          <w:szCs w:val="28"/>
        </w:rPr>
        <w:t xml:space="preserve">, </w:t>
      </w:r>
      <w:r>
        <w:rPr>
          <w:rFonts w:ascii="Times New Roman" w:hAnsi="Times New Roman" w:cs="Times New Roman"/>
          <w:sz w:val="28"/>
          <w:szCs w:val="28"/>
        </w:rPr>
        <w:t>ВКД</w:t>
      </w:r>
      <w:r w:rsidRPr="006816F6">
        <w:rPr>
          <w:rFonts w:ascii="Times New Roman" w:hAnsi="Times New Roman" w:cs="Times New Roman"/>
          <w:sz w:val="28"/>
          <w:szCs w:val="28"/>
        </w:rPr>
        <w:t xml:space="preserve"> </w:t>
      </w:r>
      <w:r w:rsidRPr="009E6C7E">
        <w:rPr>
          <w:rFonts w:ascii="Times New Roman" w:hAnsi="Times New Roman" w:cs="Times New Roman"/>
          <w:sz w:val="28"/>
          <w:szCs w:val="28"/>
        </w:rPr>
        <w:t>2.78×10</w:t>
      </w:r>
      <w:r w:rsidRPr="009E6C7E">
        <w:rPr>
          <w:rFonts w:ascii="Times New Roman" w:hAnsi="Times New Roman" w:cs="Times New Roman"/>
          <w:sz w:val="28"/>
          <w:szCs w:val="28"/>
          <w:vertAlign w:val="superscript"/>
        </w:rPr>
        <w:t>– 3</w:t>
      </w:r>
      <w:r w:rsidRPr="006816F6">
        <w:rPr>
          <w:rFonts w:ascii="Times New Roman" w:hAnsi="Times New Roman" w:cs="Times New Roman"/>
          <w:sz w:val="28"/>
          <w:szCs w:val="28"/>
        </w:rPr>
        <w:t xml:space="preserve"> мм</w:t>
      </w:r>
      <w:r w:rsidRPr="006816F6">
        <w:rPr>
          <w:rFonts w:ascii="Times New Roman" w:hAnsi="Times New Roman" w:cs="Times New Roman"/>
          <w:sz w:val="28"/>
          <w:szCs w:val="28"/>
          <w:vertAlign w:val="superscript"/>
        </w:rPr>
        <w:t>2</w:t>
      </w:r>
      <w:r w:rsidRPr="006816F6">
        <w:rPr>
          <w:rFonts w:ascii="Times New Roman" w:hAnsi="Times New Roman" w:cs="Times New Roman"/>
          <w:sz w:val="28"/>
          <w:szCs w:val="28"/>
        </w:rPr>
        <w:t>/с</w:t>
      </w:r>
      <w:r>
        <w:rPr>
          <w:rFonts w:ascii="Times New Roman" w:hAnsi="Times New Roman" w:cs="Times New Roman"/>
          <w:sz w:val="28"/>
          <w:szCs w:val="28"/>
        </w:rPr>
        <w:t>. При спостереженні впродовж 1 року ознак злоякісності не виявлено.</w:t>
      </w:r>
    </w:p>
    <w:p w:rsidR="00817533" w:rsidRPr="00423A19" w:rsidRDefault="00817533" w:rsidP="00817533">
      <w:pPr>
        <w:spacing w:line="360" w:lineRule="auto"/>
        <w:ind w:left="-142"/>
        <w:jc w:val="both"/>
        <w:rPr>
          <w:rFonts w:ascii="Times New Roman" w:hAnsi="Times New Roman" w:cs="Times New Roman"/>
          <w:sz w:val="28"/>
          <w:szCs w:val="28"/>
        </w:rPr>
      </w:pPr>
      <w:r w:rsidRPr="000A42C5">
        <w:rPr>
          <w:rFonts w:ascii="Times New Roman" w:hAnsi="Times New Roman" w:cs="Times New Roman"/>
          <w:noProof/>
          <w:sz w:val="28"/>
          <w:szCs w:val="28"/>
          <w:lang w:val="en-US"/>
        </w:rPr>
        <w:lastRenderedPageBreak/>
        <mc:AlternateContent>
          <mc:Choice Requires="wps">
            <w:drawing>
              <wp:anchor distT="0" distB="0" distL="114300" distR="114300" simplePos="0" relativeHeight="251695104" behindDoc="0" locked="0" layoutInCell="1" allowOverlap="1" wp14:anchorId="095C8436" wp14:editId="3D48B07B">
                <wp:simplePos x="0" y="0"/>
                <wp:positionH relativeFrom="margin">
                  <wp:posOffset>3857625</wp:posOffset>
                </wp:positionH>
                <wp:positionV relativeFrom="paragraph">
                  <wp:posOffset>2032635</wp:posOffset>
                </wp:positionV>
                <wp:extent cx="2533650" cy="400050"/>
                <wp:effectExtent l="0" t="0" r="0" b="0"/>
                <wp:wrapNone/>
                <wp:docPr id="117" name="Надпись 117"/>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Ж</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5C8436" id="Надпись 117" o:spid="_x0000_s1051" type="#_x0000_t202" style="position:absolute;left:0;text-align:left;margin-left:303.75pt;margin-top:160.05pt;width:199.5pt;height:31.5pt;z-index:25169510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Ж</w:t>
                      </w:r>
                    </w:p>
                  </w:txbxContent>
                </v:textbox>
                <w10:wrap anchorx="margin"/>
              </v:shape>
            </w:pict>
          </mc:Fallback>
        </mc:AlternateContent>
      </w:r>
      <w:r w:rsidRPr="000A42C5">
        <w:rPr>
          <w:rFonts w:ascii="Times New Roman" w:hAnsi="Times New Roman" w:cs="Times New Roman"/>
          <w:noProof/>
          <w:sz w:val="28"/>
          <w:szCs w:val="28"/>
          <w:lang w:val="en-US"/>
        </w:rPr>
        <mc:AlternateContent>
          <mc:Choice Requires="wps">
            <w:drawing>
              <wp:anchor distT="0" distB="0" distL="114300" distR="114300" simplePos="0" relativeHeight="251694080" behindDoc="0" locked="0" layoutInCell="1" allowOverlap="1" wp14:anchorId="28A7469C" wp14:editId="344CA60A">
                <wp:simplePos x="0" y="0"/>
                <wp:positionH relativeFrom="margin">
                  <wp:posOffset>1866900</wp:posOffset>
                </wp:positionH>
                <wp:positionV relativeFrom="paragraph">
                  <wp:posOffset>2023110</wp:posOffset>
                </wp:positionV>
                <wp:extent cx="2533650" cy="400050"/>
                <wp:effectExtent l="0" t="0" r="0" b="0"/>
                <wp:wrapNone/>
                <wp:docPr id="116" name="Надпись 116"/>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8A7469C" id="Надпись 116" o:spid="_x0000_s1052" type="#_x0000_t202" style="position:absolute;left:0;text-align:left;margin-left:147pt;margin-top:159.3pt;width:199.5pt;height:31.5pt;z-index:25169408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v:textbox>
                <w10:wrap anchorx="margin"/>
              </v:shape>
            </w:pict>
          </mc:Fallback>
        </mc:AlternateContent>
      </w:r>
      <w:r w:rsidRPr="000A42C5">
        <w:rPr>
          <w:rFonts w:ascii="Times New Roman" w:hAnsi="Times New Roman" w:cs="Times New Roman"/>
          <w:noProof/>
          <w:sz w:val="28"/>
          <w:szCs w:val="28"/>
          <w:lang w:val="en-US"/>
        </w:rPr>
        <mc:AlternateContent>
          <mc:Choice Requires="wps">
            <w:drawing>
              <wp:anchor distT="0" distB="0" distL="114300" distR="114300" simplePos="0" relativeHeight="251693056" behindDoc="0" locked="0" layoutInCell="1" allowOverlap="1" wp14:anchorId="7B8A9F87" wp14:editId="1016EC57">
                <wp:simplePos x="0" y="0"/>
                <wp:positionH relativeFrom="margin">
                  <wp:posOffset>-85725</wp:posOffset>
                </wp:positionH>
                <wp:positionV relativeFrom="paragraph">
                  <wp:posOffset>2023110</wp:posOffset>
                </wp:positionV>
                <wp:extent cx="2533650" cy="400050"/>
                <wp:effectExtent l="0" t="0" r="0" b="0"/>
                <wp:wrapNone/>
                <wp:docPr id="115" name="Надпись 115"/>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8A9F87" id="Надпись 115" o:spid="_x0000_s1053" type="#_x0000_t202" style="position:absolute;left:0;text-align:left;margin-left:-6.75pt;margin-top:159.3pt;width:199.5pt;height:31.5pt;z-index:25169305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w10:wrap anchorx="margin"/>
              </v:shape>
            </w:pict>
          </mc:Fallback>
        </mc:AlternateContent>
      </w:r>
      <w:r w:rsidRPr="000A42C5">
        <w:rPr>
          <w:rFonts w:ascii="Times New Roman" w:hAnsi="Times New Roman" w:cs="Times New Roman"/>
          <w:noProof/>
          <w:sz w:val="28"/>
          <w:szCs w:val="28"/>
          <w:lang w:val="en-US"/>
        </w:rPr>
        <mc:AlternateContent>
          <mc:Choice Requires="wps">
            <w:drawing>
              <wp:anchor distT="0" distB="0" distL="114300" distR="114300" simplePos="0" relativeHeight="251692032" behindDoc="0" locked="0" layoutInCell="1" allowOverlap="1" wp14:anchorId="5A758777" wp14:editId="69DAD378">
                <wp:simplePos x="0" y="0"/>
                <wp:positionH relativeFrom="page">
                  <wp:posOffset>4953000</wp:posOffset>
                </wp:positionH>
                <wp:positionV relativeFrom="paragraph">
                  <wp:posOffset>-62865</wp:posOffset>
                </wp:positionV>
                <wp:extent cx="2533650" cy="400050"/>
                <wp:effectExtent l="0" t="0" r="0" b="0"/>
                <wp:wrapNone/>
                <wp:docPr id="114" name="Надпись 114"/>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758777" id="Надпись 114" o:spid="_x0000_s1054" type="#_x0000_t202" style="position:absolute;left:0;text-align:left;margin-left:390pt;margin-top:-4.95pt;width:199.5pt;height:31.5pt;z-index:25169203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r w:rsidRPr="000A42C5">
        <w:rPr>
          <w:rFonts w:ascii="Times New Roman" w:hAnsi="Times New Roman" w:cs="Times New Roman"/>
          <w:noProof/>
          <w:sz w:val="28"/>
          <w:szCs w:val="28"/>
          <w:lang w:val="en-US"/>
        </w:rPr>
        <mc:AlternateContent>
          <mc:Choice Requires="wps">
            <w:drawing>
              <wp:anchor distT="0" distB="0" distL="114300" distR="114300" simplePos="0" relativeHeight="251691008" behindDoc="0" locked="0" layoutInCell="1" allowOverlap="1" wp14:anchorId="0AEF8A5F" wp14:editId="229C27F2">
                <wp:simplePos x="0" y="0"/>
                <wp:positionH relativeFrom="page">
                  <wp:posOffset>2928620</wp:posOffset>
                </wp:positionH>
                <wp:positionV relativeFrom="paragraph">
                  <wp:posOffset>-34290</wp:posOffset>
                </wp:positionV>
                <wp:extent cx="2533650" cy="400050"/>
                <wp:effectExtent l="0" t="0" r="0" b="0"/>
                <wp:wrapNone/>
                <wp:docPr id="113" name="Надпись 113"/>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EF8A5F" id="Надпись 113" o:spid="_x0000_s1055" type="#_x0000_t202" style="position:absolute;left:0;text-align:left;margin-left:230.6pt;margin-top:-2.7pt;width:199.5pt;height:31.5pt;z-index:25169100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0A42C5">
        <w:rPr>
          <w:rFonts w:ascii="Times New Roman" w:hAnsi="Times New Roman" w:cs="Times New Roman"/>
          <w:noProof/>
          <w:sz w:val="28"/>
          <w:szCs w:val="28"/>
          <w:lang w:val="en-US"/>
        </w:rPr>
        <mc:AlternateContent>
          <mc:Choice Requires="wps">
            <w:drawing>
              <wp:anchor distT="0" distB="0" distL="114300" distR="114300" simplePos="0" relativeHeight="251689984" behindDoc="0" locked="0" layoutInCell="1" allowOverlap="1" wp14:anchorId="5BB522B0" wp14:editId="4F00A77B">
                <wp:simplePos x="0" y="0"/>
                <wp:positionH relativeFrom="page">
                  <wp:posOffset>933450</wp:posOffset>
                </wp:positionH>
                <wp:positionV relativeFrom="paragraph">
                  <wp:posOffset>-5715</wp:posOffset>
                </wp:positionV>
                <wp:extent cx="2533650" cy="400050"/>
                <wp:effectExtent l="0" t="0" r="0" b="0"/>
                <wp:wrapNone/>
                <wp:docPr id="112" name="Надпись 112"/>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B522B0" id="Надпись 112" o:spid="_x0000_s1056" type="#_x0000_t202" style="position:absolute;left:0;text-align:left;margin-left:73.5pt;margin-top:-.45pt;width:199.5pt;height:31.5pt;z-index:25168998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" filled="f" stroked="f">
                <v:textbox>
                  <w:txbxContent>
                    <w:p w:rsidR="007B5A1D" w:rsidRPr="000E1E81" w:rsidRDefault="007B5A1D" w:rsidP="00817533">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E1E81">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sidRPr="00587BA9">
        <w:rPr>
          <w:rFonts w:eastAsia="Calibri"/>
          <w:noProof/>
          <w:lang w:val="en-US"/>
        </w:rPr>
        <w:drawing>
          <wp:inline distT="0" distB="0" distL="0" distR="0" wp14:anchorId="672608F3" wp14:editId="3932485D">
            <wp:extent cx="1980000" cy="1980000"/>
            <wp:effectExtent l="0" t="0" r="1270" b="127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80000" cy="1980000"/>
                    </a:xfrm>
                    <a:prstGeom prst="rect">
                      <a:avLst/>
                    </a:prstGeom>
                    <a:noFill/>
                    <a:ln>
                      <a:noFill/>
                    </a:ln>
                  </pic:spPr>
                </pic:pic>
              </a:graphicData>
            </a:graphic>
          </wp:inline>
        </w:drawing>
      </w:r>
      <w:r w:rsidRPr="00587BA9">
        <w:rPr>
          <w:rFonts w:eastAsia="Calibri"/>
          <w:noProof/>
          <w:lang w:val="en-US"/>
        </w:rPr>
        <w:drawing>
          <wp:inline distT="0" distB="0" distL="0" distR="0" wp14:anchorId="590EFBD0" wp14:editId="2EDF4736">
            <wp:extent cx="1980000" cy="1980000"/>
            <wp:effectExtent l="0" t="0" r="1270" b="127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980000" cy="1980000"/>
                    </a:xfrm>
                    <a:prstGeom prst="rect">
                      <a:avLst/>
                    </a:prstGeom>
                    <a:noFill/>
                    <a:ln>
                      <a:noFill/>
                    </a:ln>
                  </pic:spPr>
                </pic:pic>
              </a:graphicData>
            </a:graphic>
          </wp:inline>
        </w:drawing>
      </w:r>
      <w:r w:rsidRPr="00587BA9">
        <w:rPr>
          <w:rFonts w:eastAsia="Calibri"/>
          <w:noProof/>
          <w:lang w:val="en-US"/>
        </w:rPr>
        <w:drawing>
          <wp:inline distT="0" distB="0" distL="0" distR="0" wp14:anchorId="46BBA4A1" wp14:editId="27A78F4E">
            <wp:extent cx="1980000" cy="1980000"/>
            <wp:effectExtent l="0" t="0" r="1270" b="127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980000" cy="1980000"/>
                    </a:xfrm>
                    <a:prstGeom prst="rect">
                      <a:avLst/>
                    </a:prstGeom>
                    <a:noFill/>
                    <a:ln>
                      <a:noFill/>
                    </a:ln>
                  </pic:spPr>
                </pic:pic>
              </a:graphicData>
            </a:graphic>
          </wp:inline>
        </w:drawing>
      </w:r>
      <w:r w:rsidRPr="00587BA9">
        <w:rPr>
          <w:rFonts w:eastAsia="Calibri"/>
          <w:noProof/>
          <w:lang w:val="en-US"/>
        </w:rPr>
        <w:drawing>
          <wp:inline distT="0" distB="0" distL="0" distR="0" wp14:anchorId="62315C81" wp14:editId="1AB6B168">
            <wp:extent cx="1980000" cy="1980000"/>
            <wp:effectExtent l="0" t="0" r="1270" b="127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980000" cy="1980000"/>
                    </a:xfrm>
                    <a:prstGeom prst="rect">
                      <a:avLst/>
                    </a:prstGeom>
                    <a:noFill/>
                    <a:ln>
                      <a:noFill/>
                    </a:ln>
                  </pic:spPr>
                </pic:pic>
              </a:graphicData>
            </a:graphic>
          </wp:inline>
        </w:drawing>
      </w:r>
      <w:r w:rsidRPr="00587BA9">
        <w:rPr>
          <w:rFonts w:eastAsia="Calibri"/>
          <w:noProof/>
          <w:lang w:val="en-US"/>
        </w:rPr>
        <w:drawing>
          <wp:inline distT="0" distB="0" distL="0" distR="0" wp14:anchorId="6DC0B5E0" wp14:editId="150E3D13">
            <wp:extent cx="1980000" cy="1980000"/>
            <wp:effectExtent l="0" t="0" r="1270" b="127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980000" cy="1980000"/>
                    </a:xfrm>
                    <a:prstGeom prst="rect">
                      <a:avLst/>
                    </a:prstGeom>
                    <a:noFill/>
                    <a:ln>
                      <a:noFill/>
                    </a:ln>
                  </pic:spPr>
                </pic:pic>
              </a:graphicData>
            </a:graphic>
          </wp:inline>
        </w:drawing>
      </w:r>
      <w:r>
        <w:rPr>
          <w:rFonts w:ascii="Times New Roman" w:hAnsi="Times New Roman" w:cs="Times New Roman"/>
          <w:noProof/>
          <w:sz w:val="28"/>
          <w:szCs w:val="28"/>
          <w:lang w:val="en-US"/>
        </w:rPr>
        <w:drawing>
          <wp:inline distT="0" distB="0" distL="0" distR="0" wp14:anchorId="5E49CE8D" wp14:editId="5085F075">
            <wp:extent cx="1980000" cy="1980000"/>
            <wp:effectExtent l="0" t="0" r="1270" b="127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Untitled-1.jpg"/>
                    <pic:cNvPicPr/>
                  </pic:nvPicPr>
                  <pic:blipFill>
                    <a:blip r:embed="rId57">
                      <a:extLst>
                        <a:ext uri="{28A0092B-C50C-407E-A947-70E740481C1C}">
                          <a14:useLocalDpi xmlns:a14="http://schemas.microsoft.com/office/drawing/2010/main" val="0"/>
                        </a:ext>
                      </a:extLst>
                    </a:blip>
                    <a:stretch>
                      <a:fillRect/>
                    </a:stretch>
                  </pic:blipFill>
                  <pic:spPr>
                    <a:xfrm>
                      <a:off x="0" y="0"/>
                      <a:ext cx="1980000" cy="1980000"/>
                    </a:xfrm>
                    <a:prstGeom prst="rect">
                      <a:avLst/>
                    </a:prstGeom>
                  </pic:spPr>
                </pic:pic>
              </a:graphicData>
            </a:graphic>
          </wp:inline>
        </w:drawing>
      </w:r>
    </w:p>
    <w:p w:rsidR="000C3BC1" w:rsidRDefault="00CF1C49" w:rsidP="00817533">
      <w:pPr>
        <w:pStyle w:val="Standard"/>
        <w:autoSpaceDE w:val="0"/>
        <w:spacing w:line="276" w:lineRule="auto"/>
        <w:jc w:val="both"/>
        <w:rPr>
          <w:rFonts w:cs="Times New Roman"/>
          <w:sz w:val="28"/>
          <w:szCs w:val="28"/>
        </w:rPr>
      </w:pPr>
      <w:r>
        <w:rPr>
          <w:rFonts w:cs="Times New Roman"/>
          <w:bCs/>
          <w:sz w:val="28"/>
          <w:szCs w:val="28"/>
        </w:rPr>
        <w:t>Рис. 3.25</w:t>
      </w:r>
      <w:r w:rsidR="00817533" w:rsidRPr="00423A19">
        <w:rPr>
          <w:rFonts w:cs="Times New Roman"/>
          <w:bCs/>
          <w:sz w:val="28"/>
          <w:szCs w:val="28"/>
        </w:rPr>
        <w:t xml:space="preserve">. МРТ хворого К., 52 р., SRM лівої нирки: кіста класу IV за Bosniak (стрілки), </w:t>
      </w:r>
      <w:r w:rsidR="00817533" w:rsidRPr="00423A19">
        <w:rPr>
          <w:rFonts w:cs="Times New Roman"/>
          <w:sz w:val="28"/>
          <w:szCs w:val="28"/>
        </w:rPr>
        <w:t>розміром 2,2х2,4х2,3 см.</w:t>
      </w:r>
      <w:r w:rsidR="00817533" w:rsidRPr="00423A19">
        <w:rPr>
          <w:rFonts w:cs="Times New Roman"/>
          <w:bCs/>
          <w:sz w:val="28"/>
          <w:szCs w:val="28"/>
        </w:rPr>
        <w:t xml:space="preserve"> </w:t>
      </w:r>
      <w:r w:rsidR="00817533" w:rsidRPr="00423A19">
        <w:rPr>
          <w:rFonts w:eastAsia="Arial CYR" w:cs="Times New Roman"/>
          <w:sz w:val="28"/>
          <w:szCs w:val="28"/>
        </w:rPr>
        <w:t xml:space="preserve">При динамічному МРТ обстеженні після введення контрастної речовини визначається неоднорідне її накопичення по периферії утвору, з візуалізацією тканинних включень. </w:t>
      </w:r>
      <w:r w:rsidR="00817533" w:rsidRPr="00423A19">
        <w:rPr>
          <w:rFonts w:cs="Times New Roman"/>
          <w:sz w:val="28"/>
          <w:szCs w:val="28"/>
          <w:lang w:val="en-US"/>
        </w:rPr>
        <w:t>A</w:t>
      </w:r>
      <w:r w:rsidR="00817533" w:rsidRPr="00423A19">
        <w:rPr>
          <w:rFonts w:cs="Times New Roman"/>
          <w:sz w:val="28"/>
          <w:szCs w:val="28"/>
        </w:rPr>
        <w:t xml:space="preserve">: корональна </w:t>
      </w:r>
      <w:r w:rsidR="00817533" w:rsidRPr="00423A19">
        <w:rPr>
          <w:rFonts w:cs="Times New Roman"/>
          <w:sz w:val="28"/>
          <w:szCs w:val="28"/>
          <w:lang w:val="en-US"/>
        </w:rPr>
        <w:t>T</w:t>
      </w:r>
      <w:r w:rsidR="00817533" w:rsidRPr="00423A19">
        <w:rPr>
          <w:rFonts w:cs="Times New Roman"/>
          <w:sz w:val="28"/>
          <w:szCs w:val="28"/>
        </w:rPr>
        <w:t xml:space="preserve">2-зважена послідовність </w:t>
      </w:r>
      <w:r w:rsidR="00817533" w:rsidRPr="00423A19">
        <w:rPr>
          <w:rFonts w:cs="Times New Roman"/>
          <w:sz w:val="28"/>
          <w:szCs w:val="28"/>
          <w:lang w:val="en-US"/>
        </w:rPr>
        <w:t>SSFSE</w:t>
      </w:r>
      <w:r w:rsidR="00817533" w:rsidRPr="00423A19">
        <w:rPr>
          <w:rFonts w:cs="Times New Roman"/>
          <w:sz w:val="28"/>
          <w:szCs w:val="28"/>
        </w:rPr>
        <w:t>, негомогенний гіперінтенсивний новоутвір лівої нирки, , з неоднорідно потовщеними стінками, псевдокапсулою та без ознак інфільтрації в оточуючі тканини;</w:t>
      </w:r>
      <w:r w:rsidR="00817533">
        <w:rPr>
          <w:rFonts w:cs="Times New Roman"/>
          <w:sz w:val="28"/>
          <w:szCs w:val="28"/>
        </w:rPr>
        <w:t xml:space="preserve"> Б</w:t>
      </w:r>
      <w:r w:rsidR="00817533" w:rsidRPr="00423A19">
        <w:rPr>
          <w:rFonts w:cs="Times New Roman"/>
          <w:sz w:val="28"/>
          <w:szCs w:val="28"/>
        </w:rPr>
        <w:t xml:space="preserve">: аксіальна Т2-зважена послідовність </w:t>
      </w:r>
      <w:r w:rsidR="00817533" w:rsidRPr="00423A19">
        <w:rPr>
          <w:rFonts w:cs="Times New Roman"/>
          <w:sz w:val="28"/>
          <w:szCs w:val="28"/>
          <w:lang w:val="en-US"/>
        </w:rPr>
        <w:t>SSFSE</w:t>
      </w:r>
      <w:r w:rsidR="00817533" w:rsidRPr="00423A19">
        <w:rPr>
          <w:rFonts w:cs="Times New Roman"/>
          <w:sz w:val="28"/>
          <w:szCs w:val="28"/>
        </w:rPr>
        <w:t xml:space="preserve">, </w:t>
      </w:r>
      <w:r w:rsidR="00817533" w:rsidRPr="00423A19">
        <w:rPr>
          <w:rFonts w:cs="Times New Roman"/>
          <w:sz w:val="28"/>
          <w:szCs w:val="28"/>
          <w:lang w:val="en-US"/>
        </w:rPr>
        <w:t>SRM</w:t>
      </w:r>
      <w:r w:rsidR="00817533" w:rsidRPr="009E6C7E">
        <w:rPr>
          <w:rFonts w:cs="Times New Roman"/>
          <w:sz w:val="28"/>
          <w:szCs w:val="28"/>
        </w:rPr>
        <w:t xml:space="preserve"> </w:t>
      </w:r>
      <w:r w:rsidR="00817533" w:rsidRPr="00423A19">
        <w:rPr>
          <w:rFonts w:cs="Times New Roman"/>
          <w:sz w:val="28"/>
          <w:szCs w:val="28"/>
        </w:rPr>
        <w:t>лівої нирки представлений негомогенним гіперінтенсивним сигналом;</w:t>
      </w:r>
      <w:r w:rsidR="00817533">
        <w:rPr>
          <w:rFonts w:cs="Times New Roman"/>
          <w:sz w:val="28"/>
          <w:szCs w:val="28"/>
        </w:rPr>
        <w:t xml:space="preserve"> В</w:t>
      </w:r>
      <w:r w:rsidR="00817533" w:rsidRPr="00423A19">
        <w:rPr>
          <w:rFonts w:cs="Times New Roman"/>
          <w:sz w:val="28"/>
          <w:szCs w:val="28"/>
        </w:rPr>
        <w:t xml:space="preserve">: аксіальна Т2-зважена послідовність </w:t>
      </w:r>
      <w:r w:rsidR="00817533" w:rsidRPr="00423A19">
        <w:rPr>
          <w:rFonts w:cs="Times New Roman"/>
          <w:sz w:val="28"/>
          <w:szCs w:val="28"/>
          <w:lang w:val="en-US"/>
        </w:rPr>
        <w:t>LAVA</w:t>
      </w:r>
      <w:r w:rsidR="00817533" w:rsidRPr="00423A19">
        <w:rPr>
          <w:rFonts w:cs="Times New Roman"/>
          <w:sz w:val="28"/>
          <w:szCs w:val="28"/>
        </w:rPr>
        <w:t xml:space="preserve">, виконана </w:t>
      </w:r>
      <w:r w:rsidR="00817533" w:rsidRPr="00423A19">
        <w:rPr>
          <w:rFonts w:eastAsiaTheme="minorEastAsia" w:cs="Times New Roman"/>
          <w:sz w:val="28"/>
          <w:szCs w:val="28"/>
        </w:rPr>
        <w:t>після введення гадепентату дімеглуміну у дозі 0,1 ммоль/кг маси тіла, артеріальна фаза. Негомогенне контрастне підсилення периферичної зони пухлини, новоутвір містить тканинні компоненти, що накопичують контраст;</w:t>
      </w:r>
      <w:r w:rsidR="00817533">
        <w:rPr>
          <w:rFonts w:eastAsiaTheme="minorEastAsia" w:cs="Times New Roman"/>
          <w:sz w:val="28"/>
          <w:szCs w:val="28"/>
        </w:rPr>
        <w:t xml:space="preserve"> </w:t>
      </w:r>
      <w:r w:rsidR="00817533" w:rsidRPr="009E6C7E">
        <w:rPr>
          <w:rFonts w:cs="Times New Roman"/>
          <w:sz w:val="28"/>
          <w:szCs w:val="28"/>
        </w:rPr>
        <w:t>Г</w:t>
      </w:r>
      <w:r w:rsidR="00817533" w:rsidRPr="00423A19">
        <w:rPr>
          <w:rFonts w:cs="Times New Roman"/>
          <w:sz w:val="28"/>
          <w:szCs w:val="28"/>
        </w:rPr>
        <w:t xml:space="preserve">: сагітальна Т2-зважена послідовність </w:t>
      </w:r>
      <w:r w:rsidR="00817533" w:rsidRPr="00423A19">
        <w:rPr>
          <w:rFonts w:cs="Times New Roman"/>
          <w:sz w:val="28"/>
          <w:szCs w:val="28"/>
          <w:lang w:val="en-US"/>
        </w:rPr>
        <w:t>LAVA</w:t>
      </w:r>
      <w:r w:rsidR="00817533" w:rsidRPr="00423A19">
        <w:rPr>
          <w:rFonts w:cs="Times New Roman"/>
          <w:sz w:val="28"/>
          <w:szCs w:val="28"/>
        </w:rPr>
        <w:t xml:space="preserve">, виконана </w:t>
      </w:r>
      <w:r w:rsidR="00817533" w:rsidRPr="00423A19">
        <w:rPr>
          <w:rFonts w:eastAsiaTheme="minorEastAsia" w:cs="Times New Roman"/>
          <w:sz w:val="28"/>
          <w:szCs w:val="28"/>
        </w:rPr>
        <w:t>після введення</w:t>
      </w:r>
      <w:r w:rsidR="00817533" w:rsidRPr="009E6C7E">
        <w:rPr>
          <w:rFonts w:eastAsiaTheme="minorEastAsia" w:cs="Times New Roman"/>
          <w:sz w:val="28"/>
          <w:szCs w:val="28"/>
        </w:rPr>
        <w:t xml:space="preserve"> </w:t>
      </w:r>
      <w:r w:rsidR="00817533" w:rsidRPr="00423A19">
        <w:rPr>
          <w:rFonts w:eastAsiaTheme="minorEastAsia" w:cs="Times New Roman"/>
          <w:sz w:val="28"/>
          <w:szCs w:val="28"/>
        </w:rPr>
        <w:t>контрасту, нефрографічна фаза. Виражене негомогенне контрастне підсилення периферичної зони новоутворення, добре візуалізуються тканинні компоненти, які накопичують контраст;</w:t>
      </w:r>
      <w:r w:rsidR="00817533">
        <w:rPr>
          <w:rFonts w:eastAsiaTheme="minorEastAsia" w:cs="Times New Roman"/>
          <w:sz w:val="28"/>
          <w:szCs w:val="28"/>
        </w:rPr>
        <w:t xml:space="preserve"> </w:t>
      </w:r>
      <w:r w:rsidR="00817533" w:rsidRPr="009E6C7E">
        <w:rPr>
          <w:rFonts w:cs="Times New Roman"/>
          <w:sz w:val="28"/>
          <w:szCs w:val="28"/>
        </w:rPr>
        <w:t>Д</w:t>
      </w:r>
      <w:r w:rsidR="00817533" w:rsidRPr="00423A19">
        <w:rPr>
          <w:rFonts w:cs="Times New Roman"/>
          <w:sz w:val="28"/>
          <w:szCs w:val="28"/>
        </w:rPr>
        <w:t xml:space="preserve">: аксіальне ДЗЗ, </w:t>
      </w:r>
      <w:r w:rsidR="00817533" w:rsidRPr="00423A19">
        <w:rPr>
          <w:rFonts w:cs="Times New Roman"/>
          <w:sz w:val="28"/>
          <w:szCs w:val="28"/>
          <w:lang w:val="en-US"/>
        </w:rPr>
        <w:t>b</w:t>
      </w:r>
      <w:r w:rsidR="00817533" w:rsidRPr="00423A19">
        <w:rPr>
          <w:rFonts w:cs="Times New Roman"/>
          <w:sz w:val="28"/>
          <w:szCs w:val="28"/>
        </w:rPr>
        <w:t xml:space="preserve">-значення=0, 800 </w:t>
      </w:r>
      <w:r w:rsidR="00817533" w:rsidRPr="00807530">
        <w:rPr>
          <w:rFonts w:cs="Times New Roman"/>
          <w:sz w:val="28"/>
          <w:szCs w:val="28"/>
        </w:rPr>
        <w:t>с</w:t>
      </w:r>
      <w:r w:rsidR="00817533">
        <w:rPr>
          <w:rFonts w:cs="Times New Roman"/>
          <w:sz w:val="28"/>
          <w:szCs w:val="28"/>
        </w:rPr>
        <w:t>ек</w:t>
      </w:r>
      <w:r w:rsidR="00817533">
        <w:rPr>
          <w:rFonts w:eastAsiaTheme="minorEastAsia" w:cs="Times New Roman"/>
          <w:sz w:val="28"/>
          <w:szCs w:val="28"/>
        </w:rPr>
        <w:t>/</w:t>
      </w:r>
      <w:r w:rsidR="00817533" w:rsidRPr="00807530">
        <w:rPr>
          <w:rFonts w:eastAsiaTheme="minorEastAsia" w:cs="Times New Roman"/>
          <w:sz w:val="28"/>
          <w:szCs w:val="28"/>
        </w:rPr>
        <w:t>мм</w:t>
      </w:r>
      <w:r w:rsidR="00817533" w:rsidRPr="00807530">
        <w:rPr>
          <w:rFonts w:eastAsiaTheme="minorEastAsia" w:cs="Times New Roman"/>
          <w:sz w:val="28"/>
          <w:szCs w:val="28"/>
          <w:vertAlign w:val="superscript"/>
        </w:rPr>
        <w:t>2</w:t>
      </w:r>
      <w:r w:rsidR="00817533" w:rsidRPr="00423A19">
        <w:rPr>
          <w:rFonts w:cs="Times New Roman"/>
          <w:sz w:val="28"/>
          <w:szCs w:val="28"/>
        </w:rPr>
        <w:t>, пухлина репрезентована негомогенною гіперінтенси</w:t>
      </w:r>
      <w:r w:rsidR="00817533">
        <w:rPr>
          <w:rFonts w:cs="Times New Roman"/>
          <w:sz w:val="28"/>
          <w:szCs w:val="28"/>
        </w:rPr>
        <w:t xml:space="preserve">вною ділянкою обмеженої дифузії. </w:t>
      </w:r>
      <w:r w:rsidR="00817533" w:rsidRPr="009E6C7E">
        <w:rPr>
          <w:rFonts w:cs="Times New Roman"/>
          <w:sz w:val="28"/>
          <w:szCs w:val="28"/>
        </w:rPr>
        <w:t xml:space="preserve">Ж: </w:t>
      </w:r>
      <w:r w:rsidR="00817533" w:rsidRPr="00423A19">
        <w:rPr>
          <w:rFonts w:cs="Times New Roman"/>
          <w:sz w:val="28"/>
          <w:szCs w:val="28"/>
        </w:rPr>
        <w:t xml:space="preserve">ВКД-карта, ОЗ розташована над ділянкою із найменшим значенням ВКД, яке становило </w:t>
      </w:r>
      <w:r w:rsidR="00817533" w:rsidRPr="009E6C7E">
        <w:rPr>
          <w:rFonts w:cs="Times New Roman"/>
          <w:sz w:val="28"/>
          <w:szCs w:val="28"/>
        </w:rPr>
        <w:t>2.65×10</w:t>
      </w:r>
      <w:r w:rsidR="00817533" w:rsidRPr="009E6C7E">
        <w:rPr>
          <w:rFonts w:cs="Times New Roman"/>
          <w:sz w:val="28"/>
          <w:szCs w:val="28"/>
          <w:vertAlign w:val="superscript"/>
        </w:rPr>
        <w:t>– 3</w:t>
      </w:r>
      <w:r w:rsidR="00817533" w:rsidRPr="00423A19">
        <w:rPr>
          <w:rFonts w:cs="Times New Roman"/>
          <w:sz w:val="28"/>
          <w:szCs w:val="28"/>
        </w:rPr>
        <w:t xml:space="preserve"> мм</w:t>
      </w:r>
      <w:r w:rsidR="00817533" w:rsidRPr="00423A19">
        <w:rPr>
          <w:rFonts w:cs="Times New Roman"/>
          <w:sz w:val="28"/>
          <w:szCs w:val="28"/>
          <w:vertAlign w:val="superscript"/>
        </w:rPr>
        <w:t>2</w:t>
      </w:r>
      <w:r w:rsidR="00817533" w:rsidRPr="00423A19">
        <w:rPr>
          <w:rFonts w:cs="Times New Roman"/>
          <w:sz w:val="28"/>
          <w:szCs w:val="28"/>
        </w:rPr>
        <w:t>/с</w:t>
      </w:r>
      <w:r w:rsidR="00817533">
        <w:rPr>
          <w:rFonts w:cs="Times New Roman"/>
          <w:sz w:val="28"/>
          <w:szCs w:val="28"/>
        </w:rPr>
        <w:t xml:space="preserve">. Проведена парціальна нефректомія, </w:t>
      </w:r>
      <w:r w:rsidR="00817533">
        <w:rPr>
          <w:rFonts w:cs="Times New Roman"/>
          <w:bCs/>
          <w:sz w:val="28"/>
          <w:szCs w:val="28"/>
        </w:rPr>
        <w:t>п</w:t>
      </w:r>
      <w:r w:rsidR="00817533" w:rsidRPr="00423A19">
        <w:rPr>
          <w:rFonts w:cs="Times New Roman"/>
          <w:bCs/>
          <w:sz w:val="28"/>
          <w:szCs w:val="28"/>
        </w:rPr>
        <w:t xml:space="preserve">атоморфологічно - світлоклітинний кістозний НКР, ІІ ступінь за </w:t>
      </w:r>
      <w:r w:rsidR="00817533" w:rsidRPr="00423A19">
        <w:rPr>
          <w:rFonts w:cs="Times New Roman"/>
          <w:sz w:val="28"/>
          <w:szCs w:val="28"/>
        </w:rPr>
        <w:t>Fuhrman</w:t>
      </w:r>
    </w:p>
    <w:p w:rsidR="00095916" w:rsidRPr="00FC5277" w:rsidRDefault="00095916" w:rsidP="00095916">
      <w:pPr>
        <w:spacing w:line="360" w:lineRule="auto"/>
        <w:contextualSpacing/>
        <w:rPr>
          <w:rFonts w:ascii="Times New Roman" w:hAnsi="Times New Roman" w:cs="Times New Roman"/>
          <w:b/>
          <w:sz w:val="28"/>
          <w:szCs w:val="28"/>
        </w:rPr>
      </w:pPr>
      <w:r w:rsidRPr="00FC5277">
        <w:rPr>
          <w:rFonts w:ascii="Times New Roman" w:hAnsi="Times New Roman" w:cs="Times New Roman"/>
          <w:b/>
          <w:sz w:val="28"/>
          <w:szCs w:val="28"/>
        </w:rPr>
        <w:lastRenderedPageBreak/>
        <w:t xml:space="preserve">3.2. Диференційна діагностика </w:t>
      </w:r>
      <w:r>
        <w:rPr>
          <w:rFonts w:ascii="Times New Roman" w:hAnsi="Times New Roman" w:cs="Times New Roman"/>
          <w:b/>
          <w:sz w:val="28"/>
          <w:szCs w:val="28"/>
        </w:rPr>
        <w:t>НКР розміром</w:t>
      </w:r>
      <w:r w:rsidRPr="00FC5277">
        <w:rPr>
          <w:rFonts w:ascii="Times New Roman" w:hAnsi="Times New Roman" w:cs="Times New Roman"/>
          <w:b/>
          <w:sz w:val="28"/>
          <w:szCs w:val="28"/>
        </w:rPr>
        <w:t xml:space="preserve"> </w:t>
      </w:r>
      <w:r>
        <w:rPr>
          <w:rFonts w:ascii="Times New Roman" w:hAnsi="Times New Roman" w:cs="Times New Roman"/>
          <w:b/>
          <w:sz w:val="28"/>
          <w:szCs w:val="28"/>
        </w:rPr>
        <w:t xml:space="preserve">понад </w:t>
      </w:r>
      <w:r w:rsidRPr="00FC5277">
        <w:rPr>
          <w:rFonts w:ascii="Times New Roman" w:hAnsi="Times New Roman" w:cs="Times New Roman"/>
          <w:b/>
          <w:sz w:val="28"/>
          <w:szCs w:val="28"/>
        </w:rPr>
        <w:t>4 см</w:t>
      </w:r>
    </w:p>
    <w:p w:rsidR="00095916" w:rsidRPr="00FC5277" w:rsidRDefault="00095916" w:rsidP="00095916">
      <w:pPr>
        <w:spacing w:line="360" w:lineRule="auto"/>
        <w:contextualSpacing/>
        <w:rPr>
          <w:rFonts w:ascii="Times New Roman" w:hAnsi="Times New Roman" w:cs="Times New Roman"/>
          <w:b/>
          <w:sz w:val="28"/>
          <w:szCs w:val="28"/>
        </w:rPr>
      </w:pPr>
    </w:p>
    <w:p w:rsidR="00095916" w:rsidRPr="00FC5277" w:rsidRDefault="00095916" w:rsidP="00095916">
      <w:pPr>
        <w:spacing w:line="360" w:lineRule="auto"/>
        <w:ind w:firstLine="708"/>
        <w:jc w:val="both"/>
        <w:rPr>
          <w:rFonts w:ascii="Times New Roman" w:hAnsi="Times New Roman" w:cs="Times New Roman"/>
          <w:sz w:val="28"/>
          <w:szCs w:val="28"/>
        </w:rPr>
      </w:pPr>
      <w:r w:rsidRPr="00FC5277">
        <w:rPr>
          <w:rFonts w:ascii="Times New Roman" w:hAnsi="Times New Roman" w:cs="Times New Roman"/>
          <w:sz w:val="28"/>
          <w:szCs w:val="28"/>
        </w:rPr>
        <w:t xml:space="preserve">У дослідження було включено 244 випадки солідних і 152 випадки кістозних новоутворень нирок розміром понад 4 см у найбільшому вимірі, </w:t>
      </w:r>
      <w:r>
        <w:rPr>
          <w:rFonts w:ascii="Times New Roman" w:hAnsi="Times New Roman" w:cs="Times New Roman"/>
          <w:sz w:val="28"/>
          <w:szCs w:val="28"/>
        </w:rPr>
        <w:t>хворі</w:t>
      </w:r>
      <w:r w:rsidRPr="00FC5277">
        <w:rPr>
          <w:rFonts w:ascii="Times New Roman" w:hAnsi="Times New Roman" w:cs="Times New Roman"/>
          <w:sz w:val="28"/>
          <w:szCs w:val="28"/>
        </w:rPr>
        <w:t xml:space="preserve"> проходили діагностику та лікування на базі клініки кафедри урології Львівського національного медичного університету ім. Данила Галицького, </w:t>
      </w:r>
      <w:r w:rsidRPr="00FC5277">
        <w:rPr>
          <w:rFonts w:ascii="Times New Roman" w:hAnsi="Times New Roman"/>
          <w:sz w:val="28"/>
          <w:szCs w:val="28"/>
        </w:rPr>
        <w:t xml:space="preserve">урологічного відділення Львівської обласної клінічної лікарні та </w:t>
      </w:r>
      <w:r w:rsidRPr="00FC5277">
        <w:rPr>
          <w:rFonts w:ascii="Times New Roman" w:hAnsi="Times New Roman" w:cs="Times New Roman"/>
          <w:sz w:val="28"/>
          <w:szCs w:val="28"/>
        </w:rPr>
        <w:t>медичного центру «Євроклінік», м. Львів, впродовж 2013-2018 рр.</w:t>
      </w:r>
    </w:p>
    <w:p w:rsidR="00095916" w:rsidRPr="00FC5277" w:rsidRDefault="00095916" w:rsidP="008C4970">
      <w:pPr>
        <w:spacing w:line="360" w:lineRule="auto"/>
        <w:jc w:val="both"/>
        <w:rPr>
          <w:rFonts w:ascii="Times New Roman" w:hAnsi="Times New Roman" w:cs="Times New Roman"/>
          <w:sz w:val="28"/>
          <w:szCs w:val="28"/>
        </w:rPr>
      </w:pPr>
      <w:r w:rsidRPr="00FC5277">
        <w:rPr>
          <w:rFonts w:ascii="Times New Roman" w:hAnsi="Times New Roman" w:cs="Times New Roman"/>
          <w:b/>
          <w:sz w:val="28"/>
          <w:szCs w:val="28"/>
        </w:rPr>
        <w:tab/>
      </w:r>
      <w:r w:rsidRPr="00FC5277">
        <w:rPr>
          <w:rFonts w:ascii="Times New Roman" w:hAnsi="Times New Roman" w:cs="Times New Roman"/>
          <w:sz w:val="28"/>
          <w:szCs w:val="28"/>
        </w:rPr>
        <w:t xml:space="preserve">Критерії включення в дослідження були наступні: </w:t>
      </w:r>
      <w:r w:rsidRPr="008C4970">
        <w:rPr>
          <w:rFonts w:ascii="Times New Roman" w:hAnsi="Times New Roman" w:cs="Times New Roman"/>
          <w:sz w:val="28"/>
          <w:szCs w:val="28"/>
        </w:rPr>
        <w:t>дорослий вік хворого;</w:t>
      </w:r>
      <w:r w:rsidR="008C4970" w:rsidRPr="008C4970">
        <w:rPr>
          <w:rFonts w:ascii="Times New Roman" w:hAnsi="Times New Roman" w:cs="Times New Roman"/>
          <w:sz w:val="28"/>
          <w:szCs w:val="28"/>
          <w:lang w:val="ru-RU"/>
        </w:rPr>
        <w:t xml:space="preserve"> </w:t>
      </w:r>
      <w:r w:rsidRPr="008C4970">
        <w:rPr>
          <w:rFonts w:ascii="Times New Roman" w:hAnsi="Times New Roman" w:cs="Times New Roman"/>
          <w:sz w:val="28"/>
          <w:szCs w:val="28"/>
        </w:rPr>
        <w:t>розмір пухлини нирки,</w:t>
      </w:r>
      <w:r w:rsidRPr="008C4970">
        <w:rPr>
          <w:rFonts w:ascii="Times New Roman" w:hAnsi="Times New Roman" w:cs="Times New Roman"/>
          <w:b/>
          <w:sz w:val="28"/>
          <w:szCs w:val="28"/>
        </w:rPr>
        <w:t xml:space="preserve"> </w:t>
      </w:r>
      <w:r w:rsidRPr="008C4970">
        <w:rPr>
          <w:rFonts w:ascii="Times New Roman" w:hAnsi="Times New Roman" w:cs="Times New Roman"/>
          <w:sz w:val="28"/>
          <w:szCs w:val="28"/>
        </w:rPr>
        <w:t>за даними променевих обстежень &gt;4 см у найбільшому вимірі; відсутність протипоказів до проведення КТ чи МРТ, таких як: алергія на контрастний агент, виражена ниркова чи печінкова недостатність, маса тіла понад 150 кг, наявність великих металевих деталей в тілі чи кардіостимулятору (для МРТ), клаустрофобія, вагітність (для КТ);</w:t>
      </w:r>
      <w:r w:rsidR="008C4970" w:rsidRPr="008C4970">
        <w:rPr>
          <w:rFonts w:ascii="Times New Roman" w:hAnsi="Times New Roman" w:cs="Times New Roman"/>
          <w:sz w:val="28"/>
          <w:szCs w:val="28"/>
          <w:lang w:val="ru-RU"/>
        </w:rPr>
        <w:t xml:space="preserve"> </w:t>
      </w:r>
      <w:r w:rsidRPr="008C4970">
        <w:rPr>
          <w:rFonts w:ascii="Times New Roman" w:hAnsi="Times New Roman" w:cs="Times New Roman"/>
          <w:sz w:val="28"/>
          <w:szCs w:val="28"/>
        </w:rPr>
        <w:t xml:space="preserve">наявність показів до проведення крос-секційних обстежень, таких, як КТ чи МРТ або вже існуючих результатів цих обстежень на електронних носіях чи в </w:t>
      </w:r>
      <w:r w:rsidR="008C4970">
        <w:rPr>
          <w:rFonts w:ascii="Times New Roman" w:hAnsi="Times New Roman" w:cs="Times New Roman"/>
          <w:sz w:val="28"/>
          <w:szCs w:val="28"/>
        </w:rPr>
        <w:t>електронній базі даних (для КТ).</w:t>
      </w:r>
      <w:r w:rsidR="008C4970" w:rsidRPr="008C4970">
        <w:rPr>
          <w:rFonts w:ascii="Times New Roman" w:hAnsi="Times New Roman" w:cs="Times New Roman"/>
          <w:sz w:val="28"/>
          <w:szCs w:val="28"/>
          <w:lang w:val="ru-RU"/>
        </w:rPr>
        <w:t xml:space="preserve"> </w:t>
      </w:r>
      <w:r w:rsidRPr="00FC5277">
        <w:rPr>
          <w:rFonts w:ascii="Times New Roman" w:hAnsi="Times New Roman" w:cs="Times New Roman"/>
          <w:sz w:val="28"/>
          <w:szCs w:val="28"/>
        </w:rPr>
        <w:t>У дослідження не входили хворі з</w:t>
      </w:r>
      <w:r>
        <w:rPr>
          <w:rFonts w:ascii="Times New Roman" w:hAnsi="Times New Roman" w:cs="Times New Roman"/>
          <w:sz w:val="28"/>
          <w:szCs w:val="28"/>
        </w:rPr>
        <w:t xml:space="preserve"> інфекціями сечовивідних шляхів, </w:t>
      </w:r>
      <w:r w:rsidRPr="00FC5277">
        <w:rPr>
          <w:rFonts w:ascii="Times New Roman" w:hAnsi="Times New Roman" w:cs="Times New Roman"/>
          <w:sz w:val="28"/>
          <w:szCs w:val="28"/>
        </w:rPr>
        <w:t>із двостороннім чи множинним</w:t>
      </w:r>
      <w:r>
        <w:rPr>
          <w:rFonts w:ascii="Times New Roman" w:hAnsi="Times New Roman" w:cs="Times New Roman"/>
          <w:sz w:val="28"/>
          <w:szCs w:val="28"/>
        </w:rPr>
        <w:t xml:space="preserve"> пухлинним</w:t>
      </w:r>
      <w:r w:rsidRPr="00FC5277">
        <w:rPr>
          <w:rFonts w:ascii="Times New Roman" w:hAnsi="Times New Roman" w:cs="Times New Roman"/>
          <w:sz w:val="28"/>
          <w:szCs w:val="28"/>
        </w:rPr>
        <w:t xml:space="preserve"> ураженням нирок</w:t>
      </w:r>
      <w:r>
        <w:rPr>
          <w:rFonts w:ascii="Times New Roman" w:hAnsi="Times New Roman" w:cs="Times New Roman"/>
          <w:sz w:val="28"/>
          <w:szCs w:val="28"/>
        </w:rPr>
        <w:t xml:space="preserve"> та вираженою нирковою недостатністю</w:t>
      </w:r>
      <w:r w:rsidRPr="00FC5277">
        <w:rPr>
          <w:rFonts w:ascii="Times New Roman" w:hAnsi="Times New Roman" w:cs="Times New Roman"/>
          <w:sz w:val="28"/>
          <w:szCs w:val="28"/>
        </w:rPr>
        <w:t>. До включення в дослідження у жодного хворого ЧПБ</w:t>
      </w:r>
      <w:r>
        <w:rPr>
          <w:rFonts w:ascii="Times New Roman" w:hAnsi="Times New Roman" w:cs="Times New Roman"/>
          <w:sz w:val="28"/>
          <w:szCs w:val="28"/>
        </w:rPr>
        <w:t>,</w:t>
      </w:r>
      <w:r w:rsidRPr="00FC5277">
        <w:rPr>
          <w:rFonts w:ascii="Times New Roman" w:hAnsi="Times New Roman" w:cs="Times New Roman"/>
          <w:sz w:val="28"/>
          <w:szCs w:val="28"/>
        </w:rPr>
        <w:t xml:space="preserve"> чи будь-яке лікування пухлини нирки не проводилось. </w:t>
      </w:r>
    </w:p>
    <w:p w:rsidR="00095916" w:rsidRDefault="00095916" w:rsidP="00095916">
      <w:pPr>
        <w:spacing w:line="360" w:lineRule="auto"/>
        <w:ind w:firstLine="708"/>
        <w:jc w:val="both"/>
        <w:rPr>
          <w:rFonts w:ascii="Times New Roman" w:hAnsi="Times New Roman" w:cs="Times New Roman"/>
          <w:sz w:val="28"/>
          <w:szCs w:val="28"/>
        </w:rPr>
      </w:pPr>
      <w:r w:rsidRPr="00FC5277">
        <w:rPr>
          <w:rFonts w:ascii="Times New Roman" w:hAnsi="Times New Roman" w:cs="Times New Roman"/>
          <w:sz w:val="28"/>
          <w:szCs w:val="28"/>
        </w:rPr>
        <w:t xml:space="preserve">Для діагностики новоутворень </w:t>
      </w:r>
      <w:r>
        <w:rPr>
          <w:rFonts w:ascii="Times New Roman" w:hAnsi="Times New Roman" w:cs="Times New Roman"/>
          <w:sz w:val="28"/>
          <w:szCs w:val="28"/>
        </w:rPr>
        <w:t xml:space="preserve">нирок </w:t>
      </w:r>
      <w:r w:rsidRPr="00FC5277">
        <w:rPr>
          <w:rFonts w:ascii="Times New Roman" w:hAnsi="Times New Roman" w:cs="Times New Roman"/>
          <w:sz w:val="28"/>
          <w:szCs w:val="28"/>
        </w:rPr>
        <w:t>МРТ черевної порожнини проводили за</w:t>
      </w:r>
      <w:r>
        <w:rPr>
          <w:rFonts w:ascii="Times New Roman" w:hAnsi="Times New Roman" w:cs="Times New Roman"/>
          <w:sz w:val="28"/>
          <w:szCs w:val="28"/>
        </w:rPr>
        <w:t xml:space="preserve"> наступних</w:t>
      </w:r>
      <w:r w:rsidRPr="00FC5277">
        <w:rPr>
          <w:rFonts w:ascii="Times New Roman" w:hAnsi="Times New Roman" w:cs="Times New Roman"/>
          <w:sz w:val="28"/>
          <w:szCs w:val="28"/>
        </w:rPr>
        <w:t xml:space="preserve"> умов: сумнівних даних КТ; алергії на введення йодовмісних контрастних речовин; відмови хворого проходити КТ обстеження; вагітності; особистий вибір хворого.</w:t>
      </w:r>
    </w:p>
    <w:p w:rsidR="00095916" w:rsidRPr="00E11480" w:rsidRDefault="00095916" w:rsidP="00E1148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Дизайн проведеного досліджен</w:t>
      </w:r>
      <w:r w:rsidR="00074F93">
        <w:rPr>
          <w:rFonts w:ascii="Times New Roman" w:hAnsi="Times New Roman" w:cs="Times New Roman"/>
          <w:sz w:val="28"/>
          <w:szCs w:val="28"/>
        </w:rPr>
        <w:t>ня представлений на рисунку 3.26</w:t>
      </w:r>
      <w:r>
        <w:rPr>
          <w:rFonts w:ascii="Times New Roman" w:hAnsi="Times New Roman" w:cs="Times New Roman"/>
          <w:sz w:val="28"/>
          <w:szCs w:val="28"/>
        </w:rPr>
        <w:t>.</w:t>
      </w:r>
    </w:p>
    <w:p w:rsidR="00095916" w:rsidRPr="00FC5277" w:rsidRDefault="00844902" w:rsidP="008C4970">
      <w:pPr>
        <w:spacing w:line="360" w:lineRule="auto"/>
        <w:contextualSpacing/>
        <w:jc w:val="center"/>
        <w:rPr>
          <w:rFonts w:ascii="Times New Roman" w:hAnsi="Times New Roman" w:cs="Times New Roman"/>
          <w:b/>
          <w:sz w:val="28"/>
          <w:szCs w:val="28"/>
        </w:rPr>
      </w:pPr>
      <w:r>
        <w:rPr>
          <w:rFonts w:ascii="Times New Roman" w:hAnsi="Times New Roman" w:cs="Times New Roman"/>
          <w:b/>
          <w:noProof/>
          <w:sz w:val="28"/>
          <w:szCs w:val="28"/>
          <w:lang w:val="en-US"/>
        </w:rPr>
        <w:lastRenderedPageBreak/>
        <w:drawing>
          <wp:inline distT="0" distB="0" distL="0" distR="0">
            <wp:extent cx="4779034" cy="6330662"/>
            <wp:effectExtent l="0" t="0" r="2540"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дизайн.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4781284" cy="6333642"/>
                    </a:xfrm>
                    <a:prstGeom prst="rect">
                      <a:avLst/>
                    </a:prstGeom>
                  </pic:spPr>
                </pic:pic>
              </a:graphicData>
            </a:graphic>
          </wp:inline>
        </w:drawing>
      </w:r>
    </w:p>
    <w:p w:rsidR="00095916" w:rsidRPr="00F03FA8" w:rsidRDefault="00074F93" w:rsidP="00095916">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3.26</w:t>
      </w:r>
      <w:r w:rsidR="00095916" w:rsidRPr="00FC5277">
        <w:rPr>
          <w:rFonts w:ascii="Times New Roman" w:hAnsi="Times New Roman" w:cs="Times New Roman"/>
          <w:sz w:val="28"/>
          <w:szCs w:val="28"/>
        </w:rPr>
        <w:t>. Дизайн дослідження при вивченні променевих біомаркерів для діагностики НКР при диференціації ниркових новоутворів розміром понад 4 см</w:t>
      </w:r>
    </w:p>
    <w:p w:rsidR="00095916" w:rsidRDefault="00095916" w:rsidP="00095916">
      <w:pPr>
        <w:spacing w:line="360" w:lineRule="auto"/>
        <w:ind w:firstLine="708"/>
        <w:jc w:val="both"/>
        <w:rPr>
          <w:rFonts w:ascii="Times New Roman" w:hAnsi="Times New Roman"/>
          <w:sz w:val="28"/>
          <w:szCs w:val="28"/>
        </w:rPr>
      </w:pPr>
      <w:r>
        <w:rPr>
          <w:rFonts w:ascii="Times New Roman" w:hAnsi="Times New Roman" w:cs="Times New Roman"/>
          <w:sz w:val="28"/>
          <w:szCs w:val="28"/>
        </w:rPr>
        <w:t>Із 396</w:t>
      </w:r>
      <w:r w:rsidRPr="00FC5277">
        <w:rPr>
          <w:rFonts w:ascii="Times New Roman" w:hAnsi="Times New Roman" w:cs="Times New Roman"/>
          <w:sz w:val="28"/>
          <w:szCs w:val="28"/>
        </w:rPr>
        <w:t xml:space="preserve"> хворих із </w:t>
      </w:r>
      <w:r>
        <w:rPr>
          <w:rFonts w:ascii="Times New Roman" w:hAnsi="Times New Roman" w:cs="Times New Roman"/>
          <w:sz w:val="28"/>
          <w:szCs w:val="28"/>
        </w:rPr>
        <w:t xml:space="preserve">пухлинами нирок </w:t>
      </w:r>
      <w:r w:rsidRPr="00FC5277">
        <w:rPr>
          <w:rFonts w:ascii="Times New Roman" w:hAnsi="Times New Roman" w:cs="Times New Roman"/>
          <w:sz w:val="28"/>
          <w:szCs w:val="28"/>
        </w:rPr>
        <w:t xml:space="preserve"> було </w:t>
      </w:r>
      <w:r>
        <w:rPr>
          <w:rFonts w:ascii="Times New Roman" w:hAnsi="Times New Roman" w:cs="Times New Roman"/>
          <w:sz w:val="28"/>
          <w:szCs w:val="28"/>
        </w:rPr>
        <w:t xml:space="preserve">240 (60,61%) </w:t>
      </w:r>
      <w:r w:rsidRPr="00FC5277">
        <w:rPr>
          <w:rFonts w:ascii="Times New Roman" w:hAnsi="Times New Roman" w:cs="Times New Roman"/>
          <w:sz w:val="28"/>
          <w:szCs w:val="28"/>
        </w:rPr>
        <w:t xml:space="preserve">чоловіків і </w:t>
      </w:r>
      <w:r>
        <w:rPr>
          <w:rFonts w:ascii="Times New Roman" w:hAnsi="Times New Roman" w:cs="Times New Roman"/>
          <w:sz w:val="28"/>
          <w:szCs w:val="28"/>
        </w:rPr>
        <w:t xml:space="preserve">156 (39,39%) </w:t>
      </w:r>
      <w:r w:rsidRPr="00FC5277">
        <w:rPr>
          <w:rFonts w:ascii="Times New Roman" w:hAnsi="Times New Roman" w:cs="Times New Roman"/>
          <w:sz w:val="28"/>
          <w:szCs w:val="28"/>
        </w:rPr>
        <w:t>жінок. Середній вік становив</w:t>
      </w:r>
      <w:r>
        <w:rPr>
          <w:rFonts w:ascii="Times New Roman" w:hAnsi="Times New Roman" w:cs="Times New Roman"/>
          <w:sz w:val="28"/>
          <w:szCs w:val="28"/>
        </w:rPr>
        <w:t xml:space="preserve"> 58,11</w:t>
      </w:r>
      <w:r w:rsidRPr="00FC5277">
        <w:rPr>
          <w:rFonts w:ascii="Times New Roman" w:hAnsi="Times New Roman"/>
          <w:sz w:val="28"/>
          <w:szCs w:val="28"/>
        </w:rPr>
        <w:sym w:font="Symbol" w:char="F0B1"/>
      </w:r>
      <w:r>
        <w:rPr>
          <w:rFonts w:ascii="Times New Roman" w:hAnsi="Times New Roman"/>
          <w:sz w:val="28"/>
          <w:szCs w:val="28"/>
        </w:rPr>
        <w:t>9,20</w:t>
      </w:r>
      <w:r w:rsidRPr="00FC5277">
        <w:rPr>
          <w:rFonts w:ascii="Times New Roman" w:hAnsi="Times New Roman"/>
          <w:sz w:val="28"/>
          <w:szCs w:val="28"/>
        </w:rPr>
        <w:t xml:space="preserve"> р.</w:t>
      </w:r>
      <w:r>
        <w:rPr>
          <w:rFonts w:ascii="Times New Roman" w:hAnsi="Times New Roman"/>
          <w:sz w:val="28"/>
          <w:szCs w:val="28"/>
        </w:rPr>
        <w:t xml:space="preserve"> і варіювався в межах від 37 до 73</w:t>
      </w:r>
      <w:r w:rsidRPr="00FC5277">
        <w:rPr>
          <w:rFonts w:ascii="Times New Roman" w:hAnsi="Times New Roman"/>
          <w:sz w:val="28"/>
          <w:szCs w:val="28"/>
        </w:rPr>
        <w:t xml:space="preserve"> р. </w:t>
      </w:r>
      <w:r w:rsidRPr="00FC5277">
        <w:rPr>
          <w:rFonts w:ascii="Times New Roman" w:hAnsi="Times New Roman" w:cs="Times New Roman"/>
          <w:sz w:val="28"/>
          <w:szCs w:val="28"/>
        </w:rPr>
        <w:t>Вік чоловіків складав</w:t>
      </w:r>
      <w:r>
        <w:rPr>
          <w:rFonts w:ascii="Times New Roman" w:hAnsi="Times New Roman" w:cs="Times New Roman"/>
          <w:sz w:val="28"/>
          <w:szCs w:val="28"/>
        </w:rPr>
        <w:t xml:space="preserve"> 58,67</w:t>
      </w:r>
      <w:r w:rsidRPr="00FC5277">
        <w:rPr>
          <w:rFonts w:ascii="Times New Roman" w:hAnsi="Times New Roman"/>
          <w:sz w:val="28"/>
          <w:szCs w:val="28"/>
        </w:rPr>
        <w:sym w:font="Symbol" w:char="F0B1"/>
      </w:r>
      <w:r>
        <w:rPr>
          <w:rFonts w:ascii="Times New Roman" w:hAnsi="Times New Roman"/>
          <w:sz w:val="28"/>
          <w:szCs w:val="28"/>
        </w:rPr>
        <w:t>3</w:t>
      </w:r>
      <w:r w:rsidRPr="00FC5277">
        <w:rPr>
          <w:rFonts w:ascii="Times New Roman" w:hAnsi="Times New Roman"/>
          <w:sz w:val="28"/>
          <w:szCs w:val="28"/>
        </w:rPr>
        <w:t>,45 р.,</w:t>
      </w:r>
      <w:r>
        <w:rPr>
          <w:rFonts w:ascii="Times New Roman" w:hAnsi="Times New Roman"/>
          <w:sz w:val="28"/>
          <w:szCs w:val="28"/>
        </w:rPr>
        <w:t xml:space="preserve"> жінок – 57,25</w:t>
      </w:r>
      <w:r w:rsidRPr="00FC5277">
        <w:rPr>
          <w:rFonts w:ascii="Times New Roman" w:hAnsi="Times New Roman"/>
          <w:sz w:val="28"/>
          <w:szCs w:val="28"/>
        </w:rPr>
        <w:sym w:font="Symbol" w:char="F0B1"/>
      </w:r>
      <w:r>
        <w:rPr>
          <w:rFonts w:ascii="Times New Roman" w:hAnsi="Times New Roman"/>
          <w:sz w:val="28"/>
          <w:szCs w:val="28"/>
        </w:rPr>
        <w:t>3,53</w:t>
      </w:r>
      <w:r w:rsidRPr="00FC5277">
        <w:rPr>
          <w:rFonts w:ascii="Times New Roman" w:hAnsi="Times New Roman"/>
          <w:sz w:val="28"/>
          <w:szCs w:val="28"/>
        </w:rPr>
        <w:t xml:space="preserve"> р. </w:t>
      </w:r>
      <w:r>
        <w:rPr>
          <w:rFonts w:ascii="Times New Roman" w:hAnsi="Times New Roman"/>
          <w:sz w:val="28"/>
          <w:szCs w:val="28"/>
        </w:rPr>
        <w:t>У</w:t>
      </w:r>
      <w:r w:rsidRPr="00FC5277">
        <w:rPr>
          <w:rFonts w:ascii="Times New Roman" w:hAnsi="Times New Roman"/>
          <w:sz w:val="28"/>
          <w:szCs w:val="28"/>
        </w:rPr>
        <w:t xml:space="preserve">раження лівої нирки спостерігалось частіше </w:t>
      </w:r>
      <w:r>
        <w:rPr>
          <w:rFonts w:ascii="Times New Roman" w:hAnsi="Times New Roman"/>
          <w:sz w:val="28"/>
          <w:szCs w:val="28"/>
        </w:rPr>
        <w:t>–</w:t>
      </w:r>
      <w:r w:rsidRPr="00FC5277">
        <w:rPr>
          <w:rFonts w:ascii="Times New Roman" w:hAnsi="Times New Roman"/>
          <w:sz w:val="28"/>
          <w:szCs w:val="28"/>
        </w:rPr>
        <w:t xml:space="preserve"> </w:t>
      </w:r>
      <w:r>
        <w:rPr>
          <w:rFonts w:ascii="Times New Roman" w:hAnsi="Times New Roman"/>
          <w:sz w:val="28"/>
          <w:szCs w:val="28"/>
        </w:rPr>
        <w:t>у 215 (54,29%)</w:t>
      </w:r>
      <w:r w:rsidRPr="00FC5277">
        <w:rPr>
          <w:rFonts w:ascii="Times New Roman" w:hAnsi="Times New Roman"/>
          <w:sz w:val="28"/>
          <w:szCs w:val="28"/>
        </w:rPr>
        <w:t xml:space="preserve"> хворих, </w:t>
      </w:r>
      <w:r>
        <w:rPr>
          <w:rFonts w:ascii="Times New Roman" w:hAnsi="Times New Roman"/>
          <w:sz w:val="28"/>
          <w:szCs w:val="28"/>
        </w:rPr>
        <w:t>правої нирки</w:t>
      </w:r>
      <w:r w:rsidRPr="00FC5277">
        <w:rPr>
          <w:rFonts w:ascii="Times New Roman" w:hAnsi="Times New Roman"/>
          <w:sz w:val="28"/>
          <w:szCs w:val="28"/>
        </w:rPr>
        <w:t xml:space="preserve"> –</w:t>
      </w:r>
      <w:r>
        <w:rPr>
          <w:rFonts w:ascii="Times New Roman" w:hAnsi="Times New Roman"/>
          <w:sz w:val="28"/>
          <w:szCs w:val="28"/>
        </w:rPr>
        <w:t xml:space="preserve"> у </w:t>
      </w:r>
      <w:r>
        <w:rPr>
          <w:rFonts w:ascii="Times New Roman" w:hAnsi="Times New Roman"/>
          <w:sz w:val="28"/>
          <w:szCs w:val="28"/>
        </w:rPr>
        <w:lastRenderedPageBreak/>
        <w:t>181 (45,71%) хворого</w:t>
      </w:r>
      <w:r w:rsidRPr="00FC5277">
        <w:rPr>
          <w:rFonts w:ascii="Times New Roman" w:hAnsi="Times New Roman"/>
          <w:sz w:val="28"/>
          <w:szCs w:val="28"/>
        </w:rPr>
        <w:t xml:space="preserve">. Середній розмір пухлини становив </w:t>
      </w:r>
      <w:r>
        <w:rPr>
          <w:rFonts w:ascii="Times New Roman" w:hAnsi="Times New Roman"/>
          <w:sz w:val="28"/>
          <w:szCs w:val="28"/>
        </w:rPr>
        <w:t>7,56</w:t>
      </w:r>
      <w:r w:rsidRPr="00FC5277">
        <w:rPr>
          <w:rFonts w:ascii="Times New Roman" w:hAnsi="Times New Roman"/>
          <w:sz w:val="28"/>
          <w:szCs w:val="28"/>
        </w:rPr>
        <w:sym w:font="Symbol" w:char="F0B1"/>
      </w:r>
      <w:r>
        <w:rPr>
          <w:rFonts w:ascii="Times New Roman" w:hAnsi="Times New Roman"/>
          <w:sz w:val="28"/>
          <w:szCs w:val="28"/>
        </w:rPr>
        <w:t>2</w:t>
      </w:r>
      <w:r w:rsidRPr="00FC5277">
        <w:rPr>
          <w:rFonts w:ascii="Times New Roman" w:hAnsi="Times New Roman"/>
          <w:sz w:val="28"/>
          <w:szCs w:val="28"/>
        </w:rPr>
        <w:t xml:space="preserve">,54 см у найбільшому розмірі і коливався від </w:t>
      </w:r>
      <w:r>
        <w:rPr>
          <w:rFonts w:ascii="Times New Roman" w:hAnsi="Times New Roman"/>
          <w:sz w:val="28"/>
          <w:szCs w:val="28"/>
        </w:rPr>
        <w:t>4,05 до 12,95</w:t>
      </w:r>
      <w:r w:rsidRPr="00FC5277">
        <w:rPr>
          <w:rFonts w:ascii="Times New Roman" w:hAnsi="Times New Roman"/>
          <w:sz w:val="28"/>
          <w:szCs w:val="28"/>
        </w:rPr>
        <w:t xml:space="preserve"> см. </w:t>
      </w:r>
    </w:p>
    <w:p w:rsidR="00095916" w:rsidRDefault="00095916" w:rsidP="00095916">
      <w:pPr>
        <w:spacing w:line="360" w:lineRule="auto"/>
        <w:ind w:firstLine="708"/>
        <w:jc w:val="both"/>
        <w:rPr>
          <w:rFonts w:ascii="Times New Roman" w:hAnsi="Times New Roman"/>
          <w:sz w:val="28"/>
          <w:szCs w:val="28"/>
        </w:rPr>
      </w:pPr>
    </w:p>
    <w:p w:rsidR="00095916" w:rsidRDefault="00095916" w:rsidP="00095916">
      <w:pPr>
        <w:spacing w:line="360" w:lineRule="auto"/>
        <w:ind w:firstLine="708"/>
        <w:jc w:val="both"/>
        <w:rPr>
          <w:rFonts w:ascii="Times New Roman" w:hAnsi="Times New Roman"/>
          <w:sz w:val="28"/>
          <w:szCs w:val="28"/>
        </w:rPr>
      </w:pPr>
      <w:r>
        <w:rPr>
          <w:rFonts w:ascii="Times New Roman" w:hAnsi="Times New Roman"/>
          <w:sz w:val="28"/>
          <w:szCs w:val="28"/>
        </w:rPr>
        <w:t>3.2</w:t>
      </w:r>
      <w:r w:rsidRPr="00CB3FB6">
        <w:rPr>
          <w:rFonts w:ascii="Times New Roman" w:hAnsi="Times New Roman"/>
          <w:sz w:val="28"/>
          <w:szCs w:val="28"/>
        </w:rPr>
        <w:t xml:space="preserve">.1. </w:t>
      </w:r>
      <w:r>
        <w:rPr>
          <w:rFonts w:ascii="Times New Roman" w:hAnsi="Times New Roman"/>
          <w:sz w:val="28"/>
          <w:szCs w:val="28"/>
        </w:rPr>
        <w:t xml:space="preserve">Диференційна </w:t>
      </w:r>
      <w:r w:rsidRPr="00870F62">
        <w:rPr>
          <w:rFonts w:ascii="Times New Roman" w:hAnsi="Times New Roman"/>
          <w:sz w:val="28"/>
          <w:szCs w:val="28"/>
        </w:rPr>
        <w:t>діагностика солідного НКР</w:t>
      </w:r>
    </w:p>
    <w:p w:rsidR="00095916" w:rsidRPr="00724CE7" w:rsidRDefault="00095916" w:rsidP="000959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вивченні</w:t>
      </w:r>
      <w:r w:rsidRPr="00870F62">
        <w:rPr>
          <w:rFonts w:ascii="Times New Roman" w:hAnsi="Times New Roman" w:cs="Times New Roman"/>
          <w:sz w:val="28"/>
          <w:szCs w:val="28"/>
        </w:rPr>
        <w:t xml:space="preserve"> діагностичної цінності нових променевих біомаркерів у диференціації НКР </w:t>
      </w:r>
      <w:r>
        <w:rPr>
          <w:rFonts w:ascii="Times New Roman" w:hAnsi="Times New Roman" w:cs="Times New Roman"/>
          <w:sz w:val="28"/>
          <w:szCs w:val="28"/>
        </w:rPr>
        <w:t>розміром понад 4 см</w:t>
      </w:r>
      <w:r w:rsidRPr="00870F62">
        <w:rPr>
          <w:rFonts w:ascii="Times New Roman" w:hAnsi="Times New Roman" w:cs="Times New Roman"/>
          <w:sz w:val="28"/>
          <w:szCs w:val="28"/>
        </w:rPr>
        <w:t xml:space="preserve"> </w:t>
      </w:r>
      <w:r>
        <w:rPr>
          <w:rFonts w:ascii="Times New Roman" w:hAnsi="Times New Roman" w:cs="Times New Roman"/>
          <w:sz w:val="28"/>
          <w:szCs w:val="28"/>
        </w:rPr>
        <w:t>в дослідження входили</w:t>
      </w:r>
      <w:r w:rsidRPr="00870F62">
        <w:rPr>
          <w:rFonts w:ascii="Times New Roman" w:hAnsi="Times New Roman" w:cs="Times New Roman"/>
          <w:sz w:val="28"/>
          <w:szCs w:val="28"/>
        </w:rPr>
        <w:t xml:space="preserve"> лише випадки із вери</w:t>
      </w:r>
      <w:r>
        <w:rPr>
          <w:rFonts w:ascii="Times New Roman" w:hAnsi="Times New Roman" w:cs="Times New Roman"/>
          <w:sz w:val="28"/>
          <w:szCs w:val="28"/>
        </w:rPr>
        <w:t xml:space="preserve">фікованими діагнозами за даними </w:t>
      </w:r>
      <w:r w:rsidRPr="00870F62">
        <w:rPr>
          <w:rFonts w:ascii="Times New Roman" w:hAnsi="Times New Roman" w:cs="Times New Roman"/>
          <w:sz w:val="28"/>
          <w:szCs w:val="28"/>
        </w:rPr>
        <w:t xml:space="preserve">післяопераційних патоморфологічних заключень. Для цього нами були опрацьовані історії хворіб хворих із </w:t>
      </w:r>
      <w:r>
        <w:rPr>
          <w:rFonts w:ascii="Times New Roman" w:hAnsi="Times New Roman" w:cs="Times New Roman"/>
          <w:sz w:val="28"/>
          <w:szCs w:val="28"/>
        </w:rPr>
        <w:t>пухлинами нирок</w:t>
      </w:r>
      <w:r w:rsidRPr="00870F62">
        <w:rPr>
          <w:rFonts w:ascii="Times New Roman" w:hAnsi="Times New Roman" w:cs="Times New Roman"/>
          <w:sz w:val="28"/>
          <w:szCs w:val="28"/>
        </w:rPr>
        <w:t xml:space="preserve"> та електронні бази із результатами КТ та МРТ досліджень. </w:t>
      </w:r>
      <w:r>
        <w:rPr>
          <w:rFonts w:ascii="Times New Roman" w:hAnsi="Times New Roman" w:cs="Times New Roman"/>
          <w:sz w:val="28"/>
          <w:szCs w:val="28"/>
        </w:rPr>
        <w:t>П</w:t>
      </w:r>
      <w:r w:rsidRPr="00870F62">
        <w:rPr>
          <w:rFonts w:ascii="Times New Roman" w:hAnsi="Times New Roman" w:cs="Times New Roman"/>
          <w:sz w:val="28"/>
          <w:szCs w:val="28"/>
        </w:rPr>
        <w:t xml:space="preserve">ісля ретроспективного відбору випадків за даними історій хворіб та проспективного відбору хворих, у дослідження увійшло </w:t>
      </w:r>
      <w:r>
        <w:rPr>
          <w:rFonts w:ascii="Times New Roman" w:hAnsi="Times New Roman" w:cs="Times New Roman"/>
          <w:sz w:val="28"/>
          <w:szCs w:val="28"/>
        </w:rPr>
        <w:t>244</w:t>
      </w:r>
      <w:r w:rsidRPr="00870F62">
        <w:rPr>
          <w:rFonts w:ascii="Times New Roman" w:hAnsi="Times New Roman" w:cs="Times New Roman"/>
          <w:sz w:val="28"/>
          <w:szCs w:val="28"/>
        </w:rPr>
        <w:t xml:space="preserve"> пацієнтів із солідними </w:t>
      </w:r>
      <w:r>
        <w:rPr>
          <w:rFonts w:ascii="Times New Roman" w:hAnsi="Times New Roman" w:cs="Times New Roman"/>
          <w:sz w:val="28"/>
          <w:szCs w:val="28"/>
        </w:rPr>
        <w:t>новоутворами нирок</w:t>
      </w:r>
      <w:r w:rsidRPr="00870F62">
        <w:rPr>
          <w:rFonts w:ascii="Times New Roman" w:hAnsi="Times New Roman" w:cs="Times New Roman"/>
          <w:sz w:val="28"/>
          <w:szCs w:val="28"/>
        </w:rPr>
        <w:t xml:space="preserve">: </w:t>
      </w:r>
      <w:r>
        <w:rPr>
          <w:rFonts w:ascii="Times New Roman" w:hAnsi="Times New Roman" w:cs="Times New Roman"/>
          <w:sz w:val="28"/>
          <w:szCs w:val="28"/>
        </w:rPr>
        <w:t>174 (71,31</w:t>
      </w:r>
      <w:r w:rsidRPr="00870F62">
        <w:rPr>
          <w:rFonts w:ascii="Times New Roman" w:hAnsi="Times New Roman" w:cs="Times New Roman"/>
          <w:sz w:val="28"/>
          <w:szCs w:val="28"/>
        </w:rPr>
        <w:t xml:space="preserve">%) хворих із НКР, </w:t>
      </w:r>
      <w:r>
        <w:rPr>
          <w:rFonts w:ascii="Times New Roman" w:hAnsi="Times New Roman" w:cs="Times New Roman"/>
          <w:sz w:val="28"/>
          <w:szCs w:val="28"/>
        </w:rPr>
        <w:t>26 (10,66</w:t>
      </w:r>
      <w:r w:rsidRPr="00870F62">
        <w:rPr>
          <w:rFonts w:ascii="Times New Roman" w:hAnsi="Times New Roman" w:cs="Times New Roman"/>
          <w:sz w:val="28"/>
          <w:szCs w:val="28"/>
        </w:rPr>
        <w:t xml:space="preserve">%) з ПКК ниркової миски, </w:t>
      </w:r>
      <w:r>
        <w:rPr>
          <w:rFonts w:ascii="Times New Roman" w:hAnsi="Times New Roman" w:cs="Times New Roman"/>
          <w:sz w:val="28"/>
          <w:szCs w:val="28"/>
        </w:rPr>
        <w:t>44 (18,0</w:t>
      </w:r>
      <w:r w:rsidRPr="00870F62">
        <w:rPr>
          <w:rFonts w:ascii="Times New Roman" w:hAnsi="Times New Roman" w:cs="Times New Roman"/>
          <w:sz w:val="28"/>
          <w:szCs w:val="28"/>
        </w:rPr>
        <w:t>3%) із доброякісними пухлинами нирок</w:t>
      </w:r>
      <w:r>
        <w:rPr>
          <w:rFonts w:ascii="Times New Roman" w:hAnsi="Times New Roman" w:cs="Times New Roman"/>
          <w:sz w:val="28"/>
          <w:szCs w:val="28"/>
        </w:rPr>
        <w:t>.</w:t>
      </w:r>
      <w:r w:rsidRPr="00870F62">
        <w:rPr>
          <w:rFonts w:ascii="Times New Roman" w:hAnsi="Times New Roman" w:cs="Times New Roman"/>
          <w:sz w:val="28"/>
          <w:szCs w:val="28"/>
        </w:rPr>
        <w:t xml:space="preserve"> Середній вік хворих складав </w:t>
      </w:r>
      <w:r>
        <w:rPr>
          <w:rFonts w:ascii="Times New Roman" w:hAnsi="Times New Roman" w:cs="Times New Roman"/>
          <w:sz w:val="28"/>
          <w:szCs w:val="28"/>
        </w:rPr>
        <w:t>58,86±8,25</w:t>
      </w:r>
      <w:r w:rsidRPr="00870F62">
        <w:rPr>
          <w:rFonts w:ascii="Times New Roman" w:hAnsi="Times New Roman" w:cs="Times New Roman"/>
          <w:sz w:val="28"/>
          <w:szCs w:val="28"/>
        </w:rPr>
        <w:t xml:space="preserve"> </w:t>
      </w:r>
      <w:r>
        <w:rPr>
          <w:rFonts w:ascii="Times New Roman" w:hAnsi="Times New Roman" w:cs="Times New Roman"/>
          <w:sz w:val="28"/>
          <w:szCs w:val="28"/>
        </w:rPr>
        <w:t>років (від 40 до 73</w:t>
      </w:r>
      <w:r w:rsidRPr="00870F62">
        <w:rPr>
          <w:rFonts w:ascii="Times New Roman" w:hAnsi="Times New Roman" w:cs="Times New Roman"/>
          <w:sz w:val="28"/>
          <w:szCs w:val="28"/>
        </w:rPr>
        <w:t xml:space="preserve"> р.). Гендерний розподіл пацієнтів із </w:t>
      </w:r>
      <w:r>
        <w:rPr>
          <w:rFonts w:ascii="Times New Roman" w:hAnsi="Times New Roman" w:cs="Times New Roman"/>
          <w:sz w:val="28"/>
          <w:szCs w:val="28"/>
        </w:rPr>
        <w:t>пухлинами нирок</w:t>
      </w:r>
      <w:r w:rsidRPr="00870F62">
        <w:rPr>
          <w:rFonts w:ascii="Times New Roman" w:hAnsi="Times New Roman" w:cs="Times New Roman"/>
          <w:sz w:val="28"/>
          <w:szCs w:val="28"/>
        </w:rPr>
        <w:t xml:space="preserve"> був наступний: </w:t>
      </w:r>
      <w:r>
        <w:rPr>
          <w:rFonts w:ascii="Times New Roman" w:hAnsi="Times New Roman" w:cs="Times New Roman"/>
          <w:sz w:val="28"/>
          <w:szCs w:val="28"/>
        </w:rPr>
        <w:t>152 (62,30%) чоловіки</w:t>
      </w:r>
      <w:r w:rsidRPr="00870F62">
        <w:rPr>
          <w:rFonts w:ascii="Times New Roman" w:hAnsi="Times New Roman" w:cs="Times New Roman"/>
          <w:sz w:val="28"/>
          <w:szCs w:val="28"/>
        </w:rPr>
        <w:t xml:space="preserve"> та </w:t>
      </w:r>
      <w:r>
        <w:rPr>
          <w:rFonts w:ascii="Times New Roman" w:hAnsi="Times New Roman" w:cs="Times New Roman"/>
          <w:sz w:val="28"/>
          <w:szCs w:val="28"/>
        </w:rPr>
        <w:t>92 (37,70%) жінки</w:t>
      </w:r>
      <w:r w:rsidRPr="00870F62">
        <w:rPr>
          <w:rFonts w:ascii="Times New Roman" w:hAnsi="Times New Roman" w:cs="Times New Roman"/>
          <w:sz w:val="28"/>
          <w:szCs w:val="28"/>
        </w:rPr>
        <w:t>.</w:t>
      </w:r>
      <w:r w:rsidRPr="0045104E">
        <w:rPr>
          <w:rFonts w:ascii="Times New Roman" w:hAnsi="Times New Roman" w:cs="Times New Roman"/>
          <w:sz w:val="28"/>
          <w:szCs w:val="28"/>
        </w:rPr>
        <w:t xml:space="preserve"> Середній розмір новоутворення у хворих із НКР складав </w:t>
      </w:r>
      <w:r>
        <w:rPr>
          <w:rFonts w:ascii="Times New Roman" w:hAnsi="Times New Roman"/>
          <w:sz w:val="28"/>
          <w:szCs w:val="28"/>
        </w:rPr>
        <w:t>7,69</w:t>
      </w:r>
      <w:r w:rsidRPr="00FC5277">
        <w:rPr>
          <w:rFonts w:ascii="Times New Roman" w:hAnsi="Times New Roman"/>
          <w:sz w:val="28"/>
          <w:szCs w:val="28"/>
        </w:rPr>
        <w:sym w:font="Symbol" w:char="F0B1"/>
      </w:r>
      <w:r>
        <w:rPr>
          <w:rFonts w:ascii="Times New Roman" w:hAnsi="Times New Roman"/>
          <w:sz w:val="28"/>
          <w:szCs w:val="28"/>
        </w:rPr>
        <w:t>2,7</w:t>
      </w:r>
      <w:r w:rsidRPr="00FC5277">
        <w:rPr>
          <w:rFonts w:ascii="Times New Roman" w:hAnsi="Times New Roman"/>
          <w:sz w:val="28"/>
          <w:szCs w:val="28"/>
        </w:rPr>
        <w:t xml:space="preserve">4 см </w:t>
      </w:r>
      <w:r>
        <w:rPr>
          <w:rFonts w:ascii="Times New Roman" w:hAnsi="Times New Roman" w:cs="Times New Roman"/>
          <w:sz w:val="28"/>
          <w:szCs w:val="28"/>
        </w:rPr>
        <w:t>у найбільшому перерізі</w:t>
      </w:r>
      <w:r w:rsidRPr="0045104E">
        <w:rPr>
          <w:rFonts w:ascii="Times New Roman" w:hAnsi="Times New Roman" w:cs="Times New Roman"/>
          <w:sz w:val="28"/>
          <w:szCs w:val="28"/>
        </w:rPr>
        <w:t xml:space="preserve"> і був в межах від </w:t>
      </w:r>
      <w:r w:rsidRPr="009E6C7E">
        <w:rPr>
          <w:rFonts w:ascii="Times New Roman" w:hAnsi="Times New Roman" w:cs="Times New Roman"/>
          <w:sz w:val="28"/>
          <w:szCs w:val="28"/>
        </w:rPr>
        <w:t>4</w:t>
      </w:r>
      <w:r>
        <w:rPr>
          <w:rFonts w:ascii="Times New Roman" w:hAnsi="Times New Roman" w:cs="Times New Roman"/>
          <w:sz w:val="28"/>
          <w:szCs w:val="28"/>
        </w:rPr>
        <w:t>,05 см до 12,95</w:t>
      </w:r>
      <w:r w:rsidRPr="0045104E">
        <w:rPr>
          <w:rFonts w:ascii="Times New Roman" w:hAnsi="Times New Roman" w:cs="Times New Roman"/>
          <w:sz w:val="28"/>
          <w:szCs w:val="28"/>
        </w:rPr>
        <w:t xml:space="preserve"> см; при ПКК ниркової миски середній розмір пухлини становив </w:t>
      </w:r>
      <w:r>
        <w:rPr>
          <w:rFonts w:ascii="Times New Roman" w:hAnsi="Times New Roman"/>
          <w:sz w:val="28"/>
          <w:szCs w:val="28"/>
        </w:rPr>
        <w:t>5,64</w:t>
      </w:r>
      <w:r w:rsidRPr="00FC5277">
        <w:rPr>
          <w:rFonts w:ascii="Times New Roman" w:hAnsi="Times New Roman"/>
          <w:sz w:val="28"/>
          <w:szCs w:val="28"/>
        </w:rPr>
        <w:sym w:font="Symbol" w:char="F0B1"/>
      </w:r>
      <w:r>
        <w:rPr>
          <w:rFonts w:ascii="Times New Roman" w:hAnsi="Times New Roman"/>
          <w:sz w:val="28"/>
          <w:szCs w:val="28"/>
        </w:rPr>
        <w:t>2,43</w:t>
      </w:r>
      <w:r w:rsidRPr="00FC5277">
        <w:rPr>
          <w:rFonts w:ascii="Times New Roman" w:hAnsi="Times New Roman"/>
          <w:sz w:val="28"/>
          <w:szCs w:val="28"/>
        </w:rPr>
        <w:t xml:space="preserve"> </w:t>
      </w:r>
      <w:r>
        <w:rPr>
          <w:rFonts w:ascii="Times New Roman" w:hAnsi="Times New Roman" w:cs="Times New Roman"/>
          <w:sz w:val="28"/>
          <w:szCs w:val="28"/>
        </w:rPr>
        <w:t>см і коливався від 4,25 до 6,95 см;</w:t>
      </w:r>
      <w:r w:rsidRPr="0045104E">
        <w:rPr>
          <w:rFonts w:ascii="Times New Roman" w:hAnsi="Times New Roman" w:cs="Times New Roman"/>
          <w:sz w:val="28"/>
          <w:szCs w:val="28"/>
        </w:rPr>
        <w:t xml:space="preserve"> середній розмір доброякісних новоутворень нирок був </w:t>
      </w:r>
      <w:r>
        <w:rPr>
          <w:rFonts w:ascii="Times New Roman" w:hAnsi="Times New Roman"/>
          <w:sz w:val="28"/>
          <w:szCs w:val="28"/>
        </w:rPr>
        <w:t>6,89</w:t>
      </w:r>
      <w:r w:rsidRPr="00FC5277">
        <w:rPr>
          <w:rFonts w:ascii="Times New Roman" w:hAnsi="Times New Roman"/>
          <w:sz w:val="28"/>
          <w:szCs w:val="28"/>
        </w:rPr>
        <w:sym w:font="Symbol" w:char="F0B1"/>
      </w:r>
      <w:r>
        <w:rPr>
          <w:rFonts w:ascii="Times New Roman" w:hAnsi="Times New Roman"/>
          <w:sz w:val="28"/>
          <w:szCs w:val="28"/>
        </w:rPr>
        <w:t>2,41</w:t>
      </w:r>
      <w:r w:rsidRPr="00FC5277">
        <w:rPr>
          <w:rFonts w:ascii="Times New Roman" w:hAnsi="Times New Roman"/>
          <w:sz w:val="28"/>
          <w:szCs w:val="28"/>
        </w:rPr>
        <w:t xml:space="preserve"> </w:t>
      </w:r>
      <w:r w:rsidRPr="0045104E">
        <w:rPr>
          <w:rFonts w:ascii="Times New Roman" w:hAnsi="Times New Roman" w:cs="Times New Roman"/>
          <w:sz w:val="28"/>
          <w:szCs w:val="28"/>
        </w:rPr>
        <w:t>см, при мінімальному та ма</w:t>
      </w:r>
      <w:r>
        <w:rPr>
          <w:rFonts w:ascii="Times New Roman" w:hAnsi="Times New Roman" w:cs="Times New Roman"/>
          <w:sz w:val="28"/>
          <w:szCs w:val="28"/>
        </w:rPr>
        <w:t>ксимальних розмірах відповідно 4,15 та 8,86</w:t>
      </w:r>
      <w:r w:rsidRPr="0045104E">
        <w:rPr>
          <w:rFonts w:ascii="Times New Roman" w:hAnsi="Times New Roman" w:cs="Times New Roman"/>
          <w:sz w:val="28"/>
          <w:szCs w:val="28"/>
        </w:rPr>
        <w:t xml:space="preserve"> см.</w:t>
      </w:r>
    </w:p>
    <w:p w:rsidR="00095916" w:rsidRPr="00940380" w:rsidRDefault="00095916" w:rsidP="000959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Згідно класифікації </w:t>
      </w:r>
      <w:r>
        <w:rPr>
          <w:rFonts w:ascii="Times New Roman" w:hAnsi="Times New Roman" w:cs="Times New Roman"/>
          <w:sz w:val="28"/>
          <w:szCs w:val="28"/>
          <w:lang w:val="en-US"/>
        </w:rPr>
        <w:t>AJCC</w:t>
      </w:r>
      <w:r>
        <w:rPr>
          <w:rFonts w:ascii="Times New Roman" w:hAnsi="Times New Roman" w:cs="Times New Roman"/>
          <w:sz w:val="28"/>
          <w:szCs w:val="28"/>
        </w:rPr>
        <w:t xml:space="preserve"> </w:t>
      </w:r>
      <w:r w:rsidRPr="0032077E">
        <w:rPr>
          <w:rFonts w:ascii="Times New Roman" w:hAnsi="Times New Roman" w:cs="Times New Roman"/>
          <w:sz w:val="28"/>
          <w:szCs w:val="28"/>
        </w:rPr>
        <w:t xml:space="preserve">TNM та за даними патоморфологічних заключень усі </w:t>
      </w:r>
      <w:r w:rsidRPr="009E6C7E">
        <w:rPr>
          <w:rFonts w:ascii="Times New Roman" w:hAnsi="Times New Roman" w:cs="Times New Roman"/>
          <w:sz w:val="28"/>
          <w:szCs w:val="28"/>
        </w:rPr>
        <w:t xml:space="preserve">174 </w:t>
      </w:r>
      <w:r>
        <w:rPr>
          <w:rFonts w:ascii="Times New Roman" w:hAnsi="Times New Roman" w:cs="Times New Roman"/>
          <w:sz w:val="28"/>
          <w:szCs w:val="28"/>
        </w:rPr>
        <w:t>випадки НКР були класифіковані наступним чином: 115</w:t>
      </w:r>
      <w:r w:rsidRPr="009E6C7E">
        <w:rPr>
          <w:rFonts w:ascii="Times New Roman" w:hAnsi="Times New Roman" w:cs="Times New Roman"/>
          <w:sz w:val="28"/>
          <w:szCs w:val="28"/>
        </w:rPr>
        <w:t xml:space="preserve"> (66,09%)</w:t>
      </w:r>
      <w:r>
        <w:rPr>
          <w:rFonts w:ascii="Times New Roman" w:hAnsi="Times New Roman" w:cs="Times New Roman"/>
          <w:sz w:val="28"/>
          <w:szCs w:val="28"/>
        </w:rPr>
        <w:t xml:space="preserve"> пацієнтів – рТ1</w:t>
      </w:r>
      <w:r>
        <w:rPr>
          <w:rFonts w:ascii="Times New Roman" w:hAnsi="Times New Roman" w:cs="Times New Roman"/>
          <w:sz w:val="28"/>
          <w:szCs w:val="28"/>
          <w:lang w:val="en-US"/>
        </w:rPr>
        <w:t>b</w:t>
      </w:r>
      <w:r>
        <w:rPr>
          <w:rFonts w:ascii="Times New Roman" w:hAnsi="Times New Roman" w:cs="Times New Roman"/>
          <w:sz w:val="28"/>
          <w:szCs w:val="28"/>
        </w:rPr>
        <w:t xml:space="preserve">N0M0, </w:t>
      </w:r>
      <w:r w:rsidRPr="009E6C7E">
        <w:rPr>
          <w:rFonts w:ascii="Times New Roman" w:hAnsi="Times New Roman" w:cs="Times New Roman"/>
          <w:sz w:val="28"/>
          <w:szCs w:val="28"/>
        </w:rPr>
        <w:t>4</w:t>
      </w:r>
      <w:r>
        <w:rPr>
          <w:rFonts w:ascii="Times New Roman" w:hAnsi="Times New Roman" w:cs="Times New Roman"/>
          <w:sz w:val="28"/>
          <w:szCs w:val="28"/>
        </w:rPr>
        <w:t xml:space="preserve"> (2,30%%) хворих</w:t>
      </w:r>
      <w:r w:rsidRPr="009E6C7E">
        <w:rPr>
          <w:rFonts w:ascii="Times New Roman" w:hAnsi="Times New Roman" w:cs="Times New Roman"/>
          <w:sz w:val="28"/>
          <w:szCs w:val="28"/>
        </w:rPr>
        <w:t xml:space="preserve"> – </w:t>
      </w:r>
      <w:r>
        <w:rPr>
          <w:rFonts w:ascii="Times New Roman" w:hAnsi="Times New Roman" w:cs="Times New Roman"/>
          <w:sz w:val="28"/>
          <w:szCs w:val="28"/>
        </w:rPr>
        <w:t>р</w:t>
      </w:r>
      <w:r>
        <w:rPr>
          <w:rFonts w:ascii="Times New Roman" w:hAnsi="Times New Roman" w:cs="Times New Roman"/>
          <w:sz w:val="28"/>
          <w:szCs w:val="28"/>
          <w:lang w:val="en-US"/>
        </w:rPr>
        <w:t>T</w:t>
      </w:r>
      <w:r w:rsidRPr="009E6C7E">
        <w:rPr>
          <w:rFonts w:ascii="Times New Roman" w:hAnsi="Times New Roman" w:cs="Times New Roman"/>
          <w:sz w:val="28"/>
          <w:szCs w:val="28"/>
        </w:rPr>
        <w:t>1</w:t>
      </w:r>
      <w:r>
        <w:rPr>
          <w:rFonts w:ascii="Times New Roman" w:hAnsi="Times New Roman" w:cs="Times New Roman"/>
          <w:sz w:val="28"/>
          <w:szCs w:val="28"/>
          <w:lang w:val="en-US"/>
        </w:rPr>
        <w:t>bN</w:t>
      </w:r>
      <w:r w:rsidRPr="009E6C7E">
        <w:rPr>
          <w:rFonts w:ascii="Times New Roman" w:hAnsi="Times New Roman" w:cs="Times New Roman"/>
          <w:sz w:val="28"/>
          <w:szCs w:val="28"/>
        </w:rPr>
        <w:t>1</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w:t>
      </w:r>
      <w:r w:rsidRPr="009E6C7E">
        <w:rPr>
          <w:rFonts w:ascii="Times New Roman" w:hAnsi="Times New Roman" w:cs="Times New Roman"/>
          <w:sz w:val="28"/>
          <w:szCs w:val="28"/>
        </w:rPr>
        <w:t>22</w:t>
      </w:r>
      <w:r w:rsidRPr="00C47B59">
        <w:rPr>
          <w:rFonts w:ascii="Times New Roman" w:hAnsi="Times New Roman" w:cs="Times New Roman"/>
          <w:sz w:val="28"/>
          <w:szCs w:val="28"/>
        </w:rPr>
        <w:t xml:space="preserve"> (12,64%) випадків</w:t>
      </w:r>
      <w:r w:rsidRPr="009E6C7E">
        <w:rPr>
          <w:rFonts w:ascii="Times New Roman" w:hAnsi="Times New Roman" w:cs="Times New Roman"/>
          <w:sz w:val="28"/>
          <w:szCs w:val="28"/>
        </w:rPr>
        <w:t xml:space="preserve"> – </w:t>
      </w:r>
      <w:r>
        <w:rPr>
          <w:rFonts w:ascii="Times New Roman" w:hAnsi="Times New Roman" w:cs="Times New Roman"/>
          <w:sz w:val="28"/>
          <w:szCs w:val="28"/>
        </w:rPr>
        <w:t>р</w:t>
      </w:r>
      <w:r w:rsidRPr="00C47B59">
        <w:rPr>
          <w:rFonts w:ascii="Times New Roman" w:hAnsi="Times New Roman" w:cs="Times New Roman"/>
          <w:sz w:val="28"/>
          <w:szCs w:val="28"/>
          <w:lang w:val="en-US"/>
        </w:rPr>
        <w:t>T</w:t>
      </w:r>
      <w:r w:rsidRPr="009E6C7E">
        <w:rPr>
          <w:rFonts w:ascii="Times New Roman" w:hAnsi="Times New Roman" w:cs="Times New Roman"/>
          <w:sz w:val="28"/>
          <w:szCs w:val="28"/>
        </w:rPr>
        <w:t>2</w:t>
      </w:r>
      <w:r w:rsidRPr="00C47B59">
        <w:rPr>
          <w:rFonts w:ascii="Times New Roman" w:hAnsi="Times New Roman" w:cs="Times New Roman"/>
          <w:sz w:val="28"/>
          <w:szCs w:val="28"/>
          <w:lang w:val="en-US"/>
        </w:rPr>
        <w:t>aN</w:t>
      </w:r>
      <w:r w:rsidRPr="009E6C7E">
        <w:rPr>
          <w:rFonts w:ascii="Times New Roman" w:hAnsi="Times New Roman" w:cs="Times New Roman"/>
          <w:sz w:val="28"/>
          <w:szCs w:val="28"/>
        </w:rPr>
        <w:t>0</w:t>
      </w:r>
      <w:r w:rsidRPr="00C47B59">
        <w:rPr>
          <w:rFonts w:ascii="Times New Roman" w:hAnsi="Times New Roman" w:cs="Times New Roman"/>
          <w:sz w:val="28"/>
          <w:szCs w:val="28"/>
          <w:lang w:val="en-US"/>
        </w:rPr>
        <w:t>M</w:t>
      </w:r>
      <w:r w:rsidRPr="009E6C7E">
        <w:rPr>
          <w:rFonts w:ascii="Times New Roman" w:hAnsi="Times New Roman" w:cs="Times New Roman"/>
          <w:sz w:val="28"/>
          <w:szCs w:val="28"/>
        </w:rPr>
        <w:t>0</w:t>
      </w:r>
      <w:r w:rsidRPr="00C47B59">
        <w:rPr>
          <w:rFonts w:ascii="Times New Roman" w:hAnsi="Times New Roman" w:cs="Times New Roman"/>
          <w:sz w:val="28"/>
          <w:szCs w:val="28"/>
        </w:rPr>
        <w:t xml:space="preserve">, </w:t>
      </w:r>
      <w:r w:rsidRPr="009E6C7E">
        <w:rPr>
          <w:rFonts w:ascii="Times New Roman" w:hAnsi="Times New Roman" w:cs="Times New Roman"/>
          <w:sz w:val="28"/>
          <w:szCs w:val="28"/>
        </w:rPr>
        <w:t>5</w:t>
      </w:r>
      <w:r w:rsidRPr="00C47B59">
        <w:rPr>
          <w:rFonts w:ascii="Times New Roman" w:hAnsi="Times New Roman" w:cs="Times New Roman"/>
          <w:sz w:val="28"/>
          <w:szCs w:val="28"/>
        </w:rPr>
        <w:t xml:space="preserve"> (2,87%)</w:t>
      </w:r>
      <w:r w:rsidRPr="009E6C7E">
        <w:rPr>
          <w:rFonts w:ascii="Times New Roman" w:hAnsi="Times New Roman" w:cs="Times New Roman"/>
          <w:sz w:val="28"/>
          <w:szCs w:val="28"/>
        </w:rPr>
        <w:t xml:space="preserve"> </w:t>
      </w:r>
      <w:r w:rsidRPr="00C47B59">
        <w:rPr>
          <w:rFonts w:ascii="Times New Roman" w:hAnsi="Times New Roman" w:cs="Times New Roman"/>
          <w:sz w:val="28"/>
          <w:szCs w:val="28"/>
        </w:rPr>
        <w:t xml:space="preserve">хворих </w:t>
      </w:r>
      <w:r w:rsidRPr="009E6C7E">
        <w:rPr>
          <w:rFonts w:ascii="Times New Roman" w:hAnsi="Times New Roman" w:cs="Times New Roman"/>
          <w:sz w:val="28"/>
          <w:szCs w:val="28"/>
        </w:rPr>
        <w:t xml:space="preserve">– </w:t>
      </w:r>
      <w:r>
        <w:rPr>
          <w:rFonts w:ascii="Times New Roman" w:hAnsi="Times New Roman" w:cs="Times New Roman"/>
          <w:sz w:val="28"/>
          <w:szCs w:val="28"/>
        </w:rPr>
        <w:t>р</w:t>
      </w:r>
      <w:r w:rsidRPr="00C47B59">
        <w:rPr>
          <w:rFonts w:ascii="Times New Roman" w:hAnsi="Times New Roman" w:cs="Times New Roman"/>
          <w:sz w:val="28"/>
          <w:szCs w:val="28"/>
          <w:lang w:val="en-US"/>
        </w:rPr>
        <w:t>T</w:t>
      </w:r>
      <w:r w:rsidRPr="009E6C7E">
        <w:rPr>
          <w:rFonts w:ascii="Times New Roman" w:hAnsi="Times New Roman" w:cs="Times New Roman"/>
          <w:sz w:val="28"/>
          <w:szCs w:val="28"/>
        </w:rPr>
        <w:t>2</w:t>
      </w:r>
      <w:r w:rsidRPr="00C47B59">
        <w:rPr>
          <w:rFonts w:ascii="Times New Roman" w:hAnsi="Times New Roman" w:cs="Times New Roman"/>
          <w:sz w:val="28"/>
          <w:szCs w:val="28"/>
          <w:lang w:val="en-US"/>
        </w:rPr>
        <w:t>aN</w:t>
      </w:r>
      <w:r w:rsidRPr="009E6C7E">
        <w:rPr>
          <w:rFonts w:ascii="Times New Roman" w:hAnsi="Times New Roman" w:cs="Times New Roman"/>
          <w:sz w:val="28"/>
          <w:szCs w:val="28"/>
        </w:rPr>
        <w:t>1</w:t>
      </w:r>
      <w:r w:rsidRPr="00C47B59">
        <w:rPr>
          <w:rFonts w:ascii="Times New Roman" w:hAnsi="Times New Roman" w:cs="Times New Roman"/>
          <w:sz w:val="28"/>
          <w:szCs w:val="28"/>
          <w:lang w:val="en-US"/>
        </w:rPr>
        <w:t>M</w:t>
      </w:r>
      <w:r w:rsidRPr="009E6C7E">
        <w:rPr>
          <w:rFonts w:ascii="Times New Roman" w:hAnsi="Times New Roman" w:cs="Times New Roman"/>
          <w:sz w:val="28"/>
          <w:szCs w:val="28"/>
        </w:rPr>
        <w:t>0</w:t>
      </w:r>
      <w:r w:rsidRPr="00C47B59">
        <w:rPr>
          <w:rFonts w:ascii="Times New Roman" w:hAnsi="Times New Roman" w:cs="Times New Roman"/>
          <w:sz w:val="28"/>
          <w:szCs w:val="28"/>
        </w:rPr>
        <w:t xml:space="preserve">, </w:t>
      </w:r>
      <w:r w:rsidRPr="009E6C7E">
        <w:rPr>
          <w:rFonts w:ascii="Times New Roman" w:hAnsi="Times New Roman" w:cs="Times New Roman"/>
          <w:sz w:val="28"/>
          <w:szCs w:val="28"/>
        </w:rPr>
        <w:t>14</w:t>
      </w:r>
      <w:r w:rsidRPr="00C47B59">
        <w:rPr>
          <w:rFonts w:ascii="Times New Roman" w:hAnsi="Times New Roman" w:cs="Times New Roman"/>
          <w:sz w:val="28"/>
          <w:szCs w:val="28"/>
        </w:rPr>
        <w:t xml:space="preserve"> (8,05%) пацієнтів</w:t>
      </w:r>
      <w:r w:rsidRPr="009E6C7E">
        <w:rPr>
          <w:rFonts w:ascii="Times New Roman" w:hAnsi="Times New Roman" w:cs="Times New Roman"/>
          <w:sz w:val="28"/>
          <w:szCs w:val="28"/>
        </w:rPr>
        <w:t xml:space="preserve"> – </w:t>
      </w:r>
      <w:r>
        <w:rPr>
          <w:rFonts w:ascii="Times New Roman" w:hAnsi="Times New Roman" w:cs="Times New Roman"/>
          <w:sz w:val="28"/>
          <w:szCs w:val="28"/>
        </w:rPr>
        <w:t>р</w:t>
      </w:r>
      <w:r w:rsidRPr="00C47B59">
        <w:rPr>
          <w:rFonts w:ascii="Times New Roman" w:hAnsi="Times New Roman" w:cs="Times New Roman"/>
          <w:sz w:val="28"/>
          <w:szCs w:val="28"/>
          <w:lang w:val="en-US"/>
        </w:rPr>
        <w:t>T</w:t>
      </w:r>
      <w:r w:rsidRPr="009E6C7E">
        <w:rPr>
          <w:rFonts w:ascii="Times New Roman" w:hAnsi="Times New Roman" w:cs="Times New Roman"/>
          <w:sz w:val="28"/>
          <w:szCs w:val="28"/>
        </w:rPr>
        <w:t>2</w:t>
      </w:r>
      <w:r w:rsidRPr="00C47B59">
        <w:rPr>
          <w:rFonts w:ascii="Times New Roman" w:hAnsi="Times New Roman" w:cs="Times New Roman"/>
          <w:sz w:val="28"/>
          <w:szCs w:val="28"/>
          <w:lang w:val="en-US"/>
        </w:rPr>
        <w:t>bN</w:t>
      </w:r>
      <w:r w:rsidRPr="009E6C7E">
        <w:rPr>
          <w:rFonts w:ascii="Times New Roman" w:hAnsi="Times New Roman" w:cs="Times New Roman"/>
          <w:sz w:val="28"/>
          <w:szCs w:val="28"/>
        </w:rPr>
        <w:t>0</w:t>
      </w:r>
      <w:r w:rsidRPr="00C47B59">
        <w:rPr>
          <w:rFonts w:ascii="Times New Roman" w:hAnsi="Times New Roman" w:cs="Times New Roman"/>
          <w:sz w:val="28"/>
          <w:szCs w:val="28"/>
          <w:lang w:val="en-US"/>
        </w:rPr>
        <w:t>M</w:t>
      </w:r>
      <w:r w:rsidRPr="009E6C7E">
        <w:rPr>
          <w:rFonts w:ascii="Times New Roman" w:hAnsi="Times New Roman" w:cs="Times New Roman"/>
          <w:sz w:val="28"/>
          <w:szCs w:val="28"/>
        </w:rPr>
        <w:t>0</w:t>
      </w:r>
      <w:r w:rsidRPr="00C47B59">
        <w:rPr>
          <w:rFonts w:ascii="Times New Roman" w:hAnsi="Times New Roman" w:cs="Times New Roman"/>
          <w:sz w:val="28"/>
          <w:szCs w:val="28"/>
        </w:rPr>
        <w:t xml:space="preserve">, </w:t>
      </w:r>
      <w:r w:rsidRPr="009E6C7E">
        <w:rPr>
          <w:rFonts w:ascii="Times New Roman" w:hAnsi="Times New Roman" w:cs="Times New Roman"/>
          <w:sz w:val="28"/>
          <w:szCs w:val="28"/>
        </w:rPr>
        <w:t>9</w:t>
      </w:r>
      <w:r>
        <w:rPr>
          <w:rFonts w:ascii="Times New Roman" w:hAnsi="Times New Roman" w:cs="Times New Roman"/>
          <w:sz w:val="28"/>
          <w:szCs w:val="28"/>
        </w:rPr>
        <w:t xml:space="preserve"> (5,17%) випадків</w:t>
      </w:r>
      <w:r w:rsidRPr="009E6C7E">
        <w:rPr>
          <w:rFonts w:ascii="Times New Roman" w:hAnsi="Times New Roman" w:cs="Times New Roman"/>
          <w:sz w:val="28"/>
          <w:szCs w:val="28"/>
        </w:rPr>
        <w:t xml:space="preserve"> – </w:t>
      </w:r>
      <w:r>
        <w:rPr>
          <w:rFonts w:ascii="Times New Roman" w:hAnsi="Times New Roman" w:cs="Times New Roman"/>
          <w:sz w:val="28"/>
          <w:szCs w:val="28"/>
        </w:rPr>
        <w:t>р</w:t>
      </w:r>
      <w:r>
        <w:rPr>
          <w:rFonts w:ascii="Times New Roman" w:hAnsi="Times New Roman" w:cs="Times New Roman"/>
          <w:sz w:val="28"/>
          <w:szCs w:val="28"/>
          <w:lang w:val="en-US"/>
        </w:rPr>
        <w:t>T</w:t>
      </w:r>
      <w:r w:rsidRPr="009E6C7E">
        <w:rPr>
          <w:rFonts w:ascii="Times New Roman" w:hAnsi="Times New Roman" w:cs="Times New Roman"/>
          <w:sz w:val="28"/>
          <w:szCs w:val="28"/>
        </w:rPr>
        <w:t>2</w:t>
      </w:r>
      <w:r>
        <w:rPr>
          <w:rFonts w:ascii="Times New Roman" w:hAnsi="Times New Roman" w:cs="Times New Roman"/>
          <w:sz w:val="28"/>
          <w:szCs w:val="28"/>
          <w:lang w:val="en-US"/>
        </w:rPr>
        <w:t>bN</w:t>
      </w:r>
      <w:r w:rsidRPr="009E6C7E">
        <w:rPr>
          <w:rFonts w:ascii="Times New Roman" w:hAnsi="Times New Roman" w:cs="Times New Roman"/>
          <w:sz w:val="28"/>
          <w:szCs w:val="28"/>
        </w:rPr>
        <w:t>1</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w:t>
      </w:r>
      <w:r w:rsidRPr="009E6C7E">
        <w:rPr>
          <w:rFonts w:ascii="Times New Roman" w:hAnsi="Times New Roman" w:cs="Times New Roman"/>
          <w:sz w:val="28"/>
          <w:szCs w:val="28"/>
        </w:rPr>
        <w:t>3</w:t>
      </w:r>
      <w:r>
        <w:rPr>
          <w:rFonts w:ascii="Times New Roman" w:hAnsi="Times New Roman" w:cs="Times New Roman"/>
          <w:sz w:val="28"/>
          <w:szCs w:val="28"/>
        </w:rPr>
        <w:t xml:space="preserve"> (1,72%) хворих</w:t>
      </w:r>
      <w:r w:rsidRPr="009E6C7E">
        <w:rPr>
          <w:rFonts w:ascii="Times New Roman" w:hAnsi="Times New Roman" w:cs="Times New Roman"/>
          <w:sz w:val="28"/>
          <w:szCs w:val="28"/>
        </w:rPr>
        <w:t xml:space="preserve"> – </w:t>
      </w:r>
      <w:r>
        <w:rPr>
          <w:rFonts w:ascii="Times New Roman" w:hAnsi="Times New Roman" w:cs="Times New Roman"/>
          <w:sz w:val="28"/>
          <w:szCs w:val="28"/>
        </w:rPr>
        <w:t>р</w:t>
      </w:r>
      <w:r>
        <w:rPr>
          <w:rFonts w:ascii="Times New Roman" w:hAnsi="Times New Roman" w:cs="Times New Roman"/>
          <w:sz w:val="28"/>
          <w:szCs w:val="28"/>
          <w:lang w:val="en-US"/>
        </w:rPr>
        <w:t>T</w:t>
      </w:r>
      <w:r w:rsidRPr="009E6C7E">
        <w:rPr>
          <w:rFonts w:ascii="Times New Roman" w:hAnsi="Times New Roman" w:cs="Times New Roman"/>
          <w:sz w:val="28"/>
          <w:szCs w:val="28"/>
        </w:rPr>
        <w:t>3</w:t>
      </w:r>
      <w:r>
        <w:rPr>
          <w:rFonts w:ascii="Times New Roman" w:hAnsi="Times New Roman" w:cs="Times New Roman"/>
          <w:sz w:val="28"/>
          <w:szCs w:val="28"/>
          <w:lang w:val="en-US"/>
        </w:rPr>
        <w:t>aN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та </w:t>
      </w:r>
      <w:r w:rsidRPr="009E6C7E">
        <w:rPr>
          <w:rFonts w:ascii="Times New Roman" w:hAnsi="Times New Roman" w:cs="Times New Roman"/>
          <w:sz w:val="28"/>
          <w:szCs w:val="28"/>
        </w:rPr>
        <w:t>2</w:t>
      </w:r>
      <w:r>
        <w:rPr>
          <w:rFonts w:ascii="Times New Roman" w:hAnsi="Times New Roman" w:cs="Times New Roman"/>
          <w:sz w:val="28"/>
          <w:szCs w:val="28"/>
        </w:rPr>
        <w:t xml:space="preserve"> (1,15%) пацієнти </w:t>
      </w:r>
      <w:r w:rsidRPr="009E6C7E">
        <w:rPr>
          <w:rFonts w:ascii="Times New Roman" w:hAnsi="Times New Roman" w:cs="Times New Roman"/>
          <w:sz w:val="28"/>
          <w:szCs w:val="28"/>
        </w:rPr>
        <w:t xml:space="preserve">– </w:t>
      </w:r>
      <w:r>
        <w:rPr>
          <w:rFonts w:ascii="Times New Roman" w:hAnsi="Times New Roman" w:cs="Times New Roman"/>
          <w:sz w:val="28"/>
          <w:szCs w:val="28"/>
        </w:rPr>
        <w:t>р</w:t>
      </w:r>
      <w:r>
        <w:rPr>
          <w:rFonts w:ascii="Times New Roman" w:hAnsi="Times New Roman" w:cs="Times New Roman"/>
          <w:sz w:val="28"/>
          <w:szCs w:val="28"/>
          <w:lang w:val="en-US"/>
        </w:rPr>
        <w:t>T</w:t>
      </w:r>
      <w:r w:rsidRPr="009E6C7E">
        <w:rPr>
          <w:rFonts w:ascii="Times New Roman" w:hAnsi="Times New Roman" w:cs="Times New Roman"/>
          <w:sz w:val="28"/>
          <w:szCs w:val="28"/>
        </w:rPr>
        <w:t>3</w:t>
      </w:r>
      <w:r>
        <w:rPr>
          <w:rFonts w:ascii="Times New Roman" w:hAnsi="Times New Roman" w:cs="Times New Roman"/>
          <w:sz w:val="28"/>
          <w:szCs w:val="28"/>
          <w:lang w:val="en-US"/>
        </w:rPr>
        <w:t>aN</w:t>
      </w:r>
      <w:r w:rsidRPr="009E6C7E">
        <w:rPr>
          <w:rFonts w:ascii="Times New Roman" w:hAnsi="Times New Roman" w:cs="Times New Roman"/>
          <w:sz w:val="28"/>
          <w:szCs w:val="28"/>
        </w:rPr>
        <w:t>1</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У відповідності до такого розподілу в наше дослідження увійшло із І стадією НКР 115 (66,09%) хворих, із ІІ стадією – 36 </w:t>
      </w:r>
      <w:r>
        <w:rPr>
          <w:rFonts w:ascii="Times New Roman" w:hAnsi="Times New Roman" w:cs="Times New Roman"/>
          <w:sz w:val="28"/>
          <w:szCs w:val="28"/>
        </w:rPr>
        <w:lastRenderedPageBreak/>
        <w:t xml:space="preserve">(20,69%) пацієнтів, із ІІІ стадією – 23 (13,22%) хворих. Всі 26 випадків ПКК </w:t>
      </w:r>
      <w:r w:rsidRPr="00870F62">
        <w:rPr>
          <w:rFonts w:ascii="Times New Roman" w:hAnsi="Times New Roman" w:cs="Times New Roman"/>
          <w:sz w:val="28"/>
          <w:szCs w:val="28"/>
        </w:rPr>
        <w:t>ниркової миски</w:t>
      </w:r>
      <w:r>
        <w:rPr>
          <w:rFonts w:ascii="Times New Roman" w:hAnsi="Times New Roman" w:cs="Times New Roman"/>
          <w:sz w:val="28"/>
          <w:szCs w:val="28"/>
        </w:rPr>
        <w:t xml:space="preserve"> також були класифіковані згідно системи </w:t>
      </w:r>
      <w:r w:rsidRPr="0032077E">
        <w:rPr>
          <w:rFonts w:ascii="Times New Roman" w:hAnsi="Times New Roman" w:cs="Times New Roman"/>
          <w:sz w:val="28"/>
          <w:szCs w:val="28"/>
        </w:rPr>
        <w:t>TNM</w:t>
      </w:r>
      <w:r>
        <w:rPr>
          <w:rFonts w:ascii="Times New Roman" w:hAnsi="Times New Roman" w:cs="Times New Roman"/>
          <w:sz w:val="28"/>
          <w:szCs w:val="28"/>
        </w:rPr>
        <w:t>: 4</w:t>
      </w:r>
      <w:r w:rsidRPr="009E6C7E">
        <w:rPr>
          <w:rFonts w:ascii="Times New Roman" w:hAnsi="Times New Roman" w:cs="Times New Roman"/>
          <w:sz w:val="28"/>
          <w:szCs w:val="28"/>
        </w:rPr>
        <w:t xml:space="preserve"> (15</w:t>
      </w:r>
      <w:r>
        <w:rPr>
          <w:rFonts w:ascii="Times New Roman" w:hAnsi="Times New Roman" w:cs="Times New Roman"/>
          <w:sz w:val="28"/>
          <w:szCs w:val="28"/>
        </w:rPr>
        <w:t>,</w:t>
      </w:r>
      <w:r w:rsidRPr="009E6C7E">
        <w:rPr>
          <w:rFonts w:ascii="Times New Roman" w:hAnsi="Times New Roman" w:cs="Times New Roman"/>
          <w:sz w:val="28"/>
          <w:szCs w:val="28"/>
        </w:rPr>
        <w:t>38</w:t>
      </w:r>
      <w:r>
        <w:rPr>
          <w:rFonts w:ascii="Times New Roman" w:hAnsi="Times New Roman" w:cs="Times New Roman"/>
          <w:sz w:val="28"/>
          <w:szCs w:val="28"/>
        </w:rPr>
        <w:t>%</w:t>
      </w:r>
      <w:r w:rsidRPr="009E6C7E">
        <w:rPr>
          <w:rFonts w:ascii="Times New Roman" w:hAnsi="Times New Roman" w:cs="Times New Roman"/>
          <w:sz w:val="28"/>
          <w:szCs w:val="28"/>
        </w:rPr>
        <w:t>)</w:t>
      </w:r>
      <w:r>
        <w:rPr>
          <w:rFonts w:ascii="Times New Roman" w:hAnsi="Times New Roman" w:cs="Times New Roman"/>
          <w:sz w:val="28"/>
          <w:szCs w:val="28"/>
        </w:rPr>
        <w:t xml:space="preserve"> хворих – рТ1</w:t>
      </w:r>
      <w:r>
        <w:rPr>
          <w:rFonts w:ascii="Times New Roman" w:hAnsi="Times New Roman" w:cs="Times New Roman"/>
          <w:sz w:val="28"/>
          <w:szCs w:val="28"/>
          <w:lang w:val="en-US"/>
        </w:rPr>
        <w:t>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w:t>
      </w:r>
      <w:r w:rsidRPr="009E6C7E">
        <w:rPr>
          <w:rFonts w:ascii="Times New Roman" w:hAnsi="Times New Roman" w:cs="Times New Roman"/>
          <w:sz w:val="28"/>
          <w:szCs w:val="28"/>
        </w:rPr>
        <w:t>16</w:t>
      </w:r>
      <w:r>
        <w:rPr>
          <w:rFonts w:ascii="Times New Roman" w:hAnsi="Times New Roman" w:cs="Times New Roman"/>
          <w:sz w:val="28"/>
          <w:szCs w:val="28"/>
        </w:rPr>
        <w:t xml:space="preserve"> (61,54) пацієнти</w:t>
      </w:r>
      <w:r w:rsidRPr="009E6C7E">
        <w:rPr>
          <w:rFonts w:ascii="Times New Roman" w:hAnsi="Times New Roman" w:cs="Times New Roman"/>
          <w:sz w:val="28"/>
          <w:szCs w:val="28"/>
        </w:rPr>
        <w:t xml:space="preserve"> – </w:t>
      </w:r>
      <w:r>
        <w:rPr>
          <w:rFonts w:ascii="Times New Roman" w:hAnsi="Times New Roman" w:cs="Times New Roman"/>
          <w:sz w:val="28"/>
          <w:szCs w:val="28"/>
        </w:rPr>
        <w:t>р</w:t>
      </w:r>
      <w:r>
        <w:rPr>
          <w:rFonts w:ascii="Times New Roman" w:hAnsi="Times New Roman" w:cs="Times New Roman"/>
          <w:sz w:val="28"/>
          <w:szCs w:val="28"/>
          <w:lang w:val="en-US"/>
        </w:rPr>
        <w:t>T</w:t>
      </w:r>
      <w:r w:rsidRPr="009E6C7E">
        <w:rPr>
          <w:rFonts w:ascii="Times New Roman" w:hAnsi="Times New Roman" w:cs="Times New Roman"/>
          <w:sz w:val="28"/>
          <w:szCs w:val="28"/>
        </w:rPr>
        <w:t>2</w:t>
      </w:r>
      <w:r>
        <w:rPr>
          <w:rFonts w:ascii="Times New Roman" w:hAnsi="Times New Roman" w:cs="Times New Roman"/>
          <w:sz w:val="28"/>
          <w:szCs w:val="28"/>
          <w:lang w:val="en-US"/>
        </w:rPr>
        <w:t>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w:t>
      </w:r>
      <w:r w:rsidRPr="009E6C7E">
        <w:rPr>
          <w:rFonts w:ascii="Times New Roman" w:hAnsi="Times New Roman" w:cs="Times New Roman"/>
          <w:sz w:val="28"/>
          <w:szCs w:val="28"/>
        </w:rPr>
        <w:t>5</w:t>
      </w:r>
      <w:r>
        <w:rPr>
          <w:rFonts w:ascii="Times New Roman" w:hAnsi="Times New Roman" w:cs="Times New Roman"/>
          <w:sz w:val="28"/>
          <w:szCs w:val="28"/>
        </w:rPr>
        <w:t xml:space="preserve"> (19,23%) хворих</w:t>
      </w:r>
      <w:r w:rsidRPr="009E6C7E">
        <w:rPr>
          <w:rFonts w:ascii="Times New Roman" w:hAnsi="Times New Roman" w:cs="Times New Roman"/>
          <w:sz w:val="28"/>
          <w:szCs w:val="28"/>
        </w:rPr>
        <w:t xml:space="preserve"> – </w:t>
      </w:r>
      <w:r>
        <w:rPr>
          <w:rFonts w:ascii="Times New Roman" w:hAnsi="Times New Roman" w:cs="Times New Roman"/>
          <w:sz w:val="28"/>
          <w:szCs w:val="28"/>
        </w:rPr>
        <w:t>р</w:t>
      </w:r>
      <w:r>
        <w:rPr>
          <w:rFonts w:ascii="Times New Roman" w:hAnsi="Times New Roman" w:cs="Times New Roman"/>
          <w:sz w:val="28"/>
          <w:szCs w:val="28"/>
          <w:lang w:val="en-US"/>
        </w:rPr>
        <w:t>T</w:t>
      </w:r>
      <w:r w:rsidRPr="009E6C7E">
        <w:rPr>
          <w:rFonts w:ascii="Times New Roman" w:hAnsi="Times New Roman" w:cs="Times New Roman"/>
          <w:sz w:val="28"/>
          <w:szCs w:val="28"/>
        </w:rPr>
        <w:t>3</w:t>
      </w:r>
      <w:r>
        <w:rPr>
          <w:rFonts w:ascii="Times New Roman" w:hAnsi="Times New Roman" w:cs="Times New Roman"/>
          <w:sz w:val="28"/>
          <w:szCs w:val="28"/>
          <w:lang w:val="en-US"/>
        </w:rPr>
        <w:t>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та </w:t>
      </w:r>
      <w:r w:rsidRPr="009E6C7E">
        <w:rPr>
          <w:rFonts w:ascii="Times New Roman" w:hAnsi="Times New Roman" w:cs="Times New Roman"/>
          <w:sz w:val="28"/>
          <w:szCs w:val="28"/>
        </w:rPr>
        <w:t>1</w:t>
      </w:r>
      <w:r>
        <w:rPr>
          <w:rFonts w:ascii="Times New Roman" w:hAnsi="Times New Roman" w:cs="Times New Roman"/>
          <w:sz w:val="28"/>
          <w:szCs w:val="28"/>
        </w:rPr>
        <w:t xml:space="preserve"> (3,85%) пацієнт</w:t>
      </w:r>
      <w:r w:rsidRPr="009E6C7E">
        <w:rPr>
          <w:rFonts w:ascii="Times New Roman" w:hAnsi="Times New Roman" w:cs="Times New Roman"/>
          <w:sz w:val="28"/>
          <w:szCs w:val="28"/>
        </w:rPr>
        <w:t xml:space="preserve"> – </w:t>
      </w:r>
      <w:r>
        <w:rPr>
          <w:rFonts w:ascii="Times New Roman" w:hAnsi="Times New Roman" w:cs="Times New Roman"/>
          <w:sz w:val="28"/>
          <w:szCs w:val="28"/>
        </w:rPr>
        <w:t>р</w:t>
      </w:r>
      <w:r>
        <w:rPr>
          <w:rFonts w:ascii="Times New Roman" w:hAnsi="Times New Roman" w:cs="Times New Roman"/>
          <w:sz w:val="28"/>
          <w:szCs w:val="28"/>
          <w:lang w:val="en-US"/>
        </w:rPr>
        <w:t>T</w:t>
      </w:r>
      <w:r w:rsidRPr="009E6C7E">
        <w:rPr>
          <w:rFonts w:ascii="Times New Roman" w:hAnsi="Times New Roman" w:cs="Times New Roman"/>
          <w:sz w:val="28"/>
          <w:szCs w:val="28"/>
        </w:rPr>
        <w:t>3</w:t>
      </w:r>
      <w:r>
        <w:rPr>
          <w:rFonts w:ascii="Times New Roman" w:hAnsi="Times New Roman" w:cs="Times New Roman"/>
          <w:sz w:val="28"/>
          <w:szCs w:val="28"/>
          <w:lang w:val="en-US"/>
        </w:rPr>
        <w:t>N</w:t>
      </w:r>
      <w:r w:rsidRPr="009E6C7E">
        <w:rPr>
          <w:rFonts w:ascii="Times New Roman" w:hAnsi="Times New Roman" w:cs="Times New Roman"/>
          <w:sz w:val="28"/>
          <w:szCs w:val="28"/>
        </w:rPr>
        <w:t>1</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w:t>
      </w:r>
    </w:p>
    <w:p w:rsidR="00095916" w:rsidRDefault="00095916" w:rsidP="000959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Згідно </w:t>
      </w:r>
      <w:r w:rsidRPr="00CB3FB6">
        <w:rPr>
          <w:rFonts w:ascii="Times New Roman" w:hAnsi="Times New Roman" w:cs="Times New Roman"/>
          <w:sz w:val="28"/>
          <w:szCs w:val="28"/>
        </w:rPr>
        <w:t>класифікації ВООЗ від 2016 р.,</w:t>
      </w:r>
      <w:r>
        <w:rPr>
          <w:rFonts w:ascii="Times New Roman" w:hAnsi="Times New Roman" w:cs="Times New Roman"/>
          <w:sz w:val="28"/>
          <w:szCs w:val="28"/>
        </w:rPr>
        <w:t xml:space="preserve"> в усіх випадках НКР післяопераційно було визначено його гістологічний підтип:  скНКР у 114 (65,52) хворих, пНКР у 31 (17,82%) пацієнтів та хрНКР у 29 (16,67%) хворих. Папілярний НКР у 87,10% випадків був першого типу, а у 12,90% другого, у зв’язку з чим розподіл для статистичного аналізу між цими типами проведений не був. У всіх випадках конвенційного та пНКР було визначено ступінь ядерної атипії за двоступеневою класифікацією </w:t>
      </w:r>
      <w:r w:rsidRPr="00386847">
        <w:rPr>
          <w:rFonts w:ascii="Times New Roman" w:hAnsi="Times New Roman" w:cs="Times New Roman"/>
          <w:sz w:val="28"/>
          <w:szCs w:val="28"/>
        </w:rPr>
        <w:t>Fuhrman</w:t>
      </w:r>
      <w:r>
        <w:rPr>
          <w:rFonts w:ascii="Times New Roman" w:hAnsi="Times New Roman" w:cs="Times New Roman"/>
          <w:sz w:val="28"/>
          <w:szCs w:val="28"/>
        </w:rPr>
        <w:t xml:space="preserve">, згідно якої </w:t>
      </w:r>
      <w:r w:rsidRPr="00386847">
        <w:rPr>
          <w:rFonts w:ascii="Times New Roman" w:hAnsi="Times New Roman" w:cs="Times New Roman"/>
          <w:sz w:val="28"/>
          <w:szCs w:val="28"/>
        </w:rPr>
        <w:t xml:space="preserve">у хворих із </w:t>
      </w:r>
      <w:r>
        <w:rPr>
          <w:rFonts w:ascii="Times New Roman" w:hAnsi="Times New Roman" w:cs="Times New Roman"/>
          <w:sz w:val="28"/>
          <w:szCs w:val="28"/>
        </w:rPr>
        <w:t>скНКР</w:t>
      </w:r>
      <w:r w:rsidRPr="00386847">
        <w:rPr>
          <w:rFonts w:ascii="Times New Roman" w:hAnsi="Times New Roman" w:cs="Times New Roman"/>
          <w:sz w:val="28"/>
          <w:szCs w:val="28"/>
        </w:rPr>
        <w:t xml:space="preserve"> у </w:t>
      </w:r>
      <w:r>
        <w:rPr>
          <w:rFonts w:ascii="Times New Roman" w:hAnsi="Times New Roman" w:cs="Times New Roman"/>
          <w:sz w:val="28"/>
          <w:szCs w:val="28"/>
        </w:rPr>
        <w:t>58 (50,88</w:t>
      </w:r>
      <w:r w:rsidRPr="00386847">
        <w:rPr>
          <w:rFonts w:ascii="Times New Roman" w:hAnsi="Times New Roman" w:cs="Times New Roman"/>
          <w:sz w:val="28"/>
          <w:szCs w:val="28"/>
        </w:rPr>
        <w:t xml:space="preserve">%) випадках спостерігався низький ступінь, а у </w:t>
      </w:r>
      <w:r>
        <w:rPr>
          <w:rFonts w:ascii="Times New Roman" w:hAnsi="Times New Roman" w:cs="Times New Roman"/>
          <w:sz w:val="28"/>
          <w:szCs w:val="28"/>
        </w:rPr>
        <w:t>56 (49,12</w:t>
      </w:r>
      <w:r w:rsidRPr="00386847">
        <w:rPr>
          <w:rFonts w:ascii="Times New Roman" w:hAnsi="Times New Roman" w:cs="Times New Roman"/>
          <w:sz w:val="28"/>
          <w:szCs w:val="28"/>
        </w:rPr>
        <w:t xml:space="preserve">%) </w:t>
      </w:r>
      <w:r>
        <w:rPr>
          <w:rFonts w:ascii="Times New Roman" w:hAnsi="Times New Roman" w:cs="Times New Roman"/>
          <w:sz w:val="28"/>
          <w:szCs w:val="28"/>
        </w:rPr>
        <w:t>– високий; у хворих із пНКР в 15 (48,39</w:t>
      </w:r>
      <w:r w:rsidRPr="00386847">
        <w:rPr>
          <w:rFonts w:ascii="Times New Roman" w:hAnsi="Times New Roman" w:cs="Times New Roman"/>
          <w:sz w:val="28"/>
          <w:szCs w:val="28"/>
        </w:rPr>
        <w:t>%) випадках було виявлено</w:t>
      </w:r>
      <w:r>
        <w:rPr>
          <w:rFonts w:ascii="Times New Roman" w:hAnsi="Times New Roman" w:cs="Times New Roman"/>
          <w:sz w:val="28"/>
          <w:szCs w:val="28"/>
        </w:rPr>
        <w:t xml:space="preserve"> низький ступінь, та в 16 (51,61</w:t>
      </w:r>
      <w:r w:rsidRPr="00386847">
        <w:rPr>
          <w:rFonts w:ascii="Times New Roman" w:hAnsi="Times New Roman" w:cs="Times New Roman"/>
          <w:sz w:val="28"/>
          <w:szCs w:val="28"/>
        </w:rPr>
        <w:t>%) – високий.</w:t>
      </w:r>
      <w:r w:rsidRPr="00CB3FB6">
        <w:rPr>
          <w:rFonts w:ascii="Times New Roman" w:hAnsi="Times New Roman" w:cs="Times New Roman"/>
          <w:sz w:val="28"/>
          <w:szCs w:val="28"/>
        </w:rPr>
        <w:t xml:space="preserve"> </w:t>
      </w:r>
      <w:r w:rsidRPr="00FE1963">
        <w:rPr>
          <w:rFonts w:ascii="Times New Roman" w:hAnsi="Times New Roman" w:cs="Times New Roman"/>
          <w:sz w:val="28"/>
          <w:szCs w:val="28"/>
        </w:rPr>
        <w:t xml:space="preserve">У всіх випадках ПКК ниркової миски </w:t>
      </w:r>
      <w:r>
        <w:rPr>
          <w:rFonts w:ascii="Times New Roman" w:hAnsi="Times New Roman" w:cs="Times New Roman"/>
          <w:sz w:val="28"/>
          <w:szCs w:val="28"/>
        </w:rPr>
        <w:t>був</w:t>
      </w:r>
      <w:r w:rsidRPr="00FE1963">
        <w:rPr>
          <w:rFonts w:ascii="Times New Roman" w:hAnsi="Times New Roman" w:cs="Times New Roman"/>
          <w:sz w:val="28"/>
          <w:szCs w:val="28"/>
        </w:rPr>
        <w:t xml:space="preserve"> високий ступінь.</w:t>
      </w:r>
    </w:p>
    <w:p w:rsidR="00095916" w:rsidRPr="002109C6" w:rsidRDefault="00095916" w:rsidP="000959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Патоморфологічні діагнози доброякісних пухлин були розподілені наступним чином: ОЦ нирки – 16 (36,36%) хворих, АМЛ нирки – 14 (31,82%) пацієнтів, ПА нирки – 14 (31,82%) випадків. Слід зазначити, що на сьогоднішній день ОЦ не має специфічних променевих ознак (що принципово стосується і ПА нирки), у зв’язку із чим згідно рекомендацій </w:t>
      </w:r>
      <w:r w:rsidRPr="00CB3FB6">
        <w:rPr>
          <w:rFonts w:ascii="Times New Roman" w:hAnsi="Times New Roman" w:cs="Times New Roman"/>
          <w:sz w:val="28"/>
          <w:szCs w:val="28"/>
        </w:rPr>
        <w:t xml:space="preserve">EAU </w:t>
      </w:r>
      <w:r>
        <w:rPr>
          <w:rFonts w:ascii="Times New Roman" w:hAnsi="Times New Roman" w:cs="Times New Roman"/>
          <w:sz w:val="28"/>
          <w:szCs w:val="28"/>
        </w:rPr>
        <w:t xml:space="preserve">повинна трактуватись як НКР та підлягає оперативному лікуванню. Крім цього, у випадку низького вмісту жиру у якості компоненту АМЛ, доопераційно за допомогою променевих методів обстеження її також неможливо диференціювати від НКР. За даними патоморфологічних заключень, в нашому дослідженні 11 з 14 (78,57%) АМЛ класифікувались, як новоутворення з низьким вмістом жиру. </w:t>
      </w:r>
    </w:p>
    <w:p w:rsidR="00095916" w:rsidRPr="00466943" w:rsidRDefault="00095916" w:rsidP="003E1DFE">
      <w:pPr>
        <w:spacing w:line="360" w:lineRule="auto"/>
        <w:ind w:firstLine="708"/>
        <w:jc w:val="both"/>
        <w:rPr>
          <w:rFonts w:ascii="Times New Roman" w:hAnsi="Times New Roman" w:cs="Times New Roman"/>
          <w:sz w:val="28"/>
          <w:szCs w:val="28"/>
        </w:rPr>
      </w:pPr>
      <w:r w:rsidRPr="00466943">
        <w:rPr>
          <w:rFonts w:ascii="Times New Roman" w:hAnsi="Times New Roman" w:cs="Times New Roman"/>
          <w:sz w:val="28"/>
          <w:szCs w:val="28"/>
        </w:rPr>
        <w:t xml:space="preserve">Усі хворі із </w:t>
      </w:r>
      <w:r>
        <w:rPr>
          <w:rFonts w:ascii="Times New Roman" w:hAnsi="Times New Roman" w:cs="Times New Roman"/>
          <w:sz w:val="28"/>
          <w:szCs w:val="28"/>
        </w:rPr>
        <w:t>пухлинами нирок</w:t>
      </w:r>
      <w:r w:rsidRPr="00466943">
        <w:rPr>
          <w:rFonts w:ascii="Times New Roman" w:hAnsi="Times New Roman" w:cs="Times New Roman"/>
          <w:sz w:val="28"/>
          <w:szCs w:val="28"/>
        </w:rPr>
        <w:t xml:space="preserve"> були розподілені на </w:t>
      </w:r>
      <w:r>
        <w:rPr>
          <w:rFonts w:ascii="Times New Roman" w:hAnsi="Times New Roman" w:cs="Times New Roman"/>
          <w:sz w:val="28"/>
          <w:szCs w:val="28"/>
        </w:rPr>
        <w:t>такі групи: пацієнти з НКР (n=174</w:t>
      </w:r>
      <w:r w:rsidRPr="00466943">
        <w:rPr>
          <w:rFonts w:ascii="Times New Roman" w:hAnsi="Times New Roman" w:cs="Times New Roman"/>
          <w:sz w:val="28"/>
          <w:szCs w:val="28"/>
        </w:rPr>
        <w:t>) – основна група; хворі із ПКК ниркової миски</w:t>
      </w:r>
      <w:r>
        <w:rPr>
          <w:rFonts w:ascii="Times New Roman" w:hAnsi="Times New Roman" w:cs="Times New Roman"/>
          <w:sz w:val="28"/>
          <w:szCs w:val="28"/>
        </w:rPr>
        <w:t xml:space="preserve"> (n=26</w:t>
      </w:r>
      <w:r w:rsidRPr="00466943">
        <w:rPr>
          <w:rFonts w:ascii="Times New Roman" w:hAnsi="Times New Roman" w:cs="Times New Roman"/>
          <w:sz w:val="28"/>
          <w:szCs w:val="28"/>
        </w:rPr>
        <w:t>) – група порівняння І; пацієнти із доброякісн</w:t>
      </w:r>
      <w:r>
        <w:rPr>
          <w:rFonts w:ascii="Times New Roman" w:hAnsi="Times New Roman" w:cs="Times New Roman"/>
          <w:sz w:val="28"/>
          <w:szCs w:val="28"/>
        </w:rPr>
        <w:t>ими пухлинами нирок (n=44</w:t>
      </w:r>
      <w:r w:rsidRPr="00466943">
        <w:rPr>
          <w:rFonts w:ascii="Times New Roman" w:hAnsi="Times New Roman" w:cs="Times New Roman"/>
          <w:sz w:val="28"/>
          <w:szCs w:val="28"/>
        </w:rPr>
        <w:t xml:space="preserve">) – група </w:t>
      </w:r>
      <w:r w:rsidRPr="00466943">
        <w:rPr>
          <w:rFonts w:ascii="Times New Roman" w:hAnsi="Times New Roman" w:cs="Times New Roman"/>
          <w:sz w:val="28"/>
          <w:szCs w:val="28"/>
        </w:rPr>
        <w:lastRenderedPageBreak/>
        <w:t xml:space="preserve">порівняння ІІ. У якості контрольної групи були використані референтні значення променевих біомаркерів в залежності від методу обстеження – КТ (n=30) чи МРТ (n=30). </w:t>
      </w:r>
      <w:r>
        <w:rPr>
          <w:rFonts w:ascii="Times New Roman" w:hAnsi="Times New Roman" w:cs="Times New Roman"/>
          <w:sz w:val="28"/>
          <w:szCs w:val="28"/>
        </w:rPr>
        <w:t>Характеристики</w:t>
      </w:r>
      <w:r w:rsidRPr="00466943">
        <w:rPr>
          <w:rFonts w:ascii="Times New Roman" w:hAnsi="Times New Roman" w:cs="Times New Roman"/>
          <w:sz w:val="28"/>
          <w:szCs w:val="28"/>
        </w:rPr>
        <w:t xml:space="preserve"> контрольних груп було наведено </w:t>
      </w:r>
      <w:r>
        <w:rPr>
          <w:rFonts w:ascii="Times New Roman" w:hAnsi="Times New Roman" w:cs="Times New Roman"/>
          <w:sz w:val="28"/>
          <w:szCs w:val="28"/>
        </w:rPr>
        <w:t>в попередньому розділі</w:t>
      </w:r>
      <w:r w:rsidRPr="00466943">
        <w:rPr>
          <w:rFonts w:ascii="Times New Roman" w:hAnsi="Times New Roman" w:cs="Times New Roman"/>
          <w:sz w:val="28"/>
          <w:szCs w:val="28"/>
        </w:rPr>
        <w:t>.</w:t>
      </w:r>
      <w:r w:rsidR="003E1DFE">
        <w:rPr>
          <w:rFonts w:ascii="Times New Roman" w:hAnsi="Times New Roman" w:cs="Times New Roman"/>
          <w:sz w:val="28"/>
          <w:szCs w:val="28"/>
        </w:rPr>
        <w:t xml:space="preserve"> </w:t>
      </w:r>
      <w:r w:rsidRPr="00466943">
        <w:rPr>
          <w:rFonts w:ascii="Times New Roman" w:hAnsi="Times New Roman" w:cs="Times New Roman"/>
          <w:sz w:val="28"/>
          <w:szCs w:val="28"/>
        </w:rPr>
        <w:t xml:space="preserve">Хворим із пухлинами нирок виконувались крос-секційні обстеження черевної порожнини із контрастом. </w:t>
      </w:r>
      <w:r>
        <w:rPr>
          <w:rFonts w:ascii="Times New Roman" w:hAnsi="Times New Roman" w:cs="Times New Roman"/>
          <w:sz w:val="28"/>
          <w:szCs w:val="28"/>
        </w:rPr>
        <w:t>У нашому дослідженні в</w:t>
      </w:r>
      <w:r w:rsidRPr="00466943">
        <w:rPr>
          <w:rFonts w:ascii="Times New Roman" w:hAnsi="Times New Roman" w:cs="Times New Roman"/>
          <w:sz w:val="28"/>
          <w:szCs w:val="28"/>
        </w:rPr>
        <w:t xml:space="preserve"> </w:t>
      </w:r>
      <w:r>
        <w:rPr>
          <w:rFonts w:ascii="Times New Roman" w:hAnsi="Times New Roman" w:cs="Times New Roman"/>
          <w:sz w:val="28"/>
          <w:szCs w:val="28"/>
        </w:rPr>
        <w:t>120 (49,</w:t>
      </w:r>
      <w:r w:rsidRPr="00466943">
        <w:rPr>
          <w:rFonts w:ascii="Times New Roman" w:hAnsi="Times New Roman" w:cs="Times New Roman"/>
          <w:sz w:val="28"/>
          <w:szCs w:val="28"/>
        </w:rPr>
        <w:t>1</w:t>
      </w:r>
      <w:r>
        <w:rPr>
          <w:rFonts w:ascii="Times New Roman" w:hAnsi="Times New Roman" w:cs="Times New Roman"/>
          <w:sz w:val="28"/>
          <w:szCs w:val="28"/>
        </w:rPr>
        <w:t>8%) випадках</w:t>
      </w:r>
      <w:r w:rsidRPr="00466943">
        <w:rPr>
          <w:rFonts w:ascii="Times New Roman" w:hAnsi="Times New Roman" w:cs="Times New Roman"/>
          <w:sz w:val="28"/>
          <w:szCs w:val="28"/>
        </w:rPr>
        <w:t xml:space="preserve"> </w:t>
      </w:r>
      <w:r>
        <w:rPr>
          <w:rFonts w:ascii="Times New Roman" w:hAnsi="Times New Roman" w:cs="Times New Roman"/>
          <w:sz w:val="28"/>
          <w:szCs w:val="28"/>
        </w:rPr>
        <w:t>було</w:t>
      </w:r>
      <w:r w:rsidRPr="00466943">
        <w:rPr>
          <w:rFonts w:ascii="Times New Roman" w:hAnsi="Times New Roman" w:cs="Times New Roman"/>
          <w:sz w:val="28"/>
          <w:szCs w:val="28"/>
        </w:rPr>
        <w:t xml:space="preserve"> </w:t>
      </w:r>
      <w:r>
        <w:rPr>
          <w:rFonts w:ascii="Times New Roman" w:hAnsi="Times New Roman" w:cs="Times New Roman"/>
          <w:sz w:val="28"/>
          <w:szCs w:val="28"/>
        </w:rPr>
        <w:t>виконано</w:t>
      </w:r>
      <w:r w:rsidRPr="00466943">
        <w:rPr>
          <w:rFonts w:ascii="Times New Roman" w:hAnsi="Times New Roman" w:cs="Times New Roman"/>
          <w:sz w:val="28"/>
          <w:szCs w:val="28"/>
        </w:rPr>
        <w:t xml:space="preserve"> КТ та </w:t>
      </w:r>
      <w:r>
        <w:rPr>
          <w:rFonts w:ascii="Times New Roman" w:hAnsi="Times New Roman" w:cs="Times New Roman"/>
          <w:sz w:val="28"/>
          <w:szCs w:val="28"/>
        </w:rPr>
        <w:t xml:space="preserve">у 124 (50,82%) випадках – </w:t>
      </w:r>
      <w:r w:rsidRPr="00466943">
        <w:rPr>
          <w:rFonts w:ascii="Times New Roman" w:hAnsi="Times New Roman" w:cs="Times New Roman"/>
          <w:sz w:val="28"/>
          <w:szCs w:val="28"/>
        </w:rPr>
        <w:t>МРТ. Детальна характеристика досліджуваних груп хворих наведена у таблицях 3.1</w:t>
      </w:r>
      <w:r w:rsidR="00293044">
        <w:rPr>
          <w:rFonts w:ascii="Times New Roman" w:hAnsi="Times New Roman" w:cs="Times New Roman"/>
          <w:sz w:val="28"/>
          <w:szCs w:val="28"/>
        </w:rPr>
        <w:t>8 та 3.19</w:t>
      </w:r>
      <w:r w:rsidRPr="00466943">
        <w:rPr>
          <w:rFonts w:ascii="Times New Roman" w:hAnsi="Times New Roman" w:cs="Times New Roman"/>
          <w:sz w:val="28"/>
          <w:szCs w:val="28"/>
        </w:rPr>
        <w:t>.</w:t>
      </w:r>
    </w:p>
    <w:p w:rsidR="00095916" w:rsidRPr="002B3CEB" w:rsidRDefault="00293044" w:rsidP="00095916">
      <w:pPr>
        <w:spacing w:line="360" w:lineRule="auto"/>
        <w:ind w:firstLine="360"/>
        <w:jc w:val="right"/>
        <w:rPr>
          <w:rFonts w:ascii="Times New Roman" w:hAnsi="Times New Roman"/>
          <w:sz w:val="28"/>
          <w:szCs w:val="28"/>
        </w:rPr>
      </w:pPr>
      <w:r>
        <w:rPr>
          <w:rFonts w:ascii="Times New Roman" w:hAnsi="Times New Roman"/>
          <w:sz w:val="28"/>
          <w:szCs w:val="28"/>
        </w:rPr>
        <w:t>Таблиця 3.18</w:t>
      </w:r>
    </w:p>
    <w:p w:rsidR="00095916" w:rsidRPr="002B3CEB" w:rsidRDefault="00095916" w:rsidP="00095916">
      <w:pPr>
        <w:spacing w:line="360" w:lineRule="auto"/>
        <w:ind w:firstLine="360"/>
        <w:jc w:val="center"/>
        <w:rPr>
          <w:rFonts w:ascii="Times New Roman" w:hAnsi="Times New Roman" w:cs="Times New Roman"/>
          <w:sz w:val="28"/>
          <w:szCs w:val="28"/>
        </w:rPr>
      </w:pPr>
      <w:r w:rsidRPr="002B3CEB">
        <w:rPr>
          <w:rFonts w:ascii="Times New Roman" w:hAnsi="Times New Roman" w:cs="Times New Roman"/>
          <w:sz w:val="28"/>
          <w:szCs w:val="28"/>
        </w:rPr>
        <w:t xml:space="preserve">Характеристика досліджуваних хворих із солідними </w:t>
      </w:r>
      <w:r>
        <w:rPr>
          <w:rFonts w:ascii="Times New Roman" w:hAnsi="Times New Roman" w:cs="Times New Roman"/>
          <w:sz w:val="28"/>
          <w:szCs w:val="28"/>
        </w:rPr>
        <w:t xml:space="preserve">пухлинами нирок </w:t>
      </w:r>
    </w:p>
    <w:tbl>
      <w:tblPr>
        <w:tblStyle w:val="TableGrid"/>
        <w:tblW w:w="9351" w:type="dxa"/>
        <w:tblLook w:val="04A0" w:firstRow="1" w:lastRow="0" w:firstColumn="1" w:lastColumn="0" w:noHBand="0" w:noVBand="1"/>
      </w:tblPr>
      <w:tblGrid>
        <w:gridCol w:w="2079"/>
        <w:gridCol w:w="893"/>
        <w:gridCol w:w="3119"/>
        <w:gridCol w:w="3260"/>
      </w:tblGrid>
      <w:tr w:rsidR="00095916" w:rsidRPr="002B3CEB" w:rsidTr="003E1DFE">
        <w:tc>
          <w:tcPr>
            <w:tcW w:w="2079" w:type="dxa"/>
            <w:vMerge w:val="restart"/>
          </w:tcPr>
          <w:p w:rsidR="00095916" w:rsidRPr="002B3CEB" w:rsidRDefault="00095916" w:rsidP="003E1DFE">
            <w:pPr>
              <w:jc w:val="both"/>
              <w:rPr>
                <w:rFonts w:ascii="Times New Roman" w:hAnsi="Times New Roman" w:cs="Times New Roman"/>
                <w:b/>
                <w:sz w:val="28"/>
                <w:szCs w:val="28"/>
              </w:rPr>
            </w:pPr>
            <w:r w:rsidRPr="002B3CEB">
              <w:rPr>
                <w:rFonts w:ascii="Times New Roman" w:hAnsi="Times New Roman" w:cs="Times New Roman"/>
                <w:b/>
                <w:sz w:val="28"/>
                <w:szCs w:val="28"/>
              </w:rPr>
              <w:t>Діагноз</w:t>
            </w:r>
          </w:p>
        </w:tc>
        <w:tc>
          <w:tcPr>
            <w:tcW w:w="893" w:type="dxa"/>
            <w:vMerge w:val="restart"/>
          </w:tcPr>
          <w:p w:rsidR="00095916" w:rsidRPr="002B3CEB" w:rsidRDefault="00095916" w:rsidP="003E1DFE">
            <w:pPr>
              <w:jc w:val="center"/>
              <w:rPr>
                <w:rFonts w:ascii="Times New Roman" w:hAnsi="Times New Roman" w:cs="Times New Roman"/>
                <w:b/>
                <w:sz w:val="28"/>
                <w:szCs w:val="28"/>
              </w:rPr>
            </w:pPr>
            <w:r w:rsidRPr="002B3CEB">
              <w:rPr>
                <w:rFonts w:ascii="Times New Roman" w:hAnsi="Times New Roman" w:cs="Times New Roman"/>
                <w:b/>
                <w:sz w:val="28"/>
                <w:szCs w:val="28"/>
              </w:rPr>
              <w:t>N</w:t>
            </w:r>
          </w:p>
        </w:tc>
        <w:tc>
          <w:tcPr>
            <w:tcW w:w="6379" w:type="dxa"/>
            <w:gridSpan w:val="2"/>
          </w:tcPr>
          <w:p w:rsidR="00095916" w:rsidRPr="002B3CEB" w:rsidRDefault="00095916" w:rsidP="003E1DFE">
            <w:pPr>
              <w:jc w:val="center"/>
              <w:rPr>
                <w:rFonts w:ascii="Times New Roman" w:hAnsi="Times New Roman" w:cs="Times New Roman"/>
                <w:b/>
                <w:sz w:val="28"/>
                <w:szCs w:val="28"/>
              </w:rPr>
            </w:pPr>
            <w:r w:rsidRPr="002B3CEB">
              <w:rPr>
                <w:rFonts w:ascii="Times New Roman" w:hAnsi="Times New Roman" w:cs="Times New Roman"/>
                <w:b/>
                <w:sz w:val="28"/>
                <w:szCs w:val="28"/>
              </w:rPr>
              <w:t>Характеристика</w:t>
            </w:r>
          </w:p>
        </w:tc>
      </w:tr>
      <w:tr w:rsidR="00095916" w:rsidRPr="002B3CEB" w:rsidTr="003E1DFE">
        <w:tc>
          <w:tcPr>
            <w:tcW w:w="2079" w:type="dxa"/>
            <w:vMerge/>
          </w:tcPr>
          <w:p w:rsidR="00095916" w:rsidRPr="002B3CEB" w:rsidRDefault="00095916" w:rsidP="003E1DFE">
            <w:pPr>
              <w:jc w:val="both"/>
              <w:rPr>
                <w:rFonts w:ascii="Times New Roman" w:hAnsi="Times New Roman" w:cs="Times New Roman"/>
                <w:b/>
                <w:sz w:val="28"/>
                <w:szCs w:val="28"/>
              </w:rPr>
            </w:pPr>
          </w:p>
        </w:tc>
        <w:tc>
          <w:tcPr>
            <w:tcW w:w="893" w:type="dxa"/>
            <w:vMerge/>
          </w:tcPr>
          <w:p w:rsidR="00095916" w:rsidRPr="002B3CEB" w:rsidRDefault="00095916" w:rsidP="003E1DFE">
            <w:pPr>
              <w:jc w:val="center"/>
              <w:rPr>
                <w:rFonts w:ascii="Times New Roman" w:hAnsi="Times New Roman" w:cs="Times New Roman"/>
                <w:b/>
                <w:sz w:val="28"/>
                <w:szCs w:val="28"/>
              </w:rPr>
            </w:pPr>
          </w:p>
        </w:tc>
        <w:tc>
          <w:tcPr>
            <w:tcW w:w="3119" w:type="dxa"/>
          </w:tcPr>
          <w:p w:rsidR="00095916" w:rsidRPr="002B3CEB" w:rsidRDefault="00095916" w:rsidP="003E1DFE">
            <w:pPr>
              <w:jc w:val="center"/>
              <w:rPr>
                <w:rFonts w:ascii="Times New Roman" w:hAnsi="Times New Roman" w:cs="Times New Roman"/>
                <w:b/>
                <w:sz w:val="28"/>
                <w:szCs w:val="28"/>
              </w:rPr>
            </w:pPr>
            <w:r w:rsidRPr="002B3CEB">
              <w:rPr>
                <w:rFonts w:ascii="Times New Roman" w:hAnsi="Times New Roman" w:cs="Times New Roman"/>
                <w:b/>
                <w:sz w:val="28"/>
                <w:szCs w:val="28"/>
              </w:rPr>
              <w:t>Середній вік, р±СВ</w:t>
            </w:r>
          </w:p>
        </w:tc>
        <w:tc>
          <w:tcPr>
            <w:tcW w:w="3260" w:type="dxa"/>
          </w:tcPr>
          <w:p w:rsidR="00095916" w:rsidRPr="002B3CEB" w:rsidRDefault="00095916" w:rsidP="003E1DFE">
            <w:pPr>
              <w:jc w:val="center"/>
              <w:rPr>
                <w:rFonts w:ascii="Times New Roman" w:hAnsi="Times New Roman" w:cs="Times New Roman"/>
                <w:b/>
                <w:sz w:val="28"/>
                <w:szCs w:val="28"/>
              </w:rPr>
            </w:pPr>
            <w:r>
              <w:rPr>
                <w:rFonts w:ascii="Times New Roman" w:hAnsi="Times New Roman" w:cs="Times New Roman"/>
                <w:b/>
                <w:sz w:val="28"/>
                <w:szCs w:val="28"/>
              </w:rPr>
              <w:t xml:space="preserve">Середній розмір пухлини, </w:t>
            </w:r>
            <w:r w:rsidRPr="002B3CEB">
              <w:rPr>
                <w:rFonts w:ascii="Times New Roman" w:hAnsi="Times New Roman" w:cs="Times New Roman"/>
                <w:b/>
                <w:sz w:val="28"/>
                <w:szCs w:val="28"/>
              </w:rPr>
              <w:t>см±СВ</w:t>
            </w:r>
          </w:p>
        </w:tc>
      </w:tr>
      <w:tr w:rsidR="00095916" w:rsidRPr="002B3CEB" w:rsidTr="003E1DFE">
        <w:tc>
          <w:tcPr>
            <w:tcW w:w="2079" w:type="dxa"/>
          </w:tcPr>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НКР</w:t>
            </w:r>
          </w:p>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скНКР</w:t>
            </w:r>
          </w:p>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скНКР, НС</w:t>
            </w:r>
          </w:p>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скНКР, ВС</w:t>
            </w:r>
          </w:p>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пНКР</w:t>
            </w:r>
          </w:p>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пНКР, НС</w:t>
            </w:r>
          </w:p>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пНКР, ВС</w:t>
            </w:r>
          </w:p>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хрНКР</w:t>
            </w:r>
          </w:p>
        </w:tc>
        <w:tc>
          <w:tcPr>
            <w:tcW w:w="893" w:type="dxa"/>
          </w:tcPr>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174</w:t>
            </w:r>
          </w:p>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114</w:t>
            </w:r>
          </w:p>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58</w:t>
            </w:r>
          </w:p>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56</w:t>
            </w:r>
          </w:p>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31</w:t>
            </w:r>
          </w:p>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15</w:t>
            </w:r>
          </w:p>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16</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29</w:t>
            </w:r>
          </w:p>
        </w:tc>
        <w:tc>
          <w:tcPr>
            <w:tcW w:w="3119" w:type="dxa"/>
          </w:tcPr>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62,34±7,11</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60,11±6,24</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62,15±6,05</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59,56±5,54</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59,31±5,76</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60,11±5,24</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59,42±6,62</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63,36±5,56</w:t>
            </w:r>
          </w:p>
        </w:tc>
        <w:tc>
          <w:tcPr>
            <w:tcW w:w="3260" w:type="dxa"/>
          </w:tcPr>
          <w:p w:rsidR="00095916" w:rsidRDefault="00095916" w:rsidP="003E1DFE">
            <w:pPr>
              <w:jc w:val="center"/>
              <w:rPr>
                <w:rFonts w:ascii="Times New Roman" w:hAnsi="Times New Roman"/>
                <w:sz w:val="28"/>
                <w:szCs w:val="28"/>
              </w:rPr>
            </w:pPr>
            <w:r>
              <w:rPr>
                <w:rFonts w:ascii="Times New Roman" w:hAnsi="Times New Roman"/>
                <w:sz w:val="28"/>
                <w:szCs w:val="28"/>
              </w:rPr>
              <w:t>7,69</w:t>
            </w:r>
            <w:r w:rsidRPr="00FC5277">
              <w:rPr>
                <w:rFonts w:ascii="Times New Roman" w:hAnsi="Times New Roman"/>
                <w:sz w:val="28"/>
                <w:szCs w:val="28"/>
              </w:rPr>
              <w:sym w:font="Symbol" w:char="F0B1"/>
            </w:r>
            <w:r>
              <w:rPr>
                <w:rFonts w:ascii="Times New Roman" w:hAnsi="Times New Roman"/>
                <w:sz w:val="28"/>
                <w:szCs w:val="28"/>
              </w:rPr>
              <w:t>2,7</w:t>
            </w:r>
            <w:r w:rsidRPr="00FC5277">
              <w:rPr>
                <w:rFonts w:ascii="Times New Roman" w:hAnsi="Times New Roman"/>
                <w:sz w:val="28"/>
                <w:szCs w:val="28"/>
              </w:rPr>
              <w:t>4</w:t>
            </w:r>
          </w:p>
          <w:p w:rsidR="00095916" w:rsidRDefault="00095916" w:rsidP="003E1DFE">
            <w:pPr>
              <w:jc w:val="center"/>
              <w:rPr>
                <w:rFonts w:ascii="Times New Roman" w:hAnsi="Times New Roman"/>
                <w:sz w:val="28"/>
                <w:szCs w:val="28"/>
              </w:rPr>
            </w:pPr>
            <w:r>
              <w:rPr>
                <w:rFonts w:ascii="Times New Roman" w:hAnsi="Times New Roman"/>
                <w:sz w:val="28"/>
                <w:szCs w:val="28"/>
              </w:rPr>
              <w:t>7,83</w:t>
            </w:r>
            <w:r w:rsidRPr="00FC5277">
              <w:rPr>
                <w:rFonts w:ascii="Times New Roman" w:hAnsi="Times New Roman"/>
                <w:sz w:val="28"/>
                <w:szCs w:val="28"/>
              </w:rPr>
              <w:sym w:font="Symbol" w:char="F0B1"/>
            </w:r>
            <w:r>
              <w:rPr>
                <w:rFonts w:ascii="Times New Roman" w:hAnsi="Times New Roman"/>
                <w:sz w:val="28"/>
                <w:szCs w:val="28"/>
              </w:rPr>
              <w:t>2,56</w:t>
            </w:r>
          </w:p>
          <w:p w:rsidR="00095916" w:rsidRDefault="00095916" w:rsidP="003E1DFE">
            <w:pPr>
              <w:jc w:val="center"/>
              <w:rPr>
                <w:rFonts w:ascii="Times New Roman" w:hAnsi="Times New Roman"/>
                <w:sz w:val="28"/>
                <w:szCs w:val="28"/>
              </w:rPr>
            </w:pPr>
            <w:r>
              <w:rPr>
                <w:rFonts w:ascii="Times New Roman" w:hAnsi="Times New Roman"/>
                <w:sz w:val="28"/>
                <w:szCs w:val="28"/>
              </w:rPr>
              <w:t>7,64</w:t>
            </w:r>
            <w:r w:rsidRPr="00FC5277">
              <w:rPr>
                <w:rFonts w:ascii="Times New Roman" w:hAnsi="Times New Roman"/>
                <w:sz w:val="28"/>
                <w:szCs w:val="28"/>
              </w:rPr>
              <w:sym w:font="Symbol" w:char="F0B1"/>
            </w:r>
            <w:r>
              <w:rPr>
                <w:rFonts w:ascii="Times New Roman" w:hAnsi="Times New Roman"/>
                <w:sz w:val="28"/>
                <w:szCs w:val="28"/>
              </w:rPr>
              <w:t>2,11</w:t>
            </w:r>
          </w:p>
          <w:p w:rsidR="00095916" w:rsidRDefault="00095916" w:rsidP="003E1DFE">
            <w:pPr>
              <w:jc w:val="center"/>
              <w:rPr>
                <w:rFonts w:ascii="Times New Roman" w:hAnsi="Times New Roman"/>
                <w:sz w:val="28"/>
                <w:szCs w:val="28"/>
              </w:rPr>
            </w:pPr>
            <w:r>
              <w:rPr>
                <w:rFonts w:ascii="Times New Roman" w:hAnsi="Times New Roman"/>
                <w:sz w:val="28"/>
                <w:szCs w:val="28"/>
              </w:rPr>
              <w:t>7,89</w:t>
            </w:r>
            <w:r w:rsidRPr="00FC5277">
              <w:rPr>
                <w:rFonts w:ascii="Times New Roman" w:hAnsi="Times New Roman"/>
                <w:sz w:val="28"/>
                <w:szCs w:val="28"/>
              </w:rPr>
              <w:sym w:font="Symbol" w:char="F0B1"/>
            </w:r>
            <w:r>
              <w:rPr>
                <w:rFonts w:ascii="Times New Roman" w:hAnsi="Times New Roman"/>
                <w:sz w:val="28"/>
                <w:szCs w:val="28"/>
              </w:rPr>
              <w:t>2,84</w:t>
            </w:r>
          </w:p>
          <w:p w:rsidR="00095916" w:rsidRDefault="00095916" w:rsidP="003E1DFE">
            <w:pPr>
              <w:jc w:val="center"/>
              <w:rPr>
                <w:rFonts w:ascii="Times New Roman" w:hAnsi="Times New Roman"/>
                <w:sz w:val="28"/>
                <w:szCs w:val="28"/>
              </w:rPr>
            </w:pPr>
            <w:r>
              <w:rPr>
                <w:rFonts w:ascii="Times New Roman" w:hAnsi="Times New Roman"/>
                <w:sz w:val="28"/>
                <w:szCs w:val="28"/>
              </w:rPr>
              <w:t>6,34</w:t>
            </w:r>
            <w:r w:rsidRPr="00FC5277">
              <w:rPr>
                <w:rFonts w:ascii="Times New Roman" w:hAnsi="Times New Roman"/>
                <w:sz w:val="28"/>
                <w:szCs w:val="28"/>
              </w:rPr>
              <w:sym w:font="Symbol" w:char="F0B1"/>
            </w:r>
            <w:r>
              <w:rPr>
                <w:rFonts w:ascii="Times New Roman" w:hAnsi="Times New Roman"/>
                <w:sz w:val="28"/>
                <w:szCs w:val="28"/>
              </w:rPr>
              <w:t>2,61</w:t>
            </w:r>
          </w:p>
          <w:p w:rsidR="00095916" w:rsidRDefault="00095916" w:rsidP="003E1DFE">
            <w:pPr>
              <w:jc w:val="center"/>
              <w:rPr>
                <w:rFonts w:ascii="Times New Roman" w:hAnsi="Times New Roman"/>
                <w:sz w:val="28"/>
                <w:szCs w:val="28"/>
              </w:rPr>
            </w:pPr>
            <w:r>
              <w:rPr>
                <w:rFonts w:ascii="Times New Roman" w:hAnsi="Times New Roman"/>
                <w:sz w:val="28"/>
                <w:szCs w:val="28"/>
              </w:rPr>
              <w:t>7,05</w:t>
            </w:r>
            <w:r w:rsidRPr="00FC5277">
              <w:rPr>
                <w:rFonts w:ascii="Times New Roman" w:hAnsi="Times New Roman"/>
                <w:sz w:val="28"/>
                <w:szCs w:val="28"/>
              </w:rPr>
              <w:sym w:font="Symbol" w:char="F0B1"/>
            </w:r>
            <w:r>
              <w:rPr>
                <w:rFonts w:ascii="Times New Roman" w:hAnsi="Times New Roman"/>
                <w:sz w:val="28"/>
                <w:szCs w:val="28"/>
              </w:rPr>
              <w:t>2,34</w:t>
            </w:r>
          </w:p>
          <w:p w:rsidR="00095916" w:rsidRDefault="00095916" w:rsidP="003E1DFE">
            <w:pPr>
              <w:jc w:val="center"/>
              <w:rPr>
                <w:rFonts w:ascii="Times New Roman" w:hAnsi="Times New Roman"/>
                <w:sz w:val="28"/>
                <w:szCs w:val="28"/>
              </w:rPr>
            </w:pPr>
            <w:r>
              <w:rPr>
                <w:rFonts w:ascii="Times New Roman" w:hAnsi="Times New Roman"/>
                <w:sz w:val="28"/>
                <w:szCs w:val="28"/>
              </w:rPr>
              <w:t>6,65</w:t>
            </w:r>
            <w:r w:rsidRPr="00FC5277">
              <w:rPr>
                <w:rFonts w:ascii="Times New Roman" w:hAnsi="Times New Roman"/>
                <w:sz w:val="28"/>
                <w:szCs w:val="28"/>
              </w:rPr>
              <w:sym w:font="Symbol" w:char="F0B1"/>
            </w:r>
            <w:r>
              <w:rPr>
                <w:rFonts w:ascii="Times New Roman" w:hAnsi="Times New Roman"/>
                <w:sz w:val="28"/>
                <w:szCs w:val="28"/>
              </w:rPr>
              <w:t>2,05</w:t>
            </w:r>
          </w:p>
          <w:p w:rsidR="00095916" w:rsidRPr="002B3CEB" w:rsidRDefault="00095916" w:rsidP="003E1DFE">
            <w:pPr>
              <w:jc w:val="center"/>
              <w:rPr>
                <w:rFonts w:ascii="Times New Roman" w:hAnsi="Times New Roman" w:cs="Times New Roman"/>
                <w:sz w:val="28"/>
                <w:szCs w:val="28"/>
              </w:rPr>
            </w:pPr>
            <w:r>
              <w:rPr>
                <w:rFonts w:ascii="Times New Roman" w:hAnsi="Times New Roman"/>
                <w:sz w:val="28"/>
                <w:szCs w:val="28"/>
              </w:rPr>
              <w:t>7,23</w:t>
            </w:r>
            <w:r w:rsidRPr="00FC5277">
              <w:rPr>
                <w:rFonts w:ascii="Times New Roman" w:hAnsi="Times New Roman"/>
                <w:sz w:val="28"/>
                <w:szCs w:val="28"/>
              </w:rPr>
              <w:sym w:font="Symbol" w:char="F0B1"/>
            </w:r>
            <w:r>
              <w:rPr>
                <w:rFonts w:ascii="Times New Roman" w:hAnsi="Times New Roman"/>
                <w:sz w:val="28"/>
                <w:szCs w:val="28"/>
              </w:rPr>
              <w:t>2,0</w:t>
            </w:r>
          </w:p>
        </w:tc>
      </w:tr>
      <w:tr w:rsidR="00095916" w:rsidRPr="002B3CEB" w:rsidTr="003E1DFE">
        <w:tc>
          <w:tcPr>
            <w:tcW w:w="2079" w:type="dxa"/>
          </w:tcPr>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ПКК</w:t>
            </w:r>
          </w:p>
        </w:tc>
        <w:tc>
          <w:tcPr>
            <w:tcW w:w="893" w:type="dxa"/>
          </w:tcPr>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26</w:t>
            </w:r>
          </w:p>
        </w:tc>
        <w:tc>
          <w:tcPr>
            <w:tcW w:w="3119" w:type="dxa"/>
          </w:tcPr>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54,11±6,14</w:t>
            </w:r>
          </w:p>
        </w:tc>
        <w:tc>
          <w:tcPr>
            <w:tcW w:w="3260" w:type="dxa"/>
          </w:tcPr>
          <w:p w:rsidR="00095916" w:rsidRPr="002B3CEB" w:rsidRDefault="00095916" w:rsidP="003E1DFE">
            <w:pPr>
              <w:jc w:val="center"/>
              <w:rPr>
                <w:rFonts w:ascii="Times New Roman" w:hAnsi="Times New Roman" w:cs="Times New Roman"/>
                <w:sz w:val="28"/>
                <w:szCs w:val="28"/>
              </w:rPr>
            </w:pPr>
            <w:r>
              <w:rPr>
                <w:rFonts w:ascii="Times New Roman" w:hAnsi="Times New Roman"/>
                <w:sz w:val="28"/>
                <w:szCs w:val="28"/>
              </w:rPr>
              <w:t>5,64</w:t>
            </w:r>
            <w:r w:rsidRPr="00FC5277">
              <w:rPr>
                <w:rFonts w:ascii="Times New Roman" w:hAnsi="Times New Roman"/>
                <w:sz w:val="28"/>
                <w:szCs w:val="28"/>
              </w:rPr>
              <w:sym w:font="Symbol" w:char="F0B1"/>
            </w:r>
            <w:r>
              <w:rPr>
                <w:rFonts w:ascii="Times New Roman" w:hAnsi="Times New Roman"/>
                <w:sz w:val="28"/>
                <w:szCs w:val="28"/>
              </w:rPr>
              <w:t>2,43</w:t>
            </w:r>
          </w:p>
        </w:tc>
      </w:tr>
      <w:tr w:rsidR="00095916" w:rsidRPr="002B3CEB" w:rsidTr="003E1DFE">
        <w:tc>
          <w:tcPr>
            <w:tcW w:w="2079" w:type="dxa"/>
          </w:tcPr>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ДП</w:t>
            </w:r>
          </w:p>
          <w:p w:rsidR="00095916" w:rsidRPr="002B3CEB" w:rsidRDefault="00095916" w:rsidP="003E1DFE">
            <w:pPr>
              <w:rPr>
                <w:rFonts w:ascii="Times New Roman" w:hAnsi="Times New Roman" w:cs="Times New Roman"/>
                <w:sz w:val="28"/>
                <w:szCs w:val="28"/>
              </w:rPr>
            </w:pPr>
            <w:r w:rsidRPr="002B3CEB">
              <w:rPr>
                <w:rFonts w:ascii="Times New Roman" w:hAnsi="Times New Roman" w:cs="Times New Roman"/>
                <w:sz w:val="28"/>
                <w:szCs w:val="28"/>
              </w:rPr>
              <w:t>ОЦ</w:t>
            </w:r>
          </w:p>
          <w:p w:rsidR="00095916" w:rsidRPr="002B3CEB" w:rsidRDefault="00095916" w:rsidP="003E1DFE">
            <w:pPr>
              <w:rPr>
                <w:rFonts w:ascii="Times New Roman" w:hAnsi="Times New Roman" w:cs="Times New Roman"/>
                <w:sz w:val="28"/>
                <w:szCs w:val="28"/>
              </w:rPr>
            </w:pPr>
            <w:r w:rsidRPr="002B3CEB">
              <w:rPr>
                <w:rFonts w:ascii="Times New Roman" w:hAnsi="Times New Roman" w:cs="Times New Roman"/>
                <w:sz w:val="28"/>
                <w:szCs w:val="28"/>
              </w:rPr>
              <w:t>АМЛ</w:t>
            </w:r>
          </w:p>
          <w:p w:rsidR="00095916" w:rsidRPr="002B3CEB" w:rsidRDefault="00095916" w:rsidP="003E1DFE">
            <w:pPr>
              <w:rPr>
                <w:rFonts w:ascii="Times New Roman" w:hAnsi="Times New Roman" w:cs="Times New Roman"/>
                <w:sz w:val="28"/>
                <w:szCs w:val="28"/>
              </w:rPr>
            </w:pPr>
            <w:r w:rsidRPr="002B3CEB">
              <w:rPr>
                <w:rFonts w:ascii="Times New Roman" w:hAnsi="Times New Roman" w:cs="Times New Roman"/>
                <w:sz w:val="28"/>
                <w:szCs w:val="28"/>
              </w:rPr>
              <w:t>ПА</w:t>
            </w:r>
          </w:p>
        </w:tc>
        <w:tc>
          <w:tcPr>
            <w:tcW w:w="893" w:type="dxa"/>
          </w:tcPr>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44</w:t>
            </w:r>
          </w:p>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16</w:t>
            </w:r>
          </w:p>
          <w:p w:rsidR="00095916" w:rsidRDefault="00095916" w:rsidP="003E1DFE">
            <w:pPr>
              <w:jc w:val="center"/>
              <w:rPr>
                <w:rFonts w:ascii="Times New Roman" w:hAnsi="Times New Roman" w:cs="Times New Roman"/>
                <w:sz w:val="28"/>
                <w:szCs w:val="28"/>
              </w:rPr>
            </w:pPr>
            <w:r>
              <w:rPr>
                <w:rFonts w:ascii="Times New Roman" w:hAnsi="Times New Roman" w:cs="Times New Roman"/>
                <w:sz w:val="28"/>
                <w:szCs w:val="28"/>
              </w:rPr>
              <w:t>14</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14</w:t>
            </w:r>
          </w:p>
        </w:tc>
        <w:tc>
          <w:tcPr>
            <w:tcW w:w="3119" w:type="dxa"/>
          </w:tcPr>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54,21±5,53</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56,37±6,84</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53,42±5,42</w:t>
            </w:r>
          </w:p>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55,62±6,72</w:t>
            </w:r>
          </w:p>
        </w:tc>
        <w:tc>
          <w:tcPr>
            <w:tcW w:w="3260" w:type="dxa"/>
          </w:tcPr>
          <w:p w:rsidR="00095916" w:rsidRDefault="00095916" w:rsidP="003E1DFE">
            <w:pPr>
              <w:jc w:val="center"/>
              <w:rPr>
                <w:rFonts w:ascii="Times New Roman" w:hAnsi="Times New Roman"/>
                <w:sz w:val="28"/>
                <w:szCs w:val="28"/>
              </w:rPr>
            </w:pPr>
            <w:r>
              <w:rPr>
                <w:rFonts w:ascii="Times New Roman" w:hAnsi="Times New Roman"/>
                <w:sz w:val="28"/>
                <w:szCs w:val="28"/>
              </w:rPr>
              <w:t>6,89</w:t>
            </w:r>
            <w:r w:rsidRPr="00FC5277">
              <w:rPr>
                <w:rFonts w:ascii="Times New Roman" w:hAnsi="Times New Roman"/>
                <w:sz w:val="28"/>
                <w:szCs w:val="28"/>
              </w:rPr>
              <w:sym w:font="Symbol" w:char="F0B1"/>
            </w:r>
            <w:r>
              <w:rPr>
                <w:rFonts w:ascii="Times New Roman" w:hAnsi="Times New Roman"/>
                <w:sz w:val="28"/>
                <w:szCs w:val="28"/>
              </w:rPr>
              <w:t>2,41</w:t>
            </w:r>
          </w:p>
          <w:p w:rsidR="00095916" w:rsidRDefault="00095916" w:rsidP="003E1DFE">
            <w:pPr>
              <w:jc w:val="center"/>
              <w:rPr>
                <w:rFonts w:ascii="Times New Roman" w:hAnsi="Times New Roman"/>
                <w:sz w:val="28"/>
                <w:szCs w:val="28"/>
              </w:rPr>
            </w:pPr>
            <w:r>
              <w:rPr>
                <w:rFonts w:ascii="Times New Roman" w:hAnsi="Times New Roman"/>
                <w:sz w:val="28"/>
                <w:szCs w:val="28"/>
              </w:rPr>
              <w:t>6,69</w:t>
            </w:r>
            <w:r w:rsidRPr="00FC5277">
              <w:rPr>
                <w:rFonts w:ascii="Times New Roman" w:hAnsi="Times New Roman"/>
                <w:sz w:val="28"/>
                <w:szCs w:val="28"/>
              </w:rPr>
              <w:sym w:font="Symbol" w:char="F0B1"/>
            </w:r>
            <w:r>
              <w:rPr>
                <w:rFonts w:ascii="Times New Roman" w:hAnsi="Times New Roman"/>
                <w:sz w:val="28"/>
                <w:szCs w:val="28"/>
              </w:rPr>
              <w:t>1,98</w:t>
            </w:r>
          </w:p>
          <w:p w:rsidR="00095916" w:rsidRDefault="00095916" w:rsidP="003E1DFE">
            <w:pPr>
              <w:jc w:val="center"/>
              <w:rPr>
                <w:rFonts w:ascii="Times New Roman" w:hAnsi="Times New Roman"/>
                <w:sz w:val="28"/>
                <w:szCs w:val="28"/>
              </w:rPr>
            </w:pPr>
            <w:r>
              <w:rPr>
                <w:rFonts w:ascii="Times New Roman" w:hAnsi="Times New Roman"/>
                <w:sz w:val="28"/>
                <w:szCs w:val="28"/>
              </w:rPr>
              <w:t>7,12</w:t>
            </w:r>
            <w:r w:rsidRPr="00FC5277">
              <w:rPr>
                <w:rFonts w:ascii="Times New Roman" w:hAnsi="Times New Roman"/>
                <w:sz w:val="28"/>
                <w:szCs w:val="28"/>
              </w:rPr>
              <w:sym w:font="Symbol" w:char="F0B1"/>
            </w:r>
            <w:r>
              <w:rPr>
                <w:rFonts w:ascii="Times New Roman" w:hAnsi="Times New Roman"/>
                <w:sz w:val="28"/>
                <w:szCs w:val="28"/>
              </w:rPr>
              <w:t>1,7</w:t>
            </w:r>
            <w:r w:rsidRPr="00FC5277">
              <w:rPr>
                <w:rFonts w:ascii="Times New Roman" w:hAnsi="Times New Roman"/>
                <w:sz w:val="28"/>
                <w:szCs w:val="28"/>
              </w:rPr>
              <w:t>4</w:t>
            </w:r>
          </w:p>
          <w:p w:rsidR="00095916" w:rsidRPr="002B3CEB" w:rsidRDefault="00095916" w:rsidP="003E1DFE">
            <w:pPr>
              <w:jc w:val="center"/>
              <w:rPr>
                <w:rFonts w:ascii="Times New Roman" w:hAnsi="Times New Roman" w:cs="Times New Roman"/>
                <w:sz w:val="28"/>
                <w:szCs w:val="28"/>
              </w:rPr>
            </w:pPr>
            <w:r>
              <w:rPr>
                <w:rFonts w:ascii="Times New Roman" w:hAnsi="Times New Roman"/>
                <w:sz w:val="28"/>
                <w:szCs w:val="28"/>
              </w:rPr>
              <w:t>4,67</w:t>
            </w:r>
            <w:r w:rsidRPr="00FC5277">
              <w:rPr>
                <w:rFonts w:ascii="Times New Roman" w:hAnsi="Times New Roman"/>
                <w:sz w:val="28"/>
                <w:szCs w:val="28"/>
              </w:rPr>
              <w:sym w:font="Symbol" w:char="F0B1"/>
            </w:r>
            <w:r>
              <w:rPr>
                <w:rFonts w:ascii="Times New Roman" w:hAnsi="Times New Roman"/>
                <w:sz w:val="28"/>
                <w:szCs w:val="28"/>
              </w:rPr>
              <w:t>0,31</w:t>
            </w:r>
          </w:p>
        </w:tc>
      </w:tr>
      <w:tr w:rsidR="00095916" w:rsidRPr="002B3CEB" w:rsidTr="003E1DFE">
        <w:tc>
          <w:tcPr>
            <w:tcW w:w="2079" w:type="dxa"/>
          </w:tcPr>
          <w:p w:rsidR="00095916" w:rsidRPr="002B3CEB" w:rsidRDefault="00095916" w:rsidP="003E1DFE">
            <w:pPr>
              <w:jc w:val="both"/>
              <w:rPr>
                <w:rFonts w:ascii="Times New Roman" w:hAnsi="Times New Roman" w:cs="Times New Roman"/>
                <w:sz w:val="28"/>
                <w:szCs w:val="28"/>
              </w:rPr>
            </w:pPr>
            <w:r w:rsidRPr="002B3CEB">
              <w:rPr>
                <w:rFonts w:ascii="Times New Roman" w:hAnsi="Times New Roman" w:cs="Times New Roman"/>
                <w:sz w:val="28"/>
                <w:szCs w:val="28"/>
              </w:rPr>
              <w:t>Всього</w:t>
            </w:r>
          </w:p>
        </w:tc>
        <w:tc>
          <w:tcPr>
            <w:tcW w:w="893" w:type="dxa"/>
          </w:tcPr>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244</w:t>
            </w:r>
          </w:p>
        </w:tc>
        <w:tc>
          <w:tcPr>
            <w:tcW w:w="3119" w:type="dxa"/>
          </w:tcPr>
          <w:p w:rsidR="00095916" w:rsidRPr="002B3CEB" w:rsidRDefault="00095916" w:rsidP="003E1DFE">
            <w:pPr>
              <w:jc w:val="center"/>
              <w:rPr>
                <w:rFonts w:ascii="Times New Roman" w:hAnsi="Times New Roman" w:cs="Times New Roman"/>
                <w:sz w:val="28"/>
                <w:szCs w:val="28"/>
              </w:rPr>
            </w:pPr>
            <w:r>
              <w:rPr>
                <w:rFonts w:ascii="Times New Roman" w:hAnsi="Times New Roman" w:cs="Times New Roman"/>
                <w:sz w:val="28"/>
                <w:szCs w:val="28"/>
              </w:rPr>
              <w:t>58,86±8,25</w:t>
            </w:r>
          </w:p>
        </w:tc>
        <w:tc>
          <w:tcPr>
            <w:tcW w:w="3260" w:type="dxa"/>
          </w:tcPr>
          <w:p w:rsidR="00095916" w:rsidRPr="002B3CEB" w:rsidRDefault="00095916" w:rsidP="003E1DFE">
            <w:pPr>
              <w:jc w:val="center"/>
              <w:rPr>
                <w:rFonts w:ascii="Times New Roman" w:hAnsi="Times New Roman" w:cs="Times New Roman"/>
                <w:sz w:val="28"/>
                <w:szCs w:val="28"/>
              </w:rPr>
            </w:pPr>
            <w:r>
              <w:rPr>
                <w:rFonts w:ascii="Times New Roman" w:hAnsi="Times New Roman"/>
                <w:sz w:val="28"/>
                <w:szCs w:val="28"/>
              </w:rPr>
              <w:t>7,69</w:t>
            </w:r>
            <w:r w:rsidRPr="00FC5277">
              <w:rPr>
                <w:rFonts w:ascii="Times New Roman" w:hAnsi="Times New Roman"/>
                <w:sz w:val="28"/>
                <w:szCs w:val="28"/>
              </w:rPr>
              <w:sym w:font="Symbol" w:char="F0B1"/>
            </w:r>
            <w:r>
              <w:rPr>
                <w:rFonts w:ascii="Times New Roman" w:hAnsi="Times New Roman"/>
                <w:sz w:val="28"/>
                <w:szCs w:val="28"/>
              </w:rPr>
              <w:t>2,7</w:t>
            </w:r>
            <w:r w:rsidRPr="00FC5277">
              <w:rPr>
                <w:rFonts w:ascii="Times New Roman" w:hAnsi="Times New Roman"/>
                <w:sz w:val="28"/>
                <w:szCs w:val="28"/>
              </w:rPr>
              <w:t>4</w:t>
            </w:r>
          </w:p>
        </w:tc>
      </w:tr>
    </w:tbl>
    <w:p w:rsidR="00ED3C5B" w:rsidRPr="003E1DFE" w:rsidRDefault="00095916" w:rsidP="009C1018">
      <w:pPr>
        <w:spacing w:line="360" w:lineRule="auto"/>
        <w:jc w:val="both"/>
        <w:rPr>
          <w:rFonts w:ascii="Times New Roman" w:hAnsi="Times New Roman" w:cs="Times New Roman"/>
          <w:sz w:val="28"/>
          <w:szCs w:val="28"/>
        </w:rPr>
      </w:pPr>
      <w:r w:rsidRPr="002B3CEB">
        <w:rPr>
          <w:rFonts w:ascii="Times New Roman" w:hAnsi="Times New Roman" w:cs="Times New Roman"/>
          <w:sz w:val="28"/>
          <w:szCs w:val="28"/>
        </w:rPr>
        <w:t>Умовні позначення: ДП – доброякісні пухлини нирок, НС – низький ступінь диференціації за Fuhrman, ВС - високий ступінь диференціації за Fuhrman</w:t>
      </w:r>
      <w:r w:rsidRPr="002B3CEB">
        <w:rPr>
          <w:rFonts w:ascii="Times New Roman" w:hAnsi="Times New Roman" w:cs="Times New Roman"/>
          <w:sz w:val="28"/>
          <w:szCs w:val="28"/>
        </w:rPr>
        <w:tab/>
      </w:r>
    </w:p>
    <w:p w:rsidR="009C1018" w:rsidRDefault="009C1018" w:rsidP="00095916">
      <w:pPr>
        <w:spacing w:line="360" w:lineRule="auto"/>
        <w:ind w:firstLine="360"/>
        <w:jc w:val="right"/>
        <w:rPr>
          <w:rFonts w:ascii="Times New Roman" w:hAnsi="Times New Roman"/>
          <w:sz w:val="28"/>
          <w:szCs w:val="28"/>
        </w:rPr>
      </w:pPr>
    </w:p>
    <w:p w:rsidR="009C1018" w:rsidRDefault="009C1018" w:rsidP="00095916">
      <w:pPr>
        <w:spacing w:line="360" w:lineRule="auto"/>
        <w:ind w:firstLine="360"/>
        <w:jc w:val="right"/>
        <w:rPr>
          <w:rFonts w:ascii="Times New Roman" w:hAnsi="Times New Roman"/>
          <w:sz w:val="28"/>
          <w:szCs w:val="28"/>
        </w:rPr>
      </w:pPr>
    </w:p>
    <w:p w:rsidR="009C1018" w:rsidRDefault="009C1018" w:rsidP="00074F93">
      <w:pPr>
        <w:spacing w:line="360" w:lineRule="auto"/>
        <w:rPr>
          <w:rFonts w:ascii="Times New Roman" w:hAnsi="Times New Roman"/>
          <w:sz w:val="28"/>
          <w:szCs w:val="28"/>
        </w:rPr>
      </w:pPr>
    </w:p>
    <w:p w:rsidR="009C1018" w:rsidRDefault="00293044" w:rsidP="009C1018">
      <w:pPr>
        <w:spacing w:line="360" w:lineRule="auto"/>
        <w:ind w:firstLine="360"/>
        <w:jc w:val="right"/>
        <w:rPr>
          <w:rFonts w:ascii="Times New Roman" w:hAnsi="Times New Roman"/>
          <w:sz w:val="28"/>
          <w:szCs w:val="28"/>
        </w:rPr>
      </w:pPr>
      <w:r>
        <w:rPr>
          <w:rFonts w:ascii="Times New Roman" w:hAnsi="Times New Roman"/>
          <w:sz w:val="28"/>
          <w:szCs w:val="28"/>
        </w:rPr>
        <w:lastRenderedPageBreak/>
        <w:t>Таблиця 3.19</w:t>
      </w:r>
    </w:p>
    <w:p w:rsidR="00095916" w:rsidRPr="007F4851" w:rsidRDefault="00095916" w:rsidP="00095916">
      <w:pPr>
        <w:spacing w:line="360" w:lineRule="auto"/>
        <w:ind w:firstLine="360"/>
        <w:jc w:val="center"/>
        <w:rPr>
          <w:rFonts w:ascii="Times New Roman" w:hAnsi="Times New Roman" w:cs="Times New Roman"/>
          <w:sz w:val="28"/>
          <w:szCs w:val="28"/>
        </w:rPr>
      </w:pPr>
      <w:r w:rsidRPr="007F4851">
        <w:rPr>
          <w:rFonts w:ascii="Times New Roman" w:hAnsi="Times New Roman"/>
          <w:sz w:val="28"/>
          <w:szCs w:val="28"/>
        </w:rPr>
        <w:t xml:space="preserve">Розподіл </w:t>
      </w:r>
      <w:r w:rsidRPr="007F4851">
        <w:rPr>
          <w:rFonts w:ascii="Times New Roman" w:hAnsi="Times New Roman" w:cs="Times New Roman"/>
          <w:sz w:val="28"/>
          <w:szCs w:val="28"/>
        </w:rPr>
        <w:t xml:space="preserve">досліджуваних хворих із солідними </w:t>
      </w:r>
      <w:r>
        <w:rPr>
          <w:rFonts w:ascii="Times New Roman" w:hAnsi="Times New Roman" w:cs="Times New Roman"/>
          <w:sz w:val="28"/>
          <w:szCs w:val="28"/>
        </w:rPr>
        <w:t>пухлинами нирок</w:t>
      </w:r>
      <w:r w:rsidRPr="007F4851">
        <w:rPr>
          <w:rFonts w:ascii="Times New Roman" w:hAnsi="Times New Roman" w:cs="Times New Roman"/>
          <w:sz w:val="28"/>
          <w:szCs w:val="28"/>
        </w:rPr>
        <w:t xml:space="preserve"> в залежності від патоморфологічного діагнозу та методу крос-секційного обстеження</w:t>
      </w:r>
    </w:p>
    <w:tbl>
      <w:tblPr>
        <w:tblStyle w:val="TableGrid"/>
        <w:tblW w:w="9209" w:type="dxa"/>
        <w:tblLook w:val="04A0" w:firstRow="1" w:lastRow="0" w:firstColumn="1" w:lastColumn="0" w:noHBand="0" w:noVBand="1"/>
      </w:tblPr>
      <w:tblGrid>
        <w:gridCol w:w="4106"/>
        <w:gridCol w:w="1276"/>
        <w:gridCol w:w="1843"/>
        <w:gridCol w:w="1984"/>
      </w:tblGrid>
      <w:tr w:rsidR="00095916" w:rsidRPr="007F4851" w:rsidTr="001F0C51">
        <w:tc>
          <w:tcPr>
            <w:tcW w:w="4106" w:type="dxa"/>
            <w:vMerge w:val="restart"/>
          </w:tcPr>
          <w:p w:rsidR="00095916" w:rsidRPr="007F4851" w:rsidRDefault="00095916" w:rsidP="001F0C51">
            <w:pPr>
              <w:spacing w:line="276" w:lineRule="auto"/>
              <w:jc w:val="both"/>
              <w:rPr>
                <w:rFonts w:ascii="Times New Roman" w:hAnsi="Times New Roman" w:cs="Times New Roman"/>
                <w:b/>
                <w:sz w:val="28"/>
                <w:szCs w:val="28"/>
              </w:rPr>
            </w:pPr>
            <w:r w:rsidRPr="007F4851">
              <w:rPr>
                <w:rFonts w:ascii="Times New Roman" w:hAnsi="Times New Roman" w:cs="Times New Roman"/>
                <w:b/>
                <w:sz w:val="28"/>
                <w:szCs w:val="28"/>
              </w:rPr>
              <w:t>Діагноз</w:t>
            </w:r>
          </w:p>
        </w:tc>
        <w:tc>
          <w:tcPr>
            <w:tcW w:w="1276" w:type="dxa"/>
            <w:vMerge w:val="restart"/>
          </w:tcPr>
          <w:p w:rsidR="00095916" w:rsidRPr="007F4851" w:rsidRDefault="00095916" w:rsidP="001F0C51">
            <w:pPr>
              <w:spacing w:line="276" w:lineRule="auto"/>
              <w:jc w:val="center"/>
              <w:rPr>
                <w:rFonts w:ascii="Times New Roman" w:hAnsi="Times New Roman" w:cs="Times New Roman"/>
                <w:b/>
                <w:sz w:val="28"/>
                <w:szCs w:val="28"/>
              </w:rPr>
            </w:pPr>
            <w:r w:rsidRPr="007F4851">
              <w:rPr>
                <w:rFonts w:ascii="Times New Roman" w:hAnsi="Times New Roman" w:cs="Times New Roman"/>
                <w:b/>
                <w:sz w:val="28"/>
                <w:szCs w:val="28"/>
              </w:rPr>
              <w:t>Всього,</w:t>
            </w:r>
          </w:p>
          <w:p w:rsidR="00095916" w:rsidRPr="007F4851" w:rsidRDefault="00095916" w:rsidP="001F0C51">
            <w:pPr>
              <w:spacing w:line="276" w:lineRule="auto"/>
              <w:jc w:val="center"/>
              <w:rPr>
                <w:rFonts w:ascii="Times New Roman" w:hAnsi="Times New Roman" w:cs="Times New Roman"/>
                <w:b/>
                <w:sz w:val="28"/>
                <w:szCs w:val="28"/>
              </w:rPr>
            </w:pPr>
            <w:r w:rsidRPr="007F4851">
              <w:rPr>
                <w:rFonts w:ascii="Times New Roman" w:hAnsi="Times New Roman" w:cs="Times New Roman"/>
                <w:b/>
                <w:sz w:val="28"/>
                <w:szCs w:val="28"/>
              </w:rPr>
              <w:t>асб</w:t>
            </w:r>
          </w:p>
        </w:tc>
        <w:tc>
          <w:tcPr>
            <w:tcW w:w="3827" w:type="dxa"/>
            <w:gridSpan w:val="2"/>
          </w:tcPr>
          <w:p w:rsidR="00095916" w:rsidRPr="007F4851" w:rsidRDefault="00095916" w:rsidP="001F0C51">
            <w:pPr>
              <w:spacing w:line="276" w:lineRule="auto"/>
              <w:jc w:val="center"/>
              <w:rPr>
                <w:rFonts w:ascii="Times New Roman" w:hAnsi="Times New Roman" w:cs="Times New Roman"/>
                <w:b/>
                <w:sz w:val="28"/>
                <w:szCs w:val="28"/>
              </w:rPr>
            </w:pPr>
            <w:r w:rsidRPr="007F4851">
              <w:rPr>
                <w:rFonts w:ascii="Times New Roman" w:hAnsi="Times New Roman" w:cs="Times New Roman"/>
                <w:b/>
                <w:sz w:val="28"/>
                <w:szCs w:val="28"/>
              </w:rPr>
              <w:t>Тип дослідження</w:t>
            </w:r>
            <w:r>
              <w:rPr>
                <w:rFonts w:ascii="Times New Roman" w:hAnsi="Times New Roman" w:cs="Times New Roman"/>
                <w:b/>
                <w:sz w:val="28"/>
                <w:szCs w:val="28"/>
              </w:rPr>
              <w:t>/кількість хворих</w:t>
            </w:r>
          </w:p>
        </w:tc>
      </w:tr>
      <w:tr w:rsidR="00095916" w:rsidRPr="007F4851" w:rsidTr="001F0C51">
        <w:tc>
          <w:tcPr>
            <w:tcW w:w="4106" w:type="dxa"/>
            <w:vMerge/>
          </w:tcPr>
          <w:p w:rsidR="00095916" w:rsidRPr="007F4851" w:rsidRDefault="00095916" w:rsidP="001F0C51">
            <w:pPr>
              <w:spacing w:line="276" w:lineRule="auto"/>
              <w:jc w:val="both"/>
              <w:rPr>
                <w:rFonts w:ascii="Times New Roman" w:hAnsi="Times New Roman" w:cs="Times New Roman"/>
                <w:b/>
                <w:sz w:val="28"/>
                <w:szCs w:val="28"/>
              </w:rPr>
            </w:pPr>
          </w:p>
        </w:tc>
        <w:tc>
          <w:tcPr>
            <w:tcW w:w="1276" w:type="dxa"/>
            <w:vMerge/>
          </w:tcPr>
          <w:p w:rsidR="00095916" w:rsidRPr="007F4851" w:rsidRDefault="00095916" w:rsidP="001F0C51">
            <w:pPr>
              <w:spacing w:line="276" w:lineRule="auto"/>
              <w:jc w:val="both"/>
              <w:rPr>
                <w:rFonts w:ascii="Times New Roman" w:hAnsi="Times New Roman" w:cs="Times New Roman"/>
                <w:b/>
                <w:sz w:val="28"/>
                <w:szCs w:val="28"/>
              </w:rPr>
            </w:pPr>
          </w:p>
        </w:tc>
        <w:tc>
          <w:tcPr>
            <w:tcW w:w="1843" w:type="dxa"/>
          </w:tcPr>
          <w:p w:rsidR="00095916" w:rsidRPr="007F4851" w:rsidRDefault="00095916" w:rsidP="001F0C51">
            <w:pPr>
              <w:spacing w:line="276" w:lineRule="auto"/>
              <w:jc w:val="center"/>
              <w:rPr>
                <w:rFonts w:ascii="Times New Roman" w:hAnsi="Times New Roman" w:cs="Times New Roman"/>
                <w:b/>
                <w:sz w:val="28"/>
                <w:szCs w:val="28"/>
              </w:rPr>
            </w:pPr>
            <w:r w:rsidRPr="007F4851">
              <w:rPr>
                <w:rFonts w:ascii="Times New Roman" w:hAnsi="Times New Roman" w:cs="Times New Roman"/>
                <w:b/>
                <w:sz w:val="28"/>
                <w:szCs w:val="28"/>
              </w:rPr>
              <w:t>КТ, абс</w:t>
            </w:r>
          </w:p>
        </w:tc>
        <w:tc>
          <w:tcPr>
            <w:tcW w:w="1984" w:type="dxa"/>
          </w:tcPr>
          <w:p w:rsidR="00095916" w:rsidRPr="007F4851" w:rsidRDefault="00095916" w:rsidP="001F0C51">
            <w:pPr>
              <w:spacing w:line="276" w:lineRule="auto"/>
              <w:jc w:val="center"/>
              <w:rPr>
                <w:rFonts w:ascii="Times New Roman" w:hAnsi="Times New Roman" w:cs="Times New Roman"/>
                <w:b/>
                <w:sz w:val="28"/>
                <w:szCs w:val="28"/>
              </w:rPr>
            </w:pPr>
            <w:r w:rsidRPr="007F4851">
              <w:rPr>
                <w:rFonts w:ascii="Times New Roman" w:hAnsi="Times New Roman" w:cs="Times New Roman"/>
                <w:b/>
                <w:sz w:val="28"/>
                <w:szCs w:val="28"/>
              </w:rPr>
              <w:t>МРТ, абс</w:t>
            </w:r>
          </w:p>
        </w:tc>
      </w:tr>
      <w:tr w:rsidR="00095916" w:rsidRPr="007F4851" w:rsidTr="001F0C51">
        <w:tc>
          <w:tcPr>
            <w:tcW w:w="4106" w:type="dxa"/>
          </w:tcPr>
          <w:p w:rsidR="00095916" w:rsidRPr="007F4851" w:rsidRDefault="00095916" w:rsidP="001F0C51">
            <w:pPr>
              <w:spacing w:line="276" w:lineRule="auto"/>
              <w:jc w:val="both"/>
              <w:rPr>
                <w:rFonts w:ascii="Times New Roman" w:hAnsi="Times New Roman" w:cs="Times New Roman"/>
                <w:sz w:val="28"/>
                <w:szCs w:val="28"/>
              </w:rPr>
            </w:pPr>
            <w:r w:rsidRPr="007F4851">
              <w:rPr>
                <w:rFonts w:ascii="Times New Roman" w:hAnsi="Times New Roman" w:cs="Times New Roman"/>
                <w:sz w:val="28"/>
                <w:szCs w:val="28"/>
              </w:rPr>
              <w:t>НКР</w:t>
            </w:r>
          </w:p>
          <w:p w:rsidR="00095916" w:rsidRPr="007F4851" w:rsidRDefault="00095916" w:rsidP="001F0C51">
            <w:pPr>
              <w:spacing w:line="276" w:lineRule="auto"/>
              <w:ind w:left="708"/>
              <w:jc w:val="both"/>
              <w:rPr>
                <w:rFonts w:ascii="Times New Roman" w:hAnsi="Times New Roman" w:cs="Times New Roman"/>
                <w:sz w:val="28"/>
                <w:szCs w:val="28"/>
              </w:rPr>
            </w:pPr>
            <w:r w:rsidRPr="007F4851">
              <w:rPr>
                <w:rFonts w:ascii="Times New Roman" w:hAnsi="Times New Roman" w:cs="Times New Roman"/>
                <w:sz w:val="28"/>
                <w:szCs w:val="28"/>
              </w:rPr>
              <w:t>Світлоклітинний НКР</w:t>
            </w:r>
          </w:p>
          <w:p w:rsidR="00095916" w:rsidRPr="007F4851" w:rsidRDefault="00095916" w:rsidP="001F0C51">
            <w:pPr>
              <w:spacing w:line="276" w:lineRule="auto"/>
              <w:ind w:left="708"/>
              <w:jc w:val="both"/>
              <w:rPr>
                <w:rFonts w:ascii="Times New Roman" w:hAnsi="Times New Roman" w:cs="Times New Roman"/>
                <w:sz w:val="28"/>
                <w:szCs w:val="28"/>
              </w:rPr>
            </w:pPr>
            <w:r w:rsidRPr="007F4851">
              <w:rPr>
                <w:rFonts w:ascii="Times New Roman" w:hAnsi="Times New Roman" w:cs="Times New Roman"/>
                <w:sz w:val="28"/>
                <w:szCs w:val="28"/>
              </w:rPr>
              <w:t>Папілярний НКР</w:t>
            </w:r>
          </w:p>
          <w:p w:rsidR="00095916" w:rsidRPr="007F4851" w:rsidRDefault="00095916" w:rsidP="001F0C51">
            <w:pPr>
              <w:spacing w:line="276" w:lineRule="auto"/>
              <w:ind w:left="708"/>
              <w:jc w:val="both"/>
              <w:rPr>
                <w:rFonts w:ascii="Times New Roman" w:hAnsi="Times New Roman" w:cs="Times New Roman"/>
                <w:sz w:val="28"/>
                <w:szCs w:val="28"/>
              </w:rPr>
            </w:pPr>
            <w:r w:rsidRPr="007F4851">
              <w:rPr>
                <w:rFonts w:ascii="Times New Roman" w:hAnsi="Times New Roman" w:cs="Times New Roman"/>
                <w:sz w:val="28"/>
                <w:szCs w:val="28"/>
              </w:rPr>
              <w:t>Хромофобний НКР</w:t>
            </w:r>
          </w:p>
        </w:tc>
        <w:tc>
          <w:tcPr>
            <w:tcW w:w="1276" w:type="dxa"/>
          </w:tcPr>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174</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114</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31</w:t>
            </w:r>
          </w:p>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843" w:type="dxa"/>
          </w:tcPr>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84</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53</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16</w:t>
            </w:r>
          </w:p>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1984" w:type="dxa"/>
          </w:tcPr>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90</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61</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15</w:t>
            </w:r>
          </w:p>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14</w:t>
            </w:r>
          </w:p>
        </w:tc>
      </w:tr>
      <w:tr w:rsidR="00095916" w:rsidRPr="007F4851" w:rsidTr="001F0C51">
        <w:tc>
          <w:tcPr>
            <w:tcW w:w="4106" w:type="dxa"/>
          </w:tcPr>
          <w:p w:rsidR="00095916" w:rsidRPr="007F4851" w:rsidRDefault="00095916" w:rsidP="001F0C51">
            <w:pPr>
              <w:spacing w:line="276" w:lineRule="auto"/>
              <w:jc w:val="both"/>
              <w:rPr>
                <w:rFonts w:ascii="Times New Roman" w:hAnsi="Times New Roman" w:cs="Times New Roman"/>
                <w:sz w:val="28"/>
                <w:szCs w:val="28"/>
              </w:rPr>
            </w:pPr>
            <w:r w:rsidRPr="007F4851">
              <w:rPr>
                <w:rFonts w:ascii="Times New Roman" w:hAnsi="Times New Roman" w:cs="Times New Roman"/>
                <w:sz w:val="28"/>
                <w:szCs w:val="28"/>
              </w:rPr>
              <w:t>ПКК ниркової миски</w:t>
            </w:r>
          </w:p>
        </w:tc>
        <w:tc>
          <w:tcPr>
            <w:tcW w:w="1276" w:type="dxa"/>
          </w:tcPr>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26</w:t>
            </w:r>
          </w:p>
        </w:tc>
        <w:tc>
          <w:tcPr>
            <w:tcW w:w="1843" w:type="dxa"/>
          </w:tcPr>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1984" w:type="dxa"/>
          </w:tcPr>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095916" w:rsidRPr="007F4851" w:rsidTr="001F0C51">
        <w:tc>
          <w:tcPr>
            <w:tcW w:w="4106" w:type="dxa"/>
          </w:tcPr>
          <w:p w:rsidR="00095916" w:rsidRPr="007F4851" w:rsidRDefault="00095916" w:rsidP="001F0C51">
            <w:pPr>
              <w:spacing w:line="276" w:lineRule="auto"/>
              <w:jc w:val="both"/>
              <w:rPr>
                <w:rFonts w:ascii="Times New Roman" w:hAnsi="Times New Roman" w:cs="Times New Roman"/>
                <w:sz w:val="28"/>
                <w:szCs w:val="28"/>
              </w:rPr>
            </w:pPr>
            <w:r w:rsidRPr="007F4851">
              <w:rPr>
                <w:rFonts w:ascii="Times New Roman" w:hAnsi="Times New Roman" w:cs="Times New Roman"/>
                <w:sz w:val="28"/>
                <w:szCs w:val="28"/>
              </w:rPr>
              <w:t>Доброякісні пухлини нирок</w:t>
            </w:r>
          </w:p>
          <w:p w:rsidR="00095916" w:rsidRPr="007F4851" w:rsidRDefault="00095916" w:rsidP="001F0C51">
            <w:pPr>
              <w:spacing w:line="276" w:lineRule="auto"/>
              <w:ind w:left="708"/>
              <w:rPr>
                <w:rFonts w:ascii="Times New Roman" w:hAnsi="Times New Roman" w:cs="Times New Roman"/>
                <w:sz w:val="28"/>
                <w:szCs w:val="28"/>
              </w:rPr>
            </w:pPr>
            <w:r w:rsidRPr="007F4851">
              <w:rPr>
                <w:rFonts w:ascii="Times New Roman" w:hAnsi="Times New Roman" w:cs="Times New Roman"/>
                <w:sz w:val="28"/>
                <w:szCs w:val="28"/>
              </w:rPr>
              <w:t>Онкоцитома</w:t>
            </w:r>
          </w:p>
          <w:p w:rsidR="00095916" w:rsidRPr="007F4851" w:rsidRDefault="00095916" w:rsidP="001F0C51">
            <w:pPr>
              <w:spacing w:line="276" w:lineRule="auto"/>
              <w:ind w:left="708"/>
              <w:rPr>
                <w:rFonts w:ascii="Times New Roman" w:hAnsi="Times New Roman" w:cs="Times New Roman"/>
                <w:sz w:val="28"/>
                <w:szCs w:val="28"/>
              </w:rPr>
            </w:pPr>
            <w:r w:rsidRPr="007F4851">
              <w:rPr>
                <w:rFonts w:ascii="Times New Roman" w:hAnsi="Times New Roman" w:cs="Times New Roman"/>
                <w:sz w:val="28"/>
                <w:szCs w:val="28"/>
              </w:rPr>
              <w:t>Ангіоміоліпома</w:t>
            </w:r>
          </w:p>
          <w:p w:rsidR="00095916" w:rsidRPr="007F4851" w:rsidRDefault="00095916" w:rsidP="001F0C51">
            <w:pPr>
              <w:spacing w:line="276" w:lineRule="auto"/>
              <w:ind w:left="708"/>
              <w:rPr>
                <w:rFonts w:ascii="Times New Roman" w:hAnsi="Times New Roman" w:cs="Times New Roman"/>
                <w:sz w:val="28"/>
                <w:szCs w:val="28"/>
              </w:rPr>
            </w:pPr>
            <w:r w:rsidRPr="007F4851">
              <w:rPr>
                <w:rFonts w:ascii="Times New Roman" w:hAnsi="Times New Roman" w:cs="Times New Roman"/>
                <w:sz w:val="28"/>
                <w:szCs w:val="28"/>
              </w:rPr>
              <w:t>Папілярна аденома</w:t>
            </w:r>
          </w:p>
        </w:tc>
        <w:tc>
          <w:tcPr>
            <w:tcW w:w="1276" w:type="dxa"/>
          </w:tcPr>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44</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16</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14</w:t>
            </w:r>
          </w:p>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1843" w:type="dxa"/>
          </w:tcPr>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22</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8</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1984" w:type="dxa"/>
          </w:tcPr>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22</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8</w:t>
            </w:r>
          </w:p>
          <w:p w:rsidR="00095916"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095916" w:rsidRPr="007F4851" w:rsidTr="001F0C51">
        <w:tc>
          <w:tcPr>
            <w:tcW w:w="4106" w:type="dxa"/>
          </w:tcPr>
          <w:p w:rsidR="00095916" w:rsidRPr="007F4851" w:rsidRDefault="00095916" w:rsidP="001F0C51">
            <w:pPr>
              <w:spacing w:line="276" w:lineRule="auto"/>
              <w:rPr>
                <w:rFonts w:ascii="Times New Roman" w:hAnsi="Times New Roman" w:cs="Times New Roman"/>
                <w:sz w:val="28"/>
                <w:szCs w:val="28"/>
              </w:rPr>
            </w:pPr>
            <w:r w:rsidRPr="007F4851">
              <w:rPr>
                <w:rFonts w:ascii="Times New Roman" w:hAnsi="Times New Roman" w:cs="Times New Roman"/>
                <w:sz w:val="28"/>
                <w:szCs w:val="28"/>
              </w:rPr>
              <w:t xml:space="preserve">Середній розмір всіх </w:t>
            </w:r>
            <w:r>
              <w:rPr>
                <w:rFonts w:ascii="Times New Roman" w:hAnsi="Times New Roman" w:cs="Times New Roman"/>
                <w:sz w:val="28"/>
                <w:szCs w:val="28"/>
              </w:rPr>
              <w:t>пухлин</w:t>
            </w:r>
            <w:r w:rsidRPr="007F4851">
              <w:rPr>
                <w:rFonts w:ascii="Times New Roman" w:hAnsi="Times New Roman" w:cs="Times New Roman"/>
                <w:sz w:val="28"/>
                <w:szCs w:val="28"/>
              </w:rPr>
              <w:t>, см</w:t>
            </w:r>
          </w:p>
        </w:tc>
        <w:tc>
          <w:tcPr>
            <w:tcW w:w="1276" w:type="dxa"/>
          </w:tcPr>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843" w:type="dxa"/>
          </w:tcPr>
          <w:p w:rsidR="00095916" w:rsidRDefault="00095916" w:rsidP="001F0C51">
            <w:pPr>
              <w:jc w:val="center"/>
            </w:pPr>
            <w:r>
              <w:rPr>
                <w:rFonts w:ascii="Times New Roman" w:hAnsi="Times New Roman"/>
                <w:sz w:val="28"/>
                <w:szCs w:val="28"/>
              </w:rPr>
              <w:t>7,46</w:t>
            </w:r>
            <w:r w:rsidRPr="00381B7D">
              <w:rPr>
                <w:rFonts w:ascii="Times New Roman" w:hAnsi="Times New Roman"/>
                <w:sz w:val="28"/>
                <w:szCs w:val="28"/>
              </w:rPr>
              <w:sym w:font="Symbol" w:char="F0B1"/>
            </w:r>
            <w:r>
              <w:rPr>
                <w:rFonts w:ascii="Times New Roman" w:hAnsi="Times New Roman"/>
                <w:sz w:val="28"/>
                <w:szCs w:val="28"/>
              </w:rPr>
              <w:t>2,83</w:t>
            </w:r>
          </w:p>
        </w:tc>
        <w:tc>
          <w:tcPr>
            <w:tcW w:w="1984" w:type="dxa"/>
          </w:tcPr>
          <w:p w:rsidR="00095916" w:rsidRDefault="00095916" w:rsidP="001F0C51">
            <w:pPr>
              <w:jc w:val="center"/>
            </w:pPr>
            <w:r>
              <w:rPr>
                <w:rFonts w:ascii="Times New Roman" w:hAnsi="Times New Roman"/>
                <w:sz w:val="28"/>
                <w:szCs w:val="28"/>
              </w:rPr>
              <w:t>7,71</w:t>
            </w:r>
            <w:r w:rsidRPr="00381B7D">
              <w:rPr>
                <w:rFonts w:ascii="Times New Roman" w:hAnsi="Times New Roman"/>
                <w:sz w:val="28"/>
                <w:szCs w:val="28"/>
              </w:rPr>
              <w:sym w:font="Symbol" w:char="F0B1"/>
            </w:r>
            <w:r>
              <w:rPr>
                <w:rFonts w:ascii="Times New Roman" w:hAnsi="Times New Roman"/>
                <w:sz w:val="28"/>
                <w:szCs w:val="28"/>
              </w:rPr>
              <w:t>2,66</w:t>
            </w:r>
          </w:p>
        </w:tc>
      </w:tr>
      <w:tr w:rsidR="00095916" w:rsidRPr="00CA775A" w:rsidTr="001F0C51">
        <w:tc>
          <w:tcPr>
            <w:tcW w:w="4106" w:type="dxa"/>
          </w:tcPr>
          <w:p w:rsidR="00095916" w:rsidRPr="007F4851" w:rsidRDefault="00095916" w:rsidP="001F0C51">
            <w:pPr>
              <w:spacing w:line="276" w:lineRule="auto"/>
              <w:jc w:val="both"/>
              <w:rPr>
                <w:rFonts w:ascii="Times New Roman" w:hAnsi="Times New Roman" w:cs="Times New Roman"/>
                <w:sz w:val="28"/>
                <w:szCs w:val="28"/>
              </w:rPr>
            </w:pPr>
            <w:r w:rsidRPr="007F4851">
              <w:rPr>
                <w:rFonts w:ascii="Times New Roman" w:hAnsi="Times New Roman" w:cs="Times New Roman"/>
                <w:sz w:val="28"/>
                <w:szCs w:val="28"/>
              </w:rPr>
              <w:t>Всього</w:t>
            </w:r>
          </w:p>
        </w:tc>
        <w:tc>
          <w:tcPr>
            <w:tcW w:w="1276" w:type="dxa"/>
          </w:tcPr>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244</w:t>
            </w:r>
          </w:p>
        </w:tc>
        <w:tc>
          <w:tcPr>
            <w:tcW w:w="1843" w:type="dxa"/>
          </w:tcPr>
          <w:p w:rsidR="00095916" w:rsidRPr="007F4851"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120</w:t>
            </w:r>
          </w:p>
        </w:tc>
        <w:tc>
          <w:tcPr>
            <w:tcW w:w="1984" w:type="dxa"/>
          </w:tcPr>
          <w:p w:rsidR="00095916" w:rsidRPr="00CA775A" w:rsidRDefault="00095916"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124</w:t>
            </w:r>
          </w:p>
        </w:tc>
      </w:tr>
    </w:tbl>
    <w:p w:rsidR="00095916" w:rsidRPr="00CB3FB6" w:rsidRDefault="00095916" w:rsidP="00095916">
      <w:pPr>
        <w:spacing w:line="360" w:lineRule="auto"/>
        <w:ind w:firstLine="360"/>
        <w:jc w:val="both"/>
        <w:rPr>
          <w:rFonts w:ascii="Times New Roman" w:hAnsi="Times New Roman" w:cs="Times New Roman"/>
          <w:sz w:val="28"/>
          <w:szCs w:val="28"/>
        </w:rPr>
      </w:pPr>
    </w:p>
    <w:p w:rsidR="00095916" w:rsidRDefault="00095916" w:rsidP="000959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w:t>
      </w:r>
      <w:r w:rsidRPr="00A56BD4">
        <w:rPr>
          <w:rFonts w:ascii="Times New Roman" w:hAnsi="Times New Roman" w:cs="Times New Roman"/>
          <w:sz w:val="28"/>
          <w:szCs w:val="28"/>
        </w:rPr>
        <w:t xml:space="preserve">тримані </w:t>
      </w:r>
      <w:r>
        <w:rPr>
          <w:rFonts w:ascii="Times New Roman" w:hAnsi="Times New Roman" w:cs="Times New Roman"/>
          <w:sz w:val="28"/>
          <w:szCs w:val="28"/>
        </w:rPr>
        <w:t xml:space="preserve">дані </w:t>
      </w:r>
      <w:r w:rsidRPr="00A56BD4">
        <w:rPr>
          <w:rFonts w:ascii="Times New Roman" w:hAnsi="Times New Roman" w:cs="Times New Roman"/>
          <w:sz w:val="28"/>
          <w:szCs w:val="28"/>
        </w:rPr>
        <w:t xml:space="preserve">під час візуалізації солідних </w:t>
      </w:r>
      <w:r>
        <w:rPr>
          <w:rFonts w:ascii="Times New Roman" w:hAnsi="Times New Roman" w:cs="Times New Roman"/>
          <w:sz w:val="28"/>
          <w:szCs w:val="28"/>
        </w:rPr>
        <w:t>пухлин нирок</w:t>
      </w:r>
      <w:r w:rsidRPr="00A56BD4">
        <w:rPr>
          <w:rFonts w:ascii="Times New Roman" w:hAnsi="Times New Roman" w:cs="Times New Roman"/>
          <w:sz w:val="28"/>
          <w:szCs w:val="28"/>
        </w:rPr>
        <w:t xml:space="preserve"> за допомогою КТ та МРТ були проаналізовані окремо та співставленні із даними патоморфологічних заключень. Результати </w:t>
      </w:r>
      <w:r>
        <w:rPr>
          <w:rFonts w:ascii="Times New Roman" w:hAnsi="Times New Roman" w:cs="Times New Roman"/>
          <w:sz w:val="28"/>
          <w:szCs w:val="28"/>
        </w:rPr>
        <w:t>виконаного</w:t>
      </w:r>
      <w:r w:rsidRPr="00A56BD4">
        <w:rPr>
          <w:rFonts w:ascii="Times New Roman" w:hAnsi="Times New Roman" w:cs="Times New Roman"/>
          <w:sz w:val="28"/>
          <w:szCs w:val="28"/>
        </w:rPr>
        <w:t xml:space="preserve"> аналізу </w:t>
      </w:r>
      <w:r>
        <w:rPr>
          <w:rFonts w:ascii="Times New Roman" w:hAnsi="Times New Roman" w:cs="Times New Roman"/>
          <w:sz w:val="28"/>
          <w:szCs w:val="28"/>
        </w:rPr>
        <w:t>представлені далі</w:t>
      </w:r>
      <w:r w:rsidRPr="00A56BD4">
        <w:rPr>
          <w:rFonts w:ascii="Times New Roman" w:hAnsi="Times New Roman" w:cs="Times New Roman"/>
          <w:sz w:val="28"/>
          <w:szCs w:val="28"/>
        </w:rPr>
        <w:t>.</w:t>
      </w:r>
    </w:p>
    <w:p w:rsidR="00095916" w:rsidRDefault="00095916" w:rsidP="00095916">
      <w:pPr>
        <w:spacing w:line="360" w:lineRule="auto"/>
        <w:rPr>
          <w:rFonts w:ascii="Times New Roman" w:hAnsi="Times New Roman" w:cs="Times New Roman"/>
          <w:sz w:val="28"/>
          <w:szCs w:val="28"/>
        </w:rPr>
      </w:pPr>
    </w:p>
    <w:p w:rsidR="00095916" w:rsidRPr="00A56BD4" w:rsidRDefault="00095916" w:rsidP="00095916">
      <w:pPr>
        <w:spacing w:line="360" w:lineRule="auto"/>
        <w:ind w:firstLine="708"/>
        <w:jc w:val="both"/>
        <w:rPr>
          <w:rFonts w:ascii="Times New Roman" w:hAnsi="Times New Roman" w:cs="Times New Roman"/>
          <w:sz w:val="28"/>
          <w:szCs w:val="28"/>
        </w:rPr>
      </w:pPr>
      <w:r w:rsidRPr="00A56BD4">
        <w:rPr>
          <w:rFonts w:ascii="Times New Roman" w:hAnsi="Times New Roman" w:cs="Times New Roman"/>
          <w:sz w:val="28"/>
          <w:szCs w:val="28"/>
        </w:rPr>
        <w:t>3.2.1.1. Променеві біомаркери на основі КТ</w:t>
      </w:r>
    </w:p>
    <w:p w:rsidR="00095916" w:rsidRPr="00A56BD4" w:rsidRDefault="00095916" w:rsidP="00095916">
      <w:pPr>
        <w:spacing w:line="360" w:lineRule="auto"/>
        <w:ind w:firstLine="708"/>
        <w:jc w:val="both"/>
        <w:rPr>
          <w:rFonts w:ascii="Times New Roman" w:hAnsi="Times New Roman" w:cs="Times New Roman"/>
          <w:sz w:val="28"/>
          <w:szCs w:val="28"/>
        </w:rPr>
      </w:pPr>
      <w:r w:rsidRPr="00A56BD4">
        <w:rPr>
          <w:rFonts w:ascii="Times New Roman" w:hAnsi="Times New Roman" w:cs="Times New Roman"/>
          <w:sz w:val="28"/>
          <w:szCs w:val="28"/>
        </w:rPr>
        <w:t xml:space="preserve">У </w:t>
      </w:r>
      <w:r>
        <w:rPr>
          <w:rFonts w:ascii="Times New Roman" w:hAnsi="Times New Roman" w:cs="Times New Roman"/>
          <w:sz w:val="28"/>
          <w:szCs w:val="28"/>
        </w:rPr>
        <w:t>пацієнтів</w:t>
      </w:r>
      <w:r w:rsidRPr="00A56BD4">
        <w:rPr>
          <w:rFonts w:ascii="Times New Roman" w:hAnsi="Times New Roman" w:cs="Times New Roman"/>
          <w:sz w:val="28"/>
          <w:szCs w:val="28"/>
        </w:rPr>
        <w:t>, яким була виконана КТ</w:t>
      </w:r>
      <w:r>
        <w:rPr>
          <w:rFonts w:ascii="Times New Roman" w:hAnsi="Times New Roman" w:cs="Times New Roman"/>
          <w:sz w:val="28"/>
          <w:szCs w:val="28"/>
        </w:rPr>
        <w:t xml:space="preserve"> (n=12</w:t>
      </w:r>
      <w:r w:rsidRPr="00A56BD4">
        <w:rPr>
          <w:rFonts w:ascii="Times New Roman" w:hAnsi="Times New Roman" w:cs="Times New Roman"/>
          <w:sz w:val="28"/>
          <w:szCs w:val="28"/>
        </w:rPr>
        <w:t xml:space="preserve">0) середній розмір новоутворення складав </w:t>
      </w:r>
      <w:r>
        <w:rPr>
          <w:rFonts w:ascii="Times New Roman" w:hAnsi="Times New Roman"/>
          <w:sz w:val="28"/>
          <w:szCs w:val="28"/>
        </w:rPr>
        <w:t>7,46</w:t>
      </w:r>
      <w:r w:rsidRPr="00381B7D">
        <w:rPr>
          <w:rFonts w:ascii="Times New Roman" w:hAnsi="Times New Roman"/>
          <w:sz w:val="28"/>
          <w:szCs w:val="28"/>
        </w:rPr>
        <w:sym w:font="Symbol" w:char="F0B1"/>
      </w:r>
      <w:r>
        <w:rPr>
          <w:rFonts w:ascii="Times New Roman" w:hAnsi="Times New Roman"/>
          <w:sz w:val="28"/>
          <w:szCs w:val="28"/>
        </w:rPr>
        <w:t xml:space="preserve">2,83 </w:t>
      </w:r>
      <w:r>
        <w:rPr>
          <w:rFonts w:ascii="Times New Roman" w:hAnsi="Times New Roman" w:cs="Times New Roman"/>
          <w:sz w:val="28"/>
          <w:szCs w:val="28"/>
        </w:rPr>
        <w:t>см (від 4,05 до 12,95</w:t>
      </w:r>
      <w:r w:rsidRPr="00A56BD4">
        <w:rPr>
          <w:rFonts w:ascii="Times New Roman" w:hAnsi="Times New Roman" w:cs="Times New Roman"/>
          <w:sz w:val="28"/>
          <w:szCs w:val="28"/>
        </w:rPr>
        <w:t xml:space="preserve"> см). Середній розмір новоутворень у хворих із НКР становив </w:t>
      </w:r>
      <w:r>
        <w:rPr>
          <w:rFonts w:ascii="Times New Roman" w:hAnsi="Times New Roman" w:cs="Times New Roman"/>
          <w:sz w:val="28"/>
          <w:szCs w:val="28"/>
        </w:rPr>
        <w:t>7,57±2,67</w:t>
      </w:r>
      <w:r w:rsidRPr="00A56BD4">
        <w:rPr>
          <w:rFonts w:ascii="Times New Roman" w:hAnsi="Times New Roman" w:cs="Times New Roman"/>
          <w:sz w:val="28"/>
          <w:szCs w:val="28"/>
        </w:rPr>
        <w:t xml:space="preserve"> см (від </w:t>
      </w:r>
      <w:r>
        <w:rPr>
          <w:rFonts w:ascii="Times New Roman" w:hAnsi="Times New Roman" w:cs="Times New Roman"/>
          <w:sz w:val="28"/>
          <w:szCs w:val="28"/>
        </w:rPr>
        <w:t>4,10 до 12,95</w:t>
      </w:r>
      <w:r w:rsidRPr="00A56BD4">
        <w:rPr>
          <w:rFonts w:ascii="Times New Roman" w:hAnsi="Times New Roman" w:cs="Times New Roman"/>
          <w:sz w:val="28"/>
          <w:szCs w:val="28"/>
        </w:rPr>
        <w:t xml:space="preserve"> см); пацієнтів із ПКК ниркової миски</w:t>
      </w:r>
      <w:r>
        <w:rPr>
          <w:rFonts w:ascii="Times New Roman" w:hAnsi="Times New Roman" w:cs="Times New Roman"/>
          <w:sz w:val="28"/>
          <w:szCs w:val="28"/>
        </w:rPr>
        <w:t xml:space="preserve"> – 5,65±2,40 см (від 4,25 до 6,95</w:t>
      </w:r>
      <w:r w:rsidRPr="00A56BD4">
        <w:rPr>
          <w:rFonts w:ascii="Times New Roman" w:hAnsi="Times New Roman" w:cs="Times New Roman"/>
          <w:sz w:val="28"/>
          <w:szCs w:val="28"/>
        </w:rPr>
        <w:t xml:space="preserve"> см); та хворих із д</w:t>
      </w:r>
      <w:r>
        <w:rPr>
          <w:rFonts w:ascii="Times New Roman" w:hAnsi="Times New Roman" w:cs="Times New Roman"/>
          <w:sz w:val="28"/>
          <w:szCs w:val="28"/>
        </w:rPr>
        <w:t>оброякісними пухлинами нирок – 6,18±2,39 см (від 4,15</w:t>
      </w:r>
      <w:r w:rsidRPr="00A56BD4">
        <w:rPr>
          <w:rFonts w:ascii="Times New Roman" w:hAnsi="Times New Roman" w:cs="Times New Roman"/>
          <w:sz w:val="28"/>
          <w:szCs w:val="28"/>
        </w:rPr>
        <w:t xml:space="preserve"> до</w:t>
      </w:r>
      <w:r>
        <w:rPr>
          <w:rFonts w:ascii="Times New Roman" w:hAnsi="Times New Roman" w:cs="Times New Roman"/>
          <w:sz w:val="28"/>
          <w:szCs w:val="28"/>
        </w:rPr>
        <w:t xml:space="preserve"> 8,85</w:t>
      </w:r>
      <w:r w:rsidRPr="00A56BD4">
        <w:rPr>
          <w:rFonts w:ascii="Times New Roman" w:hAnsi="Times New Roman" w:cs="Times New Roman"/>
          <w:sz w:val="28"/>
          <w:szCs w:val="28"/>
        </w:rPr>
        <w:t xml:space="preserve"> см). </w:t>
      </w:r>
    </w:p>
    <w:p w:rsidR="00095916" w:rsidRDefault="00095916" w:rsidP="00095916">
      <w:pPr>
        <w:spacing w:line="360" w:lineRule="auto"/>
        <w:ind w:firstLine="709"/>
        <w:jc w:val="both"/>
        <w:rPr>
          <w:rFonts w:ascii="Times New Roman" w:hAnsi="Times New Roman" w:cs="Times New Roman"/>
          <w:sz w:val="28"/>
        </w:rPr>
      </w:pPr>
      <w:r>
        <w:rPr>
          <w:rFonts w:ascii="Times New Roman" w:hAnsi="Times New Roman" w:cs="Times New Roman"/>
          <w:sz w:val="28"/>
          <w:szCs w:val="28"/>
        </w:rPr>
        <w:lastRenderedPageBreak/>
        <w:t>Як і у випадку малих ниркових новоутворень, н</w:t>
      </w:r>
      <w:r w:rsidRPr="003F7C0B">
        <w:rPr>
          <w:rFonts w:ascii="Times New Roman" w:hAnsi="Times New Roman" w:cs="Times New Roman"/>
          <w:sz w:val="28"/>
          <w:szCs w:val="28"/>
        </w:rPr>
        <w:t xml:space="preserve">ами були проаналізовані показники променевої щільності (інтенсивності сигналу) </w:t>
      </w:r>
      <w:r>
        <w:rPr>
          <w:rFonts w:ascii="Times New Roman" w:hAnsi="Times New Roman" w:cs="Times New Roman"/>
          <w:sz w:val="28"/>
          <w:szCs w:val="28"/>
        </w:rPr>
        <w:t>пухлини нирки</w:t>
      </w:r>
      <w:r w:rsidRPr="003F7C0B">
        <w:rPr>
          <w:rFonts w:ascii="Times New Roman" w:hAnsi="Times New Roman" w:cs="Times New Roman"/>
          <w:sz w:val="28"/>
          <w:szCs w:val="28"/>
        </w:rPr>
        <w:t xml:space="preserve"> та нормальної ниркової паренхіми, які були отримані під час кожної з фаз мультифазної КТ у всіх чо</w:t>
      </w:r>
      <w:r>
        <w:rPr>
          <w:rFonts w:ascii="Times New Roman" w:hAnsi="Times New Roman" w:cs="Times New Roman"/>
          <w:sz w:val="28"/>
          <w:szCs w:val="28"/>
        </w:rPr>
        <w:t>тирьох групах, а також обчислене</w:t>
      </w:r>
      <w:r w:rsidRPr="003F7C0B">
        <w:rPr>
          <w:rFonts w:ascii="Times New Roman" w:hAnsi="Times New Roman" w:cs="Times New Roman"/>
          <w:sz w:val="28"/>
          <w:szCs w:val="28"/>
        </w:rPr>
        <w:t xml:space="preserve"> на їх основі </w:t>
      </w:r>
      <w:r w:rsidRPr="003F7C0B">
        <w:rPr>
          <w:rFonts w:ascii="Times New Roman" w:hAnsi="Times New Roman" w:cs="Times New Roman"/>
          <w:sz w:val="28"/>
        </w:rPr>
        <w:t>відношення променевої щільності</w:t>
      </w:r>
      <w:r>
        <w:rPr>
          <w:rFonts w:ascii="Times New Roman" w:hAnsi="Times New Roman" w:cs="Times New Roman"/>
          <w:sz w:val="28"/>
        </w:rPr>
        <w:t xml:space="preserve"> </w:t>
      </w:r>
      <w:r w:rsidRPr="003F7C0B">
        <w:rPr>
          <w:rFonts w:ascii="Times New Roman" w:hAnsi="Times New Roman" w:cs="Times New Roman"/>
          <w:sz w:val="28"/>
        </w:rPr>
        <w:t xml:space="preserve">новоутворення до здорової паренхіми нирки. </w:t>
      </w:r>
      <w:r>
        <w:rPr>
          <w:rFonts w:ascii="Times New Roman" w:hAnsi="Times New Roman" w:cs="Times New Roman"/>
          <w:sz w:val="28"/>
        </w:rPr>
        <w:t>Для статистичної обробки отриманих даних нами були застосовані аналогічні методи, що були використані в попередньому підрозділі.</w:t>
      </w:r>
    </w:p>
    <w:p w:rsidR="00095916" w:rsidRPr="00992B04" w:rsidRDefault="00095916" w:rsidP="00E11480">
      <w:pPr>
        <w:spacing w:line="360" w:lineRule="auto"/>
        <w:ind w:firstLine="708"/>
        <w:jc w:val="both"/>
        <w:rPr>
          <w:rFonts w:ascii="Times New Roman" w:hAnsi="Times New Roman" w:cs="Times New Roman"/>
          <w:sz w:val="28"/>
          <w:szCs w:val="28"/>
        </w:rPr>
      </w:pPr>
      <w:r w:rsidRPr="00D13D9A">
        <w:rPr>
          <w:rFonts w:ascii="Times New Roman" w:hAnsi="Times New Roman" w:cs="Times New Roman"/>
          <w:sz w:val="28"/>
          <w:szCs w:val="28"/>
        </w:rPr>
        <w:t>При аналізі інтенсивності сигналу пухлин на пре-контрастних зображеннях</w:t>
      </w:r>
      <w:r>
        <w:rPr>
          <w:rFonts w:ascii="Times New Roman" w:hAnsi="Times New Roman" w:cs="Times New Roman"/>
          <w:sz w:val="28"/>
          <w:szCs w:val="28"/>
        </w:rPr>
        <w:t>, а також зображеннях кортико-медулярної, нефрографічної та екскреторної фаз КТ</w:t>
      </w:r>
      <w:r w:rsidRPr="00D13D9A">
        <w:rPr>
          <w:rFonts w:ascii="Times New Roman" w:hAnsi="Times New Roman" w:cs="Times New Roman"/>
          <w:sz w:val="28"/>
          <w:szCs w:val="28"/>
        </w:rPr>
        <w:t xml:space="preserve"> в</w:t>
      </w:r>
      <w:r>
        <w:rPr>
          <w:rFonts w:ascii="Times New Roman" w:hAnsi="Times New Roman" w:cs="Times New Roman"/>
          <w:sz w:val="28"/>
          <w:szCs w:val="28"/>
        </w:rPr>
        <w:t xml:space="preserve"> досліджуваних групах</w:t>
      </w:r>
      <w:r w:rsidRPr="00D13D9A">
        <w:rPr>
          <w:rFonts w:ascii="Times New Roman" w:hAnsi="Times New Roman" w:cs="Times New Roman"/>
          <w:sz w:val="28"/>
          <w:szCs w:val="28"/>
        </w:rPr>
        <w:t>,</w:t>
      </w:r>
      <w:r>
        <w:rPr>
          <w:rFonts w:ascii="Times New Roman" w:hAnsi="Times New Roman" w:cs="Times New Roman"/>
          <w:sz w:val="28"/>
          <w:szCs w:val="28"/>
        </w:rPr>
        <w:t xml:space="preserve"> нами було отримано відмінності у променевій щільності як пухлин, так і нормальної ниркової паренхіми. Як і у випадку </w:t>
      </w:r>
      <w:r>
        <w:rPr>
          <w:rFonts w:ascii="Times New Roman" w:hAnsi="Times New Roman" w:cs="Times New Roman"/>
          <w:sz w:val="28"/>
          <w:szCs w:val="28"/>
          <w:lang w:val="en-US"/>
        </w:rPr>
        <w:t>SRM</w:t>
      </w:r>
      <w:r>
        <w:rPr>
          <w:rFonts w:ascii="Times New Roman" w:hAnsi="Times New Roman" w:cs="Times New Roman"/>
          <w:sz w:val="28"/>
          <w:szCs w:val="28"/>
        </w:rPr>
        <w:t xml:space="preserve">, </w:t>
      </w:r>
      <w:r w:rsidR="001F5B84">
        <w:rPr>
          <w:rFonts w:ascii="Times New Roman" w:hAnsi="Times New Roman" w:cs="Times New Roman"/>
          <w:sz w:val="28"/>
          <w:szCs w:val="28"/>
        </w:rPr>
        <w:t xml:space="preserve">достовірну </w:t>
      </w:r>
      <w:r>
        <w:rPr>
          <w:rFonts w:ascii="Times New Roman" w:hAnsi="Times New Roman" w:cs="Times New Roman"/>
          <w:sz w:val="28"/>
          <w:szCs w:val="28"/>
        </w:rPr>
        <w:t xml:space="preserve">різницю між середніми значеннями ІС при порівнянні всіх груп між собою було отримано лише при використанні зображень екскреторної фази (рисунок </w:t>
      </w:r>
      <w:r w:rsidRPr="009E6C7E">
        <w:rPr>
          <w:rFonts w:ascii="Times New Roman" w:hAnsi="Times New Roman" w:cs="Times New Roman"/>
          <w:sz w:val="28"/>
          <w:szCs w:val="28"/>
        </w:rPr>
        <w:t>3</w:t>
      </w:r>
      <w:r w:rsidR="00074F93">
        <w:rPr>
          <w:rFonts w:ascii="Times New Roman" w:hAnsi="Times New Roman" w:cs="Times New Roman"/>
          <w:sz w:val="28"/>
          <w:szCs w:val="28"/>
        </w:rPr>
        <w:t>.27</w:t>
      </w:r>
      <w:r>
        <w:rPr>
          <w:rFonts w:ascii="Times New Roman" w:hAnsi="Times New Roman" w:cs="Times New Roman"/>
          <w:sz w:val="28"/>
          <w:szCs w:val="28"/>
        </w:rPr>
        <w:t xml:space="preserve">). </w:t>
      </w:r>
    </w:p>
    <w:p w:rsidR="00095916" w:rsidRDefault="00095916" w:rsidP="0009591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A1E8DAC" wp14:editId="312DF533">
            <wp:extent cx="4485082" cy="3590925"/>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509263" cy="3610286"/>
                    </a:xfrm>
                    <a:prstGeom prst="rect">
                      <a:avLst/>
                    </a:prstGeom>
                    <a:noFill/>
                    <a:ln>
                      <a:noFill/>
                    </a:ln>
                  </pic:spPr>
                </pic:pic>
              </a:graphicData>
            </a:graphic>
          </wp:inline>
        </w:drawing>
      </w:r>
    </w:p>
    <w:p w:rsidR="00095916" w:rsidRDefault="00095916" w:rsidP="00095916">
      <w:pPr>
        <w:autoSpaceDE w:val="0"/>
        <w:autoSpaceDN w:val="0"/>
        <w:adjustRightInd w:val="0"/>
        <w:spacing w:after="0" w:line="240" w:lineRule="auto"/>
        <w:rPr>
          <w:rFonts w:ascii="Times New Roman" w:hAnsi="Times New Roman" w:cs="Times New Roman"/>
          <w:sz w:val="24"/>
          <w:szCs w:val="24"/>
        </w:rPr>
      </w:pPr>
    </w:p>
    <w:p w:rsidR="00095916" w:rsidRDefault="00074F93" w:rsidP="009C1018">
      <w:pPr>
        <w:autoSpaceDE w:val="0"/>
        <w:autoSpaceDN w:val="0"/>
        <w:adjustRightInd w:val="0"/>
        <w:spacing w:after="0" w:line="400" w:lineRule="atLeast"/>
        <w:jc w:val="center"/>
        <w:rPr>
          <w:rFonts w:ascii="Times New Roman" w:hAnsi="Times New Roman" w:cs="Times New Roman"/>
          <w:sz w:val="24"/>
          <w:szCs w:val="24"/>
        </w:rPr>
      </w:pPr>
      <w:r>
        <w:rPr>
          <w:rFonts w:ascii="Times New Roman" w:hAnsi="Times New Roman" w:cs="Times New Roman"/>
          <w:sz w:val="28"/>
          <w:szCs w:val="28"/>
        </w:rPr>
        <w:t>Рис. 3.27</w:t>
      </w:r>
      <w:r w:rsidR="00095916" w:rsidRPr="00FC5277">
        <w:rPr>
          <w:rFonts w:ascii="Times New Roman" w:hAnsi="Times New Roman" w:cs="Times New Roman"/>
          <w:sz w:val="28"/>
          <w:szCs w:val="28"/>
        </w:rPr>
        <w:t>.</w:t>
      </w:r>
      <w:r w:rsidR="00095916">
        <w:rPr>
          <w:rFonts w:ascii="Times New Roman" w:hAnsi="Times New Roman" w:cs="Times New Roman"/>
          <w:sz w:val="28"/>
          <w:szCs w:val="28"/>
        </w:rPr>
        <w:t xml:space="preserve"> Коробкова діаграма променевої щільності солідних пухлин нирок та нормальної ниркової паренхіми на КТ-зображеннях різних фаз</w:t>
      </w:r>
    </w:p>
    <w:p w:rsidR="00074F93" w:rsidRDefault="00074F93" w:rsidP="009C1018">
      <w:pPr>
        <w:autoSpaceDE w:val="0"/>
        <w:autoSpaceDN w:val="0"/>
        <w:adjustRightInd w:val="0"/>
        <w:spacing w:after="0" w:line="360" w:lineRule="auto"/>
        <w:ind w:firstLine="708"/>
        <w:jc w:val="both"/>
        <w:rPr>
          <w:rFonts w:ascii="Times New Roman" w:hAnsi="Times New Roman" w:cs="Times New Roman"/>
          <w:sz w:val="28"/>
          <w:szCs w:val="28"/>
        </w:rPr>
      </w:pPr>
    </w:p>
    <w:p w:rsidR="00095916" w:rsidRDefault="00095916" w:rsidP="009C101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8"/>
          <w:szCs w:val="28"/>
        </w:rPr>
        <w:lastRenderedPageBreak/>
        <w:t>Враховуючи, що у виявленні НКР найбільш інформативними є кортико-медулярна та нефрографічні фази КТ, отримані дані є неочікуваними, проте зрозумілими, оскільки тривалість «вимивання» контрастних речовин із тканин пухлини залежить від цілої низки факторів, таких, як ступінь макро- та мікроваскуляризації, особливості гістологічної архітектури, і які значно відрізняються при НКР, ПКК ниркової миски та доброякіс</w:t>
      </w:r>
      <w:r w:rsidR="00293044">
        <w:rPr>
          <w:rFonts w:ascii="Times New Roman" w:hAnsi="Times New Roman" w:cs="Times New Roman"/>
          <w:sz w:val="28"/>
          <w:szCs w:val="28"/>
        </w:rPr>
        <w:t>них пухлинах нирок (таблиця 3.20</w:t>
      </w:r>
      <w:r>
        <w:rPr>
          <w:rFonts w:ascii="Times New Roman" w:hAnsi="Times New Roman" w:cs="Times New Roman"/>
          <w:sz w:val="28"/>
          <w:szCs w:val="28"/>
        </w:rPr>
        <w:t xml:space="preserve">). </w:t>
      </w:r>
    </w:p>
    <w:p w:rsidR="00095916" w:rsidRPr="0057310B" w:rsidRDefault="00095916" w:rsidP="00095916">
      <w:pPr>
        <w:spacing w:line="360" w:lineRule="auto"/>
        <w:jc w:val="right"/>
        <w:rPr>
          <w:rFonts w:ascii="Times New Roman" w:hAnsi="Times New Roman"/>
          <w:sz w:val="28"/>
          <w:szCs w:val="28"/>
        </w:rPr>
      </w:pPr>
      <w:r w:rsidRPr="0057310B">
        <w:rPr>
          <w:rFonts w:ascii="Times New Roman" w:hAnsi="Times New Roman"/>
          <w:sz w:val="28"/>
          <w:szCs w:val="28"/>
        </w:rPr>
        <w:t>Таблиця</w:t>
      </w:r>
      <w:r w:rsidR="00293044">
        <w:rPr>
          <w:rFonts w:ascii="Times New Roman" w:hAnsi="Times New Roman"/>
          <w:sz w:val="28"/>
          <w:szCs w:val="28"/>
        </w:rPr>
        <w:t xml:space="preserve"> 3.20</w:t>
      </w:r>
    </w:p>
    <w:p w:rsidR="00095916" w:rsidRPr="0057310B" w:rsidRDefault="00095916" w:rsidP="00095916">
      <w:pPr>
        <w:spacing w:line="360" w:lineRule="auto"/>
        <w:jc w:val="center"/>
        <w:rPr>
          <w:rFonts w:ascii="Times New Roman" w:hAnsi="Times New Roman"/>
          <w:sz w:val="28"/>
          <w:szCs w:val="28"/>
        </w:rPr>
      </w:pPr>
      <w:r>
        <w:rPr>
          <w:rFonts w:ascii="Times New Roman" w:hAnsi="Times New Roman"/>
          <w:sz w:val="28"/>
          <w:szCs w:val="28"/>
        </w:rPr>
        <w:t>Середня інтенсивність сигналу</w:t>
      </w:r>
      <w:r w:rsidRPr="0057310B">
        <w:rPr>
          <w:rFonts w:ascii="Times New Roman" w:hAnsi="Times New Roman"/>
          <w:sz w:val="28"/>
          <w:szCs w:val="28"/>
        </w:rPr>
        <w:t xml:space="preserve"> </w:t>
      </w:r>
      <w:r>
        <w:rPr>
          <w:rFonts w:ascii="Times New Roman" w:hAnsi="Times New Roman"/>
          <w:sz w:val="28"/>
          <w:szCs w:val="28"/>
        </w:rPr>
        <w:t>солідних злоякісних і</w:t>
      </w:r>
      <w:r w:rsidRPr="0057310B">
        <w:rPr>
          <w:rFonts w:ascii="Times New Roman" w:hAnsi="Times New Roman"/>
          <w:sz w:val="28"/>
          <w:szCs w:val="28"/>
        </w:rPr>
        <w:t xml:space="preserve"> доброякісних </w:t>
      </w:r>
      <w:r>
        <w:rPr>
          <w:rFonts w:ascii="Times New Roman" w:hAnsi="Times New Roman"/>
          <w:sz w:val="28"/>
          <w:szCs w:val="28"/>
        </w:rPr>
        <w:t>пухлин нирок</w:t>
      </w:r>
      <w:r w:rsidRPr="0057310B">
        <w:rPr>
          <w:rFonts w:ascii="Times New Roman" w:hAnsi="Times New Roman"/>
          <w:sz w:val="28"/>
          <w:szCs w:val="28"/>
        </w:rPr>
        <w:t xml:space="preserve"> та нормальної ниркової паренхіми на зображеннях фаз КТ</w:t>
      </w:r>
    </w:p>
    <w:tbl>
      <w:tblPr>
        <w:tblStyle w:val="TableGrid"/>
        <w:tblW w:w="9634" w:type="dxa"/>
        <w:tblLook w:val="04A0" w:firstRow="1" w:lastRow="0" w:firstColumn="1" w:lastColumn="0" w:noHBand="0" w:noVBand="1"/>
      </w:tblPr>
      <w:tblGrid>
        <w:gridCol w:w="1989"/>
        <w:gridCol w:w="1808"/>
        <w:gridCol w:w="1770"/>
        <w:gridCol w:w="2202"/>
        <w:gridCol w:w="1865"/>
      </w:tblGrid>
      <w:tr w:rsidR="00095916" w:rsidRPr="0057310B" w:rsidTr="001F0C51">
        <w:trPr>
          <w:trHeight w:val="322"/>
        </w:trPr>
        <w:tc>
          <w:tcPr>
            <w:tcW w:w="1989" w:type="dxa"/>
            <w:vMerge w:val="restart"/>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Група</w:t>
            </w:r>
          </w:p>
        </w:tc>
        <w:tc>
          <w:tcPr>
            <w:tcW w:w="7645" w:type="dxa"/>
            <w:gridSpan w:val="4"/>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Фаза КТ</w:t>
            </w:r>
          </w:p>
        </w:tc>
      </w:tr>
      <w:tr w:rsidR="00095916" w:rsidRPr="0057310B" w:rsidTr="001F0C51">
        <w:trPr>
          <w:trHeight w:val="654"/>
        </w:trPr>
        <w:tc>
          <w:tcPr>
            <w:tcW w:w="1989" w:type="dxa"/>
            <w:vMerge/>
            <w:tcBorders>
              <w:bottom w:val="single" w:sz="4" w:space="0" w:color="auto"/>
            </w:tcBorders>
          </w:tcPr>
          <w:p w:rsidR="00095916" w:rsidRPr="0057310B" w:rsidRDefault="00095916" w:rsidP="001F0C51">
            <w:pPr>
              <w:jc w:val="center"/>
              <w:rPr>
                <w:rFonts w:ascii="Times New Roman" w:hAnsi="Times New Roman"/>
                <w:b/>
                <w:sz w:val="28"/>
                <w:szCs w:val="28"/>
              </w:rPr>
            </w:pPr>
          </w:p>
        </w:tc>
        <w:tc>
          <w:tcPr>
            <w:tcW w:w="1808" w:type="dxa"/>
            <w:tcBorders>
              <w:bottom w:val="single" w:sz="4" w:space="0" w:color="auto"/>
            </w:tcBorders>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Пре-контрастні зображення, HU</w:t>
            </w:r>
          </w:p>
        </w:tc>
        <w:tc>
          <w:tcPr>
            <w:tcW w:w="1770" w:type="dxa"/>
            <w:tcBorders>
              <w:bottom w:val="single" w:sz="4" w:space="0" w:color="auto"/>
            </w:tcBorders>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Кортико-медулярна фаза, HU</w:t>
            </w:r>
          </w:p>
        </w:tc>
        <w:tc>
          <w:tcPr>
            <w:tcW w:w="2202" w:type="dxa"/>
            <w:tcBorders>
              <w:bottom w:val="single" w:sz="4" w:space="0" w:color="auto"/>
            </w:tcBorders>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Нефрографічна фаза, HU</w:t>
            </w:r>
          </w:p>
        </w:tc>
        <w:tc>
          <w:tcPr>
            <w:tcW w:w="1865" w:type="dxa"/>
            <w:tcBorders>
              <w:bottom w:val="single" w:sz="4" w:space="0" w:color="auto"/>
            </w:tcBorders>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Екскреторна фаза, HU</w:t>
            </w:r>
          </w:p>
        </w:tc>
      </w:tr>
      <w:tr w:rsidR="00095916" w:rsidRPr="0057310B" w:rsidTr="001F0C51">
        <w:trPr>
          <w:trHeight w:val="613"/>
        </w:trPr>
        <w:tc>
          <w:tcPr>
            <w:tcW w:w="1989" w:type="dxa"/>
          </w:tcPr>
          <w:p w:rsidR="00095916" w:rsidRPr="0057310B" w:rsidRDefault="00095916" w:rsidP="001F0C51">
            <w:pPr>
              <w:rPr>
                <w:rFonts w:ascii="Times New Roman" w:hAnsi="Times New Roman" w:cs="Times New Roman"/>
                <w:b/>
                <w:sz w:val="28"/>
                <w:szCs w:val="28"/>
              </w:rPr>
            </w:pPr>
            <w:r w:rsidRPr="0057310B">
              <w:rPr>
                <w:rFonts w:ascii="Times New Roman" w:hAnsi="Times New Roman"/>
                <w:b/>
                <w:sz w:val="28"/>
                <w:szCs w:val="28"/>
              </w:rPr>
              <w:t xml:space="preserve">НКР, </w:t>
            </w:r>
            <w:r>
              <w:rPr>
                <w:rFonts w:ascii="Times New Roman" w:hAnsi="Times New Roman" w:cs="Times New Roman"/>
                <w:b/>
                <w:sz w:val="28"/>
                <w:szCs w:val="28"/>
              </w:rPr>
              <w:t>n=84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39,01</w:t>
            </w:r>
            <w:r>
              <w:rPr>
                <w:rFonts w:ascii="Times New Roman" w:hAnsi="Times New Roman" w:cs="Times New Roman"/>
                <w:sz w:val="28"/>
                <w:szCs w:val="28"/>
              </w:rPr>
              <w:t>±</w:t>
            </w:r>
            <w:r>
              <w:rPr>
                <w:rFonts w:ascii="Times New Roman" w:hAnsi="Times New Roman"/>
                <w:sz w:val="28"/>
                <w:szCs w:val="28"/>
              </w:rPr>
              <w:t>9,67</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106,20</w:t>
            </w:r>
            <w:r>
              <w:rPr>
                <w:rFonts w:ascii="Times New Roman" w:hAnsi="Times New Roman" w:cs="Times New Roman"/>
                <w:sz w:val="28"/>
                <w:szCs w:val="28"/>
              </w:rPr>
              <w:t>±24,32</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84,94</w:t>
            </w:r>
            <w:r>
              <w:rPr>
                <w:rFonts w:ascii="Times New Roman" w:hAnsi="Times New Roman" w:cs="Times New Roman"/>
                <w:sz w:val="28"/>
                <w:szCs w:val="28"/>
              </w:rPr>
              <w:t>±14,23</w:t>
            </w:r>
          </w:p>
        </w:tc>
        <w:tc>
          <w:tcPr>
            <w:tcW w:w="1865"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71,69</w:t>
            </w:r>
            <w:r>
              <w:rPr>
                <w:rFonts w:ascii="Times New Roman" w:hAnsi="Times New Roman" w:cs="Times New Roman"/>
                <w:sz w:val="28"/>
                <w:szCs w:val="28"/>
              </w:rPr>
              <w:t>±10,26</w:t>
            </w:r>
          </w:p>
        </w:tc>
      </w:tr>
      <w:tr w:rsidR="00095916" w:rsidRPr="0057310B" w:rsidTr="001F0C51">
        <w:tc>
          <w:tcPr>
            <w:tcW w:w="1989" w:type="dxa"/>
          </w:tcPr>
          <w:p w:rsidR="00095916" w:rsidRPr="0057310B" w:rsidRDefault="00095916" w:rsidP="001F0C51">
            <w:pPr>
              <w:rPr>
                <w:rFonts w:ascii="Times New Roman" w:hAnsi="Times New Roman" w:cs="Times New Roman"/>
                <w:b/>
                <w:sz w:val="28"/>
                <w:szCs w:val="28"/>
              </w:rPr>
            </w:pPr>
            <w:r w:rsidRPr="0057310B">
              <w:rPr>
                <w:rFonts w:ascii="Times New Roman" w:hAnsi="Times New Roman"/>
                <w:b/>
                <w:sz w:val="28"/>
                <w:szCs w:val="28"/>
              </w:rPr>
              <w:t xml:space="preserve">ПКК ниркової миски, </w:t>
            </w:r>
            <w:r>
              <w:rPr>
                <w:rFonts w:ascii="Times New Roman" w:hAnsi="Times New Roman" w:cs="Times New Roman"/>
                <w:b/>
                <w:sz w:val="28"/>
                <w:szCs w:val="28"/>
              </w:rPr>
              <w:t>n=14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25,91</w:t>
            </w:r>
            <w:r>
              <w:rPr>
                <w:rFonts w:ascii="Times New Roman" w:hAnsi="Times New Roman" w:cs="Times New Roman"/>
                <w:sz w:val="28"/>
                <w:szCs w:val="28"/>
              </w:rPr>
              <w:t>±5,70</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68,96</w:t>
            </w:r>
            <w:r>
              <w:rPr>
                <w:rFonts w:ascii="Times New Roman" w:hAnsi="Times New Roman" w:cs="Times New Roman"/>
                <w:sz w:val="28"/>
                <w:szCs w:val="28"/>
              </w:rPr>
              <w:t>±13,16</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54,06</w:t>
            </w:r>
            <w:r>
              <w:rPr>
                <w:rFonts w:ascii="Times New Roman" w:hAnsi="Times New Roman" w:cs="Times New Roman"/>
                <w:sz w:val="28"/>
                <w:szCs w:val="28"/>
              </w:rPr>
              <w:t>±4,96</w:t>
            </w:r>
          </w:p>
        </w:tc>
        <w:tc>
          <w:tcPr>
            <w:tcW w:w="1865"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37,33</w:t>
            </w:r>
            <w:r>
              <w:rPr>
                <w:rFonts w:ascii="Times New Roman" w:hAnsi="Times New Roman" w:cs="Times New Roman"/>
                <w:sz w:val="28"/>
                <w:szCs w:val="28"/>
              </w:rPr>
              <w:t>±5,75</w:t>
            </w:r>
          </w:p>
        </w:tc>
      </w:tr>
      <w:tr w:rsidR="00095916" w:rsidRPr="0057310B" w:rsidTr="001F0C51">
        <w:tc>
          <w:tcPr>
            <w:tcW w:w="1989" w:type="dxa"/>
          </w:tcPr>
          <w:p w:rsidR="00095916" w:rsidRPr="0057310B" w:rsidRDefault="00095916" w:rsidP="001F0C51">
            <w:pPr>
              <w:rPr>
                <w:rFonts w:ascii="Times New Roman" w:hAnsi="Times New Roman"/>
                <w:b/>
                <w:sz w:val="28"/>
                <w:szCs w:val="28"/>
              </w:rPr>
            </w:pPr>
            <w:r w:rsidRPr="0057310B">
              <w:rPr>
                <w:rFonts w:ascii="Times New Roman" w:hAnsi="Times New Roman"/>
                <w:b/>
                <w:sz w:val="28"/>
                <w:szCs w:val="28"/>
              </w:rPr>
              <w:t>Доброякісні</w:t>
            </w:r>
          </w:p>
          <w:p w:rsidR="00095916" w:rsidRPr="0057310B" w:rsidRDefault="00095916" w:rsidP="001F0C51">
            <w:r w:rsidRPr="0057310B">
              <w:rPr>
                <w:rFonts w:ascii="Times New Roman" w:hAnsi="Times New Roman"/>
                <w:b/>
                <w:sz w:val="28"/>
                <w:szCs w:val="28"/>
              </w:rPr>
              <w:t xml:space="preserve">пухлини, </w:t>
            </w:r>
            <w:r>
              <w:rPr>
                <w:rFonts w:ascii="Times New Roman" w:hAnsi="Times New Roman" w:cs="Times New Roman"/>
                <w:b/>
                <w:sz w:val="28"/>
                <w:szCs w:val="28"/>
              </w:rPr>
              <w:t>n=22</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34,45</w:t>
            </w:r>
            <w:r>
              <w:rPr>
                <w:rFonts w:ascii="Times New Roman" w:hAnsi="Times New Roman" w:cs="Times New Roman"/>
                <w:sz w:val="28"/>
                <w:szCs w:val="28"/>
              </w:rPr>
              <w:t>±8,19</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85,35</w:t>
            </w:r>
            <w:r>
              <w:rPr>
                <w:rFonts w:ascii="Times New Roman" w:hAnsi="Times New Roman" w:cs="Times New Roman"/>
                <w:sz w:val="28"/>
                <w:szCs w:val="28"/>
              </w:rPr>
              <w:t>±20,08</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85,59</w:t>
            </w:r>
            <w:r>
              <w:rPr>
                <w:rFonts w:ascii="Times New Roman" w:hAnsi="Times New Roman" w:cs="Times New Roman"/>
                <w:sz w:val="28"/>
                <w:szCs w:val="28"/>
              </w:rPr>
              <w:t>±21,37</w:t>
            </w:r>
          </w:p>
        </w:tc>
        <w:tc>
          <w:tcPr>
            <w:tcW w:w="1865"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60,0</w:t>
            </w:r>
            <w:r>
              <w:rPr>
                <w:rFonts w:ascii="Times New Roman" w:hAnsi="Times New Roman" w:cs="Times New Roman"/>
                <w:sz w:val="28"/>
                <w:szCs w:val="28"/>
              </w:rPr>
              <w:t>±14,36</w:t>
            </w:r>
          </w:p>
        </w:tc>
      </w:tr>
      <w:tr w:rsidR="00095916" w:rsidRPr="0057310B" w:rsidTr="001F0C51">
        <w:trPr>
          <w:trHeight w:val="552"/>
        </w:trPr>
        <w:tc>
          <w:tcPr>
            <w:tcW w:w="1989" w:type="dxa"/>
          </w:tcPr>
          <w:p w:rsidR="00095916" w:rsidRPr="0057310B" w:rsidRDefault="00095916" w:rsidP="001F0C51">
            <w:pPr>
              <w:rPr>
                <w:rFonts w:ascii="Times New Roman" w:hAnsi="Times New Roman"/>
                <w:b/>
                <w:sz w:val="28"/>
                <w:szCs w:val="28"/>
              </w:rPr>
            </w:pPr>
            <w:r w:rsidRPr="0057310B">
              <w:rPr>
                <w:rFonts w:ascii="Times New Roman" w:hAnsi="Times New Roman"/>
                <w:b/>
                <w:sz w:val="28"/>
                <w:szCs w:val="28"/>
              </w:rPr>
              <w:t xml:space="preserve">Контроль, </w:t>
            </w:r>
            <w:r w:rsidRPr="0057310B">
              <w:rPr>
                <w:rFonts w:ascii="Times New Roman" w:hAnsi="Times New Roman" w:cs="Times New Roman"/>
                <w:b/>
                <w:sz w:val="28"/>
                <w:szCs w:val="28"/>
              </w:rPr>
              <w:t>n=30</w:t>
            </w:r>
          </w:p>
        </w:tc>
        <w:tc>
          <w:tcPr>
            <w:tcW w:w="1808" w:type="dxa"/>
          </w:tcPr>
          <w:p w:rsidR="00095916" w:rsidRPr="00FB6A55" w:rsidRDefault="00095916" w:rsidP="001F0C51">
            <w:pPr>
              <w:jc w:val="center"/>
              <w:rPr>
                <w:rFonts w:ascii="Times New Roman" w:hAnsi="Times New Roman"/>
                <w:sz w:val="28"/>
                <w:szCs w:val="28"/>
              </w:rPr>
            </w:pPr>
            <w:r>
              <w:rPr>
                <w:rFonts w:ascii="Times New Roman" w:hAnsi="Times New Roman"/>
                <w:sz w:val="28"/>
                <w:szCs w:val="28"/>
              </w:rPr>
              <w:t>30,84</w:t>
            </w:r>
            <w:r>
              <w:rPr>
                <w:rFonts w:ascii="Times New Roman" w:hAnsi="Times New Roman" w:cs="Times New Roman"/>
                <w:sz w:val="28"/>
                <w:szCs w:val="28"/>
              </w:rPr>
              <w:t>±</w:t>
            </w:r>
            <w:r>
              <w:rPr>
                <w:rFonts w:ascii="Times New Roman" w:hAnsi="Times New Roman"/>
                <w:sz w:val="28"/>
                <w:szCs w:val="28"/>
              </w:rPr>
              <w:t>6,51</w:t>
            </w:r>
          </w:p>
        </w:tc>
        <w:tc>
          <w:tcPr>
            <w:tcW w:w="1770" w:type="dxa"/>
          </w:tcPr>
          <w:p w:rsidR="00095916" w:rsidRPr="00FB6A55" w:rsidRDefault="00095916" w:rsidP="001F0C51">
            <w:pPr>
              <w:jc w:val="center"/>
              <w:rPr>
                <w:rFonts w:ascii="Times New Roman" w:hAnsi="Times New Roman"/>
                <w:sz w:val="28"/>
                <w:szCs w:val="28"/>
              </w:rPr>
            </w:pPr>
            <w:r>
              <w:rPr>
                <w:rFonts w:ascii="Times New Roman" w:hAnsi="Times New Roman"/>
                <w:sz w:val="28"/>
                <w:szCs w:val="28"/>
              </w:rPr>
              <w:t>119,38</w:t>
            </w:r>
            <w:r>
              <w:rPr>
                <w:rFonts w:ascii="Times New Roman" w:hAnsi="Times New Roman" w:cs="Times New Roman"/>
                <w:sz w:val="28"/>
                <w:szCs w:val="28"/>
              </w:rPr>
              <w:t>±</w:t>
            </w:r>
            <w:r>
              <w:rPr>
                <w:rFonts w:ascii="Times New Roman" w:hAnsi="Times New Roman"/>
                <w:sz w:val="28"/>
                <w:szCs w:val="28"/>
              </w:rPr>
              <w:t>13,21</w:t>
            </w:r>
          </w:p>
        </w:tc>
        <w:tc>
          <w:tcPr>
            <w:tcW w:w="2202" w:type="dxa"/>
          </w:tcPr>
          <w:p w:rsidR="00095916" w:rsidRPr="00FB6A55" w:rsidRDefault="00095916" w:rsidP="001F0C51">
            <w:pPr>
              <w:jc w:val="center"/>
              <w:rPr>
                <w:rFonts w:ascii="Times New Roman" w:hAnsi="Times New Roman"/>
                <w:sz w:val="28"/>
                <w:szCs w:val="28"/>
              </w:rPr>
            </w:pPr>
            <w:r>
              <w:rPr>
                <w:rFonts w:ascii="Times New Roman" w:hAnsi="Times New Roman"/>
                <w:sz w:val="28"/>
                <w:szCs w:val="28"/>
              </w:rPr>
              <w:t>115,11</w:t>
            </w:r>
            <w:r>
              <w:rPr>
                <w:rFonts w:ascii="Times New Roman" w:hAnsi="Times New Roman" w:cs="Times New Roman"/>
                <w:sz w:val="28"/>
                <w:szCs w:val="28"/>
              </w:rPr>
              <w:t>±</w:t>
            </w:r>
            <w:r>
              <w:rPr>
                <w:rFonts w:ascii="Times New Roman" w:hAnsi="Times New Roman"/>
                <w:sz w:val="28"/>
                <w:szCs w:val="28"/>
              </w:rPr>
              <w:t>36,03</w:t>
            </w:r>
          </w:p>
        </w:tc>
        <w:tc>
          <w:tcPr>
            <w:tcW w:w="1865" w:type="dxa"/>
          </w:tcPr>
          <w:p w:rsidR="00095916" w:rsidRPr="00FB6A55" w:rsidRDefault="00095916" w:rsidP="001F0C51">
            <w:pPr>
              <w:jc w:val="center"/>
              <w:rPr>
                <w:rFonts w:ascii="Times New Roman" w:hAnsi="Times New Roman"/>
                <w:sz w:val="28"/>
                <w:szCs w:val="28"/>
              </w:rPr>
            </w:pPr>
            <w:r>
              <w:rPr>
                <w:rFonts w:ascii="Times New Roman" w:hAnsi="Times New Roman"/>
                <w:sz w:val="28"/>
                <w:szCs w:val="28"/>
              </w:rPr>
              <w:t>85,52</w:t>
            </w:r>
            <w:r>
              <w:rPr>
                <w:rFonts w:ascii="Times New Roman" w:hAnsi="Times New Roman" w:cs="Times New Roman"/>
                <w:sz w:val="28"/>
                <w:szCs w:val="28"/>
              </w:rPr>
              <w:t>±</w:t>
            </w:r>
            <w:r>
              <w:rPr>
                <w:rFonts w:ascii="Times New Roman" w:hAnsi="Times New Roman"/>
                <w:sz w:val="28"/>
                <w:szCs w:val="28"/>
              </w:rPr>
              <w:t>11,34</w:t>
            </w:r>
          </w:p>
        </w:tc>
      </w:tr>
      <w:tr w:rsidR="00095916" w:rsidRPr="0057310B" w:rsidTr="001F0C51">
        <w:tc>
          <w:tcPr>
            <w:tcW w:w="1989" w:type="dxa"/>
          </w:tcPr>
          <w:p w:rsidR="00095916" w:rsidRPr="0057310B" w:rsidRDefault="00095916" w:rsidP="001F0C51">
            <w:pPr>
              <w:jc w:val="center"/>
              <w:rPr>
                <w:rFonts w:ascii="Times New Roman" w:hAnsi="Times New Roman"/>
                <w:b/>
                <w:i/>
                <w:sz w:val="28"/>
                <w:szCs w:val="28"/>
                <w:vertAlign w:val="subscript"/>
              </w:rPr>
            </w:pPr>
            <w:r w:rsidRPr="0057310B">
              <w:rPr>
                <w:rFonts w:ascii="Times New Roman" w:hAnsi="Times New Roman"/>
                <w:b/>
                <w:i/>
                <w:sz w:val="28"/>
                <w:szCs w:val="28"/>
              </w:rPr>
              <w:t>р</w:t>
            </w:r>
            <w:r w:rsidRPr="0057310B">
              <w:rPr>
                <w:rFonts w:ascii="Times New Roman" w:hAnsi="Times New Roman"/>
                <w:b/>
                <w:i/>
                <w:sz w:val="28"/>
                <w:szCs w:val="28"/>
                <w:vertAlign w:val="subscript"/>
              </w:rPr>
              <w:t>1,2</w:t>
            </w:r>
          </w:p>
        </w:tc>
        <w:tc>
          <w:tcPr>
            <w:tcW w:w="1808" w:type="dxa"/>
          </w:tcPr>
          <w:p w:rsidR="00095916" w:rsidRPr="00F0773E"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65" w:type="dxa"/>
          </w:tcPr>
          <w:p w:rsidR="00095916" w:rsidRDefault="00095916" w:rsidP="001F0C51">
            <w:pPr>
              <w:jc w:val="center"/>
            </w:pPr>
            <w:r w:rsidRPr="00D4177D">
              <w:rPr>
                <w:rFonts w:ascii="Times New Roman" w:hAnsi="Times New Roman"/>
                <w:sz w:val="28"/>
                <w:szCs w:val="28"/>
                <w:lang w:val="en-US"/>
              </w:rPr>
              <w:t>&lt;</w:t>
            </w:r>
            <w:r w:rsidRPr="00D4177D">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1,3</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0,125</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0,993</w:t>
            </w:r>
          </w:p>
        </w:tc>
        <w:tc>
          <w:tcPr>
            <w:tcW w:w="1865" w:type="dxa"/>
          </w:tcPr>
          <w:p w:rsidR="00095916" w:rsidRDefault="00095916" w:rsidP="001F0C51">
            <w:pPr>
              <w:jc w:val="center"/>
            </w:pPr>
            <w:r w:rsidRPr="00D4177D">
              <w:rPr>
                <w:rFonts w:ascii="Times New Roman" w:hAnsi="Times New Roman"/>
                <w:sz w:val="28"/>
                <w:szCs w:val="28"/>
                <w:lang w:val="en-US"/>
              </w:rPr>
              <w:t>&lt;</w:t>
            </w:r>
            <w:r w:rsidRPr="00D4177D">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1,4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0,020</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65" w:type="dxa"/>
          </w:tcPr>
          <w:p w:rsidR="00095916" w:rsidRDefault="00095916" w:rsidP="001F0C51">
            <w:pPr>
              <w:jc w:val="center"/>
            </w:pPr>
            <w:r w:rsidRPr="00D4177D">
              <w:rPr>
                <w:rFonts w:ascii="Times New Roman" w:hAnsi="Times New Roman"/>
                <w:sz w:val="28"/>
                <w:szCs w:val="28"/>
                <w:lang w:val="en-US"/>
              </w:rPr>
              <w:t>&lt;</w:t>
            </w:r>
            <w:r w:rsidRPr="00D4177D">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2,3</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0,022</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0,109</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65" w:type="dxa"/>
          </w:tcPr>
          <w:p w:rsidR="00095916" w:rsidRDefault="00095916" w:rsidP="001F0C51">
            <w:pPr>
              <w:jc w:val="center"/>
            </w:pPr>
            <w:r w:rsidRPr="00D4177D">
              <w:rPr>
                <w:rFonts w:ascii="Times New Roman" w:hAnsi="Times New Roman"/>
                <w:sz w:val="28"/>
                <w:szCs w:val="28"/>
                <w:lang w:val="en-US"/>
              </w:rPr>
              <w:t>&lt;</w:t>
            </w:r>
            <w:r w:rsidRPr="00D4177D">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2,4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0,292</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65" w:type="dxa"/>
          </w:tcPr>
          <w:p w:rsidR="00095916" w:rsidRDefault="00095916" w:rsidP="001F0C51">
            <w:pPr>
              <w:jc w:val="center"/>
            </w:pPr>
            <w:r w:rsidRPr="00D4177D">
              <w:rPr>
                <w:rFonts w:ascii="Times New Roman" w:hAnsi="Times New Roman"/>
                <w:sz w:val="28"/>
                <w:szCs w:val="28"/>
                <w:lang w:val="en-US"/>
              </w:rPr>
              <w:t>&lt;</w:t>
            </w:r>
            <w:r w:rsidRPr="00D4177D">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3,4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0,442</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65" w:type="dxa"/>
          </w:tcPr>
          <w:p w:rsidR="00095916" w:rsidRDefault="00095916" w:rsidP="001F0C51">
            <w:pPr>
              <w:jc w:val="center"/>
            </w:pPr>
            <w:r w:rsidRPr="00D4177D">
              <w:rPr>
                <w:rFonts w:ascii="Times New Roman" w:hAnsi="Times New Roman"/>
                <w:sz w:val="28"/>
                <w:szCs w:val="28"/>
                <w:lang w:val="en-US"/>
              </w:rPr>
              <w:t>&lt;</w:t>
            </w:r>
            <w:r w:rsidRPr="00D4177D">
              <w:rPr>
                <w:rFonts w:ascii="Times New Roman" w:hAnsi="Times New Roman"/>
                <w:sz w:val="28"/>
                <w:szCs w:val="28"/>
              </w:rPr>
              <w:t>0,001</w:t>
            </w:r>
          </w:p>
        </w:tc>
      </w:tr>
    </w:tbl>
    <w:p w:rsidR="00095916" w:rsidRDefault="00095916" w:rsidP="00095916">
      <w:pPr>
        <w:autoSpaceDE w:val="0"/>
        <w:autoSpaceDN w:val="0"/>
        <w:adjustRightInd w:val="0"/>
        <w:spacing w:after="0" w:line="240" w:lineRule="auto"/>
        <w:rPr>
          <w:rFonts w:ascii="Times New Roman" w:hAnsi="Times New Roman"/>
          <w:sz w:val="28"/>
          <w:szCs w:val="28"/>
        </w:rPr>
      </w:pPr>
    </w:p>
    <w:p w:rsidR="00095916" w:rsidRPr="0057310B" w:rsidRDefault="00095916" w:rsidP="00095916">
      <w:pPr>
        <w:autoSpaceDE w:val="0"/>
        <w:autoSpaceDN w:val="0"/>
        <w:adjustRightInd w:val="0"/>
        <w:spacing w:after="0" w:line="240" w:lineRule="auto"/>
        <w:rPr>
          <w:rFonts w:ascii="Times New Roman" w:hAnsi="Times New Roman" w:cs="Times New Roman"/>
          <w:sz w:val="24"/>
          <w:szCs w:val="24"/>
        </w:rPr>
      </w:pPr>
    </w:p>
    <w:p w:rsidR="00095916" w:rsidRPr="0057310B" w:rsidRDefault="00095916" w:rsidP="00095916">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8"/>
          <w:szCs w:val="28"/>
        </w:rPr>
        <w:t>Так, за нашими даними, найвища середня інтенсивність сигналу на КТ-зображеннях екскреторної фази спостерігалась у контрольній групі (</w:t>
      </w:r>
      <w:r>
        <w:rPr>
          <w:rFonts w:ascii="Times New Roman" w:hAnsi="Times New Roman"/>
          <w:sz w:val="28"/>
          <w:szCs w:val="28"/>
        </w:rPr>
        <w:t>85,52</w:t>
      </w:r>
      <w:r>
        <w:rPr>
          <w:rFonts w:ascii="Times New Roman" w:hAnsi="Times New Roman" w:cs="Times New Roman"/>
          <w:sz w:val="28"/>
          <w:szCs w:val="28"/>
        </w:rPr>
        <w:t>±</w:t>
      </w:r>
      <w:r>
        <w:rPr>
          <w:rFonts w:ascii="Times New Roman" w:hAnsi="Times New Roman"/>
          <w:sz w:val="28"/>
          <w:szCs w:val="28"/>
        </w:rPr>
        <w:t xml:space="preserve">11,34 </w:t>
      </w:r>
      <w:r>
        <w:rPr>
          <w:rFonts w:ascii="Times New Roman" w:hAnsi="Times New Roman"/>
          <w:sz w:val="28"/>
          <w:szCs w:val="28"/>
          <w:lang w:val="en-US"/>
        </w:rPr>
        <w:t>HU</w:t>
      </w:r>
      <w:r>
        <w:rPr>
          <w:rFonts w:ascii="Times New Roman" w:hAnsi="Times New Roman"/>
          <w:sz w:val="28"/>
          <w:szCs w:val="28"/>
        </w:rPr>
        <w:t>), а найнижча – у групі із ПКК ниркової миски (37,33</w:t>
      </w:r>
      <w:r>
        <w:rPr>
          <w:rFonts w:ascii="Times New Roman" w:hAnsi="Times New Roman" w:cs="Times New Roman"/>
          <w:sz w:val="28"/>
          <w:szCs w:val="28"/>
        </w:rPr>
        <w:t xml:space="preserve">±5,75 </w:t>
      </w:r>
      <w:r>
        <w:rPr>
          <w:rFonts w:ascii="Times New Roman" w:hAnsi="Times New Roman" w:cs="Times New Roman"/>
          <w:sz w:val="28"/>
          <w:szCs w:val="28"/>
          <w:lang w:val="en-US"/>
        </w:rPr>
        <w:t>HU</w:t>
      </w:r>
      <w:r>
        <w:rPr>
          <w:rFonts w:ascii="Times New Roman" w:hAnsi="Times New Roman" w:cs="Times New Roman"/>
          <w:sz w:val="28"/>
          <w:szCs w:val="28"/>
        </w:rPr>
        <w:t>), різниця між ними складала р</w:t>
      </w:r>
      <w:r w:rsidRPr="009E6C7E">
        <w:rPr>
          <w:rFonts w:ascii="Times New Roman" w:hAnsi="Times New Roman"/>
          <w:sz w:val="28"/>
          <w:szCs w:val="28"/>
          <w:lang w:val="ru-RU"/>
        </w:rPr>
        <w:t>&lt;</w:t>
      </w:r>
      <w:r w:rsidRPr="00D4177D">
        <w:rPr>
          <w:rFonts w:ascii="Times New Roman" w:hAnsi="Times New Roman"/>
          <w:sz w:val="28"/>
          <w:szCs w:val="28"/>
        </w:rPr>
        <w:t>0,001</w:t>
      </w:r>
      <w:r>
        <w:rPr>
          <w:rFonts w:ascii="Times New Roman" w:hAnsi="Times New Roman"/>
          <w:sz w:val="28"/>
          <w:szCs w:val="28"/>
        </w:rPr>
        <w:t xml:space="preserve">. Середнє значення променевої </w:t>
      </w:r>
      <w:r>
        <w:rPr>
          <w:rFonts w:ascii="Times New Roman" w:hAnsi="Times New Roman"/>
          <w:sz w:val="28"/>
          <w:szCs w:val="28"/>
        </w:rPr>
        <w:lastRenderedPageBreak/>
        <w:t>щільності НКР становило 71,69</w:t>
      </w:r>
      <w:r>
        <w:rPr>
          <w:rFonts w:ascii="Times New Roman" w:hAnsi="Times New Roman" w:cs="Times New Roman"/>
          <w:sz w:val="28"/>
          <w:szCs w:val="28"/>
        </w:rPr>
        <w:t xml:space="preserve">±10,26 </w:t>
      </w:r>
      <w:r>
        <w:rPr>
          <w:rFonts w:ascii="Times New Roman" w:hAnsi="Times New Roman" w:cs="Times New Roman"/>
          <w:sz w:val="28"/>
          <w:szCs w:val="28"/>
          <w:lang w:val="en-US"/>
        </w:rPr>
        <w:t>HU</w:t>
      </w:r>
      <w:r>
        <w:rPr>
          <w:rFonts w:ascii="Times New Roman" w:hAnsi="Times New Roman" w:cs="Times New Roman"/>
          <w:sz w:val="28"/>
          <w:szCs w:val="28"/>
        </w:rPr>
        <w:t xml:space="preserve"> і також статистично достовірно відрізнялось від інших груп (р</w:t>
      </w:r>
      <w:r w:rsidRPr="009E6C7E">
        <w:rPr>
          <w:rFonts w:ascii="Times New Roman" w:hAnsi="Times New Roman"/>
          <w:sz w:val="28"/>
          <w:szCs w:val="28"/>
          <w:lang w:val="ru-RU"/>
        </w:rPr>
        <w:t>&lt;</w:t>
      </w:r>
      <w:r w:rsidRPr="00D4177D">
        <w:rPr>
          <w:rFonts w:ascii="Times New Roman" w:hAnsi="Times New Roman"/>
          <w:sz w:val="28"/>
          <w:szCs w:val="28"/>
        </w:rPr>
        <w:t>0,001</w:t>
      </w:r>
      <w:r>
        <w:rPr>
          <w:rFonts w:ascii="Times New Roman" w:hAnsi="Times New Roman"/>
          <w:sz w:val="28"/>
          <w:szCs w:val="28"/>
        </w:rPr>
        <w:t>). У групі із доброякісними пухлинами нирок даний показник складав 60,0</w:t>
      </w:r>
      <w:r>
        <w:rPr>
          <w:rFonts w:ascii="Times New Roman" w:hAnsi="Times New Roman" w:cs="Times New Roman"/>
          <w:sz w:val="28"/>
          <w:szCs w:val="28"/>
        </w:rPr>
        <w:t xml:space="preserve">±14,36 </w:t>
      </w:r>
      <w:r>
        <w:rPr>
          <w:rFonts w:ascii="Times New Roman" w:hAnsi="Times New Roman" w:cs="Times New Roman"/>
          <w:sz w:val="28"/>
          <w:szCs w:val="28"/>
          <w:lang w:val="en-US"/>
        </w:rPr>
        <w:t>HU</w:t>
      </w:r>
      <w:r>
        <w:rPr>
          <w:rFonts w:ascii="Times New Roman" w:hAnsi="Times New Roman" w:cs="Times New Roman"/>
          <w:sz w:val="28"/>
          <w:szCs w:val="28"/>
        </w:rPr>
        <w:t>, а різниця його між іншими групами була р</w:t>
      </w:r>
      <w:r w:rsidRPr="009E6C7E">
        <w:rPr>
          <w:rFonts w:ascii="Times New Roman" w:hAnsi="Times New Roman"/>
          <w:sz w:val="28"/>
          <w:szCs w:val="28"/>
          <w:lang w:val="ru-RU"/>
        </w:rPr>
        <w:t>&lt;</w:t>
      </w:r>
      <w:r w:rsidRPr="00D4177D">
        <w:rPr>
          <w:rFonts w:ascii="Times New Roman" w:hAnsi="Times New Roman"/>
          <w:sz w:val="28"/>
          <w:szCs w:val="28"/>
        </w:rPr>
        <w:t>0,001</w:t>
      </w:r>
      <w:r>
        <w:rPr>
          <w:rFonts w:ascii="Times New Roman" w:hAnsi="Times New Roman"/>
          <w:sz w:val="28"/>
          <w:szCs w:val="28"/>
        </w:rPr>
        <w:t xml:space="preserve">. Зображення кортико медулярної фази та нефрографічної фаз також добре характеризували різні групи, проте, в першому випадку не було суттєвої різниці у середніх значеннях інтенсивності сигналу між ПКК ниркової миски та доброякісними пухлинами нирки (р=0,109), а в другому – такої різниці не було між НКР та доброякісними пухлинами (р=0,993), що також перегукувалось із результатами при вивченні </w:t>
      </w:r>
      <w:r>
        <w:rPr>
          <w:rFonts w:ascii="Times New Roman" w:hAnsi="Times New Roman"/>
          <w:sz w:val="28"/>
          <w:szCs w:val="28"/>
          <w:lang w:val="en-US"/>
        </w:rPr>
        <w:t>SRM</w:t>
      </w:r>
      <w:r w:rsidRPr="009E6C7E">
        <w:rPr>
          <w:rFonts w:ascii="Times New Roman" w:hAnsi="Times New Roman"/>
          <w:sz w:val="28"/>
          <w:szCs w:val="28"/>
        </w:rPr>
        <w:t>.</w:t>
      </w:r>
    </w:p>
    <w:p w:rsidR="00095916" w:rsidRPr="00AD1F8B" w:rsidRDefault="00095916" w:rsidP="00095916">
      <w:pPr>
        <w:spacing w:line="360" w:lineRule="auto"/>
        <w:contextualSpacing/>
        <w:jc w:val="both"/>
        <w:rPr>
          <w:rFonts w:ascii="Times New Roman" w:hAnsi="Times New Roman" w:cs="Times New Roman"/>
          <w:sz w:val="28"/>
          <w:szCs w:val="28"/>
        </w:rPr>
      </w:pPr>
      <w:r>
        <w:rPr>
          <w:rFonts w:ascii="Times New Roman" w:hAnsi="Times New Roman" w:cs="Times New Roman"/>
          <w:b/>
          <w:sz w:val="28"/>
          <w:szCs w:val="28"/>
        </w:rPr>
        <w:tab/>
      </w:r>
      <w:r w:rsidRPr="009D6986">
        <w:rPr>
          <w:rFonts w:ascii="Times New Roman" w:hAnsi="Times New Roman"/>
          <w:sz w:val="28"/>
          <w:szCs w:val="28"/>
        </w:rPr>
        <w:t xml:space="preserve">Далі нами було проаналізовані показники </w:t>
      </w:r>
      <w:r>
        <w:rPr>
          <w:rFonts w:ascii="Times New Roman" w:hAnsi="Times New Roman"/>
          <w:sz w:val="28"/>
          <w:szCs w:val="28"/>
        </w:rPr>
        <w:t>відношення променевої щільності</w:t>
      </w:r>
      <w:r w:rsidRPr="009D6986">
        <w:rPr>
          <w:rFonts w:ascii="Times New Roman" w:hAnsi="Times New Roman"/>
          <w:sz w:val="28"/>
          <w:szCs w:val="28"/>
        </w:rPr>
        <w:t xml:space="preserve"> пухлини до нормальної ниркової паренхіми отримані з КТ-зображень </w:t>
      </w:r>
      <w:r>
        <w:rPr>
          <w:rFonts w:ascii="Times New Roman" w:hAnsi="Times New Roman"/>
          <w:sz w:val="28"/>
          <w:szCs w:val="28"/>
        </w:rPr>
        <w:t>усіх фаз почергово. Ми спостерігали значні відмінності у середніх значеннях даного показника в різних групах хворих. Проте, як і у випадку із інтенсивністю сигналу, єдиною фазою КТ, коли була отримана статистично достовірна різниця між всіма групами хворих залишилась екскреторна. При цьому, серед усіх пухлин нирок, найвищі середні значення ВПЩ були зареєстровані в групі  з НКР (0,85</w:t>
      </w:r>
      <w:r>
        <w:rPr>
          <w:rFonts w:ascii="Times New Roman" w:hAnsi="Times New Roman" w:cs="Times New Roman"/>
          <w:sz w:val="28"/>
          <w:szCs w:val="28"/>
        </w:rPr>
        <w:t>±0,19), посередні при доброякісних новоутвореннях нирок (</w:t>
      </w:r>
      <w:r>
        <w:rPr>
          <w:rFonts w:ascii="Times New Roman" w:hAnsi="Times New Roman"/>
          <w:sz w:val="28"/>
          <w:szCs w:val="28"/>
        </w:rPr>
        <w:t>0,85</w:t>
      </w:r>
      <w:r>
        <w:rPr>
          <w:rFonts w:ascii="Times New Roman" w:hAnsi="Times New Roman" w:cs="Times New Roman"/>
          <w:sz w:val="28"/>
          <w:szCs w:val="28"/>
        </w:rPr>
        <w:t>±0,19) і найнижчі при ПКК ниркової миски (</w:t>
      </w:r>
      <w:r>
        <w:rPr>
          <w:rFonts w:ascii="Times New Roman" w:hAnsi="Times New Roman"/>
          <w:sz w:val="28"/>
          <w:szCs w:val="28"/>
        </w:rPr>
        <w:t>0,45</w:t>
      </w:r>
      <w:r>
        <w:rPr>
          <w:rFonts w:ascii="Times New Roman" w:hAnsi="Times New Roman" w:cs="Times New Roman"/>
          <w:sz w:val="28"/>
          <w:szCs w:val="28"/>
        </w:rPr>
        <w:t>±0,11), різниця між усіма групами, включно з контрольною, була статистично достовірною (р</w:t>
      </w:r>
      <w:r w:rsidRPr="009E6C7E">
        <w:rPr>
          <w:rFonts w:ascii="Times New Roman" w:hAnsi="Times New Roman"/>
          <w:sz w:val="28"/>
          <w:szCs w:val="28"/>
          <w:lang w:val="ru-RU"/>
        </w:rPr>
        <w:t>&lt;</w:t>
      </w:r>
      <w:r>
        <w:rPr>
          <w:rFonts w:ascii="Times New Roman" w:hAnsi="Times New Roman"/>
          <w:sz w:val="28"/>
          <w:szCs w:val="28"/>
        </w:rPr>
        <w:t>0,001 для всіх груп, крім НКР проти доброякісних пухлин нирок, де р=0,005). Водночас, відношення променевої щільності пухлини до нормальної ниркової паренхіми отримане з КТ-зображень кортико-медулярної та нефрографічної фаз також дозволяли характеризувати пухлини нирок, проте, між окремими групами ми не спостерігали суттєвих статистичних відмінностей</w:t>
      </w:r>
      <w:r>
        <w:rPr>
          <w:rFonts w:ascii="Times New Roman" w:hAnsi="Times New Roman" w:cs="Times New Roman"/>
          <w:sz w:val="28"/>
          <w:szCs w:val="28"/>
        </w:rPr>
        <w:t xml:space="preserve">. </w:t>
      </w:r>
      <w:r>
        <w:rPr>
          <w:rFonts w:ascii="Times New Roman" w:hAnsi="Times New Roman"/>
          <w:sz w:val="28"/>
          <w:szCs w:val="28"/>
        </w:rPr>
        <w:t>Середнє відношення променевої щільності злоякісних та</w:t>
      </w:r>
      <w:r w:rsidRPr="0057310B">
        <w:rPr>
          <w:rFonts w:ascii="Times New Roman" w:hAnsi="Times New Roman"/>
          <w:sz w:val="28"/>
          <w:szCs w:val="28"/>
        </w:rPr>
        <w:t xml:space="preserve"> доброякісних </w:t>
      </w:r>
      <w:r>
        <w:rPr>
          <w:rFonts w:ascii="Times New Roman" w:hAnsi="Times New Roman"/>
          <w:sz w:val="28"/>
          <w:szCs w:val="28"/>
        </w:rPr>
        <w:t>пухлин нирок</w:t>
      </w:r>
      <w:r w:rsidRPr="0057310B">
        <w:rPr>
          <w:rFonts w:ascii="Times New Roman" w:hAnsi="Times New Roman"/>
          <w:sz w:val="28"/>
          <w:szCs w:val="28"/>
        </w:rPr>
        <w:t xml:space="preserve"> </w:t>
      </w:r>
      <w:r>
        <w:rPr>
          <w:rFonts w:ascii="Times New Roman" w:hAnsi="Times New Roman"/>
          <w:sz w:val="28"/>
          <w:szCs w:val="28"/>
        </w:rPr>
        <w:t>до</w:t>
      </w:r>
      <w:r w:rsidRPr="0057310B">
        <w:rPr>
          <w:rFonts w:ascii="Times New Roman" w:hAnsi="Times New Roman"/>
          <w:sz w:val="28"/>
          <w:szCs w:val="28"/>
        </w:rPr>
        <w:t xml:space="preserve"> нормальної ниркової паренхіми на зображеннях фаз КТ</w:t>
      </w:r>
      <w:r>
        <w:rPr>
          <w:rFonts w:ascii="Times New Roman" w:hAnsi="Times New Roman"/>
          <w:sz w:val="28"/>
          <w:szCs w:val="28"/>
        </w:rPr>
        <w:t xml:space="preserve">, відображено у </w:t>
      </w:r>
      <w:r w:rsidR="00293044">
        <w:rPr>
          <w:rFonts w:ascii="Times New Roman" w:hAnsi="Times New Roman" w:cs="Times New Roman"/>
          <w:sz w:val="28"/>
          <w:szCs w:val="28"/>
        </w:rPr>
        <w:t>таблиці 3.21</w:t>
      </w:r>
      <w:r>
        <w:rPr>
          <w:rFonts w:ascii="Times New Roman" w:hAnsi="Times New Roman" w:cs="Times New Roman"/>
          <w:sz w:val="28"/>
          <w:szCs w:val="28"/>
        </w:rPr>
        <w:t>.</w:t>
      </w:r>
    </w:p>
    <w:p w:rsidR="00095916" w:rsidRDefault="00095916" w:rsidP="00095916">
      <w:pPr>
        <w:spacing w:line="360" w:lineRule="auto"/>
        <w:contextualSpacing/>
        <w:jc w:val="both"/>
        <w:rPr>
          <w:rFonts w:ascii="Times New Roman" w:hAnsi="Times New Roman" w:cs="Times New Roman"/>
          <w:sz w:val="28"/>
          <w:szCs w:val="28"/>
        </w:rPr>
      </w:pPr>
    </w:p>
    <w:p w:rsidR="003E1DFE" w:rsidRPr="00FC5277" w:rsidRDefault="003E1DFE" w:rsidP="00095916">
      <w:pPr>
        <w:spacing w:line="360" w:lineRule="auto"/>
        <w:contextualSpacing/>
        <w:jc w:val="both"/>
        <w:rPr>
          <w:rFonts w:ascii="Times New Roman" w:hAnsi="Times New Roman" w:cs="Times New Roman"/>
          <w:b/>
          <w:sz w:val="28"/>
          <w:szCs w:val="28"/>
        </w:rPr>
      </w:pPr>
    </w:p>
    <w:p w:rsidR="00095916" w:rsidRPr="0057310B" w:rsidRDefault="00095916" w:rsidP="00095916">
      <w:pPr>
        <w:spacing w:line="360" w:lineRule="auto"/>
        <w:jc w:val="right"/>
        <w:rPr>
          <w:rFonts w:ascii="Times New Roman" w:hAnsi="Times New Roman"/>
          <w:sz w:val="28"/>
          <w:szCs w:val="28"/>
        </w:rPr>
      </w:pPr>
      <w:r w:rsidRPr="0057310B">
        <w:rPr>
          <w:rFonts w:ascii="Times New Roman" w:hAnsi="Times New Roman"/>
          <w:sz w:val="28"/>
          <w:szCs w:val="28"/>
        </w:rPr>
        <w:lastRenderedPageBreak/>
        <w:t>Таблиця</w:t>
      </w:r>
      <w:r w:rsidR="00293044">
        <w:rPr>
          <w:rFonts w:ascii="Times New Roman" w:hAnsi="Times New Roman"/>
          <w:sz w:val="28"/>
          <w:szCs w:val="28"/>
        </w:rPr>
        <w:t xml:space="preserve"> 3.21</w:t>
      </w:r>
    </w:p>
    <w:p w:rsidR="00095916" w:rsidRPr="0057310B" w:rsidRDefault="00095916" w:rsidP="00095916">
      <w:pPr>
        <w:spacing w:line="360" w:lineRule="auto"/>
        <w:jc w:val="center"/>
        <w:rPr>
          <w:rFonts w:ascii="Times New Roman" w:hAnsi="Times New Roman"/>
          <w:sz w:val="28"/>
          <w:szCs w:val="28"/>
        </w:rPr>
      </w:pPr>
      <w:r>
        <w:rPr>
          <w:rFonts w:ascii="Times New Roman" w:hAnsi="Times New Roman"/>
          <w:sz w:val="28"/>
          <w:szCs w:val="28"/>
        </w:rPr>
        <w:t>Середнє відношення променевої щільності злоякісних та</w:t>
      </w:r>
      <w:r w:rsidRPr="0057310B">
        <w:rPr>
          <w:rFonts w:ascii="Times New Roman" w:hAnsi="Times New Roman"/>
          <w:sz w:val="28"/>
          <w:szCs w:val="28"/>
        </w:rPr>
        <w:t xml:space="preserve"> доброякісних </w:t>
      </w:r>
      <w:r>
        <w:rPr>
          <w:rFonts w:ascii="Times New Roman" w:hAnsi="Times New Roman"/>
          <w:sz w:val="28"/>
          <w:szCs w:val="28"/>
        </w:rPr>
        <w:t>солідних пухлин нирок</w:t>
      </w:r>
      <w:r w:rsidRPr="0057310B">
        <w:rPr>
          <w:rFonts w:ascii="Times New Roman" w:hAnsi="Times New Roman"/>
          <w:sz w:val="28"/>
          <w:szCs w:val="28"/>
        </w:rPr>
        <w:t xml:space="preserve"> </w:t>
      </w:r>
      <w:r>
        <w:rPr>
          <w:rFonts w:ascii="Times New Roman" w:hAnsi="Times New Roman"/>
          <w:sz w:val="28"/>
          <w:szCs w:val="28"/>
        </w:rPr>
        <w:t>до</w:t>
      </w:r>
      <w:r w:rsidRPr="0057310B">
        <w:rPr>
          <w:rFonts w:ascii="Times New Roman" w:hAnsi="Times New Roman"/>
          <w:sz w:val="28"/>
          <w:szCs w:val="28"/>
        </w:rPr>
        <w:t xml:space="preserve"> нормальної ниркової паренхіми на зображеннях фаз КТ</w:t>
      </w:r>
    </w:p>
    <w:tbl>
      <w:tblPr>
        <w:tblStyle w:val="TableGrid"/>
        <w:tblW w:w="9634" w:type="dxa"/>
        <w:tblLook w:val="04A0" w:firstRow="1" w:lastRow="0" w:firstColumn="1" w:lastColumn="0" w:noHBand="0" w:noVBand="1"/>
      </w:tblPr>
      <w:tblGrid>
        <w:gridCol w:w="1989"/>
        <w:gridCol w:w="1808"/>
        <w:gridCol w:w="1770"/>
        <w:gridCol w:w="2202"/>
        <w:gridCol w:w="1865"/>
      </w:tblGrid>
      <w:tr w:rsidR="00095916" w:rsidRPr="0057310B" w:rsidTr="001F0C51">
        <w:trPr>
          <w:trHeight w:val="322"/>
        </w:trPr>
        <w:tc>
          <w:tcPr>
            <w:tcW w:w="1989" w:type="dxa"/>
            <w:vMerge w:val="restart"/>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Група</w:t>
            </w:r>
          </w:p>
        </w:tc>
        <w:tc>
          <w:tcPr>
            <w:tcW w:w="7645" w:type="dxa"/>
            <w:gridSpan w:val="4"/>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Фаза КТ</w:t>
            </w:r>
          </w:p>
        </w:tc>
      </w:tr>
      <w:tr w:rsidR="00095916" w:rsidRPr="0057310B" w:rsidTr="001F0C51">
        <w:trPr>
          <w:trHeight w:val="654"/>
        </w:trPr>
        <w:tc>
          <w:tcPr>
            <w:tcW w:w="1989" w:type="dxa"/>
            <w:vMerge/>
            <w:tcBorders>
              <w:bottom w:val="single" w:sz="4" w:space="0" w:color="auto"/>
            </w:tcBorders>
          </w:tcPr>
          <w:p w:rsidR="00095916" w:rsidRPr="0057310B" w:rsidRDefault="00095916" w:rsidP="001F0C51">
            <w:pPr>
              <w:jc w:val="center"/>
              <w:rPr>
                <w:rFonts w:ascii="Times New Roman" w:hAnsi="Times New Roman"/>
                <w:b/>
                <w:sz w:val="28"/>
                <w:szCs w:val="28"/>
              </w:rPr>
            </w:pPr>
          </w:p>
        </w:tc>
        <w:tc>
          <w:tcPr>
            <w:tcW w:w="1808" w:type="dxa"/>
            <w:tcBorders>
              <w:bottom w:val="single" w:sz="4" w:space="0" w:color="auto"/>
            </w:tcBorders>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Пре-контрастні зображення</w:t>
            </w:r>
          </w:p>
        </w:tc>
        <w:tc>
          <w:tcPr>
            <w:tcW w:w="1770" w:type="dxa"/>
            <w:tcBorders>
              <w:bottom w:val="single" w:sz="4" w:space="0" w:color="auto"/>
            </w:tcBorders>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Кортико-медулярна фаза</w:t>
            </w:r>
          </w:p>
        </w:tc>
        <w:tc>
          <w:tcPr>
            <w:tcW w:w="2202" w:type="dxa"/>
            <w:tcBorders>
              <w:bottom w:val="single" w:sz="4" w:space="0" w:color="auto"/>
            </w:tcBorders>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Нефрографічна фаза</w:t>
            </w:r>
          </w:p>
        </w:tc>
        <w:tc>
          <w:tcPr>
            <w:tcW w:w="1865" w:type="dxa"/>
            <w:tcBorders>
              <w:bottom w:val="single" w:sz="4" w:space="0" w:color="auto"/>
            </w:tcBorders>
          </w:tcPr>
          <w:p w:rsidR="00095916" w:rsidRPr="0057310B" w:rsidRDefault="00095916" w:rsidP="001F0C51">
            <w:pPr>
              <w:jc w:val="center"/>
              <w:rPr>
                <w:rFonts w:ascii="Times New Roman" w:hAnsi="Times New Roman"/>
                <w:b/>
                <w:sz w:val="28"/>
                <w:szCs w:val="28"/>
              </w:rPr>
            </w:pPr>
            <w:r w:rsidRPr="0057310B">
              <w:rPr>
                <w:rFonts w:ascii="Times New Roman" w:hAnsi="Times New Roman"/>
                <w:b/>
                <w:sz w:val="28"/>
                <w:szCs w:val="28"/>
              </w:rPr>
              <w:t>Екскреторна фаза</w:t>
            </w:r>
          </w:p>
        </w:tc>
      </w:tr>
      <w:tr w:rsidR="00095916" w:rsidRPr="0057310B" w:rsidTr="001F0C51">
        <w:trPr>
          <w:trHeight w:val="613"/>
        </w:trPr>
        <w:tc>
          <w:tcPr>
            <w:tcW w:w="1989" w:type="dxa"/>
          </w:tcPr>
          <w:p w:rsidR="00095916" w:rsidRPr="0057310B" w:rsidRDefault="00095916" w:rsidP="001F0C51">
            <w:pPr>
              <w:rPr>
                <w:rFonts w:ascii="Times New Roman" w:hAnsi="Times New Roman" w:cs="Times New Roman"/>
                <w:b/>
                <w:sz w:val="28"/>
                <w:szCs w:val="28"/>
              </w:rPr>
            </w:pPr>
            <w:r w:rsidRPr="0057310B">
              <w:rPr>
                <w:rFonts w:ascii="Times New Roman" w:hAnsi="Times New Roman"/>
                <w:b/>
                <w:sz w:val="28"/>
                <w:szCs w:val="28"/>
              </w:rPr>
              <w:t xml:space="preserve">НКР, </w:t>
            </w:r>
            <w:r>
              <w:rPr>
                <w:rFonts w:ascii="Times New Roman" w:hAnsi="Times New Roman" w:cs="Times New Roman"/>
                <w:b/>
                <w:sz w:val="28"/>
                <w:szCs w:val="28"/>
              </w:rPr>
              <w:t>n=84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1,38</w:t>
            </w:r>
            <w:r>
              <w:rPr>
                <w:rFonts w:ascii="Times New Roman" w:hAnsi="Times New Roman" w:cs="Times New Roman"/>
                <w:sz w:val="28"/>
                <w:szCs w:val="28"/>
              </w:rPr>
              <w:t>±</w:t>
            </w:r>
            <w:r>
              <w:rPr>
                <w:rFonts w:ascii="Times New Roman" w:hAnsi="Times New Roman"/>
                <w:sz w:val="28"/>
                <w:szCs w:val="28"/>
              </w:rPr>
              <w:t>0,51</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0,93</w:t>
            </w:r>
            <w:r>
              <w:rPr>
                <w:rFonts w:ascii="Times New Roman" w:hAnsi="Times New Roman" w:cs="Times New Roman"/>
                <w:sz w:val="28"/>
                <w:szCs w:val="28"/>
              </w:rPr>
              <w:t>±0,22</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0,77</w:t>
            </w:r>
            <w:r>
              <w:rPr>
                <w:rFonts w:ascii="Times New Roman" w:hAnsi="Times New Roman" w:cs="Times New Roman"/>
                <w:sz w:val="28"/>
                <w:szCs w:val="28"/>
              </w:rPr>
              <w:t>±0,29</w:t>
            </w:r>
          </w:p>
        </w:tc>
        <w:tc>
          <w:tcPr>
            <w:tcW w:w="1865"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0,85</w:t>
            </w:r>
            <w:r>
              <w:rPr>
                <w:rFonts w:ascii="Times New Roman" w:hAnsi="Times New Roman" w:cs="Times New Roman"/>
                <w:sz w:val="28"/>
                <w:szCs w:val="28"/>
              </w:rPr>
              <w:t>±0,19</w:t>
            </w:r>
          </w:p>
        </w:tc>
      </w:tr>
      <w:tr w:rsidR="00095916" w:rsidRPr="0057310B" w:rsidTr="001F0C51">
        <w:tc>
          <w:tcPr>
            <w:tcW w:w="1989" w:type="dxa"/>
          </w:tcPr>
          <w:p w:rsidR="00095916" w:rsidRPr="0057310B" w:rsidRDefault="00095916" w:rsidP="001F0C51">
            <w:pPr>
              <w:rPr>
                <w:rFonts w:ascii="Times New Roman" w:hAnsi="Times New Roman" w:cs="Times New Roman"/>
                <w:b/>
                <w:sz w:val="28"/>
                <w:szCs w:val="28"/>
              </w:rPr>
            </w:pPr>
            <w:r w:rsidRPr="0057310B">
              <w:rPr>
                <w:rFonts w:ascii="Times New Roman" w:hAnsi="Times New Roman"/>
                <w:b/>
                <w:sz w:val="28"/>
                <w:szCs w:val="28"/>
              </w:rPr>
              <w:t xml:space="preserve">ПКК ниркової миски, </w:t>
            </w:r>
            <w:r>
              <w:rPr>
                <w:rFonts w:ascii="Times New Roman" w:hAnsi="Times New Roman" w:cs="Times New Roman"/>
                <w:b/>
                <w:sz w:val="28"/>
                <w:szCs w:val="28"/>
              </w:rPr>
              <w:t>n=14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0,82</w:t>
            </w:r>
            <w:r>
              <w:rPr>
                <w:rFonts w:ascii="Times New Roman" w:hAnsi="Times New Roman" w:cs="Times New Roman"/>
                <w:sz w:val="28"/>
                <w:szCs w:val="28"/>
              </w:rPr>
              <w:t>±0,28</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0,60</w:t>
            </w:r>
            <w:r>
              <w:rPr>
                <w:rFonts w:ascii="Times New Roman" w:hAnsi="Times New Roman" w:cs="Times New Roman"/>
                <w:sz w:val="28"/>
                <w:szCs w:val="28"/>
              </w:rPr>
              <w:t>±0,10</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0,52</w:t>
            </w:r>
            <w:r>
              <w:rPr>
                <w:rFonts w:ascii="Times New Roman" w:hAnsi="Times New Roman" w:cs="Times New Roman"/>
                <w:sz w:val="28"/>
                <w:szCs w:val="28"/>
              </w:rPr>
              <w:t>±0,19</w:t>
            </w:r>
          </w:p>
        </w:tc>
        <w:tc>
          <w:tcPr>
            <w:tcW w:w="1865"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0,45</w:t>
            </w:r>
            <w:r>
              <w:rPr>
                <w:rFonts w:ascii="Times New Roman" w:hAnsi="Times New Roman" w:cs="Times New Roman"/>
                <w:sz w:val="28"/>
                <w:szCs w:val="28"/>
              </w:rPr>
              <w:t>±0,11</w:t>
            </w:r>
          </w:p>
        </w:tc>
      </w:tr>
      <w:tr w:rsidR="00095916" w:rsidRPr="0057310B" w:rsidTr="001F0C51">
        <w:tc>
          <w:tcPr>
            <w:tcW w:w="1989" w:type="dxa"/>
          </w:tcPr>
          <w:p w:rsidR="00095916" w:rsidRPr="0057310B" w:rsidRDefault="00095916" w:rsidP="001F0C51">
            <w:pPr>
              <w:rPr>
                <w:rFonts w:ascii="Times New Roman" w:hAnsi="Times New Roman"/>
                <w:b/>
                <w:sz w:val="28"/>
                <w:szCs w:val="28"/>
              </w:rPr>
            </w:pPr>
            <w:r w:rsidRPr="0057310B">
              <w:rPr>
                <w:rFonts w:ascii="Times New Roman" w:hAnsi="Times New Roman"/>
                <w:b/>
                <w:sz w:val="28"/>
                <w:szCs w:val="28"/>
              </w:rPr>
              <w:t>Доброякісні</w:t>
            </w:r>
          </w:p>
          <w:p w:rsidR="00095916" w:rsidRPr="0057310B" w:rsidRDefault="00095916" w:rsidP="001F0C51">
            <w:r w:rsidRPr="0057310B">
              <w:rPr>
                <w:rFonts w:ascii="Times New Roman" w:hAnsi="Times New Roman"/>
                <w:b/>
                <w:sz w:val="28"/>
                <w:szCs w:val="28"/>
              </w:rPr>
              <w:t xml:space="preserve">пухлини, </w:t>
            </w:r>
            <w:r>
              <w:rPr>
                <w:rFonts w:ascii="Times New Roman" w:hAnsi="Times New Roman" w:cs="Times New Roman"/>
                <w:b/>
                <w:sz w:val="28"/>
                <w:szCs w:val="28"/>
              </w:rPr>
              <w:t>n=22</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1,07</w:t>
            </w:r>
            <w:r>
              <w:rPr>
                <w:rFonts w:ascii="Times New Roman" w:hAnsi="Times New Roman" w:cs="Times New Roman"/>
                <w:sz w:val="28"/>
                <w:szCs w:val="28"/>
              </w:rPr>
              <w:t>±0,39</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0,73</w:t>
            </w:r>
            <w:r>
              <w:rPr>
                <w:rFonts w:ascii="Times New Roman" w:hAnsi="Times New Roman" w:cs="Times New Roman"/>
                <w:sz w:val="28"/>
                <w:szCs w:val="28"/>
              </w:rPr>
              <w:t>±0,19</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0,76</w:t>
            </w:r>
            <w:r>
              <w:rPr>
                <w:rFonts w:ascii="Times New Roman" w:hAnsi="Times New Roman" w:cs="Times New Roman"/>
                <w:sz w:val="28"/>
                <w:szCs w:val="28"/>
              </w:rPr>
              <w:t>±0,46</w:t>
            </w:r>
          </w:p>
        </w:tc>
        <w:tc>
          <w:tcPr>
            <w:tcW w:w="1865"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0,72</w:t>
            </w:r>
            <w:r>
              <w:rPr>
                <w:rFonts w:ascii="Times New Roman" w:hAnsi="Times New Roman" w:cs="Times New Roman"/>
                <w:sz w:val="28"/>
                <w:szCs w:val="28"/>
              </w:rPr>
              <w:t>±0,22</w:t>
            </w:r>
          </w:p>
        </w:tc>
      </w:tr>
      <w:tr w:rsidR="00095916" w:rsidRPr="0057310B" w:rsidTr="001F0C51">
        <w:trPr>
          <w:trHeight w:val="552"/>
        </w:trPr>
        <w:tc>
          <w:tcPr>
            <w:tcW w:w="1989" w:type="dxa"/>
          </w:tcPr>
          <w:p w:rsidR="00095916" w:rsidRPr="0057310B" w:rsidRDefault="00095916" w:rsidP="001F0C51">
            <w:pPr>
              <w:rPr>
                <w:rFonts w:ascii="Times New Roman" w:hAnsi="Times New Roman"/>
                <w:b/>
                <w:sz w:val="28"/>
                <w:szCs w:val="28"/>
              </w:rPr>
            </w:pPr>
            <w:r w:rsidRPr="0057310B">
              <w:rPr>
                <w:rFonts w:ascii="Times New Roman" w:hAnsi="Times New Roman"/>
                <w:b/>
                <w:sz w:val="28"/>
                <w:szCs w:val="28"/>
              </w:rPr>
              <w:t xml:space="preserve">Контроль, </w:t>
            </w:r>
            <w:r w:rsidRPr="0057310B">
              <w:rPr>
                <w:rFonts w:ascii="Times New Roman" w:hAnsi="Times New Roman" w:cs="Times New Roman"/>
                <w:b/>
                <w:sz w:val="28"/>
                <w:szCs w:val="28"/>
              </w:rPr>
              <w:t>n=30</w:t>
            </w:r>
          </w:p>
        </w:tc>
        <w:tc>
          <w:tcPr>
            <w:tcW w:w="1808" w:type="dxa"/>
          </w:tcPr>
          <w:p w:rsidR="00095916" w:rsidRPr="00FB6A55" w:rsidRDefault="00095916" w:rsidP="001F0C51">
            <w:pPr>
              <w:jc w:val="center"/>
              <w:rPr>
                <w:rFonts w:ascii="Times New Roman" w:hAnsi="Times New Roman"/>
                <w:sz w:val="28"/>
                <w:szCs w:val="28"/>
              </w:rPr>
            </w:pPr>
            <w:r>
              <w:rPr>
                <w:rFonts w:ascii="Times New Roman" w:hAnsi="Times New Roman"/>
                <w:sz w:val="28"/>
                <w:szCs w:val="28"/>
              </w:rPr>
              <w:t>1,0</w:t>
            </w:r>
            <w:r>
              <w:rPr>
                <w:rFonts w:ascii="Times New Roman" w:hAnsi="Times New Roman" w:cs="Times New Roman"/>
                <w:sz w:val="28"/>
                <w:szCs w:val="28"/>
              </w:rPr>
              <w:t>±0,0</w:t>
            </w:r>
          </w:p>
        </w:tc>
        <w:tc>
          <w:tcPr>
            <w:tcW w:w="1770" w:type="dxa"/>
          </w:tcPr>
          <w:p w:rsidR="00095916" w:rsidRPr="00FB6A55" w:rsidRDefault="00095916" w:rsidP="001F0C51">
            <w:pPr>
              <w:jc w:val="center"/>
              <w:rPr>
                <w:rFonts w:ascii="Times New Roman" w:hAnsi="Times New Roman"/>
                <w:sz w:val="28"/>
                <w:szCs w:val="28"/>
              </w:rPr>
            </w:pPr>
            <w:r>
              <w:rPr>
                <w:rFonts w:ascii="Times New Roman" w:hAnsi="Times New Roman"/>
                <w:sz w:val="28"/>
                <w:szCs w:val="28"/>
              </w:rPr>
              <w:t>1,0</w:t>
            </w:r>
            <w:r>
              <w:rPr>
                <w:rFonts w:ascii="Times New Roman" w:hAnsi="Times New Roman" w:cs="Times New Roman"/>
                <w:sz w:val="28"/>
                <w:szCs w:val="28"/>
              </w:rPr>
              <w:t>±0,0</w:t>
            </w:r>
          </w:p>
        </w:tc>
        <w:tc>
          <w:tcPr>
            <w:tcW w:w="2202" w:type="dxa"/>
          </w:tcPr>
          <w:p w:rsidR="00095916" w:rsidRPr="00FB6A55" w:rsidRDefault="00095916" w:rsidP="001F0C51">
            <w:pPr>
              <w:jc w:val="center"/>
              <w:rPr>
                <w:rFonts w:ascii="Times New Roman" w:hAnsi="Times New Roman"/>
                <w:sz w:val="28"/>
                <w:szCs w:val="28"/>
              </w:rPr>
            </w:pPr>
            <w:r>
              <w:rPr>
                <w:rFonts w:ascii="Times New Roman" w:hAnsi="Times New Roman"/>
                <w:sz w:val="28"/>
                <w:szCs w:val="28"/>
              </w:rPr>
              <w:t>1,0</w:t>
            </w:r>
            <w:r>
              <w:rPr>
                <w:rFonts w:ascii="Times New Roman" w:hAnsi="Times New Roman" w:cs="Times New Roman"/>
                <w:sz w:val="28"/>
                <w:szCs w:val="28"/>
              </w:rPr>
              <w:t>±0,0</w:t>
            </w:r>
          </w:p>
        </w:tc>
        <w:tc>
          <w:tcPr>
            <w:tcW w:w="1865" w:type="dxa"/>
          </w:tcPr>
          <w:p w:rsidR="00095916" w:rsidRPr="00FB6A55" w:rsidRDefault="00095916" w:rsidP="001F0C51">
            <w:pPr>
              <w:jc w:val="center"/>
              <w:rPr>
                <w:rFonts w:ascii="Times New Roman" w:hAnsi="Times New Roman"/>
                <w:sz w:val="28"/>
                <w:szCs w:val="28"/>
              </w:rPr>
            </w:pPr>
            <w:r>
              <w:rPr>
                <w:rFonts w:ascii="Times New Roman" w:hAnsi="Times New Roman"/>
                <w:sz w:val="28"/>
                <w:szCs w:val="28"/>
              </w:rPr>
              <w:t>1,0</w:t>
            </w:r>
            <w:r>
              <w:rPr>
                <w:rFonts w:ascii="Times New Roman" w:hAnsi="Times New Roman" w:cs="Times New Roman"/>
                <w:sz w:val="28"/>
                <w:szCs w:val="28"/>
              </w:rPr>
              <w:t>±0,0</w:t>
            </w:r>
          </w:p>
        </w:tc>
      </w:tr>
      <w:tr w:rsidR="00095916" w:rsidRPr="0057310B" w:rsidTr="001F0C51">
        <w:tc>
          <w:tcPr>
            <w:tcW w:w="1989" w:type="dxa"/>
          </w:tcPr>
          <w:p w:rsidR="00095916" w:rsidRPr="0057310B" w:rsidRDefault="00095916" w:rsidP="001F0C51">
            <w:pPr>
              <w:jc w:val="center"/>
              <w:rPr>
                <w:rFonts w:ascii="Times New Roman" w:hAnsi="Times New Roman"/>
                <w:b/>
                <w:i/>
                <w:sz w:val="28"/>
                <w:szCs w:val="28"/>
                <w:vertAlign w:val="subscript"/>
              </w:rPr>
            </w:pPr>
            <w:r w:rsidRPr="0057310B">
              <w:rPr>
                <w:rFonts w:ascii="Times New Roman" w:hAnsi="Times New Roman"/>
                <w:b/>
                <w:i/>
                <w:sz w:val="28"/>
                <w:szCs w:val="28"/>
              </w:rPr>
              <w:t>р</w:t>
            </w:r>
            <w:r w:rsidRPr="0057310B">
              <w:rPr>
                <w:rFonts w:ascii="Times New Roman" w:hAnsi="Times New Roman"/>
                <w:b/>
                <w:i/>
                <w:sz w:val="28"/>
                <w:szCs w:val="28"/>
                <w:vertAlign w:val="subscript"/>
              </w:rPr>
              <w:t>1,2</w:t>
            </w:r>
          </w:p>
        </w:tc>
        <w:tc>
          <w:tcPr>
            <w:tcW w:w="1808" w:type="dxa"/>
          </w:tcPr>
          <w:p w:rsidR="00095916" w:rsidRPr="00F0773E"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0,015</w:t>
            </w:r>
          </w:p>
        </w:tc>
        <w:tc>
          <w:tcPr>
            <w:tcW w:w="1865" w:type="dxa"/>
          </w:tcPr>
          <w:p w:rsidR="00095916" w:rsidRDefault="00095916" w:rsidP="001F0C51">
            <w:pPr>
              <w:jc w:val="center"/>
            </w:pPr>
            <w:r>
              <w:rPr>
                <w:rFonts w:ascii="Times New Roman" w:hAnsi="Times New Roman"/>
                <w:sz w:val="28"/>
                <w:szCs w:val="28"/>
                <w:lang w:val="en-US"/>
              </w:rPr>
              <w:t>&lt;</w:t>
            </w:r>
            <w:r>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1,3</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0,016</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0,996</w:t>
            </w:r>
          </w:p>
        </w:tc>
        <w:tc>
          <w:tcPr>
            <w:tcW w:w="1865" w:type="dxa"/>
          </w:tcPr>
          <w:p w:rsidR="00095916" w:rsidRPr="009D6986" w:rsidRDefault="00095916" w:rsidP="001F0C51">
            <w:pPr>
              <w:jc w:val="center"/>
              <w:rPr>
                <w:rFonts w:ascii="Times New Roman" w:hAnsi="Times New Roman" w:cs="Times New Roman"/>
                <w:sz w:val="28"/>
                <w:szCs w:val="28"/>
              </w:rPr>
            </w:pPr>
            <w:r w:rsidRPr="009D6986">
              <w:rPr>
                <w:rFonts w:ascii="Times New Roman" w:hAnsi="Times New Roman" w:cs="Times New Roman"/>
                <w:sz w:val="28"/>
                <w:szCs w:val="28"/>
              </w:rPr>
              <w:t>0,005</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1,4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0,317</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0,001</w:t>
            </w:r>
          </w:p>
        </w:tc>
        <w:tc>
          <w:tcPr>
            <w:tcW w:w="1865" w:type="dxa"/>
          </w:tcPr>
          <w:p w:rsidR="00095916" w:rsidRPr="009D6986" w:rsidRDefault="00095916" w:rsidP="001F0C51">
            <w:pPr>
              <w:jc w:val="center"/>
              <w:rPr>
                <w:rFonts w:ascii="Times New Roman" w:hAnsi="Times New Roman" w:cs="Times New Roman"/>
                <w:sz w:val="28"/>
                <w:szCs w:val="28"/>
              </w:rPr>
            </w:pPr>
            <w:r>
              <w:rPr>
                <w:rFonts w:ascii="Times New Roman" w:hAnsi="Times New Roman"/>
                <w:sz w:val="28"/>
                <w:szCs w:val="28"/>
                <w:lang w:val="en-US"/>
              </w:rPr>
              <w:t>&lt;</w:t>
            </w:r>
            <w:r>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2,3</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0,304</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0,166</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0,068</w:t>
            </w:r>
          </w:p>
        </w:tc>
        <w:tc>
          <w:tcPr>
            <w:tcW w:w="1865" w:type="dxa"/>
          </w:tcPr>
          <w:p w:rsidR="00095916" w:rsidRPr="009D6986" w:rsidRDefault="00095916" w:rsidP="001F0C51">
            <w:pPr>
              <w:jc w:val="center"/>
              <w:rPr>
                <w:rFonts w:ascii="Times New Roman" w:hAnsi="Times New Roman" w:cs="Times New Roman"/>
                <w:sz w:val="28"/>
                <w:szCs w:val="28"/>
              </w:rPr>
            </w:pPr>
            <w:r>
              <w:rPr>
                <w:rFonts w:ascii="Times New Roman" w:hAnsi="Times New Roman"/>
                <w:sz w:val="28"/>
                <w:szCs w:val="28"/>
                <w:lang w:val="en-US"/>
              </w:rPr>
              <w:t>&lt;</w:t>
            </w:r>
            <w:r>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2,4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0,562</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65" w:type="dxa"/>
          </w:tcPr>
          <w:p w:rsidR="00095916" w:rsidRPr="009D6986" w:rsidRDefault="00095916" w:rsidP="001F0C51">
            <w:pPr>
              <w:jc w:val="center"/>
              <w:rPr>
                <w:rFonts w:ascii="Times New Roman" w:hAnsi="Times New Roman" w:cs="Times New Roman"/>
                <w:sz w:val="28"/>
                <w:szCs w:val="28"/>
              </w:rPr>
            </w:pPr>
            <w:r>
              <w:rPr>
                <w:rFonts w:ascii="Times New Roman" w:hAnsi="Times New Roman"/>
                <w:sz w:val="28"/>
                <w:szCs w:val="28"/>
                <w:lang w:val="en-US"/>
              </w:rPr>
              <w:t>&lt;</w:t>
            </w:r>
            <w:r>
              <w:rPr>
                <w:rFonts w:ascii="Times New Roman" w:hAnsi="Times New Roman"/>
                <w:sz w:val="28"/>
                <w:szCs w:val="28"/>
              </w:rPr>
              <w:t>0,001</w:t>
            </w:r>
          </w:p>
        </w:tc>
      </w:tr>
      <w:tr w:rsidR="00095916" w:rsidRPr="0057310B" w:rsidTr="001F0C51">
        <w:tc>
          <w:tcPr>
            <w:tcW w:w="1989" w:type="dxa"/>
          </w:tcPr>
          <w:p w:rsidR="00095916" w:rsidRPr="0057310B" w:rsidRDefault="00095916" w:rsidP="001F0C51">
            <w:pPr>
              <w:jc w:val="center"/>
              <w:rPr>
                <w:rFonts w:ascii="Times New Roman" w:hAnsi="Times New Roman"/>
                <w:sz w:val="28"/>
                <w:szCs w:val="28"/>
              </w:rPr>
            </w:pPr>
            <w:r w:rsidRPr="0057310B">
              <w:rPr>
                <w:rFonts w:ascii="Times New Roman" w:hAnsi="Times New Roman"/>
                <w:b/>
                <w:i/>
                <w:sz w:val="28"/>
                <w:szCs w:val="28"/>
              </w:rPr>
              <w:t>р</w:t>
            </w:r>
            <w:r w:rsidRPr="0057310B">
              <w:rPr>
                <w:rFonts w:ascii="Times New Roman" w:hAnsi="Times New Roman"/>
                <w:b/>
                <w:i/>
                <w:sz w:val="28"/>
                <w:szCs w:val="28"/>
                <w:vertAlign w:val="subscript"/>
              </w:rPr>
              <w:t>3,4</w:t>
            </w:r>
          </w:p>
        </w:tc>
        <w:tc>
          <w:tcPr>
            <w:tcW w:w="1808"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0,925</w:t>
            </w:r>
          </w:p>
        </w:tc>
        <w:tc>
          <w:tcPr>
            <w:tcW w:w="1770"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57310B" w:rsidRDefault="00095916" w:rsidP="001F0C51">
            <w:pPr>
              <w:jc w:val="center"/>
              <w:rPr>
                <w:rFonts w:ascii="Times New Roman" w:hAnsi="Times New Roman"/>
                <w:sz w:val="28"/>
                <w:szCs w:val="28"/>
              </w:rPr>
            </w:pPr>
            <w:r>
              <w:rPr>
                <w:rFonts w:ascii="Times New Roman" w:hAnsi="Times New Roman"/>
                <w:sz w:val="28"/>
                <w:szCs w:val="28"/>
              </w:rPr>
              <w:t>0,015</w:t>
            </w:r>
          </w:p>
        </w:tc>
        <w:tc>
          <w:tcPr>
            <w:tcW w:w="1865" w:type="dxa"/>
          </w:tcPr>
          <w:p w:rsidR="00095916" w:rsidRPr="009D6986" w:rsidRDefault="00095916" w:rsidP="001F0C51">
            <w:pPr>
              <w:jc w:val="center"/>
              <w:rPr>
                <w:rFonts w:ascii="Times New Roman" w:hAnsi="Times New Roman" w:cs="Times New Roman"/>
                <w:sz w:val="28"/>
                <w:szCs w:val="28"/>
              </w:rPr>
            </w:pPr>
            <w:r>
              <w:rPr>
                <w:rFonts w:ascii="Times New Roman" w:hAnsi="Times New Roman"/>
                <w:sz w:val="28"/>
                <w:szCs w:val="28"/>
                <w:lang w:val="en-US"/>
              </w:rPr>
              <w:t>&lt;</w:t>
            </w:r>
            <w:r>
              <w:rPr>
                <w:rFonts w:ascii="Times New Roman" w:hAnsi="Times New Roman"/>
                <w:sz w:val="28"/>
                <w:szCs w:val="28"/>
              </w:rPr>
              <w:t>0,001</w:t>
            </w:r>
          </w:p>
        </w:tc>
      </w:tr>
    </w:tbl>
    <w:p w:rsidR="00095916" w:rsidRDefault="00095916" w:rsidP="00095916">
      <w:pPr>
        <w:autoSpaceDE w:val="0"/>
        <w:autoSpaceDN w:val="0"/>
        <w:adjustRightInd w:val="0"/>
        <w:spacing w:after="0" w:line="240" w:lineRule="auto"/>
        <w:rPr>
          <w:rFonts w:ascii="Times New Roman" w:hAnsi="Times New Roman"/>
          <w:sz w:val="28"/>
          <w:szCs w:val="28"/>
        </w:rPr>
      </w:pPr>
    </w:p>
    <w:p w:rsidR="00095916" w:rsidRPr="00FC5277" w:rsidRDefault="00095916" w:rsidP="00095916">
      <w:pPr>
        <w:spacing w:line="360" w:lineRule="auto"/>
        <w:contextualSpacing/>
        <w:jc w:val="both"/>
        <w:rPr>
          <w:rFonts w:ascii="Times New Roman" w:hAnsi="Times New Roman" w:cs="Times New Roman"/>
          <w:b/>
          <w:sz w:val="28"/>
          <w:szCs w:val="28"/>
        </w:rPr>
      </w:pPr>
    </w:p>
    <w:p w:rsidR="00095916" w:rsidRPr="002F1D80" w:rsidRDefault="00095916" w:rsidP="00095916">
      <w:pPr>
        <w:spacing w:line="360" w:lineRule="auto"/>
        <w:contextualSpacing/>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Наступним кроком був аналіз променевої щільності гістологічних підтипів НКР на зображеннях різних фаз комп’ютерної томографії. Було встановлено, що середні значення інтенсивності </w:t>
      </w:r>
      <w:r w:rsidR="00DB5091">
        <w:rPr>
          <w:rFonts w:ascii="Times New Roman" w:hAnsi="Times New Roman" w:cs="Times New Roman"/>
          <w:sz w:val="28"/>
          <w:szCs w:val="28"/>
        </w:rPr>
        <w:t xml:space="preserve">сигналу </w:t>
      </w:r>
      <w:r>
        <w:rPr>
          <w:rFonts w:ascii="Times New Roman" w:hAnsi="Times New Roman" w:cs="Times New Roman"/>
          <w:sz w:val="28"/>
          <w:szCs w:val="28"/>
        </w:rPr>
        <w:t>підтипів НКР найбільше відрізнялись між собою на зображеннях кортико-медулярної фази: найвищий цей показник був при папілярному гістологічному підтипі НКР (</w:t>
      </w:r>
      <w:r>
        <w:rPr>
          <w:rFonts w:ascii="Times New Roman" w:hAnsi="Times New Roman"/>
          <w:sz w:val="28"/>
          <w:szCs w:val="28"/>
        </w:rPr>
        <w:t>118,66</w:t>
      </w:r>
      <w:r>
        <w:rPr>
          <w:rFonts w:ascii="Times New Roman" w:hAnsi="Times New Roman" w:cs="Times New Roman"/>
          <w:sz w:val="28"/>
          <w:szCs w:val="28"/>
        </w:rPr>
        <w:t>±9,17</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посередній при конвенційному (</w:t>
      </w:r>
      <w:r>
        <w:rPr>
          <w:rFonts w:ascii="Times New Roman" w:hAnsi="Times New Roman"/>
          <w:sz w:val="28"/>
          <w:szCs w:val="28"/>
        </w:rPr>
        <w:t>107,99</w:t>
      </w:r>
      <w:r>
        <w:rPr>
          <w:rFonts w:ascii="Times New Roman" w:hAnsi="Times New Roman" w:cs="Times New Roman"/>
          <w:sz w:val="28"/>
          <w:szCs w:val="28"/>
        </w:rPr>
        <w:t xml:space="preserve">±26,68 </w:t>
      </w:r>
      <w:r>
        <w:rPr>
          <w:rFonts w:ascii="Times New Roman" w:hAnsi="Times New Roman" w:cs="Times New Roman"/>
          <w:sz w:val="28"/>
          <w:szCs w:val="28"/>
          <w:lang w:val="en-US"/>
        </w:rPr>
        <w:t>HU</w:t>
      </w:r>
      <w:r>
        <w:rPr>
          <w:rFonts w:ascii="Times New Roman" w:hAnsi="Times New Roman" w:cs="Times New Roman"/>
          <w:sz w:val="28"/>
          <w:szCs w:val="28"/>
        </w:rPr>
        <w:t>), та найменший – при хромофобному НКР (</w:t>
      </w:r>
      <w:r>
        <w:rPr>
          <w:rFonts w:ascii="Times New Roman" w:hAnsi="Times New Roman"/>
          <w:sz w:val="28"/>
          <w:szCs w:val="28"/>
        </w:rPr>
        <w:t>86,60</w:t>
      </w:r>
      <w:r>
        <w:rPr>
          <w:rFonts w:ascii="Times New Roman" w:hAnsi="Times New Roman" w:cs="Times New Roman"/>
          <w:sz w:val="28"/>
          <w:szCs w:val="28"/>
        </w:rPr>
        <w:t xml:space="preserve">±13,08 </w:t>
      </w:r>
      <w:r>
        <w:rPr>
          <w:rFonts w:ascii="Times New Roman" w:hAnsi="Times New Roman" w:cs="Times New Roman"/>
          <w:sz w:val="28"/>
          <w:szCs w:val="28"/>
          <w:lang w:val="en-US"/>
        </w:rPr>
        <w:t>HU</w:t>
      </w:r>
      <w:r>
        <w:rPr>
          <w:rFonts w:ascii="Times New Roman" w:hAnsi="Times New Roman" w:cs="Times New Roman"/>
          <w:sz w:val="28"/>
          <w:szCs w:val="28"/>
        </w:rPr>
        <w:t xml:space="preserve">), що пояснюється відмінностями у здатності накопичувати контрастні речовини та гістологічною архітектурою цих </w:t>
      </w:r>
      <w:r w:rsidR="007A4D2A">
        <w:rPr>
          <w:rFonts w:ascii="Times New Roman" w:hAnsi="Times New Roman" w:cs="Times New Roman"/>
          <w:sz w:val="28"/>
          <w:szCs w:val="28"/>
        </w:rPr>
        <w:t>пухлин. Як видно на рисунку 3.28</w:t>
      </w:r>
      <w:r>
        <w:rPr>
          <w:rFonts w:ascii="Times New Roman" w:hAnsi="Times New Roman" w:cs="Times New Roman"/>
          <w:sz w:val="28"/>
          <w:szCs w:val="28"/>
        </w:rPr>
        <w:t xml:space="preserve">, діапазон значень скНКР був найбільш широким (а пікові значення – найвищими) серед </w:t>
      </w:r>
      <w:r>
        <w:rPr>
          <w:rFonts w:ascii="Times New Roman" w:hAnsi="Times New Roman" w:cs="Times New Roman"/>
          <w:sz w:val="28"/>
          <w:szCs w:val="28"/>
        </w:rPr>
        <w:lastRenderedPageBreak/>
        <w:t>інших підтипів НКР, що ми пов’язуємо із значною варіабельністю у мікроваскуляризації даного гістологічного варіанту пухлини.</w:t>
      </w:r>
    </w:p>
    <w:p w:rsidR="00095916" w:rsidRDefault="00095916" w:rsidP="00095916">
      <w:pPr>
        <w:spacing w:line="360" w:lineRule="auto"/>
        <w:contextualSpacing/>
        <w:rPr>
          <w:rFonts w:ascii="Times New Roman" w:hAnsi="Times New Roman" w:cs="Times New Roman"/>
          <w:b/>
          <w:sz w:val="28"/>
          <w:szCs w:val="28"/>
        </w:rPr>
      </w:pPr>
    </w:p>
    <w:p w:rsidR="00095916" w:rsidRDefault="00095916" w:rsidP="00095916">
      <w:pPr>
        <w:spacing w:line="360" w:lineRule="auto"/>
        <w:contextualSpacing/>
        <w:jc w:val="center"/>
        <w:rPr>
          <w:rFonts w:ascii="Times New Roman" w:hAnsi="Times New Roman" w:cs="Times New Roman"/>
          <w:b/>
          <w:sz w:val="28"/>
          <w:szCs w:val="28"/>
        </w:rPr>
      </w:pPr>
      <w:r>
        <w:rPr>
          <w:rFonts w:ascii="Times New Roman" w:hAnsi="Times New Roman" w:cs="Times New Roman"/>
          <w:noProof/>
          <w:sz w:val="24"/>
          <w:szCs w:val="24"/>
          <w:lang w:val="en-US"/>
        </w:rPr>
        <w:drawing>
          <wp:inline distT="0" distB="0" distL="0" distR="0" wp14:anchorId="4B2466B7" wp14:editId="4E85555E">
            <wp:extent cx="3937829" cy="3152775"/>
            <wp:effectExtent l="0" t="0" r="5715"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949263" cy="3161929"/>
                    </a:xfrm>
                    <a:prstGeom prst="rect">
                      <a:avLst/>
                    </a:prstGeom>
                    <a:noFill/>
                    <a:ln>
                      <a:noFill/>
                    </a:ln>
                  </pic:spPr>
                </pic:pic>
              </a:graphicData>
            </a:graphic>
          </wp:inline>
        </w:drawing>
      </w:r>
    </w:p>
    <w:p w:rsidR="00095916" w:rsidRDefault="007A4D2A" w:rsidP="00095916">
      <w:pPr>
        <w:autoSpaceDE w:val="0"/>
        <w:autoSpaceDN w:val="0"/>
        <w:adjustRightInd w:val="0"/>
        <w:spacing w:after="0" w:line="400" w:lineRule="atLeast"/>
        <w:jc w:val="center"/>
        <w:rPr>
          <w:rFonts w:ascii="Times New Roman" w:hAnsi="Times New Roman" w:cs="Times New Roman"/>
          <w:sz w:val="24"/>
          <w:szCs w:val="24"/>
        </w:rPr>
      </w:pPr>
      <w:r>
        <w:rPr>
          <w:rFonts w:ascii="Times New Roman" w:hAnsi="Times New Roman" w:cs="Times New Roman"/>
          <w:sz w:val="28"/>
          <w:szCs w:val="28"/>
        </w:rPr>
        <w:t>Рис. 3.28</w:t>
      </w:r>
      <w:r w:rsidR="00095916" w:rsidRPr="00FC5277">
        <w:rPr>
          <w:rFonts w:ascii="Times New Roman" w:hAnsi="Times New Roman" w:cs="Times New Roman"/>
          <w:sz w:val="28"/>
          <w:szCs w:val="28"/>
        </w:rPr>
        <w:t>.</w:t>
      </w:r>
      <w:r w:rsidR="00095916">
        <w:rPr>
          <w:rFonts w:ascii="Times New Roman" w:hAnsi="Times New Roman" w:cs="Times New Roman"/>
          <w:sz w:val="28"/>
          <w:szCs w:val="28"/>
        </w:rPr>
        <w:t xml:space="preserve"> Коробкова діаграма променевої щільності гістологічних підтипів солідного НКР на КТ-зображеннях різних фаз</w:t>
      </w:r>
    </w:p>
    <w:p w:rsidR="00095916" w:rsidRDefault="00095916" w:rsidP="00095916">
      <w:pPr>
        <w:spacing w:line="360" w:lineRule="auto"/>
        <w:contextualSpacing/>
        <w:rPr>
          <w:rFonts w:ascii="Times New Roman" w:hAnsi="Times New Roman" w:cs="Times New Roman"/>
          <w:b/>
          <w:sz w:val="28"/>
          <w:szCs w:val="28"/>
        </w:rPr>
      </w:pPr>
    </w:p>
    <w:p w:rsidR="00095916" w:rsidRDefault="00095916" w:rsidP="00095916">
      <w:pPr>
        <w:spacing w:line="360" w:lineRule="auto"/>
        <w:contextualSpacing/>
        <w:rPr>
          <w:rFonts w:ascii="Times New Roman" w:hAnsi="Times New Roman" w:cs="Times New Roman"/>
          <w:b/>
          <w:sz w:val="28"/>
          <w:szCs w:val="28"/>
        </w:rPr>
      </w:pPr>
      <w:r>
        <w:rPr>
          <w:rFonts w:ascii="Times New Roman" w:hAnsi="Times New Roman" w:cs="Times New Roman"/>
          <w:b/>
          <w:sz w:val="28"/>
          <w:szCs w:val="28"/>
        </w:rPr>
        <w:tab/>
      </w:r>
    </w:p>
    <w:p w:rsidR="00095916" w:rsidRPr="00E11480" w:rsidRDefault="00095916" w:rsidP="00E11480">
      <w:pPr>
        <w:spacing w:line="360" w:lineRule="auto"/>
        <w:ind w:firstLine="708"/>
        <w:contextualSpacing/>
        <w:jc w:val="both"/>
        <w:rPr>
          <w:rFonts w:ascii="Times New Roman" w:hAnsi="Times New Roman"/>
          <w:sz w:val="28"/>
          <w:szCs w:val="28"/>
        </w:rPr>
      </w:pPr>
      <w:r>
        <w:rPr>
          <w:rFonts w:ascii="Times New Roman" w:hAnsi="Times New Roman" w:cs="Times New Roman"/>
          <w:sz w:val="28"/>
          <w:szCs w:val="28"/>
        </w:rPr>
        <w:t>На КТ-зображеннях кортико-медулярної фази ми спостерігали статистично достовірну відмінність у середніх значеннях інтенсивності сигналу піж підгрупами із скНКР та хрНКР (р=</w:t>
      </w:r>
      <w:r>
        <w:rPr>
          <w:rFonts w:ascii="Times New Roman" w:hAnsi="Times New Roman"/>
          <w:sz w:val="28"/>
          <w:szCs w:val="28"/>
        </w:rPr>
        <w:t>0,005) та пНКР і хрНКР (р</w:t>
      </w:r>
      <w:r w:rsidRPr="009E6C7E">
        <w:rPr>
          <w:rFonts w:ascii="Times New Roman" w:hAnsi="Times New Roman"/>
          <w:sz w:val="28"/>
          <w:szCs w:val="28"/>
        </w:rPr>
        <w:t>&lt;</w:t>
      </w:r>
      <w:r>
        <w:rPr>
          <w:rFonts w:ascii="Times New Roman" w:hAnsi="Times New Roman"/>
          <w:sz w:val="28"/>
          <w:szCs w:val="28"/>
        </w:rPr>
        <w:t>0,001), проте, такої різниці не було піж підгрупами із конвенційним і папілярним гістологічними варіантами пухлини (р=0,223). При аналізі відношення променевої щільності</w:t>
      </w:r>
      <w:r w:rsidRPr="009D6986">
        <w:rPr>
          <w:rFonts w:ascii="Times New Roman" w:hAnsi="Times New Roman"/>
          <w:sz w:val="28"/>
          <w:szCs w:val="28"/>
        </w:rPr>
        <w:t xml:space="preserve"> </w:t>
      </w:r>
      <w:r>
        <w:rPr>
          <w:rFonts w:ascii="Times New Roman" w:hAnsi="Times New Roman"/>
          <w:sz w:val="28"/>
          <w:szCs w:val="28"/>
        </w:rPr>
        <w:t>різних гістологічних підтипів НКР</w:t>
      </w:r>
      <w:r w:rsidRPr="009D6986">
        <w:rPr>
          <w:rFonts w:ascii="Times New Roman" w:hAnsi="Times New Roman"/>
          <w:sz w:val="28"/>
          <w:szCs w:val="28"/>
        </w:rPr>
        <w:t xml:space="preserve"> до нормал</w:t>
      </w:r>
      <w:r>
        <w:rPr>
          <w:rFonts w:ascii="Times New Roman" w:hAnsi="Times New Roman"/>
          <w:sz w:val="28"/>
          <w:szCs w:val="28"/>
        </w:rPr>
        <w:t>ьної ниркової паренхіми, отриманого з КТ-зображень різних фаз, ми отримали значне взаємонакладання діапазонів значень даного показника, внаслідок чого статистично достовірна різниця між середніми значеннями ВПЩ спостерігалась лише у підгрупах із пНКР та хрНКР корти</w:t>
      </w:r>
      <w:r w:rsidR="00293044">
        <w:rPr>
          <w:rFonts w:ascii="Times New Roman" w:hAnsi="Times New Roman"/>
          <w:sz w:val="28"/>
          <w:szCs w:val="28"/>
        </w:rPr>
        <w:t>ко-медулярної фази (таблиця 3.22</w:t>
      </w:r>
      <w:r>
        <w:rPr>
          <w:rFonts w:ascii="Times New Roman" w:hAnsi="Times New Roman"/>
          <w:sz w:val="28"/>
          <w:szCs w:val="28"/>
        </w:rPr>
        <w:t>). Подібну тенденцію ми спостерігали при вивчені інтенсивності сигналу та відношення променевої щільності при малих ниркових новоутворах.</w:t>
      </w:r>
    </w:p>
    <w:p w:rsidR="00095916" w:rsidRPr="00EB25EC" w:rsidRDefault="00095916" w:rsidP="00095916">
      <w:pPr>
        <w:spacing w:line="360" w:lineRule="auto"/>
        <w:ind w:firstLine="708"/>
        <w:jc w:val="right"/>
        <w:rPr>
          <w:rFonts w:ascii="Times New Roman" w:hAnsi="Times New Roman"/>
          <w:sz w:val="28"/>
          <w:szCs w:val="28"/>
        </w:rPr>
      </w:pPr>
      <w:r w:rsidRPr="00EB25EC">
        <w:rPr>
          <w:rFonts w:ascii="Times New Roman" w:hAnsi="Times New Roman"/>
          <w:sz w:val="28"/>
          <w:szCs w:val="28"/>
        </w:rPr>
        <w:lastRenderedPageBreak/>
        <w:t>Таблиця</w:t>
      </w:r>
      <w:r w:rsidR="00293044">
        <w:rPr>
          <w:rFonts w:ascii="Times New Roman" w:hAnsi="Times New Roman"/>
          <w:sz w:val="28"/>
          <w:szCs w:val="28"/>
        </w:rPr>
        <w:t xml:space="preserve"> 3.22</w:t>
      </w:r>
    </w:p>
    <w:p w:rsidR="00095916" w:rsidRPr="00EB25EC" w:rsidRDefault="00095916" w:rsidP="00095916">
      <w:pPr>
        <w:spacing w:line="360" w:lineRule="auto"/>
        <w:jc w:val="center"/>
        <w:rPr>
          <w:rFonts w:ascii="Times New Roman" w:hAnsi="Times New Roman"/>
          <w:sz w:val="28"/>
          <w:szCs w:val="28"/>
        </w:rPr>
      </w:pPr>
      <w:r w:rsidRPr="00EB25EC">
        <w:rPr>
          <w:rFonts w:ascii="Times New Roman" w:hAnsi="Times New Roman"/>
          <w:sz w:val="28"/>
          <w:szCs w:val="28"/>
        </w:rPr>
        <w:t>Середня інтенсивність сигналу пухлини</w:t>
      </w:r>
      <w:r w:rsidR="007449A5">
        <w:rPr>
          <w:rFonts w:ascii="Times New Roman" w:hAnsi="Times New Roman"/>
          <w:sz w:val="28"/>
          <w:szCs w:val="28"/>
        </w:rPr>
        <w:t xml:space="preserve"> та ВПЩ</w:t>
      </w:r>
      <w:r w:rsidRPr="00EB25EC">
        <w:rPr>
          <w:rFonts w:ascii="Times New Roman" w:hAnsi="Times New Roman"/>
          <w:sz w:val="28"/>
          <w:szCs w:val="28"/>
        </w:rPr>
        <w:t xml:space="preserve"> на КТ-зображеннях різних фаз при світлоклітинному, папілярному та хромофобному НКР </w:t>
      </w:r>
    </w:p>
    <w:tbl>
      <w:tblPr>
        <w:tblStyle w:val="TableGrid"/>
        <w:tblW w:w="9781" w:type="dxa"/>
        <w:tblInd w:w="-147" w:type="dxa"/>
        <w:tblLook w:val="04A0" w:firstRow="1" w:lastRow="0" w:firstColumn="1" w:lastColumn="0" w:noHBand="0" w:noVBand="1"/>
      </w:tblPr>
      <w:tblGrid>
        <w:gridCol w:w="1982"/>
        <w:gridCol w:w="1857"/>
        <w:gridCol w:w="1855"/>
        <w:gridCol w:w="2202"/>
        <w:gridCol w:w="1885"/>
      </w:tblGrid>
      <w:tr w:rsidR="00095916" w:rsidRPr="00EB25EC" w:rsidTr="001F0C51">
        <w:trPr>
          <w:trHeight w:val="322"/>
        </w:trPr>
        <w:tc>
          <w:tcPr>
            <w:tcW w:w="1982" w:type="dxa"/>
            <w:vMerge w:val="restart"/>
          </w:tcPr>
          <w:p w:rsidR="00095916" w:rsidRPr="00EB25EC" w:rsidRDefault="00095916" w:rsidP="001F0C51">
            <w:pPr>
              <w:jc w:val="center"/>
              <w:rPr>
                <w:rFonts w:ascii="Times New Roman" w:hAnsi="Times New Roman"/>
                <w:b/>
                <w:sz w:val="28"/>
                <w:szCs w:val="28"/>
              </w:rPr>
            </w:pPr>
            <w:r w:rsidRPr="00EB25EC">
              <w:rPr>
                <w:rFonts w:ascii="Times New Roman" w:hAnsi="Times New Roman"/>
                <w:b/>
                <w:sz w:val="28"/>
                <w:szCs w:val="28"/>
              </w:rPr>
              <w:t>Підгрупа</w:t>
            </w:r>
          </w:p>
        </w:tc>
        <w:tc>
          <w:tcPr>
            <w:tcW w:w="7799" w:type="dxa"/>
            <w:gridSpan w:val="4"/>
          </w:tcPr>
          <w:p w:rsidR="00095916" w:rsidRPr="00EB25EC" w:rsidRDefault="00095916" w:rsidP="001F0C51">
            <w:pPr>
              <w:jc w:val="center"/>
              <w:rPr>
                <w:rFonts w:ascii="Times New Roman" w:hAnsi="Times New Roman"/>
                <w:b/>
                <w:sz w:val="28"/>
                <w:szCs w:val="28"/>
              </w:rPr>
            </w:pPr>
            <w:r w:rsidRPr="00EB25EC">
              <w:rPr>
                <w:rFonts w:ascii="Times New Roman" w:hAnsi="Times New Roman"/>
                <w:b/>
                <w:sz w:val="28"/>
                <w:szCs w:val="28"/>
              </w:rPr>
              <w:t>Фаза КТ</w:t>
            </w:r>
          </w:p>
        </w:tc>
      </w:tr>
      <w:tr w:rsidR="00095916" w:rsidRPr="00EB25EC" w:rsidTr="001F0C51">
        <w:trPr>
          <w:trHeight w:val="654"/>
        </w:trPr>
        <w:tc>
          <w:tcPr>
            <w:tcW w:w="1982" w:type="dxa"/>
            <w:vMerge/>
            <w:tcBorders>
              <w:bottom w:val="single" w:sz="4" w:space="0" w:color="auto"/>
            </w:tcBorders>
          </w:tcPr>
          <w:p w:rsidR="00095916" w:rsidRPr="00EB25EC" w:rsidRDefault="00095916" w:rsidP="001F0C51">
            <w:pPr>
              <w:jc w:val="center"/>
              <w:rPr>
                <w:rFonts w:ascii="Times New Roman" w:hAnsi="Times New Roman"/>
                <w:b/>
                <w:sz w:val="28"/>
                <w:szCs w:val="28"/>
              </w:rPr>
            </w:pPr>
          </w:p>
        </w:tc>
        <w:tc>
          <w:tcPr>
            <w:tcW w:w="1857" w:type="dxa"/>
            <w:tcBorders>
              <w:bottom w:val="single" w:sz="4" w:space="0" w:color="auto"/>
            </w:tcBorders>
          </w:tcPr>
          <w:p w:rsidR="00095916" w:rsidRPr="00EB25EC" w:rsidRDefault="00095916" w:rsidP="001F0C51">
            <w:pPr>
              <w:jc w:val="center"/>
              <w:rPr>
                <w:rFonts w:ascii="Times New Roman" w:hAnsi="Times New Roman"/>
                <w:b/>
                <w:sz w:val="28"/>
                <w:szCs w:val="28"/>
              </w:rPr>
            </w:pPr>
            <w:r>
              <w:rPr>
                <w:rFonts w:ascii="Times New Roman" w:hAnsi="Times New Roman"/>
                <w:b/>
                <w:sz w:val="28"/>
                <w:szCs w:val="28"/>
              </w:rPr>
              <w:t>Пре-контрастні зображення</w:t>
            </w:r>
          </w:p>
        </w:tc>
        <w:tc>
          <w:tcPr>
            <w:tcW w:w="1855" w:type="dxa"/>
            <w:tcBorders>
              <w:bottom w:val="single" w:sz="4" w:space="0" w:color="auto"/>
            </w:tcBorders>
          </w:tcPr>
          <w:p w:rsidR="00095916" w:rsidRPr="00EB25EC" w:rsidRDefault="00095916" w:rsidP="001F0C51">
            <w:pPr>
              <w:jc w:val="center"/>
              <w:rPr>
                <w:rFonts w:ascii="Times New Roman" w:hAnsi="Times New Roman"/>
                <w:b/>
                <w:sz w:val="28"/>
                <w:szCs w:val="28"/>
              </w:rPr>
            </w:pPr>
            <w:r>
              <w:rPr>
                <w:rFonts w:ascii="Times New Roman" w:hAnsi="Times New Roman"/>
                <w:b/>
                <w:sz w:val="28"/>
                <w:szCs w:val="28"/>
              </w:rPr>
              <w:t>Кортико-медулярна фаза</w:t>
            </w:r>
          </w:p>
        </w:tc>
        <w:tc>
          <w:tcPr>
            <w:tcW w:w="2202" w:type="dxa"/>
            <w:tcBorders>
              <w:bottom w:val="single" w:sz="4" w:space="0" w:color="auto"/>
            </w:tcBorders>
          </w:tcPr>
          <w:p w:rsidR="00095916" w:rsidRPr="00EB25EC" w:rsidRDefault="00095916" w:rsidP="001F0C51">
            <w:pPr>
              <w:jc w:val="center"/>
              <w:rPr>
                <w:rFonts w:ascii="Times New Roman" w:hAnsi="Times New Roman"/>
                <w:b/>
                <w:sz w:val="28"/>
                <w:szCs w:val="28"/>
              </w:rPr>
            </w:pPr>
            <w:r>
              <w:rPr>
                <w:rFonts w:ascii="Times New Roman" w:hAnsi="Times New Roman"/>
                <w:b/>
                <w:sz w:val="28"/>
                <w:szCs w:val="28"/>
              </w:rPr>
              <w:t>Нефрографічна фаза</w:t>
            </w:r>
          </w:p>
        </w:tc>
        <w:tc>
          <w:tcPr>
            <w:tcW w:w="1885" w:type="dxa"/>
            <w:tcBorders>
              <w:bottom w:val="single" w:sz="4" w:space="0" w:color="auto"/>
            </w:tcBorders>
          </w:tcPr>
          <w:p w:rsidR="00095916" w:rsidRPr="00EB25EC" w:rsidRDefault="00095916" w:rsidP="001F0C51">
            <w:pPr>
              <w:jc w:val="center"/>
              <w:rPr>
                <w:rFonts w:ascii="Times New Roman" w:hAnsi="Times New Roman"/>
                <w:b/>
                <w:sz w:val="28"/>
                <w:szCs w:val="28"/>
              </w:rPr>
            </w:pPr>
            <w:r w:rsidRPr="00EB25EC">
              <w:rPr>
                <w:rFonts w:ascii="Times New Roman" w:hAnsi="Times New Roman"/>
                <w:b/>
                <w:sz w:val="28"/>
                <w:szCs w:val="28"/>
              </w:rPr>
              <w:t>Е</w:t>
            </w:r>
            <w:r>
              <w:rPr>
                <w:rFonts w:ascii="Times New Roman" w:hAnsi="Times New Roman"/>
                <w:b/>
                <w:sz w:val="28"/>
                <w:szCs w:val="28"/>
              </w:rPr>
              <w:t>кскреторна фаза</w:t>
            </w:r>
          </w:p>
        </w:tc>
      </w:tr>
      <w:tr w:rsidR="00095916" w:rsidRPr="00EB25EC" w:rsidTr="001F0C51">
        <w:trPr>
          <w:trHeight w:val="291"/>
        </w:trPr>
        <w:tc>
          <w:tcPr>
            <w:tcW w:w="9781" w:type="dxa"/>
            <w:gridSpan w:val="5"/>
            <w:tcBorders>
              <w:bottom w:val="single" w:sz="4" w:space="0" w:color="auto"/>
            </w:tcBorders>
          </w:tcPr>
          <w:p w:rsidR="00095916" w:rsidRPr="00C24D6C" w:rsidRDefault="00095916" w:rsidP="001F0C51">
            <w:pPr>
              <w:jc w:val="center"/>
              <w:rPr>
                <w:rFonts w:ascii="Times New Roman" w:hAnsi="Times New Roman"/>
                <w:b/>
                <w:sz w:val="28"/>
                <w:szCs w:val="28"/>
              </w:rPr>
            </w:pPr>
            <w:r w:rsidRPr="00C24D6C">
              <w:rPr>
                <w:rFonts w:ascii="Times New Roman" w:hAnsi="Times New Roman"/>
                <w:b/>
                <w:sz w:val="28"/>
                <w:szCs w:val="28"/>
              </w:rPr>
              <w:t>Інтенсивність сигналу пухлини, HU</w:t>
            </w:r>
          </w:p>
        </w:tc>
      </w:tr>
      <w:tr w:rsidR="00095916" w:rsidRPr="00EB25EC" w:rsidTr="001F0C51">
        <w:trPr>
          <w:trHeight w:val="182"/>
        </w:trPr>
        <w:tc>
          <w:tcPr>
            <w:tcW w:w="1982" w:type="dxa"/>
          </w:tcPr>
          <w:p w:rsidR="00095916" w:rsidRPr="00EB25EC" w:rsidRDefault="00095916" w:rsidP="001F0C51">
            <w:pPr>
              <w:rPr>
                <w:rFonts w:ascii="Times New Roman" w:hAnsi="Times New Roman"/>
                <w:b/>
                <w:sz w:val="28"/>
                <w:szCs w:val="28"/>
              </w:rPr>
            </w:pPr>
            <w:r w:rsidRPr="00EB25EC">
              <w:rPr>
                <w:rFonts w:ascii="Times New Roman" w:hAnsi="Times New Roman"/>
                <w:b/>
                <w:sz w:val="28"/>
                <w:szCs w:val="28"/>
              </w:rPr>
              <w:t xml:space="preserve">скНКР, </w:t>
            </w:r>
            <w:r>
              <w:rPr>
                <w:rFonts w:ascii="Times New Roman" w:hAnsi="Times New Roman" w:cs="Times New Roman"/>
                <w:b/>
                <w:sz w:val="28"/>
                <w:szCs w:val="28"/>
              </w:rPr>
              <w:t>n=53</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41,41</w:t>
            </w:r>
            <w:r>
              <w:rPr>
                <w:rFonts w:ascii="Times New Roman" w:hAnsi="Times New Roman" w:cs="Times New Roman"/>
                <w:sz w:val="28"/>
                <w:szCs w:val="28"/>
              </w:rPr>
              <w:t>±10,77</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107,99</w:t>
            </w:r>
            <w:r>
              <w:rPr>
                <w:rFonts w:ascii="Times New Roman" w:hAnsi="Times New Roman" w:cs="Times New Roman"/>
                <w:sz w:val="28"/>
                <w:szCs w:val="28"/>
              </w:rPr>
              <w:t>±26,68</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88,75</w:t>
            </w:r>
            <w:r>
              <w:rPr>
                <w:rFonts w:ascii="Times New Roman" w:hAnsi="Times New Roman" w:cs="Times New Roman"/>
                <w:sz w:val="28"/>
                <w:szCs w:val="28"/>
              </w:rPr>
              <w:t>±15,52</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73,83</w:t>
            </w:r>
            <w:r>
              <w:rPr>
                <w:rFonts w:ascii="Times New Roman" w:hAnsi="Times New Roman" w:cs="Times New Roman"/>
                <w:sz w:val="28"/>
                <w:szCs w:val="28"/>
              </w:rPr>
              <w:t>±11,33</w:t>
            </w:r>
          </w:p>
        </w:tc>
      </w:tr>
      <w:tr w:rsidR="00095916" w:rsidRPr="00EB25EC" w:rsidTr="001F0C51">
        <w:tc>
          <w:tcPr>
            <w:tcW w:w="1982" w:type="dxa"/>
          </w:tcPr>
          <w:p w:rsidR="00095916" w:rsidRPr="00EB25EC" w:rsidRDefault="00095916" w:rsidP="001F0C51">
            <w:pPr>
              <w:rPr>
                <w:rFonts w:ascii="Times New Roman" w:hAnsi="Times New Roman"/>
                <w:b/>
                <w:sz w:val="28"/>
                <w:szCs w:val="28"/>
              </w:rPr>
            </w:pPr>
            <w:r w:rsidRPr="00EB25EC">
              <w:rPr>
                <w:rFonts w:ascii="Times New Roman" w:hAnsi="Times New Roman"/>
                <w:b/>
                <w:sz w:val="28"/>
                <w:szCs w:val="28"/>
              </w:rPr>
              <w:t xml:space="preserve">пНКР, </w:t>
            </w:r>
            <w:r w:rsidRPr="00EB25EC">
              <w:rPr>
                <w:rFonts w:ascii="Times New Roman" w:hAnsi="Times New Roman" w:cs="Times New Roman"/>
                <w:b/>
                <w:sz w:val="28"/>
                <w:szCs w:val="28"/>
              </w:rPr>
              <w:t>n=16</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35,27</w:t>
            </w:r>
            <w:r>
              <w:rPr>
                <w:rFonts w:ascii="Times New Roman" w:hAnsi="Times New Roman" w:cs="Times New Roman"/>
                <w:sz w:val="28"/>
                <w:szCs w:val="28"/>
              </w:rPr>
              <w:t>±5,61</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118,66</w:t>
            </w:r>
            <w:r>
              <w:rPr>
                <w:rFonts w:ascii="Times New Roman" w:hAnsi="Times New Roman" w:cs="Times New Roman"/>
                <w:sz w:val="28"/>
                <w:szCs w:val="28"/>
              </w:rPr>
              <w:t>±9,17</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74,91</w:t>
            </w:r>
            <w:r>
              <w:rPr>
                <w:rFonts w:ascii="Times New Roman" w:hAnsi="Times New Roman" w:cs="Times New Roman"/>
                <w:sz w:val="28"/>
                <w:szCs w:val="28"/>
              </w:rPr>
              <w:t>±9,84</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67,85</w:t>
            </w:r>
            <w:r>
              <w:rPr>
                <w:rFonts w:ascii="Times New Roman" w:hAnsi="Times New Roman" w:cs="Times New Roman"/>
                <w:sz w:val="28"/>
                <w:szCs w:val="28"/>
              </w:rPr>
              <w:t>±6,02</w:t>
            </w:r>
          </w:p>
        </w:tc>
      </w:tr>
      <w:tr w:rsidR="00095916" w:rsidRPr="00EB25EC" w:rsidTr="001F0C51">
        <w:tc>
          <w:tcPr>
            <w:tcW w:w="1982" w:type="dxa"/>
          </w:tcPr>
          <w:p w:rsidR="00095916" w:rsidRPr="00EB25EC" w:rsidRDefault="00095916" w:rsidP="001F0C51">
            <w:pPr>
              <w:rPr>
                <w:rFonts w:ascii="Times New Roman" w:hAnsi="Times New Roman"/>
                <w:b/>
                <w:sz w:val="28"/>
                <w:szCs w:val="28"/>
              </w:rPr>
            </w:pPr>
            <w:r w:rsidRPr="00EB25EC">
              <w:rPr>
                <w:rFonts w:ascii="Times New Roman" w:hAnsi="Times New Roman"/>
                <w:b/>
                <w:sz w:val="28"/>
                <w:szCs w:val="28"/>
              </w:rPr>
              <w:t xml:space="preserve">хрНКР, </w:t>
            </w:r>
            <w:r w:rsidRPr="00EB25EC">
              <w:rPr>
                <w:rFonts w:ascii="Times New Roman" w:hAnsi="Times New Roman" w:cs="Times New Roman"/>
                <w:b/>
                <w:sz w:val="28"/>
                <w:szCs w:val="28"/>
              </w:rPr>
              <w:t>n=15</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34,53</w:t>
            </w:r>
            <w:r>
              <w:rPr>
                <w:rFonts w:ascii="Times New Roman" w:hAnsi="Times New Roman" w:cs="Times New Roman"/>
                <w:sz w:val="28"/>
                <w:szCs w:val="28"/>
              </w:rPr>
              <w:t>±5,52</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86,60</w:t>
            </w:r>
            <w:r>
              <w:rPr>
                <w:rFonts w:ascii="Times New Roman" w:hAnsi="Times New Roman" w:cs="Times New Roman"/>
                <w:sz w:val="28"/>
                <w:szCs w:val="28"/>
              </w:rPr>
              <w:t>±13,08</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82,17</w:t>
            </w:r>
            <w:r>
              <w:rPr>
                <w:rFonts w:ascii="Times New Roman" w:hAnsi="Times New Roman" w:cs="Times New Roman"/>
                <w:sz w:val="28"/>
                <w:szCs w:val="28"/>
              </w:rPr>
              <w:t>±4,86</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68,23</w:t>
            </w:r>
            <w:r>
              <w:rPr>
                <w:rFonts w:ascii="Times New Roman" w:hAnsi="Times New Roman" w:cs="Times New Roman"/>
                <w:sz w:val="28"/>
                <w:szCs w:val="28"/>
              </w:rPr>
              <w:t>±7,86</w:t>
            </w:r>
          </w:p>
        </w:tc>
      </w:tr>
      <w:tr w:rsidR="00095916" w:rsidRPr="00EB25EC" w:rsidTr="001F0C51">
        <w:tc>
          <w:tcPr>
            <w:tcW w:w="1982" w:type="dxa"/>
          </w:tcPr>
          <w:p w:rsidR="00095916" w:rsidRPr="00EB25EC" w:rsidRDefault="00095916" w:rsidP="001F0C51">
            <w:pPr>
              <w:jc w:val="center"/>
              <w:rPr>
                <w:rFonts w:ascii="Times New Roman" w:hAnsi="Times New Roman"/>
                <w:b/>
                <w:i/>
                <w:sz w:val="28"/>
                <w:szCs w:val="28"/>
                <w:vertAlign w:val="subscript"/>
              </w:rPr>
            </w:pPr>
            <w:r w:rsidRPr="00EB25EC">
              <w:rPr>
                <w:rFonts w:ascii="Times New Roman" w:hAnsi="Times New Roman"/>
                <w:b/>
                <w:i/>
                <w:sz w:val="28"/>
                <w:szCs w:val="28"/>
              </w:rPr>
              <w:t>р</w:t>
            </w:r>
            <w:r w:rsidRPr="00EB25EC">
              <w:rPr>
                <w:rFonts w:ascii="Times New Roman" w:hAnsi="Times New Roman"/>
                <w:b/>
                <w:i/>
                <w:sz w:val="28"/>
                <w:szCs w:val="28"/>
                <w:vertAlign w:val="subscript"/>
              </w:rPr>
              <w:t>1,2</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0,058</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0,223</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0,001</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0,096</w:t>
            </w:r>
          </w:p>
        </w:tc>
      </w:tr>
      <w:tr w:rsidR="00095916" w:rsidRPr="00EB25EC" w:rsidTr="001F0C51">
        <w:tc>
          <w:tcPr>
            <w:tcW w:w="1982" w:type="dxa"/>
          </w:tcPr>
          <w:p w:rsidR="00095916" w:rsidRPr="00EB25EC" w:rsidRDefault="00095916" w:rsidP="001F0C51">
            <w:pPr>
              <w:jc w:val="center"/>
              <w:rPr>
                <w:rFonts w:ascii="Times New Roman" w:hAnsi="Times New Roman"/>
                <w:sz w:val="28"/>
                <w:szCs w:val="28"/>
              </w:rPr>
            </w:pPr>
            <w:r w:rsidRPr="00EB25EC">
              <w:rPr>
                <w:rFonts w:ascii="Times New Roman" w:hAnsi="Times New Roman"/>
                <w:b/>
                <w:i/>
                <w:sz w:val="28"/>
                <w:szCs w:val="28"/>
              </w:rPr>
              <w:t>р</w:t>
            </w:r>
            <w:r w:rsidRPr="00EB25EC">
              <w:rPr>
                <w:rFonts w:ascii="Times New Roman" w:hAnsi="Times New Roman"/>
                <w:b/>
                <w:i/>
                <w:sz w:val="28"/>
                <w:szCs w:val="28"/>
                <w:vertAlign w:val="subscript"/>
              </w:rPr>
              <w:t>1,3</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0,034</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0,005</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0,214</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0,140</w:t>
            </w:r>
          </w:p>
        </w:tc>
      </w:tr>
      <w:tr w:rsidR="00095916" w:rsidRPr="00EB25EC" w:rsidTr="001F0C51">
        <w:tc>
          <w:tcPr>
            <w:tcW w:w="1982" w:type="dxa"/>
          </w:tcPr>
          <w:p w:rsidR="00095916" w:rsidRPr="00EB25EC" w:rsidRDefault="00095916" w:rsidP="001F0C51">
            <w:pPr>
              <w:jc w:val="center"/>
              <w:rPr>
                <w:rFonts w:ascii="Times New Roman" w:hAnsi="Times New Roman"/>
                <w:sz w:val="28"/>
                <w:szCs w:val="28"/>
              </w:rPr>
            </w:pPr>
            <w:r w:rsidRPr="00EB25EC">
              <w:rPr>
                <w:rFonts w:ascii="Times New Roman" w:hAnsi="Times New Roman"/>
                <w:b/>
                <w:i/>
                <w:sz w:val="28"/>
                <w:szCs w:val="28"/>
              </w:rPr>
              <w:t>р</w:t>
            </w:r>
            <w:r w:rsidRPr="00EB25EC">
              <w:rPr>
                <w:rFonts w:ascii="Times New Roman" w:hAnsi="Times New Roman"/>
                <w:b/>
                <w:i/>
                <w:sz w:val="28"/>
                <w:szCs w:val="28"/>
                <w:vertAlign w:val="subscript"/>
              </w:rPr>
              <w:t>2,3</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0,973</w:t>
            </w:r>
          </w:p>
        </w:tc>
        <w:tc>
          <w:tcPr>
            <w:tcW w:w="1855" w:type="dxa"/>
          </w:tcPr>
          <w:p w:rsidR="00095916" w:rsidRPr="000520AF"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0,287</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0,994</w:t>
            </w:r>
          </w:p>
        </w:tc>
      </w:tr>
      <w:tr w:rsidR="00095916" w:rsidRPr="00EB25EC" w:rsidTr="001F0C51">
        <w:tc>
          <w:tcPr>
            <w:tcW w:w="9781" w:type="dxa"/>
            <w:gridSpan w:val="5"/>
          </w:tcPr>
          <w:p w:rsidR="00095916" w:rsidRPr="00C24D6C" w:rsidRDefault="00095916" w:rsidP="001F0C51">
            <w:pPr>
              <w:jc w:val="center"/>
              <w:rPr>
                <w:rFonts w:ascii="Times New Roman" w:hAnsi="Times New Roman"/>
                <w:b/>
                <w:sz w:val="28"/>
                <w:szCs w:val="28"/>
              </w:rPr>
            </w:pPr>
            <w:r w:rsidRPr="00C24D6C">
              <w:rPr>
                <w:rFonts w:ascii="Times New Roman" w:hAnsi="Times New Roman"/>
                <w:b/>
                <w:sz w:val="28"/>
                <w:szCs w:val="28"/>
              </w:rPr>
              <w:t>Відношення променевої щільності пухлини до нормальної ниркової паренхіми</w:t>
            </w:r>
          </w:p>
        </w:tc>
      </w:tr>
      <w:tr w:rsidR="00095916" w:rsidRPr="00EB25EC" w:rsidTr="001F0C51">
        <w:tc>
          <w:tcPr>
            <w:tcW w:w="1982" w:type="dxa"/>
          </w:tcPr>
          <w:p w:rsidR="00095916" w:rsidRPr="00EB25EC" w:rsidRDefault="00095916" w:rsidP="001F0C51">
            <w:pPr>
              <w:rPr>
                <w:rFonts w:ascii="Times New Roman" w:hAnsi="Times New Roman"/>
                <w:b/>
                <w:sz w:val="28"/>
                <w:szCs w:val="28"/>
              </w:rPr>
            </w:pPr>
            <w:r w:rsidRPr="00EB25EC">
              <w:rPr>
                <w:rFonts w:ascii="Times New Roman" w:hAnsi="Times New Roman"/>
                <w:b/>
                <w:sz w:val="28"/>
                <w:szCs w:val="28"/>
              </w:rPr>
              <w:t xml:space="preserve">скНКР, </w:t>
            </w:r>
            <w:r>
              <w:rPr>
                <w:rFonts w:ascii="Times New Roman" w:hAnsi="Times New Roman" w:cs="Times New Roman"/>
                <w:b/>
                <w:sz w:val="28"/>
                <w:szCs w:val="28"/>
              </w:rPr>
              <w:t>n=53</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1,45</w:t>
            </w:r>
            <w:r>
              <w:rPr>
                <w:rFonts w:ascii="Times New Roman" w:hAnsi="Times New Roman" w:cs="Times New Roman"/>
                <w:sz w:val="28"/>
                <w:szCs w:val="28"/>
              </w:rPr>
              <w:t>±0,57</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0,94</w:t>
            </w:r>
            <w:r>
              <w:rPr>
                <w:rFonts w:ascii="Times New Roman" w:hAnsi="Times New Roman" w:cs="Times New Roman"/>
                <w:sz w:val="28"/>
                <w:szCs w:val="28"/>
              </w:rPr>
              <w:t>±0,24</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0,77</w:t>
            </w:r>
            <w:r>
              <w:rPr>
                <w:rFonts w:ascii="Times New Roman" w:hAnsi="Times New Roman" w:cs="Times New Roman"/>
                <w:sz w:val="28"/>
                <w:szCs w:val="28"/>
              </w:rPr>
              <w:t>±0,25</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0,89</w:t>
            </w:r>
            <w:r>
              <w:rPr>
                <w:rFonts w:ascii="Times New Roman" w:hAnsi="Times New Roman" w:cs="Times New Roman"/>
                <w:sz w:val="28"/>
                <w:szCs w:val="28"/>
              </w:rPr>
              <w:t>±0,19</w:t>
            </w:r>
          </w:p>
        </w:tc>
      </w:tr>
      <w:tr w:rsidR="00095916" w:rsidRPr="00EB25EC" w:rsidTr="001F0C51">
        <w:tc>
          <w:tcPr>
            <w:tcW w:w="1982" w:type="dxa"/>
          </w:tcPr>
          <w:p w:rsidR="00095916" w:rsidRPr="00EB25EC" w:rsidRDefault="00095916" w:rsidP="001F0C51">
            <w:pPr>
              <w:rPr>
                <w:rFonts w:ascii="Times New Roman" w:hAnsi="Times New Roman"/>
                <w:b/>
                <w:sz w:val="28"/>
                <w:szCs w:val="28"/>
              </w:rPr>
            </w:pPr>
            <w:r w:rsidRPr="00EB25EC">
              <w:rPr>
                <w:rFonts w:ascii="Times New Roman" w:hAnsi="Times New Roman"/>
                <w:b/>
                <w:sz w:val="28"/>
                <w:szCs w:val="28"/>
              </w:rPr>
              <w:t xml:space="preserve">пНКР, </w:t>
            </w:r>
            <w:r w:rsidRPr="00EB25EC">
              <w:rPr>
                <w:rFonts w:ascii="Times New Roman" w:hAnsi="Times New Roman" w:cs="Times New Roman"/>
                <w:b/>
                <w:sz w:val="28"/>
                <w:szCs w:val="28"/>
              </w:rPr>
              <w:t>n=16</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1,36</w:t>
            </w:r>
            <w:r>
              <w:rPr>
                <w:rFonts w:ascii="Times New Roman" w:hAnsi="Times New Roman" w:cs="Times New Roman"/>
                <w:sz w:val="28"/>
                <w:szCs w:val="28"/>
              </w:rPr>
              <w:t>±0,43</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1,04</w:t>
            </w:r>
            <w:r>
              <w:rPr>
                <w:rFonts w:ascii="Times New Roman" w:hAnsi="Times New Roman" w:cs="Times New Roman"/>
                <w:sz w:val="28"/>
                <w:szCs w:val="28"/>
              </w:rPr>
              <w:t>±0,15</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0,74</w:t>
            </w:r>
            <w:r>
              <w:rPr>
                <w:rFonts w:ascii="Times New Roman" w:hAnsi="Times New Roman" w:cs="Times New Roman"/>
                <w:sz w:val="28"/>
                <w:szCs w:val="28"/>
              </w:rPr>
              <w:t>±0,35</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cs="Times New Roman"/>
                <w:sz w:val="28"/>
                <w:szCs w:val="28"/>
              </w:rPr>
              <w:t>0,78±0,19</w:t>
            </w:r>
          </w:p>
        </w:tc>
      </w:tr>
      <w:tr w:rsidR="00095916" w:rsidRPr="00EB25EC" w:rsidTr="001F0C51">
        <w:tc>
          <w:tcPr>
            <w:tcW w:w="1982" w:type="dxa"/>
          </w:tcPr>
          <w:p w:rsidR="00095916" w:rsidRPr="00EB25EC" w:rsidRDefault="00095916" w:rsidP="001F0C51">
            <w:pPr>
              <w:rPr>
                <w:rFonts w:ascii="Times New Roman" w:hAnsi="Times New Roman"/>
                <w:b/>
                <w:sz w:val="28"/>
                <w:szCs w:val="28"/>
              </w:rPr>
            </w:pPr>
            <w:r w:rsidRPr="00EB25EC">
              <w:rPr>
                <w:rFonts w:ascii="Times New Roman" w:hAnsi="Times New Roman"/>
                <w:b/>
                <w:sz w:val="28"/>
                <w:szCs w:val="28"/>
              </w:rPr>
              <w:t xml:space="preserve">хрНКР, </w:t>
            </w:r>
            <w:r w:rsidRPr="00EB25EC">
              <w:rPr>
                <w:rFonts w:ascii="Times New Roman" w:hAnsi="Times New Roman" w:cs="Times New Roman"/>
                <w:b/>
                <w:sz w:val="28"/>
                <w:szCs w:val="28"/>
              </w:rPr>
              <w:t>n=15</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1,14</w:t>
            </w:r>
            <w:r>
              <w:rPr>
                <w:rFonts w:ascii="Times New Roman" w:hAnsi="Times New Roman" w:cs="Times New Roman"/>
                <w:sz w:val="28"/>
                <w:szCs w:val="28"/>
              </w:rPr>
              <w:t>±0,25</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cs="Times New Roman"/>
                <w:sz w:val="28"/>
                <w:szCs w:val="28"/>
              </w:rPr>
              <w:t>0,79±0,11</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0,78</w:t>
            </w:r>
            <w:r>
              <w:rPr>
                <w:rFonts w:ascii="Times New Roman" w:hAnsi="Times New Roman" w:cs="Times New Roman"/>
                <w:sz w:val="28"/>
                <w:szCs w:val="28"/>
              </w:rPr>
              <w:t>±0,35</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0,80</w:t>
            </w:r>
            <w:r>
              <w:rPr>
                <w:rFonts w:ascii="Times New Roman" w:hAnsi="Times New Roman" w:cs="Times New Roman"/>
                <w:sz w:val="28"/>
                <w:szCs w:val="28"/>
              </w:rPr>
              <w:t>±0,17</w:t>
            </w:r>
          </w:p>
        </w:tc>
      </w:tr>
      <w:tr w:rsidR="00095916" w:rsidRPr="00EB25EC" w:rsidTr="001F0C51">
        <w:tc>
          <w:tcPr>
            <w:tcW w:w="1982" w:type="dxa"/>
          </w:tcPr>
          <w:p w:rsidR="00095916" w:rsidRPr="00EB25EC" w:rsidRDefault="00095916" w:rsidP="001F0C51">
            <w:pPr>
              <w:jc w:val="center"/>
              <w:rPr>
                <w:rFonts w:ascii="Times New Roman" w:hAnsi="Times New Roman"/>
                <w:b/>
                <w:i/>
                <w:sz w:val="28"/>
                <w:szCs w:val="28"/>
                <w:vertAlign w:val="subscript"/>
              </w:rPr>
            </w:pPr>
            <w:r w:rsidRPr="00EB25EC">
              <w:rPr>
                <w:rFonts w:ascii="Times New Roman" w:hAnsi="Times New Roman"/>
                <w:b/>
                <w:i/>
                <w:sz w:val="28"/>
                <w:szCs w:val="28"/>
              </w:rPr>
              <w:t>р</w:t>
            </w:r>
            <w:r w:rsidRPr="00EB25EC">
              <w:rPr>
                <w:rFonts w:ascii="Times New Roman" w:hAnsi="Times New Roman"/>
                <w:b/>
                <w:i/>
                <w:sz w:val="28"/>
                <w:szCs w:val="28"/>
                <w:vertAlign w:val="subscript"/>
              </w:rPr>
              <w:t>1,2</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0,809</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0,193</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0,940</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0,074</w:t>
            </w:r>
          </w:p>
        </w:tc>
      </w:tr>
      <w:tr w:rsidR="00095916" w:rsidRPr="00EB25EC" w:rsidTr="001F0C51">
        <w:tc>
          <w:tcPr>
            <w:tcW w:w="1982" w:type="dxa"/>
          </w:tcPr>
          <w:p w:rsidR="00095916" w:rsidRPr="00EB25EC" w:rsidRDefault="00095916" w:rsidP="001F0C51">
            <w:pPr>
              <w:jc w:val="center"/>
              <w:rPr>
                <w:rFonts w:ascii="Times New Roman" w:hAnsi="Times New Roman"/>
                <w:sz w:val="28"/>
                <w:szCs w:val="28"/>
              </w:rPr>
            </w:pPr>
            <w:r w:rsidRPr="00EB25EC">
              <w:rPr>
                <w:rFonts w:ascii="Times New Roman" w:hAnsi="Times New Roman"/>
                <w:b/>
                <w:i/>
                <w:sz w:val="28"/>
                <w:szCs w:val="28"/>
              </w:rPr>
              <w:t>р</w:t>
            </w:r>
            <w:r w:rsidRPr="00EB25EC">
              <w:rPr>
                <w:rFonts w:ascii="Times New Roman" w:hAnsi="Times New Roman"/>
                <w:b/>
                <w:i/>
                <w:sz w:val="28"/>
                <w:szCs w:val="28"/>
                <w:vertAlign w:val="subscript"/>
              </w:rPr>
              <w:t>1,3</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0,096</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0,057</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0,995</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0,201</w:t>
            </w:r>
          </w:p>
        </w:tc>
      </w:tr>
      <w:tr w:rsidR="00095916" w:rsidRPr="00EB25EC" w:rsidTr="001F0C51">
        <w:tc>
          <w:tcPr>
            <w:tcW w:w="1982" w:type="dxa"/>
          </w:tcPr>
          <w:p w:rsidR="00095916" w:rsidRPr="00EB25EC" w:rsidRDefault="00095916" w:rsidP="001F0C51">
            <w:pPr>
              <w:jc w:val="center"/>
              <w:rPr>
                <w:rFonts w:ascii="Times New Roman" w:hAnsi="Times New Roman"/>
                <w:sz w:val="28"/>
                <w:szCs w:val="28"/>
              </w:rPr>
            </w:pPr>
            <w:r w:rsidRPr="00EB25EC">
              <w:rPr>
                <w:rFonts w:ascii="Times New Roman" w:hAnsi="Times New Roman"/>
                <w:b/>
                <w:i/>
                <w:sz w:val="28"/>
                <w:szCs w:val="28"/>
              </w:rPr>
              <w:t>р</w:t>
            </w:r>
            <w:r w:rsidRPr="00EB25EC">
              <w:rPr>
                <w:rFonts w:ascii="Times New Roman" w:hAnsi="Times New Roman"/>
                <w:b/>
                <w:i/>
                <w:sz w:val="28"/>
                <w:szCs w:val="28"/>
                <w:vertAlign w:val="subscript"/>
              </w:rPr>
              <w:t>2,3</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0,446</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0,004</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0,936</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0,933</w:t>
            </w:r>
          </w:p>
        </w:tc>
      </w:tr>
    </w:tbl>
    <w:p w:rsidR="00095916" w:rsidRPr="00EB25EC" w:rsidRDefault="00095916" w:rsidP="00095916">
      <w:pPr>
        <w:spacing w:line="360" w:lineRule="auto"/>
        <w:contextualSpacing/>
        <w:rPr>
          <w:rFonts w:ascii="Times New Roman" w:hAnsi="Times New Roman" w:cs="Times New Roman"/>
          <w:b/>
          <w:sz w:val="28"/>
          <w:szCs w:val="28"/>
        </w:rPr>
      </w:pPr>
    </w:p>
    <w:p w:rsidR="00095916" w:rsidRPr="00E11480" w:rsidRDefault="00095916" w:rsidP="00E11480">
      <w:pPr>
        <w:spacing w:line="360" w:lineRule="auto"/>
        <w:contextualSpacing/>
        <w:jc w:val="both"/>
        <w:rPr>
          <w:rFonts w:ascii="Times New Roman" w:hAnsi="Times New Roman"/>
          <w:sz w:val="28"/>
          <w:szCs w:val="28"/>
        </w:rPr>
      </w:pPr>
      <w:r>
        <w:rPr>
          <w:rFonts w:ascii="Times New Roman" w:hAnsi="Times New Roman" w:cs="Times New Roman"/>
          <w:b/>
          <w:sz w:val="28"/>
          <w:szCs w:val="28"/>
        </w:rPr>
        <w:tab/>
      </w:r>
      <w:r w:rsidRPr="0070096B">
        <w:rPr>
          <w:rFonts w:ascii="Times New Roman" w:hAnsi="Times New Roman" w:cs="Times New Roman"/>
          <w:sz w:val="28"/>
          <w:szCs w:val="28"/>
        </w:rPr>
        <w:t>На противагу наведеним вище даним,</w:t>
      </w:r>
      <w:r>
        <w:rPr>
          <w:rFonts w:ascii="Times New Roman" w:hAnsi="Times New Roman" w:cs="Times New Roman"/>
          <w:b/>
          <w:sz w:val="28"/>
          <w:szCs w:val="28"/>
        </w:rPr>
        <w:t xml:space="preserve"> </w:t>
      </w:r>
      <w:r w:rsidRPr="00EB25EC">
        <w:rPr>
          <w:rFonts w:ascii="Times New Roman" w:hAnsi="Times New Roman"/>
          <w:sz w:val="28"/>
          <w:szCs w:val="28"/>
        </w:rPr>
        <w:t xml:space="preserve">на КТ-зображеннях різних фаз </w:t>
      </w:r>
      <w:r>
        <w:rPr>
          <w:rFonts w:ascii="Times New Roman" w:hAnsi="Times New Roman" w:cs="Times New Roman"/>
          <w:sz w:val="28"/>
          <w:szCs w:val="28"/>
        </w:rPr>
        <w:t xml:space="preserve">ми спостерігали значні відмінності у показниках променевої щільності </w:t>
      </w:r>
      <w:r>
        <w:rPr>
          <w:rFonts w:ascii="Times New Roman" w:hAnsi="Times New Roman"/>
          <w:sz w:val="28"/>
          <w:szCs w:val="28"/>
        </w:rPr>
        <w:t xml:space="preserve">конвенційного </w:t>
      </w:r>
      <w:r w:rsidRPr="00154E0E">
        <w:rPr>
          <w:rFonts w:ascii="Times New Roman" w:hAnsi="Times New Roman"/>
          <w:sz w:val="28"/>
          <w:szCs w:val="28"/>
        </w:rPr>
        <w:t>НКР високого та низького ступенів за Fuhrman</w:t>
      </w:r>
      <w:r>
        <w:rPr>
          <w:rFonts w:ascii="Times New Roman" w:hAnsi="Times New Roman"/>
          <w:sz w:val="28"/>
          <w:szCs w:val="28"/>
        </w:rPr>
        <w:t xml:space="preserve">. Пухлини низького </w:t>
      </w:r>
      <w:r w:rsidR="00B02037">
        <w:rPr>
          <w:rFonts w:ascii="Times New Roman" w:hAnsi="Times New Roman"/>
          <w:sz w:val="28"/>
          <w:szCs w:val="28"/>
        </w:rPr>
        <w:t>ступеня</w:t>
      </w:r>
      <w:r>
        <w:rPr>
          <w:rFonts w:ascii="Times New Roman" w:hAnsi="Times New Roman"/>
          <w:sz w:val="28"/>
          <w:szCs w:val="28"/>
        </w:rPr>
        <w:t xml:space="preserve"> мали достовірно вищі значення у порівнянні із високим на знімках КТ всіх фаз</w:t>
      </w:r>
      <w:r w:rsidR="00DB5091">
        <w:rPr>
          <w:rFonts w:ascii="Times New Roman" w:hAnsi="Times New Roman"/>
          <w:sz w:val="28"/>
          <w:szCs w:val="28"/>
        </w:rPr>
        <w:t>, крім екскреторної</w:t>
      </w:r>
      <w:r>
        <w:rPr>
          <w:rFonts w:ascii="Times New Roman" w:hAnsi="Times New Roman"/>
          <w:sz w:val="28"/>
          <w:szCs w:val="28"/>
        </w:rPr>
        <w:t xml:space="preserve">. Так, на КТ-зображеннях кортико-медулярної фази, середня ІС світлоклітинного НКР низького </w:t>
      </w:r>
      <w:r w:rsidR="00B02037">
        <w:rPr>
          <w:rFonts w:ascii="Times New Roman" w:hAnsi="Times New Roman"/>
          <w:sz w:val="28"/>
          <w:szCs w:val="28"/>
        </w:rPr>
        <w:t>ступеня</w:t>
      </w:r>
      <w:r>
        <w:rPr>
          <w:rFonts w:ascii="Times New Roman" w:hAnsi="Times New Roman"/>
          <w:sz w:val="28"/>
          <w:szCs w:val="28"/>
        </w:rPr>
        <w:t xml:space="preserve"> </w:t>
      </w:r>
      <w:r w:rsidRPr="00154E0E">
        <w:rPr>
          <w:rFonts w:ascii="Times New Roman" w:hAnsi="Times New Roman"/>
          <w:sz w:val="28"/>
          <w:szCs w:val="28"/>
        </w:rPr>
        <w:t>за Fuhrman</w:t>
      </w:r>
      <w:r>
        <w:rPr>
          <w:rFonts w:ascii="Times New Roman" w:hAnsi="Times New Roman"/>
          <w:sz w:val="28"/>
          <w:szCs w:val="28"/>
        </w:rPr>
        <w:t xml:space="preserve"> становив 123,97</w:t>
      </w:r>
      <w:r>
        <w:rPr>
          <w:rFonts w:ascii="Times New Roman" w:hAnsi="Times New Roman" w:cs="Times New Roman"/>
          <w:sz w:val="28"/>
          <w:szCs w:val="28"/>
        </w:rPr>
        <w:t xml:space="preserve">±24,06 </w:t>
      </w:r>
      <w:r>
        <w:rPr>
          <w:rFonts w:ascii="Times New Roman" w:hAnsi="Times New Roman" w:cs="Times New Roman"/>
          <w:sz w:val="28"/>
          <w:szCs w:val="28"/>
          <w:lang w:val="en-US"/>
        </w:rPr>
        <w:t>HU</w:t>
      </w:r>
      <w:r>
        <w:rPr>
          <w:rFonts w:ascii="Times New Roman" w:hAnsi="Times New Roman" w:cs="Times New Roman"/>
          <w:sz w:val="28"/>
          <w:szCs w:val="28"/>
        </w:rPr>
        <w:t xml:space="preserve"> та достовірно відрізнявся від даного показника у підгрупі із скНКР високого </w:t>
      </w:r>
      <w:r w:rsidR="00B02037">
        <w:rPr>
          <w:rFonts w:ascii="Times New Roman" w:hAnsi="Times New Roman" w:cs="Times New Roman"/>
          <w:sz w:val="28"/>
          <w:szCs w:val="28"/>
        </w:rPr>
        <w:t>ступеня</w:t>
      </w:r>
      <w:r>
        <w:rPr>
          <w:rFonts w:ascii="Times New Roman" w:hAnsi="Times New Roman" w:cs="Times New Roman"/>
          <w:sz w:val="28"/>
          <w:szCs w:val="28"/>
        </w:rPr>
        <w:t xml:space="preserve"> (</w:t>
      </w:r>
      <w:r>
        <w:rPr>
          <w:rFonts w:ascii="Times New Roman" w:hAnsi="Times New Roman"/>
          <w:sz w:val="28"/>
          <w:szCs w:val="28"/>
        </w:rPr>
        <w:t>90,10</w:t>
      </w:r>
      <w:r>
        <w:rPr>
          <w:rFonts w:ascii="Times New Roman" w:hAnsi="Times New Roman" w:cs="Times New Roman"/>
          <w:sz w:val="28"/>
          <w:szCs w:val="28"/>
        </w:rPr>
        <w:t>±16,11</w:t>
      </w:r>
      <w:r w:rsidRPr="00B02037">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р</w:t>
      </w:r>
      <w:r w:rsidRPr="00B02037">
        <w:rPr>
          <w:rFonts w:ascii="Times New Roman" w:hAnsi="Times New Roman"/>
          <w:sz w:val="28"/>
          <w:szCs w:val="28"/>
        </w:rPr>
        <w:t>&lt;</w:t>
      </w:r>
      <w:r>
        <w:rPr>
          <w:rFonts w:ascii="Times New Roman" w:hAnsi="Times New Roman"/>
          <w:sz w:val="28"/>
          <w:szCs w:val="28"/>
        </w:rPr>
        <w:t xml:space="preserve">0,001). </w:t>
      </w:r>
      <w:r w:rsidR="00DB5091">
        <w:rPr>
          <w:rFonts w:ascii="Times New Roman" w:hAnsi="Times New Roman"/>
          <w:sz w:val="28"/>
          <w:szCs w:val="28"/>
        </w:rPr>
        <w:t>Подібні</w:t>
      </w:r>
      <w:r>
        <w:rPr>
          <w:rFonts w:ascii="Times New Roman" w:hAnsi="Times New Roman"/>
          <w:sz w:val="28"/>
          <w:szCs w:val="28"/>
        </w:rPr>
        <w:t xml:space="preserve"> результати у характеристиці ск</w:t>
      </w:r>
      <w:r w:rsidRPr="00154E0E">
        <w:rPr>
          <w:rFonts w:ascii="Times New Roman" w:hAnsi="Times New Roman"/>
          <w:sz w:val="28"/>
          <w:szCs w:val="28"/>
        </w:rPr>
        <w:t>НКР високого та низького ступенів за Fuhrman</w:t>
      </w:r>
      <w:r>
        <w:rPr>
          <w:rFonts w:ascii="Times New Roman" w:hAnsi="Times New Roman"/>
          <w:sz w:val="28"/>
          <w:szCs w:val="28"/>
        </w:rPr>
        <w:t xml:space="preserve"> демонструвало відношення променевої </w:t>
      </w:r>
      <w:r w:rsidRPr="00E55B91">
        <w:rPr>
          <w:rFonts w:ascii="Times New Roman" w:hAnsi="Times New Roman"/>
          <w:sz w:val="28"/>
          <w:szCs w:val="28"/>
        </w:rPr>
        <w:t>щільності пухлини до нормальної ниркової паренхіми</w:t>
      </w:r>
      <w:r>
        <w:rPr>
          <w:rFonts w:ascii="Times New Roman" w:hAnsi="Times New Roman"/>
          <w:sz w:val="28"/>
          <w:szCs w:val="28"/>
        </w:rPr>
        <w:t xml:space="preserve">. Достовірна різниця між середніми значеннями цього показника у вказаних підгрупах хворих не відмічалась на </w:t>
      </w:r>
      <w:r>
        <w:rPr>
          <w:rFonts w:ascii="Times New Roman" w:hAnsi="Times New Roman"/>
          <w:sz w:val="28"/>
          <w:szCs w:val="28"/>
        </w:rPr>
        <w:lastRenderedPageBreak/>
        <w:t xml:space="preserve">зображеннях екскреторної фази (р=0,155), але була статистичною достовірною у випадку ПКЗ, КМФ та НФ. При цьому пухлини із низьким ступенем за </w:t>
      </w:r>
      <w:r w:rsidRPr="00154E0E">
        <w:rPr>
          <w:rFonts w:ascii="Times New Roman" w:hAnsi="Times New Roman"/>
          <w:sz w:val="28"/>
          <w:szCs w:val="28"/>
        </w:rPr>
        <w:t>Fuhrman</w:t>
      </w:r>
      <w:r>
        <w:rPr>
          <w:rFonts w:ascii="Times New Roman" w:hAnsi="Times New Roman"/>
          <w:sz w:val="28"/>
          <w:szCs w:val="28"/>
        </w:rPr>
        <w:t xml:space="preserve"> мали вищі показники ВПЩ у порівнянні з високим. Наприклад, на зображеннях кортико-медулярної фази, середнє значення відношення променевої </w:t>
      </w:r>
      <w:r w:rsidRPr="00E55B91">
        <w:rPr>
          <w:rFonts w:ascii="Times New Roman" w:hAnsi="Times New Roman"/>
          <w:sz w:val="28"/>
          <w:szCs w:val="28"/>
        </w:rPr>
        <w:t>щільності пухлини до нормальної ниркової паренхіми</w:t>
      </w:r>
      <w:r>
        <w:rPr>
          <w:rFonts w:ascii="Times New Roman" w:hAnsi="Times New Roman"/>
          <w:sz w:val="28"/>
          <w:szCs w:val="28"/>
        </w:rPr>
        <w:t xml:space="preserve"> при низькому ступені скНКР становило 1,10</w:t>
      </w:r>
      <w:r>
        <w:rPr>
          <w:rFonts w:ascii="Times New Roman" w:hAnsi="Times New Roman" w:cs="Times New Roman"/>
          <w:sz w:val="28"/>
          <w:szCs w:val="28"/>
        </w:rPr>
        <w:t xml:space="preserve">±0,20, а при високому – </w:t>
      </w:r>
      <w:r>
        <w:rPr>
          <w:rFonts w:ascii="Times New Roman" w:hAnsi="Times New Roman"/>
          <w:sz w:val="28"/>
          <w:szCs w:val="28"/>
        </w:rPr>
        <w:t>0,76</w:t>
      </w:r>
      <w:r>
        <w:rPr>
          <w:rFonts w:ascii="Times New Roman" w:hAnsi="Times New Roman" w:cs="Times New Roman"/>
          <w:sz w:val="28"/>
          <w:szCs w:val="28"/>
        </w:rPr>
        <w:t>±0,14 (р</w:t>
      </w:r>
      <w:r w:rsidRPr="009E6C7E">
        <w:rPr>
          <w:rFonts w:ascii="Times New Roman" w:hAnsi="Times New Roman"/>
          <w:sz w:val="28"/>
          <w:szCs w:val="28"/>
          <w:lang w:val="ru-RU"/>
        </w:rPr>
        <w:t>&lt;</w:t>
      </w:r>
      <w:r>
        <w:rPr>
          <w:rFonts w:ascii="Times New Roman" w:hAnsi="Times New Roman"/>
          <w:sz w:val="28"/>
          <w:szCs w:val="28"/>
        </w:rPr>
        <w:t>0,001). Отримані д</w:t>
      </w:r>
      <w:r w:rsidR="00293044">
        <w:rPr>
          <w:rFonts w:ascii="Times New Roman" w:hAnsi="Times New Roman"/>
          <w:sz w:val="28"/>
          <w:szCs w:val="28"/>
        </w:rPr>
        <w:t>ані представлені у  таблиці 3.23</w:t>
      </w:r>
      <w:r>
        <w:rPr>
          <w:rFonts w:ascii="Times New Roman" w:hAnsi="Times New Roman"/>
          <w:sz w:val="28"/>
          <w:szCs w:val="28"/>
        </w:rPr>
        <w:t>.</w:t>
      </w:r>
    </w:p>
    <w:p w:rsidR="00095916" w:rsidRPr="00EB25EC" w:rsidRDefault="00095916" w:rsidP="00095916">
      <w:pPr>
        <w:spacing w:line="360" w:lineRule="auto"/>
        <w:ind w:firstLine="708"/>
        <w:jc w:val="right"/>
        <w:rPr>
          <w:rFonts w:ascii="Times New Roman" w:hAnsi="Times New Roman"/>
          <w:sz w:val="28"/>
          <w:szCs w:val="28"/>
        </w:rPr>
      </w:pPr>
      <w:r w:rsidRPr="00EB25EC">
        <w:rPr>
          <w:rFonts w:ascii="Times New Roman" w:hAnsi="Times New Roman"/>
          <w:sz w:val="28"/>
          <w:szCs w:val="28"/>
        </w:rPr>
        <w:t>Таблиця</w:t>
      </w:r>
      <w:r w:rsidR="00293044">
        <w:rPr>
          <w:rFonts w:ascii="Times New Roman" w:hAnsi="Times New Roman"/>
          <w:sz w:val="28"/>
          <w:szCs w:val="28"/>
        </w:rPr>
        <w:t xml:space="preserve"> 3.23</w:t>
      </w:r>
    </w:p>
    <w:p w:rsidR="00095916" w:rsidRPr="00EB25EC" w:rsidRDefault="00095916" w:rsidP="00095916">
      <w:pPr>
        <w:spacing w:line="360" w:lineRule="auto"/>
        <w:jc w:val="center"/>
        <w:rPr>
          <w:rFonts w:ascii="Times New Roman" w:hAnsi="Times New Roman"/>
          <w:sz w:val="28"/>
          <w:szCs w:val="28"/>
        </w:rPr>
      </w:pPr>
      <w:r w:rsidRPr="00EB25EC">
        <w:rPr>
          <w:rFonts w:ascii="Times New Roman" w:hAnsi="Times New Roman"/>
          <w:sz w:val="28"/>
          <w:szCs w:val="28"/>
        </w:rPr>
        <w:t xml:space="preserve">Середня інтенсивність сигналу пухлини на КТ-зображеннях різних фаз при </w:t>
      </w:r>
      <w:r w:rsidRPr="00154E0E">
        <w:rPr>
          <w:rFonts w:ascii="Times New Roman" w:hAnsi="Times New Roman"/>
          <w:sz w:val="28"/>
          <w:szCs w:val="28"/>
        </w:rPr>
        <w:t>скНКР високого та низького ступенів за Fuhrman</w:t>
      </w:r>
    </w:p>
    <w:tbl>
      <w:tblPr>
        <w:tblStyle w:val="TableGrid"/>
        <w:tblW w:w="9781" w:type="dxa"/>
        <w:tblInd w:w="-147" w:type="dxa"/>
        <w:tblLook w:val="04A0" w:firstRow="1" w:lastRow="0" w:firstColumn="1" w:lastColumn="0" w:noHBand="0" w:noVBand="1"/>
      </w:tblPr>
      <w:tblGrid>
        <w:gridCol w:w="1982"/>
        <w:gridCol w:w="1857"/>
        <w:gridCol w:w="1855"/>
        <w:gridCol w:w="2202"/>
        <w:gridCol w:w="1885"/>
      </w:tblGrid>
      <w:tr w:rsidR="00095916" w:rsidRPr="00EB25EC" w:rsidTr="001F0C51">
        <w:trPr>
          <w:trHeight w:val="322"/>
        </w:trPr>
        <w:tc>
          <w:tcPr>
            <w:tcW w:w="1982" w:type="dxa"/>
            <w:vMerge w:val="restart"/>
          </w:tcPr>
          <w:p w:rsidR="00095916" w:rsidRPr="00EB25EC" w:rsidRDefault="00095916" w:rsidP="001F0C51">
            <w:pPr>
              <w:jc w:val="center"/>
              <w:rPr>
                <w:rFonts w:ascii="Times New Roman" w:hAnsi="Times New Roman"/>
                <w:b/>
                <w:sz w:val="28"/>
                <w:szCs w:val="28"/>
              </w:rPr>
            </w:pPr>
            <w:r w:rsidRPr="00EB25EC">
              <w:rPr>
                <w:rFonts w:ascii="Times New Roman" w:hAnsi="Times New Roman"/>
                <w:b/>
                <w:sz w:val="28"/>
                <w:szCs w:val="28"/>
              </w:rPr>
              <w:t>Підгрупа</w:t>
            </w:r>
          </w:p>
        </w:tc>
        <w:tc>
          <w:tcPr>
            <w:tcW w:w="7799" w:type="dxa"/>
            <w:gridSpan w:val="4"/>
          </w:tcPr>
          <w:p w:rsidR="00095916" w:rsidRPr="00EB25EC" w:rsidRDefault="00095916" w:rsidP="001F0C51">
            <w:pPr>
              <w:jc w:val="center"/>
              <w:rPr>
                <w:rFonts w:ascii="Times New Roman" w:hAnsi="Times New Roman"/>
                <w:b/>
                <w:sz w:val="28"/>
                <w:szCs w:val="28"/>
              </w:rPr>
            </w:pPr>
            <w:r w:rsidRPr="00EB25EC">
              <w:rPr>
                <w:rFonts w:ascii="Times New Roman" w:hAnsi="Times New Roman"/>
                <w:b/>
                <w:sz w:val="28"/>
                <w:szCs w:val="28"/>
              </w:rPr>
              <w:t>Фаза КТ</w:t>
            </w:r>
          </w:p>
        </w:tc>
      </w:tr>
      <w:tr w:rsidR="00095916" w:rsidRPr="00EB25EC" w:rsidTr="001F0C51">
        <w:trPr>
          <w:trHeight w:val="654"/>
        </w:trPr>
        <w:tc>
          <w:tcPr>
            <w:tcW w:w="1982" w:type="dxa"/>
            <w:vMerge/>
            <w:tcBorders>
              <w:bottom w:val="single" w:sz="4" w:space="0" w:color="auto"/>
            </w:tcBorders>
          </w:tcPr>
          <w:p w:rsidR="00095916" w:rsidRPr="00EB25EC" w:rsidRDefault="00095916" w:rsidP="001F0C51">
            <w:pPr>
              <w:jc w:val="center"/>
              <w:rPr>
                <w:rFonts w:ascii="Times New Roman" w:hAnsi="Times New Roman"/>
                <w:b/>
                <w:sz w:val="28"/>
                <w:szCs w:val="28"/>
              </w:rPr>
            </w:pPr>
          </w:p>
        </w:tc>
        <w:tc>
          <w:tcPr>
            <w:tcW w:w="1857" w:type="dxa"/>
            <w:tcBorders>
              <w:bottom w:val="single" w:sz="4" w:space="0" w:color="auto"/>
            </w:tcBorders>
          </w:tcPr>
          <w:p w:rsidR="00095916" w:rsidRPr="00EB25EC" w:rsidRDefault="00095916" w:rsidP="001F0C51">
            <w:pPr>
              <w:jc w:val="center"/>
              <w:rPr>
                <w:rFonts w:ascii="Times New Roman" w:hAnsi="Times New Roman"/>
                <w:b/>
                <w:sz w:val="28"/>
                <w:szCs w:val="28"/>
              </w:rPr>
            </w:pPr>
            <w:r>
              <w:rPr>
                <w:rFonts w:ascii="Times New Roman" w:hAnsi="Times New Roman"/>
                <w:b/>
                <w:sz w:val="28"/>
                <w:szCs w:val="28"/>
              </w:rPr>
              <w:t>Пре-контрастні зображення</w:t>
            </w:r>
          </w:p>
        </w:tc>
        <w:tc>
          <w:tcPr>
            <w:tcW w:w="1855" w:type="dxa"/>
            <w:tcBorders>
              <w:bottom w:val="single" w:sz="4" w:space="0" w:color="auto"/>
            </w:tcBorders>
          </w:tcPr>
          <w:p w:rsidR="00095916" w:rsidRPr="00EB25EC" w:rsidRDefault="00095916" w:rsidP="001F0C51">
            <w:pPr>
              <w:jc w:val="center"/>
              <w:rPr>
                <w:rFonts w:ascii="Times New Roman" w:hAnsi="Times New Roman"/>
                <w:b/>
                <w:sz w:val="28"/>
                <w:szCs w:val="28"/>
              </w:rPr>
            </w:pPr>
            <w:r>
              <w:rPr>
                <w:rFonts w:ascii="Times New Roman" w:hAnsi="Times New Roman"/>
                <w:b/>
                <w:sz w:val="28"/>
                <w:szCs w:val="28"/>
              </w:rPr>
              <w:t>Кортико-медулярна фаза</w:t>
            </w:r>
          </w:p>
        </w:tc>
        <w:tc>
          <w:tcPr>
            <w:tcW w:w="2202" w:type="dxa"/>
            <w:tcBorders>
              <w:bottom w:val="single" w:sz="4" w:space="0" w:color="auto"/>
            </w:tcBorders>
          </w:tcPr>
          <w:p w:rsidR="00095916" w:rsidRPr="00EB25EC" w:rsidRDefault="00095916" w:rsidP="001F0C51">
            <w:pPr>
              <w:jc w:val="center"/>
              <w:rPr>
                <w:rFonts w:ascii="Times New Roman" w:hAnsi="Times New Roman"/>
                <w:b/>
                <w:sz w:val="28"/>
                <w:szCs w:val="28"/>
              </w:rPr>
            </w:pPr>
            <w:r>
              <w:rPr>
                <w:rFonts w:ascii="Times New Roman" w:hAnsi="Times New Roman"/>
                <w:b/>
                <w:sz w:val="28"/>
                <w:szCs w:val="28"/>
              </w:rPr>
              <w:t>Нефрографічна фаза</w:t>
            </w:r>
          </w:p>
        </w:tc>
        <w:tc>
          <w:tcPr>
            <w:tcW w:w="1885" w:type="dxa"/>
            <w:tcBorders>
              <w:bottom w:val="single" w:sz="4" w:space="0" w:color="auto"/>
            </w:tcBorders>
          </w:tcPr>
          <w:p w:rsidR="00095916" w:rsidRPr="00EB25EC" w:rsidRDefault="00095916" w:rsidP="001F0C51">
            <w:pPr>
              <w:jc w:val="center"/>
              <w:rPr>
                <w:rFonts w:ascii="Times New Roman" w:hAnsi="Times New Roman"/>
                <w:b/>
                <w:sz w:val="28"/>
                <w:szCs w:val="28"/>
              </w:rPr>
            </w:pPr>
            <w:r w:rsidRPr="00EB25EC">
              <w:rPr>
                <w:rFonts w:ascii="Times New Roman" w:hAnsi="Times New Roman"/>
                <w:b/>
                <w:sz w:val="28"/>
                <w:szCs w:val="28"/>
              </w:rPr>
              <w:t>Е</w:t>
            </w:r>
            <w:r>
              <w:rPr>
                <w:rFonts w:ascii="Times New Roman" w:hAnsi="Times New Roman"/>
                <w:b/>
                <w:sz w:val="28"/>
                <w:szCs w:val="28"/>
              </w:rPr>
              <w:t>кскреторна фаза</w:t>
            </w:r>
          </w:p>
        </w:tc>
      </w:tr>
      <w:tr w:rsidR="00095916" w:rsidRPr="00EB25EC" w:rsidTr="001F0C51">
        <w:trPr>
          <w:trHeight w:val="291"/>
        </w:trPr>
        <w:tc>
          <w:tcPr>
            <w:tcW w:w="9781" w:type="dxa"/>
            <w:gridSpan w:val="5"/>
            <w:tcBorders>
              <w:bottom w:val="single" w:sz="4" w:space="0" w:color="auto"/>
            </w:tcBorders>
          </w:tcPr>
          <w:p w:rsidR="00095916" w:rsidRPr="00C24D6C" w:rsidRDefault="00095916" w:rsidP="001F0C51">
            <w:pPr>
              <w:jc w:val="center"/>
              <w:rPr>
                <w:rFonts w:ascii="Times New Roman" w:hAnsi="Times New Roman"/>
                <w:b/>
                <w:sz w:val="28"/>
                <w:szCs w:val="28"/>
              </w:rPr>
            </w:pPr>
            <w:r w:rsidRPr="00C24D6C">
              <w:rPr>
                <w:rFonts w:ascii="Times New Roman" w:hAnsi="Times New Roman"/>
                <w:b/>
                <w:sz w:val="28"/>
                <w:szCs w:val="28"/>
              </w:rPr>
              <w:t>Інтенсивність сигналу пухлини, HU</w:t>
            </w:r>
          </w:p>
        </w:tc>
      </w:tr>
      <w:tr w:rsidR="00095916" w:rsidRPr="00EB25EC" w:rsidTr="001F0C51">
        <w:trPr>
          <w:trHeight w:val="182"/>
        </w:trPr>
        <w:tc>
          <w:tcPr>
            <w:tcW w:w="1982" w:type="dxa"/>
          </w:tcPr>
          <w:p w:rsidR="00095916" w:rsidRPr="00841F39" w:rsidRDefault="00095916" w:rsidP="001F0C51">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низький ступінь </w:t>
            </w:r>
            <w:r>
              <w:rPr>
                <w:rFonts w:ascii="Times New Roman" w:hAnsi="Times New Roman"/>
                <w:b/>
                <w:sz w:val="28"/>
                <w:szCs w:val="28"/>
                <w:lang w:val="en-US"/>
              </w:rPr>
              <w:t>n=</w:t>
            </w:r>
            <w:r>
              <w:rPr>
                <w:rFonts w:ascii="Times New Roman" w:hAnsi="Times New Roman"/>
                <w:b/>
                <w:sz w:val="28"/>
                <w:szCs w:val="28"/>
              </w:rPr>
              <w:t>28</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48,68</w:t>
            </w:r>
            <w:r>
              <w:rPr>
                <w:rFonts w:ascii="Times New Roman" w:hAnsi="Times New Roman" w:cs="Times New Roman"/>
                <w:sz w:val="28"/>
                <w:szCs w:val="28"/>
              </w:rPr>
              <w:t>±</w:t>
            </w:r>
            <w:r>
              <w:rPr>
                <w:rFonts w:ascii="Times New Roman" w:hAnsi="Times New Roman"/>
                <w:sz w:val="28"/>
                <w:szCs w:val="28"/>
              </w:rPr>
              <w:t>9,91</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123,97</w:t>
            </w:r>
            <w:r>
              <w:rPr>
                <w:rFonts w:ascii="Times New Roman" w:hAnsi="Times New Roman" w:cs="Times New Roman"/>
                <w:sz w:val="28"/>
                <w:szCs w:val="28"/>
              </w:rPr>
              <w:t>±24,06</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100,74</w:t>
            </w:r>
            <w:r>
              <w:rPr>
                <w:rFonts w:ascii="Times New Roman" w:hAnsi="Times New Roman" w:cs="Times New Roman"/>
                <w:sz w:val="28"/>
                <w:szCs w:val="28"/>
              </w:rPr>
              <w:t>±6,25</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76,64</w:t>
            </w:r>
            <w:r>
              <w:rPr>
                <w:rFonts w:ascii="Times New Roman" w:hAnsi="Times New Roman" w:cs="Times New Roman"/>
                <w:sz w:val="28"/>
                <w:szCs w:val="28"/>
              </w:rPr>
              <w:t>±11,97</w:t>
            </w:r>
          </w:p>
        </w:tc>
      </w:tr>
      <w:tr w:rsidR="00095916" w:rsidRPr="00EB25EC" w:rsidTr="001F0C51">
        <w:tc>
          <w:tcPr>
            <w:tcW w:w="1982" w:type="dxa"/>
          </w:tcPr>
          <w:p w:rsidR="00095916" w:rsidRPr="00841F39" w:rsidRDefault="00095916" w:rsidP="001F0C51">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високий ступінь, </w:t>
            </w:r>
            <w:r>
              <w:rPr>
                <w:rFonts w:ascii="Times New Roman" w:hAnsi="Times New Roman"/>
                <w:b/>
                <w:sz w:val="28"/>
                <w:szCs w:val="28"/>
                <w:lang w:val="en-US"/>
              </w:rPr>
              <w:t>n=</w:t>
            </w:r>
            <w:r>
              <w:rPr>
                <w:rFonts w:ascii="Times New Roman" w:hAnsi="Times New Roman"/>
                <w:b/>
                <w:sz w:val="28"/>
                <w:szCs w:val="28"/>
              </w:rPr>
              <w:t>25</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33,27</w:t>
            </w:r>
            <w:r>
              <w:rPr>
                <w:rFonts w:ascii="Times New Roman" w:hAnsi="Times New Roman" w:cs="Times New Roman"/>
                <w:sz w:val="28"/>
                <w:szCs w:val="28"/>
              </w:rPr>
              <w:t>±3,17</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90,10</w:t>
            </w:r>
            <w:r>
              <w:rPr>
                <w:rFonts w:ascii="Times New Roman" w:hAnsi="Times New Roman" w:cs="Times New Roman"/>
                <w:sz w:val="28"/>
                <w:szCs w:val="28"/>
              </w:rPr>
              <w:t>±16,11</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75,32</w:t>
            </w:r>
            <w:r>
              <w:rPr>
                <w:rFonts w:ascii="Times New Roman" w:hAnsi="Times New Roman" w:cs="Times New Roman"/>
                <w:sz w:val="28"/>
                <w:szCs w:val="28"/>
              </w:rPr>
              <w:t>±11,05</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70,69</w:t>
            </w:r>
            <w:r>
              <w:rPr>
                <w:rFonts w:ascii="Times New Roman" w:hAnsi="Times New Roman" w:cs="Times New Roman"/>
                <w:sz w:val="28"/>
                <w:szCs w:val="28"/>
              </w:rPr>
              <w:t>±9,87</w:t>
            </w:r>
          </w:p>
        </w:tc>
      </w:tr>
      <w:tr w:rsidR="00095916" w:rsidRPr="00EB25EC" w:rsidTr="001F0C51">
        <w:tc>
          <w:tcPr>
            <w:tcW w:w="1982" w:type="dxa"/>
          </w:tcPr>
          <w:p w:rsidR="00095916" w:rsidRPr="00EB25EC" w:rsidRDefault="00095916" w:rsidP="001F0C51">
            <w:pPr>
              <w:jc w:val="center"/>
              <w:rPr>
                <w:rFonts w:ascii="Times New Roman" w:hAnsi="Times New Roman"/>
                <w:b/>
                <w:i/>
                <w:sz w:val="28"/>
                <w:szCs w:val="28"/>
                <w:vertAlign w:val="subscript"/>
              </w:rPr>
            </w:pPr>
            <w:r w:rsidRPr="00EB25EC">
              <w:rPr>
                <w:rFonts w:ascii="Times New Roman" w:hAnsi="Times New Roman"/>
                <w:b/>
                <w:i/>
                <w:sz w:val="28"/>
                <w:szCs w:val="28"/>
              </w:rPr>
              <w:t>р</w:t>
            </w:r>
            <w:r w:rsidRPr="00EB25EC">
              <w:rPr>
                <w:rFonts w:ascii="Times New Roman" w:hAnsi="Times New Roman"/>
                <w:b/>
                <w:i/>
                <w:sz w:val="28"/>
                <w:szCs w:val="28"/>
                <w:vertAlign w:val="subscript"/>
              </w:rPr>
              <w:t>1,2</w:t>
            </w:r>
          </w:p>
        </w:tc>
        <w:tc>
          <w:tcPr>
            <w:tcW w:w="1857" w:type="dxa"/>
          </w:tcPr>
          <w:p w:rsidR="00095916" w:rsidRPr="00EF6023"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0,155</w:t>
            </w:r>
          </w:p>
        </w:tc>
      </w:tr>
      <w:tr w:rsidR="00095916" w:rsidRPr="00EB25EC" w:rsidTr="001F0C51">
        <w:tc>
          <w:tcPr>
            <w:tcW w:w="9781" w:type="dxa"/>
            <w:gridSpan w:val="5"/>
          </w:tcPr>
          <w:p w:rsidR="00095916" w:rsidRPr="00C24D6C" w:rsidRDefault="00095916" w:rsidP="001F0C51">
            <w:pPr>
              <w:jc w:val="center"/>
              <w:rPr>
                <w:rFonts w:ascii="Times New Roman" w:hAnsi="Times New Roman"/>
                <w:b/>
                <w:sz w:val="28"/>
                <w:szCs w:val="28"/>
              </w:rPr>
            </w:pPr>
            <w:r w:rsidRPr="00C24D6C">
              <w:rPr>
                <w:rFonts w:ascii="Times New Roman" w:hAnsi="Times New Roman"/>
                <w:b/>
                <w:sz w:val="28"/>
                <w:szCs w:val="28"/>
              </w:rPr>
              <w:t>Відношення променевої щільності пухлини до нормальної ниркової паренхіми</w:t>
            </w:r>
          </w:p>
        </w:tc>
      </w:tr>
      <w:tr w:rsidR="00095916" w:rsidRPr="00EB25EC" w:rsidTr="001F0C51">
        <w:tc>
          <w:tcPr>
            <w:tcW w:w="1982" w:type="dxa"/>
          </w:tcPr>
          <w:p w:rsidR="00095916" w:rsidRPr="00841F39" w:rsidRDefault="00095916" w:rsidP="001F0C51">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низький ступінь </w:t>
            </w:r>
            <w:r>
              <w:rPr>
                <w:rFonts w:ascii="Times New Roman" w:hAnsi="Times New Roman"/>
                <w:b/>
                <w:sz w:val="28"/>
                <w:szCs w:val="28"/>
                <w:lang w:val="en-US"/>
              </w:rPr>
              <w:t>n=</w:t>
            </w:r>
            <w:r>
              <w:rPr>
                <w:rFonts w:ascii="Times New Roman" w:hAnsi="Times New Roman"/>
                <w:b/>
                <w:sz w:val="28"/>
                <w:szCs w:val="28"/>
              </w:rPr>
              <w:t>28</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1,67</w:t>
            </w:r>
            <w:r>
              <w:rPr>
                <w:rFonts w:ascii="Times New Roman" w:hAnsi="Times New Roman" w:cs="Times New Roman"/>
                <w:sz w:val="28"/>
                <w:szCs w:val="28"/>
              </w:rPr>
              <w:t>±0,66</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1,10</w:t>
            </w:r>
            <w:r>
              <w:rPr>
                <w:rFonts w:ascii="Times New Roman" w:hAnsi="Times New Roman" w:cs="Times New Roman"/>
                <w:sz w:val="28"/>
                <w:szCs w:val="28"/>
              </w:rPr>
              <w:t>±0,20</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0,89</w:t>
            </w:r>
            <w:r>
              <w:rPr>
                <w:rFonts w:ascii="Times New Roman" w:hAnsi="Times New Roman" w:cs="Times New Roman"/>
                <w:sz w:val="28"/>
                <w:szCs w:val="28"/>
              </w:rPr>
              <w:t>±0,27</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0,94</w:t>
            </w:r>
            <w:r>
              <w:rPr>
                <w:rFonts w:ascii="Times New Roman" w:hAnsi="Times New Roman" w:cs="Times New Roman"/>
                <w:sz w:val="28"/>
                <w:szCs w:val="28"/>
              </w:rPr>
              <w:t>±0,18</w:t>
            </w:r>
          </w:p>
        </w:tc>
      </w:tr>
      <w:tr w:rsidR="00095916" w:rsidRPr="00EB25EC" w:rsidTr="001F0C51">
        <w:tc>
          <w:tcPr>
            <w:tcW w:w="1982" w:type="dxa"/>
          </w:tcPr>
          <w:p w:rsidR="00095916" w:rsidRPr="00841F39" w:rsidRDefault="00095916" w:rsidP="001F0C51">
            <w:pPr>
              <w:rPr>
                <w:rFonts w:ascii="Times New Roman" w:hAnsi="Times New Roman"/>
                <w:b/>
                <w:sz w:val="28"/>
                <w:szCs w:val="28"/>
              </w:rPr>
            </w:pPr>
            <w:r>
              <w:rPr>
                <w:rFonts w:ascii="Times New Roman" w:hAnsi="Times New Roman"/>
                <w:b/>
                <w:sz w:val="28"/>
                <w:szCs w:val="28"/>
              </w:rPr>
              <w:t>ск</w:t>
            </w:r>
            <w:r w:rsidRPr="006E76F3">
              <w:rPr>
                <w:rFonts w:ascii="Times New Roman" w:hAnsi="Times New Roman"/>
                <w:b/>
                <w:sz w:val="28"/>
                <w:szCs w:val="28"/>
              </w:rPr>
              <w:t>НКР</w:t>
            </w:r>
            <w:r>
              <w:rPr>
                <w:rFonts w:ascii="Times New Roman" w:hAnsi="Times New Roman"/>
                <w:b/>
                <w:sz w:val="28"/>
                <w:szCs w:val="28"/>
              </w:rPr>
              <w:t xml:space="preserve">, високий ступінь, </w:t>
            </w:r>
            <w:r>
              <w:rPr>
                <w:rFonts w:ascii="Times New Roman" w:hAnsi="Times New Roman"/>
                <w:b/>
                <w:sz w:val="28"/>
                <w:szCs w:val="28"/>
                <w:lang w:val="en-US"/>
              </w:rPr>
              <w:t>n=</w:t>
            </w:r>
            <w:r>
              <w:rPr>
                <w:rFonts w:ascii="Times New Roman" w:hAnsi="Times New Roman"/>
                <w:b/>
                <w:sz w:val="28"/>
                <w:szCs w:val="28"/>
              </w:rPr>
              <w:t>25</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1,21</w:t>
            </w:r>
            <w:r>
              <w:rPr>
                <w:rFonts w:ascii="Times New Roman" w:hAnsi="Times New Roman" w:cs="Times New Roman"/>
                <w:sz w:val="28"/>
                <w:szCs w:val="28"/>
              </w:rPr>
              <w:t>±0,32</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0,76</w:t>
            </w:r>
            <w:r>
              <w:rPr>
                <w:rFonts w:ascii="Times New Roman" w:hAnsi="Times New Roman" w:cs="Times New Roman"/>
                <w:sz w:val="28"/>
                <w:szCs w:val="28"/>
              </w:rPr>
              <w:t>±0,14</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0,64</w:t>
            </w:r>
            <w:r>
              <w:rPr>
                <w:rFonts w:ascii="Times New Roman" w:hAnsi="Times New Roman" w:cs="Times New Roman"/>
                <w:sz w:val="28"/>
                <w:szCs w:val="28"/>
              </w:rPr>
              <w:t>±0,16</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0,83</w:t>
            </w:r>
            <w:r>
              <w:rPr>
                <w:rFonts w:ascii="Times New Roman" w:hAnsi="Times New Roman" w:cs="Times New Roman"/>
                <w:sz w:val="28"/>
                <w:szCs w:val="28"/>
              </w:rPr>
              <w:t>±0,18</w:t>
            </w:r>
          </w:p>
        </w:tc>
      </w:tr>
      <w:tr w:rsidR="00095916" w:rsidRPr="00EB25EC" w:rsidTr="001F0C51">
        <w:tc>
          <w:tcPr>
            <w:tcW w:w="1982" w:type="dxa"/>
          </w:tcPr>
          <w:p w:rsidR="00095916" w:rsidRPr="00EB25EC" w:rsidRDefault="00095916" w:rsidP="001F0C51">
            <w:pPr>
              <w:jc w:val="center"/>
              <w:rPr>
                <w:rFonts w:ascii="Times New Roman" w:hAnsi="Times New Roman"/>
                <w:b/>
                <w:i/>
                <w:sz w:val="28"/>
                <w:szCs w:val="28"/>
                <w:vertAlign w:val="subscript"/>
              </w:rPr>
            </w:pPr>
            <w:r w:rsidRPr="00EB25EC">
              <w:rPr>
                <w:rFonts w:ascii="Times New Roman" w:hAnsi="Times New Roman"/>
                <w:b/>
                <w:i/>
                <w:sz w:val="28"/>
                <w:szCs w:val="28"/>
              </w:rPr>
              <w:t>р</w:t>
            </w:r>
            <w:r w:rsidRPr="00EB25EC">
              <w:rPr>
                <w:rFonts w:ascii="Times New Roman" w:hAnsi="Times New Roman"/>
                <w:b/>
                <w:i/>
                <w:sz w:val="28"/>
                <w:szCs w:val="28"/>
                <w:vertAlign w:val="subscript"/>
              </w:rPr>
              <w:t>1,2</w:t>
            </w:r>
          </w:p>
        </w:tc>
        <w:tc>
          <w:tcPr>
            <w:tcW w:w="1857"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0,010</w:t>
            </w:r>
          </w:p>
        </w:tc>
        <w:tc>
          <w:tcPr>
            <w:tcW w:w="185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2202"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0,003</w:t>
            </w:r>
          </w:p>
        </w:tc>
        <w:tc>
          <w:tcPr>
            <w:tcW w:w="1885" w:type="dxa"/>
          </w:tcPr>
          <w:p w:rsidR="00095916" w:rsidRPr="00EB25EC" w:rsidRDefault="00095916" w:rsidP="001F0C51">
            <w:pPr>
              <w:jc w:val="center"/>
              <w:rPr>
                <w:rFonts w:ascii="Times New Roman" w:hAnsi="Times New Roman"/>
                <w:sz w:val="28"/>
                <w:szCs w:val="28"/>
              </w:rPr>
            </w:pPr>
            <w:r>
              <w:rPr>
                <w:rFonts w:ascii="Times New Roman" w:hAnsi="Times New Roman"/>
                <w:sz w:val="28"/>
                <w:szCs w:val="28"/>
              </w:rPr>
              <w:t>0,129</w:t>
            </w:r>
          </w:p>
        </w:tc>
      </w:tr>
    </w:tbl>
    <w:p w:rsidR="00ED3C5B" w:rsidRDefault="00095916" w:rsidP="00095916">
      <w:pPr>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rPr>
        <w:tab/>
      </w:r>
    </w:p>
    <w:p w:rsidR="00095916" w:rsidRDefault="00095916" w:rsidP="00ED3C5B">
      <w:pPr>
        <w:spacing w:line="360" w:lineRule="auto"/>
        <w:ind w:firstLine="708"/>
        <w:contextualSpacing/>
        <w:jc w:val="both"/>
        <w:rPr>
          <w:rFonts w:ascii="Times New Roman" w:hAnsi="Times New Roman"/>
          <w:sz w:val="28"/>
          <w:szCs w:val="28"/>
        </w:rPr>
      </w:pPr>
      <w:r w:rsidRPr="00E55B91">
        <w:rPr>
          <w:rFonts w:ascii="Times New Roman" w:hAnsi="Times New Roman" w:cs="Times New Roman"/>
          <w:sz w:val="28"/>
          <w:szCs w:val="28"/>
        </w:rPr>
        <w:t>Проведений нами</w:t>
      </w:r>
      <w:r>
        <w:rPr>
          <w:rFonts w:ascii="Times New Roman" w:hAnsi="Times New Roman" w:cs="Times New Roman"/>
          <w:b/>
          <w:sz w:val="28"/>
          <w:szCs w:val="28"/>
        </w:rPr>
        <w:t xml:space="preserve"> </w:t>
      </w:r>
      <w:r>
        <w:rPr>
          <w:rFonts w:ascii="Times New Roman" w:hAnsi="Times New Roman" w:cs="Times New Roman"/>
          <w:sz w:val="28"/>
          <w:szCs w:val="28"/>
        </w:rPr>
        <w:t>с</w:t>
      </w:r>
      <w:r w:rsidRPr="00E55B91">
        <w:rPr>
          <w:rFonts w:ascii="Times New Roman" w:hAnsi="Times New Roman" w:cs="Times New Roman"/>
          <w:sz w:val="28"/>
          <w:szCs w:val="28"/>
        </w:rPr>
        <w:t>татистичний аналіз не ви</w:t>
      </w:r>
      <w:r>
        <w:rPr>
          <w:rFonts w:ascii="Times New Roman" w:hAnsi="Times New Roman" w:cs="Times New Roman"/>
          <w:sz w:val="28"/>
          <w:szCs w:val="28"/>
        </w:rPr>
        <w:t xml:space="preserve">явив достовірних відмінностей у середніх значеннях як інтенсивності сигналу, так і  </w:t>
      </w:r>
      <w:r>
        <w:rPr>
          <w:rFonts w:ascii="Times New Roman" w:hAnsi="Times New Roman"/>
          <w:sz w:val="28"/>
          <w:szCs w:val="28"/>
        </w:rPr>
        <w:t xml:space="preserve">відношення променевої </w:t>
      </w:r>
      <w:r w:rsidRPr="00E55B91">
        <w:rPr>
          <w:rFonts w:ascii="Times New Roman" w:hAnsi="Times New Roman"/>
          <w:sz w:val="28"/>
          <w:szCs w:val="28"/>
        </w:rPr>
        <w:t>щільності пухлини до нормальної ниркової паренхіми</w:t>
      </w:r>
      <w:r w:rsidRPr="000B5ABC">
        <w:rPr>
          <w:rFonts w:ascii="Times New Roman" w:hAnsi="Times New Roman"/>
          <w:sz w:val="28"/>
          <w:szCs w:val="28"/>
        </w:rPr>
        <w:t xml:space="preserve"> </w:t>
      </w:r>
      <w:r>
        <w:rPr>
          <w:rFonts w:ascii="Times New Roman" w:hAnsi="Times New Roman"/>
          <w:sz w:val="28"/>
          <w:szCs w:val="28"/>
        </w:rPr>
        <w:t xml:space="preserve">папілярного </w:t>
      </w:r>
      <w:r w:rsidRPr="00154E0E">
        <w:rPr>
          <w:rFonts w:ascii="Times New Roman" w:hAnsi="Times New Roman"/>
          <w:sz w:val="28"/>
          <w:szCs w:val="28"/>
        </w:rPr>
        <w:t>НКР високого та низького ступенів за Fuhrman</w:t>
      </w:r>
      <w:r>
        <w:rPr>
          <w:rFonts w:ascii="Times New Roman" w:hAnsi="Times New Roman"/>
          <w:sz w:val="28"/>
          <w:szCs w:val="28"/>
        </w:rPr>
        <w:t xml:space="preserve"> на жодній із фаз КТ </w:t>
      </w:r>
      <w:r w:rsidRPr="009E6C7E">
        <w:rPr>
          <w:rFonts w:ascii="Times New Roman" w:hAnsi="Times New Roman"/>
          <w:sz w:val="28"/>
          <w:szCs w:val="28"/>
        </w:rPr>
        <w:t>(</w:t>
      </w:r>
      <w:r>
        <w:rPr>
          <w:rFonts w:ascii="Times New Roman" w:hAnsi="Times New Roman"/>
          <w:sz w:val="28"/>
          <w:szCs w:val="28"/>
        </w:rPr>
        <w:t xml:space="preserve">р&gt;0,05). </w:t>
      </w:r>
      <w:r>
        <w:rPr>
          <w:rFonts w:ascii="Times New Roman" w:hAnsi="Times New Roman"/>
          <w:sz w:val="28"/>
          <w:szCs w:val="28"/>
        </w:rPr>
        <w:lastRenderedPageBreak/>
        <w:t>Такі дані перегукуються з отриманими під час вивчення малих ниркових новоутворів.</w:t>
      </w:r>
    </w:p>
    <w:p w:rsidR="00095916" w:rsidRPr="009E6C7E" w:rsidRDefault="00095916" w:rsidP="00095916">
      <w:pPr>
        <w:spacing w:line="360" w:lineRule="auto"/>
        <w:contextualSpacing/>
        <w:jc w:val="both"/>
        <w:rPr>
          <w:rFonts w:ascii="Times New Roman" w:hAnsi="Times New Roman"/>
          <w:sz w:val="28"/>
          <w:szCs w:val="28"/>
        </w:rPr>
      </w:pPr>
      <w:r>
        <w:rPr>
          <w:rFonts w:ascii="Times New Roman" w:hAnsi="Times New Roman"/>
          <w:sz w:val="28"/>
          <w:szCs w:val="28"/>
        </w:rPr>
        <w:tab/>
        <w:t xml:space="preserve">Для оцінки променевої щільності лімфовузлів з та без метастатичного поширення в них пухлинного процесу у хворих із НКР та </w:t>
      </w:r>
      <w:r>
        <w:rPr>
          <w:rFonts w:ascii="Times New Roman" w:hAnsi="Times New Roman"/>
          <w:sz w:val="28"/>
          <w:szCs w:val="28"/>
          <w:lang w:val="en-US"/>
        </w:rPr>
        <w:t>pN</w:t>
      </w:r>
      <w:r w:rsidRPr="009E6C7E">
        <w:rPr>
          <w:rFonts w:ascii="Times New Roman" w:hAnsi="Times New Roman"/>
          <w:sz w:val="28"/>
          <w:szCs w:val="28"/>
          <w:lang w:val="ru-RU"/>
        </w:rPr>
        <w:t>1</w:t>
      </w:r>
      <w:r>
        <w:rPr>
          <w:rFonts w:ascii="Times New Roman" w:hAnsi="Times New Roman"/>
          <w:sz w:val="28"/>
          <w:szCs w:val="28"/>
        </w:rPr>
        <w:t>, яким була виконана радикальна нефректомія, нами були проаналізовані дані патоморфологічних заключень та порівнянні із даними отриманими автором з КТ-зображень різних фаз. Вивчались лише лімфовузли парааортальної групи з боку ураження. Були відібрані хворі</w:t>
      </w:r>
      <w:r w:rsidRPr="00685A2A">
        <w:rPr>
          <w:rFonts w:ascii="Times New Roman" w:hAnsi="Times New Roman"/>
          <w:sz w:val="28"/>
          <w:szCs w:val="28"/>
        </w:rPr>
        <w:t xml:space="preserve"> </w:t>
      </w:r>
      <w:r>
        <w:rPr>
          <w:rFonts w:ascii="Times New Roman" w:hAnsi="Times New Roman"/>
          <w:sz w:val="28"/>
          <w:szCs w:val="28"/>
        </w:rPr>
        <w:t xml:space="preserve">із стадією </w:t>
      </w:r>
      <w:r>
        <w:rPr>
          <w:rFonts w:ascii="Times New Roman" w:hAnsi="Times New Roman"/>
          <w:sz w:val="28"/>
          <w:szCs w:val="28"/>
          <w:lang w:val="en-US"/>
        </w:rPr>
        <w:t>pN</w:t>
      </w:r>
      <w:r w:rsidRPr="009E6C7E">
        <w:rPr>
          <w:rFonts w:ascii="Times New Roman" w:hAnsi="Times New Roman"/>
          <w:sz w:val="28"/>
          <w:szCs w:val="28"/>
        </w:rPr>
        <w:t>1</w:t>
      </w:r>
      <w:r>
        <w:rPr>
          <w:rFonts w:ascii="Times New Roman" w:hAnsi="Times New Roman"/>
          <w:sz w:val="28"/>
          <w:szCs w:val="28"/>
        </w:rPr>
        <w:t xml:space="preserve"> та у яких згідно даних патоморфології при розмірі лімфовузлів </w:t>
      </w:r>
      <w:r w:rsidRPr="009E6C7E">
        <w:rPr>
          <w:rFonts w:ascii="Times New Roman" w:hAnsi="Times New Roman" w:cs="Times New Roman"/>
          <w:sz w:val="28"/>
          <w:szCs w:val="28"/>
        </w:rPr>
        <w:t>≥</w:t>
      </w:r>
      <w:r w:rsidRPr="009E6C7E">
        <w:rPr>
          <w:rFonts w:ascii="Times New Roman" w:hAnsi="Times New Roman"/>
          <w:sz w:val="28"/>
          <w:szCs w:val="28"/>
        </w:rPr>
        <w:t>1</w:t>
      </w:r>
      <w:r>
        <w:rPr>
          <w:rFonts w:ascii="Times New Roman" w:hAnsi="Times New Roman"/>
          <w:sz w:val="28"/>
          <w:szCs w:val="28"/>
        </w:rPr>
        <w:t>,5 см у найменшому перерізі у всіх з них спостерігалось метастатичне ураження (в загальному кількість таких лімфовузлів складала 15; розмір коливався від 1,50 до 3,22 см, середній розмір – 1,94</w:t>
      </w:r>
      <w:r>
        <w:rPr>
          <w:rFonts w:ascii="Times New Roman" w:hAnsi="Times New Roman" w:cs="Times New Roman"/>
          <w:sz w:val="28"/>
          <w:szCs w:val="28"/>
        </w:rPr>
        <w:t>±</w:t>
      </w:r>
      <w:r>
        <w:rPr>
          <w:rFonts w:ascii="Times New Roman" w:hAnsi="Times New Roman"/>
          <w:sz w:val="28"/>
          <w:szCs w:val="28"/>
        </w:rPr>
        <w:t>0,</w:t>
      </w:r>
      <w:r w:rsidR="0068583E">
        <w:rPr>
          <w:rFonts w:ascii="Times New Roman" w:hAnsi="Times New Roman"/>
          <w:sz w:val="28"/>
          <w:szCs w:val="28"/>
        </w:rPr>
        <w:t>51 см), а при розмірі лімфовузлів</w:t>
      </w:r>
      <w:r>
        <w:rPr>
          <w:rFonts w:ascii="Times New Roman" w:hAnsi="Times New Roman"/>
          <w:sz w:val="28"/>
          <w:szCs w:val="28"/>
        </w:rPr>
        <w:t xml:space="preserve">  </w:t>
      </w:r>
      <w:r>
        <w:rPr>
          <w:rFonts w:ascii="Times New Roman" w:hAnsi="Times New Roman" w:cs="Times New Roman"/>
          <w:sz w:val="28"/>
          <w:szCs w:val="28"/>
        </w:rPr>
        <w:t>≤</w:t>
      </w:r>
      <w:r>
        <w:rPr>
          <w:rFonts w:ascii="Times New Roman" w:hAnsi="Times New Roman"/>
          <w:sz w:val="28"/>
          <w:szCs w:val="28"/>
        </w:rPr>
        <w:t xml:space="preserve"> 1 см, у всіх них метастатичне поширення було відсутнє</w:t>
      </w:r>
      <w:r w:rsidRPr="009E6C7E">
        <w:rPr>
          <w:rFonts w:ascii="Times New Roman" w:hAnsi="Times New Roman"/>
          <w:sz w:val="28"/>
          <w:szCs w:val="28"/>
        </w:rPr>
        <w:t xml:space="preserve"> (</w:t>
      </w:r>
      <w:r>
        <w:rPr>
          <w:rFonts w:ascii="Times New Roman" w:hAnsi="Times New Roman"/>
          <w:sz w:val="28"/>
          <w:szCs w:val="28"/>
          <w:lang w:val="en-US"/>
        </w:rPr>
        <w:t>n</w:t>
      </w:r>
      <w:r w:rsidRPr="009E6C7E">
        <w:rPr>
          <w:rFonts w:ascii="Times New Roman" w:hAnsi="Times New Roman"/>
          <w:sz w:val="28"/>
          <w:szCs w:val="28"/>
        </w:rPr>
        <w:t>=18</w:t>
      </w:r>
      <w:r>
        <w:rPr>
          <w:rFonts w:ascii="Times New Roman" w:hAnsi="Times New Roman"/>
          <w:sz w:val="28"/>
          <w:szCs w:val="28"/>
        </w:rPr>
        <w:t>, розмір від 0,75 до 1,0 см, середній розмір – 0,95</w:t>
      </w:r>
      <w:r>
        <w:rPr>
          <w:rFonts w:ascii="Times New Roman" w:hAnsi="Times New Roman" w:cs="Times New Roman"/>
          <w:sz w:val="28"/>
          <w:szCs w:val="28"/>
        </w:rPr>
        <w:t>±</w:t>
      </w:r>
      <w:r>
        <w:rPr>
          <w:rFonts w:ascii="Times New Roman" w:hAnsi="Times New Roman"/>
          <w:sz w:val="28"/>
          <w:szCs w:val="28"/>
        </w:rPr>
        <w:t>0,09 см</w:t>
      </w:r>
      <w:r w:rsidRPr="009E6C7E">
        <w:rPr>
          <w:rFonts w:ascii="Times New Roman" w:hAnsi="Times New Roman"/>
          <w:sz w:val="28"/>
          <w:szCs w:val="28"/>
        </w:rPr>
        <w:t>)</w:t>
      </w:r>
      <w:r>
        <w:rPr>
          <w:rFonts w:ascii="Times New Roman" w:hAnsi="Times New Roman"/>
          <w:sz w:val="28"/>
          <w:szCs w:val="28"/>
        </w:rPr>
        <w:t>.</w:t>
      </w:r>
      <w:r w:rsidRPr="009E6C7E">
        <w:rPr>
          <w:rFonts w:ascii="Times New Roman" w:hAnsi="Times New Roman"/>
          <w:sz w:val="28"/>
          <w:szCs w:val="28"/>
        </w:rPr>
        <w:t xml:space="preserve"> </w:t>
      </w:r>
    </w:p>
    <w:p w:rsidR="00095916" w:rsidRPr="001B7C15" w:rsidRDefault="00095916" w:rsidP="00095916">
      <w:pPr>
        <w:spacing w:line="360" w:lineRule="auto"/>
        <w:ind w:firstLine="708"/>
        <w:contextualSpacing/>
        <w:jc w:val="both"/>
        <w:rPr>
          <w:rFonts w:ascii="Times New Roman" w:hAnsi="Times New Roman" w:cs="Times New Roman"/>
          <w:sz w:val="28"/>
          <w:szCs w:val="28"/>
        </w:rPr>
      </w:pPr>
      <w:r>
        <w:rPr>
          <w:rFonts w:ascii="Times New Roman" w:hAnsi="Times New Roman"/>
          <w:sz w:val="28"/>
          <w:szCs w:val="28"/>
        </w:rPr>
        <w:t>Середнє значення променевої щільності уражених лімфовузлів (</w:t>
      </w:r>
      <w:r>
        <w:rPr>
          <w:rFonts w:ascii="Times New Roman" w:hAnsi="Times New Roman"/>
          <w:sz w:val="28"/>
          <w:szCs w:val="28"/>
          <w:lang w:val="en-US"/>
        </w:rPr>
        <w:t>N</w:t>
      </w:r>
      <w:r w:rsidRPr="009E6C7E">
        <w:rPr>
          <w:rFonts w:ascii="Times New Roman" w:hAnsi="Times New Roman"/>
          <w:sz w:val="28"/>
          <w:szCs w:val="28"/>
        </w:rPr>
        <w:t>+)</w:t>
      </w:r>
      <w:r>
        <w:rPr>
          <w:rFonts w:ascii="Times New Roman" w:hAnsi="Times New Roman"/>
          <w:sz w:val="28"/>
          <w:szCs w:val="28"/>
        </w:rPr>
        <w:t xml:space="preserve"> на пре-контрастних зображеннях та знімках кортико-медулярної, нефрографічної та екскреторної фаз складало відповідно 25,64</w:t>
      </w:r>
      <w:r>
        <w:rPr>
          <w:rFonts w:ascii="Times New Roman" w:hAnsi="Times New Roman" w:cs="Times New Roman"/>
          <w:sz w:val="28"/>
          <w:szCs w:val="28"/>
        </w:rPr>
        <w:t xml:space="preserve">±11,93 </w:t>
      </w:r>
      <w:r>
        <w:rPr>
          <w:rFonts w:ascii="Times New Roman" w:hAnsi="Times New Roman" w:cs="Times New Roman"/>
          <w:sz w:val="28"/>
          <w:szCs w:val="28"/>
          <w:lang w:val="en-US"/>
        </w:rPr>
        <w:t>HU</w:t>
      </w:r>
      <w:r>
        <w:rPr>
          <w:rFonts w:ascii="Times New Roman" w:hAnsi="Times New Roman" w:cs="Times New Roman"/>
          <w:sz w:val="28"/>
          <w:szCs w:val="28"/>
        </w:rPr>
        <w:t xml:space="preserve">, 30,13±17,07 </w:t>
      </w:r>
      <w:r>
        <w:rPr>
          <w:rFonts w:ascii="Times New Roman" w:hAnsi="Times New Roman" w:cs="Times New Roman"/>
          <w:sz w:val="28"/>
          <w:szCs w:val="28"/>
          <w:lang w:val="en-US"/>
        </w:rPr>
        <w:t>HU</w:t>
      </w:r>
      <w:r>
        <w:rPr>
          <w:rFonts w:ascii="Times New Roman" w:hAnsi="Times New Roman" w:cs="Times New Roman"/>
          <w:sz w:val="28"/>
          <w:szCs w:val="28"/>
        </w:rPr>
        <w:t xml:space="preserve">, 28,87±15,58 </w:t>
      </w:r>
      <w:r>
        <w:rPr>
          <w:rFonts w:ascii="Times New Roman" w:hAnsi="Times New Roman" w:cs="Times New Roman"/>
          <w:sz w:val="28"/>
          <w:szCs w:val="28"/>
          <w:lang w:val="en-US"/>
        </w:rPr>
        <w:t>HU</w:t>
      </w:r>
      <w:r>
        <w:rPr>
          <w:rFonts w:ascii="Times New Roman" w:hAnsi="Times New Roman" w:cs="Times New Roman"/>
          <w:sz w:val="28"/>
          <w:szCs w:val="28"/>
        </w:rPr>
        <w:t xml:space="preserve"> та 24,94±10,93 </w:t>
      </w:r>
      <w:r>
        <w:rPr>
          <w:rFonts w:ascii="Times New Roman" w:hAnsi="Times New Roman" w:cs="Times New Roman"/>
          <w:sz w:val="28"/>
          <w:szCs w:val="28"/>
          <w:lang w:val="en-US"/>
        </w:rPr>
        <w:t>HU</w:t>
      </w:r>
      <w:r>
        <w:rPr>
          <w:rFonts w:ascii="Times New Roman" w:hAnsi="Times New Roman" w:cs="Times New Roman"/>
          <w:sz w:val="28"/>
          <w:szCs w:val="28"/>
        </w:rPr>
        <w:t>. При неуражених лімфовузлах</w:t>
      </w:r>
      <w:r w:rsidRPr="009E6C7E">
        <w:rPr>
          <w:rFonts w:ascii="Times New Roman" w:hAnsi="Times New Roman" w:cs="Times New Roman"/>
          <w:sz w:val="28"/>
          <w:szCs w:val="28"/>
          <w:lang w:val="ru-RU"/>
        </w:rPr>
        <w:t xml:space="preserve"> (</w:t>
      </w:r>
      <w:r>
        <w:rPr>
          <w:rFonts w:ascii="Times New Roman" w:hAnsi="Times New Roman" w:cs="Times New Roman"/>
          <w:sz w:val="28"/>
          <w:szCs w:val="28"/>
          <w:lang w:val="en-US"/>
        </w:rPr>
        <w:t>N</w:t>
      </w:r>
      <w:r w:rsidRPr="009E6C7E">
        <w:rPr>
          <w:rFonts w:ascii="Times New Roman" w:hAnsi="Times New Roman" w:cs="Times New Roman"/>
          <w:sz w:val="28"/>
          <w:szCs w:val="28"/>
          <w:lang w:val="ru-RU"/>
        </w:rPr>
        <w:t>-)</w:t>
      </w:r>
      <w:r>
        <w:rPr>
          <w:rFonts w:ascii="Times New Roman" w:hAnsi="Times New Roman" w:cs="Times New Roman"/>
          <w:sz w:val="28"/>
          <w:szCs w:val="28"/>
        </w:rPr>
        <w:t xml:space="preserve"> ці показники становили відповідно 27,17±12,15 </w:t>
      </w:r>
      <w:r>
        <w:rPr>
          <w:rFonts w:ascii="Times New Roman" w:hAnsi="Times New Roman" w:cs="Times New Roman"/>
          <w:sz w:val="28"/>
          <w:szCs w:val="28"/>
          <w:lang w:val="en-US"/>
        </w:rPr>
        <w:t>HU</w:t>
      </w:r>
      <w:r>
        <w:rPr>
          <w:rFonts w:ascii="Times New Roman" w:hAnsi="Times New Roman" w:cs="Times New Roman"/>
          <w:sz w:val="28"/>
          <w:szCs w:val="28"/>
        </w:rPr>
        <w:t xml:space="preserve">, 34,20±16,53 </w:t>
      </w:r>
      <w:r>
        <w:rPr>
          <w:rFonts w:ascii="Times New Roman" w:hAnsi="Times New Roman" w:cs="Times New Roman"/>
          <w:sz w:val="28"/>
          <w:szCs w:val="28"/>
          <w:lang w:val="en-US"/>
        </w:rPr>
        <w:t>HU</w:t>
      </w:r>
      <w:r>
        <w:rPr>
          <w:rFonts w:ascii="Times New Roman" w:hAnsi="Times New Roman" w:cs="Times New Roman"/>
          <w:sz w:val="28"/>
          <w:szCs w:val="28"/>
        </w:rPr>
        <w:t xml:space="preserve">, 29,47±15,07 </w:t>
      </w:r>
      <w:r>
        <w:rPr>
          <w:rFonts w:ascii="Times New Roman" w:hAnsi="Times New Roman" w:cs="Times New Roman"/>
          <w:sz w:val="28"/>
          <w:szCs w:val="28"/>
          <w:lang w:val="en-US"/>
        </w:rPr>
        <w:t>HU</w:t>
      </w:r>
      <w:r>
        <w:rPr>
          <w:rFonts w:ascii="Times New Roman" w:hAnsi="Times New Roman" w:cs="Times New Roman"/>
          <w:sz w:val="28"/>
          <w:szCs w:val="28"/>
        </w:rPr>
        <w:t xml:space="preserve"> та 24,47±10,84 </w:t>
      </w:r>
      <w:r>
        <w:rPr>
          <w:rFonts w:ascii="Times New Roman" w:hAnsi="Times New Roman" w:cs="Times New Roman"/>
          <w:sz w:val="28"/>
          <w:szCs w:val="28"/>
          <w:lang w:val="en-US"/>
        </w:rPr>
        <w:t>HU</w:t>
      </w:r>
      <w:r>
        <w:rPr>
          <w:rFonts w:ascii="Times New Roman" w:hAnsi="Times New Roman" w:cs="Times New Roman"/>
          <w:sz w:val="28"/>
          <w:szCs w:val="28"/>
        </w:rPr>
        <w:t xml:space="preserve">. При порівнянні середніх значень променевої щільності метастатичних та неметастатичних лімфовузлів відповідних фаз у жодній парі статистично достовірної різниці нами знайдено не було </w:t>
      </w:r>
      <w:r w:rsidRPr="009E6C7E">
        <w:rPr>
          <w:rFonts w:ascii="Times New Roman" w:hAnsi="Times New Roman" w:cs="Times New Roman"/>
          <w:sz w:val="28"/>
          <w:szCs w:val="28"/>
          <w:lang w:val="ru-RU"/>
        </w:rPr>
        <w:t>(</w:t>
      </w:r>
      <w:r>
        <w:rPr>
          <w:rFonts w:ascii="Times New Roman" w:hAnsi="Times New Roman" w:cs="Times New Roman"/>
          <w:sz w:val="28"/>
          <w:szCs w:val="28"/>
        </w:rPr>
        <w:t>р</w:t>
      </w:r>
      <w:r w:rsidRPr="009E6C7E">
        <w:rPr>
          <w:rFonts w:ascii="Times New Roman" w:hAnsi="Times New Roman" w:cs="Times New Roman"/>
          <w:sz w:val="28"/>
          <w:szCs w:val="28"/>
          <w:lang w:val="ru-RU"/>
        </w:rPr>
        <w:t>&gt;</w:t>
      </w:r>
      <w:r>
        <w:rPr>
          <w:rFonts w:ascii="Times New Roman" w:hAnsi="Times New Roman" w:cs="Times New Roman"/>
          <w:sz w:val="28"/>
          <w:szCs w:val="28"/>
        </w:rPr>
        <w:t xml:space="preserve">0,05). Окрім цього, середні значенні відношення променевої щільності лімфовузла до нормальної ниркової паренхіми при </w:t>
      </w:r>
      <w:r>
        <w:rPr>
          <w:rFonts w:ascii="Times New Roman" w:hAnsi="Times New Roman" w:cs="Times New Roman"/>
          <w:sz w:val="28"/>
          <w:szCs w:val="28"/>
          <w:lang w:val="en-US"/>
        </w:rPr>
        <w:t>N</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N</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на зображеннях відповідних фаз КТ, також суттєво між собою не різнились </w:t>
      </w:r>
      <w:r w:rsidRPr="009E6C7E">
        <w:rPr>
          <w:rFonts w:ascii="Times New Roman" w:hAnsi="Times New Roman" w:cs="Times New Roman"/>
          <w:sz w:val="28"/>
          <w:szCs w:val="28"/>
        </w:rPr>
        <w:t>(</w:t>
      </w:r>
      <w:r>
        <w:rPr>
          <w:rFonts w:ascii="Times New Roman" w:hAnsi="Times New Roman" w:cs="Times New Roman"/>
          <w:sz w:val="28"/>
          <w:szCs w:val="28"/>
        </w:rPr>
        <w:t>р</w:t>
      </w:r>
      <w:r w:rsidRPr="009E6C7E">
        <w:rPr>
          <w:rFonts w:ascii="Times New Roman" w:hAnsi="Times New Roman" w:cs="Times New Roman"/>
          <w:sz w:val="28"/>
          <w:szCs w:val="28"/>
        </w:rPr>
        <w:t>&gt;</w:t>
      </w:r>
      <w:r>
        <w:rPr>
          <w:rFonts w:ascii="Times New Roman" w:hAnsi="Times New Roman" w:cs="Times New Roman"/>
          <w:sz w:val="28"/>
          <w:szCs w:val="28"/>
        </w:rPr>
        <w:t xml:space="preserve">0,05). Такі дані свідчать про відсутність відмінностей при використанні вивчених нами потенційних променевих біомаркерів для диференціації </w:t>
      </w:r>
      <w:r>
        <w:rPr>
          <w:rFonts w:ascii="Times New Roman" w:hAnsi="Times New Roman" w:cs="Times New Roman"/>
          <w:sz w:val="28"/>
          <w:szCs w:val="28"/>
          <w:lang w:val="en-US"/>
        </w:rPr>
        <w:t>N</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N</w:t>
      </w:r>
      <w:r w:rsidRPr="009E6C7E">
        <w:rPr>
          <w:rFonts w:ascii="Times New Roman" w:hAnsi="Times New Roman" w:cs="Times New Roman"/>
          <w:sz w:val="28"/>
          <w:szCs w:val="28"/>
        </w:rPr>
        <w:t>-</w:t>
      </w:r>
      <w:r>
        <w:rPr>
          <w:rFonts w:ascii="Times New Roman" w:hAnsi="Times New Roman" w:cs="Times New Roman"/>
          <w:sz w:val="28"/>
          <w:szCs w:val="28"/>
        </w:rPr>
        <w:t xml:space="preserve"> та несуттєвих відмінностях у контрастному посиленні лімфовузлів у вказаних підгрупах.</w:t>
      </w:r>
    </w:p>
    <w:p w:rsidR="00095916" w:rsidRPr="005855DA" w:rsidRDefault="00095916" w:rsidP="00095916">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4"/>
          <w:szCs w:val="24"/>
        </w:rPr>
        <w:tab/>
      </w:r>
      <w:r w:rsidRPr="00D30B26">
        <w:rPr>
          <w:rFonts w:ascii="Times New Roman" w:hAnsi="Times New Roman" w:cs="Times New Roman"/>
          <w:sz w:val="28"/>
          <w:szCs w:val="28"/>
        </w:rPr>
        <w:t>Нами були отр</w:t>
      </w:r>
      <w:r>
        <w:rPr>
          <w:rFonts w:ascii="Times New Roman" w:hAnsi="Times New Roman" w:cs="Times New Roman"/>
          <w:sz w:val="28"/>
          <w:szCs w:val="28"/>
        </w:rPr>
        <w:t>и</w:t>
      </w:r>
      <w:r w:rsidRPr="00D30B26">
        <w:rPr>
          <w:rFonts w:ascii="Times New Roman" w:hAnsi="Times New Roman" w:cs="Times New Roman"/>
          <w:sz w:val="28"/>
          <w:szCs w:val="28"/>
        </w:rPr>
        <w:t xml:space="preserve">мані </w:t>
      </w:r>
      <w:r>
        <w:rPr>
          <w:rFonts w:ascii="Times New Roman" w:hAnsi="Times New Roman" w:cs="Times New Roman"/>
          <w:sz w:val="28"/>
          <w:szCs w:val="28"/>
        </w:rPr>
        <w:t>показники променевої щільності у</w:t>
      </w:r>
      <w:r w:rsidRPr="00D30B26">
        <w:rPr>
          <w:rFonts w:ascii="Times New Roman" w:hAnsi="Times New Roman" w:cs="Times New Roman"/>
          <w:sz w:val="28"/>
          <w:szCs w:val="28"/>
        </w:rPr>
        <w:t xml:space="preserve"> підгрупах із доброякісн</w:t>
      </w:r>
      <w:r>
        <w:rPr>
          <w:rFonts w:ascii="Times New Roman" w:hAnsi="Times New Roman" w:cs="Times New Roman"/>
          <w:sz w:val="28"/>
          <w:szCs w:val="28"/>
        </w:rPr>
        <w:t xml:space="preserve">ими новоутвореннями нирок. Було виявлено, що єдиною фазою КТ, </w:t>
      </w:r>
      <w:r>
        <w:rPr>
          <w:rFonts w:ascii="Times New Roman" w:hAnsi="Times New Roman" w:cs="Times New Roman"/>
          <w:sz w:val="28"/>
          <w:szCs w:val="28"/>
        </w:rPr>
        <w:lastRenderedPageBreak/>
        <w:t xml:space="preserve">при якій середні значення цього показника достовірно між собою відрізнялись була нефрографічна. Так, на знімках цієї фази при ОЦ нирки середня ІС становила 107,29±13,43 </w:t>
      </w:r>
      <w:r>
        <w:rPr>
          <w:rFonts w:ascii="Times New Roman" w:hAnsi="Times New Roman" w:cs="Times New Roman"/>
          <w:sz w:val="28"/>
          <w:szCs w:val="28"/>
          <w:lang w:val="en-US"/>
        </w:rPr>
        <w:t>HU</w:t>
      </w:r>
      <w:r>
        <w:rPr>
          <w:rFonts w:ascii="Times New Roman" w:hAnsi="Times New Roman" w:cs="Times New Roman"/>
          <w:sz w:val="28"/>
          <w:szCs w:val="28"/>
        </w:rPr>
        <w:t xml:space="preserve">, при АМЛ – 81, 79±13,64 </w:t>
      </w:r>
      <w:r>
        <w:rPr>
          <w:rFonts w:ascii="Times New Roman" w:hAnsi="Times New Roman" w:cs="Times New Roman"/>
          <w:sz w:val="28"/>
          <w:szCs w:val="28"/>
          <w:lang w:val="en-US"/>
        </w:rPr>
        <w:t>HU</w:t>
      </w:r>
      <w:r>
        <w:rPr>
          <w:rFonts w:ascii="Times New Roman" w:hAnsi="Times New Roman" w:cs="Times New Roman"/>
          <w:sz w:val="28"/>
          <w:szCs w:val="28"/>
        </w:rPr>
        <w:t xml:space="preserve"> та при ПА – 64,59±6,48 </w:t>
      </w:r>
      <w:r>
        <w:rPr>
          <w:rFonts w:ascii="Times New Roman" w:hAnsi="Times New Roman" w:cs="Times New Roman"/>
          <w:sz w:val="28"/>
          <w:szCs w:val="28"/>
          <w:lang w:val="en-US"/>
        </w:rPr>
        <w:t>HU</w:t>
      </w:r>
      <w:r>
        <w:rPr>
          <w:rFonts w:ascii="Times New Roman" w:hAnsi="Times New Roman" w:cs="Times New Roman"/>
          <w:sz w:val="28"/>
          <w:szCs w:val="28"/>
        </w:rPr>
        <w:t xml:space="preserve">. При порівнянні підгруп між собою було отримано достовірну різницю середньої променевої щільності як між ОЦ та АМЛ (р=0,001), так і між ОЦ та ПА (р&lt;0,001), а також між АМЛ та ПА (р=0,034). Слід підкреслити, що нами не було отримано статистично достовірної різниці в підгрупах із доброякісними пухлинами нирок при вивченні променевої щільності малих ниркових новоутворень, що вочевидь є пов’язане із малим розміром пухлини. Цікаво, що при аналізі показників </w:t>
      </w:r>
      <w:r>
        <w:rPr>
          <w:rFonts w:ascii="Times New Roman" w:hAnsi="Times New Roman"/>
          <w:sz w:val="28"/>
          <w:szCs w:val="28"/>
        </w:rPr>
        <w:t xml:space="preserve">відношення променевої </w:t>
      </w:r>
      <w:r w:rsidRPr="00E55B91">
        <w:rPr>
          <w:rFonts w:ascii="Times New Roman" w:hAnsi="Times New Roman"/>
          <w:sz w:val="28"/>
          <w:szCs w:val="28"/>
        </w:rPr>
        <w:t>щільності пухлини до нормальної ниркової паренхіми</w:t>
      </w:r>
      <w:r>
        <w:rPr>
          <w:rFonts w:ascii="Times New Roman" w:hAnsi="Times New Roman"/>
          <w:sz w:val="28"/>
          <w:szCs w:val="28"/>
        </w:rPr>
        <w:t xml:space="preserve"> у підгрупах із доброякісними новоутвореннями нирок використовуючи різні фази КТ, нами не було отримано достовірної різниці між всіма трьома підгрупами, а лише щонайбільше між двома. Таким чином, визначення ВПЩ не мало переваг над променевою щільністю пухлини для характеристики доброякісних пухлин нирок.</w:t>
      </w:r>
    </w:p>
    <w:p w:rsidR="00095916" w:rsidRDefault="00095916" w:rsidP="00095916">
      <w:pPr>
        <w:spacing w:line="360" w:lineRule="auto"/>
        <w:ind w:firstLine="708"/>
        <w:jc w:val="both"/>
        <w:rPr>
          <w:rFonts w:ascii="Times New Roman" w:hAnsi="Times New Roman" w:cs="Times New Roman"/>
          <w:sz w:val="28"/>
          <w:szCs w:val="28"/>
        </w:rPr>
      </w:pPr>
      <w:r w:rsidRPr="000B5ABC">
        <w:rPr>
          <w:rFonts w:ascii="Times New Roman" w:hAnsi="Times New Roman" w:cs="Times New Roman"/>
          <w:sz w:val="28"/>
          <w:szCs w:val="28"/>
        </w:rPr>
        <w:t xml:space="preserve">При порівнянні середніх значень ІС нормальної ниркової паренхіми в контрольній групі та ІС інтактної контрлатеральної нирки в групах із НКР, ПКК та доброякісними пухлинами, статистичних відмінностей знайдено не було, дані показники становили для ПКЗ відповідно </w:t>
      </w:r>
      <w:r w:rsidRPr="000B5ABC">
        <w:rPr>
          <w:rFonts w:ascii="Times New Roman" w:hAnsi="Times New Roman"/>
          <w:sz w:val="28"/>
          <w:szCs w:val="28"/>
        </w:rPr>
        <w:t>30,84</w:t>
      </w:r>
      <w:r w:rsidRPr="000B5ABC">
        <w:rPr>
          <w:rFonts w:ascii="Times New Roman" w:hAnsi="Times New Roman" w:cs="Times New Roman"/>
          <w:sz w:val="28"/>
          <w:szCs w:val="28"/>
        </w:rPr>
        <w:t>±</w:t>
      </w:r>
      <w:r w:rsidRPr="000B5ABC">
        <w:rPr>
          <w:rFonts w:ascii="Times New Roman" w:hAnsi="Times New Roman"/>
          <w:sz w:val="28"/>
          <w:szCs w:val="28"/>
        </w:rPr>
        <w:t xml:space="preserve">6,51 HU </w:t>
      </w:r>
      <w:r>
        <w:rPr>
          <w:rFonts w:ascii="Times New Roman" w:hAnsi="Times New Roman"/>
          <w:sz w:val="28"/>
          <w:szCs w:val="28"/>
        </w:rPr>
        <w:t>та 30,24</w:t>
      </w:r>
      <w:r w:rsidRPr="000B5ABC">
        <w:rPr>
          <w:rFonts w:ascii="Times New Roman" w:hAnsi="Times New Roman" w:cs="Times New Roman"/>
          <w:sz w:val="28"/>
          <w:szCs w:val="28"/>
        </w:rPr>
        <w:t>±</w:t>
      </w:r>
      <w:r>
        <w:rPr>
          <w:rFonts w:ascii="Times New Roman" w:hAnsi="Times New Roman"/>
          <w:sz w:val="28"/>
          <w:szCs w:val="28"/>
        </w:rPr>
        <w:t>7,01</w:t>
      </w:r>
      <w:r w:rsidRPr="000B5ABC">
        <w:rPr>
          <w:rFonts w:ascii="Times New Roman" w:hAnsi="Times New Roman"/>
          <w:sz w:val="28"/>
          <w:szCs w:val="28"/>
        </w:rPr>
        <w:t xml:space="preserve"> HU</w:t>
      </w:r>
      <w:r w:rsidRPr="000B5ABC">
        <w:rPr>
          <w:rFonts w:ascii="Times New Roman" w:hAnsi="Times New Roman" w:cs="Times New Roman"/>
          <w:sz w:val="28"/>
          <w:szCs w:val="28"/>
        </w:rPr>
        <w:t xml:space="preserve"> (p&gt;0,05), для КМФ відповідно </w:t>
      </w:r>
      <w:r w:rsidRPr="000B5ABC">
        <w:rPr>
          <w:rFonts w:ascii="Times New Roman" w:hAnsi="Times New Roman"/>
          <w:sz w:val="28"/>
          <w:szCs w:val="28"/>
        </w:rPr>
        <w:t>119,38</w:t>
      </w:r>
      <w:r w:rsidRPr="000B5ABC">
        <w:rPr>
          <w:rFonts w:ascii="Times New Roman" w:hAnsi="Times New Roman" w:cs="Times New Roman"/>
          <w:sz w:val="28"/>
          <w:szCs w:val="28"/>
        </w:rPr>
        <w:t>±</w:t>
      </w:r>
      <w:r w:rsidRPr="000B5ABC">
        <w:rPr>
          <w:rFonts w:ascii="Times New Roman" w:hAnsi="Times New Roman"/>
          <w:sz w:val="28"/>
          <w:szCs w:val="28"/>
        </w:rPr>
        <w:t xml:space="preserve">13,21 HU </w:t>
      </w:r>
      <w:r>
        <w:rPr>
          <w:rFonts w:ascii="Times New Roman" w:hAnsi="Times New Roman"/>
          <w:sz w:val="28"/>
          <w:szCs w:val="28"/>
        </w:rPr>
        <w:t>та 119,12</w:t>
      </w:r>
      <w:r w:rsidRPr="000B5ABC">
        <w:rPr>
          <w:rFonts w:ascii="Times New Roman" w:hAnsi="Times New Roman" w:cs="Times New Roman"/>
          <w:sz w:val="28"/>
          <w:szCs w:val="28"/>
        </w:rPr>
        <w:t>±</w:t>
      </w:r>
      <w:r>
        <w:rPr>
          <w:rFonts w:ascii="Times New Roman" w:hAnsi="Times New Roman"/>
          <w:sz w:val="28"/>
          <w:szCs w:val="28"/>
        </w:rPr>
        <w:t>11,34</w:t>
      </w:r>
      <w:r w:rsidRPr="000B5ABC">
        <w:rPr>
          <w:rFonts w:ascii="Times New Roman" w:hAnsi="Times New Roman"/>
          <w:sz w:val="28"/>
          <w:szCs w:val="28"/>
        </w:rPr>
        <w:t xml:space="preserve"> HU</w:t>
      </w:r>
      <w:r w:rsidRPr="000B5ABC">
        <w:rPr>
          <w:rFonts w:ascii="Times New Roman" w:hAnsi="Times New Roman" w:cs="Times New Roman"/>
          <w:sz w:val="28"/>
          <w:szCs w:val="28"/>
        </w:rPr>
        <w:t xml:space="preserve"> (p&gt;0,05), для НФ відповідно </w:t>
      </w:r>
      <w:r w:rsidRPr="000B5ABC">
        <w:rPr>
          <w:rFonts w:ascii="Times New Roman" w:hAnsi="Times New Roman"/>
          <w:sz w:val="28"/>
          <w:szCs w:val="28"/>
        </w:rPr>
        <w:t>115,11</w:t>
      </w:r>
      <w:r w:rsidRPr="000B5ABC">
        <w:rPr>
          <w:rFonts w:ascii="Times New Roman" w:hAnsi="Times New Roman" w:cs="Times New Roman"/>
          <w:sz w:val="28"/>
          <w:szCs w:val="28"/>
        </w:rPr>
        <w:t>±</w:t>
      </w:r>
      <w:r w:rsidRPr="000B5ABC">
        <w:rPr>
          <w:rFonts w:ascii="Times New Roman" w:hAnsi="Times New Roman"/>
          <w:sz w:val="28"/>
          <w:szCs w:val="28"/>
        </w:rPr>
        <w:t xml:space="preserve">36,03 HU </w:t>
      </w:r>
      <w:r>
        <w:rPr>
          <w:rFonts w:ascii="Times New Roman" w:hAnsi="Times New Roman"/>
          <w:sz w:val="28"/>
          <w:szCs w:val="28"/>
        </w:rPr>
        <w:t>та 114,24</w:t>
      </w:r>
      <w:r w:rsidRPr="000B5ABC">
        <w:rPr>
          <w:rFonts w:ascii="Times New Roman" w:hAnsi="Times New Roman" w:cs="Times New Roman"/>
          <w:sz w:val="28"/>
          <w:szCs w:val="28"/>
        </w:rPr>
        <w:t>±</w:t>
      </w:r>
      <w:r>
        <w:rPr>
          <w:rFonts w:ascii="Times New Roman" w:hAnsi="Times New Roman"/>
          <w:sz w:val="28"/>
          <w:szCs w:val="28"/>
        </w:rPr>
        <w:t>15,53</w:t>
      </w:r>
      <w:r w:rsidRPr="000B5ABC">
        <w:rPr>
          <w:rFonts w:ascii="Times New Roman" w:hAnsi="Times New Roman"/>
          <w:sz w:val="28"/>
          <w:szCs w:val="28"/>
        </w:rPr>
        <w:t xml:space="preserve"> HU</w:t>
      </w:r>
      <w:r w:rsidRPr="000B5ABC">
        <w:rPr>
          <w:rFonts w:ascii="Times New Roman" w:hAnsi="Times New Roman" w:cs="Times New Roman"/>
          <w:sz w:val="28"/>
          <w:szCs w:val="28"/>
        </w:rPr>
        <w:t xml:space="preserve"> (p&gt;0,05), для ЕФ відповідно </w:t>
      </w:r>
      <w:r w:rsidRPr="000B5ABC">
        <w:rPr>
          <w:rFonts w:ascii="Times New Roman" w:hAnsi="Times New Roman"/>
          <w:sz w:val="28"/>
          <w:szCs w:val="28"/>
        </w:rPr>
        <w:t>85,52</w:t>
      </w:r>
      <w:r w:rsidRPr="000B5ABC">
        <w:rPr>
          <w:rFonts w:ascii="Times New Roman" w:hAnsi="Times New Roman" w:cs="Times New Roman"/>
          <w:sz w:val="28"/>
          <w:szCs w:val="28"/>
        </w:rPr>
        <w:t>±</w:t>
      </w:r>
      <w:r>
        <w:rPr>
          <w:rFonts w:ascii="Times New Roman" w:hAnsi="Times New Roman"/>
          <w:sz w:val="28"/>
          <w:szCs w:val="28"/>
        </w:rPr>
        <w:t>11,34 та 82,56</w:t>
      </w:r>
      <w:r w:rsidRPr="000B5ABC">
        <w:rPr>
          <w:rFonts w:ascii="Times New Roman" w:hAnsi="Times New Roman" w:cs="Times New Roman"/>
          <w:sz w:val="28"/>
          <w:szCs w:val="28"/>
        </w:rPr>
        <w:t>±</w:t>
      </w:r>
      <w:r>
        <w:rPr>
          <w:rFonts w:ascii="Times New Roman" w:hAnsi="Times New Roman"/>
          <w:sz w:val="28"/>
          <w:szCs w:val="28"/>
        </w:rPr>
        <w:t>18,51</w:t>
      </w:r>
      <w:r w:rsidRPr="000B5ABC">
        <w:rPr>
          <w:rFonts w:ascii="Times New Roman" w:hAnsi="Times New Roman"/>
          <w:sz w:val="28"/>
          <w:szCs w:val="28"/>
        </w:rPr>
        <w:t xml:space="preserve"> HU </w:t>
      </w:r>
      <w:r w:rsidRPr="000B5ABC">
        <w:rPr>
          <w:rFonts w:ascii="Times New Roman" w:hAnsi="Times New Roman" w:cs="Times New Roman"/>
          <w:sz w:val="28"/>
          <w:szCs w:val="28"/>
        </w:rPr>
        <w:t>(p&gt;0,05).</w:t>
      </w:r>
    </w:p>
    <w:p w:rsidR="00095916" w:rsidRDefault="00095916" w:rsidP="00ED3C5B">
      <w:pPr>
        <w:spacing w:line="360" w:lineRule="auto"/>
        <w:ind w:firstLine="708"/>
        <w:jc w:val="both"/>
        <w:rPr>
          <w:rFonts w:ascii="Times New Roman" w:hAnsi="Times New Roman" w:cs="Times New Roman"/>
          <w:sz w:val="28"/>
          <w:szCs w:val="28"/>
        </w:rPr>
      </w:pPr>
      <w:r w:rsidRPr="00734B2E">
        <w:rPr>
          <w:rFonts w:ascii="Times New Roman" w:hAnsi="Times New Roman" w:cs="Times New Roman"/>
          <w:sz w:val="28"/>
          <w:szCs w:val="28"/>
        </w:rPr>
        <w:t xml:space="preserve">Для </w:t>
      </w:r>
      <w:r>
        <w:rPr>
          <w:rFonts w:ascii="Times New Roman" w:hAnsi="Times New Roman" w:cs="Times New Roman"/>
          <w:sz w:val="28"/>
          <w:szCs w:val="28"/>
        </w:rPr>
        <w:t>візуалізації</w:t>
      </w:r>
      <w:r w:rsidRPr="00734B2E">
        <w:rPr>
          <w:rFonts w:ascii="Times New Roman" w:hAnsi="Times New Roman" w:cs="Times New Roman"/>
          <w:sz w:val="28"/>
          <w:szCs w:val="28"/>
        </w:rPr>
        <w:t xml:space="preserve"> </w:t>
      </w:r>
      <w:r>
        <w:rPr>
          <w:rFonts w:ascii="Times New Roman" w:hAnsi="Times New Roman" w:cs="Times New Roman"/>
          <w:sz w:val="28"/>
          <w:szCs w:val="28"/>
        </w:rPr>
        <w:t>динаміки</w:t>
      </w:r>
      <w:r w:rsidRPr="00734B2E">
        <w:rPr>
          <w:rFonts w:ascii="Times New Roman" w:hAnsi="Times New Roman" w:cs="Times New Roman"/>
          <w:sz w:val="28"/>
          <w:szCs w:val="28"/>
        </w:rPr>
        <w:t xml:space="preserve"> середніх значень променевої щільності </w:t>
      </w:r>
      <w:r>
        <w:rPr>
          <w:rFonts w:ascii="Times New Roman" w:hAnsi="Times New Roman" w:cs="Times New Roman"/>
          <w:sz w:val="28"/>
          <w:szCs w:val="28"/>
        </w:rPr>
        <w:t>новоувтору</w:t>
      </w:r>
      <w:r w:rsidRPr="00734B2E">
        <w:rPr>
          <w:rFonts w:ascii="Times New Roman" w:hAnsi="Times New Roman" w:cs="Times New Roman"/>
          <w:sz w:val="28"/>
          <w:szCs w:val="28"/>
        </w:rPr>
        <w:t xml:space="preserve"> та ВПЩ пухлини до нормальної ниркової паренхіми в залежності від фази КТ нами були побудовані часові криві інтенсивності сигналу для основної, порівняльних та контрольної груп. </w:t>
      </w:r>
      <w:r w:rsidR="00293044">
        <w:rPr>
          <w:rFonts w:ascii="Times New Roman" w:hAnsi="Times New Roman" w:cs="Times New Roman"/>
          <w:sz w:val="28"/>
          <w:szCs w:val="28"/>
        </w:rPr>
        <w:t xml:space="preserve">Як видно із </w:t>
      </w:r>
      <w:r w:rsidR="007A4D2A">
        <w:rPr>
          <w:rFonts w:ascii="Times New Roman" w:hAnsi="Times New Roman" w:cs="Times New Roman"/>
          <w:sz w:val="28"/>
          <w:szCs w:val="28"/>
        </w:rPr>
        <w:t>рисунку 3.29</w:t>
      </w:r>
      <w:r>
        <w:rPr>
          <w:rFonts w:ascii="Times New Roman" w:hAnsi="Times New Roman" w:cs="Times New Roman"/>
          <w:sz w:val="28"/>
          <w:szCs w:val="28"/>
        </w:rPr>
        <w:t>, при побудові графіку для променевої щільності, для доброякісних новоутворень було характерним наявність «плато» на відрізку кривої між кортико-</w:t>
      </w:r>
      <w:r>
        <w:rPr>
          <w:rFonts w:ascii="Times New Roman" w:hAnsi="Times New Roman" w:cs="Times New Roman"/>
          <w:sz w:val="28"/>
          <w:szCs w:val="28"/>
        </w:rPr>
        <w:lastRenderedPageBreak/>
        <w:t xml:space="preserve">медулярною та нефрографічною фазами, чого не спостерігалось в інших групах. При НКР та ПКК ниркової миски часова крива інтенсивності сигналу була пологою після свого пікового значення. </w:t>
      </w:r>
    </w:p>
    <w:p w:rsidR="00095916" w:rsidRDefault="00095916" w:rsidP="00095916">
      <w:pPr>
        <w:spacing w:line="360" w:lineRule="auto"/>
        <w:jc w:val="center"/>
        <w:rPr>
          <w:rFonts w:ascii="Times New Roman" w:hAnsi="Times New Roman" w:cs="Times New Roman"/>
          <w:sz w:val="28"/>
          <w:szCs w:val="28"/>
        </w:rPr>
      </w:pPr>
      <w:r>
        <w:rPr>
          <w:noProof/>
          <w:lang w:val="en-US"/>
        </w:rPr>
        <w:drawing>
          <wp:inline distT="0" distB="0" distL="0" distR="0" wp14:anchorId="6C28DDA6" wp14:editId="76CC15B9">
            <wp:extent cx="4191000" cy="2990850"/>
            <wp:effectExtent l="0" t="0" r="0" b="0"/>
            <wp:docPr id="120" name="Диаграмма 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095916" w:rsidRPr="006951E7" w:rsidRDefault="007A4D2A" w:rsidP="00095916">
      <w:pPr>
        <w:spacing w:line="360" w:lineRule="auto"/>
        <w:jc w:val="center"/>
        <w:rPr>
          <w:rFonts w:ascii="Times New Roman" w:hAnsi="Times New Roman"/>
          <w:sz w:val="28"/>
          <w:szCs w:val="28"/>
        </w:rPr>
      </w:pPr>
      <w:r>
        <w:rPr>
          <w:rFonts w:ascii="Times New Roman" w:hAnsi="Times New Roman"/>
          <w:sz w:val="28"/>
          <w:szCs w:val="28"/>
        </w:rPr>
        <w:t>Рис. 3.29</w:t>
      </w:r>
      <w:r w:rsidR="00095916" w:rsidRPr="006951E7">
        <w:rPr>
          <w:rFonts w:ascii="Times New Roman" w:hAnsi="Times New Roman"/>
          <w:sz w:val="28"/>
          <w:szCs w:val="28"/>
        </w:rPr>
        <w:t>. Криві інтенсивності сигналу на основі середніх значень променевої щільності в основній, порівняльних та контрольній групах</w:t>
      </w:r>
    </w:p>
    <w:p w:rsidR="00095916" w:rsidRDefault="00095916" w:rsidP="00095916">
      <w:pPr>
        <w:spacing w:line="360" w:lineRule="auto"/>
        <w:ind w:firstLine="708"/>
        <w:jc w:val="both"/>
        <w:rPr>
          <w:rFonts w:ascii="Times New Roman" w:hAnsi="Times New Roman" w:cs="Times New Roman"/>
          <w:sz w:val="28"/>
          <w:szCs w:val="28"/>
        </w:rPr>
      </w:pPr>
    </w:p>
    <w:p w:rsidR="00095916" w:rsidRDefault="00095916" w:rsidP="00ED3C5B">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побудові  графіку для відношення променевої щільності пухлини до нормальної нирково паренхіми  у групі доброякісних пухлин нирок ми також спостерігали відрізок «плато» між тими ж фазами КТ, проте криві НКР та ПКК ниркової миски між собою також відрізнялись: для першої був характерний незначний підйом впродовж екскреторної фази (що ймовірно пов’язане із різною швидкістю очищення від контрастної речовини нормальної ниркової паренхіми та пухлини), а для другої – константне зниження після</w:t>
      </w:r>
      <w:r w:rsidR="007A4D2A">
        <w:rPr>
          <w:rFonts w:ascii="Times New Roman" w:hAnsi="Times New Roman" w:cs="Times New Roman"/>
          <w:sz w:val="28"/>
          <w:szCs w:val="28"/>
        </w:rPr>
        <w:t xml:space="preserve"> пікового значення (рисунок 3.30</w:t>
      </w:r>
      <w:r>
        <w:rPr>
          <w:rFonts w:ascii="Times New Roman" w:hAnsi="Times New Roman" w:cs="Times New Roman"/>
          <w:sz w:val="28"/>
          <w:szCs w:val="28"/>
        </w:rPr>
        <w:t xml:space="preserve">). </w:t>
      </w:r>
    </w:p>
    <w:p w:rsidR="00095916" w:rsidRDefault="00095916" w:rsidP="00095916">
      <w:pPr>
        <w:spacing w:line="360" w:lineRule="auto"/>
        <w:jc w:val="center"/>
        <w:rPr>
          <w:rFonts w:ascii="Times New Roman" w:hAnsi="Times New Roman" w:cs="Times New Roman"/>
          <w:sz w:val="28"/>
          <w:szCs w:val="28"/>
        </w:rPr>
      </w:pPr>
      <w:r w:rsidRPr="006951E7">
        <w:rPr>
          <w:noProof/>
          <w:color w:val="000000" w:themeColor="text1"/>
          <w:lang w:val="en-US"/>
        </w:rPr>
        <w:lastRenderedPageBreak/>
        <w:drawing>
          <wp:inline distT="0" distB="0" distL="0" distR="0" wp14:anchorId="0E6A541E" wp14:editId="2029CAC2">
            <wp:extent cx="4162425" cy="3162300"/>
            <wp:effectExtent l="0" t="0" r="9525" b="0"/>
            <wp:docPr id="121" name="Диаграмма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095916" w:rsidRPr="006951E7" w:rsidRDefault="007A4D2A" w:rsidP="00095916">
      <w:pPr>
        <w:spacing w:line="360" w:lineRule="auto"/>
        <w:jc w:val="center"/>
        <w:rPr>
          <w:rFonts w:ascii="Times New Roman" w:hAnsi="Times New Roman"/>
          <w:sz w:val="28"/>
          <w:szCs w:val="28"/>
        </w:rPr>
      </w:pPr>
      <w:r>
        <w:rPr>
          <w:rFonts w:ascii="Times New Roman" w:hAnsi="Times New Roman"/>
          <w:sz w:val="28"/>
          <w:szCs w:val="28"/>
        </w:rPr>
        <w:t>Рис. 3.30</w:t>
      </w:r>
      <w:r w:rsidR="00095916" w:rsidRPr="006951E7">
        <w:rPr>
          <w:rFonts w:ascii="Times New Roman" w:hAnsi="Times New Roman"/>
          <w:sz w:val="28"/>
          <w:szCs w:val="28"/>
        </w:rPr>
        <w:t xml:space="preserve">. Криві інтенсивності сигналу на основі середніх значень </w:t>
      </w:r>
      <w:r w:rsidR="00095916" w:rsidRPr="006951E7">
        <w:rPr>
          <w:rFonts w:ascii="Times New Roman" w:hAnsi="Times New Roman" w:cs="Times New Roman"/>
          <w:sz w:val="28"/>
          <w:szCs w:val="28"/>
        </w:rPr>
        <w:t xml:space="preserve">відношення променевої щільності пухлини до нормальної ниркової паренхіми </w:t>
      </w:r>
      <w:r w:rsidR="00095916" w:rsidRPr="006951E7">
        <w:rPr>
          <w:rFonts w:ascii="Times New Roman" w:hAnsi="Times New Roman"/>
          <w:sz w:val="28"/>
          <w:szCs w:val="28"/>
        </w:rPr>
        <w:t>в основній, порівняльних та контрольній групах</w:t>
      </w:r>
    </w:p>
    <w:p w:rsidR="00095916" w:rsidRDefault="00095916" w:rsidP="00095916">
      <w:pPr>
        <w:spacing w:line="360" w:lineRule="auto"/>
        <w:contextualSpacing/>
        <w:rPr>
          <w:rFonts w:ascii="Times New Roman" w:hAnsi="Times New Roman" w:cs="Times New Roman"/>
          <w:sz w:val="28"/>
          <w:szCs w:val="28"/>
        </w:rPr>
      </w:pPr>
    </w:p>
    <w:p w:rsidR="00095916" w:rsidRPr="00797288" w:rsidRDefault="00095916" w:rsidP="0009591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 випливає з отриманих даних, в цілому їх характер значною мірою перегукується із даними отриманими при вивченні малих ниркових новоутворень, за винятком наявних відмінностей в показниках променевої щільності доброякісних новоутворень нирок при пухлинах понад 4 см. </w:t>
      </w:r>
    </w:p>
    <w:p w:rsidR="00E11480" w:rsidRDefault="00095916" w:rsidP="00095916">
      <w:pPr>
        <w:spacing w:line="360" w:lineRule="auto"/>
        <w:jc w:val="both"/>
        <w:rPr>
          <w:rFonts w:ascii="Times New Roman" w:hAnsi="Times New Roman"/>
          <w:sz w:val="28"/>
          <w:szCs w:val="28"/>
        </w:rPr>
      </w:pPr>
      <w:r>
        <w:rPr>
          <w:rFonts w:ascii="Times New Roman" w:hAnsi="Times New Roman"/>
          <w:sz w:val="28"/>
          <w:szCs w:val="28"/>
        </w:rPr>
        <w:tab/>
      </w:r>
      <w:r w:rsidRPr="00E357A8">
        <w:rPr>
          <w:rFonts w:ascii="Times New Roman" w:hAnsi="Times New Roman"/>
          <w:sz w:val="28"/>
          <w:szCs w:val="28"/>
        </w:rPr>
        <w:t xml:space="preserve">При побудові </w:t>
      </w:r>
      <w:r>
        <w:rPr>
          <w:rFonts w:ascii="Times New Roman" w:hAnsi="Times New Roman"/>
          <w:sz w:val="28"/>
          <w:szCs w:val="28"/>
        </w:rPr>
        <w:t>часових кривих</w:t>
      </w:r>
      <w:r w:rsidRPr="00E357A8">
        <w:rPr>
          <w:rFonts w:ascii="Times New Roman" w:hAnsi="Times New Roman"/>
          <w:sz w:val="28"/>
          <w:szCs w:val="28"/>
        </w:rPr>
        <w:t xml:space="preserve"> на основі інтенсивності сигналу для різних гістологічних</w:t>
      </w:r>
      <w:r>
        <w:rPr>
          <w:rFonts w:ascii="Times New Roman" w:hAnsi="Times New Roman"/>
          <w:sz w:val="28"/>
          <w:szCs w:val="28"/>
        </w:rPr>
        <w:t xml:space="preserve"> підтипів НКР було виявлено, що крива  конвенційного </w:t>
      </w:r>
      <w:r w:rsidRPr="00E357A8">
        <w:rPr>
          <w:rFonts w:ascii="Times New Roman" w:hAnsi="Times New Roman"/>
          <w:sz w:val="28"/>
          <w:szCs w:val="28"/>
        </w:rPr>
        <w:t xml:space="preserve">НКР після свого піку має пологий спадаючий характер, </w:t>
      </w:r>
      <w:r>
        <w:rPr>
          <w:rFonts w:ascii="Times New Roman" w:hAnsi="Times New Roman"/>
          <w:sz w:val="28"/>
          <w:szCs w:val="28"/>
        </w:rPr>
        <w:t xml:space="preserve">для папілярного підтипу </w:t>
      </w:r>
      <w:r w:rsidRPr="00E357A8">
        <w:rPr>
          <w:rFonts w:ascii="Times New Roman" w:hAnsi="Times New Roman"/>
          <w:sz w:val="28"/>
          <w:szCs w:val="28"/>
        </w:rPr>
        <w:t>характерни</w:t>
      </w:r>
      <w:r>
        <w:rPr>
          <w:rFonts w:ascii="Times New Roman" w:hAnsi="Times New Roman"/>
          <w:sz w:val="28"/>
          <w:szCs w:val="28"/>
        </w:rPr>
        <w:t xml:space="preserve">й більш різкий її спад, а для хромофобного підтипу </w:t>
      </w:r>
      <w:r w:rsidRPr="00E357A8">
        <w:rPr>
          <w:rFonts w:ascii="Times New Roman" w:hAnsi="Times New Roman"/>
          <w:sz w:val="28"/>
          <w:szCs w:val="28"/>
        </w:rPr>
        <w:t xml:space="preserve">– </w:t>
      </w:r>
      <w:r>
        <w:rPr>
          <w:rFonts w:ascii="Times New Roman" w:hAnsi="Times New Roman"/>
          <w:sz w:val="28"/>
          <w:szCs w:val="28"/>
        </w:rPr>
        <w:t>менша кривизна</w:t>
      </w:r>
      <w:r w:rsidRPr="00E357A8">
        <w:rPr>
          <w:rFonts w:ascii="Times New Roman" w:hAnsi="Times New Roman"/>
          <w:sz w:val="28"/>
          <w:szCs w:val="28"/>
        </w:rPr>
        <w:t xml:space="preserve">. </w:t>
      </w:r>
    </w:p>
    <w:p w:rsidR="00095916" w:rsidRPr="00E357A8" w:rsidRDefault="00095916" w:rsidP="00E11480">
      <w:pPr>
        <w:spacing w:line="360" w:lineRule="auto"/>
        <w:ind w:firstLine="708"/>
        <w:jc w:val="both"/>
        <w:rPr>
          <w:rFonts w:ascii="Times New Roman" w:hAnsi="Times New Roman"/>
          <w:sz w:val="28"/>
          <w:szCs w:val="28"/>
        </w:rPr>
      </w:pPr>
      <w:r w:rsidRPr="00E357A8">
        <w:rPr>
          <w:rFonts w:ascii="Times New Roman" w:hAnsi="Times New Roman"/>
          <w:sz w:val="28"/>
          <w:szCs w:val="28"/>
        </w:rPr>
        <w:t xml:space="preserve">На </w:t>
      </w:r>
      <w:r>
        <w:rPr>
          <w:rFonts w:ascii="Times New Roman" w:hAnsi="Times New Roman"/>
          <w:sz w:val="28"/>
          <w:szCs w:val="28"/>
        </w:rPr>
        <w:t>часових кривих</w:t>
      </w:r>
      <w:r w:rsidRPr="00E357A8">
        <w:rPr>
          <w:rFonts w:ascii="Times New Roman" w:hAnsi="Times New Roman"/>
          <w:sz w:val="28"/>
          <w:szCs w:val="28"/>
        </w:rPr>
        <w:t xml:space="preserve"> </w:t>
      </w:r>
      <w:r>
        <w:rPr>
          <w:rFonts w:ascii="Times New Roman" w:hAnsi="Times New Roman"/>
          <w:sz w:val="28"/>
          <w:szCs w:val="28"/>
        </w:rPr>
        <w:t>на основі ВПЩ на відміну від конвенційного</w:t>
      </w:r>
      <w:r w:rsidRPr="00E357A8">
        <w:rPr>
          <w:rFonts w:ascii="Times New Roman" w:hAnsi="Times New Roman"/>
          <w:sz w:val="28"/>
          <w:szCs w:val="28"/>
        </w:rPr>
        <w:t xml:space="preserve"> та </w:t>
      </w:r>
      <w:r>
        <w:rPr>
          <w:rFonts w:ascii="Times New Roman" w:hAnsi="Times New Roman"/>
          <w:sz w:val="28"/>
          <w:szCs w:val="28"/>
        </w:rPr>
        <w:t>хромофобного підтипів,</w:t>
      </w:r>
      <w:r w:rsidRPr="00E357A8">
        <w:rPr>
          <w:rFonts w:ascii="Times New Roman" w:hAnsi="Times New Roman"/>
          <w:sz w:val="28"/>
          <w:szCs w:val="28"/>
        </w:rPr>
        <w:t xml:space="preserve"> крива </w:t>
      </w:r>
      <w:r>
        <w:rPr>
          <w:rFonts w:ascii="Times New Roman" w:hAnsi="Times New Roman"/>
          <w:sz w:val="28"/>
          <w:szCs w:val="28"/>
        </w:rPr>
        <w:t xml:space="preserve">пНКР </w:t>
      </w:r>
      <w:r w:rsidRPr="00E357A8">
        <w:rPr>
          <w:rFonts w:ascii="Times New Roman" w:hAnsi="Times New Roman"/>
          <w:sz w:val="28"/>
          <w:szCs w:val="28"/>
        </w:rPr>
        <w:t>від свого піку мала більш стрімки</w:t>
      </w:r>
      <w:r>
        <w:rPr>
          <w:rFonts w:ascii="Times New Roman" w:hAnsi="Times New Roman"/>
          <w:sz w:val="28"/>
          <w:szCs w:val="28"/>
        </w:rPr>
        <w:t xml:space="preserve">й </w:t>
      </w:r>
      <w:r w:rsidR="007A4D2A">
        <w:rPr>
          <w:rFonts w:ascii="Times New Roman" w:hAnsi="Times New Roman"/>
          <w:sz w:val="28"/>
          <w:szCs w:val="28"/>
        </w:rPr>
        <w:t>характер спадання (рисунок 3.31</w:t>
      </w:r>
      <w:r w:rsidRPr="00E357A8">
        <w:rPr>
          <w:rFonts w:ascii="Times New Roman" w:hAnsi="Times New Roman"/>
          <w:sz w:val="28"/>
          <w:szCs w:val="28"/>
        </w:rPr>
        <w:t>).</w:t>
      </w:r>
      <w:r>
        <w:rPr>
          <w:rFonts w:ascii="Times New Roman" w:hAnsi="Times New Roman"/>
          <w:sz w:val="28"/>
          <w:szCs w:val="28"/>
        </w:rPr>
        <w:t xml:space="preserve"> </w:t>
      </w:r>
      <w:r w:rsidRPr="00E357A8">
        <w:rPr>
          <w:rFonts w:ascii="Times New Roman" w:hAnsi="Times New Roman"/>
          <w:sz w:val="28"/>
          <w:szCs w:val="28"/>
        </w:rPr>
        <w:t>При побудові TIK для конвенційного НКР та папілярного НКР низького та високого ступенів за Fuhrman істотних їх відмінностей між собою знайдено не було.</w:t>
      </w:r>
    </w:p>
    <w:p w:rsidR="00095916" w:rsidRPr="00FC5277" w:rsidRDefault="00095916" w:rsidP="00095916">
      <w:pPr>
        <w:spacing w:line="360" w:lineRule="auto"/>
        <w:ind w:left="-426"/>
        <w:contextualSpacing/>
        <w:rPr>
          <w:rFonts w:ascii="Times New Roman" w:hAnsi="Times New Roman" w:cs="Times New Roman"/>
          <w:b/>
          <w:sz w:val="28"/>
          <w:szCs w:val="28"/>
        </w:rPr>
      </w:pPr>
      <w:r>
        <w:rPr>
          <w:noProof/>
          <w:lang w:val="en-US"/>
        </w:rPr>
        <w:lastRenderedPageBreak/>
        <mc:AlternateContent>
          <mc:Choice Requires="wps">
            <w:drawing>
              <wp:anchor distT="0" distB="0" distL="114300" distR="114300" simplePos="0" relativeHeight="251703296" behindDoc="0" locked="0" layoutInCell="1" allowOverlap="1" wp14:anchorId="7E542F5E" wp14:editId="7EAA2081">
                <wp:simplePos x="0" y="0"/>
                <wp:positionH relativeFrom="margin">
                  <wp:posOffset>-266700</wp:posOffset>
                </wp:positionH>
                <wp:positionV relativeFrom="paragraph">
                  <wp:posOffset>2886075</wp:posOffset>
                </wp:positionV>
                <wp:extent cx="1828800" cy="409575"/>
                <wp:effectExtent l="0" t="0" r="0" b="9525"/>
                <wp:wrapNone/>
                <wp:docPr id="104" name="Надпись 104"/>
                <wp:cNvGraphicFramePr/>
                <a:graphic xmlns:a="http://schemas.openxmlformats.org/drawingml/2006/main">
                  <a:graphicData uri="http://schemas.microsoft.com/office/word/2010/wordprocessingShape">
                    <wps:wsp>
                      <wps:cNvSpPr txBox="1"/>
                      <wps:spPr>
                        <a:xfrm>
                          <a:off x="0" y="0"/>
                          <a:ext cx="1828800" cy="409575"/>
                        </a:xfrm>
                        <a:prstGeom prst="rect">
                          <a:avLst/>
                        </a:prstGeom>
                        <a:noFill/>
                        <a:ln>
                          <a:noFill/>
                        </a:ln>
                      </wps:spPr>
                      <wps:txbx>
                        <w:txbxContent>
                          <w:p w:rsidR="007B5A1D" w:rsidRPr="00797288" w:rsidRDefault="007B5A1D" w:rsidP="00095916">
                            <w:pPr>
                              <w:spacing w:line="360" w:lineRule="auto"/>
                              <w:jc w:val="center"/>
                              <w:rPr>
                                <w:rFonts w:ascii="Times New Roman" w:hAnsi="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97288">
                              <w:rPr>
                                <w:rFonts w:ascii="Times New Roman" w:hAnsi="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542F5E" id="Надпись 104" o:spid="_x0000_s1057" type="#_x0000_t202" style="position:absolute;left:0;text-align:left;margin-left:-21pt;margin-top:227.25pt;width:2in;height:32.25pt;z-index:25170329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" filled="f" stroked="f">
                <v:textbox>
                  <w:txbxContent>
                    <w:p w:rsidR="007B5A1D" w:rsidRPr="00797288" w:rsidRDefault="007B5A1D" w:rsidP="00095916">
                      <w:pPr>
                        <w:spacing w:line="360" w:lineRule="auto"/>
                        <w:jc w:val="center"/>
                        <w:rPr>
                          <w:rFonts w:ascii="Times New Roman" w:hAnsi="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97288">
                        <w:rPr>
                          <w:rFonts w:ascii="Times New Roman" w:hAnsi="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margin"/>
              </v:shape>
            </w:pict>
          </mc:Fallback>
        </mc:AlternateContent>
      </w:r>
      <w:r>
        <w:rPr>
          <w:noProof/>
          <w:lang w:val="en-US"/>
        </w:rPr>
        <mc:AlternateContent>
          <mc:Choice Requires="wps">
            <w:drawing>
              <wp:anchor distT="0" distB="0" distL="114300" distR="114300" simplePos="0" relativeHeight="251704320" behindDoc="0" locked="0" layoutInCell="1" allowOverlap="1" wp14:anchorId="5FAE02B3" wp14:editId="31AA8763">
                <wp:simplePos x="0" y="0"/>
                <wp:positionH relativeFrom="margin">
                  <wp:posOffset>2853690</wp:posOffset>
                </wp:positionH>
                <wp:positionV relativeFrom="paragraph">
                  <wp:posOffset>2886075</wp:posOffset>
                </wp:positionV>
                <wp:extent cx="1828800" cy="409575"/>
                <wp:effectExtent l="0" t="0" r="0" b="9525"/>
                <wp:wrapNone/>
                <wp:docPr id="110" name="Надпись 110"/>
                <wp:cNvGraphicFramePr/>
                <a:graphic xmlns:a="http://schemas.openxmlformats.org/drawingml/2006/main">
                  <a:graphicData uri="http://schemas.microsoft.com/office/word/2010/wordprocessingShape">
                    <wps:wsp>
                      <wps:cNvSpPr txBox="1"/>
                      <wps:spPr>
                        <a:xfrm>
                          <a:off x="0" y="0"/>
                          <a:ext cx="1828800" cy="409575"/>
                        </a:xfrm>
                        <a:prstGeom prst="rect">
                          <a:avLst/>
                        </a:prstGeom>
                        <a:noFill/>
                        <a:ln>
                          <a:noFill/>
                        </a:ln>
                      </wps:spPr>
                      <wps:txbx>
                        <w:txbxContent>
                          <w:p w:rsidR="007B5A1D" w:rsidRPr="00797288" w:rsidRDefault="007B5A1D" w:rsidP="00095916">
                            <w:pPr>
                              <w:spacing w:line="360" w:lineRule="auto"/>
                              <w:jc w:val="center"/>
                              <w:rPr>
                                <w:rFonts w:ascii="Times New Roman" w:hAnsi="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FAE02B3" id="Надпись 110" o:spid="_x0000_s1058" type="#_x0000_t202" style="position:absolute;left:0;text-align:left;margin-left:224.7pt;margin-top:227.25pt;width:2in;height:32.25pt;z-index:25170432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" filled="f" stroked="f">
                <v:textbox>
                  <w:txbxContent>
                    <w:p w:rsidR="007B5A1D" w:rsidRPr="00797288" w:rsidRDefault="007B5A1D" w:rsidP="00095916">
                      <w:pPr>
                        <w:spacing w:line="360" w:lineRule="auto"/>
                        <w:jc w:val="center"/>
                        <w:rPr>
                          <w:rFonts w:ascii="Times New Roman" w:hAnsi="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olor w:val="000000" w:themeColor="text1"/>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margin"/>
              </v:shape>
            </w:pict>
          </mc:Fallback>
        </mc:AlternateContent>
      </w:r>
      <w:r>
        <w:rPr>
          <w:noProof/>
          <w:lang w:val="en-US"/>
        </w:rPr>
        <w:drawing>
          <wp:inline distT="0" distB="0" distL="0" distR="0" wp14:anchorId="7618AC31" wp14:editId="2B92BBBA">
            <wp:extent cx="3143250" cy="3352800"/>
            <wp:effectExtent l="0" t="0" r="0" b="0"/>
            <wp:docPr id="122" name="Диаграмма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sidRPr="00797288">
        <w:rPr>
          <w:noProof/>
          <w:lang w:eastAsia="uk-UA"/>
        </w:rPr>
        <w:t xml:space="preserve"> </w:t>
      </w:r>
      <w:r>
        <w:rPr>
          <w:noProof/>
          <w:lang w:val="en-US"/>
        </w:rPr>
        <w:drawing>
          <wp:inline distT="0" distB="0" distL="0" distR="0" wp14:anchorId="3738A603" wp14:editId="134599F5">
            <wp:extent cx="3028950" cy="3333750"/>
            <wp:effectExtent l="0" t="0" r="0" b="0"/>
            <wp:docPr id="123" name="Диаграмма 12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095916" w:rsidRDefault="00095916" w:rsidP="00095916">
      <w:pPr>
        <w:spacing w:line="360" w:lineRule="auto"/>
        <w:contextualSpacing/>
        <w:rPr>
          <w:rFonts w:ascii="Times New Roman" w:hAnsi="Times New Roman" w:cs="Times New Roman"/>
          <w:b/>
          <w:sz w:val="28"/>
          <w:szCs w:val="28"/>
        </w:rPr>
      </w:pPr>
    </w:p>
    <w:p w:rsidR="00095916" w:rsidRDefault="007A4D2A" w:rsidP="00095916">
      <w:pPr>
        <w:spacing w:line="360" w:lineRule="auto"/>
        <w:jc w:val="center"/>
        <w:rPr>
          <w:rFonts w:ascii="Times New Roman" w:hAnsi="Times New Roman"/>
          <w:sz w:val="28"/>
          <w:szCs w:val="28"/>
        </w:rPr>
      </w:pPr>
      <w:r>
        <w:rPr>
          <w:rFonts w:ascii="Times New Roman" w:hAnsi="Times New Roman"/>
          <w:sz w:val="28"/>
          <w:szCs w:val="28"/>
        </w:rPr>
        <w:t>Рис. 3.31</w:t>
      </w:r>
      <w:r w:rsidR="00095916" w:rsidRPr="006951E7">
        <w:rPr>
          <w:rFonts w:ascii="Times New Roman" w:hAnsi="Times New Roman"/>
          <w:sz w:val="28"/>
          <w:szCs w:val="28"/>
        </w:rPr>
        <w:t xml:space="preserve">. Криві інтенсивності сигналу на основі середніх значень </w:t>
      </w:r>
      <w:r w:rsidR="00095916">
        <w:rPr>
          <w:rFonts w:ascii="Times New Roman" w:hAnsi="Times New Roman"/>
          <w:sz w:val="28"/>
          <w:szCs w:val="28"/>
        </w:rPr>
        <w:t xml:space="preserve">(А) променевої щільності та (Б) </w:t>
      </w:r>
      <w:r w:rsidR="00095916" w:rsidRPr="006951E7">
        <w:rPr>
          <w:rFonts w:ascii="Times New Roman" w:hAnsi="Times New Roman" w:cs="Times New Roman"/>
          <w:sz w:val="28"/>
          <w:szCs w:val="28"/>
        </w:rPr>
        <w:t xml:space="preserve">відношення променевої щільності пухлини до нормальної ниркової паренхіми </w:t>
      </w:r>
      <w:r w:rsidR="00095916" w:rsidRPr="006951E7">
        <w:rPr>
          <w:rFonts w:ascii="Times New Roman" w:hAnsi="Times New Roman"/>
          <w:sz w:val="28"/>
          <w:szCs w:val="28"/>
        </w:rPr>
        <w:t>в основній, порівняльних та контрольній групах</w:t>
      </w:r>
    </w:p>
    <w:p w:rsidR="00E11480" w:rsidRPr="006951E7" w:rsidRDefault="00E11480" w:rsidP="00095916">
      <w:pPr>
        <w:spacing w:line="360" w:lineRule="auto"/>
        <w:jc w:val="center"/>
        <w:rPr>
          <w:rFonts w:ascii="Times New Roman" w:hAnsi="Times New Roman"/>
          <w:sz w:val="28"/>
          <w:szCs w:val="28"/>
        </w:rPr>
      </w:pPr>
    </w:p>
    <w:p w:rsidR="00095916" w:rsidRDefault="00095916" w:rsidP="00095916">
      <w:pPr>
        <w:spacing w:line="360" w:lineRule="auto"/>
        <w:contextualSpacing/>
        <w:jc w:val="both"/>
        <w:rPr>
          <w:rFonts w:ascii="Times New Roman" w:hAnsi="Times New Roman" w:cs="Times New Roman"/>
          <w:sz w:val="28"/>
          <w:szCs w:val="28"/>
        </w:rPr>
      </w:pPr>
      <w:r>
        <w:rPr>
          <w:rFonts w:ascii="Times New Roman" w:hAnsi="Times New Roman" w:cs="Times New Roman"/>
          <w:b/>
          <w:sz w:val="28"/>
          <w:szCs w:val="28"/>
        </w:rPr>
        <w:tab/>
      </w:r>
      <w:r w:rsidRPr="00ED760B">
        <w:rPr>
          <w:rFonts w:ascii="Times New Roman" w:hAnsi="Times New Roman" w:cs="Times New Roman"/>
          <w:sz w:val="28"/>
          <w:szCs w:val="28"/>
        </w:rPr>
        <w:t xml:space="preserve">При </w:t>
      </w:r>
      <w:r>
        <w:rPr>
          <w:rFonts w:ascii="Times New Roman" w:hAnsi="Times New Roman" w:cs="Times New Roman"/>
          <w:sz w:val="28"/>
          <w:szCs w:val="28"/>
        </w:rPr>
        <w:t xml:space="preserve">виконанні </w:t>
      </w:r>
      <w:r>
        <w:rPr>
          <w:rFonts w:ascii="Times New Roman" w:hAnsi="Times New Roman" w:cs="Times New Roman"/>
          <w:sz w:val="28"/>
          <w:szCs w:val="28"/>
          <w:lang w:val="en-US"/>
        </w:rPr>
        <w:t>ROC</w:t>
      </w:r>
      <w:r>
        <w:rPr>
          <w:rFonts w:ascii="Times New Roman" w:hAnsi="Times New Roman" w:cs="Times New Roman"/>
          <w:sz w:val="28"/>
          <w:szCs w:val="28"/>
        </w:rPr>
        <w:t xml:space="preserve">-аналізу було встановлено, що найкращі показники у диференціації НКР від інших пухлин нирок серед вивчених потенційних променевих біомаркерів має інтенсивність сигналу пухлини виміряна з КТ-зображень екскреторної фази: при пороговому значенні 54,80 </w:t>
      </w:r>
      <w:r>
        <w:rPr>
          <w:rFonts w:ascii="Times New Roman" w:hAnsi="Times New Roman" w:cs="Times New Roman"/>
          <w:sz w:val="28"/>
          <w:szCs w:val="28"/>
          <w:lang w:val="en-US"/>
        </w:rPr>
        <w:t>HU</w:t>
      </w:r>
      <w:r>
        <w:rPr>
          <w:rFonts w:ascii="Times New Roman" w:hAnsi="Times New Roman" w:cs="Times New Roman"/>
          <w:sz w:val="28"/>
          <w:szCs w:val="28"/>
        </w:rPr>
        <w:t xml:space="preserve"> чутливість та специфічність становили відповідно 98,8% та 69,4% (</w:t>
      </w:r>
      <w:r>
        <w:rPr>
          <w:rFonts w:ascii="Times New Roman" w:hAnsi="Times New Roman" w:cs="Times New Roman"/>
          <w:sz w:val="28"/>
          <w:szCs w:val="28"/>
          <w:lang w:val="en-US"/>
        </w:rPr>
        <w:t>AUC</w:t>
      </w:r>
      <w:r>
        <w:rPr>
          <w:rFonts w:ascii="Times New Roman" w:hAnsi="Times New Roman" w:cs="Times New Roman"/>
          <w:sz w:val="28"/>
          <w:szCs w:val="28"/>
        </w:rPr>
        <w:t>=0,844, 95% ДІ=0,746-0,942, р</w:t>
      </w:r>
      <w:r w:rsidRPr="009E6C7E">
        <w:rPr>
          <w:rFonts w:ascii="Times New Roman" w:hAnsi="Times New Roman" w:cs="Times New Roman"/>
          <w:sz w:val="28"/>
          <w:szCs w:val="28"/>
        </w:rPr>
        <w:t xml:space="preserve">&lt;0,001). </w:t>
      </w:r>
      <w:r>
        <w:rPr>
          <w:rFonts w:ascii="Times New Roman" w:hAnsi="Times New Roman" w:cs="Times New Roman"/>
          <w:sz w:val="28"/>
          <w:szCs w:val="28"/>
        </w:rPr>
        <w:t>Застосування відношення променевої щільності пухлини до нормальної ниркової паренхіми застосоване з цією ж метою поступалось у як у показнику чутливості, т</w:t>
      </w:r>
      <w:r w:rsidR="007A4D2A">
        <w:rPr>
          <w:rFonts w:ascii="Times New Roman" w:hAnsi="Times New Roman" w:cs="Times New Roman"/>
          <w:sz w:val="28"/>
          <w:szCs w:val="28"/>
        </w:rPr>
        <w:t>ак і специфічності (рисунок 3.32</w:t>
      </w:r>
      <w:r>
        <w:rPr>
          <w:rFonts w:ascii="Times New Roman" w:hAnsi="Times New Roman" w:cs="Times New Roman"/>
          <w:sz w:val="28"/>
          <w:szCs w:val="28"/>
        </w:rPr>
        <w:t>).</w:t>
      </w:r>
    </w:p>
    <w:p w:rsidR="00ED3C5B" w:rsidRDefault="00ED3C5B" w:rsidP="00095916">
      <w:pPr>
        <w:spacing w:line="360" w:lineRule="auto"/>
        <w:contextualSpacing/>
        <w:jc w:val="both"/>
        <w:rPr>
          <w:rFonts w:ascii="Times New Roman" w:hAnsi="Times New Roman" w:cs="Times New Roman"/>
          <w:sz w:val="28"/>
          <w:szCs w:val="28"/>
        </w:rPr>
      </w:pPr>
    </w:p>
    <w:p w:rsidR="00E11480" w:rsidRDefault="00E11480" w:rsidP="00095916">
      <w:pPr>
        <w:spacing w:line="360" w:lineRule="auto"/>
        <w:contextualSpacing/>
        <w:jc w:val="both"/>
        <w:rPr>
          <w:rFonts w:ascii="Times New Roman" w:hAnsi="Times New Roman" w:cs="Times New Roman"/>
          <w:sz w:val="28"/>
          <w:szCs w:val="28"/>
        </w:rPr>
      </w:pPr>
    </w:p>
    <w:p w:rsidR="00E11480" w:rsidRDefault="00E11480" w:rsidP="00095916">
      <w:pPr>
        <w:spacing w:line="360" w:lineRule="auto"/>
        <w:contextualSpacing/>
        <w:jc w:val="both"/>
        <w:rPr>
          <w:rFonts w:ascii="Times New Roman" w:hAnsi="Times New Roman" w:cs="Times New Roman"/>
          <w:sz w:val="28"/>
          <w:szCs w:val="28"/>
        </w:rPr>
      </w:pPr>
    </w:p>
    <w:p w:rsidR="00ED3C5B" w:rsidRPr="008C72AA" w:rsidRDefault="00ED3C5B" w:rsidP="00095916">
      <w:pPr>
        <w:spacing w:line="360" w:lineRule="auto"/>
        <w:contextualSpacing/>
        <w:jc w:val="both"/>
        <w:rPr>
          <w:rFonts w:ascii="Times New Roman" w:hAnsi="Times New Roman" w:cs="Times New Roman"/>
          <w:sz w:val="28"/>
          <w:szCs w:val="28"/>
        </w:rPr>
      </w:pPr>
    </w:p>
    <w:tbl>
      <w:tblPr>
        <w:tblStyle w:val="PlainTable4"/>
        <w:tblW w:w="9782" w:type="dxa"/>
        <w:tblLook w:val="04A0" w:firstRow="1" w:lastRow="0" w:firstColumn="1" w:lastColumn="0" w:noHBand="0" w:noVBand="1"/>
      </w:tblPr>
      <w:tblGrid>
        <w:gridCol w:w="4926"/>
        <w:gridCol w:w="4856"/>
      </w:tblGrid>
      <w:tr w:rsidR="00095916" w:rsidTr="001F0C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96" w:type="dxa"/>
          </w:tcPr>
          <w:p w:rsidR="00095916" w:rsidRDefault="00095916" w:rsidP="001F0C51">
            <w:pPr>
              <w:spacing w:line="360" w:lineRule="auto"/>
              <w:rPr>
                <w:rFonts w:ascii="Times New Roman" w:hAnsi="Times New Roman"/>
                <w:sz w:val="28"/>
                <w:szCs w:val="28"/>
              </w:rPr>
            </w:pPr>
            <w:r>
              <w:rPr>
                <w:rFonts w:ascii="Times New Roman" w:hAnsi="Times New Roman"/>
                <w:sz w:val="28"/>
                <w:szCs w:val="28"/>
              </w:rPr>
              <w:lastRenderedPageBreak/>
              <w:t>А</w:t>
            </w:r>
          </w:p>
          <w:p w:rsidR="00095916" w:rsidRDefault="00095916" w:rsidP="001F0C51">
            <w:pPr>
              <w:spacing w:line="360" w:lineRule="auto"/>
              <w:rPr>
                <w:rFonts w:ascii="Times New Roman" w:hAnsi="Times New Roman"/>
                <w:sz w:val="28"/>
                <w:szCs w:val="28"/>
              </w:rPr>
            </w:pPr>
            <w:r>
              <w:rPr>
                <w:rFonts w:ascii="Times New Roman" w:hAnsi="Times New Roman" w:cs="Times New Roman"/>
                <w:noProof/>
                <w:sz w:val="24"/>
                <w:szCs w:val="24"/>
                <w:lang w:val="en-US"/>
              </w:rPr>
              <w:drawing>
                <wp:inline distT="0" distB="0" distL="0" distR="0" wp14:anchorId="70300FD0" wp14:editId="7EDB8729">
                  <wp:extent cx="2983473" cy="2880000"/>
                  <wp:effectExtent l="0" t="0" r="762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9091" r="8134"/>
                          <a:stretch/>
                        </pic:blipFill>
                        <pic:spPr bwMode="auto">
                          <a:xfrm>
                            <a:off x="0" y="0"/>
                            <a:ext cx="2983473" cy="288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886" w:type="dxa"/>
          </w:tcPr>
          <w:p w:rsidR="00095916" w:rsidRDefault="00095916" w:rsidP="001F0C5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8"/>
                <w:szCs w:val="28"/>
              </w:rPr>
            </w:pPr>
            <w:r>
              <w:rPr>
                <w:rFonts w:ascii="Times New Roman" w:hAnsi="Times New Roman"/>
                <w:sz w:val="28"/>
                <w:szCs w:val="28"/>
              </w:rPr>
              <w:t>Б</w:t>
            </w:r>
          </w:p>
          <w:p w:rsidR="00095916" w:rsidRDefault="00095916" w:rsidP="001F0C5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 w:val="28"/>
                <w:szCs w:val="28"/>
              </w:rPr>
            </w:pPr>
            <w:r>
              <w:rPr>
                <w:rFonts w:ascii="Times New Roman" w:hAnsi="Times New Roman" w:cs="Times New Roman"/>
                <w:noProof/>
                <w:sz w:val="24"/>
                <w:szCs w:val="24"/>
                <w:lang w:val="en-US"/>
              </w:rPr>
              <w:drawing>
                <wp:inline distT="0" distB="0" distL="0" distR="0" wp14:anchorId="46DD1F9D" wp14:editId="2C129D48">
                  <wp:extent cx="2943233" cy="2880000"/>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9729" r="8612"/>
                          <a:stretch/>
                        </pic:blipFill>
                        <pic:spPr bwMode="auto">
                          <a:xfrm>
                            <a:off x="0" y="0"/>
                            <a:ext cx="2943233" cy="2880000"/>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095916" w:rsidRPr="008C72AA" w:rsidRDefault="007A4D2A" w:rsidP="00095916">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sz w:val="28"/>
          <w:szCs w:val="28"/>
        </w:rPr>
        <w:t>Рис. 3.32</w:t>
      </w:r>
      <w:r w:rsidR="00095916" w:rsidRPr="008C72AA">
        <w:rPr>
          <w:rFonts w:ascii="Times New Roman" w:hAnsi="Times New Roman"/>
          <w:sz w:val="28"/>
          <w:szCs w:val="28"/>
        </w:rPr>
        <w:t>.</w:t>
      </w:r>
      <w:r w:rsidR="00095916" w:rsidRPr="008C72AA">
        <w:rPr>
          <w:rFonts w:ascii="Times New Roman" w:hAnsi="Times New Roman" w:cs="Times New Roman"/>
          <w:sz w:val="24"/>
          <w:szCs w:val="24"/>
        </w:rPr>
        <w:t xml:space="preserve"> </w:t>
      </w:r>
      <w:r w:rsidR="00095916" w:rsidRPr="008C72AA">
        <w:rPr>
          <w:rFonts w:ascii="Times New Roman" w:hAnsi="Times New Roman"/>
          <w:sz w:val="28"/>
          <w:szCs w:val="28"/>
        </w:rPr>
        <w:t xml:space="preserve">ROC-криві при диференціації </w:t>
      </w:r>
      <w:r w:rsidR="00095916">
        <w:rPr>
          <w:rFonts w:ascii="Times New Roman" w:hAnsi="Times New Roman"/>
          <w:sz w:val="28"/>
          <w:szCs w:val="28"/>
        </w:rPr>
        <w:t xml:space="preserve">солідного </w:t>
      </w:r>
      <w:r w:rsidR="00095916" w:rsidRPr="008C72AA">
        <w:rPr>
          <w:rFonts w:ascii="Times New Roman" w:hAnsi="Times New Roman"/>
          <w:sz w:val="28"/>
          <w:szCs w:val="28"/>
        </w:rPr>
        <w:t>НКР від інших пухлин нирок побудовані на основі (А) променевої щільності пухлини (Б) відношення променевої щільності пухлини до нормальної ниркової паренхіми</w:t>
      </w:r>
    </w:p>
    <w:p w:rsidR="00095916" w:rsidRDefault="00095916" w:rsidP="00095916">
      <w:pPr>
        <w:spacing w:line="360" w:lineRule="auto"/>
        <w:contextualSpacing/>
        <w:rPr>
          <w:rFonts w:ascii="Times New Roman" w:hAnsi="Times New Roman" w:cs="Times New Roman"/>
          <w:b/>
          <w:sz w:val="28"/>
          <w:szCs w:val="28"/>
        </w:rPr>
      </w:pPr>
    </w:p>
    <w:p w:rsidR="00095916" w:rsidRDefault="00095916" w:rsidP="0009591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095916" w:rsidRDefault="00095916" w:rsidP="00095916">
      <w:pPr>
        <w:autoSpaceDE w:val="0"/>
        <w:autoSpaceDN w:val="0"/>
        <w:adjustRightInd w:val="0"/>
        <w:spacing w:after="0" w:line="360" w:lineRule="auto"/>
        <w:jc w:val="both"/>
        <w:rPr>
          <w:rFonts w:ascii="Times New Roman" w:hAnsi="Times New Roman" w:cs="Times New Roman"/>
          <w:sz w:val="28"/>
          <w:szCs w:val="24"/>
        </w:rPr>
      </w:pPr>
      <w:r>
        <w:rPr>
          <w:rFonts w:ascii="Times New Roman" w:hAnsi="Times New Roman" w:cs="Times New Roman"/>
          <w:sz w:val="24"/>
          <w:szCs w:val="24"/>
        </w:rPr>
        <w:tab/>
      </w:r>
      <w:r>
        <w:rPr>
          <w:rFonts w:ascii="Times New Roman" w:hAnsi="Times New Roman" w:cs="Times New Roman"/>
          <w:sz w:val="28"/>
          <w:szCs w:val="24"/>
        </w:rPr>
        <w:t xml:space="preserve">Диференціація НКР від доброякісних пухлин нирок була можливою із дещо гіршими показниками, найбільш оптимальні з яких були отримані при застосуванні інтенсивності сигналу пухлини виміряною на КТ-зображеннях екскреторної фази: при граничному значенні 61,84 </w:t>
      </w:r>
      <w:r>
        <w:rPr>
          <w:rFonts w:ascii="Times New Roman" w:hAnsi="Times New Roman" w:cs="Times New Roman"/>
          <w:sz w:val="28"/>
          <w:szCs w:val="24"/>
          <w:lang w:val="en-US"/>
        </w:rPr>
        <w:t>HU</w:t>
      </w:r>
      <w:r w:rsidRPr="009E6C7E">
        <w:rPr>
          <w:rFonts w:ascii="Times New Roman" w:hAnsi="Times New Roman" w:cs="Times New Roman"/>
          <w:sz w:val="28"/>
          <w:szCs w:val="24"/>
        </w:rPr>
        <w:t xml:space="preserve"> </w:t>
      </w:r>
      <w:r>
        <w:rPr>
          <w:rFonts w:ascii="Times New Roman" w:hAnsi="Times New Roman" w:cs="Times New Roman"/>
          <w:sz w:val="28"/>
          <w:szCs w:val="24"/>
        </w:rPr>
        <w:t>чутливість та специфічність складали відповідно 79,8% та 63,6% (</w:t>
      </w:r>
      <w:r>
        <w:rPr>
          <w:rFonts w:ascii="Times New Roman" w:hAnsi="Times New Roman" w:cs="Times New Roman"/>
          <w:sz w:val="28"/>
          <w:szCs w:val="24"/>
          <w:lang w:val="en-US"/>
        </w:rPr>
        <w:t>AUC</w:t>
      </w:r>
      <w:r>
        <w:rPr>
          <w:rFonts w:ascii="Times New Roman" w:hAnsi="Times New Roman" w:cs="Times New Roman"/>
          <w:sz w:val="28"/>
          <w:szCs w:val="24"/>
        </w:rPr>
        <w:t>=</w:t>
      </w:r>
      <w:r w:rsidRPr="009E6C7E">
        <w:rPr>
          <w:rFonts w:ascii="Times New Roman" w:hAnsi="Times New Roman" w:cs="Times New Roman"/>
          <w:sz w:val="28"/>
          <w:szCs w:val="24"/>
        </w:rPr>
        <w:t>0</w:t>
      </w:r>
      <w:r>
        <w:rPr>
          <w:rFonts w:ascii="Times New Roman" w:hAnsi="Times New Roman" w:cs="Times New Roman"/>
          <w:sz w:val="28"/>
          <w:szCs w:val="24"/>
        </w:rPr>
        <w:t>,745, 95% ДІ=0,599-0,891, р</w:t>
      </w:r>
      <w:r w:rsidRPr="009E6C7E">
        <w:rPr>
          <w:rFonts w:ascii="Times New Roman" w:hAnsi="Times New Roman" w:cs="Times New Roman"/>
          <w:sz w:val="28"/>
          <w:szCs w:val="24"/>
        </w:rPr>
        <w:t>&lt;</w:t>
      </w:r>
      <w:r>
        <w:rPr>
          <w:rFonts w:ascii="Times New Roman" w:hAnsi="Times New Roman" w:cs="Times New Roman"/>
          <w:sz w:val="28"/>
          <w:szCs w:val="24"/>
        </w:rPr>
        <w:t xml:space="preserve">0,001). </w:t>
      </w:r>
    </w:p>
    <w:p w:rsidR="00095916" w:rsidRDefault="00095916" w:rsidP="00095916">
      <w:pPr>
        <w:autoSpaceDE w:val="0"/>
        <w:autoSpaceDN w:val="0"/>
        <w:adjustRightInd w:val="0"/>
        <w:spacing w:after="0" w:line="360" w:lineRule="auto"/>
        <w:jc w:val="both"/>
        <w:rPr>
          <w:rFonts w:ascii="Times New Roman" w:hAnsi="Times New Roman" w:cs="Times New Roman"/>
          <w:sz w:val="28"/>
          <w:szCs w:val="24"/>
        </w:rPr>
      </w:pPr>
      <w:r>
        <w:rPr>
          <w:rFonts w:ascii="Times New Roman" w:hAnsi="Times New Roman" w:cs="Times New Roman"/>
          <w:sz w:val="28"/>
          <w:szCs w:val="24"/>
        </w:rPr>
        <w:tab/>
        <w:t xml:space="preserve">При диференціації конвенційного від неконвенційного НКР, були отримані відносно невисокі показники тесту, найкращі з яких спостерігались при використанні інтенсивності сигналу пухлини нефрографічної фази при пороговому значенні 79,39 </w:t>
      </w:r>
      <w:r>
        <w:rPr>
          <w:rFonts w:ascii="Times New Roman" w:hAnsi="Times New Roman" w:cs="Times New Roman"/>
          <w:sz w:val="28"/>
          <w:szCs w:val="24"/>
          <w:lang w:val="en-US"/>
        </w:rPr>
        <w:t>HU</w:t>
      </w:r>
      <w:r>
        <w:rPr>
          <w:rFonts w:ascii="Times New Roman" w:hAnsi="Times New Roman" w:cs="Times New Roman"/>
          <w:sz w:val="28"/>
          <w:szCs w:val="24"/>
        </w:rPr>
        <w:t xml:space="preserve"> і</w:t>
      </w:r>
      <w:r w:rsidRPr="009E6C7E">
        <w:rPr>
          <w:rFonts w:ascii="Times New Roman" w:hAnsi="Times New Roman" w:cs="Times New Roman"/>
          <w:sz w:val="28"/>
          <w:szCs w:val="24"/>
        </w:rPr>
        <w:t xml:space="preserve"> </w:t>
      </w:r>
      <w:r>
        <w:rPr>
          <w:rFonts w:ascii="Times New Roman" w:hAnsi="Times New Roman" w:cs="Times New Roman"/>
          <w:sz w:val="28"/>
          <w:szCs w:val="24"/>
        </w:rPr>
        <w:t>становили відповідно 71,7% чутливість та 54,8% специфічність (</w:t>
      </w:r>
      <w:r>
        <w:rPr>
          <w:rFonts w:ascii="Times New Roman" w:hAnsi="Times New Roman" w:cs="Times New Roman"/>
          <w:sz w:val="28"/>
          <w:szCs w:val="24"/>
          <w:lang w:val="en-US"/>
        </w:rPr>
        <w:t>AUC</w:t>
      </w:r>
      <w:r w:rsidRPr="009E6C7E">
        <w:rPr>
          <w:rFonts w:ascii="Times New Roman" w:hAnsi="Times New Roman" w:cs="Times New Roman"/>
          <w:sz w:val="28"/>
          <w:szCs w:val="24"/>
        </w:rPr>
        <w:t>=</w:t>
      </w:r>
      <w:r>
        <w:rPr>
          <w:rFonts w:ascii="Times New Roman" w:hAnsi="Times New Roman" w:cs="Times New Roman"/>
          <w:sz w:val="28"/>
          <w:szCs w:val="24"/>
        </w:rPr>
        <w:t xml:space="preserve">0,718, 95% ДІ=0610-0,826, р=0,001). В той же час для диференціації папілярного від хромофобного гістологічного підтипу НКР найбільш ефективною була кортико-медулярна фаза: застосування граничної </w:t>
      </w:r>
      <w:r>
        <w:rPr>
          <w:rFonts w:ascii="Times New Roman" w:hAnsi="Times New Roman" w:cs="Times New Roman"/>
          <w:sz w:val="28"/>
          <w:szCs w:val="24"/>
        </w:rPr>
        <w:lastRenderedPageBreak/>
        <w:t xml:space="preserve">величини 90,57 </w:t>
      </w:r>
      <w:r>
        <w:rPr>
          <w:rFonts w:ascii="Times New Roman" w:hAnsi="Times New Roman" w:cs="Times New Roman"/>
          <w:sz w:val="28"/>
          <w:szCs w:val="24"/>
          <w:lang w:val="en-US"/>
        </w:rPr>
        <w:t>HU</w:t>
      </w:r>
      <w:r>
        <w:rPr>
          <w:rFonts w:ascii="Times New Roman" w:hAnsi="Times New Roman" w:cs="Times New Roman"/>
          <w:sz w:val="28"/>
          <w:szCs w:val="24"/>
        </w:rPr>
        <w:t xml:space="preserve"> дозволяло отримати тест із 100% чутливістю, 73,3% специфічністю та високою точністю (</w:t>
      </w:r>
      <w:r>
        <w:rPr>
          <w:rFonts w:ascii="Times New Roman" w:hAnsi="Times New Roman" w:cs="Times New Roman"/>
          <w:sz w:val="28"/>
          <w:szCs w:val="24"/>
          <w:lang w:val="en-US"/>
        </w:rPr>
        <w:t>AUC</w:t>
      </w:r>
      <w:r w:rsidRPr="009E6C7E">
        <w:rPr>
          <w:rFonts w:ascii="Times New Roman" w:hAnsi="Times New Roman" w:cs="Times New Roman"/>
          <w:sz w:val="28"/>
          <w:szCs w:val="24"/>
        </w:rPr>
        <w:t>=</w:t>
      </w:r>
      <w:r>
        <w:rPr>
          <w:rFonts w:ascii="Times New Roman" w:hAnsi="Times New Roman" w:cs="Times New Roman"/>
          <w:sz w:val="28"/>
          <w:szCs w:val="24"/>
        </w:rPr>
        <w:t>0,983, 95% ДІ=0,946-1,0, р</w:t>
      </w:r>
      <w:r w:rsidRPr="009E6C7E">
        <w:rPr>
          <w:rFonts w:ascii="Times New Roman" w:hAnsi="Times New Roman" w:cs="Times New Roman"/>
          <w:sz w:val="28"/>
          <w:szCs w:val="24"/>
        </w:rPr>
        <w:t>&lt;</w:t>
      </w:r>
      <w:r>
        <w:rPr>
          <w:rFonts w:ascii="Times New Roman" w:hAnsi="Times New Roman" w:cs="Times New Roman"/>
          <w:sz w:val="28"/>
          <w:szCs w:val="24"/>
        </w:rPr>
        <w:t>0,001).</w:t>
      </w:r>
    </w:p>
    <w:p w:rsidR="00095916" w:rsidRDefault="00095916" w:rsidP="00095916">
      <w:pPr>
        <w:autoSpaceDE w:val="0"/>
        <w:autoSpaceDN w:val="0"/>
        <w:adjustRightInd w:val="0"/>
        <w:spacing w:after="0" w:line="360" w:lineRule="auto"/>
        <w:jc w:val="both"/>
        <w:rPr>
          <w:rFonts w:ascii="Times New Roman" w:hAnsi="Times New Roman" w:cs="Times New Roman"/>
          <w:sz w:val="28"/>
          <w:szCs w:val="24"/>
        </w:rPr>
      </w:pPr>
      <w:r>
        <w:rPr>
          <w:rFonts w:ascii="Times New Roman" w:hAnsi="Times New Roman" w:cs="Times New Roman"/>
          <w:sz w:val="28"/>
          <w:szCs w:val="24"/>
        </w:rPr>
        <w:tab/>
        <w:t xml:space="preserve">У диференціації світлоклітинного НКР низького ступеня від високого за </w:t>
      </w:r>
      <w:r>
        <w:rPr>
          <w:rFonts w:ascii="Times New Roman" w:hAnsi="Times New Roman" w:cs="Times New Roman"/>
          <w:sz w:val="28"/>
          <w:szCs w:val="24"/>
          <w:lang w:val="en-US"/>
        </w:rPr>
        <w:t>Fuhrman</w:t>
      </w:r>
      <w:r w:rsidRPr="009E6C7E">
        <w:rPr>
          <w:rFonts w:ascii="Times New Roman" w:hAnsi="Times New Roman" w:cs="Times New Roman"/>
          <w:sz w:val="28"/>
          <w:szCs w:val="24"/>
        </w:rPr>
        <w:t xml:space="preserve"> </w:t>
      </w:r>
      <w:r>
        <w:rPr>
          <w:rFonts w:ascii="Times New Roman" w:hAnsi="Times New Roman" w:cs="Times New Roman"/>
          <w:sz w:val="28"/>
          <w:szCs w:val="24"/>
        </w:rPr>
        <w:t xml:space="preserve">найкращі показники тесту було досягнуто за умов використання променевої щільності пухлини виміряної з КТ-зображень нефрографічної фази: при пороговому значенні 87,78 </w:t>
      </w:r>
      <w:r>
        <w:rPr>
          <w:rFonts w:ascii="Times New Roman" w:hAnsi="Times New Roman" w:cs="Times New Roman"/>
          <w:sz w:val="28"/>
          <w:szCs w:val="24"/>
          <w:lang w:val="en-US"/>
        </w:rPr>
        <w:t>HU</w:t>
      </w:r>
      <w:r w:rsidRPr="009E6C7E">
        <w:rPr>
          <w:rFonts w:ascii="Times New Roman" w:hAnsi="Times New Roman" w:cs="Times New Roman"/>
          <w:sz w:val="28"/>
          <w:szCs w:val="24"/>
        </w:rPr>
        <w:t xml:space="preserve"> </w:t>
      </w:r>
      <w:r>
        <w:rPr>
          <w:rFonts w:ascii="Times New Roman" w:hAnsi="Times New Roman" w:cs="Times New Roman"/>
          <w:sz w:val="28"/>
          <w:szCs w:val="24"/>
        </w:rPr>
        <w:t xml:space="preserve">було отримано високоточний тест: чутливість – 100%, специфічність – 90,9%, </w:t>
      </w:r>
      <w:r>
        <w:rPr>
          <w:rFonts w:ascii="Times New Roman" w:hAnsi="Times New Roman" w:cs="Times New Roman"/>
          <w:sz w:val="28"/>
          <w:szCs w:val="24"/>
          <w:lang w:val="en-US"/>
        </w:rPr>
        <w:t>AUC</w:t>
      </w:r>
      <w:r w:rsidRPr="009E6C7E">
        <w:rPr>
          <w:rFonts w:ascii="Times New Roman" w:hAnsi="Times New Roman" w:cs="Times New Roman"/>
          <w:sz w:val="28"/>
          <w:szCs w:val="24"/>
        </w:rPr>
        <w:t>=</w:t>
      </w:r>
      <w:r>
        <w:rPr>
          <w:rFonts w:ascii="Times New Roman" w:hAnsi="Times New Roman" w:cs="Times New Roman"/>
          <w:sz w:val="28"/>
          <w:szCs w:val="24"/>
        </w:rPr>
        <w:t>0,969 (95% ДІ=0,922-1,0, р</w:t>
      </w:r>
      <w:r w:rsidRPr="009E6C7E">
        <w:rPr>
          <w:rFonts w:ascii="Times New Roman" w:hAnsi="Times New Roman" w:cs="Times New Roman"/>
          <w:sz w:val="28"/>
          <w:szCs w:val="24"/>
        </w:rPr>
        <w:t>&lt;</w:t>
      </w:r>
      <w:r>
        <w:rPr>
          <w:rFonts w:ascii="Times New Roman" w:hAnsi="Times New Roman" w:cs="Times New Roman"/>
          <w:sz w:val="28"/>
          <w:szCs w:val="24"/>
        </w:rPr>
        <w:t xml:space="preserve">0,001). Проте, як і раніше, нам не вдалось досягнути задовільних показників тесту при застосуванні інтенсивності сигналу чи відношення променевої щільності до нормальної ниркової паренхіми при диференціації папілярного НКР низького ступеня від високого за </w:t>
      </w:r>
      <w:r>
        <w:rPr>
          <w:rFonts w:ascii="Times New Roman" w:hAnsi="Times New Roman" w:cs="Times New Roman"/>
          <w:sz w:val="28"/>
          <w:szCs w:val="24"/>
          <w:lang w:val="en-US"/>
        </w:rPr>
        <w:t>Fuhrman</w:t>
      </w:r>
      <w:r>
        <w:rPr>
          <w:rFonts w:ascii="Times New Roman" w:hAnsi="Times New Roman" w:cs="Times New Roman"/>
          <w:sz w:val="28"/>
          <w:szCs w:val="24"/>
        </w:rPr>
        <w:t>.</w:t>
      </w:r>
    </w:p>
    <w:p w:rsidR="00095916" w:rsidRDefault="00095916" w:rsidP="00095916">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4"/>
        </w:rPr>
        <w:tab/>
        <w:t xml:space="preserve">Отримані дані свідчать про відсутність переваг застосування ВПЩ до нормальної ниркової паренхіми при диференціації НКР від інших пухлин нирок та визначені його гістологічних підтипів та ступенів за </w:t>
      </w:r>
      <w:r>
        <w:rPr>
          <w:rFonts w:ascii="Times New Roman" w:hAnsi="Times New Roman" w:cs="Times New Roman"/>
          <w:sz w:val="28"/>
          <w:szCs w:val="24"/>
          <w:lang w:val="en-US"/>
        </w:rPr>
        <w:t>Fuhrman</w:t>
      </w:r>
      <w:r>
        <w:rPr>
          <w:rFonts w:ascii="Times New Roman" w:hAnsi="Times New Roman" w:cs="Times New Roman"/>
          <w:sz w:val="28"/>
          <w:szCs w:val="24"/>
        </w:rPr>
        <w:t xml:space="preserve">, хоча, при вивченні малих ниркових новоутворень даний потенційний променевий біомаркер випереджував інтенсивність сигналу у показниках тесту при диференціації </w:t>
      </w:r>
      <w:r w:rsidRPr="004B5AD7">
        <w:rPr>
          <w:rFonts w:ascii="Times New Roman" w:hAnsi="Times New Roman" w:cs="Times New Roman"/>
          <w:sz w:val="28"/>
          <w:szCs w:val="28"/>
        </w:rPr>
        <w:t xml:space="preserve">НКР </w:t>
      </w:r>
      <w:r w:rsidRPr="006D643C">
        <w:rPr>
          <w:rFonts w:ascii="Times New Roman" w:hAnsi="Times New Roman" w:cs="Times New Roman"/>
          <w:sz w:val="28"/>
          <w:szCs w:val="28"/>
        </w:rPr>
        <w:t>від доброякісних SRM</w:t>
      </w:r>
      <w:r>
        <w:rPr>
          <w:rFonts w:ascii="Times New Roman" w:hAnsi="Times New Roman" w:cs="Times New Roman"/>
          <w:sz w:val="28"/>
          <w:szCs w:val="28"/>
        </w:rPr>
        <w:t>.</w:t>
      </w:r>
    </w:p>
    <w:p w:rsidR="00095916" w:rsidRPr="006D643C" w:rsidRDefault="00095916" w:rsidP="00095916">
      <w:pPr>
        <w:autoSpaceDE w:val="0"/>
        <w:autoSpaceDN w:val="0"/>
        <w:adjustRightInd w:val="0"/>
        <w:spacing w:after="0" w:line="360" w:lineRule="auto"/>
        <w:jc w:val="both"/>
        <w:rPr>
          <w:rFonts w:ascii="Times New Roman" w:hAnsi="Times New Roman" w:cs="Times New Roman"/>
          <w:sz w:val="28"/>
          <w:szCs w:val="24"/>
        </w:rPr>
      </w:pPr>
      <w:r>
        <w:rPr>
          <w:rFonts w:ascii="Times New Roman" w:hAnsi="Times New Roman" w:cs="Times New Roman"/>
          <w:sz w:val="28"/>
          <w:szCs w:val="28"/>
        </w:rPr>
        <w:tab/>
        <w:t xml:space="preserve">Далі наведені ілюстрації застосування інтенсивності сигналу пухлини та </w:t>
      </w:r>
      <w:r>
        <w:rPr>
          <w:rFonts w:ascii="Times New Roman" w:hAnsi="Times New Roman" w:cs="Times New Roman"/>
          <w:sz w:val="28"/>
          <w:szCs w:val="24"/>
        </w:rPr>
        <w:t>відношення променевої щільності до нормальної ниркової паренхіми при пухлинах нир</w:t>
      </w:r>
      <w:r w:rsidR="007A4D2A">
        <w:rPr>
          <w:rFonts w:ascii="Times New Roman" w:hAnsi="Times New Roman" w:cs="Times New Roman"/>
          <w:sz w:val="28"/>
          <w:szCs w:val="24"/>
        </w:rPr>
        <w:t xml:space="preserve">ок більших на 4 см (рисунки 3.33, </w:t>
      </w:r>
      <w:r w:rsidR="00293044">
        <w:rPr>
          <w:rFonts w:ascii="Times New Roman" w:hAnsi="Times New Roman" w:cs="Times New Roman"/>
          <w:sz w:val="28"/>
          <w:szCs w:val="24"/>
        </w:rPr>
        <w:t>3.3</w:t>
      </w:r>
      <w:r w:rsidR="007A4D2A">
        <w:rPr>
          <w:rFonts w:ascii="Times New Roman" w:hAnsi="Times New Roman" w:cs="Times New Roman"/>
          <w:sz w:val="28"/>
          <w:szCs w:val="24"/>
        </w:rPr>
        <w:t>4</w:t>
      </w:r>
      <w:r>
        <w:rPr>
          <w:rFonts w:ascii="Times New Roman" w:hAnsi="Times New Roman" w:cs="Times New Roman"/>
          <w:sz w:val="28"/>
          <w:szCs w:val="24"/>
        </w:rPr>
        <w:t>).</w:t>
      </w:r>
    </w:p>
    <w:p w:rsidR="00095916" w:rsidRDefault="00095916" w:rsidP="00095916">
      <w:pPr>
        <w:spacing w:line="360" w:lineRule="auto"/>
        <w:contextualSpacing/>
        <w:rPr>
          <w:rFonts w:ascii="Times New Roman" w:hAnsi="Times New Roman" w:cs="Times New Roman"/>
          <w:b/>
          <w:sz w:val="28"/>
          <w:szCs w:val="28"/>
        </w:rPr>
      </w:pPr>
    </w:p>
    <w:p w:rsidR="002E54F3" w:rsidRPr="00FC5277" w:rsidRDefault="002E54F3" w:rsidP="002E54F3">
      <w:pPr>
        <w:spacing w:line="360" w:lineRule="auto"/>
        <w:contextualSpacing/>
        <w:rPr>
          <w:rFonts w:ascii="Times New Roman" w:hAnsi="Times New Roman" w:cs="Times New Roman"/>
          <w:b/>
          <w:sz w:val="28"/>
          <w:szCs w:val="28"/>
        </w:rPr>
      </w:pPr>
    </w:p>
    <w:p w:rsidR="002E54F3" w:rsidRPr="00FC5277" w:rsidRDefault="002E54F3" w:rsidP="002E54F3">
      <w:pPr>
        <w:spacing w:line="360" w:lineRule="auto"/>
        <w:jc w:val="center"/>
        <w:rPr>
          <w:rFonts w:ascii="Times New Roman" w:hAnsi="Times New Roman"/>
          <w:sz w:val="28"/>
          <w:szCs w:val="28"/>
        </w:rPr>
      </w:pPr>
      <w:r w:rsidRPr="00FC5277">
        <w:rPr>
          <w:rFonts w:ascii="Times New Roman" w:hAnsi="Times New Roman"/>
          <w:noProof/>
          <w:sz w:val="28"/>
          <w:szCs w:val="28"/>
          <w:lang w:val="en-US"/>
        </w:rPr>
        <w:lastRenderedPageBreak/>
        <w:drawing>
          <wp:inline distT="0" distB="0" distL="0" distR="0" wp14:anchorId="26E9BDA1" wp14:editId="701C984F">
            <wp:extent cx="4524375" cy="3612128"/>
            <wp:effectExtent l="0" t="0" r="0" b="7620"/>
            <wp:docPr id="134" name="Рисунок 134" descr="КТ---4,0-х-3,72-Сторож-(О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Т---4,0-х-3,72-Сторож-(ОЦ)"/>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526016" cy="3613438"/>
                    </a:xfrm>
                    <a:prstGeom prst="rect">
                      <a:avLst/>
                    </a:prstGeom>
                    <a:noFill/>
                    <a:ln>
                      <a:noFill/>
                    </a:ln>
                  </pic:spPr>
                </pic:pic>
              </a:graphicData>
            </a:graphic>
          </wp:inline>
        </w:drawing>
      </w:r>
    </w:p>
    <w:p w:rsidR="002E54F3" w:rsidRPr="00E11480" w:rsidRDefault="00E11480" w:rsidP="00E11480">
      <w:pPr>
        <w:spacing w:line="276" w:lineRule="auto"/>
        <w:jc w:val="both"/>
        <w:rPr>
          <w:rFonts w:ascii="Times New Roman" w:hAnsi="Times New Roman"/>
          <w:sz w:val="28"/>
          <w:szCs w:val="28"/>
        </w:rPr>
      </w:pPr>
      <w:r>
        <w:rPr>
          <w:noProof/>
          <w:lang w:val="en-US"/>
        </w:rPr>
        <mc:AlternateContent>
          <mc:Choice Requires="wps">
            <w:drawing>
              <wp:anchor distT="0" distB="0" distL="114300" distR="114300" simplePos="0" relativeHeight="251706368" behindDoc="0" locked="0" layoutInCell="1" allowOverlap="1" wp14:anchorId="0D305B90" wp14:editId="133561CE">
                <wp:simplePos x="0" y="0"/>
                <wp:positionH relativeFrom="margin">
                  <wp:posOffset>-19050</wp:posOffset>
                </wp:positionH>
                <wp:positionV relativeFrom="paragraph">
                  <wp:posOffset>1922780</wp:posOffset>
                </wp:positionV>
                <wp:extent cx="5939790" cy="466725"/>
                <wp:effectExtent l="0" t="0" r="0" b="9525"/>
                <wp:wrapNone/>
                <wp:docPr id="129" name="Надпись 129"/>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B189D" w:rsidRDefault="007B5A1D" w:rsidP="002E54F3">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B189D">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305B90" id="Надпись 129" o:spid="_x0000_s1059" type="#_x0000_t202" style="position:absolute;left:0;text-align:left;margin-left:-1.5pt;margin-top:151.4pt;width:467.7pt;height:36.75pt;z-index:251706368;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" filled="f" stroked="f">
                <v:textbox>
                  <w:txbxContent>
                    <w:p w:rsidR="007B5A1D" w:rsidRPr="00BB189D" w:rsidRDefault="007B5A1D" w:rsidP="002E54F3">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B189D">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margin"/>
              </v:shape>
            </w:pict>
          </mc:Fallback>
        </mc:AlternateContent>
      </w:r>
      <w:r>
        <w:rPr>
          <w:noProof/>
          <w:lang w:val="en-US"/>
        </w:rPr>
        <mc:AlternateContent>
          <mc:Choice Requires="wps">
            <w:drawing>
              <wp:anchor distT="0" distB="0" distL="114300" distR="114300" simplePos="0" relativeHeight="251707392" behindDoc="0" locked="0" layoutInCell="1" allowOverlap="1" wp14:anchorId="75FAF542" wp14:editId="379FEC13">
                <wp:simplePos x="0" y="0"/>
                <wp:positionH relativeFrom="margin">
                  <wp:posOffset>1939290</wp:posOffset>
                </wp:positionH>
                <wp:positionV relativeFrom="paragraph">
                  <wp:posOffset>1922780</wp:posOffset>
                </wp:positionV>
                <wp:extent cx="5939790" cy="466725"/>
                <wp:effectExtent l="0" t="0" r="0" b="9525"/>
                <wp:wrapNone/>
                <wp:docPr id="128" name="Надпись 128"/>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B189D" w:rsidRDefault="007B5A1D" w:rsidP="002E54F3">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5FAF542" id="Надпись 128" o:spid="_x0000_s1060" type="#_x0000_t202" style="position:absolute;left:0;text-align:left;margin-left:152.7pt;margin-top:151.4pt;width:467.7pt;height:36.75pt;z-index:25170739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" filled="f" stroked="f">
                <v:textbox>
                  <w:txbxContent>
                    <w:p w:rsidR="007B5A1D" w:rsidRPr="00BB189D" w:rsidRDefault="007B5A1D" w:rsidP="002E54F3">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margin"/>
              </v:shape>
            </w:pict>
          </mc:Fallback>
        </mc:AlternateContent>
      </w:r>
      <w:r>
        <w:rPr>
          <w:noProof/>
          <w:lang w:val="en-US"/>
        </w:rPr>
        <mc:AlternateContent>
          <mc:Choice Requires="wps">
            <w:drawing>
              <wp:anchor distT="0" distB="0" distL="114300" distR="114300" simplePos="0" relativeHeight="251708416" behindDoc="0" locked="0" layoutInCell="1" allowOverlap="1" wp14:anchorId="317E17DF" wp14:editId="4D66A5FF">
                <wp:simplePos x="0" y="0"/>
                <wp:positionH relativeFrom="margin">
                  <wp:posOffset>4015740</wp:posOffset>
                </wp:positionH>
                <wp:positionV relativeFrom="paragraph">
                  <wp:posOffset>1922780</wp:posOffset>
                </wp:positionV>
                <wp:extent cx="5939790" cy="466725"/>
                <wp:effectExtent l="0" t="0" r="0" b="9525"/>
                <wp:wrapNone/>
                <wp:docPr id="127" name="Надпись 127"/>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B189D" w:rsidRDefault="007B5A1D" w:rsidP="002E54F3">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7E17DF" id="Надпись 127" o:spid="_x0000_s1061" type="#_x0000_t202" style="position:absolute;left:0;text-align:left;margin-left:316.2pt;margin-top:151.4pt;width:467.7pt;height:36.75pt;z-index:25170841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" filled="f" stroked="f">
                <v:textbox>
                  <w:txbxContent>
                    <w:p w:rsidR="007B5A1D" w:rsidRPr="00BB189D" w:rsidRDefault="007B5A1D" w:rsidP="002E54F3">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margin"/>
              </v:shape>
            </w:pict>
          </mc:Fallback>
        </mc:AlternateContent>
      </w:r>
      <w:r w:rsidR="007A4D2A">
        <w:rPr>
          <w:rFonts w:ascii="Times New Roman" w:hAnsi="Times New Roman" w:cs="Times New Roman"/>
          <w:sz w:val="28"/>
          <w:szCs w:val="28"/>
        </w:rPr>
        <w:t>Рис. 3.33</w:t>
      </w:r>
      <w:r w:rsidR="002E54F3" w:rsidRPr="00FC5277">
        <w:rPr>
          <w:rFonts w:ascii="Times New Roman" w:hAnsi="Times New Roman" w:cs="Times New Roman"/>
          <w:sz w:val="28"/>
          <w:szCs w:val="28"/>
        </w:rPr>
        <w:t xml:space="preserve">. Дані мультифазної </w:t>
      </w:r>
      <w:r w:rsidR="002E54F3">
        <w:rPr>
          <w:rFonts w:ascii="Times New Roman" w:hAnsi="Times New Roman" w:cs="Times New Roman"/>
          <w:sz w:val="28"/>
          <w:szCs w:val="28"/>
        </w:rPr>
        <w:t>КТ хворого Г., 55 р., екзофітна</w:t>
      </w:r>
      <w:r w:rsidR="002E54F3" w:rsidRPr="00FC5277">
        <w:rPr>
          <w:rFonts w:ascii="Times New Roman" w:hAnsi="Times New Roman" w:cs="Times New Roman"/>
          <w:sz w:val="28"/>
          <w:szCs w:val="28"/>
        </w:rPr>
        <w:t xml:space="preserve"> </w:t>
      </w:r>
      <w:r w:rsidR="002E54F3">
        <w:rPr>
          <w:rFonts w:ascii="Times New Roman" w:hAnsi="Times New Roman" w:cs="Times New Roman"/>
          <w:sz w:val="28"/>
          <w:szCs w:val="28"/>
        </w:rPr>
        <w:t>пухлина</w:t>
      </w:r>
      <w:r w:rsidR="002E54F3" w:rsidRPr="00FC5277">
        <w:rPr>
          <w:rFonts w:ascii="Times New Roman" w:hAnsi="Times New Roman" w:cs="Times New Roman"/>
          <w:sz w:val="28"/>
          <w:szCs w:val="28"/>
        </w:rPr>
        <w:t xml:space="preserve"> заднього сегменту лівої нирки розміром </w:t>
      </w:r>
      <w:r w:rsidR="002E54F3">
        <w:rPr>
          <w:rFonts w:ascii="Times New Roman" w:hAnsi="Times New Roman" w:cs="Times New Roman"/>
          <w:sz w:val="28"/>
          <w:szCs w:val="28"/>
        </w:rPr>
        <w:t>4,21х4,10</w:t>
      </w:r>
      <w:r w:rsidR="002E54F3" w:rsidRPr="00FC5277">
        <w:rPr>
          <w:rFonts w:ascii="Times New Roman" w:hAnsi="Times New Roman" w:cs="Times New Roman"/>
          <w:sz w:val="28"/>
          <w:szCs w:val="28"/>
        </w:rPr>
        <w:t>х3,60 см, ОЗ розташована над пухлиною. А: аксіальна проекція, кортико-медулярна фаза</w:t>
      </w:r>
      <w:r w:rsidR="002E54F3">
        <w:rPr>
          <w:rFonts w:ascii="Times New Roman" w:hAnsi="Times New Roman" w:cs="Times New Roman"/>
          <w:sz w:val="28"/>
          <w:szCs w:val="28"/>
        </w:rPr>
        <w:t>, ІС=91,45 HU, ВПЩ=0,75</w:t>
      </w:r>
      <w:r w:rsidR="002E54F3" w:rsidRPr="00982338">
        <w:rPr>
          <w:rFonts w:ascii="Times New Roman" w:hAnsi="Times New Roman" w:cs="Times New Roman"/>
          <w:sz w:val="28"/>
          <w:szCs w:val="28"/>
        </w:rPr>
        <w:t>; Б: аксіальна про</w:t>
      </w:r>
      <w:r w:rsidR="002E54F3">
        <w:rPr>
          <w:rFonts w:ascii="Times New Roman" w:hAnsi="Times New Roman" w:cs="Times New Roman"/>
          <w:sz w:val="28"/>
          <w:szCs w:val="28"/>
        </w:rPr>
        <w:t>екція, нефрографічна фаза, ІС=76,15 HU, ВПЩ=0,63</w:t>
      </w:r>
      <w:r w:rsidR="002E54F3" w:rsidRPr="00982338">
        <w:rPr>
          <w:rFonts w:ascii="Times New Roman" w:hAnsi="Times New Roman" w:cs="Times New Roman"/>
          <w:sz w:val="28"/>
          <w:szCs w:val="28"/>
        </w:rPr>
        <w:t>; В: аксіальна п</w:t>
      </w:r>
      <w:r w:rsidR="002E54F3">
        <w:rPr>
          <w:rFonts w:ascii="Times New Roman" w:hAnsi="Times New Roman" w:cs="Times New Roman"/>
          <w:sz w:val="28"/>
          <w:szCs w:val="28"/>
        </w:rPr>
        <w:t>роекція, екскреторна фаза, ІС=73,1</w:t>
      </w:r>
      <w:r w:rsidR="002E54F3" w:rsidRPr="00982338">
        <w:rPr>
          <w:rFonts w:ascii="Times New Roman" w:hAnsi="Times New Roman" w:cs="Times New Roman"/>
          <w:sz w:val="28"/>
          <w:szCs w:val="28"/>
        </w:rPr>
        <w:t>2 HU, ВПЩ=0,82; Г: сагітальна проекція, КМФ, пухлина</w:t>
      </w:r>
      <w:r w:rsidR="002E54F3" w:rsidRPr="00FC5277">
        <w:rPr>
          <w:rFonts w:ascii="Times New Roman" w:hAnsi="Times New Roman" w:cs="Times New Roman"/>
          <w:sz w:val="28"/>
          <w:szCs w:val="28"/>
        </w:rPr>
        <w:t xml:space="preserve"> позначена стрілкою. Хворому виконано парціальну нефректомію. Заключний діагноз: </w:t>
      </w:r>
      <w:r w:rsidR="002E54F3">
        <w:rPr>
          <w:rFonts w:ascii="Times New Roman" w:hAnsi="Times New Roman" w:cs="Times New Roman"/>
          <w:sz w:val="28"/>
          <w:szCs w:val="28"/>
        </w:rPr>
        <w:t>світлоклітинний НКР лівої нирки, рТ1</w:t>
      </w:r>
      <w:r w:rsidR="002E54F3">
        <w:rPr>
          <w:rFonts w:ascii="Times New Roman" w:hAnsi="Times New Roman" w:cs="Times New Roman"/>
          <w:sz w:val="28"/>
          <w:szCs w:val="28"/>
          <w:lang w:val="en-US"/>
        </w:rPr>
        <w:t>bN</w:t>
      </w:r>
      <w:r w:rsidR="002E54F3" w:rsidRPr="009E6C7E">
        <w:rPr>
          <w:rFonts w:ascii="Times New Roman" w:hAnsi="Times New Roman" w:cs="Times New Roman"/>
          <w:sz w:val="28"/>
          <w:szCs w:val="28"/>
        </w:rPr>
        <w:t>0</w:t>
      </w:r>
      <w:r w:rsidR="002E54F3">
        <w:rPr>
          <w:rFonts w:ascii="Times New Roman" w:hAnsi="Times New Roman" w:cs="Times New Roman"/>
          <w:sz w:val="28"/>
          <w:szCs w:val="28"/>
          <w:lang w:val="en-US"/>
        </w:rPr>
        <w:t>M</w:t>
      </w:r>
      <w:r w:rsidR="002E54F3" w:rsidRPr="009E6C7E">
        <w:rPr>
          <w:rFonts w:ascii="Times New Roman" w:hAnsi="Times New Roman" w:cs="Times New Roman"/>
          <w:sz w:val="28"/>
          <w:szCs w:val="28"/>
        </w:rPr>
        <w:t>0</w:t>
      </w:r>
      <w:r w:rsidR="002E54F3">
        <w:rPr>
          <w:rFonts w:ascii="Times New Roman" w:hAnsi="Times New Roman" w:cs="Times New Roman"/>
          <w:sz w:val="28"/>
          <w:szCs w:val="28"/>
        </w:rPr>
        <w:t xml:space="preserve">, ІІІ ступінь за </w:t>
      </w:r>
      <w:r w:rsidR="002E54F3">
        <w:rPr>
          <w:rFonts w:ascii="Times New Roman" w:hAnsi="Times New Roman" w:cs="Times New Roman"/>
          <w:sz w:val="28"/>
          <w:szCs w:val="24"/>
          <w:lang w:val="en-US"/>
        </w:rPr>
        <w:t>Fuhrman</w:t>
      </w:r>
    </w:p>
    <w:p w:rsidR="002E54F3" w:rsidRPr="00FC5277" w:rsidRDefault="002E54F3" w:rsidP="002E54F3">
      <w:r>
        <w:rPr>
          <w:noProof/>
          <w:lang w:val="en-US"/>
        </w:rPr>
        <w:drawing>
          <wp:inline distT="0" distB="0" distL="0" distR="0" wp14:anchorId="2F167695" wp14:editId="0BD00800">
            <wp:extent cx="5939790" cy="1918970"/>
            <wp:effectExtent l="0" t="0" r="3810" b="508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5,6х4,7.jpg"/>
                    <pic:cNvPicPr/>
                  </pic:nvPicPr>
                  <pic:blipFill>
                    <a:blip r:embed="rId68">
                      <a:extLst>
                        <a:ext uri="{28A0092B-C50C-407E-A947-70E740481C1C}">
                          <a14:useLocalDpi xmlns:a14="http://schemas.microsoft.com/office/drawing/2010/main" val="0"/>
                        </a:ext>
                      </a:extLst>
                    </a:blip>
                    <a:stretch>
                      <a:fillRect/>
                    </a:stretch>
                  </pic:blipFill>
                  <pic:spPr>
                    <a:xfrm>
                      <a:off x="0" y="0"/>
                      <a:ext cx="5939790" cy="1918970"/>
                    </a:xfrm>
                    <a:prstGeom prst="rect">
                      <a:avLst/>
                    </a:prstGeom>
                  </pic:spPr>
                </pic:pic>
              </a:graphicData>
            </a:graphic>
          </wp:inline>
        </w:drawing>
      </w:r>
    </w:p>
    <w:p w:rsidR="000C3BC1" w:rsidRPr="008C4970" w:rsidRDefault="007A4D2A" w:rsidP="008C4970">
      <w:pPr>
        <w:jc w:val="both"/>
        <w:rPr>
          <w:rFonts w:ascii="Times New Roman" w:hAnsi="Times New Roman" w:cs="Times New Roman"/>
          <w:sz w:val="28"/>
          <w:szCs w:val="28"/>
        </w:rPr>
      </w:pPr>
      <w:r>
        <w:rPr>
          <w:rFonts w:ascii="Times New Roman" w:hAnsi="Times New Roman" w:cs="Times New Roman"/>
          <w:sz w:val="28"/>
          <w:szCs w:val="28"/>
        </w:rPr>
        <w:t>Рис. 3.34</w:t>
      </w:r>
      <w:r w:rsidR="002E54F3" w:rsidRPr="00FC5277">
        <w:rPr>
          <w:rFonts w:ascii="Times New Roman" w:hAnsi="Times New Roman" w:cs="Times New Roman"/>
          <w:sz w:val="28"/>
          <w:szCs w:val="28"/>
        </w:rPr>
        <w:t>.</w:t>
      </w:r>
      <w:r w:rsidR="002E54F3">
        <w:rPr>
          <w:rFonts w:ascii="Times New Roman" w:hAnsi="Times New Roman" w:cs="Times New Roman"/>
          <w:sz w:val="28"/>
          <w:szCs w:val="28"/>
        </w:rPr>
        <w:t xml:space="preserve"> Дані мультифазної КТ хворої К., 68</w:t>
      </w:r>
      <w:r w:rsidR="002E54F3" w:rsidRPr="00FC5277">
        <w:rPr>
          <w:rFonts w:ascii="Times New Roman" w:hAnsi="Times New Roman" w:cs="Times New Roman"/>
          <w:sz w:val="28"/>
          <w:szCs w:val="28"/>
        </w:rPr>
        <w:t xml:space="preserve"> р.,</w:t>
      </w:r>
      <w:r w:rsidR="002E54F3">
        <w:rPr>
          <w:rFonts w:ascii="Times New Roman" w:hAnsi="Times New Roman" w:cs="Times New Roman"/>
          <w:sz w:val="28"/>
          <w:szCs w:val="28"/>
        </w:rPr>
        <w:t xml:space="preserve"> осьова проекція, папілярний НКР верхнього переднього сегменту правої нирки </w:t>
      </w:r>
      <w:r w:rsidR="002E54F3" w:rsidRPr="00BB189D">
        <w:rPr>
          <w:rFonts w:ascii="Times New Roman" w:hAnsi="Times New Roman" w:cs="Times New Roman"/>
          <w:sz w:val="28"/>
          <w:szCs w:val="28"/>
        </w:rPr>
        <w:t>5,6х4,7</w:t>
      </w:r>
      <w:r w:rsidR="002E54F3">
        <w:rPr>
          <w:rFonts w:ascii="Times New Roman" w:hAnsi="Times New Roman" w:cs="Times New Roman"/>
          <w:sz w:val="28"/>
          <w:szCs w:val="28"/>
        </w:rPr>
        <w:t xml:space="preserve">х4,3 см, ІІ ступінь за </w:t>
      </w:r>
      <w:r w:rsidR="002E54F3">
        <w:rPr>
          <w:rFonts w:ascii="Times New Roman" w:hAnsi="Times New Roman" w:cs="Times New Roman"/>
          <w:sz w:val="28"/>
          <w:szCs w:val="28"/>
          <w:lang w:val="en-US"/>
        </w:rPr>
        <w:t>Fuhrman</w:t>
      </w:r>
      <w:r w:rsidR="002E54F3">
        <w:rPr>
          <w:rFonts w:ascii="Times New Roman" w:hAnsi="Times New Roman" w:cs="Times New Roman"/>
          <w:sz w:val="28"/>
          <w:szCs w:val="28"/>
        </w:rPr>
        <w:t>, ОЗ над пухлиною.</w:t>
      </w:r>
      <w:r w:rsidR="002E54F3" w:rsidRPr="009E6C7E">
        <w:rPr>
          <w:rFonts w:ascii="Times New Roman" w:hAnsi="Times New Roman" w:cs="Times New Roman"/>
          <w:sz w:val="28"/>
          <w:szCs w:val="28"/>
        </w:rPr>
        <w:t xml:space="preserve"> </w:t>
      </w:r>
      <w:r w:rsidR="002E54F3">
        <w:rPr>
          <w:rFonts w:ascii="Times New Roman" w:hAnsi="Times New Roman" w:cs="Times New Roman"/>
          <w:sz w:val="28"/>
          <w:szCs w:val="28"/>
          <w:lang w:val="en-US"/>
        </w:rPr>
        <w:t>A</w:t>
      </w:r>
      <w:r w:rsidR="002E54F3" w:rsidRPr="009E6C7E">
        <w:rPr>
          <w:rFonts w:ascii="Times New Roman" w:hAnsi="Times New Roman" w:cs="Times New Roman"/>
          <w:sz w:val="28"/>
          <w:szCs w:val="28"/>
        </w:rPr>
        <w:t xml:space="preserve">: </w:t>
      </w:r>
      <w:r w:rsidR="002E54F3">
        <w:rPr>
          <w:rFonts w:ascii="Times New Roman" w:hAnsi="Times New Roman" w:cs="Times New Roman"/>
          <w:sz w:val="28"/>
          <w:szCs w:val="28"/>
        </w:rPr>
        <w:t xml:space="preserve">кортико-медулярна фаза, ІС=117,23 </w:t>
      </w:r>
      <w:r w:rsidR="002E54F3">
        <w:rPr>
          <w:rFonts w:ascii="Times New Roman" w:hAnsi="Times New Roman" w:cs="Times New Roman"/>
          <w:sz w:val="28"/>
          <w:szCs w:val="28"/>
          <w:lang w:val="en-US"/>
        </w:rPr>
        <w:t>HU</w:t>
      </w:r>
      <w:r w:rsidR="002E54F3">
        <w:rPr>
          <w:rFonts w:ascii="Times New Roman" w:hAnsi="Times New Roman" w:cs="Times New Roman"/>
          <w:sz w:val="28"/>
          <w:szCs w:val="28"/>
        </w:rPr>
        <w:t xml:space="preserve">, ВПЩ=1,05; Б: нефрографічна фаза, ІС=73,45 </w:t>
      </w:r>
      <w:r w:rsidR="002E54F3">
        <w:rPr>
          <w:rFonts w:ascii="Times New Roman" w:hAnsi="Times New Roman" w:cs="Times New Roman"/>
          <w:sz w:val="28"/>
          <w:szCs w:val="28"/>
          <w:lang w:val="en-US"/>
        </w:rPr>
        <w:t>HU</w:t>
      </w:r>
      <w:r w:rsidR="002E54F3">
        <w:rPr>
          <w:rFonts w:ascii="Times New Roman" w:hAnsi="Times New Roman" w:cs="Times New Roman"/>
          <w:sz w:val="28"/>
          <w:szCs w:val="28"/>
        </w:rPr>
        <w:t xml:space="preserve">, ВПЩ=0,73; В: екскреторна фаза, ІС=65,84 </w:t>
      </w:r>
      <w:r w:rsidR="002E54F3">
        <w:rPr>
          <w:rFonts w:ascii="Times New Roman" w:hAnsi="Times New Roman" w:cs="Times New Roman"/>
          <w:sz w:val="28"/>
          <w:szCs w:val="28"/>
          <w:lang w:val="en-US"/>
        </w:rPr>
        <w:t>HU</w:t>
      </w:r>
      <w:r w:rsidR="002E54F3">
        <w:rPr>
          <w:rFonts w:ascii="Times New Roman" w:hAnsi="Times New Roman" w:cs="Times New Roman"/>
          <w:sz w:val="28"/>
          <w:szCs w:val="28"/>
        </w:rPr>
        <w:t>, ВПЩ=0,75</w:t>
      </w:r>
    </w:p>
    <w:p w:rsidR="005B56AD" w:rsidRPr="002E5826" w:rsidRDefault="005B56AD" w:rsidP="005B56A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3.2.1.2.</w:t>
      </w:r>
      <w:r w:rsidRPr="002E5826">
        <w:rPr>
          <w:rFonts w:ascii="Times New Roman" w:hAnsi="Times New Roman" w:cs="Times New Roman"/>
          <w:sz w:val="28"/>
          <w:szCs w:val="28"/>
        </w:rPr>
        <w:t xml:space="preserve"> </w:t>
      </w:r>
      <w:r w:rsidRPr="00955EFA">
        <w:rPr>
          <w:rFonts w:ascii="Times New Roman" w:hAnsi="Times New Roman" w:cs="Times New Roman"/>
          <w:sz w:val="28"/>
          <w:szCs w:val="28"/>
        </w:rPr>
        <w:t>Променеві біомаркери на основі МРТ</w:t>
      </w:r>
    </w:p>
    <w:p w:rsidR="005B56AD" w:rsidRPr="003F6F9B" w:rsidRDefault="005B56AD" w:rsidP="005B56A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w:t>
      </w:r>
      <w:r w:rsidRPr="00BA45EE">
        <w:rPr>
          <w:rFonts w:ascii="Times New Roman" w:hAnsi="Times New Roman" w:cs="Times New Roman"/>
          <w:sz w:val="28"/>
          <w:szCs w:val="28"/>
        </w:rPr>
        <w:t xml:space="preserve">ередній розмір новоутворення </w:t>
      </w:r>
      <w:r>
        <w:rPr>
          <w:rFonts w:ascii="Times New Roman" w:hAnsi="Times New Roman" w:cs="Times New Roman"/>
          <w:sz w:val="28"/>
          <w:szCs w:val="28"/>
        </w:rPr>
        <w:t>у</w:t>
      </w:r>
      <w:r w:rsidRPr="00BA45EE">
        <w:rPr>
          <w:rFonts w:ascii="Times New Roman" w:hAnsi="Times New Roman" w:cs="Times New Roman"/>
          <w:sz w:val="28"/>
          <w:szCs w:val="28"/>
        </w:rPr>
        <w:t xml:space="preserve"> хворих, яким була виконана МРТ</w:t>
      </w:r>
      <w:r>
        <w:rPr>
          <w:rFonts w:ascii="Times New Roman" w:hAnsi="Times New Roman" w:cs="Times New Roman"/>
          <w:sz w:val="28"/>
          <w:szCs w:val="28"/>
        </w:rPr>
        <w:t xml:space="preserve"> (n=124</w:t>
      </w:r>
      <w:r w:rsidRPr="00BA45EE">
        <w:rPr>
          <w:rFonts w:ascii="Times New Roman" w:hAnsi="Times New Roman" w:cs="Times New Roman"/>
          <w:sz w:val="28"/>
          <w:szCs w:val="28"/>
        </w:rPr>
        <w:t xml:space="preserve">) складав </w:t>
      </w:r>
      <w:r>
        <w:rPr>
          <w:rFonts w:ascii="Times New Roman" w:hAnsi="Times New Roman"/>
          <w:sz w:val="28"/>
          <w:szCs w:val="28"/>
        </w:rPr>
        <w:t>7,71</w:t>
      </w:r>
      <w:r w:rsidRPr="00381B7D">
        <w:rPr>
          <w:rFonts w:ascii="Times New Roman" w:hAnsi="Times New Roman"/>
          <w:sz w:val="28"/>
          <w:szCs w:val="28"/>
        </w:rPr>
        <w:sym w:font="Symbol" w:char="F0B1"/>
      </w:r>
      <w:r>
        <w:rPr>
          <w:rFonts w:ascii="Times New Roman" w:hAnsi="Times New Roman"/>
          <w:sz w:val="28"/>
          <w:szCs w:val="28"/>
        </w:rPr>
        <w:t xml:space="preserve">2,66 </w:t>
      </w:r>
      <w:r>
        <w:rPr>
          <w:rFonts w:ascii="Times New Roman" w:hAnsi="Times New Roman" w:cs="Times New Roman"/>
          <w:sz w:val="28"/>
          <w:szCs w:val="28"/>
        </w:rPr>
        <w:t>см (від 4,06 до 12,90</w:t>
      </w:r>
      <w:r w:rsidRPr="00BA45EE">
        <w:rPr>
          <w:rFonts w:ascii="Times New Roman" w:hAnsi="Times New Roman" w:cs="Times New Roman"/>
          <w:sz w:val="28"/>
          <w:szCs w:val="28"/>
        </w:rPr>
        <w:t xml:space="preserve"> см). Середній розмір новоутворень у хворих із НКР становив </w:t>
      </w:r>
      <w:r>
        <w:rPr>
          <w:rFonts w:ascii="Times New Roman" w:hAnsi="Times New Roman"/>
          <w:sz w:val="28"/>
          <w:szCs w:val="28"/>
        </w:rPr>
        <w:t>7,65</w:t>
      </w:r>
      <w:r w:rsidRPr="00FC5277">
        <w:rPr>
          <w:rFonts w:ascii="Times New Roman" w:hAnsi="Times New Roman"/>
          <w:sz w:val="28"/>
          <w:szCs w:val="28"/>
        </w:rPr>
        <w:sym w:font="Symbol" w:char="F0B1"/>
      </w:r>
      <w:r>
        <w:rPr>
          <w:rFonts w:ascii="Times New Roman" w:hAnsi="Times New Roman"/>
          <w:sz w:val="28"/>
          <w:szCs w:val="28"/>
        </w:rPr>
        <w:t xml:space="preserve">2,49 </w:t>
      </w:r>
      <w:r>
        <w:rPr>
          <w:rFonts w:ascii="Times New Roman" w:hAnsi="Times New Roman" w:cs="Times New Roman"/>
          <w:sz w:val="28"/>
          <w:szCs w:val="28"/>
        </w:rPr>
        <w:t>см (від 4,06 до 12,90</w:t>
      </w:r>
      <w:r w:rsidRPr="00BA45EE">
        <w:rPr>
          <w:rFonts w:ascii="Times New Roman" w:hAnsi="Times New Roman" w:cs="Times New Roman"/>
          <w:sz w:val="28"/>
          <w:szCs w:val="28"/>
        </w:rPr>
        <w:t xml:space="preserve"> см); пацієнтів із ПКК ниркової миски – </w:t>
      </w:r>
      <w:r>
        <w:rPr>
          <w:rFonts w:ascii="Times New Roman" w:hAnsi="Times New Roman"/>
          <w:sz w:val="28"/>
          <w:szCs w:val="28"/>
        </w:rPr>
        <w:t>5,14</w:t>
      </w:r>
      <w:r w:rsidRPr="00FC5277">
        <w:rPr>
          <w:rFonts w:ascii="Times New Roman" w:hAnsi="Times New Roman"/>
          <w:sz w:val="28"/>
          <w:szCs w:val="28"/>
        </w:rPr>
        <w:sym w:font="Symbol" w:char="F0B1"/>
      </w:r>
      <w:r>
        <w:rPr>
          <w:rFonts w:ascii="Times New Roman" w:hAnsi="Times New Roman"/>
          <w:sz w:val="28"/>
          <w:szCs w:val="28"/>
        </w:rPr>
        <w:t xml:space="preserve">2,61 </w:t>
      </w:r>
      <w:r>
        <w:rPr>
          <w:rFonts w:ascii="Times New Roman" w:hAnsi="Times New Roman" w:cs="Times New Roman"/>
          <w:sz w:val="28"/>
          <w:szCs w:val="28"/>
        </w:rPr>
        <w:t>см (від 4,30 до 6,95</w:t>
      </w:r>
      <w:r w:rsidRPr="00BA45EE">
        <w:rPr>
          <w:rFonts w:ascii="Times New Roman" w:hAnsi="Times New Roman" w:cs="Times New Roman"/>
          <w:sz w:val="28"/>
          <w:szCs w:val="28"/>
        </w:rPr>
        <w:t xml:space="preserve"> см); та хворих із доброякісними пухлинами нирок – </w:t>
      </w:r>
      <w:r>
        <w:rPr>
          <w:rFonts w:ascii="Times New Roman" w:hAnsi="Times New Roman"/>
          <w:sz w:val="28"/>
          <w:szCs w:val="28"/>
        </w:rPr>
        <w:t>6,64</w:t>
      </w:r>
      <w:r w:rsidRPr="00FC5277">
        <w:rPr>
          <w:rFonts w:ascii="Times New Roman" w:hAnsi="Times New Roman"/>
          <w:sz w:val="28"/>
          <w:szCs w:val="28"/>
        </w:rPr>
        <w:sym w:font="Symbol" w:char="F0B1"/>
      </w:r>
      <w:r>
        <w:rPr>
          <w:rFonts w:ascii="Times New Roman" w:hAnsi="Times New Roman"/>
          <w:sz w:val="28"/>
          <w:szCs w:val="28"/>
        </w:rPr>
        <w:t>2,98</w:t>
      </w:r>
      <w:r>
        <w:rPr>
          <w:rFonts w:ascii="Times New Roman" w:hAnsi="Times New Roman" w:cs="Times New Roman"/>
          <w:sz w:val="28"/>
          <w:szCs w:val="28"/>
        </w:rPr>
        <w:t xml:space="preserve"> см (від 4,20 до 8,84</w:t>
      </w:r>
      <w:r w:rsidRPr="00BA45EE">
        <w:rPr>
          <w:rFonts w:ascii="Times New Roman" w:hAnsi="Times New Roman" w:cs="Times New Roman"/>
          <w:sz w:val="28"/>
          <w:szCs w:val="28"/>
        </w:rPr>
        <w:t xml:space="preserve"> см). </w:t>
      </w:r>
    </w:p>
    <w:p w:rsidR="005B56AD" w:rsidRDefault="005B56AD" w:rsidP="008C4970">
      <w:pPr>
        <w:spacing w:line="360" w:lineRule="auto"/>
        <w:ind w:firstLine="709"/>
        <w:jc w:val="both"/>
        <w:rPr>
          <w:rFonts w:ascii="Times New Roman" w:hAnsi="Times New Roman" w:cs="Times New Roman"/>
          <w:sz w:val="28"/>
          <w:szCs w:val="28"/>
        </w:rPr>
      </w:pPr>
      <w:r w:rsidRPr="007B49F0">
        <w:rPr>
          <w:rFonts w:ascii="Times New Roman" w:hAnsi="Times New Roman" w:cs="Times New Roman"/>
          <w:sz w:val="28"/>
          <w:szCs w:val="28"/>
        </w:rPr>
        <w:t>У всіх чотирьох групах нами були проаналізовані показники ІС пухлини та нормальної ниркової паренхіми дифузійно-зважених зображень мультифазної МРТ (ІС</w:t>
      </w:r>
      <w:r w:rsidRPr="007B49F0">
        <w:rPr>
          <w:rFonts w:ascii="Times New Roman" w:hAnsi="Times New Roman" w:cs="Times New Roman"/>
          <w:sz w:val="28"/>
          <w:szCs w:val="28"/>
          <w:vertAlign w:val="subscript"/>
        </w:rPr>
        <w:t>ДЗЗ</w:t>
      </w:r>
      <w:r w:rsidRPr="007B49F0">
        <w:rPr>
          <w:rFonts w:ascii="Times New Roman" w:hAnsi="Times New Roman" w:cs="Times New Roman"/>
          <w:sz w:val="28"/>
          <w:szCs w:val="28"/>
        </w:rPr>
        <w:t xml:space="preserve">) та </w:t>
      </w:r>
      <w:r>
        <w:rPr>
          <w:rFonts w:ascii="Times New Roman" w:hAnsi="Times New Roman" w:cs="Times New Roman"/>
          <w:sz w:val="28"/>
          <w:szCs w:val="28"/>
        </w:rPr>
        <w:t xml:space="preserve">вимірюваного коефіцієнта дифузії </w:t>
      </w:r>
      <w:r w:rsidRPr="007B49F0">
        <w:rPr>
          <w:rFonts w:ascii="Times New Roman" w:hAnsi="Times New Roman" w:cs="Times New Roman"/>
          <w:sz w:val="28"/>
          <w:szCs w:val="28"/>
        </w:rPr>
        <w:t xml:space="preserve">з ВКД-карт, </w:t>
      </w:r>
      <w:r>
        <w:rPr>
          <w:rFonts w:ascii="Times New Roman" w:hAnsi="Times New Roman" w:cs="Times New Roman"/>
          <w:sz w:val="28"/>
          <w:szCs w:val="28"/>
        </w:rPr>
        <w:t xml:space="preserve">які генерувались на основі ДЗЗ </w:t>
      </w:r>
      <w:r w:rsidRPr="007B49F0">
        <w:rPr>
          <w:rFonts w:ascii="Times New Roman" w:hAnsi="Times New Roman" w:cs="Times New Roman"/>
          <w:sz w:val="28"/>
          <w:szCs w:val="28"/>
        </w:rPr>
        <w:t>при b-величинах 0 та 800 сек</w:t>
      </w:r>
      <w:r w:rsidRPr="007B49F0">
        <w:rPr>
          <w:rFonts w:ascii="Times New Roman" w:eastAsiaTheme="minorEastAsia" w:hAnsi="Times New Roman" w:cs="Times New Roman"/>
          <w:sz w:val="28"/>
          <w:szCs w:val="28"/>
        </w:rPr>
        <w:t>/мм</w:t>
      </w:r>
      <w:r w:rsidRPr="007B49F0">
        <w:rPr>
          <w:rFonts w:ascii="Times New Roman" w:eastAsiaTheme="minorEastAsia" w:hAnsi="Times New Roman" w:cs="Times New Roman"/>
          <w:sz w:val="28"/>
          <w:szCs w:val="28"/>
          <w:vertAlign w:val="superscript"/>
        </w:rPr>
        <w:t>2</w:t>
      </w:r>
      <w:r w:rsidRPr="007B49F0">
        <w:rPr>
          <w:rFonts w:ascii="Times New Roman" w:hAnsi="Times New Roman" w:cs="Times New Roman"/>
          <w:sz w:val="28"/>
          <w:szCs w:val="28"/>
        </w:rPr>
        <w:t xml:space="preserve">. </w:t>
      </w:r>
      <w:r>
        <w:rPr>
          <w:rFonts w:ascii="Times New Roman" w:hAnsi="Times New Roman" w:cs="Times New Roman"/>
          <w:sz w:val="28"/>
          <w:szCs w:val="28"/>
        </w:rPr>
        <w:t>Послідовність ДЗЗ виконувалась до введення контрасту та</w:t>
      </w:r>
      <w:r w:rsidRPr="007B49F0">
        <w:rPr>
          <w:rFonts w:ascii="Times New Roman" w:hAnsi="Times New Roman" w:cs="Times New Roman"/>
          <w:sz w:val="28"/>
          <w:szCs w:val="28"/>
        </w:rPr>
        <w:t xml:space="preserve"> була включена додатково до стандартного протоколу МРТ-обстеження черевної порожнини.</w:t>
      </w:r>
      <w:r w:rsidR="008C4970" w:rsidRPr="008C4970">
        <w:rPr>
          <w:rFonts w:ascii="Times New Roman" w:hAnsi="Times New Roman" w:cs="Times New Roman"/>
          <w:sz w:val="28"/>
          <w:szCs w:val="28"/>
          <w:lang w:val="ru-RU"/>
        </w:rPr>
        <w:t xml:space="preserve"> </w:t>
      </w:r>
      <w:r>
        <w:rPr>
          <w:rFonts w:ascii="Times New Roman" w:hAnsi="Times New Roman" w:cs="Times New Roman"/>
          <w:sz w:val="28"/>
          <w:szCs w:val="28"/>
        </w:rPr>
        <w:t xml:space="preserve">Статистичний аналіз отриманих даних здійснювався за тими ж методиками, які були використані при вивченні променевих біомаркерів та малих ниркових новоутворень. </w:t>
      </w:r>
    </w:p>
    <w:p w:rsidR="005B56AD" w:rsidRDefault="005B56AD" w:rsidP="005B56AD">
      <w:pPr>
        <w:spacing w:line="360" w:lineRule="auto"/>
        <w:ind w:firstLine="709"/>
        <w:jc w:val="both"/>
        <w:rPr>
          <w:rFonts w:ascii="Times New Roman" w:hAnsi="Times New Roman" w:cs="Times New Roman"/>
          <w:sz w:val="28"/>
          <w:szCs w:val="28"/>
        </w:rPr>
      </w:pPr>
      <w:r w:rsidRPr="007B49F0">
        <w:rPr>
          <w:rFonts w:ascii="Times New Roman" w:hAnsi="Times New Roman" w:cs="Times New Roman"/>
          <w:sz w:val="28"/>
          <w:szCs w:val="28"/>
        </w:rPr>
        <w:t>Для</w:t>
      </w:r>
      <w:r w:rsidRPr="007B49F0">
        <w:rPr>
          <w:rFonts w:ascii="Times New Roman" w:hAnsi="Times New Roman" w:cs="Times New Roman"/>
          <w:b/>
          <w:sz w:val="28"/>
          <w:szCs w:val="28"/>
        </w:rPr>
        <w:t xml:space="preserve"> </w:t>
      </w:r>
      <w:r>
        <w:rPr>
          <w:rFonts w:ascii="Times New Roman" w:hAnsi="Times New Roman" w:cs="Times New Roman"/>
          <w:sz w:val="28"/>
          <w:szCs w:val="28"/>
        </w:rPr>
        <w:t>вимірювання</w:t>
      </w:r>
      <w:r w:rsidRPr="007B49F0">
        <w:rPr>
          <w:rFonts w:ascii="Times New Roman" w:hAnsi="Times New Roman" w:cs="Times New Roman"/>
          <w:b/>
          <w:sz w:val="28"/>
          <w:szCs w:val="28"/>
        </w:rPr>
        <w:t xml:space="preserve"> </w:t>
      </w:r>
      <w:r w:rsidRPr="007B49F0">
        <w:rPr>
          <w:rFonts w:ascii="Times New Roman" w:hAnsi="Times New Roman" w:cs="Times New Roman"/>
          <w:sz w:val="28"/>
          <w:szCs w:val="28"/>
        </w:rPr>
        <w:t>ІС</w:t>
      </w:r>
      <w:r w:rsidRPr="007B49F0">
        <w:rPr>
          <w:rFonts w:ascii="Times New Roman" w:hAnsi="Times New Roman" w:cs="Times New Roman"/>
          <w:sz w:val="28"/>
          <w:szCs w:val="28"/>
          <w:vertAlign w:val="subscript"/>
        </w:rPr>
        <w:t>ДЗЗ</w:t>
      </w:r>
      <w:r w:rsidRPr="007B49F0">
        <w:rPr>
          <w:rFonts w:ascii="Times New Roman" w:hAnsi="Times New Roman" w:cs="Times New Roman"/>
          <w:sz w:val="28"/>
          <w:szCs w:val="28"/>
        </w:rPr>
        <w:t xml:space="preserve"> область зацікавлення копіювали на ділянку пухлини з Т1-ЗЗ чи Т2-ЗЗ за допомогою яких </w:t>
      </w:r>
      <w:r>
        <w:rPr>
          <w:rFonts w:ascii="Times New Roman" w:hAnsi="Times New Roman" w:cs="Times New Roman"/>
          <w:sz w:val="28"/>
          <w:szCs w:val="28"/>
        </w:rPr>
        <w:t>новоутворення</w:t>
      </w:r>
      <w:r w:rsidRPr="007B49F0">
        <w:rPr>
          <w:rFonts w:ascii="Times New Roman" w:hAnsi="Times New Roman" w:cs="Times New Roman"/>
          <w:sz w:val="28"/>
          <w:szCs w:val="28"/>
        </w:rPr>
        <w:t xml:space="preserve"> </w:t>
      </w:r>
      <w:r>
        <w:rPr>
          <w:rFonts w:ascii="Times New Roman" w:hAnsi="Times New Roman" w:cs="Times New Roman"/>
          <w:sz w:val="28"/>
          <w:szCs w:val="28"/>
        </w:rPr>
        <w:t>було</w:t>
      </w:r>
      <w:r w:rsidRPr="007B49F0">
        <w:rPr>
          <w:rFonts w:ascii="Times New Roman" w:hAnsi="Times New Roman" w:cs="Times New Roman"/>
          <w:sz w:val="28"/>
          <w:szCs w:val="28"/>
        </w:rPr>
        <w:t xml:space="preserve"> </w:t>
      </w:r>
      <w:r>
        <w:rPr>
          <w:rFonts w:ascii="Times New Roman" w:hAnsi="Times New Roman" w:cs="Times New Roman"/>
          <w:sz w:val="28"/>
          <w:szCs w:val="28"/>
        </w:rPr>
        <w:t>ідентифіковано</w:t>
      </w:r>
      <w:r w:rsidRPr="007B49F0">
        <w:rPr>
          <w:rFonts w:ascii="Times New Roman" w:hAnsi="Times New Roman" w:cs="Times New Roman"/>
          <w:sz w:val="28"/>
          <w:szCs w:val="28"/>
        </w:rPr>
        <w:t>.</w:t>
      </w:r>
      <w:r w:rsidRPr="007B49F0">
        <w:rPr>
          <w:rFonts w:ascii="Times New Roman" w:hAnsi="Times New Roman" w:cs="Times New Roman"/>
          <w:b/>
          <w:sz w:val="28"/>
          <w:szCs w:val="28"/>
        </w:rPr>
        <w:t xml:space="preserve"> </w:t>
      </w:r>
      <w:r w:rsidRPr="007B49F0">
        <w:rPr>
          <w:rFonts w:ascii="Times New Roman" w:hAnsi="Times New Roman" w:cs="Times New Roman"/>
          <w:sz w:val="28"/>
          <w:szCs w:val="28"/>
        </w:rPr>
        <w:t xml:space="preserve">На </w:t>
      </w:r>
      <w:r>
        <w:rPr>
          <w:rFonts w:ascii="Times New Roman" w:hAnsi="Times New Roman" w:cs="Times New Roman"/>
          <w:sz w:val="28"/>
          <w:szCs w:val="28"/>
        </w:rPr>
        <w:t>дифузійно-зважених зображеннях,</w:t>
      </w:r>
      <w:r w:rsidRPr="007B49F0">
        <w:rPr>
          <w:rFonts w:ascii="Times New Roman" w:hAnsi="Times New Roman" w:cs="Times New Roman"/>
          <w:b/>
          <w:sz w:val="28"/>
          <w:szCs w:val="28"/>
        </w:rPr>
        <w:t xml:space="preserve"> </w:t>
      </w:r>
      <w:r w:rsidRPr="007B49F0">
        <w:rPr>
          <w:rFonts w:ascii="Times New Roman" w:hAnsi="Times New Roman" w:cs="Times New Roman"/>
          <w:sz w:val="28"/>
          <w:szCs w:val="28"/>
        </w:rPr>
        <w:t>для</w:t>
      </w:r>
      <w:r w:rsidRPr="007B49F0">
        <w:rPr>
          <w:rFonts w:ascii="Times New Roman" w:hAnsi="Times New Roman" w:cs="Times New Roman"/>
          <w:b/>
          <w:sz w:val="28"/>
          <w:szCs w:val="28"/>
        </w:rPr>
        <w:t xml:space="preserve"> </w:t>
      </w:r>
      <w:r>
        <w:rPr>
          <w:rFonts w:ascii="Times New Roman" w:hAnsi="Times New Roman" w:cs="Times New Roman"/>
          <w:sz w:val="28"/>
          <w:szCs w:val="28"/>
        </w:rPr>
        <w:t>пухлин нирок розміром понад 4 см, як і для малих ниркових новоутворів,</w:t>
      </w:r>
      <w:r w:rsidRPr="007B49F0">
        <w:rPr>
          <w:rFonts w:ascii="Times New Roman" w:hAnsi="Times New Roman" w:cs="Times New Roman"/>
          <w:sz w:val="28"/>
          <w:szCs w:val="28"/>
        </w:rPr>
        <w:t xml:space="preserve"> було характерним порушення дифузії в їх тканинах, у порівнянні із нормальною нирковою паренхімою. При обмеженні дифузії молекул водню у тканинах нирки внаслідок пухлинного процесу, така ділянка на ДЗЗ мала гіперінтенсивний характер сигналу, а при її підвищенні – навпаки, гіпоінтенсивний, у порівнянні із здоровими тканинами нирки (</w:t>
      </w:r>
      <w:r>
        <w:rPr>
          <w:rFonts w:ascii="Times New Roman" w:hAnsi="Times New Roman" w:cs="Times New Roman"/>
          <w:sz w:val="28"/>
          <w:szCs w:val="28"/>
        </w:rPr>
        <w:t>у відповідності до</w:t>
      </w:r>
      <w:r w:rsidRPr="007B49F0">
        <w:rPr>
          <w:rFonts w:ascii="Times New Roman" w:hAnsi="Times New Roman" w:cs="Times New Roman"/>
          <w:sz w:val="28"/>
          <w:szCs w:val="28"/>
        </w:rPr>
        <w:t xml:space="preserve"> </w:t>
      </w:r>
      <w:r>
        <w:rPr>
          <w:rFonts w:ascii="Times New Roman" w:hAnsi="Times New Roman" w:cs="Times New Roman"/>
          <w:sz w:val="28"/>
          <w:szCs w:val="28"/>
        </w:rPr>
        <w:t xml:space="preserve">відомого </w:t>
      </w:r>
      <w:r w:rsidRPr="007B49F0">
        <w:rPr>
          <w:rFonts w:ascii="Times New Roman" w:hAnsi="Times New Roman" w:cs="Times New Roman"/>
          <w:sz w:val="28"/>
          <w:szCs w:val="28"/>
        </w:rPr>
        <w:t xml:space="preserve">принципу побудови </w:t>
      </w:r>
      <w:r>
        <w:rPr>
          <w:rFonts w:ascii="Times New Roman" w:hAnsi="Times New Roman" w:cs="Times New Roman"/>
          <w:sz w:val="28"/>
          <w:szCs w:val="28"/>
        </w:rPr>
        <w:t>даного типу зображень</w:t>
      </w:r>
      <w:r w:rsidRPr="007B49F0">
        <w:rPr>
          <w:rFonts w:ascii="Times New Roman" w:hAnsi="Times New Roman" w:cs="Times New Roman"/>
          <w:sz w:val="28"/>
          <w:szCs w:val="28"/>
        </w:rPr>
        <w:t xml:space="preserve">). </w:t>
      </w:r>
      <w:r>
        <w:rPr>
          <w:rFonts w:ascii="Times New Roman" w:hAnsi="Times New Roman" w:cs="Times New Roman"/>
          <w:sz w:val="28"/>
          <w:szCs w:val="28"/>
        </w:rPr>
        <w:t>При цьому, д</w:t>
      </w:r>
      <w:r w:rsidRPr="007B49F0">
        <w:rPr>
          <w:rFonts w:ascii="Times New Roman" w:hAnsi="Times New Roman" w:cs="Times New Roman"/>
          <w:sz w:val="28"/>
          <w:szCs w:val="28"/>
        </w:rPr>
        <w:t>ілянки зниженої дифузії характеризувались вищими значеннями ІС</w:t>
      </w:r>
      <w:r w:rsidRPr="007B49F0">
        <w:rPr>
          <w:rFonts w:ascii="Times New Roman" w:hAnsi="Times New Roman" w:cs="Times New Roman"/>
          <w:sz w:val="28"/>
          <w:szCs w:val="28"/>
          <w:vertAlign w:val="subscript"/>
        </w:rPr>
        <w:t>ДЗЗ</w:t>
      </w:r>
      <w:r w:rsidRPr="007B49F0">
        <w:rPr>
          <w:rFonts w:ascii="Times New Roman" w:hAnsi="Times New Roman" w:cs="Times New Roman"/>
          <w:sz w:val="28"/>
          <w:szCs w:val="28"/>
        </w:rPr>
        <w:t>, а підвищеної дифузії – нижчими.</w:t>
      </w:r>
    </w:p>
    <w:p w:rsidR="005B56AD" w:rsidRPr="007B49F0" w:rsidRDefault="005B56AD" w:rsidP="005B56A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 дифузійно-зважених зображеннях найвища середня інтенсивність сигналу була отримана у групі з НКР (</w:t>
      </w:r>
      <w:r>
        <w:rPr>
          <w:rFonts w:ascii="Times New Roman" w:hAnsi="Times New Roman"/>
          <w:sz w:val="28"/>
          <w:szCs w:val="28"/>
        </w:rPr>
        <w:t>114,25</w:t>
      </w:r>
      <w:r>
        <w:rPr>
          <w:rFonts w:ascii="Times New Roman" w:hAnsi="Times New Roman" w:cs="Times New Roman"/>
          <w:sz w:val="28"/>
          <w:szCs w:val="28"/>
        </w:rPr>
        <w:t>±</w:t>
      </w:r>
      <w:r>
        <w:rPr>
          <w:rFonts w:ascii="Times New Roman" w:hAnsi="Times New Roman"/>
          <w:sz w:val="28"/>
          <w:szCs w:val="28"/>
        </w:rPr>
        <w:t>23,69), а найнижчу – при ПКК ниркової миски (64,72</w:t>
      </w:r>
      <w:r>
        <w:rPr>
          <w:rFonts w:ascii="Times New Roman" w:hAnsi="Times New Roman" w:cs="Times New Roman"/>
          <w:sz w:val="28"/>
          <w:szCs w:val="28"/>
        </w:rPr>
        <w:t>±</w:t>
      </w:r>
      <w:r>
        <w:rPr>
          <w:rFonts w:ascii="Times New Roman" w:hAnsi="Times New Roman"/>
          <w:sz w:val="28"/>
          <w:szCs w:val="28"/>
        </w:rPr>
        <w:t>11,39), така різниця була достовірною (р</w:t>
      </w:r>
      <w:r w:rsidRPr="009E6C7E">
        <w:rPr>
          <w:rFonts w:ascii="Times New Roman" w:hAnsi="Times New Roman"/>
          <w:sz w:val="28"/>
          <w:szCs w:val="28"/>
          <w:lang w:val="ru-RU"/>
        </w:rPr>
        <w:t>&lt;</w:t>
      </w:r>
      <w:r>
        <w:rPr>
          <w:rFonts w:ascii="Times New Roman" w:hAnsi="Times New Roman"/>
          <w:sz w:val="28"/>
          <w:szCs w:val="28"/>
        </w:rPr>
        <w:t xml:space="preserve">0,001). Також даний показник основної групи достовірно відрізнявся від середньої </w:t>
      </w:r>
      <w:r w:rsidRPr="007B49F0">
        <w:rPr>
          <w:rFonts w:ascii="Times New Roman" w:hAnsi="Times New Roman" w:cs="Times New Roman"/>
          <w:sz w:val="28"/>
          <w:szCs w:val="28"/>
        </w:rPr>
        <w:t>ІС</w:t>
      </w:r>
      <w:r w:rsidRPr="007B49F0">
        <w:rPr>
          <w:rFonts w:ascii="Times New Roman" w:hAnsi="Times New Roman" w:cs="Times New Roman"/>
          <w:sz w:val="28"/>
          <w:szCs w:val="28"/>
          <w:vertAlign w:val="subscript"/>
        </w:rPr>
        <w:t>ДЗЗ</w:t>
      </w:r>
      <w:r>
        <w:rPr>
          <w:rFonts w:ascii="Times New Roman" w:hAnsi="Times New Roman" w:cs="Times New Roman"/>
          <w:sz w:val="28"/>
          <w:szCs w:val="28"/>
        </w:rPr>
        <w:t xml:space="preserve"> при доброякісних пухлинах нирок (</w:t>
      </w:r>
      <w:r>
        <w:rPr>
          <w:rFonts w:ascii="Times New Roman" w:hAnsi="Times New Roman"/>
          <w:sz w:val="28"/>
          <w:szCs w:val="28"/>
        </w:rPr>
        <w:t>78,62</w:t>
      </w:r>
      <w:r>
        <w:rPr>
          <w:rFonts w:ascii="Times New Roman" w:hAnsi="Times New Roman" w:cs="Times New Roman"/>
          <w:sz w:val="28"/>
          <w:szCs w:val="28"/>
        </w:rPr>
        <w:t>±</w:t>
      </w:r>
      <w:r>
        <w:rPr>
          <w:rFonts w:ascii="Times New Roman" w:hAnsi="Times New Roman"/>
          <w:sz w:val="28"/>
          <w:szCs w:val="28"/>
        </w:rPr>
        <w:t>16,71, р</w:t>
      </w:r>
      <w:r w:rsidRPr="009E6C7E">
        <w:rPr>
          <w:rFonts w:ascii="Times New Roman" w:hAnsi="Times New Roman"/>
          <w:sz w:val="28"/>
          <w:szCs w:val="28"/>
          <w:lang w:val="ru-RU"/>
        </w:rPr>
        <w:t>&lt;</w:t>
      </w:r>
      <w:r>
        <w:rPr>
          <w:rFonts w:ascii="Times New Roman" w:hAnsi="Times New Roman"/>
          <w:sz w:val="28"/>
          <w:szCs w:val="28"/>
        </w:rPr>
        <w:t>0,001) та контрольної групи (</w:t>
      </w:r>
      <w:r w:rsidRPr="00A904E5">
        <w:rPr>
          <w:rFonts w:ascii="Times New Roman" w:hAnsi="Times New Roman"/>
          <w:sz w:val="28"/>
          <w:szCs w:val="28"/>
        </w:rPr>
        <w:t>87,94</w:t>
      </w:r>
      <w:r>
        <w:rPr>
          <w:rFonts w:ascii="Times New Roman" w:hAnsi="Times New Roman" w:cs="Times New Roman"/>
          <w:sz w:val="28"/>
          <w:szCs w:val="28"/>
        </w:rPr>
        <w:t>±</w:t>
      </w:r>
      <w:r w:rsidRPr="00A904E5">
        <w:rPr>
          <w:rFonts w:ascii="Times New Roman" w:hAnsi="Times New Roman"/>
          <w:sz w:val="28"/>
          <w:szCs w:val="28"/>
        </w:rPr>
        <w:t>29,53</w:t>
      </w:r>
      <w:r>
        <w:rPr>
          <w:rFonts w:ascii="Times New Roman" w:hAnsi="Times New Roman"/>
          <w:sz w:val="28"/>
          <w:szCs w:val="28"/>
        </w:rPr>
        <w:t>, р</w:t>
      </w:r>
      <w:r w:rsidRPr="009E6C7E">
        <w:rPr>
          <w:rFonts w:ascii="Times New Roman" w:hAnsi="Times New Roman"/>
          <w:sz w:val="28"/>
          <w:szCs w:val="28"/>
          <w:lang w:val="ru-RU"/>
        </w:rPr>
        <w:t>&lt;</w:t>
      </w:r>
      <w:r>
        <w:rPr>
          <w:rFonts w:ascii="Times New Roman" w:hAnsi="Times New Roman"/>
          <w:sz w:val="28"/>
          <w:szCs w:val="28"/>
        </w:rPr>
        <w:t xml:space="preserve">0,001). Цей параметр також суттєво відрізнявся у групах із ПКК ниркової миски та контрольною (р=0,031), чого не спостерігалось при вивченні малих ниркових новоутворень, проте, не суттєво відрізнявся від групи із доброякісними пухлинами нирок (р=0,420). Середнє значення </w:t>
      </w:r>
      <w:r w:rsidRPr="007B49F0">
        <w:rPr>
          <w:rFonts w:ascii="Times New Roman" w:hAnsi="Times New Roman" w:cs="Times New Roman"/>
          <w:sz w:val="28"/>
          <w:szCs w:val="28"/>
        </w:rPr>
        <w:t>ІС</w:t>
      </w:r>
      <w:r w:rsidRPr="007B49F0">
        <w:rPr>
          <w:rFonts w:ascii="Times New Roman" w:hAnsi="Times New Roman" w:cs="Times New Roman"/>
          <w:sz w:val="28"/>
          <w:szCs w:val="28"/>
          <w:vertAlign w:val="subscript"/>
        </w:rPr>
        <w:t>ДЗЗ</w:t>
      </w:r>
      <w:r>
        <w:rPr>
          <w:rFonts w:ascii="Times New Roman" w:hAnsi="Times New Roman" w:cs="Times New Roman"/>
          <w:sz w:val="28"/>
          <w:szCs w:val="28"/>
        </w:rPr>
        <w:t xml:space="preserve"> доброякісних пухлин також не мало достовірної різниці від групи контролю (р=</w:t>
      </w:r>
      <w:r w:rsidR="009C1018">
        <w:rPr>
          <w:rFonts w:ascii="Times New Roman" w:hAnsi="Times New Roman"/>
          <w:sz w:val="28"/>
          <w:szCs w:val="28"/>
        </w:rPr>
        <w:t>0,491),</w:t>
      </w:r>
      <w:r>
        <w:rPr>
          <w:rFonts w:ascii="Times New Roman" w:hAnsi="Times New Roman"/>
          <w:sz w:val="28"/>
          <w:szCs w:val="28"/>
        </w:rPr>
        <w:t xml:space="preserve"> </w:t>
      </w:r>
      <w:r w:rsidR="009C1018">
        <w:rPr>
          <w:rFonts w:ascii="Times New Roman" w:hAnsi="Times New Roman"/>
          <w:sz w:val="28"/>
          <w:szCs w:val="28"/>
        </w:rPr>
        <w:t>таблиця 3.24.</w:t>
      </w:r>
      <w:r w:rsidR="00293044">
        <w:rPr>
          <w:rFonts w:ascii="Times New Roman" w:hAnsi="Times New Roman"/>
          <w:sz w:val="28"/>
          <w:szCs w:val="28"/>
        </w:rPr>
        <w:t xml:space="preserve"> </w:t>
      </w:r>
    </w:p>
    <w:p w:rsidR="005B56AD" w:rsidRPr="00A904E5" w:rsidRDefault="00293044" w:rsidP="005B56AD">
      <w:pPr>
        <w:spacing w:line="360" w:lineRule="auto"/>
        <w:jc w:val="right"/>
        <w:rPr>
          <w:rFonts w:ascii="Times New Roman" w:hAnsi="Times New Roman"/>
          <w:sz w:val="28"/>
          <w:szCs w:val="28"/>
        </w:rPr>
      </w:pPr>
      <w:r>
        <w:rPr>
          <w:rFonts w:ascii="Times New Roman" w:hAnsi="Times New Roman"/>
          <w:sz w:val="28"/>
          <w:szCs w:val="28"/>
        </w:rPr>
        <w:t>Таблиця 3.24</w:t>
      </w:r>
    </w:p>
    <w:p w:rsidR="005B56AD" w:rsidRPr="00A904E5" w:rsidRDefault="005B56AD" w:rsidP="005B56AD">
      <w:pPr>
        <w:spacing w:line="360" w:lineRule="auto"/>
        <w:jc w:val="center"/>
        <w:rPr>
          <w:rFonts w:ascii="Times New Roman" w:hAnsi="Times New Roman"/>
          <w:sz w:val="28"/>
          <w:szCs w:val="28"/>
        </w:rPr>
      </w:pPr>
      <w:r w:rsidRPr="00A904E5">
        <w:rPr>
          <w:rFonts w:ascii="Times New Roman" w:hAnsi="Times New Roman"/>
          <w:sz w:val="28"/>
          <w:szCs w:val="28"/>
        </w:rPr>
        <w:t xml:space="preserve">Детальна статистична характеристика </w:t>
      </w:r>
      <w:r w:rsidRPr="00A904E5">
        <w:rPr>
          <w:rFonts w:ascii="Times New Roman" w:hAnsi="Times New Roman" w:cs="Times New Roman"/>
          <w:sz w:val="28"/>
          <w:szCs w:val="28"/>
        </w:rPr>
        <w:t xml:space="preserve">інтенсивності сигналу </w:t>
      </w:r>
      <w:r>
        <w:rPr>
          <w:rFonts w:ascii="Times New Roman" w:hAnsi="Times New Roman" w:cs="Times New Roman"/>
          <w:sz w:val="28"/>
          <w:szCs w:val="28"/>
        </w:rPr>
        <w:t xml:space="preserve">солідних </w:t>
      </w:r>
      <w:r>
        <w:rPr>
          <w:rFonts w:ascii="Times New Roman" w:hAnsi="Times New Roman"/>
          <w:sz w:val="28"/>
          <w:szCs w:val="28"/>
        </w:rPr>
        <w:t>пухлин нирок</w:t>
      </w:r>
      <w:r w:rsidRPr="00A904E5">
        <w:rPr>
          <w:rFonts w:ascii="Times New Roman" w:hAnsi="Times New Roman"/>
          <w:sz w:val="28"/>
          <w:szCs w:val="28"/>
        </w:rPr>
        <w:t xml:space="preserve"> та нормальної ниркової паренхіми </w:t>
      </w:r>
      <w:r w:rsidRPr="00A904E5">
        <w:rPr>
          <w:rFonts w:ascii="Times New Roman" w:hAnsi="Times New Roman" w:cs="Times New Roman"/>
          <w:sz w:val="28"/>
          <w:szCs w:val="28"/>
        </w:rPr>
        <w:t>на дифузійно-зважених зображеннях</w:t>
      </w:r>
    </w:p>
    <w:tbl>
      <w:tblPr>
        <w:tblStyle w:val="TableGrid"/>
        <w:tblW w:w="0" w:type="auto"/>
        <w:tblLook w:val="04A0" w:firstRow="1" w:lastRow="0" w:firstColumn="1" w:lastColumn="0" w:noHBand="0" w:noVBand="1"/>
      </w:tblPr>
      <w:tblGrid>
        <w:gridCol w:w="1860"/>
        <w:gridCol w:w="1247"/>
        <w:gridCol w:w="846"/>
        <w:gridCol w:w="1282"/>
        <w:gridCol w:w="1111"/>
        <w:gridCol w:w="1136"/>
        <w:gridCol w:w="862"/>
        <w:gridCol w:w="1000"/>
      </w:tblGrid>
      <w:tr w:rsidR="005B56AD" w:rsidRPr="00A904E5" w:rsidTr="001F0C51">
        <w:tc>
          <w:tcPr>
            <w:tcW w:w="2263" w:type="dxa"/>
            <w:vMerge w:val="restart"/>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Група</w:t>
            </w:r>
          </w:p>
        </w:tc>
        <w:tc>
          <w:tcPr>
            <w:tcW w:w="808" w:type="dxa"/>
            <w:vMerge w:val="restart"/>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Середнє</w:t>
            </w:r>
          </w:p>
        </w:tc>
        <w:tc>
          <w:tcPr>
            <w:tcW w:w="729" w:type="dxa"/>
            <w:vMerge w:val="restart"/>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СВ</w:t>
            </w:r>
          </w:p>
        </w:tc>
        <w:tc>
          <w:tcPr>
            <w:tcW w:w="1336" w:type="dxa"/>
            <w:vMerge w:val="restart"/>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Медіана</w:t>
            </w:r>
          </w:p>
        </w:tc>
        <w:tc>
          <w:tcPr>
            <w:tcW w:w="2247" w:type="dxa"/>
            <w:gridSpan w:val="2"/>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95% ДІ</w:t>
            </w:r>
          </w:p>
        </w:tc>
        <w:tc>
          <w:tcPr>
            <w:tcW w:w="915" w:type="dxa"/>
            <w:vMerge w:val="restart"/>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Мін.</w:t>
            </w:r>
          </w:p>
        </w:tc>
        <w:tc>
          <w:tcPr>
            <w:tcW w:w="1046" w:type="dxa"/>
            <w:vMerge w:val="restart"/>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Макс.</w:t>
            </w:r>
          </w:p>
        </w:tc>
      </w:tr>
      <w:tr w:rsidR="005B56AD" w:rsidRPr="00A904E5" w:rsidTr="001F0C51">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904E5" w:rsidRDefault="005B56AD" w:rsidP="001F0C51">
            <w:pPr>
              <w:rPr>
                <w:rFonts w:ascii="Times New Roman" w:hAnsi="Times New Roman"/>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904E5" w:rsidRDefault="005B56AD" w:rsidP="001F0C51">
            <w:pPr>
              <w:rPr>
                <w:rFonts w:ascii="Times New Roman" w:hAnsi="Times New Roman"/>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904E5" w:rsidRDefault="005B56AD" w:rsidP="001F0C51">
            <w:pPr>
              <w:rPr>
                <w:rFonts w:ascii="Times New Roman" w:hAnsi="Times New Roman"/>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904E5" w:rsidRDefault="005B56AD" w:rsidP="001F0C51">
            <w:pPr>
              <w:rPr>
                <w:rFonts w:ascii="Times New Roman" w:hAnsi="Times New Roman"/>
                <w:b/>
                <w:sz w:val="28"/>
                <w:szCs w:val="28"/>
              </w:rPr>
            </w:pPr>
          </w:p>
        </w:tc>
        <w:tc>
          <w:tcPr>
            <w:tcW w:w="1111"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Нижня</w:t>
            </w:r>
          </w:p>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межа</w:t>
            </w:r>
          </w:p>
        </w:tc>
        <w:tc>
          <w:tcPr>
            <w:tcW w:w="11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Верхня</w:t>
            </w:r>
          </w:p>
          <w:p w:rsidR="005B56AD" w:rsidRPr="00A904E5" w:rsidRDefault="005B56AD" w:rsidP="001F0C51">
            <w:pPr>
              <w:jc w:val="center"/>
              <w:rPr>
                <w:rFonts w:ascii="Times New Roman" w:hAnsi="Times New Roman"/>
                <w:b/>
                <w:sz w:val="28"/>
                <w:szCs w:val="28"/>
              </w:rPr>
            </w:pPr>
            <w:r w:rsidRPr="00A904E5">
              <w:rPr>
                <w:rFonts w:ascii="Times New Roman" w:hAnsi="Times New Roman"/>
                <w:b/>
                <w:sz w:val="28"/>
                <w:szCs w:val="28"/>
              </w:rPr>
              <w:t>межа</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904E5" w:rsidRDefault="005B56AD" w:rsidP="001F0C51">
            <w:pPr>
              <w:rPr>
                <w:rFonts w:ascii="Times New Roman" w:hAnsi="Times New Roman"/>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904E5" w:rsidRDefault="005B56AD" w:rsidP="001F0C51">
            <w:pPr>
              <w:rPr>
                <w:rFonts w:ascii="Times New Roman" w:hAnsi="Times New Roman"/>
                <w:b/>
                <w:sz w:val="28"/>
                <w:szCs w:val="28"/>
              </w:rPr>
            </w:pP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rPr>
                <w:rFonts w:ascii="Times New Roman" w:hAnsi="Times New Roman" w:cs="Times New Roman"/>
                <w:b/>
                <w:sz w:val="28"/>
                <w:szCs w:val="28"/>
              </w:rPr>
            </w:pPr>
            <w:r w:rsidRPr="00A904E5">
              <w:rPr>
                <w:rFonts w:ascii="Times New Roman" w:hAnsi="Times New Roman"/>
                <w:b/>
                <w:sz w:val="28"/>
                <w:szCs w:val="28"/>
              </w:rPr>
              <w:t xml:space="preserve">НКР, </w:t>
            </w:r>
            <w:r>
              <w:rPr>
                <w:rFonts w:ascii="Times New Roman" w:hAnsi="Times New Roman" w:cs="Times New Roman"/>
                <w:b/>
                <w:sz w:val="28"/>
                <w:szCs w:val="28"/>
              </w:rPr>
              <w:t>n=90</w:t>
            </w:r>
          </w:p>
        </w:tc>
        <w:tc>
          <w:tcPr>
            <w:tcW w:w="808"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114,25</w:t>
            </w:r>
          </w:p>
        </w:tc>
        <w:tc>
          <w:tcPr>
            <w:tcW w:w="729"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23,69</w:t>
            </w:r>
          </w:p>
        </w:tc>
        <w:tc>
          <w:tcPr>
            <w:tcW w:w="133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113,47</w:t>
            </w:r>
          </w:p>
        </w:tc>
        <w:tc>
          <w:tcPr>
            <w:tcW w:w="1111"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109,29</w:t>
            </w:r>
          </w:p>
        </w:tc>
        <w:tc>
          <w:tcPr>
            <w:tcW w:w="113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119,21</w:t>
            </w:r>
          </w:p>
        </w:tc>
        <w:tc>
          <w:tcPr>
            <w:tcW w:w="915"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63,11</w:t>
            </w:r>
          </w:p>
        </w:tc>
        <w:tc>
          <w:tcPr>
            <w:tcW w:w="104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168,95</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rPr>
                <w:rFonts w:ascii="Times New Roman" w:hAnsi="Times New Roman" w:cs="Times New Roman"/>
                <w:b/>
                <w:sz w:val="28"/>
                <w:szCs w:val="28"/>
              </w:rPr>
            </w:pPr>
            <w:r w:rsidRPr="00A904E5">
              <w:rPr>
                <w:rFonts w:ascii="Times New Roman" w:hAnsi="Times New Roman"/>
                <w:b/>
                <w:sz w:val="28"/>
                <w:szCs w:val="28"/>
              </w:rPr>
              <w:t xml:space="preserve">ПКК ниркової миски, </w:t>
            </w:r>
            <w:r>
              <w:rPr>
                <w:rFonts w:ascii="Times New Roman" w:hAnsi="Times New Roman" w:cs="Times New Roman"/>
                <w:b/>
                <w:sz w:val="28"/>
                <w:szCs w:val="28"/>
              </w:rPr>
              <w:t>n=12</w:t>
            </w:r>
          </w:p>
        </w:tc>
        <w:tc>
          <w:tcPr>
            <w:tcW w:w="808"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64,72</w:t>
            </w:r>
          </w:p>
        </w:tc>
        <w:tc>
          <w:tcPr>
            <w:tcW w:w="729"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11,39</w:t>
            </w:r>
          </w:p>
        </w:tc>
        <w:tc>
          <w:tcPr>
            <w:tcW w:w="133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65,46</w:t>
            </w:r>
          </w:p>
        </w:tc>
        <w:tc>
          <w:tcPr>
            <w:tcW w:w="1111"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58,48</w:t>
            </w:r>
          </w:p>
        </w:tc>
        <w:tc>
          <w:tcPr>
            <w:tcW w:w="113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72,96</w:t>
            </w:r>
          </w:p>
        </w:tc>
        <w:tc>
          <w:tcPr>
            <w:tcW w:w="915"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44,0</w:t>
            </w:r>
          </w:p>
        </w:tc>
        <w:tc>
          <w:tcPr>
            <w:tcW w:w="104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79,34</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rPr>
                <w:rFonts w:ascii="Times New Roman" w:hAnsi="Times New Roman"/>
                <w:b/>
                <w:sz w:val="28"/>
                <w:szCs w:val="28"/>
              </w:rPr>
            </w:pPr>
            <w:r w:rsidRPr="00A904E5">
              <w:rPr>
                <w:rFonts w:ascii="Times New Roman" w:hAnsi="Times New Roman"/>
                <w:b/>
                <w:sz w:val="28"/>
                <w:szCs w:val="28"/>
              </w:rPr>
              <w:t>Доброякісні</w:t>
            </w:r>
          </w:p>
          <w:p w:rsidR="005B56AD" w:rsidRPr="00A904E5" w:rsidRDefault="005B56AD" w:rsidP="001F0C51">
            <w:r w:rsidRPr="00A904E5">
              <w:rPr>
                <w:rFonts w:ascii="Times New Roman" w:hAnsi="Times New Roman"/>
                <w:b/>
                <w:sz w:val="28"/>
                <w:szCs w:val="28"/>
              </w:rPr>
              <w:t xml:space="preserve">пухлини, </w:t>
            </w:r>
            <w:r w:rsidRPr="00A904E5">
              <w:rPr>
                <w:rFonts w:ascii="Times New Roman" w:hAnsi="Times New Roman" w:cs="Times New Roman"/>
                <w:b/>
                <w:sz w:val="28"/>
                <w:szCs w:val="28"/>
              </w:rPr>
              <w:t>n=22</w:t>
            </w:r>
          </w:p>
        </w:tc>
        <w:tc>
          <w:tcPr>
            <w:tcW w:w="808"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78,62</w:t>
            </w:r>
          </w:p>
        </w:tc>
        <w:tc>
          <w:tcPr>
            <w:tcW w:w="729"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16,71</w:t>
            </w:r>
          </w:p>
        </w:tc>
        <w:tc>
          <w:tcPr>
            <w:tcW w:w="133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79,50</w:t>
            </w:r>
          </w:p>
        </w:tc>
        <w:tc>
          <w:tcPr>
            <w:tcW w:w="1111"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71,21</w:t>
            </w:r>
          </w:p>
        </w:tc>
        <w:tc>
          <w:tcPr>
            <w:tcW w:w="113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86,03</w:t>
            </w:r>
          </w:p>
        </w:tc>
        <w:tc>
          <w:tcPr>
            <w:tcW w:w="915"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44,0</w:t>
            </w:r>
          </w:p>
        </w:tc>
        <w:tc>
          <w:tcPr>
            <w:tcW w:w="1046"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119,16</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rPr>
                <w:rFonts w:ascii="Times New Roman" w:hAnsi="Times New Roman"/>
                <w:b/>
                <w:sz w:val="28"/>
                <w:szCs w:val="28"/>
              </w:rPr>
            </w:pPr>
            <w:r w:rsidRPr="00A904E5">
              <w:rPr>
                <w:rFonts w:ascii="Times New Roman" w:hAnsi="Times New Roman"/>
                <w:b/>
                <w:sz w:val="28"/>
                <w:szCs w:val="28"/>
              </w:rPr>
              <w:t xml:space="preserve">Контроль, </w:t>
            </w:r>
            <w:r w:rsidRPr="00A904E5">
              <w:rPr>
                <w:rFonts w:ascii="Times New Roman" w:hAnsi="Times New Roman" w:cs="Times New Roman"/>
                <w:b/>
                <w:sz w:val="28"/>
                <w:szCs w:val="28"/>
              </w:rPr>
              <w:t>n=30</w:t>
            </w:r>
          </w:p>
        </w:tc>
        <w:tc>
          <w:tcPr>
            <w:tcW w:w="808"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87,94</w:t>
            </w:r>
          </w:p>
        </w:tc>
        <w:tc>
          <w:tcPr>
            <w:tcW w:w="729"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29,53</w:t>
            </w:r>
          </w:p>
        </w:tc>
        <w:tc>
          <w:tcPr>
            <w:tcW w:w="13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89,74</w:t>
            </w:r>
          </w:p>
        </w:tc>
        <w:tc>
          <w:tcPr>
            <w:tcW w:w="1111"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76,92</w:t>
            </w:r>
          </w:p>
        </w:tc>
        <w:tc>
          <w:tcPr>
            <w:tcW w:w="11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98,97</w:t>
            </w:r>
          </w:p>
        </w:tc>
        <w:tc>
          <w:tcPr>
            <w:tcW w:w="915"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31,57</w:t>
            </w:r>
          </w:p>
        </w:tc>
        <w:tc>
          <w:tcPr>
            <w:tcW w:w="104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145,03</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b/>
                <w:i/>
                <w:sz w:val="28"/>
                <w:szCs w:val="28"/>
                <w:vertAlign w:val="subscript"/>
              </w:rPr>
            </w:pPr>
            <w:r w:rsidRPr="00A904E5">
              <w:rPr>
                <w:rFonts w:ascii="Times New Roman" w:hAnsi="Times New Roman"/>
                <w:b/>
                <w:i/>
                <w:sz w:val="28"/>
                <w:szCs w:val="28"/>
              </w:rPr>
              <w:t>р</w:t>
            </w:r>
            <w:r w:rsidRPr="00A904E5">
              <w:rPr>
                <w:rFonts w:ascii="Times New Roman" w:hAnsi="Times New Roman"/>
                <w:b/>
                <w:i/>
                <w:sz w:val="28"/>
                <w:szCs w:val="28"/>
                <w:vertAlign w:val="subscript"/>
              </w:rPr>
              <w:t>1,2</w:t>
            </w:r>
          </w:p>
        </w:tc>
        <w:tc>
          <w:tcPr>
            <w:tcW w:w="808" w:type="dxa"/>
            <w:tcBorders>
              <w:top w:val="single" w:sz="4" w:space="0" w:color="auto"/>
              <w:left w:val="single" w:sz="4" w:space="0" w:color="auto"/>
              <w:bottom w:val="single" w:sz="4" w:space="0" w:color="auto"/>
              <w:right w:val="single" w:sz="4" w:space="0" w:color="auto"/>
            </w:tcBorders>
          </w:tcPr>
          <w:p w:rsidR="005B56AD" w:rsidRPr="00A33BE9" w:rsidRDefault="005B56AD"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729"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915"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04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b/>
                <w:i/>
                <w:sz w:val="28"/>
                <w:szCs w:val="28"/>
              </w:rPr>
              <w:t>р</w:t>
            </w:r>
            <w:r w:rsidRPr="00A904E5">
              <w:rPr>
                <w:rFonts w:ascii="Times New Roman" w:hAnsi="Times New Roman"/>
                <w:b/>
                <w:i/>
                <w:sz w:val="28"/>
                <w:szCs w:val="28"/>
                <w:vertAlign w:val="subscript"/>
              </w:rPr>
              <w:t>1,3</w:t>
            </w:r>
          </w:p>
        </w:tc>
        <w:tc>
          <w:tcPr>
            <w:tcW w:w="808"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729"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915"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04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b/>
                <w:i/>
                <w:sz w:val="28"/>
                <w:szCs w:val="28"/>
              </w:rPr>
              <w:t>р</w:t>
            </w:r>
            <w:r w:rsidRPr="00A904E5">
              <w:rPr>
                <w:rFonts w:ascii="Times New Roman" w:hAnsi="Times New Roman"/>
                <w:b/>
                <w:i/>
                <w:sz w:val="28"/>
                <w:szCs w:val="28"/>
                <w:vertAlign w:val="subscript"/>
              </w:rPr>
              <w:t>1,4</w:t>
            </w:r>
          </w:p>
        </w:tc>
        <w:tc>
          <w:tcPr>
            <w:tcW w:w="808"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729"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915"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04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b/>
                <w:i/>
                <w:sz w:val="28"/>
                <w:szCs w:val="28"/>
              </w:rPr>
              <w:t>р</w:t>
            </w:r>
            <w:r w:rsidRPr="00A904E5">
              <w:rPr>
                <w:rFonts w:ascii="Times New Roman" w:hAnsi="Times New Roman"/>
                <w:b/>
                <w:i/>
                <w:sz w:val="28"/>
                <w:szCs w:val="28"/>
                <w:vertAlign w:val="subscript"/>
              </w:rPr>
              <w:t>2,3</w:t>
            </w:r>
          </w:p>
        </w:tc>
        <w:tc>
          <w:tcPr>
            <w:tcW w:w="808"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0,420</w:t>
            </w:r>
          </w:p>
        </w:tc>
        <w:tc>
          <w:tcPr>
            <w:tcW w:w="729"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915"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04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b/>
                <w:i/>
                <w:sz w:val="28"/>
                <w:szCs w:val="28"/>
              </w:rPr>
              <w:t>р</w:t>
            </w:r>
            <w:r w:rsidRPr="00A904E5">
              <w:rPr>
                <w:rFonts w:ascii="Times New Roman" w:hAnsi="Times New Roman"/>
                <w:b/>
                <w:i/>
                <w:sz w:val="28"/>
                <w:szCs w:val="28"/>
                <w:vertAlign w:val="subscript"/>
              </w:rPr>
              <w:t>2,4</w:t>
            </w:r>
          </w:p>
        </w:tc>
        <w:tc>
          <w:tcPr>
            <w:tcW w:w="808"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0,031</w:t>
            </w:r>
          </w:p>
        </w:tc>
        <w:tc>
          <w:tcPr>
            <w:tcW w:w="729"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915"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04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r>
      <w:tr w:rsidR="005B56AD" w:rsidRPr="00A904E5" w:rsidTr="001F0C51">
        <w:tc>
          <w:tcPr>
            <w:tcW w:w="2263"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b/>
                <w:i/>
                <w:sz w:val="28"/>
                <w:szCs w:val="28"/>
              </w:rPr>
              <w:t>р</w:t>
            </w:r>
            <w:r w:rsidRPr="00A904E5">
              <w:rPr>
                <w:rFonts w:ascii="Times New Roman" w:hAnsi="Times New Roman"/>
                <w:b/>
                <w:i/>
                <w:sz w:val="28"/>
                <w:szCs w:val="28"/>
                <w:vertAlign w:val="subscript"/>
              </w:rPr>
              <w:t>3,4</w:t>
            </w:r>
          </w:p>
        </w:tc>
        <w:tc>
          <w:tcPr>
            <w:tcW w:w="808" w:type="dxa"/>
            <w:tcBorders>
              <w:top w:val="single" w:sz="4" w:space="0" w:color="auto"/>
              <w:left w:val="single" w:sz="4" w:space="0" w:color="auto"/>
              <w:bottom w:val="single" w:sz="4" w:space="0" w:color="auto"/>
              <w:right w:val="single" w:sz="4" w:space="0" w:color="auto"/>
            </w:tcBorders>
          </w:tcPr>
          <w:p w:rsidR="005B56AD" w:rsidRPr="00A904E5" w:rsidRDefault="005B56AD" w:rsidP="001F0C51">
            <w:pPr>
              <w:jc w:val="center"/>
              <w:rPr>
                <w:rFonts w:ascii="Times New Roman" w:hAnsi="Times New Roman"/>
                <w:sz w:val="28"/>
                <w:szCs w:val="28"/>
              </w:rPr>
            </w:pPr>
            <w:r>
              <w:rPr>
                <w:rFonts w:ascii="Times New Roman" w:hAnsi="Times New Roman"/>
                <w:sz w:val="28"/>
                <w:szCs w:val="28"/>
              </w:rPr>
              <w:t>0,491</w:t>
            </w:r>
          </w:p>
        </w:tc>
        <w:tc>
          <w:tcPr>
            <w:tcW w:w="729"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915"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c>
          <w:tcPr>
            <w:tcW w:w="1046" w:type="dxa"/>
            <w:tcBorders>
              <w:top w:val="single" w:sz="4" w:space="0" w:color="auto"/>
              <w:left w:val="single" w:sz="4" w:space="0" w:color="auto"/>
              <w:bottom w:val="single" w:sz="4" w:space="0" w:color="auto"/>
              <w:right w:val="single" w:sz="4" w:space="0" w:color="auto"/>
            </w:tcBorders>
            <w:hideMark/>
          </w:tcPr>
          <w:p w:rsidR="005B56AD" w:rsidRPr="00A904E5" w:rsidRDefault="005B56AD" w:rsidP="001F0C51">
            <w:pPr>
              <w:jc w:val="center"/>
              <w:rPr>
                <w:rFonts w:ascii="Times New Roman" w:hAnsi="Times New Roman"/>
                <w:sz w:val="28"/>
                <w:szCs w:val="28"/>
              </w:rPr>
            </w:pPr>
            <w:r w:rsidRPr="00A904E5">
              <w:rPr>
                <w:rFonts w:ascii="Times New Roman" w:hAnsi="Times New Roman"/>
                <w:sz w:val="28"/>
                <w:szCs w:val="28"/>
              </w:rPr>
              <w:t>-</w:t>
            </w:r>
          </w:p>
        </w:tc>
      </w:tr>
    </w:tbl>
    <w:p w:rsidR="005B56AD" w:rsidRPr="00A904E5" w:rsidRDefault="005B56AD" w:rsidP="005B56AD">
      <w:pPr>
        <w:spacing w:line="360" w:lineRule="auto"/>
        <w:jc w:val="both"/>
        <w:rPr>
          <w:rFonts w:ascii="Times New Roman" w:hAnsi="Times New Roman"/>
          <w:sz w:val="28"/>
          <w:szCs w:val="28"/>
        </w:rPr>
      </w:pPr>
      <w:r w:rsidRPr="00A904E5">
        <w:rPr>
          <w:rFonts w:ascii="Times New Roman" w:hAnsi="Times New Roman"/>
          <w:sz w:val="28"/>
          <w:szCs w:val="28"/>
        </w:rPr>
        <w:t>Умовні позначення: СВ – стандартне відхилення, ДІ – довірчий інтервал</w:t>
      </w:r>
    </w:p>
    <w:p w:rsidR="005B56AD" w:rsidRDefault="009C1018" w:rsidP="009C1018">
      <w:pPr>
        <w:spacing w:line="360" w:lineRule="auto"/>
        <w:ind w:firstLine="709"/>
        <w:jc w:val="both"/>
        <w:rPr>
          <w:rFonts w:ascii="Times New Roman" w:hAnsi="Times New Roman" w:cs="Times New Roman"/>
          <w:sz w:val="28"/>
          <w:szCs w:val="28"/>
        </w:rPr>
      </w:pPr>
      <w:r>
        <w:rPr>
          <w:rFonts w:ascii="Times New Roman" w:hAnsi="Times New Roman"/>
          <w:sz w:val="28"/>
          <w:szCs w:val="28"/>
        </w:rPr>
        <w:lastRenderedPageBreak/>
        <w:t>Такі дані свідчать про суттєвіше обмеження дифузії молекул водню при НКР у порівнянні із ПКК ниркової миски та доброякісними нирковими новоутвореннями по відношенню до нормальної ниркової паренхіми.</w:t>
      </w:r>
    </w:p>
    <w:p w:rsidR="005B56AD" w:rsidRDefault="005B56AD" w:rsidP="005B56A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порівнянні інтенсивностей сигналу різних гістологічних підтипів НКР ми спостерігали найвищі середні їх значення при конвенційному підтипі (119,69±23,05), посередні – при хромофобному (111,35±18,97) та найнижчі – при папілярному (94,84±20,21), що ми пояснюємо відмінностями у гістологічній архітектурі даних пухлин і, як наслідок, різною здатністю до дифузії молекул водню в свої тканинах. Порівнюючи середні значенні інтенсивності сигналу у даних підгрупах нами була отримана достовірна різниця між скНКР та пНКР (р</w:t>
      </w:r>
      <w:r w:rsidRPr="009E6C7E">
        <w:rPr>
          <w:rFonts w:ascii="Times New Roman" w:hAnsi="Times New Roman" w:cs="Times New Roman"/>
          <w:sz w:val="28"/>
          <w:szCs w:val="28"/>
        </w:rPr>
        <w:t xml:space="preserve">=0,001), </w:t>
      </w:r>
      <w:r w:rsidRPr="00E77FC6">
        <w:rPr>
          <w:rFonts w:ascii="Times New Roman" w:hAnsi="Times New Roman" w:cs="Times New Roman"/>
          <w:sz w:val="28"/>
          <w:szCs w:val="28"/>
        </w:rPr>
        <w:t>проте,</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не було такої різниці між скНКР та хрНКР (р=0,412) та пНКР і хрНКР (р=0,115). </w:t>
      </w:r>
    </w:p>
    <w:p w:rsidR="005B56AD" w:rsidRDefault="005B56AD" w:rsidP="005B56A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підгрупах світлоклітинного НКР різних ступенів за </w:t>
      </w:r>
      <w:r>
        <w:rPr>
          <w:rFonts w:ascii="Times New Roman" w:hAnsi="Times New Roman" w:cs="Times New Roman"/>
          <w:sz w:val="28"/>
          <w:szCs w:val="28"/>
          <w:lang w:val="en-US"/>
        </w:rPr>
        <w:t>Fuhrman</w:t>
      </w:r>
      <w:r w:rsidRPr="009E6C7E">
        <w:rPr>
          <w:rFonts w:ascii="Times New Roman" w:hAnsi="Times New Roman" w:cs="Times New Roman"/>
          <w:sz w:val="28"/>
          <w:szCs w:val="28"/>
        </w:rPr>
        <w:t xml:space="preserve">, </w:t>
      </w:r>
      <w:r w:rsidRPr="00E77FC6">
        <w:rPr>
          <w:rFonts w:ascii="Times New Roman" w:hAnsi="Times New Roman" w:cs="Times New Roman"/>
          <w:sz w:val="28"/>
          <w:szCs w:val="28"/>
        </w:rPr>
        <w:t>при</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низькому ступені середнє значення інтенсивності сигналу було нижчим у порівнянні з високим ступенем: відповідно 110,53±19,27 та 129,15±23,09, а різниця між ними була статистично достовірна, чого не було при </w:t>
      </w:r>
      <w:r>
        <w:rPr>
          <w:rFonts w:ascii="Times New Roman" w:hAnsi="Times New Roman" w:cs="Times New Roman"/>
          <w:sz w:val="28"/>
          <w:szCs w:val="28"/>
          <w:lang w:val="en-US"/>
        </w:rPr>
        <w:t>SRM</w:t>
      </w:r>
      <w:r>
        <w:rPr>
          <w:rFonts w:ascii="Times New Roman" w:hAnsi="Times New Roman" w:cs="Times New Roman"/>
          <w:sz w:val="28"/>
          <w:szCs w:val="28"/>
        </w:rPr>
        <w:t xml:space="preserve"> (р=0,005). Такий феномен ми пояснюємо зростанням целюлярної щільності поруч із зменшенням </w:t>
      </w:r>
      <w:r w:rsidR="00B02037">
        <w:rPr>
          <w:rFonts w:ascii="Times New Roman" w:hAnsi="Times New Roman" w:cs="Times New Roman"/>
          <w:sz w:val="28"/>
          <w:szCs w:val="28"/>
        </w:rPr>
        <w:t>ступеня</w:t>
      </w:r>
      <w:r>
        <w:rPr>
          <w:rFonts w:ascii="Times New Roman" w:hAnsi="Times New Roman" w:cs="Times New Roman"/>
          <w:sz w:val="28"/>
          <w:szCs w:val="28"/>
        </w:rPr>
        <w:t xml:space="preserve"> диференціації скНКР (тобто збільшенням </w:t>
      </w:r>
      <w:r w:rsidR="00B02037">
        <w:rPr>
          <w:rFonts w:ascii="Times New Roman" w:hAnsi="Times New Roman" w:cs="Times New Roman"/>
          <w:sz w:val="28"/>
          <w:szCs w:val="28"/>
        </w:rPr>
        <w:t>ступеня</w:t>
      </w:r>
      <w:r>
        <w:rPr>
          <w:rFonts w:ascii="Times New Roman" w:hAnsi="Times New Roman" w:cs="Times New Roman"/>
          <w:sz w:val="28"/>
          <w:szCs w:val="28"/>
        </w:rPr>
        <w:t xml:space="preserve"> за </w:t>
      </w:r>
      <w:r>
        <w:rPr>
          <w:rFonts w:ascii="Times New Roman" w:hAnsi="Times New Roman" w:cs="Times New Roman"/>
          <w:sz w:val="28"/>
          <w:szCs w:val="28"/>
          <w:lang w:val="en-US"/>
        </w:rPr>
        <w:t>Fuhrman</w:t>
      </w:r>
      <w:r>
        <w:rPr>
          <w:rFonts w:ascii="Times New Roman" w:hAnsi="Times New Roman" w:cs="Times New Roman"/>
          <w:sz w:val="28"/>
          <w:szCs w:val="28"/>
        </w:rPr>
        <w:t xml:space="preserve">), що призводить до обмеження вільної дифузії молекул водню в інтрацелюлярному просторі. Однак, на противагу отриманим результатам при скНКР, різниці у середніх значеннях </w:t>
      </w:r>
      <w:r w:rsidRPr="007B49F0">
        <w:rPr>
          <w:rFonts w:ascii="Times New Roman" w:hAnsi="Times New Roman" w:cs="Times New Roman"/>
          <w:sz w:val="28"/>
          <w:szCs w:val="28"/>
        </w:rPr>
        <w:t>ІС</w:t>
      </w:r>
      <w:r w:rsidRPr="007B49F0">
        <w:rPr>
          <w:rFonts w:ascii="Times New Roman" w:hAnsi="Times New Roman" w:cs="Times New Roman"/>
          <w:sz w:val="28"/>
          <w:szCs w:val="28"/>
          <w:vertAlign w:val="subscript"/>
        </w:rPr>
        <w:t>ДЗЗ</w:t>
      </w:r>
      <w:r>
        <w:rPr>
          <w:rFonts w:ascii="Times New Roman" w:hAnsi="Times New Roman" w:cs="Times New Roman"/>
          <w:sz w:val="28"/>
          <w:szCs w:val="28"/>
        </w:rPr>
        <w:t xml:space="preserve"> при папілярному НКР низького та високого ступенів за </w:t>
      </w:r>
      <w:r>
        <w:rPr>
          <w:rFonts w:ascii="Times New Roman" w:hAnsi="Times New Roman" w:cs="Times New Roman"/>
          <w:sz w:val="28"/>
          <w:szCs w:val="28"/>
          <w:lang w:val="en-US"/>
        </w:rPr>
        <w:t>Fuhrman</w:t>
      </w:r>
      <w:r>
        <w:rPr>
          <w:rFonts w:ascii="Times New Roman" w:hAnsi="Times New Roman" w:cs="Times New Roman"/>
          <w:sz w:val="28"/>
          <w:szCs w:val="28"/>
        </w:rPr>
        <w:t xml:space="preserve"> ми не спостерігали (р=0,798).</w:t>
      </w:r>
    </w:p>
    <w:p w:rsidR="005B56AD" w:rsidRDefault="005B56AD" w:rsidP="005B56A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Аналіз значень інтенсивності сигналу ДЗЗ доброякісних пухлин нирок довів, що найвищі її середні значення (найбільш обмежена дифузія) спостерігалась у підгрупі з ОЦ нирки і складала 87,34±20,99, була посередньою при ПА нирки (80,70±8,33) та найнижчою при АМЛ – 66,57±10,88 (найбільш вільна дифузія). При цьому, статистично достовірна різниця була отримана у середніх значеннях даного показника в підгрупах з </w:t>
      </w:r>
      <w:r>
        <w:rPr>
          <w:rFonts w:ascii="Times New Roman" w:hAnsi="Times New Roman" w:cs="Times New Roman"/>
          <w:sz w:val="28"/>
          <w:szCs w:val="28"/>
        </w:rPr>
        <w:lastRenderedPageBreak/>
        <w:t xml:space="preserve">ОЦ та АМЛ (р=0,036), але була відсутня в підгрупах з ОЦ і ПА (р=0,670) та ПА і АМЛ (р=0,204). </w:t>
      </w:r>
    </w:p>
    <w:p w:rsidR="005B56AD" w:rsidRDefault="005B56AD" w:rsidP="00E11480">
      <w:pPr>
        <w:spacing w:line="360" w:lineRule="auto"/>
        <w:ind w:firstLine="708"/>
        <w:jc w:val="both"/>
        <w:rPr>
          <w:rFonts w:ascii="Times New Roman" w:hAnsi="Times New Roman"/>
          <w:sz w:val="28"/>
          <w:szCs w:val="28"/>
        </w:rPr>
      </w:pPr>
      <w:r>
        <w:rPr>
          <w:rFonts w:ascii="Times New Roman" w:hAnsi="Times New Roman" w:cs="Times New Roman"/>
          <w:sz w:val="28"/>
          <w:szCs w:val="28"/>
        </w:rPr>
        <w:t xml:space="preserve">Нами були проаналізовані значення вимірюваного коефіцієнта дифузії у всіх досліджуваних групах. Середнє значення ВКД нормальної ниркової паренхіми становило </w:t>
      </w:r>
      <w:r w:rsidRPr="00A36B3D">
        <w:rPr>
          <w:rFonts w:ascii="Times New Roman" w:hAnsi="Times New Roman"/>
          <w:sz w:val="28"/>
          <w:szCs w:val="28"/>
        </w:rPr>
        <w:t>2,58</w:t>
      </w:r>
      <w:r>
        <w:rPr>
          <w:rFonts w:ascii="Times New Roman" w:hAnsi="Times New Roman" w:cs="Times New Roman"/>
          <w:sz w:val="28"/>
          <w:szCs w:val="28"/>
        </w:rPr>
        <w:t>±</w:t>
      </w:r>
      <w:r w:rsidRPr="00A36B3D">
        <w:rPr>
          <w:rFonts w:ascii="Times New Roman" w:hAnsi="Times New Roman"/>
          <w:sz w:val="28"/>
          <w:szCs w:val="28"/>
        </w:rPr>
        <w:t>0,05</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w:t>
      </w:r>
      <w:r>
        <w:rPr>
          <w:rFonts w:ascii="Times New Roman" w:hAnsi="Times New Roman" w:cs="Times New Roman"/>
          <w:sz w:val="28"/>
          <w:szCs w:val="28"/>
        </w:rPr>
        <w:t xml:space="preserve"> У всіх групах</w:t>
      </w:r>
      <w:r w:rsidRPr="00153D69">
        <w:rPr>
          <w:rFonts w:ascii="Times New Roman" w:hAnsi="Times New Roman" w:cs="Times New Roman"/>
          <w:sz w:val="28"/>
          <w:szCs w:val="28"/>
        </w:rPr>
        <w:t xml:space="preserve"> </w:t>
      </w:r>
      <w:r>
        <w:rPr>
          <w:rFonts w:ascii="Times New Roman" w:hAnsi="Times New Roman" w:cs="Times New Roman"/>
          <w:sz w:val="28"/>
          <w:szCs w:val="28"/>
        </w:rPr>
        <w:t>із пухлинами нирок</w:t>
      </w:r>
      <w:r w:rsidRPr="00153D69">
        <w:rPr>
          <w:rFonts w:ascii="Times New Roman" w:hAnsi="Times New Roman" w:cs="Times New Roman"/>
          <w:sz w:val="28"/>
          <w:szCs w:val="28"/>
        </w:rPr>
        <w:t xml:space="preserve"> </w:t>
      </w:r>
      <w:r>
        <w:rPr>
          <w:rFonts w:ascii="Times New Roman" w:hAnsi="Times New Roman" w:cs="Times New Roman"/>
          <w:sz w:val="28"/>
          <w:szCs w:val="28"/>
        </w:rPr>
        <w:t>середні значення</w:t>
      </w:r>
      <w:r w:rsidRPr="00153D69">
        <w:rPr>
          <w:rFonts w:ascii="Times New Roman" w:hAnsi="Times New Roman" w:cs="Times New Roman"/>
          <w:sz w:val="28"/>
          <w:szCs w:val="28"/>
        </w:rPr>
        <w:t xml:space="preserve"> </w:t>
      </w:r>
      <w:r>
        <w:rPr>
          <w:rFonts w:ascii="Times New Roman" w:hAnsi="Times New Roman" w:cs="Times New Roman"/>
          <w:sz w:val="28"/>
          <w:szCs w:val="28"/>
        </w:rPr>
        <w:t>даного параметру були достовірно нижчими у порівнянні з контролем, що свідчило про обмеження дифузії молекул водню в їх тканинах (р</w:t>
      </w:r>
      <w:r w:rsidRPr="009E6C7E">
        <w:rPr>
          <w:rFonts w:ascii="Times New Roman" w:hAnsi="Times New Roman"/>
          <w:sz w:val="28"/>
          <w:szCs w:val="28"/>
        </w:rPr>
        <w:t>&lt;</w:t>
      </w:r>
      <w:r>
        <w:rPr>
          <w:rFonts w:ascii="Times New Roman" w:hAnsi="Times New Roman"/>
          <w:sz w:val="28"/>
          <w:szCs w:val="28"/>
        </w:rPr>
        <w:t>0,001). Найбільш виражена рестрикція дифузії спостерігалась в тканинах ПКК ниркової миски, середнє значення ВКД в даній групі становило 1,02</w:t>
      </w:r>
      <w:r>
        <w:rPr>
          <w:rFonts w:ascii="Times New Roman" w:hAnsi="Times New Roman" w:cs="Times New Roman"/>
          <w:sz w:val="28"/>
          <w:szCs w:val="28"/>
        </w:rPr>
        <w:t>±</w:t>
      </w:r>
      <w:r>
        <w:rPr>
          <w:rFonts w:ascii="Times New Roman" w:hAnsi="Times New Roman"/>
          <w:sz w:val="28"/>
          <w:szCs w:val="28"/>
        </w:rPr>
        <w:t>0,13</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При НКР ми також спостерігали суттєве обмеження дифузії, при середньому показнику ВКД 1,68</w:t>
      </w:r>
      <w:r>
        <w:rPr>
          <w:rFonts w:ascii="Times New Roman" w:hAnsi="Times New Roman" w:cs="Times New Roman"/>
          <w:sz w:val="28"/>
          <w:szCs w:val="28"/>
        </w:rPr>
        <w:t>±</w:t>
      </w:r>
      <w:r>
        <w:rPr>
          <w:rFonts w:ascii="Times New Roman" w:hAnsi="Times New Roman"/>
          <w:sz w:val="28"/>
          <w:szCs w:val="28"/>
        </w:rPr>
        <w:t>0,18</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При доброякісних пухлинах нирок мало місце помірне обмеження дифузії в їх тканинах: середнє ВКД складало 2,09</w:t>
      </w:r>
      <w:r>
        <w:rPr>
          <w:rFonts w:ascii="Times New Roman" w:hAnsi="Times New Roman" w:cs="Times New Roman"/>
          <w:sz w:val="28"/>
          <w:szCs w:val="28"/>
        </w:rPr>
        <w:t>±</w:t>
      </w:r>
      <w:r>
        <w:rPr>
          <w:rFonts w:ascii="Times New Roman" w:hAnsi="Times New Roman"/>
          <w:sz w:val="28"/>
          <w:szCs w:val="28"/>
        </w:rPr>
        <w:t>0,10</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xml:space="preserve">. При порівнянні вказаних показників між собою у всіх комбінаціях було отримано достовірну різницю </w:t>
      </w:r>
      <w:r>
        <w:rPr>
          <w:rFonts w:ascii="Times New Roman" w:hAnsi="Times New Roman" w:cs="Times New Roman"/>
          <w:sz w:val="28"/>
          <w:szCs w:val="28"/>
        </w:rPr>
        <w:t>(р</w:t>
      </w:r>
      <w:r w:rsidRPr="009E6C7E">
        <w:rPr>
          <w:rFonts w:ascii="Times New Roman" w:hAnsi="Times New Roman"/>
          <w:sz w:val="28"/>
          <w:szCs w:val="28"/>
        </w:rPr>
        <w:t>&lt;</w:t>
      </w:r>
      <w:r w:rsidR="00293044">
        <w:rPr>
          <w:rFonts w:ascii="Times New Roman" w:hAnsi="Times New Roman"/>
          <w:sz w:val="28"/>
          <w:szCs w:val="28"/>
        </w:rPr>
        <w:t>0,</w:t>
      </w:r>
      <w:r w:rsidR="007A4D2A">
        <w:rPr>
          <w:rFonts w:ascii="Times New Roman" w:hAnsi="Times New Roman"/>
          <w:sz w:val="28"/>
          <w:szCs w:val="28"/>
        </w:rPr>
        <w:t>001), таблиця 3.25, рисунок 3.35</w:t>
      </w:r>
      <w:r>
        <w:rPr>
          <w:rFonts w:ascii="Times New Roman" w:hAnsi="Times New Roman"/>
          <w:sz w:val="28"/>
          <w:szCs w:val="28"/>
        </w:rPr>
        <w:t xml:space="preserve">. </w:t>
      </w:r>
    </w:p>
    <w:p w:rsidR="009C1018" w:rsidRDefault="009C1018" w:rsidP="009C101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5A7B2F8" wp14:editId="6D89D45E">
            <wp:extent cx="3637981" cy="3295650"/>
            <wp:effectExtent l="0" t="0" r="635"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642771" cy="3299989"/>
                    </a:xfrm>
                    <a:prstGeom prst="rect">
                      <a:avLst/>
                    </a:prstGeom>
                    <a:noFill/>
                    <a:ln>
                      <a:noFill/>
                    </a:ln>
                  </pic:spPr>
                </pic:pic>
              </a:graphicData>
            </a:graphic>
          </wp:inline>
        </w:drawing>
      </w:r>
    </w:p>
    <w:p w:rsidR="009C1018" w:rsidRDefault="009C1018" w:rsidP="009C1018">
      <w:pPr>
        <w:autoSpaceDE w:val="0"/>
        <w:autoSpaceDN w:val="0"/>
        <w:adjustRightInd w:val="0"/>
        <w:spacing w:after="0" w:line="240" w:lineRule="auto"/>
        <w:rPr>
          <w:rFonts w:ascii="Times New Roman" w:hAnsi="Times New Roman" w:cs="Times New Roman"/>
          <w:sz w:val="24"/>
          <w:szCs w:val="24"/>
        </w:rPr>
      </w:pPr>
    </w:p>
    <w:p w:rsidR="00E11480" w:rsidRDefault="007A4D2A" w:rsidP="009C1018">
      <w:pPr>
        <w:spacing w:line="360" w:lineRule="auto"/>
        <w:jc w:val="center"/>
        <w:rPr>
          <w:rFonts w:ascii="Times New Roman" w:hAnsi="Times New Roman"/>
          <w:sz w:val="28"/>
          <w:szCs w:val="28"/>
        </w:rPr>
      </w:pPr>
      <w:r>
        <w:rPr>
          <w:rFonts w:ascii="Times New Roman" w:hAnsi="Times New Roman"/>
          <w:sz w:val="28"/>
          <w:szCs w:val="28"/>
        </w:rPr>
        <w:t>Рис. 3.35</w:t>
      </w:r>
      <w:r w:rsidR="009C1018">
        <w:rPr>
          <w:rFonts w:ascii="Times New Roman" w:hAnsi="Times New Roman"/>
          <w:sz w:val="28"/>
          <w:szCs w:val="28"/>
        </w:rPr>
        <w:t>.</w:t>
      </w:r>
      <w:r w:rsidR="009C1018" w:rsidRPr="008A3307">
        <w:rPr>
          <w:rFonts w:ascii="Times New Roman" w:hAnsi="Times New Roman"/>
          <w:sz w:val="28"/>
          <w:szCs w:val="28"/>
        </w:rPr>
        <w:t xml:space="preserve"> Коробкова діаграма </w:t>
      </w:r>
      <w:r w:rsidR="009C1018" w:rsidRPr="008A3307">
        <w:rPr>
          <w:rFonts w:ascii="Times New Roman" w:hAnsi="Times New Roman" w:cs="Times New Roman"/>
          <w:sz w:val="28"/>
          <w:szCs w:val="28"/>
        </w:rPr>
        <w:t>вимірюваного коефіцієнта дифузії</w:t>
      </w:r>
      <w:r w:rsidR="009C1018" w:rsidRPr="008A3307">
        <w:rPr>
          <w:rFonts w:ascii="Times New Roman" w:hAnsi="Times New Roman"/>
          <w:sz w:val="28"/>
          <w:szCs w:val="28"/>
        </w:rPr>
        <w:t xml:space="preserve"> в основній, порівняння та контрольній групах</w:t>
      </w:r>
      <w:r w:rsidR="009C1018">
        <w:rPr>
          <w:rFonts w:ascii="Times New Roman" w:hAnsi="Times New Roman"/>
          <w:sz w:val="28"/>
          <w:szCs w:val="28"/>
        </w:rPr>
        <w:t xml:space="preserve"> </w:t>
      </w:r>
      <w:r w:rsidR="009C1018" w:rsidRPr="008A3307">
        <w:rPr>
          <w:rFonts w:ascii="Times New Roman" w:hAnsi="Times New Roman"/>
          <w:sz w:val="28"/>
          <w:szCs w:val="28"/>
        </w:rPr>
        <w:t>(</w:t>
      </w:r>
      <w:r w:rsidR="009C1018" w:rsidRPr="008A3307">
        <w:rPr>
          <w:rFonts w:ascii="Times New Roman" w:hAnsi="Times New Roman" w:cs="Times New Roman"/>
          <w:sz w:val="28"/>
          <w:szCs w:val="28"/>
        </w:rPr>
        <w:t>×</w:t>
      </w:r>
      <w:r w:rsidR="009C1018" w:rsidRPr="008A3307">
        <w:rPr>
          <w:rFonts w:ascii="Times New Roman" w:hAnsi="Times New Roman"/>
          <w:sz w:val="28"/>
          <w:szCs w:val="28"/>
        </w:rPr>
        <w:t>10</w:t>
      </w:r>
      <w:r w:rsidR="009C1018" w:rsidRPr="008A3307">
        <w:rPr>
          <w:rFonts w:ascii="Times New Roman" w:hAnsi="Times New Roman"/>
          <w:sz w:val="28"/>
          <w:szCs w:val="28"/>
          <w:vertAlign w:val="superscript"/>
        </w:rPr>
        <w:t>-3</w:t>
      </w:r>
      <w:r w:rsidR="009C1018" w:rsidRPr="008A3307">
        <w:rPr>
          <w:rFonts w:ascii="Times New Roman" w:hAnsi="Times New Roman"/>
          <w:sz w:val="28"/>
          <w:szCs w:val="28"/>
        </w:rPr>
        <w:t xml:space="preserve"> мм</w:t>
      </w:r>
      <w:r w:rsidR="009C1018" w:rsidRPr="008A3307">
        <w:rPr>
          <w:rFonts w:ascii="Times New Roman" w:hAnsi="Times New Roman"/>
          <w:sz w:val="28"/>
          <w:szCs w:val="28"/>
          <w:vertAlign w:val="superscript"/>
        </w:rPr>
        <w:t>2</w:t>
      </w:r>
      <w:r w:rsidR="009C1018" w:rsidRPr="008A3307">
        <w:rPr>
          <w:rFonts w:ascii="Times New Roman" w:hAnsi="Times New Roman"/>
          <w:sz w:val="28"/>
          <w:szCs w:val="28"/>
        </w:rPr>
        <w:t>/с)</w:t>
      </w:r>
    </w:p>
    <w:p w:rsidR="005B56AD" w:rsidRPr="00A36B3D" w:rsidRDefault="005B56AD" w:rsidP="005B56AD">
      <w:pPr>
        <w:spacing w:line="360" w:lineRule="auto"/>
        <w:jc w:val="right"/>
        <w:rPr>
          <w:rFonts w:ascii="Times New Roman" w:hAnsi="Times New Roman"/>
          <w:sz w:val="28"/>
          <w:szCs w:val="28"/>
        </w:rPr>
      </w:pPr>
      <w:r w:rsidRPr="00A36B3D">
        <w:rPr>
          <w:rFonts w:ascii="Times New Roman" w:hAnsi="Times New Roman"/>
          <w:sz w:val="28"/>
          <w:szCs w:val="28"/>
        </w:rPr>
        <w:lastRenderedPageBreak/>
        <w:t>Таблиця</w:t>
      </w:r>
      <w:r w:rsidR="00293044">
        <w:rPr>
          <w:rFonts w:ascii="Times New Roman" w:hAnsi="Times New Roman"/>
          <w:sz w:val="28"/>
          <w:szCs w:val="28"/>
        </w:rPr>
        <w:t xml:space="preserve"> 3.25</w:t>
      </w:r>
    </w:p>
    <w:p w:rsidR="005B56AD" w:rsidRPr="00A36B3D" w:rsidRDefault="005B56AD" w:rsidP="005B56AD">
      <w:pPr>
        <w:spacing w:line="360" w:lineRule="auto"/>
        <w:jc w:val="center"/>
        <w:rPr>
          <w:rFonts w:ascii="Times New Roman" w:hAnsi="Times New Roman"/>
          <w:sz w:val="28"/>
          <w:szCs w:val="28"/>
        </w:rPr>
      </w:pPr>
      <w:r w:rsidRPr="00A36B3D">
        <w:rPr>
          <w:rFonts w:ascii="Times New Roman" w:hAnsi="Times New Roman"/>
          <w:sz w:val="28"/>
          <w:szCs w:val="28"/>
        </w:rPr>
        <w:t xml:space="preserve">Детальна статистична характеристика вимірюваного коефіцієнта дифузії солідних </w:t>
      </w:r>
      <w:r>
        <w:rPr>
          <w:rFonts w:ascii="Times New Roman" w:hAnsi="Times New Roman"/>
          <w:sz w:val="28"/>
          <w:szCs w:val="28"/>
        </w:rPr>
        <w:t xml:space="preserve">пухлин нирок </w:t>
      </w:r>
      <w:r w:rsidRPr="00A36B3D">
        <w:rPr>
          <w:rFonts w:ascii="Times New Roman" w:hAnsi="Times New Roman"/>
          <w:sz w:val="28"/>
          <w:szCs w:val="28"/>
        </w:rPr>
        <w:t>та нормальної ниркової паренхіми</w:t>
      </w:r>
    </w:p>
    <w:tbl>
      <w:tblPr>
        <w:tblStyle w:val="TableGrid"/>
        <w:tblW w:w="9493" w:type="dxa"/>
        <w:tblLook w:val="04A0" w:firstRow="1" w:lastRow="0" w:firstColumn="1" w:lastColumn="0" w:noHBand="0" w:noVBand="1"/>
      </w:tblPr>
      <w:tblGrid>
        <w:gridCol w:w="1761"/>
        <w:gridCol w:w="1317"/>
        <w:gridCol w:w="890"/>
        <w:gridCol w:w="1336"/>
        <w:gridCol w:w="1111"/>
        <w:gridCol w:w="1136"/>
        <w:gridCol w:w="890"/>
        <w:gridCol w:w="1052"/>
      </w:tblGrid>
      <w:tr w:rsidR="005B56AD" w:rsidRPr="00A36B3D" w:rsidTr="001F0C51">
        <w:tc>
          <w:tcPr>
            <w:tcW w:w="1761" w:type="dxa"/>
            <w:vMerge w:val="restart"/>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Група</w:t>
            </w:r>
          </w:p>
        </w:tc>
        <w:tc>
          <w:tcPr>
            <w:tcW w:w="1317" w:type="dxa"/>
            <w:vMerge w:val="restart"/>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Середнє,</w:t>
            </w:r>
          </w:p>
          <w:p w:rsidR="005B56AD" w:rsidRPr="00A36B3D" w:rsidRDefault="005B56AD" w:rsidP="001F0C51">
            <w:pPr>
              <w:jc w:val="center"/>
              <w:rPr>
                <w:rFonts w:ascii="Times New Roman" w:hAnsi="Times New Roman"/>
                <w:b/>
                <w:sz w:val="28"/>
                <w:szCs w:val="28"/>
              </w:rPr>
            </w:pPr>
            <w:r w:rsidRPr="00A36B3D">
              <w:rPr>
                <w:rFonts w:ascii="Times New Roman" w:hAnsi="Times New Roman" w:cs="Times New Roman"/>
                <w:b/>
                <w:sz w:val="28"/>
                <w:szCs w:val="28"/>
              </w:rPr>
              <w:t>×</w:t>
            </w:r>
            <w:r w:rsidRPr="00A36B3D">
              <w:rPr>
                <w:rFonts w:ascii="Times New Roman" w:hAnsi="Times New Roman"/>
                <w:b/>
                <w:sz w:val="28"/>
                <w:szCs w:val="28"/>
              </w:rPr>
              <w:t>10</w:t>
            </w:r>
            <w:r w:rsidRPr="00A36B3D">
              <w:rPr>
                <w:rFonts w:ascii="Times New Roman" w:hAnsi="Times New Roman"/>
                <w:b/>
                <w:sz w:val="28"/>
                <w:szCs w:val="28"/>
                <w:vertAlign w:val="superscript"/>
              </w:rPr>
              <w:t>-3</w:t>
            </w:r>
            <w:r w:rsidRPr="00A36B3D">
              <w:rPr>
                <w:rFonts w:ascii="Times New Roman" w:hAnsi="Times New Roman"/>
                <w:b/>
                <w:sz w:val="28"/>
                <w:szCs w:val="28"/>
              </w:rPr>
              <w:t xml:space="preserve"> мм</w:t>
            </w:r>
            <w:r w:rsidRPr="00A36B3D">
              <w:rPr>
                <w:rFonts w:ascii="Times New Roman" w:hAnsi="Times New Roman"/>
                <w:b/>
                <w:sz w:val="28"/>
                <w:szCs w:val="28"/>
                <w:vertAlign w:val="superscript"/>
              </w:rPr>
              <w:t>2</w:t>
            </w:r>
            <w:r w:rsidRPr="00A36B3D">
              <w:rPr>
                <w:rFonts w:ascii="Times New Roman" w:hAnsi="Times New Roman"/>
                <w:b/>
                <w:sz w:val="28"/>
                <w:szCs w:val="28"/>
              </w:rPr>
              <w:t>/с</w:t>
            </w:r>
          </w:p>
        </w:tc>
        <w:tc>
          <w:tcPr>
            <w:tcW w:w="890" w:type="dxa"/>
            <w:vMerge w:val="restart"/>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СВ,</w:t>
            </w:r>
          </w:p>
          <w:p w:rsidR="005B56AD" w:rsidRPr="00A36B3D" w:rsidRDefault="005B56AD" w:rsidP="001F0C51">
            <w:pPr>
              <w:jc w:val="center"/>
              <w:rPr>
                <w:rFonts w:ascii="Times New Roman" w:hAnsi="Times New Roman"/>
                <w:b/>
                <w:sz w:val="28"/>
                <w:szCs w:val="28"/>
              </w:rPr>
            </w:pPr>
            <w:r w:rsidRPr="00A36B3D">
              <w:rPr>
                <w:rFonts w:ascii="Times New Roman" w:hAnsi="Times New Roman" w:cs="Times New Roman"/>
                <w:b/>
                <w:sz w:val="28"/>
                <w:szCs w:val="28"/>
              </w:rPr>
              <w:t>×</w:t>
            </w:r>
            <w:r w:rsidRPr="00A36B3D">
              <w:rPr>
                <w:rFonts w:ascii="Times New Roman" w:hAnsi="Times New Roman"/>
                <w:b/>
                <w:sz w:val="28"/>
                <w:szCs w:val="28"/>
              </w:rPr>
              <w:t>10</w:t>
            </w:r>
            <w:r w:rsidRPr="00A36B3D">
              <w:rPr>
                <w:rFonts w:ascii="Times New Roman" w:hAnsi="Times New Roman"/>
                <w:b/>
                <w:sz w:val="28"/>
                <w:szCs w:val="28"/>
                <w:vertAlign w:val="superscript"/>
              </w:rPr>
              <w:t>-3</w:t>
            </w:r>
            <w:r w:rsidRPr="00A36B3D">
              <w:rPr>
                <w:rFonts w:ascii="Times New Roman" w:hAnsi="Times New Roman"/>
                <w:b/>
                <w:sz w:val="28"/>
                <w:szCs w:val="28"/>
              </w:rPr>
              <w:t xml:space="preserve"> мм</w:t>
            </w:r>
            <w:r w:rsidRPr="00A36B3D">
              <w:rPr>
                <w:rFonts w:ascii="Times New Roman" w:hAnsi="Times New Roman"/>
                <w:b/>
                <w:sz w:val="28"/>
                <w:szCs w:val="28"/>
                <w:vertAlign w:val="superscript"/>
              </w:rPr>
              <w:t>2</w:t>
            </w:r>
            <w:r w:rsidRPr="00A36B3D">
              <w:rPr>
                <w:rFonts w:ascii="Times New Roman" w:hAnsi="Times New Roman"/>
                <w:b/>
                <w:sz w:val="28"/>
                <w:szCs w:val="28"/>
              </w:rPr>
              <w:t>/с</w:t>
            </w:r>
          </w:p>
        </w:tc>
        <w:tc>
          <w:tcPr>
            <w:tcW w:w="1336" w:type="dxa"/>
            <w:vMerge w:val="restart"/>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Медіана,</w:t>
            </w:r>
          </w:p>
          <w:p w:rsidR="005B56AD" w:rsidRPr="00A36B3D" w:rsidRDefault="005B56AD" w:rsidP="001F0C51">
            <w:pPr>
              <w:jc w:val="center"/>
              <w:rPr>
                <w:rFonts w:ascii="Times New Roman" w:hAnsi="Times New Roman"/>
                <w:b/>
                <w:sz w:val="28"/>
                <w:szCs w:val="28"/>
              </w:rPr>
            </w:pPr>
            <w:r w:rsidRPr="00A36B3D">
              <w:rPr>
                <w:rFonts w:ascii="Times New Roman" w:hAnsi="Times New Roman" w:cs="Times New Roman"/>
                <w:b/>
                <w:sz w:val="28"/>
                <w:szCs w:val="28"/>
              </w:rPr>
              <w:t>×</w:t>
            </w:r>
            <w:r w:rsidRPr="00A36B3D">
              <w:rPr>
                <w:rFonts w:ascii="Times New Roman" w:hAnsi="Times New Roman"/>
                <w:b/>
                <w:sz w:val="28"/>
                <w:szCs w:val="28"/>
              </w:rPr>
              <w:t>10</w:t>
            </w:r>
            <w:r w:rsidRPr="00A36B3D">
              <w:rPr>
                <w:rFonts w:ascii="Times New Roman" w:hAnsi="Times New Roman"/>
                <w:b/>
                <w:sz w:val="28"/>
                <w:szCs w:val="28"/>
                <w:vertAlign w:val="superscript"/>
              </w:rPr>
              <w:t>-3</w:t>
            </w:r>
            <w:r w:rsidRPr="00A36B3D">
              <w:rPr>
                <w:rFonts w:ascii="Times New Roman" w:hAnsi="Times New Roman"/>
                <w:b/>
                <w:sz w:val="28"/>
                <w:szCs w:val="28"/>
              </w:rPr>
              <w:t xml:space="preserve"> мм</w:t>
            </w:r>
            <w:r w:rsidRPr="00A36B3D">
              <w:rPr>
                <w:rFonts w:ascii="Times New Roman" w:hAnsi="Times New Roman"/>
                <w:b/>
                <w:sz w:val="28"/>
                <w:szCs w:val="28"/>
                <w:vertAlign w:val="superscript"/>
              </w:rPr>
              <w:t>2</w:t>
            </w:r>
            <w:r w:rsidRPr="00A36B3D">
              <w:rPr>
                <w:rFonts w:ascii="Times New Roman" w:hAnsi="Times New Roman"/>
                <w:b/>
                <w:sz w:val="28"/>
                <w:szCs w:val="28"/>
              </w:rPr>
              <w:t>/с</w:t>
            </w:r>
          </w:p>
        </w:tc>
        <w:tc>
          <w:tcPr>
            <w:tcW w:w="2247" w:type="dxa"/>
            <w:gridSpan w:val="2"/>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95% ДІ,</w:t>
            </w:r>
            <w:r w:rsidRPr="00A36B3D">
              <w:rPr>
                <w:rFonts w:ascii="Times New Roman" w:hAnsi="Times New Roman" w:cs="Times New Roman"/>
                <w:b/>
                <w:sz w:val="28"/>
                <w:szCs w:val="28"/>
              </w:rPr>
              <w:t xml:space="preserve"> ×</w:t>
            </w:r>
            <w:r w:rsidRPr="00A36B3D">
              <w:rPr>
                <w:rFonts w:ascii="Times New Roman" w:hAnsi="Times New Roman"/>
                <w:b/>
                <w:sz w:val="28"/>
                <w:szCs w:val="28"/>
              </w:rPr>
              <w:t>10</w:t>
            </w:r>
            <w:r w:rsidRPr="00A36B3D">
              <w:rPr>
                <w:rFonts w:ascii="Times New Roman" w:hAnsi="Times New Roman"/>
                <w:b/>
                <w:sz w:val="28"/>
                <w:szCs w:val="28"/>
                <w:vertAlign w:val="superscript"/>
              </w:rPr>
              <w:t>-3</w:t>
            </w:r>
            <w:r w:rsidRPr="00A36B3D">
              <w:rPr>
                <w:rFonts w:ascii="Times New Roman" w:hAnsi="Times New Roman"/>
                <w:b/>
                <w:sz w:val="28"/>
                <w:szCs w:val="28"/>
              </w:rPr>
              <w:t xml:space="preserve"> мм</w:t>
            </w:r>
            <w:r w:rsidRPr="00A36B3D">
              <w:rPr>
                <w:rFonts w:ascii="Times New Roman" w:hAnsi="Times New Roman"/>
                <w:b/>
                <w:sz w:val="28"/>
                <w:szCs w:val="28"/>
                <w:vertAlign w:val="superscript"/>
              </w:rPr>
              <w:t>2</w:t>
            </w:r>
            <w:r w:rsidRPr="00A36B3D">
              <w:rPr>
                <w:rFonts w:ascii="Times New Roman" w:hAnsi="Times New Roman"/>
                <w:b/>
                <w:sz w:val="28"/>
                <w:szCs w:val="28"/>
              </w:rPr>
              <w:t>/с</w:t>
            </w:r>
          </w:p>
        </w:tc>
        <w:tc>
          <w:tcPr>
            <w:tcW w:w="890" w:type="dxa"/>
            <w:vMerge w:val="restart"/>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Мін.,</w:t>
            </w:r>
          </w:p>
          <w:p w:rsidR="005B56AD" w:rsidRPr="00A36B3D" w:rsidRDefault="005B56AD" w:rsidP="001F0C51">
            <w:pPr>
              <w:jc w:val="center"/>
              <w:rPr>
                <w:rFonts w:ascii="Times New Roman" w:hAnsi="Times New Roman"/>
                <w:b/>
                <w:sz w:val="28"/>
                <w:szCs w:val="28"/>
              </w:rPr>
            </w:pPr>
            <w:r w:rsidRPr="00A36B3D">
              <w:rPr>
                <w:rFonts w:ascii="Times New Roman" w:hAnsi="Times New Roman" w:cs="Times New Roman"/>
                <w:b/>
                <w:sz w:val="28"/>
                <w:szCs w:val="28"/>
              </w:rPr>
              <w:t>×</w:t>
            </w:r>
            <w:r w:rsidRPr="00A36B3D">
              <w:rPr>
                <w:rFonts w:ascii="Times New Roman" w:hAnsi="Times New Roman"/>
                <w:b/>
                <w:sz w:val="28"/>
                <w:szCs w:val="28"/>
              </w:rPr>
              <w:t>10</w:t>
            </w:r>
            <w:r w:rsidRPr="00A36B3D">
              <w:rPr>
                <w:rFonts w:ascii="Times New Roman" w:hAnsi="Times New Roman"/>
                <w:b/>
                <w:sz w:val="28"/>
                <w:szCs w:val="28"/>
                <w:vertAlign w:val="superscript"/>
              </w:rPr>
              <w:t>-3</w:t>
            </w:r>
            <w:r w:rsidRPr="00A36B3D">
              <w:rPr>
                <w:rFonts w:ascii="Times New Roman" w:hAnsi="Times New Roman"/>
                <w:b/>
                <w:sz w:val="28"/>
                <w:szCs w:val="28"/>
              </w:rPr>
              <w:t xml:space="preserve"> мм</w:t>
            </w:r>
            <w:r w:rsidRPr="00A36B3D">
              <w:rPr>
                <w:rFonts w:ascii="Times New Roman" w:hAnsi="Times New Roman"/>
                <w:b/>
                <w:sz w:val="28"/>
                <w:szCs w:val="28"/>
                <w:vertAlign w:val="superscript"/>
              </w:rPr>
              <w:t>2</w:t>
            </w:r>
            <w:r w:rsidRPr="00A36B3D">
              <w:rPr>
                <w:rFonts w:ascii="Times New Roman" w:hAnsi="Times New Roman"/>
                <w:b/>
                <w:sz w:val="28"/>
                <w:szCs w:val="28"/>
              </w:rPr>
              <w:t>/с</w:t>
            </w:r>
          </w:p>
        </w:tc>
        <w:tc>
          <w:tcPr>
            <w:tcW w:w="1052" w:type="dxa"/>
            <w:vMerge w:val="restart"/>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Макс.,</w:t>
            </w:r>
          </w:p>
          <w:p w:rsidR="005B56AD" w:rsidRPr="00A36B3D" w:rsidRDefault="005B56AD" w:rsidP="001F0C51">
            <w:pPr>
              <w:jc w:val="center"/>
              <w:rPr>
                <w:rFonts w:ascii="Times New Roman" w:hAnsi="Times New Roman"/>
                <w:b/>
                <w:sz w:val="28"/>
                <w:szCs w:val="28"/>
              </w:rPr>
            </w:pPr>
            <w:r w:rsidRPr="00A36B3D">
              <w:rPr>
                <w:rFonts w:ascii="Times New Roman" w:hAnsi="Times New Roman" w:cs="Times New Roman"/>
                <w:b/>
                <w:sz w:val="28"/>
                <w:szCs w:val="28"/>
              </w:rPr>
              <w:t>×</w:t>
            </w:r>
            <w:r w:rsidRPr="00A36B3D">
              <w:rPr>
                <w:rFonts w:ascii="Times New Roman" w:hAnsi="Times New Roman"/>
                <w:b/>
                <w:sz w:val="28"/>
                <w:szCs w:val="28"/>
              </w:rPr>
              <w:t>10</w:t>
            </w:r>
            <w:r w:rsidRPr="00A36B3D">
              <w:rPr>
                <w:rFonts w:ascii="Times New Roman" w:hAnsi="Times New Roman"/>
                <w:b/>
                <w:sz w:val="28"/>
                <w:szCs w:val="28"/>
                <w:vertAlign w:val="superscript"/>
              </w:rPr>
              <w:t>-3</w:t>
            </w:r>
            <w:r w:rsidRPr="00A36B3D">
              <w:rPr>
                <w:rFonts w:ascii="Times New Roman" w:hAnsi="Times New Roman"/>
                <w:b/>
                <w:sz w:val="28"/>
                <w:szCs w:val="28"/>
              </w:rPr>
              <w:t xml:space="preserve"> мм</w:t>
            </w:r>
            <w:r w:rsidRPr="00A36B3D">
              <w:rPr>
                <w:rFonts w:ascii="Times New Roman" w:hAnsi="Times New Roman"/>
                <w:b/>
                <w:sz w:val="28"/>
                <w:szCs w:val="28"/>
                <w:vertAlign w:val="superscript"/>
              </w:rPr>
              <w:t>2</w:t>
            </w:r>
            <w:r w:rsidRPr="00A36B3D">
              <w:rPr>
                <w:rFonts w:ascii="Times New Roman" w:hAnsi="Times New Roman"/>
                <w:b/>
                <w:sz w:val="28"/>
                <w:szCs w:val="28"/>
              </w:rPr>
              <w:t>/с</w:t>
            </w:r>
          </w:p>
        </w:tc>
      </w:tr>
      <w:tr w:rsidR="005B56AD" w:rsidRPr="00A36B3D" w:rsidTr="001F0C51">
        <w:tc>
          <w:tcPr>
            <w:tcW w:w="1761" w:type="dxa"/>
            <w:vMerge/>
            <w:tcBorders>
              <w:top w:val="single" w:sz="4" w:space="0" w:color="auto"/>
              <w:left w:val="single" w:sz="4" w:space="0" w:color="auto"/>
              <w:bottom w:val="single" w:sz="4" w:space="0" w:color="auto"/>
              <w:right w:val="single" w:sz="4" w:space="0" w:color="auto"/>
            </w:tcBorders>
            <w:vAlign w:val="center"/>
            <w:hideMark/>
          </w:tcPr>
          <w:p w:rsidR="005B56AD" w:rsidRPr="00A36B3D" w:rsidRDefault="005B56AD" w:rsidP="001F0C51">
            <w:pPr>
              <w:rPr>
                <w:rFonts w:ascii="Times New Roman" w:hAnsi="Times New Roman"/>
                <w:b/>
                <w:sz w:val="28"/>
                <w:szCs w:val="28"/>
              </w:rPr>
            </w:pPr>
          </w:p>
        </w:tc>
        <w:tc>
          <w:tcPr>
            <w:tcW w:w="1317" w:type="dxa"/>
            <w:vMerge/>
            <w:tcBorders>
              <w:top w:val="single" w:sz="4" w:space="0" w:color="auto"/>
              <w:left w:val="single" w:sz="4" w:space="0" w:color="auto"/>
              <w:bottom w:val="single" w:sz="4" w:space="0" w:color="auto"/>
              <w:right w:val="single" w:sz="4" w:space="0" w:color="auto"/>
            </w:tcBorders>
            <w:vAlign w:val="center"/>
            <w:hideMark/>
          </w:tcPr>
          <w:p w:rsidR="005B56AD" w:rsidRPr="00A36B3D" w:rsidRDefault="005B56AD" w:rsidP="001F0C51">
            <w:pPr>
              <w:rPr>
                <w:rFonts w:ascii="Times New Roman" w:hAnsi="Times New Roman"/>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36B3D" w:rsidRDefault="005B56AD" w:rsidP="001F0C51">
            <w:pPr>
              <w:rPr>
                <w:rFonts w:ascii="Times New Roman" w:hAnsi="Times New Roman"/>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36B3D" w:rsidRDefault="005B56AD" w:rsidP="001F0C51">
            <w:pPr>
              <w:rPr>
                <w:rFonts w:ascii="Times New Roman" w:hAnsi="Times New Roman"/>
                <w:b/>
                <w:sz w:val="28"/>
                <w:szCs w:val="28"/>
              </w:rPr>
            </w:pPr>
          </w:p>
        </w:tc>
        <w:tc>
          <w:tcPr>
            <w:tcW w:w="111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Нижня</w:t>
            </w:r>
          </w:p>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межа</w:t>
            </w:r>
          </w:p>
        </w:tc>
        <w:tc>
          <w:tcPr>
            <w:tcW w:w="11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Верхня</w:t>
            </w:r>
          </w:p>
          <w:p w:rsidR="005B56AD" w:rsidRPr="00A36B3D" w:rsidRDefault="005B56AD" w:rsidP="001F0C51">
            <w:pPr>
              <w:jc w:val="center"/>
              <w:rPr>
                <w:rFonts w:ascii="Times New Roman" w:hAnsi="Times New Roman"/>
                <w:b/>
                <w:sz w:val="28"/>
                <w:szCs w:val="28"/>
              </w:rPr>
            </w:pPr>
            <w:r w:rsidRPr="00A36B3D">
              <w:rPr>
                <w:rFonts w:ascii="Times New Roman" w:hAnsi="Times New Roman"/>
                <w:b/>
                <w:sz w:val="28"/>
                <w:szCs w:val="28"/>
              </w:rPr>
              <w:t>межа</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36B3D" w:rsidRDefault="005B56AD" w:rsidP="001F0C51">
            <w:pPr>
              <w:rPr>
                <w:rFonts w:ascii="Times New Roman" w:hAnsi="Times New Roman"/>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B56AD" w:rsidRPr="00A36B3D" w:rsidRDefault="005B56AD" w:rsidP="001F0C51">
            <w:pPr>
              <w:rPr>
                <w:rFonts w:ascii="Times New Roman" w:hAnsi="Times New Roman"/>
                <w:b/>
                <w:sz w:val="28"/>
                <w:szCs w:val="28"/>
              </w:rPr>
            </w:pP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rPr>
                <w:rFonts w:ascii="Times New Roman" w:hAnsi="Times New Roman"/>
                <w:b/>
                <w:sz w:val="28"/>
                <w:szCs w:val="28"/>
              </w:rPr>
            </w:pPr>
            <w:r w:rsidRPr="00A36B3D">
              <w:rPr>
                <w:rFonts w:ascii="Times New Roman" w:hAnsi="Times New Roman"/>
                <w:b/>
                <w:sz w:val="28"/>
                <w:szCs w:val="28"/>
              </w:rPr>
              <w:t xml:space="preserve">НКР, </w:t>
            </w:r>
            <w:r>
              <w:rPr>
                <w:rFonts w:ascii="Times New Roman" w:hAnsi="Times New Roman" w:cs="Times New Roman"/>
                <w:b/>
                <w:sz w:val="28"/>
                <w:szCs w:val="28"/>
              </w:rPr>
              <w:t>n=90</w:t>
            </w:r>
          </w:p>
        </w:tc>
        <w:tc>
          <w:tcPr>
            <w:tcW w:w="1317"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1,68</w:t>
            </w:r>
          </w:p>
        </w:tc>
        <w:tc>
          <w:tcPr>
            <w:tcW w:w="890"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0,18</w:t>
            </w:r>
          </w:p>
        </w:tc>
        <w:tc>
          <w:tcPr>
            <w:tcW w:w="1336"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1,70</w:t>
            </w:r>
          </w:p>
        </w:tc>
        <w:tc>
          <w:tcPr>
            <w:tcW w:w="1111"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1,64</w:t>
            </w:r>
          </w:p>
        </w:tc>
        <w:tc>
          <w:tcPr>
            <w:tcW w:w="1136"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1,72</w:t>
            </w:r>
          </w:p>
        </w:tc>
        <w:tc>
          <w:tcPr>
            <w:tcW w:w="890"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1,22</w:t>
            </w:r>
          </w:p>
        </w:tc>
        <w:tc>
          <w:tcPr>
            <w:tcW w:w="1052"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1,99</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rPr>
                <w:rFonts w:ascii="Times New Roman" w:hAnsi="Times New Roman" w:cs="Times New Roman"/>
                <w:b/>
                <w:sz w:val="28"/>
                <w:szCs w:val="28"/>
              </w:rPr>
            </w:pPr>
            <w:r w:rsidRPr="00A36B3D">
              <w:rPr>
                <w:rFonts w:ascii="Times New Roman" w:hAnsi="Times New Roman"/>
                <w:b/>
                <w:sz w:val="28"/>
                <w:szCs w:val="28"/>
              </w:rPr>
              <w:t xml:space="preserve">ПКК ниркової миски, </w:t>
            </w:r>
            <w:r>
              <w:rPr>
                <w:rFonts w:ascii="Times New Roman" w:hAnsi="Times New Roman" w:cs="Times New Roman"/>
                <w:b/>
                <w:sz w:val="28"/>
                <w:szCs w:val="28"/>
              </w:rPr>
              <w:t>n=12</w:t>
            </w:r>
          </w:p>
        </w:tc>
        <w:tc>
          <w:tcPr>
            <w:tcW w:w="1317"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1,02</w:t>
            </w:r>
          </w:p>
        </w:tc>
        <w:tc>
          <w:tcPr>
            <w:tcW w:w="890"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0,13</w:t>
            </w:r>
          </w:p>
        </w:tc>
        <w:tc>
          <w:tcPr>
            <w:tcW w:w="1336"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0,98</w:t>
            </w:r>
          </w:p>
        </w:tc>
        <w:tc>
          <w:tcPr>
            <w:tcW w:w="1111"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0,94</w:t>
            </w:r>
          </w:p>
        </w:tc>
        <w:tc>
          <w:tcPr>
            <w:tcW w:w="1136"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1,09</w:t>
            </w:r>
          </w:p>
        </w:tc>
        <w:tc>
          <w:tcPr>
            <w:tcW w:w="890"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0,78</w:t>
            </w:r>
          </w:p>
        </w:tc>
        <w:tc>
          <w:tcPr>
            <w:tcW w:w="1052"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1,23</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rPr>
                <w:rFonts w:ascii="Times New Roman" w:hAnsi="Times New Roman"/>
                <w:b/>
                <w:sz w:val="28"/>
                <w:szCs w:val="28"/>
              </w:rPr>
            </w:pPr>
            <w:r w:rsidRPr="00A36B3D">
              <w:rPr>
                <w:rFonts w:ascii="Times New Roman" w:hAnsi="Times New Roman"/>
                <w:b/>
                <w:sz w:val="28"/>
                <w:szCs w:val="28"/>
              </w:rPr>
              <w:t>Доброякісні</w:t>
            </w:r>
          </w:p>
          <w:p w:rsidR="005B56AD" w:rsidRPr="00A36B3D" w:rsidRDefault="005B56AD" w:rsidP="001F0C51">
            <w:r w:rsidRPr="00A36B3D">
              <w:rPr>
                <w:rFonts w:ascii="Times New Roman" w:hAnsi="Times New Roman"/>
                <w:b/>
                <w:sz w:val="28"/>
                <w:szCs w:val="28"/>
              </w:rPr>
              <w:t xml:space="preserve">пухлини, </w:t>
            </w:r>
            <w:r w:rsidRPr="00A36B3D">
              <w:rPr>
                <w:rFonts w:ascii="Times New Roman" w:hAnsi="Times New Roman" w:cs="Times New Roman"/>
                <w:b/>
                <w:sz w:val="28"/>
                <w:szCs w:val="28"/>
              </w:rPr>
              <w:t>n=22</w:t>
            </w:r>
          </w:p>
        </w:tc>
        <w:tc>
          <w:tcPr>
            <w:tcW w:w="1317"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2,09</w:t>
            </w:r>
          </w:p>
        </w:tc>
        <w:tc>
          <w:tcPr>
            <w:tcW w:w="890"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0,10</w:t>
            </w:r>
          </w:p>
        </w:tc>
        <w:tc>
          <w:tcPr>
            <w:tcW w:w="1336"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2,09</w:t>
            </w:r>
          </w:p>
        </w:tc>
        <w:tc>
          <w:tcPr>
            <w:tcW w:w="1111"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2,04</w:t>
            </w:r>
          </w:p>
        </w:tc>
        <w:tc>
          <w:tcPr>
            <w:tcW w:w="1136"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2,13</w:t>
            </w:r>
          </w:p>
        </w:tc>
        <w:tc>
          <w:tcPr>
            <w:tcW w:w="890"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1,90</w:t>
            </w:r>
          </w:p>
        </w:tc>
        <w:tc>
          <w:tcPr>
            <w:tcW w:w="1052" w:type="dxa"/>
            <w:tcBorders>
              <w:top w:val="single" w:sz="4" w:space="0" w:color="auto"/>
              <w:left w:val="single" w:sz="4" w:space="0" w:color="auto"/>
              <w:bottom w:val="single" w:sz="4" w:space="0" w:color="auto"/>
              <w:right w:val="single" w:sz="4" w:space="0" w:color="auto"/>
            </w:tcBorders>
          </w:tcPr>
          <w:p w:rsidR="005B56AD" w:rsidRPr="00A36B3D" w:rsidRDefault="005B56AD" w:rsidP="001F0C51">
            <w:pPr>
              <w:jc w:val="center"/>
              <w:rPr>
                <w:rFonts w:ascii="Times New Roman" w:hAnsi="Times New Roman"/>
                <w:sz w:val="28"/>
                <w:szCs w:val="28"/>
              </w:rPr>
            </w:pPr>
            <w:r>
              <w:rPr>
                <w:rFonts w:ascii="Times New Roman" w:hAnsi="Times New Roman"/>
                <w:sz w:val="28"/>
                <w:szCs w:val="28"/>
              </w:rPr>
              <w:t>2,24</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rPr>
                <w:rFonts w:ascii="Times New Roman" w:hAnsi="Times New Roman"/>
                <w:b/>
                <w:sz w:val="28"/>
                <w:szCs w:val="28"/>
              </w:rPr>
            </w:pPr>
            <w:r w:rsidRPr="00A36B3D">
              <w:rPr>
                <w:rFonts w:ascii="Times New Roman" w:hAnsi="Times New Roman"/>
                <w:b/>
                <w:sz w:val="28"/>
                <w:szCs w:val="28"/>
              </w:rPr>
              <w:t xml:space="preserve">Контроль, </w:t>
            </w:r>
            <w:r w:rsidRPr="00A36B3D">
              <w:rPr>
                <w:rFonts w:ascii="Times New Roman" w:hAnsi="Times New Roman" w:cs="Times New Roman"/>
                <w:b/>
                <w:sz w:val="28"/>
                <w:szCs w:val="28"/>
              </w:rPr>
              <w:t>n=30</w:t>
            </w:r>
          </w:p>
        </w:tc>
        <w:tc>
          <w:tcPr>
            <w:tcW w:w="1317"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2,58</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0,05</w:t>
            </w:r>
          </w:p>
        </w:tc>
        <w:tc>
          <w:tcPr>
            <w:tcW w:w="13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2,59</w:t>
            </w:r>
          </w:p>
        </w:tc>
        <w:tc>
          <w:tcPr>
            <w:tcW w:w="111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2,56</w:t>
            </w:r>
          </w:p>
        </w:tc>
        <w:tc>
          <w:tcPr>
            <w:tcW w:w="11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2,60</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2,48</w:t>
            </w:r>
          </w:p>
        </w:tc>
        <w:tc>
          <w:tcPr>
            <w:tcW w:w="1052"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2,68</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b/>
                <w:i/>
                <w:sz w:val="28"/>
                <w:szCs w:val="28"/>
                <w:vertAlign w:val="subscript"/>
              </w:rPr>
            </w:pPr>
            <w:r w:rsidRPr="00A36B3D">
              <w:rPr>
                <w:rFonts w:ascii="Times New Roman" w:hAnsi="Times New Roman"/>
                <w:b/>
                <w:i/>
                <w:sz w:val="28"/>
                <w:szCs w:val="28"/>
              </w:rPr>
              <w:t>р</w:t>
            </w:r>
            <w:r w:rsidRPr="00A36B3D">
              <w:rPr>
                <w:rFonts w:ascii="Times New Roman" w:hAnsi="Times New Roman"/>
                <w:b/>
                <w:i/>
                <w:sz w:val="28"/>
                <w:szCs w:val="28"/>
                <w:vertAlign w:val="subscript"/>
              </w:rPr>
              <w:t>1,2</w:t>
            </w:r>
          </w:p>
        </w:tc>
        <w:tc>
          <w:tcPr>
            <w:tcW w:w="1317" w:type="dxa"/>
            <w:tcBorders>
              <w:top w:val="single" w:sz="4" w:space="0" w:color="auto"/>
              <w:left w:val="single" w:sz="4" w:space="0" w:color="auto"/>
              <w:bottom w:val="single" w:sz="4" w:space="0" w:color="auto"/>
              <w:right w:val="single" w:sz="4" w:space="0" w:color="auto"/>
            </w:tcBorders>
          </w:tcPr>
          <w:p w:rsidR="005B56AD" w:rsidRPr="00E02077" w:rsidRDefault="005B56AD"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052"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b/>
                <w:i/>
                <w:sz w:val="28"/>
                <w:szCs w:val="28"/>
              </w:rPr>
              <w:t>р</w:t>
            </w:r>
            <w:r w:rsidRPr="00A36B3D">
              <w:rPr>
                <w:rFonts w:ascii="Times New Roman" w:hAnsi="Times New Roman"/>
                <w:b/>
                <w:i/>
                <w:sz w:val="28"/>
                <w:szCs w:val="28"/>
                <w:vertAlign w:val="subscript"/>
              </w:rPr>
              <w:t>1,3</w:t>
            </w:r>
          </w:p>
        </w:tc>
        <w:tc>
          <w:tcPr>
            <w:tcW w:w="1317" w:type="dxa"/>
            <w:tcBorders>
              <w:top w:val="single" w:sz="4" w:space="0" w:color="auto"/>
              <w:left w:val="single" w:sz="4" w:space="0" w:color="auto"/>
              <w:bottom w:val="single" w:sz="4" w:space="0" w:color="auto"/>
              <w:right w:val="single" w:sz="4" w:space="0" w:color="auto"/>
            </w:tcBorders>
          </w:tcPr>
          <w:p w:rsidR="005B56AD" w:rsidRDefault="005B56AD" w:rsidP="001F0C51">
            <w:pPr>
              <w:jc w:val="center"/>
            </w:pPr>
            <w:r w:rsidRPr="00F151A8">
              <w:rPr>
                <w:rFonts w:ascii="Times New Roman" w:hAnsi="Times New Roman"/>
                <w:sz w:val="28"/>
                <w:szCs w:val="28"/>
                <w:lang w:val="en-US"/>
              </w:rPr>
              <w:t>&lt;</w:t>
            </w:r>
            <w:r w:rsidRPr="00F151A8">
              <w:rPr>
                <w:rFonts w:ascii="Times New Roman" w:hAnsi="Times New Roman"/>
                <w:sz w:val="28"/>
                <w:szCs w:val="28"/>
              </w:rPr>
              <w:t>0,001</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052"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b/>
                <w:i/>
                <w:sz w:val="28"/>
                <w:szCs w:val="28"/>
              </w:rPr>
              <w:t>р</w:t>
            </w:r>
            <w:r w:rsidRPr="00A36B3D">
              <w:rPr>
                <w:rFonts w:ascii="Times New Roman" w:hAnsi="Times New Roman"/>
                <w:b/>
                <w:i/>
                <w:sz w:val="28"/>
                <w:szCs w:val="28"/>
                <w:vertAlign w:val="subscript"/>
              </w:rPr>
              <w:t>1,4</w:t>
            </w:r>
          </w:p>
        </w:tc>
        <w:tc>
          <w:tcPr>
            <w:tcW w:w="1317" w:type="dxa"/>
            <w:tcBorders>
              <w:top w:val="single" w:sz="4" w:space="0" w:color="auto"/>
              <w:left w:val="single" w:sz="4" w:space="0" w:color="auto"/>
              <w:bottom w:val="single" w:sz="4" w:space="0" w:color="auto"/>
              <w:right w:val="single" w:sz="4" w:space="0" w:color="auto"/>
            </w:tcBorders>
          </w:tcPr>
          <w:p w:rsidR="005B56AD" w:rsidRDefault="005B56AD" w:rsidP="001F0C51">
            <w:pPr>
              <w:jc w:val="center"/>
            </w:pPr>
            <w:r w:rsidRPr="00F151A8">
              <w:rPr>
                <w:rFonts w:ascii="Times New Roman" w:hAnsi="Times New Roman"/>
                <w:sz w:val="28"/>
                <w:szCs w:val="28"/>
                <w:lang w:val="en-US"/>
              </w:rPr>
              <w:t>&lt;</w:t>
            </w:r>
            <w:r w:rsidRPr="00F151A8">
              <w:rPr>
                <w:rFonts w:ascii="Times New Roman" w:hAnsi="Times New Roman"/>
                <w:sz w:val="28"/>
                <w:szCs w:val="28"/>
              </w:rPr>
              <w:t>0,001</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052"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b/>
                <w:i/>
                <w:sz w:val="28"/>
                <w:szCs w:val="28"/>
              </w:rPr>
              <w:t>р</w:t>
            </w:r>
            <w:r w:rsidRPr="00A36B3D">
              <w:rPr>
                <w:rFonts w:ascii="Times New Roman" w:hAnsi="Times New Roman"/>
                <w:b/>
                <w:i/>
                <w:sz w:val="28"/>
                <w:szCs w:val="28"/>
                <w:vertAlign w:val="subscript"/>
              </w:rPr>
              <w:t>2,3</w:t>
            </w:r>
          </w:p>
        </w:tc>
        <w:tc>
          <w:tcPr>
            <w:tcW w:w="1317" w:type="dxa"/>
            <w:tcBorders>
              <w:top w:val="single" w:sz="4" w:space="0" w:color="auto"/>
              <w:left w:val="single" w:sz="4" w:space="0" w:color="auto"/>
              <w:bottom w:val="single" w:sz="4" w:space="0" w:color="auto"/>
              <w:right w:val="single" w:sz="4" w:space="0" w:color="auto"/>
            </w:tcBorders>
          </w:tcPr>
          <w:p w:rsidR="005B56AD" w:rsidRDefault="005B56AD" w:rsidP="001F0C51">
            <w:pPr>
              <w:jc w:val="center"/>
            </w:pPr>
            <w:r w:rsidRPr="00F151A8">
              <w:rPr>
                <w:rFonts w:ascii="Times New Roman" w:hAnsi="Times New Roman"/>
                <w:sz w:val="28"/>
                <w:szCs w:val="28"/>
                <w:lang w:val="en-US"/>
              </w:rPr>
              <w:t>&lt;</w:t>
            </w:r>
            <w:r w:rsidRPr="00F151A8">
              <w:rPr>
                <w:rFonts w:ascii="Times New Roman" w:hAnsi="Times New Roman"/>
                <w:sz w:val="28"/>
                <w:szCs w:val="28"/>
              </w:rPr>
              <w:t>0,001</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052"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b/>
                <w:i/>
                <w:sz w:val="28"/>
                <w:szCs w:val="28"/>
              </w:rPr>
              <w:t>р</w:t>
            </w:r>
            <w:r w:rsidRPr="00A36B3D">
              <w:rPr>
                <w:rFonts w:ascii="Times New Roman" w:hAnsi="Times New Roman"/>
                <w:b/>
                <w:i/>
                <w:sz w:val="28"/>
                <w:szCs w:val="28"/>
                <w:vertAlign w:val="subscript"/>
              </w:rPr>
              <w:t>2,4</w:t>
            </w:r>
          </w:p>
        </w:tc>
        <w:tc>
          <w:tcPr>
            <w:tcW w:w="1317" w:type="dxa"/>
            <w:tcBorders>
              <w:top w:val="single" w:sz="4" w:space="0" w:color="auto"/>
              <w:left w:val="single" w:sz="4" w:space="0" w:color="auto"/>
              <w:bottom w:val="single" w:sz="4" w:space="0" w:color="auto"/>
              <w:right w:val="single" w:sz="4" w:space="0" w:color="auto"/>
            </w:tcBorders>
          </w:tcPr>
          <w:p w:rsidR="005B56AD" w:rsidRDefault="005B56AD" w:rsidP="001F0C51">
            <w:pPr>
              <w:jc w:val="center"/>
            </w:pPr>
            <w:r w:rsidRPr="00F151A8">
              <w:rPr>
                <w:rFonts w:ascii="Times New Roman" w:hAnsi="Times New Roman"/>
                <w:sz w:val="28"/>
                <w:szCs w:val="28"/>
                <w:lang w:val="en-US"/>
              </w:rPr>
              <w:t>&lt;</w:t>
            </w:r>
            <w:r w:rsidRPr="00F151A8">
              <w:rPr>
                <w:rFonts w:ascii="Times New Roman" w:hAnsi="Times New Roman"/>
                <w:sz w:val="28"/>
                <w:szCs w:val="28"/>
              </w:rPr>
              <w:t>0,001</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052"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r>
      <w:tr w:rsidR="005B56AD" w:rsidRPr="00A36B3D" w:rsidTr="001F0C51">
        <w:tc>
          <w:tcPr>
            <w:tcW w:w="176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b/>
                <w:i/>
                <w:sz w:val="28"/>
                <w:szCs w:val="28"/>
              </w:rPr>
              <w:t>р</w:t>
            </w:r>
            <w:r w:rsidRPr="00A36B3D">
              <w:rPr>
                <w:rFonts w:ascii="Times New Roman" w:hAnsi="Times New Roman"/>
                <w:b/>
                <w:i/>
                <w:sz w:val="28"/>
                <w:szCs w:val="28"/>
                <w:vertAlign w:val="subscript"/>
              </w:rPr>
              <w:t>3,4</w:t>
            </w:r>
          </w:p>
        </w:tc>
        <w:tc>
          <w:tcPr>
            <w:tcW w:w="1317" w:type="dxa"/>
            <w:tcBorders>
              <w:top w:val="single" w:sz="4" w:space="0" w:color="auto"/>
              <w:left w:val="single" w:sz="4" w:space="0" w:color="auto"/>
              <w:bottom w:val="single" w:sz="4" w:space="0" w:color="auto"/>
              <w:right w:val="single" w:sz="4" w:space="0" w:color="auto"/>
            </w:tcBorders>
          </w:tcPr>
          <w:p w:rsidR="005B56AD" w:rsidRDefault="005B56AD" w:rsidP="001F0C51">
            <w:pPr>
              <w:jc w:val="center"/>
            </w:pPr>
            <w:r w:rsidRPr="00F151A8">
              <w:rPr>
                <w:rFonts w:ascii="Times New Roman" w:hAnsi="Times New Roman"/>
                <w:sz w:val="28"/>
                <w:szCs w:val="28"/>
                <w:lang w:val="en-US"/>
              </w:rPr>
              <w:t>&lt;</w:t>
            </w:r>
            <w:r w:rsidRPr="00F151A8">
              <w:rPr>
                <w:rFonts w:ascii="Times New Roman" w:hAnsi="Times New Roman"/>
                <w:sz w:val="28"/>
                <w:szCs w:val="28"/>
              </w:rPr>
              <w:t>0,001</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3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11"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136"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890"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c>
          <w:tcPr>
            <w:tcW w:w="1052" w:type="dxa"/>
            <w:tcBorders>
              <w:top w:val="single" w:sz="4" w:space="0" w:color="auto"/>
              <w:left w:val="single" w:sz="4" w:space="0" w:color="auto"/>
              <w:bottom w:val="single" w:sz="4" w:space="0" w:color="auto"/>
              <w:right w:val="single" w:sz="4" w:space="0" w:color="auto"/>
            </w:tcBorders>
            <w:hideMark/>
          </w:tcPr>
          <w:p w:rsidR="005B56AD" w:rsidRPr="00A36B3D" w:rsidRDefault="005B56AD" w:rsidP="001F0C51">
            <w:pPr>
              <w:jc w:val="center"/>
              <w:rPr>
                <w:rFonts w:ascii="Times New Roman" w:hAnsi="Times New Roman"/>
                <w:sz w:val="28"/>
                <w:szCs w:val="28"/>
              </w:rPr>
            </w:pPr>
            <w:r w:rsidRPr="00A36B3D">
              <w:rPr>
                <w:rFonts w:ascii="Times New Roman" w:hAnsi="Times New Roman"/>
                <w:sz w:val="28"/>
                <w:szCs w:val="28"/>
              </w:rPr>
              <w:t>-</w:t>
            </w:r>
          </w:p>
        </w:tc>
      </w:tr>
    </w:tbl>
    <w:p w:rsidR="005B56AD" w:rsidRPr="00A36B3D" w:rsidRDefault="005B56AD" w:rsidP="005B56AD">
      <w:pPr>
        <w:spacing w:line="360" w:lineRule="auto"/>
        <w:jc w:val="both"/>
        <w:rPr>
          <w:rFonts w:ascii="Times New Roman" w:hAnsi="Times New Roman" w:cs="Times New Roman"/>
          <w:sz w:val="28"/>
          <w:szCs w:val="28"/>
        </w:rPr>
      </w:pPr>
      <w:r w:rsidRPr="00A36B3D">
        <w:rPr>
          <w:rFonts w:ascii="Times New Roman" w:hAnsi="Times New Roman"/>
          <w:sz w:val="28"/>
          <w:szCs w:val="28"/>
        </w:rPr>
        <w:t>Умовні позначення: СВ – стандартне відхилення, ДІ – довірчий інтервал</w:t>
      </w:r>
    </w:p>
    <w:p w:rsidR="005B56AD" w:rsidRDefault="005B56AD" w:rsidP="005B56AD">
      <w:pPr>
        <w:spacing w:line="360" w:lineRule="auto"/>
        <w:jc w:val="center"/>
        <w:rPr>
          <w:rFonts w:ascii="Times New Roman" w:hAnsi="Times New Roman"/>
          <w:sz w:val="28"/>
          <w:szCs w:val="28"/>
        </w:rPr>
      </w:pPr>
    </w:p>
    <w:p w:rsidR="009C1018" w:rsidRDefault="009C1018" w:rsidP="005B56AD">
      <w:pPr>
        <w:spacing w:line="360" w:lineRule="auto"/>
        <w:ind w:firstLine="708"/>
        <w:jc w:val="both"/>
        <w:rPr>
          <w:rFonts w:ascii="Times New Roman" w:hAnsi="Times New Roman"/>
          <w:sz w:val="28"/>
          <w:szCs w:val="28"/>
        </w:rPr>
      </w:pPr>
      <w:r>
        <w:rPr>
          <w:rFonts w:ascii="Times New Roman" w:hAnsi="Times New Roman"/>
          <w:sz w:val="28"/>
          <w:szCs w:val="28"/>
        </w:rPr>
        <w:t>Такі дані свідчать, що вимірюваний коефіцієнт дифузії дозволяє чітко характеризувати злоякісні та доброякісні ниркові пухлини, оскільки базуються на відміну від променевої щільності зображень КТ не на поверхневих характеристиках новоутворення, а відображає глибокі тканинні процеси (дифузію молекул водню в екстра- та інтрацелюларних просторах).</w:t>
      </w:r>
    </w:p>
    <w:p w:rsidR="005B56AD" w:rsidRDefault="005B56AD" w:rsidP="005B56AD">
      <w:pPr>
        <w:spacing w:line="360" w:lineRule="auto"/>
        <w:ind w:firstLine="708"/>
        <w:jc w:val="both"/>
        <w:rPr>
          <w:rFonts w:ascii="Times New Roman" w:hAnsi="Times New Roman"/>
          <w:sz w:val="28"/>
          <w:szCs w:val="28"/>
        </w:rPr>
      </w:pPr>
      <w:r>
        <w:rPr>
          <w:rFonts w:ascii="Times New Roman" w:hAnsi="Times New Roman"/>
          <w:sz w:val="28"/>
          <w:szCs w:val="28"/>
        </w:rPr>
        <w:t xml:space="preserve">Нами були отримані суттєві відмінності у середніх значеннях </w:t>
      </w:r>
      <w:r>
        <w:rPr>
          <w:rFonts w:ascii="Times New Roman" w:hAnsi="Times New Roman" w:cs="Times New Roman"/>
          <w:sz w:val="28"/>
          <w:szCs w:val="28"/>
        </w:rPr>
        <w:t>вимірюваного коефіцієнта дифузії гістологічних підтипів НКР: найнижче його середнє значення спостерігалось при хромофобному варіанті (1,38±</w:t>
      </w:r>
      <w:r>
        <w:rPr>
          <w:rFonts w:ascii="Times New Roman" w:hAnsi="Times New Roman"/>
          <w:sz w:val="28"/>
          <w:szCs w:val="28"/>
        </w:rPr>
        <w:t>0,08</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посереднє при папілярному (1,56</w:t>
      </w:r>
      <w:r>
        <w:rPr>
          <w:rFonts w:ascii="Times New Roman" w:hAnsi="Times New Roman" w:cs="Times New Roman"/>
          <w:sz w:val="28"/>
          <w:szCs w:val="28"/>
        </w:rPr>
        <w:t>±</w:t>
      </w:r>
      <w:r>
        <w:rPr>
          <w:rFonts w:ascii="Times New Roman" w:hAnsi="Times New Roman"/>
          <w:sz w:val="28"/>
          <w:szCs w:val="28"/>
        </w:rPr>
        <w:t>0,07</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та найвище – при світлоклітинному (1,78</w:t>
      </w:r>
      <w:r>
        <w:rPr>
          <w:rFonts w:ascii="Times New Roman" w:hAnsi="Times New Roman" w:cs="Times New Roman"/>
          <w:sz w:val="28"/>
          <w:szCs w:val="28"/>
        </w:rPr>
        <w:t>±</w:t>
      </w:r>
      <w:r>
        <w:rPr>
          <w:rFonts w:ascii="Times New Roman" w:hAnsi="Times New Roman"/>
          <w:sz w:val="28"/>
          <w:szCs w:val="28"/>
        </w:rPr>
        <w:t>0,10</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xml:space="preserve">). Така різниця на наш погляд </w:t>
      </w:r>
      <w:r>
        <w:rPr>
          <w:rFonts w:ascii="Times New Roman" w:hAnsi="Times New Roman"/>
          <w:sz w:val="28"/>
          <w:szCs w:val="28"/>
        </w:rPr>
        <w:lastRenderedPageBreak/>
        <w:t xml:space="preserve">пояснюється окрім загальних відмінностей у гістологічній архітектурі, значно більшою мікро- та макроваскуляризацією конвенційного підтипу НКР у порівнянні із пНКР та хНКР, що відображується у менш обмеженій дифузії молекул водню в тканинах першого зазначеного підтипу. Різниця середніх значень </w:t>
      </w:r>
      <w:r w:rsidR="002860E6">
        <w:rPr>
          <w:rFonts w:ascii="Times New Roman" w:hAnsi="Times New Roman"/>
          <w:sz w:val="28"/>
          <w:szCs w:val="28"/>
        </w:rPr>
        <w:t xml:space="preserve">ВКД </w:t>
      </w:r>
      <w:r>
        <w:rPr>
          <w:rFonts w:ascii="Times New Roman" w:hAnsi="Times New Roman"/>
          <w:sz w:val="28"/>
          <w:szCs w:val="28"/>
        </w:rPr>
        <w:t xml:space="preserve">при порівнянні даних підгруп між собою була статистично достовірною </w:t>
      </w:r>
      <w:r w:rsidRPr="009E6C7E">
        <w:rPr>
          <w:rFonts w:ascii="Times New Roman" w:hAnsi="Times New Roman"/>
          <w:sz w:val="28"/>
          <w:szCs w:val="28"/>
          <w:lang w:val="ru-RU"/>
        </w:rPr>
        <w:t>(</w:t>
      </w:r>
      <w:r>
        <w:rPr>
          <w:rFonts w:ascii="Times New Roman" w:hAnsi="Times New Roman"/>
          <w:sz w:val="28"/>
          <w:szCs w:val="28"/>
          <w:lang w:val="en-US"/>
        </w:rPr>
        <w:t>p</w:t>
      </w:r>
      <w:r w:rsidRPr="009E6C7E">
        <w:rPr>
          <w:rFonts w:ascii="Times New Roman" w:hAnsi="Times New Roman"/>
          <w:sz w:val="28"/>
          <w:szCs w:val="28"/>
          <w:lang w:val="ru-RU"/>
        </w:rPr>
        <w:t>&lt;</w:t>
      </w:r>
      <w:r>
        <w:rPr>
          <w:rFonts w:ascii="Times New Roman" w:hAnsi="Times New Roman"/>
          <w:sz w:val="28"/>
          <w:szCs w:val="28"/>
        </w:rPr>
        <w:t xml:space="preserve">0,001). </w:t>
      </w:r>
    </w:p>
    <w:p w:rsidR="009C1018" w:rsidRDefault="005B56AD" w:rsidP="00E11480">
      <w:pPr>
        <w:spacing w:line="360" w:lineRule="auto"/>
        <w:ind w:firstLine="708"/>
        <w:jc w:val="both"/>
        <w:rPr>
          <w:rFonts w:ascii="Times New Roman" w:hAnsi="Times New Roman"/>
          <w:sz w:val="28"/>
          <w:szCs w:val="28"/>
        </w:rPr>
      </w:pPr>
      <w:r>
        <w:rPr>
          <w:rFonts w:ascii="Times New Roman" w:hAnsi="Times New Roman"/>
          <w:sz w:val="28"/>
          <w:szCs w:val="28"/>
        </w:rPr>
        <w:t xml:space="preserve">Середнє значення вимірюваного коефіцієнта дифузії світлоклітинного НКР низького </w:t>
      </w:r>
      <w:r w:rsidR="00B02037">
        <w:rPr>
          <w:rFonts w:ascii="Times New Roman" w:hAnsi="Times New Roman"/>
          <w:sz w:val="28"/>
          <w:szCs w:val="28"/>
        </w:rPr>
        <w:t>ступеня</w:t>
      </w:r>
      <w:r>
        <w:rPr>
          <w:rFonts w:ascii="Times New Roman" w:hAnsi="Times New Roman"/>
          <w:sz w:val="28"/>
          <w:szCs w:val="28"/>
        </w:rPr>
        <w:t xml:space="preserve"> за </w:t>
      </w:r>
      <w:r>
        <w:rPr>
          <w:rFonts w:ascii="Times New Roman" w:hAnsi="Times New Roman"/>
          <w:sz w:val="28"/>
          <w:szCs w:val="28"/>
          <w:lang w:val="en-US"/>
        </w:rPr>
        <w:t>Fuhrman</w:t>
      </w:r>
      <w:r w:rsidRPr="009E6C7E">
        <w:rPr>
          <w:rFonts w:ascii="Times New Roman" w:hAnsi="Times New Roman"/>
          <w:sz w:val="28"/>
          <w:szCs w:val="28"/>
          <w:lang w:val="ru-RU"/>
        </w:rPr>
        <w:t xml:space="preserve"> </w:t>
      </w:r>
      <w:r>
        <w:rPr>
          <w:rFonts w:ascii="Times New Roman" w:hAnsi="Times New Roman"/>
          <w:sz w:val="28"/>
          <w:szCs w:val="28"/>
        </w:rPr>
        <w:t>становило 1,85</w:t>
      </w:r>
      <w:r>
        <w:rPr>
          <w:rFonts w:ascii="Times New Roman" w:hAnsi="Times New Roman" w:cs="Times New Roman"/>
          <w:sz w:val="28"/>
          <w:szCs w:val="28"/>
        </w:rPr>
        <w:t>±</w:t>
      </w:r>
      <w:r>
        <w:rPr>
          <w:rFonts w:ascii="Times New Roman" w:hAnsi="Times New Roman"/>
          <w:sz w:val="28"/>
          <w:szCs w:val="28"/>
        </w:rPr>
        <w:t>0,09</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xml:space="preserve"> та було достовірно вищим за даний показник при високому ступені – 1,71</w:t>
      </w:r>
      <w:r>
        <w:rPr>
          <w:rFonts w:ascii="Times New Roman" w:hAnsi="Times New Roman" w:cs="Times New Roman"/>
          <w:sz w:val="28"/>
          <w:szCs w:val="28"/>
        </w:rPr>
        <w:t>±</w:t>
      </w:r>
      <w:r>
        <w:rPr>
          <w:rFonts w:ascii="Times New Roman" w:hAnsi="Times New Roman"/>
          <w:sz w:val="28"/>
          <w:szCs w:val="28"/>
        </w:rPr>
        <w:t>0,07</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xml:space="preserve"> (р</w:t>
      </w:r>
      <w:r w:rsidRPr="009E6C7E">
        <w:rPr>
          <w:rFonts w:ascii="Times New Roman" w:hAnsi="Times New Roman"/>
          <w:sz w:val="28"/>
          <w:szCs w:val="28"/>
          <w:lang w:val="ru-RU"/>
        </w:rPr>
        <w:t>&lt;</w:t>
      </w:r>
      <w:r>
        <w:rPr>
          <w:rFonts w:ascii="Times New Roman" w:hAnsi="Times New Roman"/>
          <w:sz w:val="28"/>
          <w:szCs w:val="28"/>
        </w:rPr>
        <w:t xml:space="preserve">0,001). Як вже було зазначено раніше, таку різницю ми трактуємо збільшенням клітинної щільності при вищих ступенях скНКР і як наслідок, більш значне обмеження дифузії молекул водню в тканинах пухлини. </w:t>
      </w:r>
    </w:p>
    <w:p w:rsidR="005B56AD" w:rsidRDefault="005B56AD" w:rsidP="00E11480">
      <w:pPr>
        <w:spacing w:line="360" w:lineRule="auto"/>
        <w:ind w:firstLine="708"/>
        <w:jc w:val="both"/>
        <w:rPr>
          <w:rFonts w:ascii="Times New Roman" w:hAnsi="Times New Roman"/>
          <w:sz w:val="28"/>
          <w:szCs w:val="28"/>
        </w:rPr>
      </w:pPr>
      <w:r>
        <w:rPr>
          <w:rFonts w:ascii="Times New Roman" w:hAnsi="Times New Roman"/>
          <w:sz w:val="28"/>
          <w:szCs w:val="28"/>
        </w:rPr>
        <w:t xml:space="preserve">Окрім цього, ми отримали достовірну різницю </w:t>
      </w:r>
      <w:r w:rsidRPr="00A13600">
        <w:rPr>
          <w:rFonts w:ascii="Times New Roman" w:hAnsi="Times New Roman"/>
          <w:sz w:val="28"/>
          <w:szCs w:val="28"/>
        </w:rPr>
        <w:t>середнього</w:t>
      </w:r>
      <w:r w:rsidRPr="009E6C7E">
        <w:rPr>
          <w:rFonts w:ascii="Times New Roman" w:hAnsi="Times New Roman"/>
          <w:sz w:val="28"/>
          <w:szCs w:val="28"/>
        </w:rPr>
        <w:t xml:space="preserve"> ВКД</w:t>
      </w:r>
      <w:r>
        <w:rPr>
          <w:rFonts w:ascii="Times New Roman" w:hAnsi="Times New Roman"/>
          <w:sz w:val="28"/>
          <w:szCs w:val="28"/>
        </w:rPr>
        <w:t xml:space="preserve"> в підгрупах папілярного НКР низького та високого ступенів за </w:t>
      </w:r>
      <w:r>
        <w:rPr>
          <w:rFonts w:ascii="Times New Roman" w:hAnsi="Times New Roman"/>
          <w:sz w:val="28"/>
          <w:szCs w:val="28"/>
          <w:lang w:val="en-US"/>
        </w:rPr>
        <w:t>Fuhrman</w:t>
      </w:r>
      <w:r>
        <w:rPr>
          <w:rFonts w:ascii="Times New Roman" w:hAnsi="Times New Roman"/>
          <w:sz w:val="28"/>
          <w:szCs w:val="28"/>
        </w:rPr>
        <w:t xml:space="preserve"> (р</w:t>
      </w:r>
      <w:r w:rsidRPr="009E6C7E">
        <w:rPr>
          <w:rFonts w:ascii="Times New Roman" w:hAnsi="Times New Roman"/>
          <w:sz w:val="28"/>
          <w:szCs w:val="28"/>
        </w:rPr>
        <w:t>&lt;</w:t>
      </w:r>
      <w:r>
        <w:rPr>
          <w:rFonts w:ascii="Times New Roman" w:hAnsi="Times New Roman"/>
          <w:sz w:val="28"/>
          <w:szCs w:val="28"/>
        </w:rPr>
        <w:t xml:space="preserve">0,001), чого не спостерігалось раніше при вивченні інших потенційних променевих біомаркерів як при </w:t>
      </w:r>
      <w:r>
        <w:rPr>
          <w:rFonts w:ascii="Times New Roman" w:hAnsi="Times New Roman"/>
          <w:sz w:val="28"/>
          <w:szCs w:val="28"/>
          <w:lang w:val="en-US"/>
        </w:rPr>
        <w:t>SRM</w:t>
      </w:r>
      <w:r>
        <w:rPr>
          <w:rFonts w:ascii="Times New Roman" w:hAnsi="Times New Roman"/>
          <w:sz w:val="28"/>
          <w:szCs w:val="28"/>
        </w:rPr>
        <w:t>, так і при пухлинах розміром понад 4 см. При цьому, середнє ВКД у підгрупі з низьким ступенем пНКР було нижчим, ніж при високому ступені і становило відповідно 1,50</w:t>
      </w:r>
      <w:r>
        <w:rPr>
          <w:rFonts w:ascii="Times New Roman" w:hAnsi="Times New Roman" w:cs="Times New Roman"/>
          <w:sz w:val="28"/>
          <w:szCs w:val="28"/>
        </w:rPr>
        <w:t>±</w:t>
      </w:r>
      <w:r>
        <w:rPr>
          <w:rFonts w:ascii="Times New Roman" w:hAnsi="Times New Roman"/>
          <w:sz w:val="28"/>
          <w:szCs w:val="28"/>
        </w:rPr>
        <w:t>0,02</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xml:space="preserve"> та 1,60</w:t>
      </w:r>
      <w:r>
        <w:rPr>
          <w:rFonts w:ascii="Times New Roman" w:hAnsi="Times New Roman" w:cs="Times New Roman"/>
          <w:sz w:val="28"/>
          <w:szCs w:val="28"/>
        </w:rPr>
        <w:t>±</w:t>
      </w:r>
      <w:r>
        <w:rPr>
          <w:rFonts w:ascii="Times New Roman" w:hAnsi="Times New Roman"/>
          <w:sz w:val="28"/>
          <w:szCs w:val="28"/>
        </w:rPr>
        <w:t>0,05</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При порівнянні середніх показників між підгрупами із скНКР та пНКР</w:t>
      </w:r>
      <w:r w:rsidRPr="0096773D">
        <w:rPr>
          <w:rFonts w:ascii="Times New Roman" w:hAnsi="Times New Roman"/>
          <w:sz w:val="28"/>
          <w:szCs w:val="28"/>
        </w:rPr>
        <w:t xml:space="preserve"> </w:t>
      </w:r>
      <w:r>
        <w:rPr>
          <w:rFonts w:ascii="Times New Roman" w:hAnsi="Times New Roman"/>
          <w:sz w:val="28"/>
          <w:szCs w:val="28"/>
        </w:rPr>
        <w:t xml:space="preserve">низького та високого ступенів за </w:t>
      </w:r>
      <w:r>
        <w:rPr>
          <w:rFonts w:ascii="Times New Roman" w:hAnsi="Times New Roman"/>
          <w:sz w:val="28"/>
          <w:szCs w:val="28"/>
          <w:lang w:val="en-US"/>
        </w:rPr>
        <w:t>Fuhrman</w:t>
      </w:r>
      <w:r>
        <w:rPr>
          <w:rFonts w:ascii="Times New Roman" w:hAnsi="Times New Roman"/>
          <w:sz w:val="28"/>
          <w:szCs w:val="28"/>
        </w:rPr>
        <w:t xml:space="preserve"> у всіх комбінаціях також спостерігалась достовірна різниця (р</w:t>
      </w:r>
      <w:r w:rsidRPr="009E6C7E">
        <w:rPr>
          <w:rFonts w:ascii="Times New Roman" w:hAnsi="Times New Roman"/>
          <w:sz w:val="28"/>
          <w:szCs w:val="28"/>
        </w:rPr>
        <w:t>&lt;</w:t>
      </w:r>
      <w:r w:rsidR="007A4D2A">
        <w:rPr>
          <w:rFonts w:ascii="Times New Roman" w:hAnsi="Times New Roman"/>
          <w:sz w:val="28"/>
          <w:szCs w:val="28"/>
        </w:rPr>
        <w:t>0,001), рисунок 3.36</w:t>
      </w:r>
      <w:r w:rsidR="00E11480">
        <w:rPr>
          <w:rFonts w:ascii="Times New Roman" w:hAnsi="Times New Roman"/>
          <w:sz w:val="28"/>
          <w:szCs w:val="28"/>
        </w:rPr>
        <w:t>.</w:t>
      </w:r>
    </w:p>
    <w:p w:rsidR="00E11480" w:rsidRDefault="00E11480" w:rsidP="00E11480">
      <w:pPr>
        <w:spacing w:line="360" w:lineRule="auto"/>
        <w:ind w:firstLine="708"/>
        <w:jc w:val="both"/>
        <w:rPr>
          <w:rFonts w:ascii="Times New Roman" w:hAnsi="Times New Roman"/>
          <w:sz w:val="28"/>
          <w:szCs w:val="28"/>
        </w:rPr>
      </w:pPr>
    </w:p>
    <w:p w:rsidR="005B56AD" w:rsidRPr="00611A34" w:rsidRDefault="009C1018" w:rsidP="005B56AD">
      <w:pPr>
        <w:autoSpaceDE w:val="0"/>
        <w:autoSpaceDN w:val="0"/>
        <w:adjustRightInd w:val="0"/>
        <w:spacing w:after="0" w:line="240" w:lineRule="auto"/>
        <w:ind w:left="-284"/>
        <w:jc w:val="center"/>
        <w:rPr>
          <w:rFonts w:ascii="Times New Roman" w:hAnsi="Times New Roman" w:cs="Times New Roman"/>
          <w:sz w:val="24"/>
          <w:szCs w:val="24"/>
        </w:rPr>
      </w:pPr>
      <w:r>
        <w:rPr>
          <w:noProof/>
          <w:lang w:val="en-US"/>
        </w:rPr>
        <w:lastRenderedPageBreak/>
        <mc:AlternateContent>
          <mc:Choice Requires="wps">
            <w:drawing>
              <wp:anchor distT="0" distB="0" distL="114300" distR="114300" simplePos="0" relativeHeight="251714560" behindDoc="0" locked="0" layoutInCell="1" allowOverlap="1" wp14:anchorId="4FDFDDB7" wp14:editId="5A4988F3">
                <wp:simplePos x="0" y="0"/>
                <wp:positionH relativeFrom="column">
                  <wp:posOffset>400050</wp:posOffset>
                </wp:positionH>
                <wp:positionV relativeFrom="paragraph">
                  <wp:posOffset>2540</wp:posOffset>
                </wp:positionV>
                <wp:extent cx="1828800" cy="1828800"/>
                <wp:effectExtent l="0" t="0" r="0" b="0"/>
                <wp:wrapNone/>
                <wp:docPr id="138" name="Надпись 1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7B5A1D" w:rsidRPr="0024725B" w:rsidRDefault="007B5A1D" w:rsidP="005B56AD">
                            <w:pPr>
                              <w:autoSpaceDE w:val="0"/>
                              <w:autoSpaceDN w:val="0"/>
                              <w:adjustRightInd w:val="0"/>
                              <w:spacing w:after="0" w:line="240" w:lineRule="auto"/>
                              <w:jc w:val="center"/>
                              <w:rPr>
                                <w:rFonts w:ascii="Times New Roman" w:hAnsi="Times New Roman" w:cs="Times New Roman"/>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4725B">
                              <w:rPr>
                                <w:rFonts w:ascii="Times New Roman" w:hAnsi="Times New Roman" w:cs="Times New Roman"/>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4FDFDDB7" id="Надпись 138" o:spid="_x0000_s1062" type="#_x0000_t202" style="position:absolute;left:0;text-align:left;margin-left:31.5pt;margin-top:.2pt;width:2in;height:2in;z-index:2517145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" filled="f" stroked="f">
                <v:textbox style="mso-fit-shape-to-text:t">
                  <w:txbxContent>
                    <w:p w:rsidR="007B5A1D" w:rsidRPr="0024725B" w:rsidRDefault="007B5A1D" w:rsidP="005B56AD">
                      <w:pPr>
                        <w:autoSpaceDE w:val="0"/>
                        <w:autoSpaceDN w:val="0"/>
                        <w:adjustRightInd w:val="0"/>
                        <w:spacing w:after="0" w:line="240" w:lineRule="auto"/>
                        <w:jc w:val="center"/>
                        <w:rPr>
                          <w:rFonts w:ascii="Times New Roman" w:hAnsi="Times New Roman" w:cs="Times New Roman"/>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4725B">
                        <w:rPr>
                          <w:rFonts w:ascii="Times New Roman" w:hAnsi="Times New Roman" w:cs="Times New Roman"/>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v:shape>
            </w:pict>
          </mc:Fallback>
        </mc:AlternateContent>
      </w:r>
      <w:r w:rsidR="005B56AD">
        <w:rPr>
          <w:noProof/>
          <w:lang w:val="en-US"/>
        </w:rPr>
        <mc:AlternateContent>
          <mc:Choice Requires="wps">
            <w:drawing>
              <wp:anchor distT="0" distB="0" distL="114300" distR="114300" simplePos="0" relativeHeight="251715584" behindDoc="0" locked="0" layoutInCell="1" allowOverlap="1" wp14:anchorId="7CC42703" wp14:editId="0C19ABC8">
                <wp:simplePos x="0" y="0"/>
                <wp:positionH relativeFrom="column">
                  <wp:posOffset>3590925</wp:posOffset>
                </wp:positionH>
                <wp:positionV relativeFrom="paragraph">
                  <wp:posOffset>2540</wp:posOffset>
                </wp:positionV>
                <wp:extent cx="1828800" cy="1828800"/>
                <wp:effectExtent l="0" t="0" r="0" b="0"/>
                <wp:wrapNone/>
                <wp:docPr id="137" name="Надпись 1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7B5A1D" w:rsidRPr="0024725B" w:rsidRDefault="007B5A1D" w:rsidP="005B56AD">
                            <w:pPr>
                              <w:autoSpaceDE w:val="0"/>
                              <w:autoSpaceDN w:val="0"/>
                              <w:adjustRightInd w:val="0"/>
                              <w:spacing w:after="0" w:line="240" w:lineRule="auto"/>
                              <w:jc w:val="center"/>
                              <w:rPr>
                                <w:rFonts w:ascii="Times New Roman" w:hAnsi="Times New Roman" w:cs="Times New Roman"/>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7CC42703" id="Надпись 137" o:spid="_x0000_s1063" type="#_x0000_t202" style="position:absolute;left:0;text-align:left;margin-left:282.75pt;margin-top:.2pt;width:2in;height:2in;z-index:2517155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" filled="f" stroked="f">
                <v:textbox style="mso-fit-shape-to-text:t">
                  <w:txbxContent>
                    <w:p w:rsidR="007B5A1D" w:rsidRPr="0024725B" w:rsidRDefault="007B5A1D" w:rsidP="005B56AD">
                      <w:pPr>
                        <w:autoSpaceDE w:val="0"/>
                        <w:autoSpaceDN w:val="0"/>
                        <w:adjustRightInd w:val="0"/>
                        <w:spacing w:after="0" w:line="240" w:lineRule="auto"/>
                        <w:jc w:val="center"/>
                        <w:rPr>
                          <w:rFonts w:ascii="Times New Roman" w:hAnsi="Times New Roman" w:cs="Times New Roman"/>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v:shape>
            </w:pict>
          </mc:Fallback>
        </mc:AlternateContent>
      </w:r>
      <w:r w:rsidR="005B56AD">
        <w:rPr>
          <w:rFonts w:ascii="Times New Roman" w:hAnsi="Times New Roman" w:cs="Times New Roman"/>
          <w:noProof/>
          <w:sz w:val="24"/>
          <w:szCs w:val="24"/>
          <w:lang w:val="en-US"/>
        </w:rPr>
        <w:drawing>
          <wp:inline distT="0" distB="0" distL="0" distR="0" wp14:anchorId="5217B974" wp14:editId="7332758C">
            <wp:extent cx="3081502" cy="2880000"/>
            <wp:effectExtent l="0" t="0" r="508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081502" cy="2880000"/>
                    </a:xfrm>
                    <a:prstGeom prst="rect">
                      <a:avLst/>
                    </a:prstGeom>
                    <a:noFill/>
                    <a:ln>
                      <a:noFill/>
                    </a:ln>
                  </pic:spPr>
                </pic:pic>
              </a:graphicData>
            </a:graphic>
          </wp:inline>
        </w:drawing>
      </w:r>
      <w:r w:rsidR="005B56AD">
        <w:rPr>
          <w:rFonts w:ascii="Times New Roman" w:hAnsi="Times New Roman" w:cs="Times New Roman"/>
          <w:noProof/>
          <w:sz w:val="24"/>
          <w:szCs w:val="24"/>
          <w:lang w:val="en-US"/>
        </w:rPr>
        <w:drawing>
          <wp:inline distT="0" distB="0" distL="0" distR="0" wp14:anchorId="71D476F7" wp14:editId="7EE4CC5A">
            <wp:extent cx="2632303" cy="2880000"/>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632303" cy="2880000"/>
                    </a:xfrm>
                    <a:prstGeom prst="rect">
                      <a:avLst/>
                    </a:prstGeom>
                    <a:noFill/>
                    <a:ln>
                      <a:noFill/>
                    </a:ln>
                  </pic:spPr>
                </pic:pic>
              </a:graphicData>
            </a:graphic>
          </wp:inline>
        </w:drawing>
      </w:r>
    </w:p>
    <w:p w:rsidR="005B56AD" w:rsidRDefault="007A4D2A" w:rsidP="008C4970">
      <w:pPr>
        <w:spacing w:line="360" w:lineRule="auto"/>
        <w:jc w:val="center"/>
        <w:rPr>
          <w:rFonts w:ascii="Times New Roman" w:hAnsi="Times New Roman"/>
          <w:sz w:val="28"/>
          <w:szCs w:val="28"/>
        </w:rPr>
      </w:pPr>
      <w:r>
        <w:rPr>
          <w:rFonts w:ascii="Times New Roman" w:hAnsi="Times New Roman" w:cs="Times New Roman"/>
          <w:sz w:val="28"/>
          <w:szCs w:val="28"/>
        </w:rPr>
        <w:t>Рис. 3.36</w:t>
      </w:r>
      <w:r w:rsidR="005B56AD" w:rsidRPr="0024725B">
        <w:rPr>
          <w:rFonts w:ascii="Times New Roman" w:hAnsi="Times New Roman" w:cs="Times New Roman"/>
          <w:sz w:val="28"/>
          <w:szCs w:val="28"/>
        </w:rPr>
        <w:t xml:space="preserve">. </w:t>
      </w:r>
      <w:r w:rsidR="005B56AD" w:rsidRPr="0024725B">
        <w:rPr>
          <w:rFonts w:ascii="Times New Roman" w:hAnsi="Times New Roman"/>
          <w:sz w:val="28"/>
          <w:szCs w:val="28"/>
        </w:rPr>
        <w:t xml:space="preserve">Коробкова діаграма </w:t>
      </w:r>
      <w:r w:rsidR="005B56AD" w:rsidRPr="0024725B">
        <w:rPr>
          <w:rFonts w:ascii="Times New Roman" w:hAnsi="Times New Roman" w:cs="Times New Roman"/>
          <w:sz w:val="28"/>
          <w:szCs w:val="28"/>
        </w:rPr>
        <w:t>вимірюваного коефіцієнта дифузії</w:t>
      </w:r>
      <w:r w:rsidR="005B56AD" w:rsidRPr="0024725B">
        <w:rPr>
          <w:rFonts w:ascii="Times New Roman" w:hAnsi="Times New Roman"/>
          <w:sz w:val="28"/>
          <w:szCs w:val="28"/>
        </w:rPr>
        <w:t xml:space="preserve"> </w:t>
      </w:r>
      <w:r w:rsidR="005B56AD">
        <w:rPr>
          <w:rFonts w:ascii="Times New Roman" w:hAnsi="Times New Roman"/>
          <w:sz w:val="28"/>
          <w:szCs w:val="28"/>
        </w:rPr>
        <w:t xml:space="preserve">(А) </w:t>
      </w:r>
      <w:r w:rsidR="005B56AD" w:rsidRPr="0024725B">
        <w:rPr>
          <w:rFonts w:ascii="Times New Roman" w:hAnsi="Times New Roman"/>
          <w:sz w:val="28"/>
          <w:szCs w:val="28"/>
        </w:rPr>
        <w:t xml:space="preserve">гістологічних підтипів </w:t>
      </w:r>
      <w:r w:rsidR="005B56AD">
        <w:rPr>
          <w:rFonts w:ascii="Times New Roman" w:hAnsi="Times New Roman"/>
          <w:sz w:val="28"/>
          <w:szCs w:val="28"/>
        </w:rPr>
        <w:t xml:space="preserve">солідного </w:t>
      </w:r>
      <w:r w:rsidR="005B56AD" w:rsidRPr="0024725B">
        <w:rPr>
          <w:rFonts w:ascii="Times New Roman" w:hAnsi="Times New Roman"/>
          <w:sz w:val="28"/>
          <w:szCs w:val="28"/>
        </w:rPr>
        <w:t>НКР</w:t>
      </w:r>
      <w:r w:rsidR="005B56AD">
        <w:rPr>
          <w:rFonts w:ascii="Times New Roman" w:hAnsi="Times New Roman"/>
          <w:sz w:val="28"/>
          <w:szCs w:val="28"/>
        </w:rPr>
        <w:t xml:space="preserve">, (Б) світлоклітинного та папілярного НКР низького та високого ступенів за </w:t>
      </w:r>
      <w:r w:rsidR="005B56AD">
        <w:rPr>
          <w:rFonts w:ascii="Times New Roman" w:hAnsi="Times New Roman"/>
          <w:sz w:val="28"/>
          <w:szCs w:val="28"/>
          <w:lang w:val="en-US"/>
        </w:rPr>
        <w:t>Fuhrman</w:t>
      </w:r>
      <w:r w:rsidR="005B56AD" w:rsidRPr="0024725B">
        <w:rPr>
          <w:rFonts w:ascii="Times New Roman" w:hAnsi="Times New Roman"/>
          <w:sz w:val="28"/>
          <w:szCs w:val="28"/>
        </w:rPr>
        <w:t xml:space="preserve"> (</w:t>
      </w:r>
      <w:r w:rsidR="005B56AD" w:rsidRPr="0024725B">
        <w:rPr>
          <w:rFonts w:ascii="Times New Roman" w:hAnsi="Times New Roman" w:cs="Times New Roman"/>
          <w:sz w:val="28"/>
          <w:szCs w:val="28"/>
        </w:rPr>
        <w:t>×</w:t>
      </w:r>
      <w:r w:rsidR="005B56AD" w:rsidRPr="0024725B">
        <w:rPr>
          <w:rFonts w:ascii="Times New Roman" w:hAnsi="Times New Roman"/>
          <w:sz w:val="28"/>
          <w:szCs w:val="28"/>
        </w:rPr>
        <w:t>10</w:t>
      </w:r>
      <w:r w:rsidR="005B56AD" w:rsidRPr="0024725B">
        <w:rPr>
          <w:rFonts w:ascii="Times New Roman" w:hAnsi="Times New Roman"/>
          <w:sz w:val="28"/>
          <w:szCs w:val="28"/>
          <w:vertAlign w:val="superscript"/>
        </w:rPr>
        <w:t>-3</w:t>
      </w:r>
      <w:r w:rsidR="005B56AD" w:rsidRPr="0024725B">
        <w:rPr>
          <w:rFonts w:ascii="Times New Roman" w:hAnsi="Times New Roman"/>
          <w:sz w:val="28"/>
          <w:szCs w:val="28"/>
        </w:rPr>
        <w:t xml:space="preserve"> мм</w:t>
      </w:r>
      <w:r w:rsidR="005B56AD" w:rsidRPr="0024725B">
        <w:rPr>
          <w:rFonts w:ascii="Times New Roman" w:hAnsi="Times New Roman"/>
          <w:sz w:val="28"/>
          <w:szCs w:val="28"/>
          <w:vertAlign w:val="superscript"/>
        </w:rPr>
        <w:t>2</w:t>
      </w:r>
      <w:r w:rsidR="008C4970">
        <w:rPr>
          <w:rFonts w:ascii="Times New Roman" w:hAnsi="Times New Roman"/>
          <w:sz w:val="28"/>
          <w:szCs w:val="28"/>
        </w:rPr>
        <w:t>/с)</w:t>
      </w:r>
    </w:p>
    <w:p w:rsidR="008C4970" w:rsidRDefault="008C4970" w:rsidP="008C4970">
      <w:pPr>
        <w:spacing w:line="360" w:lineRule="auto"/>
        <w:jc w:val="center"/>
        <w:rPr>
          <w:rFonts w:ascii="Times New Roman" w:hAnsi="Times New Roman"/>
          <w:sz w:val="28"/>
          <w:szCs w:val="28"/>
        </w:rPr>
      </w:pPr>
    </w:p>
    <w:p w:rsidR="005B56AD" w:rsidRDefault="005B56AD" w:rsidP="005B56AD">
      <w:pPr>
        <w:spacing w:line="360" w:lineRule="auto"/>
        <w:ind w:firstLine="708"/>
        <w:jc w:val="both"/>
        <w:rPr>
          <w:rFonts w:ascii="Times New Roman" w:hAnsi="Times New Roman"/>
          <w:sz w:val="28"/>
          <w:szCs w:val="28"/>
        </w:rPr>
      </w:pPr>
      <w:r>
        <w:rPr>
          <w:rFonts w:ascii="Times New Roman" w:hAnsi="Times New Roman"/>
          <w:sz w:val="28"/>
          <w:szCs w:val="28"/>
        </w:rPr>
        <w:t>На основі даних патоморфологічних  та променевих заключень нами була проведене вимірювання інтенсивності сигналу ДЗЗ та ВКД лімфовузлів парааортальної групи з (</w:t>
      </w:r>
      <w:r>
        <w:rPr>
          <w:rFonts w:ascii="Times New Roman" w:hAnsi="Times New Roman"/>
          <w:sz w:val="28"/>
          <w:szCs w:val="28"/>
          <w:lang w:val="en-US"/>
        </w:rPr>
        <w:t>n</w:t>
      </w:r>
      <w:r w:rsidRPr="009E6C7E">
        <w:rPr>
          <w:rFonts w:ascii="Times New Roman" w:hAnsi="Times New Roman"/>
          <w:sz w:val="28"/>
          <w:szCs w:val="28"/>
        </w:rPr>
        <w:t>=14</w:t>
      </w:r>
      <w:r>
        <w:rPr>
          <w:rFonts w:ascii="Times New Roman" w:hAnsi="Times New Roman"/>
          <w:sz w:val="28"/>
          <w:szCs w:val="28"/>
        </w:rPr>
        <w:t>, розмір від 1,52 до 3,06 см, середній розмір - 2,15</w:t>
      </w:r>
      <w:r>
        <w:rPr>
          <w:rFonts w:ascii="Times New Roman" w:hAnsi="Times New Roman" w:cs="Times New Roman"/>
          <w:sz w:val="28"/>
          <w:szCs w:val="28"/>
        </w:rPr>
        <w:t>±</w:t>
      </w:r>
      <w:r>
        <w:rPr>
          <w:rFonts w:ascii="Times New Roman" w:hAnsi="Times New Roman"/>
          <w:sz w:val="28"/>
          <w:szCs w:val="28"/>
        </w:rPr>
        <w:t>0,59 см)  та без метастатичного поширення в них пухлинного процесу (</w:t>
      </w:r>
      <w:r>
        <w:rPr>
          <w:rFonts w:ascii="Times New Roman" w:hAnsi="Times New Roman"/>
          <w:sz w:val="28"/>
          <w:szCs w:val="28"/>
          <w:lang w:val="en-US"/>
        </w:rPr>
        <w:t>n</w:t>
      </w:r>
      <w:r w:rsidRPr="009E6C7E">
        <w:rPr>
          <w:rFonts w:ascii="Times New Roman" w:hAnsi="Times New Roman"/>
          <w:sz w:val="28"/>
          <w:szCs w:val="28"/>
        </w:rPr>
        <w:t>=17</w:t>
      </w:r>
      <w:r>
        <w:rPr>
          <w:rFonts w:ascii="Times New Roman" w:hAnsi="Times New Roman"/>
          <w:sz w:val="28"/>
          <w:szCs w:val="28"/>
        </w:rPr>
        <w:t>, розмір від 0,78 до 1,0 см, середній розмір – 0,93</w:t>
      </w:r>
      <w:r>
        <w:rPr>
          <w:rFonts w:ascii="Times New Roman" w:hAnsi="Times New Roman" w:cs="Times New Roman"/>
          <w:sz w:val="28"/>
          <w:szCs w:val="28"/>
        </w:rPr>
        <w:t>±</w:t>
      </w:r>
      <w:r>
        <w:rPr>
          <w:rFonts w:ascii="Times New Roman" w:hAnsi="Times New Roman"/>
          <w:sz w:val="28"/>
          <w:szCs w:val="28"/>
        </w:rPr>
        <w:t xml:space="preserve">0,08 см) у хворих із НКР та </w:t>
      </w:r>
      <w:r>
        <w:rPr>
          <w:rFonts w:ascii="Times New Roman" w:hAnsi="Times New Roman"/>
          <w:sz w:val="28"/>
          <w:szCs w:val="28"/>
          <w:lang w:val="en-US"/>
        </w:rPr>
        <w:t>pN</w:t>
      </w:r>
      <w:r w:rsidRPr="009E6C7E">
        <w:rPr>
          <w:rFonts w:ascii="Times New Roman" w:hAnsi="Times New Roman"/>
          <w:sz w:val="28"/>
          <w:szCs w:val="28"/>
        </w:rPr>
        <w:t>1</w:t>
      </w:r>
      <w:r>
        <w:rPr>
          <w:rFonts w:ascii="Times New Roman" w:hAnsi="Times New Roman"/>
          <w:sz w:val="28"/>
          <w:szCs w:val="28"/>
        </w:rPr>
        <w:t xml:space="preserve">, за аналогічною методикою, яка була описана вище (при дослідженні променевої щільності на зображеннях КТ). Слід зазначити, що для точного розташування ОЗ над ділянкою лімфовузла, що вивчався, ми копіювали її із відповідного зрізу осьових Т1-ЗЗ чи Т2-ЗЗ, які слугували точним анатомічним орієнтиром. При порівнянні середніх значень інтенсивності сигналу дифузійно-зважених зображень при </w:t>
      </w:r>
      <w:r>
        <w:rPr>
          <w:rFonts w:ascii="Times New Roman" w:hAnsi="Times New Roman"/>
          <w:sz w:val="28"/>
          <w:szCs w:val="28"/>
          <w:lang w:val="en-US"/>
        </w:rPr>
        <w:t>N</w:t>
      </w:r>
      <w:r w:rsidRPr="009E6C7E">
        <w:rPr>
          <w:rFonts w:ascii="Times New Roman" w:hAnsi="Times New Roman"/>
          <w:sz w:val="28"/>
          <w:szCs w:val="28"/>
          <w:lang w:val="ru-RU"/>
        </w:rPr>
        <w:t xml:space="preserve">+ </w:t>
      </w:r>
      <w:r>
        <w:rPr>
          <w:rFonts w:ascii="Times New Roman" w:hAnsi="Times New Roman"/>
          <w:sz w:val="28"/>
          <w:szCs w:val="28"/>
        </w:rPr>
        <w:t xml:space="preserve">та </w:t>
      </w:r>
      <w:r>
        <w:rPr>
          <w:rFonts w:ascii="Times New Roman" w:hAnsi="Times New Roman"/>
          <w:sz w:val="28"/>
          <w:szCs w:val="28"/>
          <w:lang w:val="en-US"/>
        </w:rPr>
        <w:t>N</w:t>
      </w:r>
      <w:r w:rsidRPr="009E6C7E">
        <w:rPr>
          <w:rFonts w:ascii="Times New Roman" w:hAnsi="Times New Roman"/>
          <w:sz w:val="28"/>
          <w:szCs w:val="28"/>
          <w:lang w:val="ru-RU"/>
        </w:rPr>
        <w:t>-</w:t>
      </w:r>
      <w:r>
        <w:rPr>
          <w:rFonts w:ascii="Times New Roman" w:hAnsi="Times New Roman"/>
          <w:sz w:val="28"/>
          <w:szCs w:val="28"/>
        </w:rPr>
        <w:t xml:space="preserve"> нами не було отримано статистично достовірної різниці (</w:t>
      </w:r>
      <w:r>
        <w:rPr>
          <w:rFonts w:ascii="Times New Roman" w:hAnsi="Times New Roman"/>
          <w:sz w:val="28"/>
          <w:szCs w:val="28"/>
          <w:lang w:val="en-US"/>
        </w:rPr>
        <w:t>p</w:t>
      </w:r>
      <w:r w:rsidRPr="009E6C7E">
        <w:rPr>
          <w:rFonts w:ascii="Times New Roman" w:hAnsi="Times New Roman"/>
          <w:sz w:val="28"/>
          <w:szCs w:val="28"/>
          <w:lang w:val="ru-RU"/>
        </w:rPr>
        <w:t>&gt;0,05</w:t>
      </w:r>
      <w:r>
        <w:rPr>
          <w:rFonts w:ascii="Times New Roman" w:hAnsi="Times New Roman"/>
          <w:sz w:val="28"/>
          <w:szCs w:val="28"/>
        </w:rPr>
        <w:t>). Водночас, ми спостерігали таку різницю при порівнянні середніх показників ВКД: при метастатично уражених лімфовузлах цей показник становив 0,80</w:t>
      </w:r>
      <w:r>
        <w:rPr>
          <w:rFonts w:ascii="Times New Roman" w:hAnsi="Times New Roman" w:cs="Times New Roman"/>
          <w:sz w:val="28"/>
          <w:szCs w:val="28"/>
        </w:rPr>
        <w:t>±</w:t>
      </w:r>
      <w:r>
        <w:rPr>
          <w:rFonts w:ascii="Times New Roman" w:hAnsi="Times New Roman"/>
          <w:sz w:val="28"/>
          <w:szCs w:val="28"/>
        </w:rPr>
        <w:t>0,15</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а при неуражених – 1,29</w:t>
      </w:r>
      <w:r>
        <w:rPr>
          <w:rFonts w:ascii="Times New Roman" w:hAnsi="Times New Roman" w:cs="Times New Roman"/>
          <w:sz w:val="28"/>
          <w:szCs w:val="28"/>
        </w:rPr>
        <w:t>±</w:t>
      </w:r>
      <w:r>
        <w:rPr>
          <w:rFonts w:ascii="Times New Roman" w:hAnsi="Times New Roman"/>
          <w:sz w:val="28"/>
          <w:szCs w:val="28"/>
        </w:rPr>
        <w:t>0,28</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xml:space="preserve"> (</w:t>
      </w:r>
      <w:r>
        <w:rPr>
          <w:rFonts w:ascii="Times New Roman" w:hAnsi="Times New Roman"/>
          <w:sz w:val="28"/>
          <w:szCs w:val="28"/>
          <w:lang w:val="en-US"/>
        </w:rPr>
        <w:t>p</w:t>
      </w:r>
      <w:r w:rsidRPr="009E6C7E">
        <w:rPr>
          <w:rFonts w:ascii="Times New Roman" w:hAnsi="Times New Roman"/>
          <w:sz w:val="28"/>
          <w:szCs w:val="28"/>
          <w:lang w:val="ru-RU"/>
        </w:rPr>
        <w:t>&lt;</w:t>
      </w:r>
      <w:r>
        <w:rPr>
          <w:rFonts w:ascii="Times New Roman" w:hAnsi="Times New Roman"/>
          <w:sz w:val="28"/>
          <w:szCs w:val="28"/>
        </w:rPr>
        <w:t xml:space="preserve">0,001, </w:t>
      </w:r>
      <w:r>
        <w:rPr>
          <w:rFonts w:ascii="Times New Roman" w:hAnsi="Times New Roman"/>
          <w:sz w:val="28"/>
          <w:szCs w:val="28"/>
          <w:lang w:val="en-US"/>
        </w:rPr>
        <w:t>t</w:t>
      </w:r>
      <w:r>
        <w:rPr>
          <w:rFonts w:ascii="Times New Roman" w:hAnsi="Times New Roman"/>
          <w:sz w:val="28"/>
          <w:szCs w:val="28"/>
        </w:rPr>
        <w:t xml:space="preserve">=5,949). Такі дані віддзеркалюють обмеження дифузії молекул водню в лімфовузлах </w:t>
      </w:r>
      <w:r>
        <w:rPr>
          <w:rFonts w:ascii="Times New Roman" w:hAnsi="Times New Roman"/>
          <w:sz w:val="28"/>
          <w:szCs w:val="28"/>
          <w:lang w:val="en-US"/>
        </w:rPr>
        <w:t>N</w:t>
      </w:r>
      <w:r w:rsidRPr="009E6C7E">
        <w:rPr>
          <w:rFonts w:ascii="Times New Roman" w:hAnsi="Times New Roman"/>
          <w:sz w:val="28"/>
          <w:szCs w:val="28"/>
        </w:rPr>
        <w:t>+</w:t>
      </w:r>
      <w:r>
        <w:rPr>
          <w:rFonts w:ascii="Times New Roman" w:hAnsi="Times New Roman"/>
          <w:sz w:val="28"/>
          <w:szCs w:val="28"/>
        </w:rPr>
        <w:t xml:space="preserve">, у </w:t>
      </w:r>
      <w:r>
        <w:rPr>
          <w:rFonts w:ascii="Times New Roman" w:hAnsi="Times New Roman"/>
          <w:sz w:val="28"/>
          <w:szCs w:val="28"/>
        </w:rPr>
        <w:lastRenderedPageBreak/>
        <w:t xml:space="preserve">зв’язку із підвищенням в їх тканинах клітинної щільності, що має місце при розвитку злоякісних пухлин. </w:t>
      </w:r>
    </w:p>
    <w:p w:rsidR="005B56AD" w:rsidRPr="00A14BE1" w:rsidRDefault="005B56AD" w:rsidP="005B56AD">
      <w:pPr>
        <w:spacing w:line="360" w:lineRule="auto"/>
        <w:ind w:firstLine="708"/>
        <w:jc w:val="both"/>
        <w:rPr>
          <w:rFonts w:ascii="Times New Roman" w:hAnsi="Times New Roman"/>
          <w:sz w:val="28"/>
          <w:szCs w:val="28"/>
        </w:rPr>
      </w:pPr>
      <w:r>
        <w:rPr>
          <w:rFonts w:ascii="Times New Roman" w:hAnsi="Times New Roman"/>
          <w:sz w:val="28"/>
          <w:szCs w:val="28"/>
        </w:rPr>
        <w:t>При порівнянні середніх значень ВКД доброякісних пухлин було отримано найвищий показник у підгрупі з ОЦ нирки (2,18</w:t>
      </w:r>
      <w:r>
        <w:rPr>
          <w:rFonts w:ascii="Times New Roman" w:hAnsi="Times New Roman" w:cs="Times New Roman"/>
          <w:sz w:val="28"/>
          <w:szCs w:val="28"/>
        </w:rPr>
        <w:t>±</w:t>
      </w:r>
      <w:r>
        <w:rPr>
          <w:rFonts w:ascii="Times New Roman" w:hAnsi="Times New Roman"/>
          <w:sz w:val="28"/>
          <w:szCs w:val="28"/>
        </w:rPr>
        <w:t>0,06</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посередній при АМЛ (2,09</w:t>
      </w:r>
      <w:r>
        <w:rPr>
          <w:rFonts w:ascii="Times New Roman" w:hAnsi="Times New Roman" w:cs="Times New Roman"/>
          <w:sz w:val="28"/>
          <w:szCs w:val="28"/>
        </w:rPr>
        <w:t>±0,06</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та найнижчий при ПА (1,98</w:t>
      </w:r>
      <w:r>
        <w:rPr>
          <w:rFonts w:ascii="Times New Roman" w:hAnsi="Times New Roman" w:cs="Times New Roman"/>
          <w:sz w:val="28"/>
          <w:szCs w:val="28"/>
        </w:rPr>
        <w:t>±</w:t>
      </w:r>
      <w:r>
        <w:rPr>
          <w:rFonts w:ascii="Times New Roman" w:hAnsi="Times New Roman"/>
          <w:sz w:val="28"/>
          <w:szCs w:val="28"/>
        </w:rPr>
        <w:t>0,05</w:t>
      </w:r>
      <w:r w:rsidRPr="00153D69">
        <w:rPr>
          <w:rFonts w:ascii="Times New Roman" w:hAnsi="Times New Roman" w:cs="Times New Roman"/>
          <w:sz w:val="28"/>
          <w:szCs w:val="28"/>
        </w:rPr>
        <w:t>×</w:t>
      </w:r>
      <w:r w:rsidRPr="00153D69">
        <w:rPr>
          <w:rFonts w:ascii="Times New Roman" w:hAnsi="Times New Roman"/>
          <w:sz w:val="28"/>
          <w:szCs w:val="28"/>
        </w:rPr>
        <w:t>10</w:t>
      </w:r>
      <w:r w:rsidRPr="00153D69">
        <w:rPr>
          <w:rFonts w:ascii="Times New Roman" w:hAnsi="Times New Roman"/>
          <w:sz w:val="28"/>
          <w:szCs w:val="28"/>
          <w:vertAlign w:val="superscript"/>
        </w:rPr>
        <w:t>-3</w:t>
      </w:r>
      <w:r w:rsidRPr="00153D69">
        <w:rPr>
          <w:rFonts w:ascii="Times New Roman" w:hAnsi="Times New Roman"/>
          <w:sz w:val="28"/>
          <w:szCs w:val="28"/>
        </w:rPr>
        <w:t xml:space="preserve"> мм</w:t>
      </w:r>
      <w:r w:rsidRPr="00153D69">
        <w:rPr>
          <w:rFonts w:ascii="Times New Roman" w:hAnsi="Times New Roman"/>
          <w:sz w:val="28"/>
          <w:szCs w:val="28"/>
          <w:vertAlign w:val="superscript"/>
        </w:rPr>
        <w:t>2</w:t>
      </w:r>
      <w:r w:rsidRPr="00153D69">
        <w:rPr>
          <w:rFonts w:ascii="Times New Roman" w:hAnsi="Times New Roman"/>
          <w:sz w:val="28"/>
          <w:szCs w:val="28"/>
        </w:rPr>
        <w:t>/с</w:t>
      </w:r>
      <w:r>
        <w:rPr>
          <w:rFonts w:ascii="Times New Roman" w:hAnsi="Times New Roman"/>
          <w:sz w:val="28"/>
          <w:szCs w:val="28"/>
        </w:rPr>
        <w:t>). Різниця між середніми значеннями ВКД між всіма даними підгрупами хворих була статистично достовірною: як між ОЦ і АМЛ (р=0,025), ОЦ та ПА (р</w:t>
      </w:r>
      <w:r w:rsidRPr="009E6C7E">
        <w:rPr>
          <w:rFonts w:ascii="Times New Roman" w:hAnsi="Times New Roman"/>
          <w:sz w:val="28"/>
          <w:szCs w:val="28"/>
        </w:rPr>
        <w:t>&lt;</w:t>
      </w:r>
      <w:r>
        <w:rPr>
          <w:rFonts w:ascii="Times New Roman" w:hAnsi="Times New Roman"/>
          <w:sz w:val="28"/>
          <w:szCs w:val="28"/>
        </w:rPr>
        <w:t xml:space="preserve">0,001), так і  між АМЛ та ПА (р=0,007), чого не спостерігалось при вивченні інших променевих біомаркерів та при </w:t>
      </w:r>
      <w:r>
        <w:rPr>
          <w:rFonts w:ascii="Times New Roman" w:hAnsi="Times New Roman"/>
          <w:sz w:val="28"/>
          <w:szCs w:val="28"/>
          <w:lang w:val="en-US"/>
        </w:rPr>
        <w:t>SRM</w:t>
      </w:r>
      <w:r>
        <w:rPr>
          <w:rFonts w:ascii="Times New Roman" w:hAnsi="Times New Roman"/>
          <w:sz w:val="28"/>
          <w:szCs w:val="28"/>
        </w:rPr>
        <w:t>. Цікавим є те, що значення ВКД при папілярній аденомі були найнижчими і прямували до значень при НКР, що є логічним, враховуючи, що ПА вважається попередником папілярного нирково-клітинного раку і має дуже подібну гістологічну будову. Такі дані ще раз підкреслюють те, що ВКД відображує гістологічні характеристики пухлини, такі, як целюлярність.</w:t>
      </w:r>
    </w:p>
    <w:p w:rsidR="005B56AD" w:rsidRDefault="005B56AD" w:rsidP="00E11480">
      <w:pPr>
        <w:spacing w:line="360" w:lineRule="auto"/>
        <w:ind w:firstLine="708"/>
        <w:jc w:val="both"/>
        <w:rPr>
          <w:rFonts w:ascii="Times New Roman" w:hAnsi="Times New Roman"/>
          <w:sz w:val="28"/>
          <w:szCs w:val="28"/>
        </w:rPr>
      </w:pPr>
      <w:r>
        <w:rPr>
          <w:rFonts w:ascii="Times New Roman" w:hAnsi="Times New Roman"/>
          <w:sz w:val="28"/>
          <w:szCs w:val="28"/>
        </w:rPr>
        <w:t xml:space="preserve">Проведення </w:t>
      </w:r>
      <w:r>
        <w:rPr>
          <w:rFonts w:ascii="Times New Roman" w:hAnsi="Times New Roman"/>
          <w:sz w:val="28"/>
          <w:szCs w:val="28"/>
          <w:lang w:val="en-US"/>
        </w:rPr>
        <w:t>ROC</w:t>
      </w:r>
      <w:r>
        <w:rPr>
          <w:rFonts w:ascii="Times New Roman" w:hAnsi="Times New Roman"/>
          <w:sz w:val="28"/>
          <w:szCs w:val="28"/>
        </w:rPr>
        <w:t>-аналізу виявило, що застосування інтенсивності сигналу дифузійно-зважених зображень для диференціації солідного НКР від інших пухлин нирок розміром понад 4 см</w:t>
      </w:r>
      <w:r w:rsidRPr="009E6C7E">
        <w:rPr>
          <w:rFonts w:ascii="Times New Roman" w:hAnsi="Times New Roman"/>
          <w:sz w:val="28"/>
          <w:szCs w:val="28"/>
        </w:rPr>
        <w:t xml:space="preserve"> (</w:t>
      </w:r>
      <w:r>
        <w:rPr>
          <w:rFonts w:ascii="Times New Roman" w:hAnsi="Times New Roman"/>
          <w:sz w:val="28"/>
          <w:szCs w:val="28"/>
        </w:rPr>
        <w:t>включно з ПКК ниркової миски</w:t>
      </w:r>
      <w:r w:rsidRPr="009E6C7E">
        <w:rPr>
          <w:rFonts w:ascii="Times New Roman" w:hAnsi="Times New Roman"/>
          <w:sz w:val="28"/>
          <w:szCs w:val="28"/>
        </w:rPr>
        <w:t>)</w:t>
      </w:r>
      <w:r>
        <w:rPr>
          <w:rFonts w:ascii="Times New Roman" w:hAnsi="Times New Roman"/>
          <w:sz w:val="28"/>
          <w:szCs w:val="28"/>
        </w:rPr>
        <w:t xml:space="preserve">, дозволяло отримати чутливість та </w:t>
      </w:r>
      <w:r w:rsidRPr="00AC608A">
        <w:rPr>
          <w:rFonts w:ascii="Times New Roman" w:hAnsi="Times New Roman"/>
          <w:sz w:val="28"/>
          <w:szCs w:val="28"/>
        </w:rPr>
        <w:t>специфічність відповідно 85,6% та 82,4% при AUC=917 (95% ДІ=0,865-0,968</w:t>
      </w:r>
      <w:r>
        <w:rPr>
          <w:rFonts w:ascii="Times New Roman" w:hAnsi="Times New Roman"/>
          <w:sz w:val="28"/>
          <w:szCs w:val="28"/>
        </w:rPr>
        <w:t xml:space="preserve">, </w:t>
      </w:r>
      <w:r w:rsidRPr="00C8129E">
        <w:rPr>
          <w:rFonts w:ascii="Times New Roman" w:hAnsi="Times New Roman" w:cs="Times New Roman"/>
          <w:color w:val="000000" w:themeColor="text1"/>
          <w:sz w:val="28"/>
          <w:szCs w:val="28"/>
        </w:rPr>
        <w:t>р=0,001</w:t>
      </w:r>
      <w:r w:rsidRPr="00AC608A">
        <w:rPr>
          <w:rFonts w:ascii="Times New Roman" w:hAnsi="Times New Roman"/>
          <w:sz w:val="28"/>
          <w:szCs w:val="28"/>
        </w:rPr>
        <w:t>) та граничній величині – 87,36.</w:t>
      </w:r>
      <w:r>
        <w:rPr>
          <w:rFonts w:ascii="Times New Roman" w:hAnsi="Times New Roman"/>
          <w:sz w:val="28"/>
          <w:szCs w:val="28"/>
        </w:rPr>
        <w:t xml:space="preserve"> Використання вимірюваного коефіцієнта дифузії з цією ж метою, демонструвало суттєво</w:t>
      </w:r>
      <w:r w:rsidRPr="009E6C7E">
        <w:rPr>
          <w:rFonts w:ascii="Times New Roman" w:hAnsi="Times New Roman"/>
          <w:sz w:val="28"/>
          <w:szCs w:val="28"/>
        </w:rPr>
        <w:t xml:space="preserve"> </w:t>
      </w:r>
      <w:r>
        <w:rPr>
          <w:rFonts w:ascii="Times New Roman" w:hAnsi="Times New Roman" w:cs="Times New Roman"/>
          <w:sz w:val="28"/>
          <w:szCs w:val="28"/>
        </w:rPr>
        <w:t>вищі</w:t>
      </w:r>
      <w:r w:rsidRPr="00C8129E">
        <w:rPr>
          <w:rFonts w:ascii="Times New Roman" w:hAnsi="Times New Roman" w:cs="Times New Roman"/>
          <w:sz w:val="28"/>
          <w:szCs w:val="28"/>
        </w:rPr>
        <w:t xml:space="preserve"> показники чутлив</w:t>
      </w:r>
      <w:r>
        <w:rPr>
          <w:rFonts w:ascii="Times New Roman" w:hAnsi="Times New Roman" w:cs="Times New Roman"/>
          <w:sz w:val="28"/>
          <w:szCs w:val="28"/>
        </w:rPr>
        <w:t>ості, специфічності і точності, які становили відповідно 92,1%, 88,3</w:t>
      </w:r>
      <w:r w:rsidRPr="00C8129E">
        <w:rPr>
          <w:rFonts w:ascii="Times New Roman" w:hAnsi="Times New Roman" w:cs="Times New Roman"/>
          <w:sz w:val="28"/>
          <w:szCs w:val="28"/>
        </w:rPr>
        <w:t>% та AUC=</w:t>
      </w:r>
      <w:r>
        <w:rPr>
          <w:rFonts w:ascii="Times New Roman" w:hAnsi="Times New Roman" w:cs="Times New Roman"/>
          <w:color w:val="000000" w:themeColor="text1"/>
          <w:sz w:val="28"/>
          <w:szCs w:val="28"/>
        </w:rPr>
        <w:t>0,812</w:t>
      </w:r>
      <w:r w:rsidRPr="00C8129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95% ДІ=0,779-0,924</w:t>
      </w:r>
      <w:r w:rsidRPr="00C8129E">
        <w:rPr>
          <w:rFonts w:ascii="Times New Roman" w:hAnsi="Times New Roman" w:cs="Times New Roman"/>
          <w:color w:val="000000" w:themeColor="text1"/>
          <w:sz w:val="28"/>
          <w:szCs w:val="28"/>
        </w:rPr>
        <w:t>, р=0,001) при пороговому значенні</w:t>
      </w:r>
      <w:r>
        <w:rPr>
          <w:rFonts w:ascii="Times New Roman" w:hAnsi="Times New Roman" w:cs="Times New Roman"/>
          <w:color w:val="000000" w:themeColor="text1"/>
          <w:sz w:val="28"/>
          <w:szCs w:val="28"/>
        </w:rPr>
        <w:t xml:space="preserve"> 1,90</w:t>
      </w:r>
      <w:r w:rsidRPr="00C8129E">
        <w:rPr>
          <w:rFonts w:ascii="Times New Roman" w:hAnsi="Times New Roman" w:cs="Times New Roman"/>
          <w:sz w:val="28"/>
          <w:szCs w:val="28"/>
        </w:rPr>
        <w:t>×</w:t>
      </w:r>
      <w:r w:rsidRPr="00C8129E">
        <w:rPr>
          <w:rFonts w:ascii="Times New Roman" w:hAnsi="Times New Roman"/>
          <w:sz w:val="28"/>
          <w:szCs w:val="28"/>
        </w:rPr>
        <w:t>10</w:t>
      </w:r>
      <w:r w:rsidRPr="00C8129E">
        <w:rPr>
          <w:rFonts w:ascii="Times New Roman" w:hAnsi="Times New Roman"/>
          <w:sz w:val="28"/>
          <w:szCs w:val="28"/>
          <w:vertAlign w:val="superscript"/>
        </w:rPr>
        <w:t>-3</w:t>
      </w:r>
      <w:r w:rsidRPr="00C8129E">
        <w:rPr>
          <w:rFonts w:ascii="Times New Roman" w:hAnsi="Times New Roman"/>
          <w:sz w:val="28"/>
          <w:szCs w:val="28"/>
        </w:rPr>
        <w:t xml:space="preserve"> мм</w:t>
      </w:r>
      <w:r w:rsidRPr="00C8129E">
        <w:rPr>
          <w:rFonts w:ascii="Times New Roman" w:hAnsi="Times New Roman"/>
          <w:sz w:val="28"/>
          <w:szCs w:val="28"/>
          <w:vertAlign w:val="superscript"/>
        </w:rPr>
        <w:t>2</w:t>
      </w:r>
      <w:r w:rsidRPr="00C8129E">
        <w:rPr>
          <w:rFonts w:ascii="Times New Roman" w:hAnsi="Times New Roman"/>
          <w:sz w:val="28"/>
          <w:szCs w:val="28"/>
        </w:rPr>
        <w:t xml:space="preserve">/с.  </w:t>
      </w:r>
      <w:r>
        <w:rPr>
          <w:rFonts w:ascii="Times New Roman" w:hAnsi="Times New Roman"/>
          <w:sz w:val="28"/>
          <w:szCs w:val="28"/>
        </w:rPr>
        <w:t>Інтенсивність сигналу ДЗЗ із граничною величиною 90,93 дозволяла диференціювати солідний НКР від доброякісних пухлин нирок із 83,3% чутливість та 81,8% специфічністю (</w:t>
      </w:r>
      <w:r>
        <w:rPr>
          <w:rFonts w:ascii="Times New Roman" w:hAnsi="Times New Roman"/>
          <w:sz w:val="28"/>
          <w:szCs w:val="28"/>
          <w:lang w:val="en-US"/>
        </w:rPr>
        <w:t>AUC</w:t>
      </w:r>
      <w:r>
        <w:rPr>
          <w:rFonts w:ascii="Times New Roman" w:hAnsi="Times New Roman"/>
          <w:sz w:val="28"/>
          <w:szCs w:val="28"/>
        </w:rPr>
        <w:t>=</w:t>
      </w:r>
      <w:r w:rsidRPr="009E6C7E">
        <w:rPr>
          <w:rFonts w:ascii="Times New Roman" w:hAnsi="Times New Roman"/>
          <w:sz w:val="28"/>
          <w:szCs w:val="28"/>
        </w:rPr>
        <w:t>0</w:t>
      </w:r>
      <w:r>
        <w:rPr>
          <w:rFonts w:ascii="Times New Roman" w:hAnsi="Times New Roman"/>
          <w:sz w:val="28"/>
          <w:szCs w:val="28"/>
        </w:rPr>
        <w:t>,888, 95% ДІ=0,819-0,957, р</w:t>
      </w:r>
      <w:r w:rsidRPr="009E6C7E">
        <w:rPr>
          <w:rFonts w:ascii="Times New Roman" w:hAnsi="Times New Roman"/>
          <w:sz w:val="28"/>
          <w:szCs w:val="28"/>
        </w:rPr>
        <w:t>&lt;</w:t>
      </w:r>
      <w:r>
        <w:rPr>
          <w:rFonts w:ascii="Times New Roman" w:hAnsi="Times New Roman"/>
          <w:sz w:val="28"/>
          <w:szCs w:val="28"/>
        </w:rPr>
        <w:t>0,001). При використанні з тою ж ціллю ВКД, нами були отримані значно кращі показники тесту – 100% чутливість та 86,4% специфічність при граничній величині 2,0</w:t>
      </w:r>
      <w:r w:rsidRPr="00C8129E">
        <w:rPr>
          <w:rFonts w:ascii="Times New Roman" w:hAnsi="Times New Roman" w:cs="Times New Roman"/>
          <w:sz w:val="28"/>
          <w:szCs w:val="28"/>
        </w:rPr>
        <w:t>×</w:t>
      </w:r>
      <w:r w:rsidRPr="00C8129E">
        <w:rPr>
          <w:rFonts w:ascii="Times New Roman" w:hAnsi="Times New Roman"/>
          <w:sz w:val="28"/>
          <w:szCs w:val="28"/>
        </w:rPr>
        <w:t>10</w:t>
      </w:r>
      <w:r w:rsidRPr="00C8129E">
        <w:rPr>
          <w:rFonts w:ascii="Times New Roman" w:hAnsi="Times New Roman"/>
          <w:sz w:val="28"/>
          <w:szCs w:val="28"/>
          <w:vertAlign w:val="superscript"/>
        </w:rPr>
        <w:t>-3</w:t>
      </w:r>
      <w:r w:rsidRPr="00C8129E">
        <w:rPr>
          <w:rFonts w:ascii="Times New Roman" w:hAnsi="Times New Roman"/>
          <w:sz w:val="28"/>
          <w:szCs w:val="28"/>
        </w:rPr>
        <w:t xml:space="preserve"> мм</w:t>
      </w:r>
      <w:r w:rsidRPr="00C8129E">
        <w:rPr>
          <w:rFonts w:ascii="Times New Roman" w:hAnsi="Times New Roman"/>
          <w:sz w:val="28"/>
          <w:szCs w:val="28"/>
          <w:vertAlign w:val="superscript"/>
        </w:rPr>
        <w:t>2</w:t>
      </w:r>
      <w:r w:rsidRPr="00C8129E">
        <w:rPr>
          <w:rFonts w:ascii="Times New Roman" w:hAnsi="Times New Roman"/>
          <w:sz w:val="28"/>
          <w:szCs w:val="28"/>
        </w:rPr>
        <w:t>/с</w:t>
      </w:r>
      <w:r>
        <w:rPr>
          <w:rFonts w:ascii="Times New Roman" w:hAnsi="Times New Roman"/>
          <w:sz w:val="28"/>
          <w:szCs w:val="28"/>
        </w:rPr>
        <w:t>, або 97,8% чутливість та 90,9% специфічність при граничному значенні 1,99</w:t>
      </w:r>
      <w:r w:rsidRPr="00C8129E">
        <w:rPr>
          <w:rFonts w:ascii="Times New Roman" w:hAnsi="Times New Roman" w:cs="Times New Roman"/>
          <w:sz w:val="28"/>
          <w:szCs w:val="28"/>
        </w:rPr>
        <w:t>×</w:t>
      </w:r>
      <w:r w:rsidRPr="00C8129E">
        <w:rPr>
          <w:rFonts w:ascii="Times New Roman" w:hAnsi="Times New Roman"/>
          <w:sz w:val="28"/>
          <w:szCs w:val="28"/>
        </w:rPr>
        <w:t>10</w:t>
      </w:r>
      <w:r w:rsidRPr="00C8129E">
        <w:rPr>
          <w:rFonts w:ascii="Times New Roman" w:hAnsi="Times New Roman"/>
          <w:sz w:val="28"/>
          <w:szCs w:val="28"/>
          <w:vertAlign w:val="superscript"/>
        </w:rPr>
        <w:t>-3</w:t>
      </w:r>
      <w:r w:rsidRPr="00C8129E">
        <w:rPr>
          <w:rFonts w:ascii="Times New Roman" w:hAnsi="Times New Roman"/>
          <w:sz w:val="28"/>
          <w:szCs w:val="28"/>
        </w:rPr>
        <w:t xml:space="preserve"> мм</w:t>
      </w:r>
      <w:r w:rsidRPr="00C8129E">
        <w:rPr>
          <w:rFonts w:ascii="Times New Roman" w:hAnsi="Times New Roman"/>
          <w:sz w:val="28"/>
          <w:szCs w:val="28"/>
          <w:vertAlign w:val="superscript"/>
        </w:rPr>
        <w:t>2</w:t>
      </w:r>
      <w:r w:rsidRPr="00C8129E">
        <w:rPr>
          <w:rFonts w:ascii="Times New Roman" w:hAnsi="Times New Roman"/>
          <w:sz w:val="28"/>
          <w:szCs w:val="28"/>
        </w:rPr>
        <w:t>/с</w:t>
      </w:r>
      <w:r>
        <w:rPr>
          <w:rFonts w:ascii="Times New Roman" w:hAnsi="Times New Roman"/>
          <w:sz w:val="28"/>
          <w:szCs w:val="28"/>
        </w:rPr>
        <w:t xml:space="preserve"> </w:t>
      </w:r>
      <w:r>
        <w:rPr>
          <w:rFonts w:ascii="Times New Roman" w:hAnsi="Times New Roman"/>
          <w:sz w:val="28"/>
          <w:szCs w:val="28"/>
        </w:rPr>
        <w:lastRenderedPageBreak/>
        <w:t>(</w:t>
      </w:r>
      <w:r>
        <w:rPr>
          <w:rFonts w:ascii="Times New Roman" w:hAnsi="Times New Roman"/>
          <w:sz w:val="28"/>
          <w:szCs w:val="28"/>
          <w:lang w:val="en-US"/>
        </w:rPr>
        <w:t>AUC</w:t>
      </w:r>
      <w:r w:rsidRPr="009E6C7E">
        <w:rPr>
          <w:rFonts w:ascii="Times New Roman" w:hAnsi="Times New Roman"/>
          <w:sz w:val="28"/>
          <w:szCs w:val="28"/>
        </w:rPr>
        <w:t>=0</w:t>
      </w:r>
      <w:r>
        <w:rPr>
          <w:rFonts w:ascii="Times New Roman" w:hAnsi="Times New Roman"/>
          <w:sz w:val="28"/>
          <w:szCs w:val="28"/>
        </w:rPr>
        <w:t>,993, 95% ДІ=0,982-1,0, р</w:t>
      </w:r>
      <w:r w:rsidRPr="009E6C7E">
        <w:rPr>
          <w:rFonts w:ascii="Times New Roman" w:hAnsi="Times New Roman"/>
          <w:sz w:val="28"/>
          <w:szCs w:val="28"/>
        </w:rPr>
        <w:t>&lt;</w:t>
      </w:r>
      <w:r>
        <w:rPr>
          <w:rFonts w:ascii="Times New Roman" w:hAnsi="Times New Roman"/>
          <w:sz w:val="28"/>
          <w:szCs w:val="28"/>
        </w:rPr>
        <w:t>0,001), що свідчило п</w:t>
      </w:r>
      <w:r w:rsidR="007A4D2A">
        <w:rPr>
          <w:rFonts w:ascii="Times New Roman" w:hAnsi="Times New Roman"/>
          <w:sz w:val="28"/>
          <w:szCs w:val="28"/>
        </w:rPr>
        <w:t>ро високу точність (рисунок 3.37</w:t>
      </w:r>
      <w:r>
        <w:rPr>
          <w:rFonts w:ascii="Times New Roman" w:hAnsi="Times New Roman"/>
          <w:sz w:val="28"/>
          <w:szCs w:val="28"/>
        </w:rPr>
        <w:t>).</w:t>
      </w:r>
    </w:p>
    <w:p w:rsidR="005B56AD" w:rsidRPr="00E92750" w:rsidRDefault="00E11480" w:rsidP="00E11480">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716608" behindDoc="0" locked="0" layoutInCell="1" allowOverlap="1" wp14:anchorId="45946CA2" wp14:editId="6A185BA4">
                <wp:simplePos x="0" y="0"/>
                <wp:positionH relativeFrom="page">
                  <wp:align>center</wp:align>
                </wp:positionH>
                <wp:positionV relativeFrom="paragraph">
                  <wp:posOffset>1645285</wp:posOffset>
                </wp:positionV>
                <wp:extent cx="366395" cy="400050"/>
                <wp:effectExtent l="0" t="0" r="0" b="0"/>
                <wp:wrapNone/>
                <wp:docPr id="140" name="Надпись 140"/>
                <wp:cNvGraphicFramePr/>
                <a:graphic xmlns:a="http://schemas.openxmlformats.org/drawingml/2006/main">
                  <a:graphicData uri="http://schemas.microsoft.com/office/word/2010/wordprocessingShape">
                    <wps:wsp>
                      <wps:cNvSpPr txBox="1"/>
                      <wps:spPr>
                        <a:xfrm>
                          <a:off x="0" y="0"/>
                          <a:ext cx="366395" cy="400050"/>
                        </a:xfrm>
                        <a:prstGeom prst="rect">
                          <a:avLst/>
                        </a:prstGeom>
                        <a:noFill/>
                        <a:ln>
                          <a:noFill/>
                        </a:ln>
                      </wps:spPr>
                      <wps:txbx>
                        <w:txbxContent>
                          <w:p w:rsidR="007B5A1D" w:rsidRDefault="007B5A1D" w:rsidP="005B56AD">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5946CA2" id="Надпись 140" o:spid="_x0000_s1064" type="#_x0000_t202" style="position:absolute;left:0;text-align:left;margin-left:0;margin-top:129.55pt;width:28.85pt;height:31.5pt;z-index:251716608;visibility:visible;mso-wrap-style:non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" filled="f" stroked="f">
                <v:textbox>
                  <w:txbxContent>
                    <w:p w:rsidR="007B5A1D" w:rsidRDefault="007B5A1D" w:rsidP="005B56AD">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717632" behindDoc="0" locked="0" layoutInCell="1" allowOverlap="1" wp14:anchorId="2A8084D2" wp14:editId="1F7423F7">
                <wp:simplePos x="0" y="0"/>
                <wp:positionH relativeFrom="page">
                  <wp:posOffset>6104890</wp:posOffset>
                </wp:positionH>
                <wp:positionV relativeFrom="paragraph">
                  <wp:posOffset>1664335</wp:posOffset>
                </wp:positionV>
                <wp:extent cx="328930" cy="400050"/>
                <wp:effectExtent l="0" t="0" r="0" b="0"/>
                <wp:wrapNone/>
                <wp:docPr id="139" name="Надпись 139"/>
                <wp:cNvGraphicFramePr/>
                <a:graphic xmlns:a="http://schemas.openxmlformats.org/drawingml/2006/main">
                  <a:graphicData uri="http://schemas.microsoft.com/office/word/2010/wordprocessingShape">
                    <wps:wsp>
                      <wps:cNvSpPr txBox="1"/>
                      <wps:spPr>
                        <a:xfrm>
                          <a:off x="0" y="0"/>
                          <a:ext cx="328930" cy="400050"/>
                        </a:xfrm>
                        <a:prstGeom prst="rect">
                          <a:avLst/>
                        </a:prstGeom>
                        <a:noFill/>
                        <a:ln>
                          <a:noFill/>
                        </a:ln>
                      </wps:spPr>
                      <wps:txbx>
                        <w:txbxContent>
                          <w:p w:rsidR="007B5A1D" w:rsidRDefault="007B5A1D" w:rsidP="005B56AD">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A8084D2" id="Надпись 139" o:spid="_x0000_s1065" type="#_x0000_t202" style="position:absolute;left:0;text-align:left;margin-left:480.7pt;margin-top:131.05pt;width:25.9pt;height:31.5pt;z-index:251717632;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" filled="f" stroked="f">
                <v:textbox>
                  <w:txbxContent>
                    <w:p w:rsidR="007B5A1D" w:rsidRDefault="007B5A1D" w:rsidP="005B56AD">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005B56AD">
        <w:rPr>
          <w:rFonts w:ascii="Times New Roman" w:hAnsi="Times New Roman" w:cs="Times New Roman"/>
          <w:noProof/>
          <w:sz w:val="24"/>
          <w:szCs w:val="24"/>
          <w:lang w:val="en-US"/>
        </w:rPr>
        <w:drawing>
          <wp:inline distT="0" distB="0" distL="0" distR="0" wp14:anchorId="438085C9" wp14:editId="34993661">
            <wp:extent cx="2495550" cy="2441934"/>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10048" r="8294"/>
                    <a:stretch/>
                  </pic:blipFill>
                  <pic:spPr bwMode="auto">
                    <a:xfrm>
                      <a:off x="0" y="0"/>
                      <a:ext cx="2498292" cy="2444617"/>
                    </a:xfrm>
                    <a:prstGeom prst="rect">
                      <a:avLst/>
                    </a:prstGeom>
                    <a:noFill/>
                    <a:ln>
                      <a:noFill/>
                    </a:ln>
                    <a:extLst>
                      <a:ext uri="{53640926-AAD7-44D8-BBD7-CCE9431645EC}">
                        <a14:shadowObscured xmlns:a14="http://schemas.microsoft.com/office/drawing/2010/main"/>
                      </a:ext>
                    </a:extLst>
                  </pic:spPr>
                </pic:pic>
              </a:graphicData>
            </a:graphic>
          </wp:inline>
        </w:drawing>
      </w:r>
      <w:r w:rsidR="005B56AD">
        <w:rPr>
          <w:rFonts w:ascii="Times New Roman" w:hAnsi="Times New Roman" w:cs="Times New Roman"/>
          <w:noProof/>
          <w:sz w:val="24"/>
          <w:szCs w:val="24"/>
          <w:lang w:val="en-US"/>
        </w:rPr>
        <w:drawing>
          <wp:inline distT="0" distB="0" distL="0" distR="0" wp14:anchorId="74C7F037" wp14:editId="35576B09">
            <wp:extent cx="2533650" cy="2441073"/>
            <wp:effectExtent l="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10207" r="6858"/>
                    <a:stretch/>
                  </pic:blipFill>
                  <pic:spPr bwMode="auto">
                    <a:xfrm>
                      <a:off x="0" y="0"/>
                      <a:ext cx="2539581" cy="2446787"/>
                    </a:xfrm>
                    <a:prstGeom prst="rect">
                      <a:avLst/>
                    </a:prstGeom>
                    <a:noFill/>
                    <a:ln>
                      <a:noFill/>
                    </a:ln>
                    <a:extLst>
                      <a:ext uri="{53640926-AAD7-44D8-BBD7-CCE9431645EC}">
                        <a14:shadowObscured xmlns:a14="http://schemas.microsoft.com/office/drawing/2010/main"/>
                      </a:ext>
                    </a:extLst>
                  </pic:spPr>
                </pic:pic>
              </a:graphicData>
            </a:graphic>
          </wp:inline>
        </w:drawing>
      </w:r>
    </w:p>
    <w:p w:rsidR="005B56AD" w:rsidRDefault="007A4D2A" w:rsidP="003732B6">
      <w:pPr>
        <w:spacing w:line="360" w:lineRule="auto"/>
        <w:jc w:val="center"/>
        <w:rPr>
          <w:rFonts w:ascii="Times New Roman" w:hAnsi="Times New Roman"/>
          <w:sz w:val="28"/>
          <w:szCs w:val="28"/>
        </w:rPr>
      </w:pPr>
      <w:r>
        <w:rPr>
          <w:rFonts w:ascii="Times New Roman" w:hAnsi="Times New Roman"/>
          <w:sz w:val="28"/>
          <w:szCs w:val="28"/>
        </w:rPr>
        <w:t>Рис. 3.37</w:t>
      </w:r>
      <w:r w:rsidR="005B56AD" w:rsidRPr="00E92750">
        <w:rPr>
          <w:rFonts w:ascii="Times New Roman" w:hAnsi="Times New Roman"/>
          <w:sz w:val="28"/>
          <w:szCs w:val="28"/>
        </w:rPr>
        <w:t xml:space="preserve">. ROC-криві при диференціації </w:t>
      </w:r>
      <w:r w:rsidR="005B56AD">
        <w:rPr>
          <w:rFonts w:ascii="Times New Roman" w:hAnsi="Times New Roman"/>
          <w:sz w:val="28"/>
          <w:szCs w:val="28"/>
        </w:rPr>
        <w:t xml:space="preserve">солідного </w:t>
      </w:r>
      <w:r w:rsidR="005B56AD" w:rsidRPr="00E92750">
        <w:rPr>
          <w:rFonts w:ascii="Times New Roman" w:hAnsi="Times New Roman"/>
          <w:sz w:val="28"/>
          <w:szCs w:val="28"/>
        </w:rPr>
        <w:t xml:space="preserve">НКР від </w:t>
      </w:r>
      <w:r w:rsidR="005B56AD">
        <w:rPr>
          <w:rFonts w:ascii="Times New Roman" w:hAnsi="Times New Roman"/>
          <w:sz w:val="28"/>
          <w:szCs w:val="28"/>
        </w:rPr>
        <w:t>доброякісних пухлин нирок</w:t>
      </w:r>
      <w:r w:rsidR="005B56AD" w:rsidRPr="00E92750">
        <w:rPr>
          <w:rFonts w:ascii="Times New Roman" w:hAnsi="Times New Roman"/>
          <w:sz w:val="28"/>
          <w:szCs w:val="28"/>
        </w:rPr>
        <w:t xml:space="preserve"> </w:t>
      </w:r>
      <w:r w:rsidR="005B56AD">
        <w:rPr>
          <w:rFonts w:ascii="Times New Roman" w:hAnsi="Times New Roman"/>
          <w:sz w:val="28"/>
          <w:szCs w:val="28"/>
        </w:rPr>
        <w:t xml:space="preserve">розміром понад 4 см, </w:t>
      </w:r>
      <w:r w:rsidR="005B56AD" w:rsidRPr="00E92750">
        <w:rPr>
          <w:rFonts w:ascii="Times New Roman" w:hAnsi="Times New Roman"/>
          <w:sz w:val="28"/>
          <w:szCs w:val="28"/>
        </w:rPr>
        <w:t>на основі (А) інтенсивності сигналу дифузійно-зважених зображень та (Б) вимірюваного коефіцієнта дифузії</w:t>
      </w:r>
    </w:p>
    <w:p w:rsidR="003732B6" w:rsidRPr="00007FAD" w:rsidRDefault="003732B6" w:rsidP="00E11480">
      <w:pPr>
        <w:spacing w:line="276" w:lineRule="auto"/>
        <w:jc w:val="center"/>
        <w:rPr>
          <w:rFonts w:ascii="Times New Roman" w:hAnsi="Times New Roman"/>
          <w:sz w:val="28"/>
          <w:szCs w:val="28"/>
        </w:rPr>
      </w:pPr>
    </w:p>
    <w:p w:rsidR="005B56AD" w:rsidRPr="009E6C7E" w:rsidRDefault="005B56AD" w:rsidP="005B56AD">
      <w:pPr>
        <w:autoSpaceDE w:val="0"/>
        <w:autoSpaceDN w:val="0"/>
        <w:adjustRightInd w:val="0"/>
        <w:spacing w:after="0" w:line="360" w:lineRule="auto"/>
        <w:jc w:val="both"/>
        <w:rPr>
          <w:rFonts w:ascii="Times New Roman" w:hAnsi="Times New Roman" w:cs="Times New Roman"/>
          <w:sz w:val="28"/>
          <w:szCs w:val="28"/>
          <w:lang w:val="ru-RU"/>
        </w:rPr>
      </w:pPr>
      <w:r w:rsidRPr="009E6C7E">
        <w:rPr>
          <w:rFonts w:ascii="Times New Roman" w:hAnsi="Times New Roman" w:cs="Times New Roman"/>
          <w:sz w:val="24"/>
          <w:szCs w:val="24"/>
        </w:rPr>
        <w:tab/>
      </w:r>
      <w:r w:rsidRPr="002B0145">
        <w:rPr>
          <w:rFonts w:ascii="Times New Roman" w:hAnsi="Times New Roman" w:cs="Times New Roman"/>
          <w:sz w:val="28"/>
          <w:szCs w:val="28"/>
        </w:rPr>
        <w:t>Застосу</w:t>
      </w:r>
      <w:r>
        <w:rPr>
          <w:rFonts w:ascii="Times New Roman" w:hAnsi="Times New Roman" w:cs="Times New Roman"/>
          <w:sz w:val="28"/>
          <w:szCs w:val="28"/>
        </w:rPr>
        <w:t>вання інтенсивності сигналу ДЗЗ з метою диференціації світлоклітинного від несвітлоклітинного НКР не демонструвало належних показників точності (</w:t>
      </w:r>
      <w:r>
        <w:rPr>
          <w:rFonts w:ascii="Times New Roman" w:hAnsi="Times New Roman" w:cs="Times New Roman"/>
          <w:sz w:val="28"/>
          <w:szCs w:val="28"/>
          <w:lang w:val="en-US"/>
        </w:rPr>
        <w:t>AUC</w:t>
      </w:r>
      <w:r>
        <w:rPr>
          <w:rFonts w:ascii="Times New Roman" w:hAnsi="Times New Roman" w:cs="Times New Roman"/>
          <w:sz w:val="28"/>
          <w:szCs w:val="28"/>
        </w:rPr>
        <w:t>=0,698, 95% ДІ=0,583-0,813, р=0,002), це ж стосувалось диференціації папілярного від гістологічного підтипу (</w:t>
      </w:r>
      <w:r>
        <w:rPr>
          <w:rFonts w:ascii="Times New Roman" w:hAnsi="Times New Roman" w:cs="Times New Roman"/>
          <w:sz w:val="28"/>
          <w:szCs w:val="28"/>
          <w:lang w:val="en-US"/>
        </w:rPr>
        <w:t>AUC</w:t>
      </w:r>
      <w:r>
        <w:rPr>
          <w:rFonts w:ascii="Times New Roman" w:hAnsi="Times New Roman" w:cs="Times New Roman"/>
          <w:sz w:val="28"/>
          <w:szCs w:val="28"/>
        </w:rPr>
        <w:t xml:space="preserve">=0,281, 95% ДІ=0,087-0,475, р=0,045). Достовірна ідентифікація НКР низького та високого ступенів за </w:t>
      </w:r>
      <w:r>
        <w:rPr>
          <w:rFonts w:ascii="Times New Roman" w:hAnsi="Times New Roman" w:cs="Times New Roman"/>
          <w:sz w:val="28"/>
          <w:szCs w:val="28"/>
          <w:lang w:val="en-US"/>
        </w:rPr>
        <w:t>Fuhrman</w:t>
      </w:r>
      <w:r w:rsidRPr="009E6C7E">
        <w:rPr>
          <w:rFonts w:ascii="Times New Roman" w:hAnsi="Times New Roman" w:cs="Times New Roman"/>
          <w:sz w:val="28"/>
          <w:szCs w:val="28"/>
        </w:rPr>
        <w:t xml:space="preserve"> </w:t>
      </w:r>
      <w:r>
        <w:rPr>
          <w:rFonts w:ascii="Times New Roman" w:hAnsi="Times New Roman" w:cs="Times New Roman"/>
          <w:sz w:val="28"/>
          <w:szCs w:val="28"/>
        </w:rPr>
        <w:t>на основі інтенсивності сигналу ДЗЗ також не була можливою як при конвенційному підтипі (</w:t>
      </w:r>
      <w:r>
        <w:rPr>
          <w:rFonts w:ascii="Times New Roman" w:hAnsi="Times New Roman" w:cs="Times New Roman"/>
          <w:sz w:val="28"/>
          <w:szCs w:val="28"/>
          <w:lang w:val="en-US"/>
        </w:rPr>
        <w:t>AUC</w:t>
      </w:r>
      <w:r>
        <w:rPr>
          <w:rFonts w:ascii="Times New Roman" w:hAnsi="Times New Roman" w:cs="Times New Roman"/>
          <w:sz w:val="28"/>
          <w:szCs w:val="28"/>
        </w:rPr>
        <w:t>=0,294, 95% ДІ=0,163-0,425, р=0,006), так і при папілярному (</w:t>
      </w:r>
      <w:r>
        <w:rPr>
          <w:rFonts w:ascii="Times New Roman" w:hAnsi="Times New Roman" w:cs="Times New Roman"/>
          <w:sz w:val="28"/>
          <w:szCs w:val="28"/>
          <w:lang w:val="en-US"/>
        </w:rPr>
        <w:t>AUC</w:t>
      </w:r>
      <w:r>
        <w:rPr>
          <w:rFonts w:ascii="Times New Roman" w:hAnsi="Times New Roman" w:cs="Times New Roman"/>
          <w:sz w:val="28"/>
          <w:szCs w:val="28"/>
        </w:rPr>
        <w:t>=</w:t>
      </w:r>
      <w:r w:rsidRPr="009E6C7E">
        <w:rPr>
          <w:rFonts w:ascii="Times New Roman" w:hAnsi="Times New Roman" w:cs="Times New Roman"/>
          <w:sz w:val="28"/>
          <w:szCs w:val="28"/>
        </w:rPr>
        <w:t xml:space="preserve">0370, 95% </w:t>
      </w:r>
      <w:r>
        <w:rPr>
          <w:rFonts w:ascii="Times New Roman" w:hAnsi="Times New Roman" w:cs="Times New Roman"/>
          <w:sz w:val="28"/>
          <w:szCs w:val="28"/>
        </w:rPr>
        <w:t xml:space="preserve">ДІ=0,078-0,663, р=0,409). Такі дані пояснюються тим, що на відміну від ВКД, інтенсивність сигналу дифузійно-зважених зображень не цілком відображує процеси дифузії в тканинах пухлини, а більш може слугувати орієнтиром для візуально-анатомічного виявлення </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ділянок обмеженої дифузії молекул водню (та для оцінки її </w:t>
      </w:r>
      <w:r w:rsidR="00B02037">
        <w:rPr>
          <w:rFonts w:ascii="Times New Roman" w:hAnsi="Times New Roman" w:cs="Times New Roman"/>
          <w:sz w:val="28"/>
          <w:szCs w:val="28"/>
        </w:rPr>
        <w:t>ступеня</w:t>
      </w:r>
      <w:r>
        <w:rPr>
          <w:rFonts w:ascii="Times New Roman" w:hAnsi="Times New Roman" w:cs="Times New Roman"/>
          <w:sz w:val="28"/>
          <w:szCs w:val="28"/>
        </w:rPr>
        <w:t>) для проведення подальшого обчислення ВКД.</w:t>
      </w:r>
    </w:p>
    <w:p w:rsidR="005B56AD" w:rsidRDefault="005B56AD" w:rsidP="005B56AD">
      <w:pPr>
        <w:autoSpaceDE w:val="0"/>
        <w:autoSpaceDN w:val="0"/>
        <w:adjustRightInd w:val="0"/>
        <w:spacing w:after="0" w:line="360" w:lineRule="auto"/>
        <w:jc w:val="both"/>
        <w:rPr>
          <w:rFonts w:ascii="Times New Roman" w:hAnsi="Times New Roman"/>
          <w:sz w:val="28"/>
          <w:szCs w:val="28"/>
        </w:rPr>
      </w:pPr>
      <w:r w:rsidRPr="009E6C7E">
        <w:rPr>
          <w:rFonts w:ascii="Times New Roman" w:hAnsi="Times New Roman" w:cs="Times New Roman"/>
          <w:sz w:val="28"/>
          <w:szCs w:val="28"/>
          <w:lang w:val="ru-RU"/>
        </w:rPr>
        <w:tab/>
      </w:r>
      <w:r>
        <w:rPr>
          <w:rFonts w:ascii="Times New Roman" w:hAnsi="Times New Roman" w:cs="Times New Roman"/>
          <w:sz w:val="28"/>
          <w:szCs w:val="28"/>
        </w:rPr>
        <w:t xml:space="preserve">При використанні вимірюваного коефіцієнта дифузії для диференціації світлоклітинного НКР від несвітлоклітинного, нами були отримані наступні </w:t>
      </w:r>
      <w:r>
        <w:rPr>
          <w:rFonts w:ascii="Times New Roman" w:hAnsi="Times New Roman" w:cs="Times New Roman"/>
          <w:sz w:val="28"/>
          <w:szCs w:val="28"/>
        </w:rPr>
        <w:lastRenderedPageBreak/>
        <w:t xml:space="preserve">показники тесту: чутливість – 98,4%, специфічність – 93,1%, </w:t>
      </w:r>
      <w:r>
        <w:rPr>
          <w:rFonts w:ascii="Times New Roman" w:hAnsi="Times New Roman" w:cs="Times New Roman"/>
          <w:sz w:val="28"/>
          <w:szCs w:val="28"/>
          <w:lang w:val="en-US"/>
        </w:rPr>
        <w:t>AUC</w:t>
      </w:r>
      <w:r>
        <w:rPr>
          <w:rFonts w:ascii="Times New Roman" w:hAnsi="Times New Roman" w:cs="Times New Roman"/>
          <w:sz w:val="28"/>
          <w:szCs w:val="28"/>
        </w:rPr>
        <w:t>=</w:t>
      </w:r>
      <w:r w:rsidRPr="009E6C7E">
        <w:rPr>
          <w:rFonts w:ascii="Times New Roman" w:hAnsi="Times New Roman" w:cs="Times New Roman"/>
          <w:sz w:val="28"/>
          <w:szCs w:val="28"/>
          <w:lang w:val="ru-RU"/>
        </w:rPr>
        <w:t>0,981</w:t>
      </w:r>
      <w:r>
        <w:rPr>
          <w:rFonts w:ascii="Times New Roman" w:hAnsi="Times New Roman" w:cs="Times New Roman"/>
          <w:sz w:val="28"/>
          <w:szCs w:val="28"/>
        </w:rPr>
        <w:t xml:space="preserve"> (95% ДІ=0,954-1,0, р</w:t>
      </w:r>
      <w:r w:rsidRPr="009E6C7E">
        <w:rPr>
          <w:rFonts w:ascii="Times New Roman" w:hAnsi="Times New Roman" w:cs="Times New Roman"/>
          <w:sz w:val="28"/>
          <w:szCs w:val="28"/>
          <w:lang w:val="ru-RU"/>
        </w:rPr>
        <w:t>&lt;</w:t>
      </w:r>
      <w:r>
        <w:rPr>
          <w:rFonts w:ascii="Times New Roman" w:hAnsi="Times New Roman" w:cs="Times New Roman"/>
          <w:sz w:val="28"/>
          <w:szCs w:val="28"/>
        </w:rPr>
        <w:t>0,001) при пороговому значенні 1,63</w:t>
      </w:r>
      <w:r w:rsidRPr="00C8129E">
        <w:rPr>
          <w:rFonts w:ascii="Times New Roman" w:hAnsi="Times New Roman" w:cs="Times New Roman"/>
          <w:sz w:val="28"/>
          <w:szCs w:val="28"/>
        </w:rPr>
        <w:t>×</w:t>
      </w:r>
      <w:r w:rsidRPr="00C8129E">
        <w:rPr>
          <w:rFonts w:ascii="Times New Roman" w:hAnsi="Times New Roman"/>
          <w:sz w:val="28"/>
          <w:szCs w:val="28"/>
        </w:rPr>
        <w:t>10</w:t>
      </w:r>
      <w:r w:rsidRPr="00C8129E">
        <w:rPr>
          <w:rFonts w:ascii="Times New Roman" w:hAnsi="Times New Roman"/>
          <w:sz w:val="28"/>
          <w:szCs w:val="28"/>
          <w:vertAlign w:val="superscript"/>
        </w:rPr>
        <w:t>-3</w:t>
      </w:r>
      <w:r w:rsidRPr="00C8129E">
        <w:rPr>
          <w:rFonts w:ascii="Times New Roman" w:hAnsi="Times New Roman"/>
          <w:sz w:val="28"/>
          <w:szCs w:val="28"/>
        </w:rPr>
        <w:t xml:space="preserve"> мм</w:t>
      </w:r>
      <w:r w:rsidRPr="00C8129E">
        <w:rPr>
          <w:rFonts w:ascii="Times New Roman" w:hAnsi="Times New Roman"/>
          <w:sz w:val="28"/>
          <w:szCs w:val="28"/>
          <w:vertAlign w:val="superscript"/>
        </w:rPr>
        <w:t>2</w:t>
      </w:r>
      <w:r w:rsidRPr="00C8129E">
        <w:rPr>
          <w:rFonts w:ascii="Times New Roman" w:hAnsi="Times New Roman"/>
          <w:sz w:val="28"/>
          <w:szCs w:val="28"/>
        </w:rPr>
        <w:t>/с</w:t>
      </w:r>
      <w:r>
        <w:rPr>
          <w:rFonts w:ascii="Times New Roman" w:hAnsi="Times New Roman"/>
          <w:sz w:val="28"/>
          <w:szCs w:val="28"/>
        </w:rPr>
        <w:t>. Вирізнення папілярного НКР від хромофобного було можливим при застосуванні граничної величини ВКД – 1,48</w:t>
      </w:r>
      <w:r w:rsidRPr="00C8129E">
        <w:rPr>
          <w:rFonts w:ascii="Times New Roman" w:hAnsi="Times New Roman" w:cs="Times New Roman"/>
          <w:sz w:val="28"/>
          <w:szCs w:val="28"/>
        </w:rPr>
        <w:t>×</w:t>
      </w:r>
      <w:r w:rsidRPr="00C8129E">
        <w:rPr>
          <w:rFonts w:ascii="Times New Roman" w:hAnsi="Times New Roman"/>
          <w:sz w:val="28"/>
          <w:szCs w:val="28"/>
        </w:rPr>
        <w:t>10</w:t>
      </w:r>
      <w:r w:rsidRPr="00C8129E">
        <w:rPr>
          <w:rFonts w:ascii="Times New Roman" w:hAnsi="Times New Roman"/>
          <w:sz w:val="28"/>
          <w:szCs w:val="28"/>
          <w:vertAlign w:val="superscript"/>
        </w:rPr>
        <w:t>-3</w:t>
      </w:r>
      <w:r w:rsidRPr="00C8129E">
        <w:rPr>
          <w:rFonts w:ascii="Times New Roman" w:hAnsi="Times New Roman"/>
          <w:sz w:val="28"/>
          <w:szCs w:val="28"/>
        </w:rPr>
        <w:t xml:space="preserve"> мм</w:t>
      </w:r>
      <w:r w:rsidRPr="00C8129E">
        <w:rPr>
          <w:rFonts w:ascii="Times New Roman" w:hAnsi="Times New Roman"/>
          <w:sz w:val="28"/>
          <w:szCs w:val="28"/>
          <w:vertAlign w:val="superscript"/>
        </w:rPr>
        <w:t>2</w:t>
      </w:r>
      <w:r w:rsidRPr="00C8129E">
        <w:rPr>
          <w:rFonts w:ascii="Times New Roman" w:hAnsi="Times New Roman"/>
          <w:sz w:val="28"/>
          <w:szCs w:val="28"/>
        </w:rPr>
        <w:t>/с</w:t>
      </w:r>
      <w:r>
        <w:rPr>
          <w:rFonts w:ascii="Times New Roman" w:hAnsi="Times New Roman"/>
          <w:sz w:val="28"/>
          <w:szCs w:val="28"/>
        </w:rPr>
        <w:t xml:space="preserve"> з 93,3% чутливістю та 92,9% специфічністю та високою точністю (</w:t>
      </w:r>
      <w:r>
        <w:rPr>
          <w:rFonts w:ascii="Times New Roman" w:hAnsi="Times New Roman"/>
          <w:sz w:val="28"/>
          <w:szCs w:val="28"/>
          <w:lang w:val="en-US"/>
        </w:rPr>
        <w:t>AUC</w:t>
      </w:r>
      <w:r>
        <w:rPr>
          <w:rFonts w:ascii="Times New Roman" w:hAnsi="Times New Roman"/>
          <w:sz w:val="28"/>
          <w:szCs w:val="28"/>
        </w:rPr>
        <w:t>=0,988, 95% ДІ=0,960-1,0, р</w:t>
      </w:r>
      <w:r w:rsidRPr="009E6C7E">
        <w:rPr>
          <w:rFonts w:ascii="Times New Roman" w:hAnsi="Times New Roman"/>
          <w:sz w:val="28"/>
          <w:szCs w:val="28"/>
        </w:rPr>
        <w:t>&lt;</w:t>
      </w:r>
      <w:r>
        <w:rPr>
          <w:rFonts w:ascii="Times New Roman" w:hAnsi="Times New Roman"/>
          <w:sz w:val="28"/>
          <w:szCs w:val="28"/>
        </w:rPr>
        <w:t xml:space="preserve">0,001). Назагал отримані показники тестів при диференціації гістологічних підтипів НКР при розмірі пухлини понад 4 см були дещо кращими, ніж у випадку </w:t>
      </w:r>
      <w:r>
        <w:rPr>
          <w:rFonts w:ascii="Times New Roman" w:hAnsi="Times New Roman"/>
          <w:sz w:val="28"/>
          <w:szCs w:val="28"/>
          <w:lang w:val="en-US"/>
        </w:rPr>
        <w:t>SRM</w:t>
      </w:r>
      <w:r>
        <w:rPr>
          <w:rFonts w:ascii="Times New Roman" w:hAnsi="Times New Roman"/>
          <w:sz w:val="28"/>
          <w:szCs w:val="28"/>
        </w:rPr>
        <w:t xml:space="preserve">, що ми пов’язуємо із можливістю більш точного окреслення області пухлини за допомогою ОЗ при більшому їх розмірі. </w:t>
      </w:r>
    </w:p>
    <w:p w:rsidR="005B56AD" w:rsidRDefault="005B56AD" w:rsidP="005B56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ab/>
        <w:t>П</w:t>
      </w:r>
      <w:r w:rsidRPr="0067295C">
        <w:rPr>
          <w:rFonts w:ascii="Times New Roman" w:hAnsi="Times New Roman"/>
          <w:sz w:val="28"/>
          <w:szCs w:val="28"/>
        </w:rPr>
        <w:t xml:space="preserve">оказники чутливості, </w:t>
      </w:r>
      <w:r w:rsidRPr="0067295C">
        <w:rPr>
          <w:rFonts w:ascii="Times New Roman" w:hAnsi="Times New Roman" w:cs="Times New Roman"/>
          <w:sz w:val="28"/>
          <w:szCs w:val="28"/>
        </w:rPr>
        <w:t xml:space="preserve">специфічності та точності при диференціації </w:t>
      </w:r>
      <w:r w:rsidRPr="0067295C">
        <w:rPr>
          <w:rFonts w:ascii="Times New Roman" w:hAnsi="Times New Roman" w:cs="Times New Roman"/>
          <w:color w:val="000000" w:themeColor="text1"/>
          <w:sz w:val="28"/>
          <w:szCs w:val="28"/>
        </w:rPr>
        <w:t xml:space="preserve">світлоклітинного НКР низького від високого </w:t>
      </w:r>
      <w:r w:rsidR="00B02037">
        <w:rPr>
          <w:rFonts w:ascii="Times New Roman" w:hAnsi="Times New Roman" w:cs="Times New Roman"/>
          <w:color w:val="000000" w:themeColor="text1"/>
          <w:sz w:val="28"/>
          <w:szCs w:val="28"/>
        </w:rPr>
        <w:t>ступеня</w:t>
      </w:r>
      <w:r w:rsidRPr="0067295C">
        <w:rPr>
          <w:rFonts w:ascii="Times New Roman" w:hAnsi="Times New Roman" w:cs="Times New Roman"/>
          <w:color w:val="000000" w:themeColor="text1"/>
          <w:sz w:val="28"/>
          <w:szCs w:val="28"/>
        </w:rPr>
        <w:t xml:space="preserve"> за Fuhrman</w:t>
      </w:r>
      <w:r>
        <w:rPr>
          <w:rFonts w:ascii="Times New Roman" w:hAnsi="Times New Roman" w:cs="Times New Roman"/>
          <w:color w:val="000000" w:themeColor="text1"/>
          <w:sz w:val="28"/>
          <w:szCs w:val="28"/>
        </w:rPr>
        <w:t xml:space="preserve"> при пухлинах розміром понад 4 см майже ні відрізнялись від таких при малих ниркових новоутворах і складали відповідно 93,5%, 86,1</w:t>
      </w:r>
      <w:r w:rsidRPr="0067295C">
        <w:rPr>
          <w:rFonts w:ascii="Times New Roman" w:hAnsi="Times New Roman" w:cs="Times New Roman"/>
          <w:color w:val="000000" w:themeColor="text1"/>
          <w:sz w:val="28"/>
          <w:szCs w:val="28"/>
        </w:rPr>
        <w:t>% та AUC</w:t>
      </w:r>
      <w:r>
        <w:rPr>
          <w:rFonts w:ascii="Times New Roman" w:hAnsi="Times New Roman" w:cs="Times New Roman"/>
          <w:color w:val="000000" w:themeColor="text1"/>
          <w:sz w:val="28"/>
          <w:szCs w:val="28"/>
        </w:rPr>
        <w:t>=0,892 (95% ДІ=0,796-0,983</w:t>
      </w:r>
      <w:r w:rsidRPr="0067295C">
        <w:rPr>
          <w:rFonts w:ascii="Times New Roman" w:hAnsi="Times New Roman" w:cs="Times New Roman"/>
          <w:color w:val="000000" w:themeColor="text1"/>
          <w:sz w:val="28"/>
          <w:szCs w:val="28"/>
        </w:rPr>
        <w:t>, р</w:t>
      </w:r>
      <w:r w:rsidRPr="0067295C">
        <w:rPr>
          <w:rFonts w:ascii="Times New Roman" w:hAnsi="Times New Roman" w:cs="Times New Roman"/>
          <w:sz w:val="28"/>
          <w:szCs w:val="28"/>
        </w:rPr>
        <w:t xml:space="preserve">&lt;0,001) при пороговому значенні </w:t>
      </w:r>
      <w:r w:rsidRPr="0067295C">
        <w:rPr>
          <w:rFonts w:ascii="Times New Roman" w:hAnsi="Times New Roman" w:cs="Times New Roman"/>
          <w:color w:val="000000" w:themeColor="text1"/>
          <w:sz w:val="28"/>
          <w:szCs w:val="28"/>
        </w:rPr>
        <w:t>1,77</w:t>
      </w:r>
      <w:r w:rsidRPr="0067295C">
        <w:rPr>
          <w:rFonts w:ascii="Times New Roman" w:hAnsi="Times New Roman" w:cs="Times New Roman"/>
          <w:sz w:val="28"/>
          <w:szCs w:val="28"/>
        </w:rPr>
        <w:t>×</w:t>
      </w:r>
      <w:r w:rsidRPr="0067295C">
        <w:rPr>
          <w:rFonts w:ascii="Times New Roman" w:hAnsi="Times New Roman"/>
          <w:sz w:val="28"/>
          <w:szCs w:val="28"/>
        </w:rPr>
        <w:t>10</w:t>
      </w:r>
      <w:r w:rsidRPr="0067295C">
        <w:rPr>
          <w:rFonts w:ascii="Times New Roman" w:hAnsi="Times New Roman"/>
          <w:sz w:val="28"/>
          <w:szCs w:val="28"/>
          <w:vertAlign w:val="superscript"/>
        </w:rPr>
        <w:t>-3</w:t>
      </w:r>
      <w:r w:rsidRPr="0067295C">
        <w:rPr>
          <w:rFonts w:ascii="Times New Roman" w:hAnsi="Times New Roman"/>
          <w:sz w:val="28"/>
          <w:szCs w:val="28"/>
        </w:rPr>
        <w:t xml:space="preserve"> мм</w:t>
      </w:r>
      <w:r w:rsidRPr="0067295C">
        <w:rPr>
          <w:rFonts w:ascii="Times New Roman" w:hAnsi="Times New Roman"/>
          <w:sz w:val="28"/>
          <w:szCs w:val="28"/>
          <w:vertAlign w:val="superscript"/>
        </w:rPr>
        <w:t>2</w:t>
      </w:r>
      <w:r w:rsidRPr="0067295C">
        <w:rPr>
          <w:rFonts w:ascii="Times New Roman" w:hAnsi="Times New Roman"/>
          <w:sz w:val="28"/>
          <w:szCs w:val="28"/>
        </w:rPr>
        <w:t xml:space="preserve">/с.  </w:t>
      </w:r>
      <w:r>
        <w:rPr>
          <w:rFonts w:ascii="Times New Roman" w:hAnsi="Times New Roman"/>
          <w:sz w:val="28"/>
          <w:szCs w:val="28"/>
        </w:rPr>
        <w:t xml:space="preserve">Слід зазначити, що на відміну від інших вивчених потенційних променевих біомаркерів, лише застосування ВКД при солідному папілярному НКР розміром </w:t>
      </w:r>
      <w:r w:rsidRPr="009E6C7E">
        <w:rPr>
          <w:rFonts w:ascii="Times New Roman" w:hAnsi="Times New Roman"/>
          <w:sz w:val="28"/>
          <w:szCs w:val="28"/>
        </w:rPr>
        <w:t>&gt;</w:t>
      </w:r>
      <w:r>
        <w:rPr>
          <w:rFonts w:ascii="Times New Roman" w:hAnsi="Times New Roman"/>
          <w:sz w:val="28"/>
          <w:szCs w:val="28"/>
        </w:rPr>
        <w:t xml:space="preserve">4 см дозволило диференціювати </w:t>
      </w:r>
      <w:r>
        <w:rPr>
          <w:rFonts w:ascii="Times New Roman" w:hAnsi="Times New Roman" w:cs="Times New Roman"/>
          <w:color w:val="000000" w:themeColor="text1"/>
          <w:sz w:val="28"/>
          <w:szCs w:val="28"/>
        </w:rPr>
        <w:t>низький від високого ступінь</w:t>
      </w:r>
      <w:r w:rsidRPr="0067295C">
        <w:rPr>
          <w:rFonts w:ascii="Times New Roman" w:hAnsi="Times New Roman" w:cs="Times New Roman"/>
          <w:color w:val="000000" w:themeColor="text1"/>
          <w:sz w:val="28"/>
          <w:szCs w:val="28"/>
        </w:rPr>
        <w:t xml:space="preserve"> за Fuhrman</w:t>
      </w:r>
      <w:r>
        <w:rPr>
          <w:rFonts w:ascii="Times New Roman" w:hAnsi="Times New Roman" w:cs="Times New Roman"/>
          <w:color w:val="000000" w:themeColor="text1"/>
          <w:sz w:val="28"/>
          <w:szCs w:val="28"/>
        </w:rPr>
        <w:t>: при пороговому значенні 1,52</w:t>
      </w:r>
      <w:r w:rsidRPr="0067295C">
        <w:rPr>
          <w:rFonts w:ascii="Times New Roman" w:hAnsi="Times New Roman" w:cs="Times New Roman"/>
          <w:sz w:val="28"/>
          <w:szCs w:val="28"/>
        </w:rPr>
        <w:t>×</w:t>
      </w:r>
      <w:r w:rsidRPr="0067295C">
        <w:rPr>
          <w:rFonts w:ascii="Times New Roman" w:hAnsi="Times New Roman"/>
          <w:sz w:val="28"/>
          <w:szCs w:val="28"/>
        </w:rPr>
        <w:t>10</w:t>
      </w:r>
      <w:r w:rsidRPr="0067295C">
        <w:rPr>
          <w:rFonts w:ascii="Times New Roman" w:hAnsi="Times New Roman"/>
          <w:sz w:val="28"/>
          <w:szCs w:val="28"/>
          <w:vertAlign w:val="superscript"/>
        </w:rPr>
        <w:t>-3</w:t>
      </w:r>
      <w:r w:rsidRPr="0067295C">
        <w:rPr>
          <w:rFonts w:ascii="Times New Roman" w:hAnsi="Times New Roman"/>
          <w:sz w:val="28"/>
          <w:szCs w:val="28"/>
        </w:rPr>
        <w:t xml:space="preserve"> мм</w:t>
      </w:r>
      <w:r w:rsidRPr="0067295C">
        <w:rPr>
          <w:rFonts w:ascii="Times New Roman" w:hAnsi="Times New Roman"/>
          <w:sz w:val="28"/>
          <w:szCs w:val="28"/>
          <w:vertAlign w:val="superscript"/>
        </w:rPr>
        <w:t>2</w:t>
      </w:r>
      <w:r w:rsidRPr="0067295C">
        <w:rPr>
          <w:rFonts w:ascii="Times New Roman" w:hAnsi="Times New Roman"/>
          <w:sz w:val="28"/>
          <w:szCs w:val="28"/>
        </w:rPr>
        <w:t>/с</w:t>
      </w:r>
      <w:r>
        <w:rPr>
          <w:rFonts w:ascii="Times New Roman" w:hAnsi="Times New Roman"/>
          <w:sz w:val="28"/>
          <w:szCs w:val="28"/>
        </w:rPr>
        <w:t xml:space="preserve"> ми отримали 76,7% чутливість та 98% специфічність (</w:t>
      </w:r>
      <w:r>
        <w:rPr>
          <w:rFonts w:ascii="Times New Roman" w:hAnsi="Times New Roman"/>
          <w:sz w:val="28"/>
          <w:szCs w:val="28"/>
          <w:lang w:val="en-US"/>
        </w:rPr>
        <w:t>AUC</w:t>
      </w:r>
      <w:r w:rsidRPr="009E6C7E">
        <w:rPr>
          <w:rFonts w:ascii="Times New Roman" w:hAnsi="Times New Roman"/>
          <w:sz w:val="28"/>
          <w:szCs w:val="28"/>
        </w:rPr>
        <w:t>=</w:t>
      </w:r>
      <w:r>
        <w:rPr>
          <w:rFonts w:ascii="Times New Roman" w:hAnsi="Times New Roman"/>
          <w:sz w:val="28"/>
          <w:szCs w:val="28"/>
        </w:rPr>
        <w:t xml:space="preserve">0,711, 95% ДІ= </w:t>
      </w:r>
      <w:r w:rsidRPr="009E6C7E">
        <w:rPr>
          <w:rFonts w:ascii="Times New Roman" w:hAnsi="Times New Roman"/>
          <w:sz w:val="28"/>
          <w:szCs w:val="28"/>
        </w:rPr>
        <w:t>0,674-</w:t>
      </w:r>
      <w:r>
        <w:rPr>
          <w:rFonts w:ascii="Times New Roman" w:hAnsi="Times New Roman"/>
          <w:sz w:val="28"/>
          <w:szCs w:val="28"/>
        </w:rPr>
        <w:t>0,896, р=0,046).</w:t>
      </w:r>
    </w:p>
    <w:p w:rsidR="005B56AD" w:rsidRDefault="005B56AD" w:rsidP="005B56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ab/>
        <w:t>Окрім наведених вище даних, суттєвою знахідкою було, що диференціація метастатично уражених регіональних лімфатичних вузлів при НКР від неуражених, за допомогою ВКД демонструвала при граничній величині 1,09</w:t>
      </w:r>
      <w:r w:rsidRPr="0067295C">
        <w:rPr>
          <w:rFonts w:ascii="Times New Roman" w:hAnsi="Times New Roman" w:cs="Times New Roman"/>
          <w:sz w:val="28"/>
          <w:szCs w:val="28"/>
        </w:rPr>
        <w:t>×</w:t>
      </w:r>
      <w:r w:rsidRPr="0067295C">
        <w:rPr>
          <w:rFonts w:ascii="Times New Roman" w:hAnsi="Times New Roman"/>
          <w:sz w:val="28"/>
          <w:szCs w:val="28"/>
        </w:rPr>
        <w:t>10</w:t>
      </w:r>
      <w:r w:rsidRPr="0067295C">
        <w:rPr>
          <w:rFonts w:ascii="Times New Roman" w:hAnsi="Times New Roman"/>
          <w:sz w:val="28"/>
          <w:szCs w:val="28"/>
          <w:vertAlign w:val="superscript"/>
        </w:rPr>
        <w:t>-3</w:t>
      </w:r>
      <w:r w:rsidRPr="0067295C">
        <w:rPr>
          <w:rFonts w:ascii="Times New Roman" w:hAnsi="Times New Roman"/>
          <w:sz w:val="28"/>
          <w:szCs w:val="28"/>
        </w:rPr>
        <w:t xml:space="preserve"> мм</w:t>
      </w:r>
      <w:r w:rsidRPr="0067295C">
        <w:rPr>
          <w:rFonts w:ascii="Times New Roman" w:hAnsi="Times New Roman"/>
          <w:sz w:val="28"/>
          <w:szCs w:val="28"/>
          <w:vertAlign w:val="superscript"/>
        </w:rPr>
        <w:t>2</w:t>
      </w:r>
      <w:r w:rsidRPr="0067295C">
        <w:rPr>
          <w:rFonts w:ascii="Times New Roman" w:hAnsi="Times New Roman"/>
          <w:sz w:val="28"/>
          <w:szCs w:val="28"/>
        </w:rPr>
        <w:t>/с</w:t>
      </w:r>
      <w:r>
        <w:rPr>
          <w:rFonts w:ascii="Times New Roman" w:hAnsi="Times New Roman"/>
          <w:sz w:val="28"/>
          <w:szCs w:val="28"/>
        </w:rPr>
        <w:t xml:space="preserve"> чутливість – 92,9% та специфічність – 82,4% (</w:t>
      </w:r>
      <w:r>
        <w:rPr>
          <w:rFonts w:ascii="Times New Roman" w:hAnsi="Times New Roman"/>
          <w:sz w:val="28"/>
          <w:szCs w:val="28"/>
          <w:lang w:val="en-US"/>
        </w:rPr>
        <w:t>AUC</w:t>
      </w:r>
      <w:r w:rsidRPr="009E6C7E">
        <w:rPr>
          <w:rFonts w:ascii="Times New Roman" w:hAnsi="Times New Roman"/>
          <w:sz w:val="28"/>
          <w:szCs w:val="28"/>
          <w:lang w:val="ru-RU"/>
        </w:rPr>
        <w:t>=0,950</w:t>
      </w:r>
      <w:r>
        <w:rPr>
          <w:rFonts w:ascii="Times New Roman" w:hAnsi="Times New Roman"/>
          <w:sz w:val="28"/>
          <w:szCs w:val="28"/>
        </w:rPr>
        <w:t>, 95% ДІ=</w:t>
      </w:r>
      <w:r w:rsidRPr="009E6C7E">
        <w:rPr>
          <w:rFonts w:ascii="Times New Roman" w:hAnsi="Times New Roman"/>
          <w:sz w:val="28"/>
          <w:szCs w:val="28"/>
          <w:lang w:val="ru-RU"/>
        </w:rPr>
        <w:t>0</w:t>
      </w:r>
      <w:r>
        <w:rPr>
          <w:rFonts w:ascii="Times New Roman" w:hAnsi="Times New Roman"/>
          <w:sz w:val="28"/>
          <w:szCs w:val="28"/>
        </w:rPr>
        <w:t>,881-0,988, р</w:t>
      </w:r>
      <w:r w:rsidRPr="009E6C7E">
        <w:rPr>
          <w:rFonts w:ascii="Times New Roman" w:hAnsi="Times New Roman"/>
          <w:sz w:val="28"/>
          <w:szCs w:val="28"/>
          <w:lang w:val="ru-RU"/>
        </w:rPr>
        <w:t>&lt;</w:t>
      </w:r>
      <w:r>
        <w:rPr>
          <w:rFonts w:ascii="Times New Roman" w:hAnsi="Times New Roman"/>
          <w:sz w:val="28"/>
          <w:szCs w:val="28"/>
        </w:rPr>
        <w:t xml:space="preserve">0,001). </w:t>
      </w:r>
    </w:p>
    <w:p w:rsidR="005B56AD" w:rsidRDefault="005B56AD" w:rsidP="005B56AD">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ab/>
        <w:t>Далі наводимо приклади застосування інтенсивності сигналу дифузійно-зважених зображень та вимірюваного коефіцієнта дифузії при діагностиці солідних пухлин нирок р</w:t>
      </w:r>
      <w:r w:rsidR="007A4D2A">
        <w:rPr>
          <w:rFonts w:ascii="Times New Roman" w:hAnsi="Times New Roman"/>
          <w:sz w:val="28"/>
          <w:szCs w:val="28"/>
        </w:rPr>
        <w:t>озміром понад 4 см (рисунки 3.</w:t>
      </w:r>
      <w:r w:rsidR="00293044">
        <w:rPr>
          <w:rFonts w:ascii="Times New Roman" w:hAnsi="Times New Roman"/>
          <w:sz w:val="28"/>
          <w:szCs w:val="28"/>
        </w:rPr>
        <w:t>3</w:t>
      </w:r>
      <w:r w:rsidR="007A4D2A">
        <w:rPr>
          <w:rFonts w:ascii="Times New Roman" w:hAnsi="Times New Roman"/>
          <w:sz w:val="28"/>
          <w:szCs w:val="28"/>
        </w:rPr>
        <w:t>8-3.39</w:t>
      </w:r>
      <w:r>
        <w:rPr>
          <w:rFonts w:ascii="Times New Roman" w:hAnsi="Times New Roman"/>
          <w:sz w:val="28"/>
          <w:szCs w:val="28"/>
        </w:rPr>
        <w:t>).</w:t>
      </w:r>
    </w:p>
    <w:p w:rsidR="00E11480" w:rsidRPr="009E6C7E" w:rsidRDefault="00E11480" w:rsidP="005B56AD">
      <w:pPr>
        <w:autoSpaceDE w:val="0"/>
        <w:autoSpaceDN w:val="0"/>
        <w:adjustRightInd w:val="0"/>
        <w:spacing w:after="0" w:line="360" w:lineRule="auto"/>
        <w:jc w:val="both"/>
        <w:rPr>
          <w:rFonts w:ascii="Times New Roman" w:hAnsi="Times New Roman" w:cs="Times New Roman"/>
          <w:color w:val="000000" w:themeColor="text1"/>
          <w:sz w:val="28"/>
          <w:szCs w:val="28"/>
        </w:rPr>
      </w:pPr>
    </w:p>
    <w:p w:rsidR="005B56AD" w:rsidRDefault="00DC0259" w:rsidP="005B56AD">
      <w:pPr>
        <w:spacing w:line="360" w:lineRule="auto"/>
        <w:jc w:val="both"/>
        <w:rPr>
          <w:rFonts w:ascii="Times New Roman" w:hAnsi="Times New Roman" w:cs="Times New Roman"/>
          <w:sz w:val="28"/>
          <w:szCs w:val="28"/>
        </w:rPr>
      </w:pPr>
      <w:r w:rsidRPr="00DC0259">
        <w:rPr>
          <w:rFonts w:ascii="Times New Roman" w:hAnsi="Times New Roman" w:cs="Times New Roman"/>
          <w:noProof/>
          <w:sz w:val="28"/>
          <w:szCs w:val="28"/>
          <w:lang w:val="en-US"/>
        </w:rPr>
        <w:lastRenderedPageBreak/>
        <mc:AlternateContent>
          <mc:Choice Requires="wps">
            <w:drawing>
              <wp:anchor distT="0" distB="0" distL="114300" distR="114300" simplePos="0" relativeHeight="251783168" behindDoc="0" locked="0" layoutInCell="1" allowOverlap="1" wp14:anchorId="3AFA1B9E" wp14:editId="28026227">
                <wp:simplePos x="0" y="0"/>
                <wp:positionH relativeFrom="page">
                  <wp:posOffset>5043805</wp:posOffset>
                </wp:positionH>
                <wp:positionV relativeFrom="paragraph">
                  <wp:posOffset>1118235</wp:posOffset>
                </wp:positionV>
                <wp:extent cx="2533650" cy="400050"/>
                <wp:effectExtent l="0" t="0" r="0" b="0"/>
                <wp:wrapNone/>
                <wp:docPr id="245" name="Надпись 245"/>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DC0259">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FA1B9E" id="Надпись 245" o:spid="_x0000_s1066" type="#_x0000_t202" style="position:absolute;left:0;text-align:left;margin-left:397.15pt;margin-top:88.05pt;width:199.5pt;height:31.5pt;z-index:25178316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" filled="f" stroked="f">
                <v:textbox>
                  <w:txbxContent>
                    <w:p w:rsidR="007B5A1D" w:rsidRPr="00D162D6" w:rsidRDefault="007B5A1D" w:rsidP="00DC0259">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r w:rsidRPr="00DC0259">
        <w:rPr>
          <w:rFonts w:ascii="Times New Roman" w:hAnsi="Times New Roman" w:cs="Times New Roman"/>
          <w:noProof/>
          <w:sz w:val="28"/>
          <w:szCs w:val="28"/>
          <w:lang w:val="en-US"/>
        </w:rPr>
        <mc:AlternateContent>
          <mc:Choice Requires="wps">
            <w:drawing>
              <wp:anchor distT="0" distB="0" distL="114300" distR="114300" simplePos="0" relativeHeight="251782144" behindDoc="0" locked="0" layoutInCell="1" allowOverlap="1" wp14:anchorId="165D0615" wp14:editId="09BF22D5">
                <wp:simplePos x="0" y="0"/>
                <wp:positionH relativeFrom="page">
                  <wp:posOffset>3072130</wp:posOffset>
                </wp:positionH>
                <wp:positionV relativeFrom="paragraph">
                  <wp:posOffset>1127760</wp:posOffset>
                </wp:positionV>
                <wp:extent cx="2533650" cy="400050"/>
                <wp:effectExtent l="0" t="0" r="0" b="0"/>
                <wp:wrapNone/>
                <wp:docPr id="244" name="Надпись 244"/>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DC0259">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65D0615" id="Надпись 244" o:spid="_x0000_s1067" type="#_x0000_t202" style="position:absolute;left:0;text-align:left;margin-left:241.9pt;margin-top:88.8pt;width:199.5pt;height:31.5pt;z-index:25178214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" filled="f" stroked="f">
                <v:textbox>
                  <w:txbxContent>
                    <w:p w:rsidR="007B5A1D" w:rsidRPr="00D162D6" w:rsidRDefault="007B5A1D" w:rsidP="00DC0259">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DC0259">
        <w:rPr>
          <w:rFonts w:ascii="Times New Roman" w:hAnsi="Times New Roman" w:cs="Times New Roman"/>
          <w:noProof/>
          <w:sz w:val="28"/>
          <w:szCs w:val="28"/>
          <w:lang w:val="en-US"/>
        </w:rPr>
        <mc:AlternateContent>
          <mc:Choice Requires="wps">
            <w:drawing>
              <wp:anchor distT="0" distB="0" distL="114300" distR="114300" simplePos="0" relativeHeight="251781120" behindDoc="0" locked="0" layoutInCell="1" allowOverlap="1" wp14:anchorId="74FC574F" wp14:editId="0FAE550F">
                <wp:simplePos x="0" y="0"/>
                <wp:positionH relativeFrom="page">
                  <wp:posOffset>1076325</wp:posOffset>
                </wp:positionH>
                <wp:positionV relativeFrom="paragraph">
                  <wp:posOffset>1137285</wp:posOffset>
                </wp:positionV>
                <wp:extent cx="2533650" cy="400050"/>
                <wp:effectExtent l="0" t="0" r="0" b="0"/>
                <wp:wrapNone/>
                <wp:docPr id="243" name="Надпись 243"/>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DC0259">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FC574F" id="Надпись 243" o:spid="_x0000_s1068" type="#_x0000_t202" style="position:absolute;left:0;text-align:left;margin-left:84.75pt;margin-top:89.55pt;width:199.5pt;height:31.5pt;z-index:251781120;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" filled="f" stroked="f">
                <v:textbox>
                  <w:txbxContent>
                    <w:p w:rsidR="007B5A1D" w:rsidRPr="00D162D6" w:rsidRDefault="007B5A1D" w:rsidP="00DC0259">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sidR="005B56AD">
        <w:rPr>
          <w:rFonts w:ascii="Times New Roman" w:hAnsi="Times New Roman" w:cs="Times New Roman"/>
          <w:noProof/>
          <w:sz w:val="28"/>
          <w:szCs w:val="28"/>
          <w:lang w:val="en-US"/>
        </w:rPr>
        <w:drawing>
          <wp:inline distT="0" distB="0" distL="0" distR="0">
            <wp:extent cx="5934075" cy="1457325"/>
            <wp:effectExtent l="0" t="0" r="9525" b="9525"/>
            <wp:docPr id="160" name="Рисунок 160" descr="Untitled-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ntitled-1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34075" cy="1457325"/>
                    </a:xfrm>
                    <a:prstGeom prst="rect">
                      <a:avLst/>
                    </a:prstGeom>
                    <a:noFill/>
                    <a:ln>
                      <a:noFill/>
                    </a:ln>
                  </pic:spPr>
                </pic:pic>
              </a:graphicData>
            </a:graphic>
          </wp:inline>
        </w:drawing>
      </w:r>
    </w:p>
    <w:p w:rsidR="005B56AD" w:rsidRPr="009E6C7E" w:rsidRDefault="007A4D2A" w:rsidP="00E11480">
      <w:pPr>
        <w:spacing w:line="360" w:lineRule="auto"/>
        <w:jc w:val="both"/>
        <w:rPr>
          <w:rFonts w:ascii="Times New Roman" w:hAnsi="Times New Roman" w:cs="Times New Roman"/>
          <w:sz w:val="28"/>
          <w:szCs w:val="28"/>
        </w:rPr>
      </w:pPr>
      <w:r>
        <w:rPr>
          <w:rFonts w:ascii="Times New Roman" w:hAnsi="Times New Roman" w:cs="Times New Roman"/>
          <w:sz w:val="28"/>
          <w:szCs w:val="28"/>
        </w:rPr>
        <w:t>Рис. 3.</w:t>
      </w:r>
      <w:r w:rsidR="00293044">
        <w:rPr>
          <w:rFonts w:ascii="Times New Roman" w:hAnsi="Times New Roman" w:cs="Times New Roman"/>
          <w:sz w:val="28"/>
          <w:szCs w:val="28"/>
        </w:rPr>
        <w:t>3</w:t>
      </w:r>
      <w:r>
        <w:rPr>
          <w:rFonts w:ascii="Times New Roman" w:hAnsi="Times New Roman" w:cs="Times New Roman"/>
          <w:sz w:val="28"/>
          <w:szCs w:val="28"/>
        </w:rPr>
        <w:t>8</w:t>
      </w:r>
      <w:r w:rsidR="005B56AD" w:rsidRPr="00220AD2">
        <w:rPr>
          <w:rFonts w:ascii="Times New Roman" w:hAnsi="Times New Roman" w:cs="Times New Roman"/>
          <w:sz w:val="28"/>
          <w:szCs w:val="28"/>
        </w:rPr>
        <w:t xml:space="preserve">. Результат </w:t>
      </w:r>
      <w:r w:rsidR="005B56AD" w:rsidRPr="00220AD2">
        <w:rPr>
          <w:rFonts w:ascii="Times New Roman" w:hAnsi="Times New Roman" w:cs="Times New Roman"/>
          <w:bCs/>
          <w:sz w:val="28"/>
          <w:szCs w:val="28"/>
        </w:rPr>
        <w:t xml:space="preserve">МРТ-дослідження хворого П., 66 р.,  </w:t>
      </w:r>
      <w:r w:rsidR="005B56AD" w:rsidRPr="00220AD2">
        <w:rPr>
          <w:rFonts w:ascii="Times New Roman" w:eastAsia="Arial CYR" w:hAnsi="Times New Roman" w:cs="Times New Roman"/>
          <w:sz w:val="28"/>
          <w:szCs w:val="28"/>
        </w:rPr>
        <w:t xml:space="preserve">В  середньому сегменті правої нирки по латеральному контуру </w:t>
      </w:r>
      <w:r w:rsidR="005B56AD">
        <w:rPr>
          <w:rFonts w:ascii="Times New Roman" w:eastAsia="Arial CYR" w:hAnsi="Times New Roman" w:cs="Times New Roman"/>
          <w:sz w:val="28"/>
          <w:szCs w:val="28"/>
        </w:rPr>
        <w:t>визначається неоднорідний ткани</w:t>
      </w:r>
      <w:r w:rsidR="005B56AD" w:rsidRPr="00220AD2">
        <w:rPr>
          <w:rFonts w:ascii="Times New Roman" w:eastAsia="Arial CYR" w:hAnsi="Times New Roman" w:cs="Times New Roman"/>
          <w:sz w:val="28"/>
          <w:szCs w:val="28"/>
        </w:rPr>
        <w:t>нний утвір розміро</w:t>
      </w:r>
      <w:r w:rsidR="005B56AD">
        <w:rPr>
          <w:rFonts w:ascii="Times New Roman" w:eastAsia="Arial CYR" w:hAnsi="Times New Roman" w:cs="Times New Roman"/>
          <w:sz w:val="28"/>
          <w:szCs w:val="28"/>
        </w:rPr>
        <w:t>м</w:t>
      </w:r>
      <w:r w:rsidR="005B56AD" w:rsidRPr="00220AD2">
        <w:rPr>
          <w:rFonts w:ascii="Times New Roman" w:eastAsia="Arial CYR" w:hAnsi="Times New Roman" w:cs="Times New Roman"/>
          <w:sz w:val="28"/>
          <w:szCs w:val="28"/>
        </w:rPr>
        <w:t xml:space="preserve"> </w:t>
      </w:r>
      <w:r w:rsidR="005B56AD" w:rsidRPr="00220AD2">
        <w:rPr>
          <w:rFonts w:ascii="Times New Roman" w:hAnsi="Times New Roman" w:cs="Times New Roman"/>
          <w:sz w:val="28"/>
          <w:szCs w:val="28"/>
        </w:rPr>
        <w:t xml:space="preserve">9,84х9,76х8,97, </w:t>
      </w:r>
      <w:r w:rsidR="005B56AD" w:rsidRPr="00220AD2">
        <w:rPr>
          <w:rFonts w:ascii="Times New Roman" w:eastAsia="Arial CYR" w:hAnsi="Times New Roman" w:cs="Times New Roman"/>
          <w:sz w:val="28"/>
          <w:szCs w:val="28"/>
        </w:rPr>
        <w:t>гіпоінтенсивний на Т1-ЗЗ по відношенню до тканини нирки, гіперінтенсивний на Т2-ЗЗ, в проекції тканини утвору визначається обмеження дифузії.</w:t>
      </w:r>
      <w:r w:rsidR="005B56AD">
        <w:rPr>
          <w:rFonts w:ascii="Times New Roman" w:eastAsia="Arial CYR" w:hAnsi="Times New Roman" w:cs="Times New Roman"/>
          <w:sz w:val="28"/>
          <w:szCs w:val="28"/>
        </w:rPr>
        <w:t xml:space="preserve"> А: осьове Т2-ЗЗ в режимі </w:t>
      </w:r>
      <w:r w:rsidR="005B56AD">
        <w:rPr>
          <w:rFonts w:ascii="Times New Roman" w:eastAsia="Arial CYR" w:hAnsi="Times New Roman" w:cs="Times New Roman"/>
          <w:sz w:val="28"/>
          <w:szCs w:val="28"/>
          <w:lang w:val="en-US"/>
        </w:rPr>
        <w:t>SSFSE</w:t>
      </w:r>
      <w:r w:rsidR="005B56AD" w:rsidRPr="009E6C7E">
        <w:rPr>
          <w:rFonts w:ascii="Times New Roman" w:eastAsia="Arial CYR" w:hAnsi="Times New Roman" w:cs="Times New Roman"/>
          <w:sz w:val="28"/>
          <w:szCs w:val="28"/>
        </w:rPr>
        <w:t xml:space="preserve"> </w:t>
      </w:r>
      <w:r w:rsidR="005B56AD">
        <w:rPr>
          <w:rFonts w:ascii="Times New Roman" w:eastAsia="Arial CYR" w:hAnsi="Times New Roman" w:cs="Times New Roman"/>
          <w:sz w:val="28"/>
          <w:szCs w:val="28"/>
          <w:lang w:val="en-US"/>
        </w:rPr>
        <w:t>Fat</w:t>
      </w:r>
      <w:r w:rsidR="005B56AD" w:rsidRPr="009E6C7E">
        <w:rPr>
          <w:rFonts w:ascii="Times New Roman" w:eastAsia="Arial CYR" w:hAnsi="Times New Roman" w:cs="Times New Roman"/>
          <w:sz w:val="28"/>
          <w:szCs w:val="28"/>
        </w:rPr>
        <w:t xml:space="preserve"> </w:t>
      </w:r>
      <w:r w:rsidR="005B56AD">
        <w:rPr>
          <w:rFonts w:ascii="Times New Roman" w:eastAsia="Arial CYR" w:hAnsi="Times New Roman" w:cs="Times New Roman"/>
          <w:sz w:val="28"/>
          <w:szCs w:val="28"/>
          <w:lang w:val="en-US"/>
        </w:rPr>
        <w:t>Sat</w:t>
      </w:r>
      <w:r w:rsidR="005B56AD" w:rsidRPr="009E6C7E">
        <w:rPr>
          <w:rFonts w:ascii="Times New Roman" w:eastAsia="Arial CYR" w:hAnsi="Times New Roman" w:cs="Times New Roman"/>
          <w:sz w:val="28"/>
          <w:szCs w:val="28"/>
        </w:rPr>
        <w:t xml:space="preserve">: </w:t>
      </w:r>
      <w:r w:rsidR="005B56AD">
        <w:rPr>
          <w:rFonts w:ascii="Times New Roman" w:eastAsia="Arial CYR" w:hAnsi="Times New Roman" w:cs="Times New Roman"/>
          <w:sz w:val="28"/>
          <w:szCs w:val="28"/>
        </w:rPr>
        <w:t xml:space="preserve">Б: осьове дифузійно-зважене зображення; В: ВКД-карта, ОЗ над ділянкою із найменшим значенням ВКД (оминаючи ділянки некрозу), яке становило </w:t>
      </w:r>
      <w:r w:rsidR="005B56AD">
        <w:rPr>
          <w:rFonts w:ascii="Times New Roman" w:hAnsi="Times New Roman"/>
          <w:sz w:val="28"/>
          <w:szCs w:val="28"/>
        </w:rPr>
        <w:t>1,77</w:t>
      </w:r>
      <w:r w:rsidR="005B56AD" w:rsidRPr="00153D69">
        <w:rPr>
          <w:rFonts w:ascii="Times New Roman" w:hAnsi="Times New Roman" w:cs="Times New Roman"/>
          <w:sz w:val="28"/>
          <w:szCs w:val="28"/>
        </w:rPr>
        <w:t>×</w:t>
      </w:r>
      <w:r w:rsidR="005B56AD" w:rsidRPr="00153D69">
        <w:rPr>
          <w:rFonts w:ascii="Times New Roman" w:hAnsi="Times New Roman"/>
          <w:sz w:val="28"/>
          <w:szCs w:val="28"/>
        </w:rPr>
        <w:t>10</w:t>
      </w:r>
      <w:r w:rsidR="005B56AD" w:rsidRPr="00153D69">
        <w:rPr>
          <w:rFonts w:ascii="Times New Roman" w:hAnsi="Times New Roman"/>
          <w:sz w:val="28"/>
          <w:szCs w:val="28"/>
          <w:vertAlign w:val="superscript"/>
        </w:rPr>
        <w:t>-3</w:t>
      </w:r>
      <w:r w:rsidR="005B56AD" w:rsidRPr="00153D69">
        <w:rPr>
          <w:rFonts w:ascii="Times New Roman" w:hAnsi="Times New Roman"/>
          <w:sz w:val="28"/>
          <w:szCs w:val="28"/>
        </w:rPr>
        <w:t xml:space="preserve"> мм</w:t>
      </w:r>
      <w:r w:rsidR="005B56AD" w:rsidRPr="00153D69">
        <w:rPr>
          <w:rFonts w:ascii="Times New Roman" w:hAnsi="Times New Roman"/>
          <w:sz w:val="28"/>
          <w:szCs w:val="28"/>
          <w:vertAlign w:val="superscript"/>
        </w:rPr>
        <w:t>2</w:t>
      </w:r>
      <w:r w:rsidR="005B56AD" w:rsidRPr="00153D69">
        <w:rPr>
          <w:rFonts w:ascii="Times New Roman" w:hAnsi="Times New Roman"/>
          <w:sz w:val="28"/>
          <w:szCs w:val="28"/>
        </w:rPr>
        <w:t>/с</w:t>
      </w:r>
      <w:r w:rsidR="005B56AD">
        <w:rPr>
          <w:rFonts w:ascii="Times New Roman" w:hAnsi="Times New Roman"/>
          <w:sz w:val="28"/>
          <w:szCs w:val="28"/>
        </w:rPr>
        <w:t xml:space="preserve">. </w:t>
      </w:r>
      <w:r w:rsidR="005B56AD">
        <w:rPr>
          <w:rFonts w:ascii="Times New Roman" w:hAnsi="Times New Roman" w:cs="Times New Roman"/>
          <w:bCs/>
          <w:sz w:val="28"/>
          <w:szCs w:val="28"/>
        </w:rPr>
        <w:t>Хворому виконана радикальна нефректомія. Патоморфологічне заключення: ск</w:t>
      </w:r>
      <w:r w:rsidR="005B56AD" w:rsidRPr="008C5984">
        <w:rPr>
          <w:rFonts w:ascii="Times New Roman" w:hAnsi="Times New Roman" w:cs="Times New Roman"/>
          <w:bCs/>
          <w:sz w:val="28"/>
          <w:szCs w:val="28"/>
        </w:rPr>
        <w:t xml:space="preserve">НКР </w:t>
      </w:r>
      <w:r w:rsidR="005B56AD">
        <w:rPr>
          <w:rFonts w:ascii="Times New Roman" w:hAnsi="Times New Roman" w:cs="Times New Roman"/>
          <w:bCs/>
          <w:sz w:val="28"/>
          <w:szCs w:val="28"/>
        </w:rPr>
        <w:t>правої</w:t>
      </w:r>
      <w:r w:rsidR="005B56AD" w:rsidRPr="008C5984">
        <w:rPr>
          <w:rFonts w:ascii="Times New Roman" w:hAnsi="Times New Roman" w:cs="Times New Roman"/>
          <w:bCs/>
          <w:sz w:val="28"/>
          <w:szCs w:val="28"/>
        </w:rPr>
        <w:t xml:space="preserve"> нирки, </w:t>
      </w:r>
      <w:r w:rsidR="005B56AD">
        <w:rPr>
          <w:rFonts w:ascii="Times New Roman" w:hAnsi="Times New Roman" w:cs="Times New Roman"/>
          <w:bCs/>
          <w:sz w:val="28"/>
          <w:szCs w:val="28"/>
          <w:lang w:val="en-US"/>
        </w:rPr>
        <w:t>p</w:t>
      </w:r>
      <w:r w:rsidR="005B56AD">
        <w:rPr>
          <w:rFonts w:ascii="Times New Roman" w:hAnsi="Times New Roman" w:cs="Times New Roman"/>
          <w:bCs/>
          <w:sz w:val="28"/>
          <w:szCs w:val="28"/>
        </w:rPr>
        <w:t>Т2b</w:t>
      </w:r>
      <w:r w:rsidR="005B56AD">
        <w:rPr>
          <w:rFonts w:ascii="Times New Roman" w:hAnsi="Times New Roman" w:cs="Times New Roman"/>
          <w:bCs/>
          <w:sz w:val="28"/>
          <w:szCs w:val="28"/>
          <w:lang w:val="en-US"/>
        </w:rPr>
        <w:t>N</w:t>
      </w:r>
      <w:r w:rsidR="005B56AD" w:rsidRPr="009E6C7E">
        <w:rPr>
          <w:rFonts w:ascii="Times New Roman" w:hAnsi="Times New Roman" w:cs="Times New Roman"/>
          <w:bCs/>
          <w:sz w:val="28"/>
          <w:szCs w:val="28"/>
        </w:rPr>
        <w:t>0</w:t>
      </w:r>
      <w:r w:rsidR="005B56AD">
        <w:rPr>
          <w:rFonts w:ascii="Times New Roman" w:hAnsi="Times New Roman" w:cs="Times New Roman"/>
          <w:bCs/>
          <w:sz w:val="28"/>
          <w:szCs w:val="28"/>
          <w:lang w:val="en-US"/>
        </w:rPr>
        <w:t>M</w:t>
      </w:r>
      <w:r w:rsidR="005B56AD" w:rsidRPr="009E6C7E">
        <w:rPr>
          <w:rFonts w:ascii="Times New Roman" w:hAnsi="Times New Roman" w:cs="Times New Roman"/>
          <w:bCs/>
          <w:sz w:val="28"/>
          <w:szCs w:val="28"/>
        </w:rPr>
        <w:t>0</w:t>
      </w:r>
      <w:r w:rsidR="005B56AD">
        <w:rPr>
          <w:rFonts w:ascii="Times New Roman" w:hAnsi="Times New Roman" w:cs="Times New Roman"/>
          <w:bCs/>
          <w:sz w:val="28"/>
          <w:szCs w:val="28"/>
        </w:rPr>
        <w:t>, І</w:t>
      </w:r>
      <w:r w:rsidR="005B56AD">
        <w:rPr>
          <w:rFonts w:ascii="Times New Roman" w:hAnsi="Times New Roman" w:cs="Times New Roman"/>
          <w:bCs/>
          <w:sz w:val="28"/>
          <w:szCs w:val="28"/>
          <w:lang w:val="en-US"/>
        </w:rPr>
        <w:t>V</w:t>
      </w:r>
      <w:r w:rsidR="005B56AD" w:rsidRPr="008C5984">
        <w:rPr>
          <w:rFonts w:ascii="Times New Roman" w:hAnsi="Times New Roman" w:cs="Times New Roman"/>
          <w:bCs/>
          <w:sz w:val="28"/>
          <w:szCs w:val="28"/>
        </w:rPr>
        <w:t xml:space="preserve"> ступінь за </w:t>
      </w:r>
      <w:r w:rsidR="005B56AD" w:rsidRPr="008C5984">
        <w:rPr>
          <w:rFonts w:ascii="Times New Roman" w:hAnsi="Times New Roman" w:cs="Times New Roman"/>
          <w:color w:val="131413"/>
          <w:sz w:val="28"/>
          <w:szCs w:val="28"/>
        </w:rPr>
        <w:t>Fuhrman.</w:t>
      </w:r>
    </w:p>
    <w:p w:rsidR="005B56AD" w:rsidRDefault="005B56AD" w:rsidP="005B56AD">
      <w:pPr>
        <w:spacing w:line="360" w:lineRule="auto"/>
        <w:jc w:val="both"/>
        <w:rPr>
          <w:rFonts w:ascii="Times New Roman" w:hAnsi="Times New Roman" w:cs="Times New Roman"/>
          <w:sz w:val="28"/>
          <w:szCs w:val="28"/>
        </w:rPr>
      </w:pPr>
    </w:p>
    <w:p w:rsidR="005B56AD" w:rsidRDefault="005B56AD" w:rsidP="005B56AD">
      <w:pPr>
        <w:spacing w:line="360" w:lineRule="auto"/>
        <w:jc w:val="both"/>
        <w:rPr>
          <w:rFonts w:ascii="Times New Roman" w:hAnsi="Times New Roman"/>
          <w:sz w:val="28"/>
          <w:szCs w:val="28"/>
        </w:rPr>
      </w:pPr>
      <w:r w:rsidRPr="00652AD0">
        <w:rPr>
          <w:rFonts w:ascii="Times New Roman" w:hAnsi="Times New Roman"/>
          <w:noProof/>
          <w:sz w:val="28"/>
          <w:szCs w:val="28"/>
          <w:lang w:val="en-US"/>
        </w:rPr>
        <mc:AlternateContent>
          <mc:Choice Requires="wps">
            <w:drawing>
              <wp:anchor distT="0" distB="0" distL="114300" distR="114300" simplePos="0" relativeHeight="251730944" behindDoc="0" locked="0" layoutInCell="1" allowOverlap="1" wp14:anchorId="5476B7E2" wp14:editId="69794B24">
                <wp:simplePos x="0" y="0"/>
                <wp:positionH relativeFrom="page">
                  <wp:posOffset>5099685</wp:posOffset>
                </wp:positionH>
                <wp:positionV relativeFrom="paragraph">
                  <wp:posOffset>2752090</wp:posOffset>
                </wp:positionV>
                <wp:extent cx="2533650" cy="400050"/>
                <wp:effectExtent l="0" t="0" r="0" b="0"/>
                <wp:wrapNone/>
                <wp:docPr id="146" name="Надпись 146"/>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Ж</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76B7E2" id="Надпись 146" o:spid="_x0000_s1069" type="#_x0000_t202" style="position:absolute;left:0;text-align:left;margin-left:401.55pt;margin-top:216.7pt;width:199.5pt;height:31.5pt;z-index:25173094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" filled="f" stroked="f">
                <v:textbo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Ж</w:t>
                      </w:r>
                    </w:p>
                  </w:txbxContent>
                </v:textbox>
                <w10:wrap anchorx="page"/>
              </v:shape>
            </w:pict>
          </mc:Fallback>
        </mc:AlternateContent>
      </w:r>
      <w:r w:rsidRPr="00652AD0">
        <w:rPr>
          <w:rFonts w:ascii="Times New Roman" w:hAnsi="Times New Roman"/>
          <w:noProof/>
          <w:sz w:val="28"/>
          <w:szCs w:val="28"/>
          <w:lang w:val="en-US"/>
        </w:rPr>
        <mc:AlternateContent>
          <mc:Choice Requires="wps">
            <w:drawing>
              <wp:anchor distT="0" distB="0" distL="114300" distR="114300" simplePos="0" relativeHeight="251729920" behindDoc="0" locked="0" layoutInCell="1" allowOverlap="1" wp14:anchorId="6D448F73" wp14:editId="7A4013C7">
                <wp:simplePos x="0" y="0"/>
                <wp:positionH relativeFrom="page">
                  <wp:posOffset>3099435</wp:posOffset>
                </wp:positionH>
                <wp:positionV relativeFrom="paragraph">
                  <wp:posOffset>2761615</wp:posOffset>
                </wp:positionV>
                <wp:extent cx="2533650" cy="400050"/>
                <wp:effectExtent l="0" t="0" r="0" b="0"/>
                <wp:wrapNone/>
                <wp:docPr id="147" name="Надпись 147"/>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D448F73" id="Надпись 147" o:spid="_x0000_s1070" type="#_x0000_t202" style="position:absolute;left:0;text-align:left;margin-left:244.05pt;margin-top:217.45pt;width:199.5pt;height:31.5pt;z-index:251729920;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" filled="f" stroked="f">
                <v:textbo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v:textbox>
                <w10:wrap anchorx="page"/>
              </v:shape>
            </w:pict>
          </mc:Fallback>
        </mc:AlternateContent>
      </w:r>
      <w:r w:rsidRPr="00652AD0">
        <w:rPr>
          <w:rFonts w:ascii="Times New Roman" w:hAnsi="Times New Roman"/>
          <w:noProof/>
          <w:sz w:val="28"/>
          <w:szCs w:val="28"/>
          <w:lang w:val="en-US"/>
        </w:rPr>
        <mc:AlternateContent>
          <mc:Choice Requires="wps">
            <w:drawing>
              <wp:anchor distT="0" distB="0" distL="114300" distR="114300" simplePos="0" relativeHeight="251728896" behindDoc="0" locked="0" layoutInCell="1" allowOverlap="1" wp14:anchorId="0743B3CE" wp14:editId="4B5598B6">
                <wp:simplePos x="0" y="0"/>
                <wp:positionH relativeFrom="page">
                  <wp:posOffset>1099185</wp:posOffset>
                </wp:positionH>
                <wp:positionV relativeFrom="paragraph">
                  <wp:posOffset>2723515</wp:posOffset>
                </wp:positionV>
                <wp:extent cx="2533650" cy="400050"/>
                <wp:effectExtent l="0" t="0" r="0" b="0"/>
                <wp:wrapNone/>
                <wp:docPr id="148" name="Надпись 148"/>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743B3CE" id="Надпись 148" o:spid="_x0000_s1071" type="#_x0000_t202" style="position:absolute;left:0;text-align:left;margin-left:86.55pt;margin-top:214.45pt;width:199.5pt;height:31.5pt;z-index:251728896;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" filled="f" stroked="f">
                <v:textbo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w10:wrap anchorx="page"/>
              </v:shape>
            </w:pict>
          </mc:Fallback>
        </mc:AlternateContent>
      </w:r>
      <w:r w:rsidRPr="00652AD0">
        <w:rPr>
          <w:rFonts w:ascii="Times New Roman" w:hAnsi="Times New Roman"/>
          <w:noProof/>
          <w:sz w:val="28"/>
          <w:szCs w:val="28"/>
          <w:lang w:val="en-US"/>
        </w:rPr>
        <mc:AlternateContent>
          <mc:Choice Requires="wps">
            <w:drawing>
              <wp:anchor distT="0" distB="0" distL="114300" distR="114300" simplePos="0" relativeHeight="251727872" behindDoc="0" locked="0" layoutInCell="1" allowOverlap="1" wp14:anchorId="2DD064C5" wp14:editId="2EB6AD90">
                <wp:simplePos x="0" y="0"/>
                <wp:positionH relativeFrom="page">
                  <wp:posOffset>5061585</wp:posOffset>
                </wp:positionH>
                <wp:positionV relativeFrom="paragraph">
                  <wp:posOffset>1151890</wp:posOffset>
                </wp:positionV>
                <wp:extent cx="2533650" cy="400050"/>
                <wp:effectExtent l="0" t="0" r="0" b="0"/>
                <wp:wrapNone/>
                <wp:docPr id="149" name="Надпись 149"/>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D064C5" id="Надпись 149" o:spid="_x0000_s1072" type="#_x0000_t202" style="position:absolute;left:0;text-align:left;margin-left:398.55pt;margin-top:90.7pt;width:199.5pt;height:31.5pt;z-index:25172787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" filled="f" stroked="f">
                <v:textbo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r w:rsidRPr="00652AD0">
        <w:rPr>
          <w:rFonts w:ascii="Times New Roman" w:hAnsi="Times New Roman"/>
          <w:noProof/>
          <w:sz w:val="28"/>
          <w:szCs w:val="28"/>
          <w:lang w:val="en-US"/>
        </w:rPr>
        <mc:AlternateContent>
          <mc:Choice Requires="wps">
            <w:drawing>
              <wp:anchor distT="0" distB="0" distL="114300" distR="114300" simplePos="0" relativeHeight="251725824" behindDoc="0" locked="0" layoutInCell="1" allowOverlap="1" wp14:anchorId="312D388B" wp14:editId="2EDEEE0F">
                <wp:simplePos x="0" y="0"/>
                <wp:positionH relativeFrom="page">
                  <wp:posOffset>1094105</wp:posOffset>
                </wp:positionH>
                <wp:positionV relativeFrom="paragraph">
                  <wp:posOffset>1170940</wp:posOffset>
                </wp:positionV>
                <wp:extent cx="2533650" cy="400050"/>
                <wp:effectExtent l="0" t="0" r="0" b="0"/>
                <wp:wrapNone/>
                <wp:docPr id="150" name="Надпись 150"/>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2D388B" id="Надпись 150" o:spid="_x0000_s1073" type="#_x0000_t202" style="position:absolute;left:0;text-align:left;margin-left:86.15pt;margin-top:92.2pt;width:199.5pt;height:31.5pt;z-index:25172582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" filled="f" stroked="f">
                <v:textbo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sidRPr="00652AD0">
        <w:rPr>
          <w:rFonts w:ascii="Times New Roman" w:hAnsi="Times New Roman"/>
          <w:noProof/>
          <w:sz w:val="28"/>
          <w:szCs w:val="28"/>
          <w:lang w:val="en-US"/>
        </w:rPr>
        <mc:AlternateContent>
          <mc:Choice Requires="wps">
            <w:drawing>
              <wp:anchor distT="0" distB="0" distL="114300" distR="114300" simplePos="0" relativeHeight="251726848" behindDoc="0" locked="0" layoutInCell="1" allowOverlap="1" wp14:anchorId="395F8CD1" wp14:editId="21A9FFD3">
                <wp:simplePos x="0" y="0"/>
                <wp:positionH relativeFrom="page">
                  <wp:posOffset>3089910</wp:posOffset>
                </wp:positionH>
                <wp:positionV relativeFrom="paragraph">
                  <wp:posOffset>1161415</wp:posOffset>
                </wp:positionV>
                <wp:extent cx="2533650" cy="400050"/>
                <wp:effectExtent l="0" t="0" r="0" b="0"/>
                <wp:wrapNone/>
                <wp:docPr id="151" name="Надпись 151"/>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95F8CD1" id="Надпись 151" o:spid="_x0000_s1074" type="#_x0000_t202" style="position:absolute;left:0;text-align:left;margin-left:243.3pt;margin-top:91.45pt;width:199.5pt;height:31.5pt;z-index:25172684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" filled="f" stroked="f">
                <v:textbox>
                  <w:txbxContent>
                    <w:p w:rsidR="007B5A1D" w:rsidRPr="00D162D6" w:rsidRDefault="007B5A1D" w:rsidP="005B56AD">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Pr>
          <w:rFonts w:ascii="Times New Roman" w:hAnsi="Times New Roman"/>
          <w:noProof/>
          <w:sz w:val="28"/>
          <w:szCs w:val="28"/>
          <w:lang w:val="en-US"/>
        </w:rPr>
        <w:drawing>
          <wp:inline distT="0" distB="0" distL="0" distR="0" wp14:anchorId="11C80996" wp14:editId="4224815B">
            <wp:extent cx="5934075" cy="3143250"/>
            <wp:effectExtent l="0" t="0" r="9525" b="0"/>
            <wp:docPr id="158" name="Рисунок 158" descr="C:\Users\HOME\AppData\Local\Microsoft\Windows\INetCache\Content.Word\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HOME\AppData\Local\Microsoft\Windows\INetCache\Content.Word\Untitled-1.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34075" cy="3143250"/>
                    </a:xfrm>
                    <a:prstGeom prst="rect">
                      <a:avLst/>
                    </a:prstGeom>
                    <a:noFill/>
                    <a:ln>
                      <a:noFill/>
                    </a:ln>
                  </pic:spPr>
                </pic:pic>
              </a:graphicData>
            </a:graphic>
          </wp:inline>
        </w:drawing>
      </w:r>
    </w:p>
    <w:p w:rsidR="005B56AD" w:rsidRPr="009E6C7E" w:rsidRDefault="007A4D2A" w:rsidP="005B56AD">
      <w:pPr>
        <w:spacing w:line="360" w:lineRule="auto"/>
        <w:ind w:firstLine="708"/>
        <w:jc w:val="both"/>
        <w:rPr>
          <w:rFonts w:ascii="Times New Roman CYR" w:hAnsi="Times New Roman CYR" w:cs="Times New Roman"/>
          <w:bCs/>
          <w:sz w:val="28"/>
          <w:szCs w:val="28"/>
        </w:rPr>
      </w:pPr>
      <w:r>
        <w:rPr>
          <w:rFonts w:ascii="Times New Roman" w:hAnsi="Times New Roman" w:cs="Times New Roman"/>
          <w:sz w:val="28"/>
          <w:szCs w:val="28"/>
        </w:rPr>
        <w:t>Рис. 3.39</w:t>
      </w:r>
      <w:r w:rsidR="005B56AD" w:rsidRPr="00652AD0">
        <w:rPr>
          <w:rFonts w:ascii="Times New Roman" w:hAnsi="Times New Roman" w:cs="Times New Roman"/>
          <w:sz w:val="28"/>
          <w:szCs w:val="28"/>
        </w:rPr>
        <w:t xml:space="preserve">. Результат </w:t>
      </w:r>
      <w:r w:rsidR="005B56AD" w:rsidRPr="00652AD0">
        <w:rPr>
          <w:rFonts w:ascii="Times New Roman CYR" w:hAnsi="Times New Roman CYR" w:cs="Times New Roman"/>
          <w:bCs/>
          <w:sz w:val="28"/>
          <w:szCs w:val="28"/>
        </w:rPr>
        <w:t xml:space="preserve">МРТ-дослідження хворого Р., 68 р., </w:t>
      </w:r>
      <w:r w:rsidR="005B56AD" w:rsidRPr="00652AD0">
        <w:rPr>
          <w:rFonts w:ascii="Times New Roman" w:eastAsia="Arial CYR" w:hAnsi="Times New Roman" w:cs="Times New Roman"/>
          <w:sz w:val="28"/>
          <w:szCs w:val="28"/>
        </w:rPr>
        <w:t>В проекції нижнього сегменту лівої нирки визначається неоднорідний тканинний утвір</w:t>
      </w:r>
      <w:r w:rsidR="005B56AD" w:rsidRPr="00652AD0">
        <w:rPr>
          <w:rFonts w:ascii="Times New Roman CYR" w:hAnsi="Times New Roman CYR" w:cs="Times New Roman"/>
          <w:bCs/>
          <w:sz w:val="28"/>
          <w:szCs w:val="28"/>
        </w:rPr>
        <w:t xml:space="preserve"> </w:t>
      </w:r>
      <w:r w:rsidR="005B56AD" w:rsidRPr="00652AD0">
        <w:rPr>
          <w:rFonts w:ascii="Times New Roman CYR" w:hAnsi="Times New Roman CYR" w:cs="Times New Roman"/>
          <w:bCs/>
          <w:sz w:val="28"/>
          <w:szCs w:val="28"/>
        </w:rPr>
        <w:lastRenderedPageBreak/>
        <w:t xml:space="preserve">розміром 7,78х7,21х6,70 (стрілки), </w:t>
      </w:r>
      <w:r w:rsidR="005B56AD" w:rsidRPr="00652AD0">
        <w:rPr>
          <w:rFonts w:ascii="Times New Roman" w:eastAsia="Arial CYR" w:hAnsi="Times New Roman" w:cs="Times New Roman"/>
          <w:sz w:val="28"/>
          <w:szCs w:val="28"/>
        </w:rPr>
        <w:t>з гіперінтенсивними включеннями (кистовидними зонами)</w:t>
      </w:r>
      <w:r w:rsidR="005B56AD">
        <w:rPr>
          <w:rFonts w:ascii="Times New Roman" w:eastAsia="Arial CYR" w:hAnsi="Times New Roman" w:cs="Times New Roman"/>
          <w:sz w:val="28"/>
          <w:szCs w:val="28"/>
        </w:rPr>
        <w:t xml:space="preserve"> на Т2-ЗЗ</w:t>
      </w:r>
      <w:r w:rsidR="005B56AD" w:rsidRPr="00652AD0">
        <w:rPr>
          <w:rFonts w:ascii="Times New Roman" w:eastAsia="Arial CYR" w:hAnsi="Times New Roman" w:cs="Times New Roman"/>
          <w:sz w:val="28"/>
          <w:szCs w:val="28"/>
        </w:rPr>
        <w:t>, незначно гіперінтенсивний по відношенню до тканини нирки на Т1</w:t>
      </w:r>
      <w:r w:rsidR="005B56AD">
        <w:rPr>
          <w:rFonts w:ascii="Times New Roman" w:eastAsia="Arial CYR" w:hAnsi="Times New Roman" w:cs="Times New Roman"/>
          <w:sz w:val="28"/>
          <w:szCs w:val="28"/>
        </w:rPr>
        <w:t>-ЗЗ</w:t>
      </w:r>
      <w:r w:rsidR="005B56AD" w:rsidRPr="00652AD0">
        <w:rPr>
          <w:rFonts w:ascii="Times New Roman" w:eastAsia="Arial CYR" w:hAnsi="Times New Roman" w:cs="Times New Roman"/>
          <w:sz w:val="28"/>
          <w:szCs w:val="28"/>
        </w:rPr>
        <w:t xml:space="preserve">, гіперінтенсивний на </w:t>
      </w:r>
      <w:r w:rsidR="005B56AD">
        <w:rPr>
          <w:rFonts w:ascii="Times New Roman" w:eastAsia="Arial CYR" w:hAnsi="Times New Roman" w:cs="Times New Roman"/>
          <w:sz w:val="28"/>
          <w:szCs w:val="28"/>
        </w:rPr>
        <w:t>ДЗЗ</w:t>
      </w:r>
      <w:r w:rsidR="005B56AD" w:rsidRPr="00652AD0">
        <w:rPr>
          <w:rFonts w:ascii="Times New Roman" w:eastAsia="Arial CYR" w:hAnsi="Times New Roman" w:cs="Times New Roman"/>
          <w:sz w:val="28"/>
          <w:szCs w:val="28"/>
        </w:rPr>
        <w:t>; парааортально зліва позаду додаткової лівої ниркової вени визначається лімфатичний вузол до 1,6 с</w:t>
      </w:r>
      <w:r w:rsidR="005B56AD">
        <w:rPr>
          <w:rFonts w:ascii="Times New Roman" w:eastAsia="Arial CYR" w:hAnsi="Times New Roman" w:cs="Times New Roman"/>
          <w:sz w:val="28"/>
          <w:szCs w:val="28"/>
        </w:rPr>
        <w:t xml:space="preserve">м. А: корональне Т2-ЗЗ в режимі </w:t>
      </w:r>
      <w:r w:rsidR="005B56AD">
        <w:rPr>
          <w:rFonts w:ascii="Times New Roman" w:eastAsia="Arial CYR" w:hAnsi="Times New Roman" w:cs="Times New Roman"/>
          <w:sz w:val="28"/>
          <w:szCs w:val="28"/>
          <w:lang w:val="en-US"/>
        </w:rPr>
        <w:t>SSFSE</w:t>
      </w:r>
      <w:r w:rsidR="005B56AD">
        <w:rPr>
          <w:rFonts w:ascii="Times New Roman" w:eastAsia="Arial CYR" w:hAnsi="Times New Roman" w:cs="Times New Roman"/>
          <w:sz w:val="28"/>
          <w:szCs w:val="28"/>
        </w:rPr>
        <w:t xml:space="preserve">; Б: корональне пре-контрастне Т1-ЗЗ в режимі </w:t>
      </w:r>
      <w:r w:rsidR="005B56AD">
        <w:rPr>
          <w:rFonts w:ascii="Times New Roman" w:eastAsia="Arial CYR" w:hAnsi="Times New Roman" w:cs="Times New Roman"/>
          <w:sz w:val="28"/>
          <w:szCs w:val="28"/>
          <w:lang w:val="en-US"/>
        </w:rPr>
        <w:t>Lava</w:t>
      </w:r>
      <w:r w:rsidR="005B56AD" w:rsidRPr="009E6C7E">
        <w:rPr>
          <w:rFonts w:ascii="Times New Roman" w:eastAsia="Arial CYR" w:hAnsi="Times New Roman" w:cs="Times New Roman"/>
          <w:sz w:val="28"/>
          <w:szCs w:val="28"/>
        </w:rPr>
        <w:t>;</w:t>
      </w:r>
      <w:r w:rsidR="005B56AD">
        <w:rPr>
          <w:rFonts w:ascii="Times New Roman" w:eastAsia="Arial CYR" w:hAnsi="Times New Roman" w:cs="Times New Roman"/>
          <w:sz w:val="28"/>
          <w:szCs w:val="28"/>
        </w:rPr>
        <w:t xml:space="preserve"> В: корональне Т1-ЗЗ в режимі </w:t>
      </w:r>
      <w:r w:rsidR="005B56AD">
        <w:rPr>
          <w:rFonts w:ascii="Times New Roman" w:eastAsia="Arial CYR" w:hAnsi="Times New Roman" w:cs="Times New Roman"/>
          <w:sz w:val="28"/>
          <w:szCs w:val="28"/>
          <w:lang w:val="en-US"/>
        </w:rPr>
        <w:t>Lava</w:t>
      </w:r>
      <w:r w:rsidR="005B56AD">
        <w:rPr>
          <w:rFonts w:ascii="Times New Roman" w:eastAsia="Arial CYR" w:hAnsi="Times New Roman" w:cs="Times New Roman"/>
          <w:sz w:val="28"/>
          <w:szCs w:val="28"/>
        </w:rPr>
        <w:t xml:space="preserve">, кортико-медулярна фаза; Г: осьове Т1-ЗЗ в режимі </w:t>
      </w:r>
      <w:r w:rsidR="005B56AD">
        <w:rPr>
          <w:rFonts w:ascii="Times New Roman" w:eastAsia="Arial CYR" w:hAnsi="Times New Roman" w:cs="Times New Roman"/>
          <w:sz w:val="28"/>
          <w:szCs w:val="28"/>
          <w:lang w:val="en-US"/>
        </w:rPr>
        <w:t>Lava</w:t>
      </w:r>
      <w:r w:rsidR="005B56AD">
        <w:rPr>
          <w:rFonts w:ascii="Times New Roman" w:eastAsia="Arial CYR" w:hAnsi="Times New Roman" w:cs="Times New Roman"/>
          <w:sz w:val="28"/>
          <w:szCs w:val="28"/>
        </w:rPr>
        <w:t xml:space="preserve">, нефрографічна фаза; Д: осьове дифузійно-зважене зображення; Ж: ВКД-карта, ОЗ над ділянкою із найменшим значенням ВКД, яке становило </w:t>
      </w:r>
      <w:r w:rsidR="005B56AD">
        <w:rPr>
          <w:rFonts w:ascii="Times New Roman" w:hAnsi="Times New Roman"/>
          <w:sz w:val="28"/>
          <w:szCs w:val="28"/>
        </w:rPr>
        <w:t>1,70</w:t>
      </w:r>
      <w:r w:rsidR="005B56AD" w:rsidRPr="00153D69">
        <w:rPr>
          <w:rFonts w:ascii="Times New Roman" w:hAnsi="Times New Roman" w:cs="Times New Roman"/>
          <w:sz w:val="28"/>
          <w:szCs w:val="28"/>
        </w:rPr>
        <w:t>×</w:t>
      </w:r>
      <w:r w:rsidR="005B56AD" w:rsidRPr="00153D69">
        <w:rPr>
          <w:rFonts w:ascii="Times New Roman" w:hAnsi="Times New Roman"/>
          <w:sz w:val="28"/>
          <w:szCs w:val="28"/>
        </w:rPr>
        <w:t>10</w:t>
      </w:r>
      <w:r w:rsidR="005B56AD" w:rsidRPr="00153D69">
        <w:rPr>
          <w:rFonts w:ascii="Times New Roman" w:hAnsi="Times New Roman"/>
          <w:sz w:val="28"/>
          <w:szCs w:val="28"/>
          <w:vertAlign w:val="superscript"/>
        </w:rPr>
        <w:t>-3</w:t>
      </w:r>
      <w:r w:rsidR="005B56AD" w:rsidRPr="00153D69">
        <w:rPr>
          <w:rFonts w:ascii="Times New Roman" w:hAnsi="Times New Roman"/>
          <w:sz w:val="28"/>
          <w:szCs w:val="28"/>
        </w:rPr>
        <w:t xml:space="preserve"> мм</w:t>
      </w:r>
      <w:r w:rsidR="005B56AD" w:rsidRPr="00153D69">
        <w:rPr>
          <w:rFonts w:ascii="Times New Roman" w:hAnsi="Times New Roman"/>
          <w:sz w:val="28"/>
          <w:szCs w:val="28"/>
          <w:vertAlign w:val="superscript"/>
        </w:rPr>
        <w:t>2</w:t>
      </w:r>
      <w:r w:rsidR="005B56AD" w:rsidRPr="00153D69">
        <w:rPr>
          <w:rFonts w:ascii="Times New Roman" w:hAnsi="Times New Roman"/>
          <w:sz w:val="28"/>
          <w:szCs w:val="28"/>
        </w:rPr>
        <w:t>/с</w:t>
      </w:r>
      <w:r w:rsidR="005B56AD">
        <w:rPr>
          <w:rFonts w:ascii="Times New Roman" w:hAnsi="Times New Roman"/>
          <w:sz w:val="28"/>
          <w:szCs w:val="28"/>
        </w:rPr>
        <w:t xml:space="preserve">. </w:t>
      </w:r>
      <w:r w:rsidR="005B56AD">
        <w:rPr>
          <w:rFonts w:ascii="Times New Roman" w:hAnsi="Times New Roman" w:cs="Times New Roman"/>
          <w:bCs/>
          <w:sz w:val="28"/>
          <w:szCs w:val="28"/>
        </w:rPr>
        <w:t>Хворому виконана радикальна нефректомія. Патоморфологічне заключення: ск</w:t>
      </w:r>
      <w:r w:rsidR="005B56AD" w:rsidRPr="008C5984">
        <w:rPr>
          <w:rFonts w:ascii="Times New Roman" w:hAnsi="Times New Roman" w:cs="Times New Roman"/>
          <w:bCs/>
          <w:sz w:val="28"/>
          <w:szCs w:val="28"/>
        </w:rPr>
        <w:t xml:space="preserve">НКР </w:t>
      </w:r>
      <w:r w:rsidR="005B56AD">
        <w:rPr>
          <w:rFonts w:ascii="Times New Roman" w:hAnsi="Times New Roman" w:cs="Times New Roman"/>
          <w:bCs/>
          <w:sz w:val="28"/>
          <w:szCs w:val="28"/>
        </w:rPr>
        <w:t>лівої</w:t>
      </w:r>
      <w:r w:rsidR="005B56AD" w:rsidRPr="008C5984">
        <w:rPr>
          <w:rFonts w:ascii="Times New Roman" w:hAnsi="Times New Roman" w:cs="Times New Roman"/>
          <w:bCs/>
          <w:sz w:val="28"/>
          <w:szCs w:val="28"/>
        </w:rPr>
        <w:t xml:space="preserve"> нирки, </w:t>
      </w:r>
      <w:r w:rsidR="005B56AD">
        <w:rPr>
          <w:rFonts w:ascii="Times New Roman" w:hAnsi="Times New Roman" w:cs="Times New Roman"/>
          <w:bCs/>
          <w:sz w:val="28"/>
          <w:szCs w:val="28"/>
          <w:lang w:val="en-US"/>
        </w:rPr>
        <w:t>p</w:t>
      </w:r>
      <w:r w:rsidR="005B56AD">
        <w:rPr>
          <w:rFonts w:ascii="Times New Roman" w:hAnsi="Times New Roman" w:cs="Times New Roman"/>
          <w:bCs/>
          <w:sz w:val="28"/>
          <w:szCs w:val="28"/>
        </w:rPr>
        <w:t>Т2а</w:t>
      </w:r>
      <w:r w:rsidR="005B56AD">
        <w:rPr>
          <w:rFonts w:ascii="Times New Roman" w:hAnsi="Times New Roman" w:cs="Times New Roman"/>
          <w:bCs/>
          <w:sz w:val="28"/>
          <w:szCs w:val="28"/>
          <w:lang w:val="en-US"/>
        </w:rPr>
        <w:t>N</w:t>
      </w:r>
      <w:r w:rsidR="005B56AD" w:rsidRPr="009E6C7E">
        <w:rPr>
          <w:rFonts w:ascii="Times New Roman" w:hAnsi="Times New Roman" w:cs="Times New Roman"/>
          <w:bCs/>
          <w:sz w:val="28"/>
          <w:szCs w:val="28"/>
        </w:rPr>
        <w:t>1</w:t>
      </w:r>
      <w:r w:rsidR="005B56AD">
        <w:rPr>
          <w:rFonts w:ascii="Times New Roman" w:hAnsi="Times New Roman" w:cs="Times New Roman"/>
          <w:bCs/>
          <w:sz w:val="28"/>
          <w:szCs w:val="28"/>
          <w:lang w:val="en-US"/>
        </w:rPr>
        <w:t>M</w:t>
      </w:r>
      <w:r w:rsidR="005B56AD" w:rsidRPr="009E6C7E">
        <w:rPr>
          <w:rFonts w:ascii="Times New Roman" w:hAnsi="Times New Roman" w:cs="Times New Roman"/>
          <w:bCs/>
          <w:sz w:val="28"/>
          <w:szCs w:val="28"/>
        </w:rPr>
        <w:t>0</w:t>
      </w:r>
      <w:r w:rsidR="005B56AD">
        <w:rPr>
          <w:rFonts w:ascii="Times New Roman" w:hAnsi="Times New Roman" w:cs="Times New Roman"/>
          <w:bCs/>
          <w:sz w:val="28"/>
          <w:szCs w:val="28"/>
        </w:rPr>
        <w:t>, ІІІ</w:t>
      </w:r>
      <w:r w:rsidR="005B56AD" w:rsidRPr="008C5984">
        <w:rPr>
          <w:rFonts w:ascii="Times New Roman" w:hAnsi="Times New Roman" w:cs="Times New Roman"/>
          <w:bCs/>
          <w:sz w:val="28"/>
          <w:szCs w:val="28"/>
        </w:rPr>
        <w:t xml:space="preserve"> ступінь за </w:t>
      </w:r>
      <w:r w:rsidR="005B56AD" w:rsidRPr="008C5984">
        <w:rPr>
          <w:rFonts w:ascii="Times New Roman" w:hAnsi="Times New Roman" w:cs="Times New Roman"/>
          <w:color w:val="131413"/>
          <w:sz w:val="28"/>
          <w:szCs w:val="28"/>
        </w:rPr>
        <w:t>Fuhrman.</w:t>
      </w:r>
    </w:p>
    <w:p w:rsidR="005B56AD" w:rsidRDefault="005B56AD" w:rsidP="00817533">
      <w:pPr>
        <w:pStyle w:val="Standard"/>
        <w:autoSpaceDE w:val="0"/>
        <w:spacing w:line="276" w:lineRule="auto"/>
        <w:jc w:val="both"/>
        <w:rPr>
          <w:rFonts w:cs="Times New Roman"/>
          <w:sz w:val="28"/>
          <w:szCs w:val="28"/>
        </w:rPr>
      </w:pPr>
    </w:p>
    <w:p w:rsidR="00162D8C" w:rsidRPr="00DD12C0" w:rsidRDefault="00162D8C" w:rsidP="00162D8C">
      <w:pPr>
        <w:spacing w:line="360" w:lineRule="auto"/>
        <w:ind w:firstLine="708"/>
        <w:jc w:val="both"/>
        <w:rPr>
          <w:rFonts w:ascii="Times New Roman" w:hAnsi="Times New Roman"/>
          <w:sz w:val="28"/>
          <w:szCs w:val="28"/>
        </w:rPr>
      </w:pPr>
      <w:r>
        <w:rPr>
          <w:rFonts w:ascii="Times New Roman" w:hAnsi="Times New Roman"/>
          <w:sz w:val="28"/>
          <w:szCs w:val="28"/>
        </w:rPr>
        <w:t>3.2.2</w:t>
      </w:r>
      <w:r w:rsidRPr="00CB3FB6">
        <w:rPr>
          <w:rFonts w:ascii="Times New Roman" w:hAnsi="Times New Roman"/>
          <w:sz w:val="28"/>
          <w:szCs w:val="28"/>
        </w:rPr>
        <w:t xml:space="preserve">. </w:t>
      </w:r>
      <w:r w:rsidRPr="00872780">
        <w:rPr>
          <w:rFonts w:ascii="Times New Roman" w:hAnsi="Times New Roman"/>
          <w:sz w:val="28"/>
          <w:szCs w:val="28"/>
        </w:rPr>
        <w:t>Діагностика</w:t>
      </w:r>
      <w:r>
        <w:rPr>
          <w:rFonts w:ascii="Times New Roman" w:hAnsi="Times New Roman"/>
          <w:sz w:val="28"/>
          <w:szCs w:val="28"/>
        </w:rPr>
        <w:t xml:space="preserve"> кістозного НКР</w:t>
      </w:r>
    </w:p>
    <w:p w:rsidR="00162D8C" w:rsidRPr="007560A0" w:rsidRDefault="00162D8C" w:rsidP="00162D8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Pr="001A168A">
        <w:rPr>
          <w:rFonts w:ascii="Times New Roman" w:hAnsi="Times New Roman" w:cs="Times New Roman"/>
          <w:sz w:val="28"/>
          <w:szCs w:val="28"/>
        </w:rPr>
        <w:t xml:space="preserve"> </w:t>
      </w:r>
      <w:r>
        <w:rPr>
          <w:rFonts w:ascii="Times New Roman" w:hAnsi="Times New Roman" w:cs="Times New Roman"/>
          <w:sz w:val="28"/>
          <w:szCs w:val="28"/>
        </w:rPr>
        <w:t>дослідження</w:t>
      </w:r>
      <w:r w:rsidRPr="001A168A">
        <w:rPr>
          <w:rFonts w:ascii="Times New Roman" w:hAnsi="Times New Roman" w:cs="Times New Roman"/>
          <w:sz w:val="28"/>
          <w:szCs w:val="28"/>
        </w:rPr>
        <w:t xml:space="preserve"> </w:t>
      </w:r>
      <w:r>
        <w:rPr>
          <w:rFonts w:ascii="Times New Roman" w:hAnsi="Times New Roman" w:cs="Times New Roman"/>
          <w:sz w:val="28"/>
          <w:szCs w:val="28"/>
        </w:rPr>
        <w:t>ефективності застосування</w:t>
      </w:r>
      <w:r w:rsidRPr="001A168A">
        <w:rPr>
          <w:rFonts w:ascii="Times New Roman" w:hAnsi="Times New Roman" w:cs="Times New Roman"/>
          <w:sz w:val="28"/>
          <w:szCs w:val="28"/>
        </w:rPr>
        <w:t xml:space="preserve"> </w:t>
      </w:r>
      <w:r>
        <w:rPr>
          <w:rFonts w:ascii="Times New Roman" w:hAnsi="Times New Roman" w:cs="Times New Roman"/>
          <w:sz w:val="28"/>
          <w:szCs w:val="28"/>
        </w:rPr>
        <w:t>новітніх</w:t>
      </w:r>
      <w:r w:rsidRPr="001A168A">
        <w:rPr>
          <w:rFonts w:ascii="Times New Roman" w:hAnsi="Times New Roman" w:cs="Times New Roman"/>
          <w:sz w:val="28"/>
          <w:szCs w:val="28"/>
        </w:rPr>
        <w:t xml:space="preserve"> променевих біомаркерів у диференціації </w:t>
      </w:r>
      <w:r>
        <w:rPr>
          <w:rFonts w:ascii="Times New Roman" w:hAnsi="Times New Roman" w:cs="Times New Roman"/>
          <w:sz w:val="28"/>
          <w:szCs w:val="28"/>
        </w:rPr>
        <w:t>кістозного</w:t>
      </w:r>
      <w:r w:rsidRPr="001A168A">
        <w:rPr>
          <w:rFonts w:ascii="Times New Roman" w:hAnsi="Times New Roman" w:cs="Times New Roman"/>
          <w:sz w:val="28"/>
          <w:szCs w:val="28"/>
        </w:rPr>
        <w:t xml:space="preserve"> </w:t>
      </w:r>
      <w:r>
        <w:rPr>
          <w:rFonts w:ascii="Times New Roman" w:hAnsi="Times New Roman" w:cs="Times New Roman"/>
          <w:sz w:val="28"/>
          <w:szCs w:val="28"/>
        </w:rPr>
        <w:t>НКР розміром понад 4 см,</w:t>
      </w:r>
      <w:r w:rsidRPr="001A168A">
        <w:rPr>
          <w:rFonts w:ascii="Times New Roman" w:hAnsi="Times New Roman" w:cs="Times New Roman"/>
          <w:sz w:val="28"/>
          <w:szCs w:val="28"/>
        </w:rPr>
        <w:t xml:space="preserve"> </w:t>
      </w:r>
      <w:r>
        <w:rPr>
          <w:rFonts w:ascii="Times New Roman" w:hAnsi="Times New Roman" w:cs="Times New Roman"/>
          <w:sz w:val="28"/>
          <w:szCs w:val="28"/>
        </w:rPr>
        <w:t>увійшло</w:t>
      </w:r>
      <w:r w:rsidRPr="001A168A">
        <w:rPr>
          <w:rFonts w:ascii="Times New Roman" w:hAnsi="Times New Roman" w:cs="Times New Roman"/>
          <w:sz w:val="28"/>
          <w:szCs w:val="28"/>
        </w:rPr>
        <w:t xml:space="preserve"> </w:t>
      </w:r>
      <w:r>
        <w:rPr>
          <w:rFonts w:ascii="Times New Roman" w:hAnsi="Times New Roman" w:cs="Times New Roman"/>
          <w:sz w:val="28"/>
          <w:szCs w:val="28"/>
        </w:rPr>
        <w:t>152 випадки</w:t>
      </w:r>
      <w:r w:rsidRPr="001A168A">
        <w:rPr>
          <w:rFonts w:ascii="Times New Roman" w:hAnsi="Times New Roman" w:cs="Times New Roman"/>
          <w:sz w:val="28"/>
          <w:szCs w:val="28"/>
        </w:rPr>
        <w:t xml:space="preserve"> кіст нирок. </w:t>
      </w:r>
      <w:r>
        <w:rPr>
          <w:rFonts w:ascii="Times New Roman" w:hAnsi="Times New Roman" w:cs="Times New Roman"/>
          <w:sz w:val="28"/>
          <w:szCs w:val="28"/>
        </w:rPr>
        <w:t xml:space="preserve">З цією метою </w:t>
      </w:r>
      <w:r w:rsidRPr="001A168A">
        <w:rPr>
          <w:rFonts w:ascii="Times New Roman" w:hAnsi="Times New Roman" w:cs="Times New Roman"/>
          <w:sz w:val="28"/>
          <w:szCs w:val="28"/>
        </w:rPr>
        <w:t xml:space="preserve">нами були опрацьовані історії хворіб хворих із </w:t>
      </w:r>
      <w:r>
        <w:rPr>
          <w:rFonts w:ascii="Times New Roman" w:hAnsi="Times New Roman" w:cs="Times New Roman"/>
          <w:sz w:val="28"/>
          <w:szCs w:val="28"/>
        </w:rPr>
        <w:t>кістами</w:t>
      </w:r>
      <w:r w:rsidRPr="001A168A">
        <w:rPr>
          <w:rFonts w:ascii="Times New Roman" w:hAnsi="Times New Roman" w:cs="Times New Roman"/>
          <w:sz w:val="28"/>
          <w:szCs w:val="28"/>
        </w:rPr>
        <w:t xml:space="preserve"> </w:t>
      </w:r>
      <w:r>
        <w:rPr>
          <w:rFonts w:ascii="Times New Roman" w:hAnsi="Times New Roman" w:cs="Times New Roman"/>
          <w:sz w:val="28"/>
          <w:szCs w:val="28"/>
        </w:rPr>
        <w:t xml:space="preserve">нирок </w:t>
      </w:r>
      <w:r w:rsidRPr="001A168A">
        <w:rPr>
          <w:rFonts w:ascii="Times New Roman" w:hAnsi="Times New Roman" w:cs="Times New Roman"/>
          <w:sz w:val="28"/>
          <w:szCs w:val="28"/>
        </w:rPr>
        <w:t xml:space="preserve">та електронні бази із </w:t>
      </w:r>
      <w:r>
        <w:rPr>
          <w:rFonts w:ascii="Times New Roman" w:hAnsi="Times New Roman" w:cs="Times New Roman"/>
          <w:sz w:val="28"/>
          <w:szCs w:val="28"/>
        </w:rPr>
        <w:t>даними</w:t>
      </w:r>
      <w:r w:rsidRPr="001A168A">
        <w:rPr>
          <w:rFonts w:ascii="Times New Roman" w:hAnsi="Times New Roman" w:cs="Times New Roman"/>
          <w:sz w:val="28"/>
          <w:szCs w:val="28"/>
        </w:rPr>
        <w:t xml:space="preserve"> КТ та МРТ досліджень. </w:t>
      </w:r>
      <w:r>
        <w:rPr>
          <w:rFonts w:ascii="Times New Roman" w:hAnsi="Times New Roman" w:cs="Times New Roman"/>
          <w:sz w:val="28"/>
          <w:szCs w:val="28"/>
        </w:rPr>
        <w:t>Середній вік хворих складав 57,16±7,57 років (від 37 до 68</w:t>
      </w:r>
      <w:r w:rsidRPr="001A168A">
        <w:rPr>
          <w:rFonts w:ascii="Times New Roman" w:hAnsi="Times New Roman" w:cs="Times New Roman"/>
          <w:sz w:val="28"/>
          <w:szCs w:val="28"/>
        </w:rPr>
        <w:t xml:space="preserve"> р.). Гендерний розподіл пацієнтів із </w:t>
      </w:r>
      <w:r>
        <w:rPr>
          <w:rFonts w:ascii="Times New Roman" w:hAnsi="Times New Roman" w:cs="Times New Roman"/>
          <w:sz w:val="28"/>
          <w:szCs w:val="28"/>
        </w:rPr>
        <w:t>кістами нирок</w:t>
      </w:r>
      <w:r w:rsidRPr="001A168A">
        <w:rPr>
          <w:rFonts w:ascii="Times New Roman" w:hAnsi="Times New Roman" w:cs="Times New Roman"/>
          <w:sz w:val="28"/>
          <w:szCs w:val="28"/>
        </w:rPr>
        <w:t xml:space="preserve"> </w:t>
      </w:r>
      <w:r>
        <w:rPr>
          <w:rFonts w:ascii="Times New Roman" w:hAnsi="Times New Roman" w:cs="Times New Roman"/>
          <w:sz w:val="28"/>
          <w:szCs w:val="28"/>
        </w:rPr>
        <w:t>був наступний: 88 (57,89%) чоловіків та 64 (42,11%) жінки</w:t>
      </w:r>
      <w:r w:rsidRPr="001A168A">
        <w:rPr>
          <w:rFonts w:ascii="Times New Roman" w:hAnsi="Times New Roman" w:cs="Times New Roman"/>
          <w:sz w:val="28"/>
          <w:szCs w:val="28"/>
        </w:rPr>
        <w:t xml:space="preserve">. </w:t>
      </w:r>
      <w:r>
        <w:rPr>
          <w:rFonts w:ascii="Times New Roman" w:hAnsi="Times New Roman" w:cs="Times New Roman"/>
          <w:sz w:val="28"/>
          <w:szCs w:val="28"/>
        </w:rPr>
        <w:t xml:space="preserve">Середній розмір новоутворення був 5,34±3,43 см (від 4,02 до 11,62 см) </w:t>
      </w:r>
      <w:r w:rsidRPr="001A168A">
        <w:rPr>
          <w:rFonts w:ascii="Times New Roman" w:hAnsi="Times New Roman" w:cs="Times New Roman"/>
          <w:sz w:val="28"/>
          <w:szCs w:val="28"/>
        </w:rPr>
        <w:t xml:space="preserve">Усім хворим проводилось крос-секційне обстеження черевної порожнини. В дослідження включались лише хворі, яким </w:t>
      </w:r>
      <w:r>
        <w:rPr>
          <w:rFonts w:ascii="Times New Roman" w:hAnsi="Times New Roman" w:cs="Times New Roman"/>
          <w:sz w:val="28"/>
          <w:szCs w:val="28"/>
        </w:rPr>
        <w:t>при виконанні</w:t>
      </w:r>
      <w:r w:rsidRPr="001A168A">
        <w:rPr>
          <w:rFonts w:ascii="Times New Roman" w:hAnsi="Times New Roman" w:cs="Times New Roman"/>
          <w:sz w:val="28"/>
          <w:szCs w:val="28"/>
        </w:rPr>
        <w:t xml:space="preserve"> КТ </w:t>
      </w:r>
      <w:r>
        <w:rPr>
          <w:rFonts w:ascii="Times New Roman" w:hAnsi="Times New Roman" w:cs="Times New Roman"/>
          <w:sz w:val="28"/>
          <w:szCs w:val="28"/>
        </w:rPr>
        <w:t>внутрішньовенно вводився контраст, що при</w:t>
      </w:r>
      <w:r w:rsidRPr="001A168A">
        <w:rPr>
          <w:rFonts w:ascii="Times New Roman" w:hAnsi="Times New Roman" w:cs="Times New Roman"/>
          <w:sz w:val="28"/>
          <w:szCs w:val="28"/>
        </w:rPr>
        <w:t xml:space="preserve"> простих кіст</w:t>
      </w:r>
      <w:r>
        <w:rPr>
          <w:rFonts w:ascii="Times New Roman" w:hAnsi="Times New Roman" w:cs="Times New Roman"/>
          <w:sz w:val="28"/>
          <w:szCs w:val="28"/>
        </w:rPr>
        <w:t>ах</w:t>
      </w:r>
      <w:r w:rsidRPr="001A168A">
        <w:rPr>
          <w:rFonts w:ascii="Times New Roman" w:hAnsi="Times New Roman" w:cs="Times New Roman"/>
          <w:sz w:val="28"/>
          <w:szCs w:val="28"/>
        </w:rPr>
        <w:t xml:space="preserve"> нирок </w:t>
      </w:r>
      <w:r>
        <w:rPr>
          <w:rFonts w:ascii="Times New Roman" w:hAnsi="Times New Roman" w:cs="Times New Roman"/>
          <w:sz w:val="28"/>
          <w:szCs w:val="28"/>
        </w:rPr>
        <w:t>проводилось у</w:t>
      </w:r>
      <w:r w:rsidRPr="001A168A">
        <w:rPr>
          <w:rFonts w:ascii="Times New Roman" w:hAnsi="Times New Roman" w:cs="Times New Roman"/>
          <w:sz w:val="28"/>
          <w:szCs w:val="28"/>
        </w:rPr>
        <w:t xml:space="preserve"> сум</w:t>
      </w:r>
      <w:r>
        <w:rPr>
          <w:rFonts w:ascii="Times New Roman" w:hAnsi="Times New Roman" w:cs="Times New Roman"/>
          <w:sz w:val="28"/>
          <w:szCs w:val="28"/>
        </w:rPr>
        <w:t>нівних</w:t>
      </w:r>
      <w:r w:rsidRPr="001A168A">
        <w:rPr>
          <w:rFonts w:ascii="Times New Roman" w:hAnsi="Times New Roman" w:cs="Times New Roman"/>
          <w:sz w:val="28"/>
          <w:szCs w:val="28"/>
        </w:rPr>
        <w:t xml:space="preserve"> з радіологічної точки зору </w:t>
      </w:r>
      <w:r>
        <w:rPr>
          <w:rFonts w:ascii="Times New Roman" w:hAnsi="Times New Roman" w:cs="Times New Roman"/>
          <w:sz w:val="28"/>
          <w:szCs w:val="28"/>
        </w:rPr>
        <w:t>випадках</w:t>
      </w:r>
      <w:r w:rsidRPr="001A168A">
        <w:rPr>
          <w:rFonts w:ascii="Times New Roman" w:hAnsi="Times New Roman" w:cs="Times New Roman"/>
          <w:sz w:val="28"/>
          <w:szCs w:val="28"/>
        </w:rPr>
        <w:t>.</w:t>
      </w:r>
      <w:r>
        <w:rPr>
          <w:rFonts w:ascii="Times New Roman" w:hAnsi="Times New Roman" w:cs="Times New Roman"/>
          <w:sz w:val="28"/>
          <w:szCs w:val="28"/>
        </w:rPr>
        <w:t xml:space="preserve"> </w:t>
      </w:r>
      <w:r w:rsidRPr="001A168A">
        <w:rPr>
          <w:rFonts w:ascii="Times New Roman" w:hAnsi="Times New Roman" w:cs="Times New Roman"/>
          <w:sz w:val="28"/>
          <w:szCs w:val="28"/>
        </w:rPr>
        <w:t>Для хворих, яким виконували МРТ при простих кістах (Bosniak 1 та 2) ц</w:t>
      </w:r>
      <w:r>
        <w:rPr>
          <w:rFonts w:ascii="Times New Roman" w:hAnsi="Times New Roman" w:cs="Times New Roman"/>
          <w:sz w:val="28"/>
          <w:szCs w:val="28"/>
        </w:rPr>
        <w:t xml:space="preserve">е не було обов’язковою умовою. </w:t>
      </w:r>
    </w:p>
    <w:p w:rsidR="00162D8C" w:rsidRPr="007560A0" w:rsidRDefault="00162D8C" w:rsidP="00162D8C">
      <w:pPr>
        <w:spacing w:line="360" w:lineRule="auto"/>
        <w:ind w:firstLine="708"/>
        <w:jc w:val="both"/>
        <w:rPr>
          <w:rFonts w:ascii="Times New Roman" w:hAnsi="Times New Roman" w:cs="Times New Roman"/>
          <w:sz w:val="28"/>
          <w:szCs w:val="28"/>
        </w:rPr>
      </w:pPr>
      <w:r w:rsidRPr="001A168A">
        <w:rPr>
          <w:rFonts w:ascii="Times New Roman" w:hAnsi="Times New Roman" w:cs="Times New Roman"/>
          <w:sz w:val="28"/>
          <w:szCs w:val="28"/>
        </w:rPr>
        <w:t xml:space="preserve">Всі </w:t>
      </w:r>
      <w:r>
        <w:rPr>
          <w:rFonts w:ascii="Times New Roman" w:hAnsi="Times New Roman" w:cs="Times New Roman"/>
          <w:sz w:val="28"/>
          <w:szCs w:val="28"/>
        </w:rPr>
        <w:t>випадки кіст</w:t>
      </w:r>
      <w:r w:rsidRPr="001A168A">
        <w:rPr>
          <w:rFonts w:ascii="Times New Roman" w:hAnsi="Times New Roman" w:cs="Times New Roman"/>
          <w:sz w:val="28"/>
          <w:szCs w:val="28"/>
        </w:rPr>
        <w:t xml:space="preserve"> були класифіковані за системою Bosniak </w:t>
      </w:r>
      <w:r>
        <w:rPr>
          <w:rFonts w:ascii="Times New Roman" w:hAnsi="Times New Roman" w:cs="Times New Roman"/>
          <w:sz w:val="28"/>
          <w:szCs w:val="28"/>
        </w:rPr>
        <w:t>на основі даних</w:t>
      </w:r>
      <w:r w:rsidRPr="001A168A">
        <w:rPr>
          <w:rFonts w:ascii="Times New Roman" w:hAnsi="Times New Roman" w:cs="Times New Roman"/>
          <w:sz w:val="28"/>
          <w:szCs w:val="28"/>
        </w:rPr>
        <w:t xml:space="preserve"> </w:t>
      </w:r>
      <w:r>
        <w:rPr>
          <w:rFonts w:ascii="Times New Roman" w:hAnsi="Times New Roman" w:cs="Times New Roman"/>
          <w:sz w:val="28"/>
          <w:szCs w:val="28"/>
        </w:rPr>
        <w:t>КТ чи МРТ</w:t>
      </w:r>
      <w:r w:rsidRPr="001A168A">
        <w:rPr>
          <w:rFonts w:ascii="Times New Roman" w:hAnsi="Times New Roman" w:cs="Times New Roman"/>
          <w:sz w:val="28"/>
          <w:szCs w:val="28"/>
        </w:rPr>
        <w:t>, згідно якої був виконаний</w:t>
      </w:r>
      <w:r>
        <w:rPr>
          <w:rFonts w:ascii="Times New Roman" w:hAnsi="Times New Roman" w:cs="Times New Roman"/>
          <w:sz w:val="28"/>
          <w:szCs w:val="28"/>
        </w:rPr>
        <w:t xml:space="preserve"> наступний</w:t>
      </w:r>
      <w:r w:rsidRPr="001A168A">
        <w:rPr>
          <w:rFonts w:ascii="Times New Roman" w:hAnsi="Times New Roman" w:cs="Times New Roman"/>
          <w:sz w:val="28"/>
          <w:szCs w:val="28"/>
        </w:rPr>
        <w:t xml:space="preserve"> розподіл на групи: кісти категорії І (</w:t>
      </w:r>
      <w:r>
        <w:rPr>
          <w:rFonts w:ascii="Times New Roman" w:hAnsi="Times New Roman" w:cs="Times New Roman"/>
          <w:sz w:val="28"/>
          <w:szCs w:val="28"/>
        </w:rPr>
        <w:t>n=21</w:t>
      </w:r>
      <w:r w:rsidRPr="001A168A">
        <w:rPr>
          <w:rFonts w:ascii="Times New Roman" w:hAnsi="Times New Roman" w:cs="Times New Roman"/>
          <w:sz w:val="28"/>
          <w:szCs w:val="28"/>
        </w:rPr>
        <w:t>), кісти категорії ІІ</w:t>
      </w:r>
      <w:r>
        <w:rPr>
          <w:rFonts w:ascii="Times New Roman" w:hAnsi="Times New Roman" w:cs="Times New Roman"/>
          <w:sz w:val="28"/>
          <w:szCs w:val="28"/>
        </w:rPr>
        <w:t xml:space="preserve"> (n=23</w:t>
      </w:r>
      <w:r w:rsidRPr="001A168A">
        <w:rPr>
          <w:rFonts w:ascii="Times New Roman" w:hAnsi="Times New Roman" w:cs="Times New Roman"/>
          <w:sz w:val="28"/>
          <w:szCs w:val="28"/>
        </w:rPr>
        <w:t>), кісти категорії ІІF</w:t>
      </w:r>
      <w:r>
        <w:rPr>
          <w:rFonts w:ascii="Times New Roman" w:hAnsi="Times New Roman" w:cs="Times New Roman"/>
          <w:sz w:val="28"/>
          <w:szCs w:val="28"/>
        </w:rPr>
        <w:t xml:space="preserve"> (n=45</w:t>
      </w:r>
      <w:r w:rsidRPr="001A168A">
        <w:rPr>
          <w:rFonts w:ascii="Times New Roman" w:hAnsi="Times New Roman" w:cs="Times New Roman"/>
          <w:sz w:val="28"/>
          <w:szCs w:val="28"/>
        </w:rPr>
        <w:t xml:space="preserve">), </w:t>
      </w:r>
      <w:r w:rsidRPr="001A168A">
        <w:rPr>
          <w:rFonts w:ascii="Times New Roman" w:hAnsi="Times New Roman" w:cs="Times New Roman"/>
          <w:sz w:val="28"/>
          <w:szCs w:val="28"/>
        </w:rPr>
        <w:lastRenderedPageBreak/>
        <w:t xml:space="preserve">кісти категорії ІІІ </w:t>
      </w:r>
      <w:r>
        <w:rPr>
          <w:rFonts w:ascii="Times New Roman" w:hAnsi="Times New Roman" w:cs="Times New Roman"/>
          <w:sz w:val="28"/>
          <w:szCs w:val="28"/>
        </w:rPr>
        <w:t>(n=32</w:t>
      </w:r>
      <w:r w:rsidRPr="001A168A">
        <w:rPr>
          <w:rFonts w:ascii="Times New Roman" w:hAnsi="Times New Roman" w:cs="Times New Roman"/>
          <w:sz w:val="28"/>
          <w:szCs w:val="28"/>
        </w:rPr>
        <w:t>) та кісти категорії ІV</w:t>
      </w:r>
      <w:r>
        <w:rPr>
          <w:rFonts w:ascii="Times New Roman" w:hAnsi="Times New Roman" w:cs="Times New Roman"/>
          <w:sz w:val="28"/>
          <w:szCs w:val="28"/>
        </w:rPr>
        <w:t xml:space="preserve"> (n=31</w:t>
      </w:r>
      <w:r w:rsidRPr="001A168A">
        <w:rPr>
          <w:rFonts w:ascii="Times New Roman" w:hAnsi="Times New Roman" w:cs="Times New Roman"/>
          <w:sz w:val="28"/>
          <w:szCs w:val="28"/>
        </w:rPr>
        <w:t>). При кістах категорії ІІF у дослідження включали випадки які спостерігались</w:t>
      </w:r>
      <w:r>
        <w:rPr>
          <w:rFonts w:ascii="Times New Roman" w:hAnsi="Times New Roman" w:cs="Times New Roman"/>
          <w:sz w:val="28"/>
          <w:szCs w:val="28"/>
        </w:rPr>
        <w:t xml:space="preserve"> за допомогою крос-секційних методів дослідження</w:t>
      </w:r>
      <w:r w:rsidRPr="001A168A">
        <w:rPr>
          <w:rFonts w:ascii="Times New Roman" w:hAnsi="Times New Roman" w:cs="Times New Roman"/>
          <w:sz w:val="28"/>
          <w:szCs w:val="28"/>
        </w:rPr>
        <w:t xml:space="preserve"> із контрастуванням</w:t>
      </w:r>
      <w:r>
        <w:rPr>
          <w:rFonts w:ascii="Times New Roman" w:hAnsi="Times New Roman" w:cs="Times New Roman"/>
          <w:sz w:val="28"/>
          <w:szCs w:val="28"/>
        </w:rPr>
        <w:t>,</w:t>
      </w:r>
      <w:r w:rsidRPr="001A168A">
        <w:rPr>
          <w:rFonts w:ascii="Times New Roman" w:hAnsi="Times New Roman" w:cs="Times New Roman"/>
          <w:sz w:val="28"/>
          <w:szCs w:val="28"/>
        </w:rPr>
        <w:t xml:space="preserve"> протягом </w:t>
      </w:r>
      <w:r>
        <w:rPr>
          <w:rFonts w:ascii="Times New Roman" w:hAnsi="Times New Roman" w:cs="Times New Roman"/>
          <w:sz w:val="28"/>
          <w:szCs w:val="28"/>
        </w:rPr>
        <w:t>щонайменше</w:t>
      </w:r>
      <w:r w:rsidRPr="001A168A">
        <w:rPr>
          <w:rFonts w:ascii="Times New Roman" w:hAnsi="Times New Roman" w:cs="Times New Roman"/>
          <w:sz w:val="28"/>
          <w:szCs w:val="28"/>
        </w:rPr>
        <w:t xml:space="preserve"> 1 року (середн</w:t>
      </w:r>
      <w:r>
        <w:rPr>
          <w:rFonts w:ascii="Times New Roman" w:hAnsi="Times New Roman" w:cs="Times New Roman"/>
          <w:sz w:val="28"/>
          <w:szCs w:val="28"/>
        </w:rPr>
        <w:t>я тривалість спостереження – 1,3</w:t>
      </w:r>
      <w:r w:rsidRPr="001A168A">
        <w:rPr>
          <w:rFonts w:ascii="Times New Roman" w:hAnsi="Times New Roman" w:cs="Times New Roman"/>
          <w:sz w:val="28"/>
          <w:szCs w:val="28"/>
        </w:rPr>
        <w:t xml:space="preserve"> р.) і у яких протягом цього часу не було виявлено </w:t>
      </w:r>
      <w:r>
        <w:rPr>
          <w:rFonts w:ascii="Times New Roman" w:hAnsi="Times New Roman" w:cs="Times New Roman"/>
          <w:sz w:val="28"/>
          <w:szCs w:val="28"/>
        </w:rPr>
        <w:t>радіологічних</w:t>
      </w:r>
      <w:r w:rsidRPr="001A168A">
        <w:rPr>
          <w:rFonts w:ascii="Times New Roman" w:hAnsi="Times New Roman" w:cs="Times New Roman"/>
          <w:sz w:val="28"/>
          <w:szCs w:val="28"/>
        </w:rPr>
        <w:t xml:space="preserve"> ознак </w:t>
      </w:r>
      <w:r>
        <w:rPr>
          <w:rFonts w:ascii="Times New Roman" w:hAnsi="Times New Roman" w:cs="Times New Roman"/>
          <w:sz w:val="28"/>
          <w:szCs w:val="28"/>
        </w:rPr>
        <w:t>злоякісності</w:t>
      </w:r>
      <w:r w:rsidRPr="001A168A">
        <w:rPr>
          <w:rFonts w:ascii="Times New Roman" w:hAnsi="Times New Roman" w:cs="Times New Roman"/>
          <w:sz w:val="28"/>
          <w:szCs w:val="28"/>
        </w:rPr>
        <w:t xml:space="preserve">; або кісти які впродовж періоду променевого спостереження за ними виявляли ознаки малігнізації (потовщення перегородок та/чи стінок, підвищене накопичення контрастних речовин в них тощо), що </w:t>
      </w:r>
      <w:r>
        <w:rPr>
          <w:rFonts w:ascii="Times New Roman" w:hAnsi="Times New Roman" w:cs="Times New Roman"/>
          <w:sz w:val="28"/>
          <w:szCs w:val="28"/>
        </w:rPr>
        <w:t>слугувало</w:t>
      </w:r>
      <w:r w:rsidRPr="001A168A">
        <w:rPr>
          <w:rFonts w:ascii="Times New Roman" w:hAnsi="Times New Roman" w:cs="Times New Roman"/>
          <w:sz w:val="28"/>
          <w:szCs w:val="28"/>
        </w:rPr>
        <w:t xml:space="preserve"> показом </w:t>
      </w:r>
      <w:r>
        <w:rPr>
          <w:rFonts w:ascii="Times New Roman" w:hAnsi="Times New Roman" w:cs="Times New Roman"/>
          <w:sz w:val="28"/>
          <w:szCs w:val="28"/>
        </w:rPr>
        <w:t>до</w:t>
      </w:r>
      <w:r w:rsidRPr="001A168A">
        <w:rPr>
          <w:rFonts w:ascii="Times New Roman" w:hAnsi="Times New Roman" w:cs="Times New Roman"/>
          <w:sz w:val="28"/>
          <w:szCs w:val="28"/>
        </w:rPr>
        <w:t xml:space="preserve"> </w:t>
      </w:r>
      <w:r>
        <w:rPr>
          <w:rFonts w:ascii="Times New Roman" w:hAnsi="Times New Roman" w:cs="Times New Roman"/>
          <w:sz w:val="28"/>
          <w:szCs w:val="28"/>
        </w:rPr>
        <w:t>оперативного</w:t>
      </w:r>
      <w:r w:rsidRPr="001A168A">
        <w:rPr>
          <w:rFonts w:ascii="Times New Roman" w:hAnsi="Times New Roman" w:cs="Times New Roman"/>
          <w:sz w:val="28"/>
          <w:szCs w:val="28"/>
        </w:rPr>
        <w:t xml:space="preserve"> лікування. Усім відібраним в дослідження хворих з ускладненими кістами нирок категорій за Bosniak ІІІ та IV бул</w:t>
      </w:r>
      <w:r>
        <w:rPr>
          <w:rFonts w:ascii="Times New Roman" w:hAnsi="Times New Roman" w:cs="Times New Roman"/>
          <w:sz w:val="28"/>
          <w:szCs w:val="28"/>
        </w:rPr>
        <w:t>о виконане хірургічне лікування із подальшим патоморфологічним аналізом.</w:t>
      </w:r>
      <w:r w:rsidRPr="001A168A">
        <w:rPr>
          <w:rFonts w:ascii="Times New Roman" w:hAnsi="Times New Roman" w:cs="Times New Roman"/>
          <w:sz w:val="28"/>
          <w:szCs w:val="28"/>
        </w:rPr>
        <w:t xml:space="preserve"> Для контролю нами було використано референтні значення нормально</w:t>
      </w:r>
      <w:r>
        <w:rPr>
          <w:rFonts w:ascii="Times New Roman" w:hAnsi="Times New Roman" w:cs="Times New Roman"/>
          <w:sz w:val="28"/>
          <w:szCs w:val="28"/>
        </w:rPr>
        <w:t xml:space="preserve">ї ниркової паренхіми отримані при вивченні променевих біомаркерів при малих ниркових новоутвореннях </w:t>
      </w:r>
      <w:r w:rsidRPr="001A168A">
        <w:rPr>
          <w:rFonts w:ascii="Times New Roman" w:hAnsi="Times New Roman" w:cs="Times New Roman"/>
          <w:sz w:val="28"/>
          <w:szCs w:val="28"/>
        </w:rPr>
        <w:t>при проведенні КТ (n=30) чи МРТ (n=30) у осіб без ниркової патології.</w:t>
      </w:r>
    </w:p>
    <w:p w:rsidR="00ED3C5B" w:rsidRDefault="00162D8C" w:rsidP="00ED3C5B">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результаті </w:t>
      </w:r>
      <w:r w:rsidRPr="007560A0">
        <w:rPr>
          <w:rFonts w:ascii="Times New Roman" w:hAnsi="Times New Roman" w:cs="Times New Roman"/>
          <w:sz w:val="28"/>
          <w:szCs w:val="28"/>
        </w:rPr>
        <w:t>ретроспективного відбору випадків за даними історій х</w:t>
      </w:r>
      <w:r>
        <w:rPr>
          <w:rFonts w:ascii="Times New Roman" w:hAnsi="Times New Roman" w:cs="Times New Roman"/>
          <w:sz w:val="28"/>
          <w:szCs w:val="28"/>
        </w:rPr>
        <w:t>воріб та проспективного відбору хворих</w:t>
      </w:r>
      <w:r w:rsidRPr="007560A0">
        <w:rPr>
          <w:rFonts w:ascii="Times New Roman" w:hAnsi="Times New Roman" w:cs="Times New Roman"/>
          <w:sz w:val="28"/>
          <w:szCs w:val="28"/>
        </w:rPr>
        <w:t>, до групи із кістами категорії IIF</w:t>
      </w:r>
      <w:r>
        <w:rPr>
          <w:rFonts w:ascii="Times New Roman" w:hAnsi="Times New Roman" w:cs="Times New Roman"/>
          <w:sz w:val="28"/>
          <w:szCs w:val="28"/>
        </w:rPr>
        <w:t xml:space="preserve"> увійшло 25 (55,56</w:t>
      </w:r>
      <w:r w:rsidRPr="007560A0">
        <w:rPr>
          <w:rFonts w:ascii="Times New Roman" w:hAnsi="Times New Roman" w:cs="Times New Roman"/>
          <w:sz w:val="28"/>
          <w:szCs w:val="28"/>
        </w:rPr>
        <w:t>%) пацієнти з кістами</w:t>
      </w:r>
      <w:r>
        <w:rPr>
          <w:rFonts w:ascii="Times New Roman" w:hAnsi="Times New Roman" w:cs="Times New Roman"/>
          <w:sz w:val="28"/>
          <w:szCs w:val="28"/>
        </w:rPr>
        <w:t xml:space="preserve"> із доброякісним перебігом та 20 (44,44</w:t>
      </w:r>
      <w:r w:rsidRPr="007560A0">
        <w:rPr>
          <w:rFonts w:ascii="Times New Roman" w:hAnsi="Times New Roman" w:cs="Times New Roman"/>
          <w:sz w:val="28"/>
          <w:szCs w:val="28"/>
        </w:rPr>
        <w:t xml:space="preserve">%) хворих із </w:t>
      </w:r>
      <w:r>
        <w:rPr>
          <w:rFonts w:ascii="Times New Roman" w:hAnsi="Times New Roman" w:cs="Times New Roman"/>
          <w:sz w:val="28"/>
          <w:szCs w:val="28"/>
        </w:rPr>
        <w:t>кістозним НКР,</w:t>
      </w:r>
      <w:r w:rsidRPr="007560A0">
        <w:rPr>
          <w:rFonts w:ascii="Times New Roman" w:hAnsi="Times New Roman" w:cs="Times New Roman"/>
          <w:sz w:val="28"/>
          <w:szCs w:val="28"/>
        </w:rPr>
        <w:t xml:space="preserve"> за даними післяоперційних патологічних заключень. </w:t>
      </w:r>
      <w:r>
        <w:rPr>
          <w:rFonts w:ascii="Times New Roman" w:hAnsi="Times New Roman" w:cs="Times New Roman"/>
          <w:sz w:val="28"/>
          <w:szCs w:val="28"/>
        </w:rPr>
        <w:t>Серед</w:t>
      </w:r>
      <w:r w:rsidRPr="007560A0">
        <w:rPr>
          <w:rFonts w:ascii="Times New Roman" w:hAnsi="Times New Roman" w:cs="Times New Roman"/>
          <w:sz w:val="28"/>
          <w:szCs w:val="28"/>
        </w:rPr>
        <w:t xml:space="preserve"> категорії кіст ІІІ </w:t>
      </w:r>
      <w:r>
        <w:rPr>
          <w:rFonts w:ascii="Times New Roman" w:hAnsi="Times New Roman" w:cs="Times New Roman"/>
          <w:sz w:val="28"/>
          <w:szCs w:val="28"/>
        </w:rPr>
        <w:t>було 25 (78,13%) випадків НКР, 1 (3,13</w:t>
      </w:r>
      <w:r w:rsidRPr="007560A0">
        <w:rPr>
          <w:rFonts w:ascii="Times New Roman" w:hAnsi="Times New Roman" w:cs="Times New Roman"/>
          <w:sz w:val="28"/>
          <w:szCs w:val="28"/>
        </w:rPr>
        <w:t xml:space="preserve">%) </w:t>
      </w:r>
      <w:r>
        <w:rPr>
          <w:rFonts w:ascii="Times New Roman" w:hAnsi="Times New Roman" w:cs="Times New Roman"/>
          <w:sz w:val="28"/>
          <w:szCs w:val="28"/>
        </w:rPr>
        <w:t>випадок</w:t>
      </w:r>
      <w:r w:rsidRPr="007560A0">
        <w:rPr>
          <w:rFonts w:ascii="Times New Roman" w:hAnsi="Times New Roman" w:cs="Times New Roman"/>
          <w:sz w:val="28"/>
          <w:szCs w:val="28"/>
        </w:rPr>
        <w:t xml:space="preserve"> кістозного варіанту А</w:t>
      </w:r>
      <w:r>
        <w:rPr>
          <w:rFonts w:ascii="Times New Roman" w:hAnsi="Times New Roman" w:cs="Times New Roman"/>
          <w:sz w:val="28"/>
          <w:szCs w:val="28"/>
        </w:rPr>
        <w:t>МЛ із низьким вмістом жиру, 3 (9,38</w:t>
      </w:r>
      <w:r w:rsidRPr="007560A0">
        <w:rPr>
          <w:rFonts w:ascii="Times New Roman" w:hAnsi="Times New Roman" w:cs="Times New Roman"/>
          <w:sz w:val="28"/>
          <w:szCs w:val="28"/>
        </w:rPr>
        <w:t xml:space="preserve">%) </w:t>
      </w:r>
      <w:r>
        <w:rPr>
          <w:rFonts w:ascii="Times New Roman" w:hAnsi="Times New Roman" w:cs="Times New Roman"/>
          <w:sz w:val="28"/>
          <w:szCs w:val="28"/>
        </w:rPr>
        <w:t xml:space="preserve">випадки </w:t>
      </w:r>
      <w:r w:rsidRPr="007560A0">
        <w:rPr>
          <w:rFonts w:ascii="Times New Roman" w:hAnsi="Times New Roman" w:cs="Times New Roman"/>
          <w:sz w:val="28"/>
          <w:szCs w:val="28"/>
        </w:rPr>
        <w:t>ОЦ із вираженим кістозним компонентом</w:t>
      </w:r>
      <w:r w:rsidR="001F70DF" w:rsidRPr="009E6C7E">
        <w:rPr>
          <w:rFonts w:ascii="Times New Roman" w:hAnsi="Times New Roman" w:cs="Times New Roman"/>
          <w:sz w:val="28"/>
          <w:szCs w:val="28"/>
        </w:rPr>
        <w:t>,</w:t>
      </w:r>
      <w:r>
        <w:rPr>
          <w:rFonts w:ascii="Times New Roman" w:hAnsi="Times New Roman" w:cs="Times New Roman"/>
          <w:sz w:val="28"/>
          <w:szCs w:val="28"/>
        </w:rPr>
        <w:t xml:space="preserve"> </w:t>
      </w:r>
      <w:r w:rsidR="001F70DF">
        <w:rPr>
          <w:rFonts w:ascii="Times New Roman" w:hAnsi="Times New Roman" w:cs="Times New Roman"/>
          <w:sz w:val="28"/>
          <w:szCs w:val="28"/>
        </w:rPr>
        <w:t>2 (6,25%) випадки</w:t>
      </w:r>
      <w:r>
        <w:rPr>
          <w:rFonts w:ascii="Times New Roman" w:hAnsi="Times New Roman" w:cs="Times New Roman"/>
          <w:sz w:val="28"/>
          <w:szCs w:val="28"/>
        </w:rPr>
        <w:t xml:space="preserve"> кістозної нефроми</w:t>
      </w:r>
      <w:r w:rsidRPr="007560A0">
        <w:rPr>
          <w:rFonts w:ascii="Times New Roman" w:hAnsi="Times New Roman" w:cs="Times New Roman"/>
          <w:sz w:val="28"/>
          <w:szCs w:val="28"/>
        </w:rPr>
        <w:t xml:space="preserve"> </w:t>
      </w:r>
      <w:r>
        <w:rPr>
          <w:rFonts w:ascii="Times New Roman" w:hAnsi="Times New Roman" w:cs="Times New Roman"/>
          <w:sz w:val="28"/>
          <w:szCs w:val="28"/>
        </w:rPr>
        <w:t>та 1 (3,13%) випадок лейоміоми нирки</w:t>
      </w:r>
      <w:r w:rsidRPr="009E6C7E">
        <w:rPr>
          <w:rFonts w:ascii="Times New Roman" w:hAnsi="Times New Roman" w:cs="Times New Roman"/>
          <w:sz w:val="28"/>
          <w:szCs w:val="28"/>
        </w:rPr>
        <w:t xml:space="preserve"> з </w:t>
      </w:r>
      <w:r w:rsidRPr="00A30A15">
        <w:rPr>
          <w:rFonts w:ascii="Times New Roman" w:hAnsi="Times New Roman" w:cs="Times New Roman"/>
          <w:sz w:val="28"/>
          <w:szCs w:val="28"/>
        </w:rPr>
        <w:t>вираженим кістозним компонентом</w:t>
      </w:r>
      <w:r>
        <w:rPr>
          <w:rFonts w:ascii="Times New Roman" w:hAnsi="Times New Roman" w:cs="Times New Roman"/>
          <w:sz w:val="28"/>
          <w:szCs w:val="28"/>
        </w:rPr>
        <w:t>.</w:t>
      </w:r>
      <w:r w:rsidRPr="007560A0">
        <w:rPr>
          <w:rFonts w:ascii="Times New Roman" w:hAnsi="Times New Roman" w:cs="Times New Roman"/>
          <w:sz w:val="28"/>
          <w:szCs w:val="28"/>
        </w:rPr>
        <w:t xml:space="preserve"> </w:t>
      </w:r>
      <w:r>
        <w:rPr>
          <w:rFonts w:ascii="Times New Roman" w:hAnsi="Times New Roman" w:cs="Times New Roman"/>
          <w:sz w:val="28"/>
          <w:szCs w:val="28"/>
        </w:rPr>
        <w:t>Поміж</w:t>
      </w:r>
      <w:r w:rsidRPr="007560A0">
        <w:rPr>
          <w:rFonts w:ascii="Times New Roman" w:hAnsi="Times New Roman" w:cs="Times New Roman"/>
          <w:sz w:val="28"/>
          <w:szCs w:val="28"/>
        </w:rPr>
        <w:t xml:space="preserve"> кіст категорії IV було </w:t>
      </w:r>
      <w:r>
        <w:rPr>
          <w:rFonts w:ascii="Times New Roman" w:hAnsi="Times New Roman" w:cs="Times New Roman"/>
          <w:sz w:val="28"/>
          <w:szCs w:val="28"/>
        </w:rPr>
        <w:t>28 (90,32%) хворих із НКР, 1 (3,23</w:t>
      </w:r>
      <w:r w:rsidRPr="007560A0">
        <w:rPr>
          <w:rFonts w:ascii="Times New Roman" w:hAnsi="Times New Roman" w:cs="Times New Roman"/>
          <w:sz w:val="28"/>
          <w:szCs w:val="28"/>
        </w:rPr>
        <w:t xml:space="preserve">%) з кістозним варіантом АМЛ із низьким вмістом жиру, </w:t>
      </w:r>
      <w:r>
        <w:rPr>
          <w:rFonts w:ascii="Times New Roman" w:hAnsi="Times New Roman" w:cs="Times New Roman"/>
          <w:sz w:val="28"/>
          <w:szCs w:val="28"/>
        </w:rPr>
        <w:t xml:space="preserve">1 (3,23%) з кістозною формою ОЦ та 1 (3,23%) з метанефричною аденомою </w:t>
      </w:r>
      <w:r w:rsidRPr="009E6C7E">
        <w:rPr>
          <w:rFonts w:ascii="Times New Roman" w:hAnsi="Times New Roman" w:cs="Times New Roman"/>
          <w:sz w:val="28"/>
          <w:szCs w:val="28"/>
          <w:lang w:val="ru-RU"/>
        </w:rPr>
        <w:t xml:space="preserve">з </w:t>
      </w:r>
      <w:r>
        <w:rPr>
          <w:rFonts w:ascii="Times New Roman" w:hAnsi="Times New Roman" w:cs="Times New Roman"/>
          <w:sz w:val="28"/>
          <w:szCs w:val="28"/>
        </w:rPr>
        <w:t>значним</w:t>
      </w:r>
      <w:r w:rsidRPr="00A30A15">
        <w:rPr>
          <w:rFonts w:ascii="Times New Roman" w:hAnsi="Times New Roman" w:cs="Times New Roman"/>
          <w:sz w:val="28"/>
          <w:szCs w:val="28"/>
        </w:rPr>
        <w:t xml:space="preserve"> кістозним компонентом</w:t>
      </w:r>
      <w:r>
        <w:rPr>
          <w:rFonts w:ascii="Times New Roman" w:hAnsi="Times New Roman" w:cs="Times New Roman"/>
          <w:sz w:val="28"/>
          <w:szCs w:val="28"/>
        </w:rPr>
        <w:t>.</w:t>
      </w:r>
      <w:r w:rsidRPr="007560A0">
        <w:rPr>
          <w:rFonts w:ascii="Times New Roman" w:hAnsi="Times New Roman" w:cs="Times New Roman"/>
          <w:sz w:val="28"/>
          <w:szCs w:val="28"/>
        </w:rPr>
        <w:t xml:space="preserve"> Детальна характеристика </w:t>
      </w:r>
      <w:r>
        <w:rPr>
          <w:rFonts w:ascii="Times New Roman" w:hAnsi="Times New Roman" w:cs="Times New Roman"/>
          <w:sz w:val="28"/>
          <w:szCs w:val="28"/>
        </w:rPr>
        <w:t>хворих</w:t>
      </w:r>
      <w:r w:rsidRPr="007560A0">
        <w:rPr>
          <w:rFonts w:ascii="Times New Roman" w:hAnsi="Times New Roman" w:cs="Times New Roman"/>
          <w:sz w:val="28"/>
          <w:szCs w:val="28"/>
        </w:rPr>
        <w:t xml:space="preserve"> з кістозними </w:t>
      </w:r>
      <w:r>
        <w:rPr>
          <w:rFonts w:ascii="Times New Roman" w:hAnsi="Times New Roman" w:cs="Times New Roman"/>
          <w:sz w:val="28"/>
          <w:szCs w:val="28"/>
        </w:rPr>
        <w:t>нирковими масами</w:t>
      </w:r>
      <w:r w:rsidRPr="007560A0">
        <w:rPr>
          <w:rFonts w:ascii="Times New Roman" w:hAnsi="Times New Roman" w:cs="Times New Roman"/>
          <w:sz w:val="28"/>
          <w:szCs w:val="28"/>
        </w:rPr>
        <w:t xml:space="preserve"> </w:t>
      </w:r>
      <w:r w:rsidR="00293044">
        <w:rPr>
          <w:rFonts w:ascii="Times New Roman" w:hAnsi="Times New Roman" w:cs="Times New Roman"/>
          <w:sz w:val="28"/>
          <w:szCs w:val="28"/>
        </w:rPr>
        <w:t>наведена у таблиці 3.26</w:t>
      </w:r>
      <w:r w:rsidRPr="007560A0">
        <w:rPr>
          <w:rFonts w:ascii="Times New Roman" w:hAnsi="Times New Roman" w:cs="Times New Roman"/>
          <w:sz w:val="28"/>
          <w:szCs w:val="28"/>
        </w:rPr>
        <w:t>.</w:t>
      </w:r>
    </w:p>
    <w:p w:rsidR="003732B6" w:rsidRDefault="003732B6" w:rsidP="00ED3C5B">
      <w:pPr>
        <w:spacing w:line="360" w:lineRule="auto"/>
        <w:ind w:firstLine="708"/>
        <w:jc w:val="both"/>
        <w:rPr>
          <w:rFonts w:ascii="Times New Roman" w:hAnsi="Times New Roman" w:cs="Times New Roman"/>
          <w:sz w:val="28"/>
          <w:szCs w:val="28"/>
        </w:rPr>
      </w:pPr>
    </w:p>
    <w:p w:rsidR="003732B6" w:rsidRDefault="003732B6" w:rsidP="00ED3C5B">
      <w:pPr>
        <w:spacing w:line="360" w:lineRule="auto"/>
        <w:ind w:firstLine="708"/>
        <w:jc w:val="both"/>
        <w:rPr>
          <w:rFonts w:ascii="Times New Roman" w:hAnsi="Times New Roman" w:cs="Times New Roman"/>
          <w:sz w:val="28"/>
          <w:szCs w:val="28"/>
        </w:rPr>
      </w:pPr>
    </w:p>
    <w:p w:rsidR="00162D8C" w:rsidRPr="00A63330" w:rsidRDefault="00293044" w:rsidP="00162D8C">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lastRenderedPageBreak/>
        <w:t>Таблиця 3.26</w:t>
      </w:r>
    </w:p>
    <w:p w:rsidR="00162D8C" w:rsidRPr="00A63330" w:rsidRDefault="00162D8C" w:rsidP="00162D8C">
      <w:pPr>
        <w:spacing w:line="360" w:lineRule="auto"/>
        <w:ind w:firstLine="360"/>
        <w:jc w:val="center"/>
        <w:rPr>
          <w:rFonts w:ascii="Times New Roman" w:hAnsi="Times New Roman" w:cs="Times New Roman"/>
          <w:sz w:val="28"/>
          <w:szCs w:val="28"/>
        </w:rPr>
      </w:pPr>
      <w:r w:rsidRPr="00A63330">
        <w:rPr>
          <w:rFonts w:ascii="Times New Roman" w:hAnsi="Times New Roman" w:cs="Times New Roman"/>
          <w:sz w:val="28"/>
          <w:szCs w:val="28"/>
        </w:rPr>
        <w:t xml:space="preserve">Характеристика досліджуваних хворих із кістозними </w:t>
      </w:r>
      <w:r>
        <w:rPr>
          <w:rFonts w:ascii="Times New Roman" w:hAnsi="Times New Roman" w:cs="Times New Roman"/>
          <w:sz w:val="28"/>
          <w:szCs w:val="28"/>
        </w:rPr>
        <w:t>нирковими масами розміром понад 4 см</w:t>
      </w:r>
    </w:p>
    <w:tbl>
      <w:tblPr>
        <w:tblStyle w:val="TableGrid"/>
        <w:tblW w:w="9351" w:type="dxa"/>
        <w:tblLook w:val="04A0" w:firstRow="1" w:lastRow="0" w:firstColumn="1" w:lastColumn="0" w:noHBand="0" w:noVBand="1"/>
      </w:tblPr>
      <w:tblGrid>
        <w:gridCol w:w="1838"/>
        <w:gridCol w:w="1134"/>
        <w:gridCol w:w="2977"/>
        <w:gridCol w:w="3402"/>
      </w:tblGrid>
      <w:tr w:rsidR="00162D8C" w:rsidRPr="00A63330" w:rsidTr="001F0C51">
        <w:tc>
          <w:tcPr>
            <w:tcW w:w="1838" w:type="dxa"/>
            <w:vMerge w:val="restart"/>
          </w:tcPr>
          <w:p w:rsidR="00162D8C" w:rsidRPr="00A63330" w:rsidRDefault="00162D8C" w:rsidP="001F0C51">
            <w:pPr>
              <w:spacing w:line="360" w:lineRule="auto"/>
              <w:jc w:val="both"/>
              <w:rPr>
                <w:rFonts w:ascii="Times New Roman" w:hAnsi="Times New Roman" w:cs="Times New Roman"/>
                <w:b/>
                <w:sz w:val="28"/>
                <w:szCs w:val="28"/>
              </w:rPr>
            </w:pPr>
            <w:r w:rsidRPr="00A63330">
              <w:rPr>
                <w:rFonts w:ascii="Times New Roman" w:hAnsi="Times New Roman" w:cs="Times New Roman"/>
                <w:b/>
                <w:sz w:val="28"/>
                <w:szCs w:val="28"/>
              </w:rPr>
              <w:t>Діагноз</w:t>
            </w:r>
          </w:p>
        </w:tc>
        <w:tc>
          <w:tcPr>
            <w:tcW w:w="1134" w:type="dxa"/>
            <w:vMerge w:val="restart"/>
          </w:tcPr>
          <w:p w:rsidR="00162D8C" w:rsidRPr="00A63330" w:rsidRDefault="00162D8C" w:rsidP="001F0C51">
            <w:pPr>
              <w:spacing w:line="360" w:lineRule="auto"/>
              <w:jc w:val="center"/>
              <w:rPr>
                <w:rFonts w:ascii="Times New Roman" w:hAnsi="Times New Roman" w:cs="Times New Roman"/>
                <w:b/>
                <w:sz w:val="28"/>
                <w:szCs w:val="28"/>
              </w:rPr>
            </w:pPr>
            <w:r w:rsidRPr="00A63330">
              <w:rPr>
                <w:rFonts w:ascii="Times New Roman" w:hAnsi="Times New Roman" w:cs="Times New Roman"/>
                <w:b/>
                <w:sz w:val="28"/>
                <w:szCs w:val="28"/>
              </w:rPr>
              <w:t>N</w:t>
            </w:r>
          </w:p>
        </w:tc>
        <w:tc>
          <w:tcPr>
            <w:tcW w:w="6379" w:type="dxa"/>
            <w:gridSpan w:val="2"/>
          </w:tcPr>
          <w:p w:rsidR="00162D8C" w:rsidRPr="00A63330" w:rsidRDefault="00162D8C" w:rsidP="001F0C51">
            <w:pPr>
              <w:spacing w:line="360" w:lineRule="auto"/>
              <w:jc w:val="center"/>
              <w:rPr>
                <w:rFonts w:ascii="Times New Roman" w:hAnsi="Times New Roman" w:cs="Times New Roman"/>
                <w:b/>
                <w:sz w:val="28"/>
                <w:szCs w:val="28"/>
              </w:rPr>
            </w:pPr>
            <w:r w:rsidRPr="00A63330">
              <w:rPr>
                <w:rFonts w:ascii="Times New Roman" w:hAnsi="Times New Roman" w:cs="Times New Roman"/>
                <w:b/>
                <w:sz w:val="28"/>
                <w:szCs w:val="28"/>
              </w:rPr>
              <w:t>Характеристика</w:t>
            </w:r>
          </w:p>
        </w:tc>
      </w:tr>
      <w:tr w:rsidR="00162D8C" w:rsidRPr="00A63330" w:rsidTr="001F0C51">
        <w:tc>
          <w:tcPr>
            <w:tcW w:w="1838" w:type="dxa"/>
            <w:vMerge/>
          </w:tcPr>
          <w:p w:rsidR="00162D8C" w:rsidRPr="00A63330" w:rsidRDefault="00162D8C" w:rsidP="001F0C51">
            <w:pPr>
              <w:spacing w:line="360" w:lineRule="auto"/>
              <w:jc w:val="both"/>
              <w:rPr>
                <w:rFonts w:ascii="Times New Roman" w:hAnsi="Times New Roman" w:cs="Times New Roman"/>
                <w:b/>
                <w:sz w:val="28"/>
                <w:szCs w:val="28"/>
              </w:rPr>
            </w:pPr>
          </w:p>
        </w:tc>
        <w:tc>
          <w:tcPr>
            <w:tcW w:w="1134" w:type="dxa"/>
            <w:vMerge/>
          </w:tcPr>
          <w:p w:rsidR="00162D8C" w:rsidRPr="00A63330" w:rsidRDefault="00162D8C" w:rsidP="001F0C51">
            <w:pPr>
              <w:spacing w:line="360" w:lineRule="auto"/>
              <w:jc w:val="center"/>
              <w:rPr>
                <w:rFonts w:ascii="Times New Roman" w:hAnsi="Times New Roman" w:cs="Times New Roman"/>
                <w:b/>
                <w:sz w:val="28"/>
                <w:szCs w:val="28"/>
              </w:rPr>
            </w:pPr>
          </w:p>
        </w:tc>
        <w:tc>
          <w:tcPr>
            <w:tcW w:w="2977" w:type="dxa"/>
          </w:tcPr>
          <w:p w:rsidR="00162D8C" w:rsidRPr="00A63330" w:rsidRDefault="00162D8C" w:rsidP="001F0C51">
            <w:pPr>
              <w:spacing w:line="360" w:lineRule="auto"/>
              <w:jc w:val="center"/>
              <w:rPr>
                <w:rFonts w:ascii="Times New Roman" w:hAnsi="Times New Roman" w:cs="Times New Roman"/>
                <w:b/>
                <w:sz w:val="28"/>
                <w:szCs w:val="28"/>
              </w:rPr>
            </w:pPr>
            <w:r w:rsidRPr="00A63330">
              <w:rPr>
                <w:rFonts w:ascii="Times New Roman" w:hAnsi="Times New Roman" w:cs="Times New Roman"/>
                <w:b/>
                <w:sz w:val="28"/>
                <w:szCs w:val="28"/>
              </w:rPr>
              <w:t>Середній вік, р±СВ</w:t>
            </w:r>
          </w:p>
        </w:tc>
        <w:tc>
          <w:tcPr>
            <w:tcW w:w="3402" w:type="dxa"/>
          </w:tcPr>
          <w:p w:rsidR="00162D8C" w:rsidRPr="00A63330" w:rsidRDefault="00162D8C" w:rsidP="001F0C51">
            <w:pPr>
              <w:spacing w:line="360" w:lineRule="auto"/>
              <w:jc w:val="center"/>
              <w:rPr>
                <w:rFonts w:ascii="Times New Roman" w:hAnsi="Times New Roman" w:cs="Times New Roman"/>
                <w:b/>
                <w:sz w:val="28"/>
                <w:szCs w:val="28"/>
              </w:rPr>
            </w:pPr>
            <w:r w:rsidRPr="00A63330">
              <w:rPr>
                <w:rFonts w:ascii="Times New Roman" w:hAnsi="Times New Roman" w:cs="Times New Roman"/>
                <w:b/>
                <w:sz w:val="28"/>
                <w:szCs w:val="28"/>
              </w:rPr>
              <w:t>Середній розмір, см±СВ</w:t>
            </w:r>
          </w:p>
        </w:tc>
      </w:tr>
      <w:tr w:rsidR="00162D8C" w:rsidRPr="00A63330" w:rsidTr="001F0C51">
        <w:tc>
          <w:tcPr>
            <w:tcW w:w="1838" w:type="dxa"/>
          </w:tcPr>
          <w:p w:rsidR="00162D8C" w:rsidRPr="00A63330" w:rsidRDefault="00162D8C" w:rsidP="001F0C51">
            <w:pPr>
              <w:jc w:val="both"/>
              <w:rPr>
                <w:rFonts w:ascii="Times New Roman" w:hAnsi="Times New Roman" w:cs="Times New Roman"/>
                <w:sz w:val="28"/>
                <w:szCs w:val="28"/>
              </w:rPr>
            </w:pPr>
            <w:r w:rsidRPr="00A63330">
              <w:rPr>
                <w:rFonts w:ascii="Times New Roman" w:hAnsi="Times New Roman" w:cs="Times New Roman"/>
                <w:sz w:val="28"/>
                <w:szCs w:val="28"/>
              </w:rPr>
              <w:t>Bosniak І</w:t>
            </w:r>
          </w:p>
          <w:p w:rsidR="00162D8C" w:rsidRPr="00A63330" w:rsidRDefault="00162D8C" w:rsidP="001F0C51">
            <w:pPr>
              <w:jc w:val="both"/>
              <w:rPr>
                <w:rFonts w:ascii="Times New Roman" w:hAnsi="Times New Roman" w:cs="Times New Roman"/>
                <w:sz w:val="28"/>
                <w:szCs w:val="28"/>
              </w:rPr>
            </w:pPr>
            <w:r w:rsidRPr="00A63330">
              <w:rPr>
                <w:rFonts w:ascii="Times New Roman" w:hAnsi="Times New Roman" w:cs="Times New Roman"/>
                <w:sz w:val="28"/>
                <w:szCs w:val="28"/>
              </w:rPr>
              <w:t>Bosniak ІІ</w:t>
            </w:r>
          </w:p>
          <w:p w:rsidR="00162D8C" w:rsidRPr="00A63330" w:rsidRDefault="00162D8C" w:rsidP="001F0C51">
            <w:pPr>
              <w:jc w:val="both"/>
              <w:rPr>
                <w:rFonts w:ascii="Times New Roman" w:hAnsi="Times New Roman" w:cs="Times New Roman"/>
                <w:sz w:val="28"/>
                <w:szCs w:val="28"/>
              </w:rPr>
            </w:pPr>
            <w:r w:rsidRPr="00A63330">
              <w:rPr>
                <w:rFonts w:ascii="Times New Roman" w:hAnsi="Times New Roman" w:cs="Times New Roman"/>
                <w:sz w:val="28"/>
                <w:szCs w:val="28"/>
              </w:rPr>
              <w:t>Bosniak ІІF</w:t>
            </w:r>
          </w:p>
          <w:p w:rsidR="00162D8C" w:rsidRPr="00A63330" w:rsidRDefault="00162D8C" w:rsidP="001F0C51">
            <w:pPr>
              <w:jc w:val="both"/>
              <w:rPr>
                <w:rFonts w:ascii="Times New Roman" w:hAnsi="Times New Roman" w:cs="Times New Roman"/>
                <w:sz w:val="28"/>
                <w:szCs w:val="28"/>
              </w:rPr>
            </w:pPr>
            <w:r w:rsidRPr="00A63330">
              <w:rPr>
                <w:rFonts w:ascii="Times New Roman" w:hAnsi="Times New Roman" w:cs="Times New Roman"/>
                <w:sz w:val="28"/>
                <w:szCs w:val="28"/>
              </w:rPr>
              <w:t>Bosniak ІII</w:t>
            </w:r>
          </w:p>
          <w:p w:rsidR="00162D8C" w:rsidRPr="00A63330" w:rsidRDefault="00162D8C" w:rsidP="001F0C51">
            <w:pPr>
              <w:jc w:val="both"/>
              <w:rPr>
                <w:rFonts w:ascii="Times New Roman" w:hAnsi="Times New Roman" w:cs="Times New Roman"/>
                <w:sz w:val="28"/>
                <w:szCs w:val="28"/>
              </w:rPr>
            </w:pPr>
            <w:r w:rsidRPr="00A63330">
              <w:rPr>
                <w:rFonts w:ascii="Times New Roman" w:hAnsi="Times New Roman" w:cs="Times New Roman"/>
                <w:sz w:val="28"/>
                <w:szCs w:val="28"/>
              </w:rPr>
              <w:t>Bosniak ІV</w:t>
            </w:r>
          </w:p>
        </w:tc>
        <w:tc>
          <w:tcPr>
            <w:tcW w:w="1134" w:type="dxa"/>
          </w:tcPr>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21</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23</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45</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32</w:t>
            </w:r>
          </w:p>
          <w:p w:rsidR="00162D8C" w:rsidRPr="00A63330" w:rsidRDefault="00162D8C" w:rsidP="001F0C51">
            <w:pPr>
              <w:jc w:val="center"/>
              <w:rPr>
                <w:rFonts w:ascii="Times New Roman" w:hAnsi="Times New Roman" w:cs="Times New Roman"/>
                <w:sz w:val="28"/>
                <w:szCs w:val="28"/>
              </w:rPr>
            </w:pPr>
            <w:r>
              <w:rPr>
                <w:rFonts w:ascii="Times New Roman" w:hAnsi="Times New Roman" w:cs="Times New Roman"/>
                <w:sz w:val="28"/>
                <w:szCs w:val="28"/>
              </w:rPr>
              <w:t>31</w:t>
            </w:r>
          </w:p>
        </w:tc>
        <w:tc>
          <w:tcPr>
            <w:tcW w:w="2977" w:type="dxa"/>
          </w:tcPr>
          <w:p w:rsidR="00162D8C" w:rsidRPr="00A63330" w:rsidRDefault="00162D8C" w:rsidP="001F0C51">
            <w:pPr>
              <w:jc w:val="center"/>
              <w:rPr>
                <w:rFonts w:ascii="Times New Roman" w:hAnsi="Times New Roman" w:cs="Times New Roman"/>
                <w:sz w:val="28"/>
                <w:szCs w:val="28"/>
              </w:rPr>
            </w:pPr>
            <w:r>
              <w:rPr>
                <w:rFonts w:ascii="Times New Roman" w:hAnsi="Times New Roman" w:cs="Times New Roman"/>
                <w:sz w:val="28"/>
                <w:szCs w:val="28"/>
              </w:rPr>
              <w:t>53,12±3,14</w:t>
            </w:r>
          </w:p>
          <w:p w:rsidR="00162D8C" w:rsidRPr="00A63330" w:rsidRDefault="00162D8C" w:rsidP="001F0C51">
            <w:pPr>
              <w:jc w:val="center"/>
              <w:rPr>
                <w:rFonts w:ascii="Times New Roman" w:hAnsi="Times New Roman" w:cs="Times New Roman"/>
                <w:sz w:val="28"/>
                <w:szCs w:val="28"/>
              </w:rPr>
            </w:pPr>
            <w:r>
              <w:rPr>
                <w:rFonts w:ascii="Times New Roman" w:hAnsi="Times New Roman" w:cs="Times New Roman"/>
                <w:sz w:val="28"/>
                <w:szCs w:val="28"/>
              </w:rPr>
              <w:t>52,93±4,98</w:t>
            </w:r>
          </w:p>
          <w:p w:rsidR="00162D8C" w:rsidRPr="00A63330" w:rsidRDefault="00162D8C" w:rsidP="001F0C51">
            <w:pPr>
              <w:jc w:val="center"/>
              <w:rPr>
                <w:rFonts w:ascii="Times New Roman" w:hAnsi="Times New Roman" w:cs="Times New Roman"/>
                <w:sz w:val="28"/>
                <w:szCs w:val="28"/>
              </w:rPr>
            </w:pPr>
            <w:r>
              <w:rPr>
                <w:rFonts w:ascii="Times New Roman" w:hAnsi="Times New Roman" w:cs="Times New Roman"/>
                <w:sz w:val="28"/>
                <w:szCs w:val="28"/>
              </w:rPr>
              <w:t>55</w:t>
            </w:r>
            <w:r w:rsidRPr="00A63330">
              <w:rPr>
                <w:rFonts w:ascii="Times New Roman" w:hAnsi="Times New Roman" w:cs="Times New Roman"/>
                <w:sz w:val="28"/>
                <w:szCs w:val="28"/>
              </w:rPr>
              <w:t>,29±6,58</w:t>
            </w:r>
          </w:p>
          <w:p w:rsidR="00162D8C" w:rsidRPr="00A63330" w:rsidRDefault="00162D8C" w:rsidP="001F0C51">
            <w:pPr>
              <w:jc w:val="center"/>
              <w:rPr>
                <w:rFonts w:ascii="Times New Roman" w:hAnsi="Times New Roman" w:cs="Times New Roman"/>
                <w:sz w:val="28"/>
                <w:szCs w:val="28"/>
              </w:rPr>
            </w:pPr>
            <w:r>
              <w:rPr>
                <w:rFonts w:ascii="Times New Roman" w:hAnsi="Times New Roman" w:cs="Times New Roman"/>
                <w:sz w:val="28"/>
                <w:szCs w:val="28"/>
              </w:rPr>
              <w:t>57,30±5,43</w:t>
            </w:r>
          </w:p>
          <w:p w:rsidR="00162D8C" w:rsidRPr="00A63330" w:rsidRDefault="00162D8C" w:rsidP="001F0C51">
            <w:pPr>
              <w:jc w:val="center"/>
              <w:rPr>
                <w:rFonts w:ascii="Times New Roman" w:hAnsi="Times New Roman" w:cs="Times New Roman"/>
                <w:sz w:val="28"/>
                <w:szCs w:val="28"/>
              </w:rPr>
            </w:pPr>
            <w:r>
              <w:rPr>
                <w:rFonts w:ascii="Times New Roman" w:hAnsi="Times New Roman" w:cs="Times New Roman"/>
                <w:sz w:val="28"/>
                <w:szCs w:val="28"/>
              </w:rPr>
              <w:t>58</w:t>
            </w:r>
            <w:r w:rsidRPr="00A63330">
              <w:rPr>
                <w:rFonts w:ascii="Times New Roman" w:hAnsi="Times New Roman" w:cs="Times New Roman"/>
                <w:sz w:val="28"/>
                <w:szCs w:val="28"/>
              </w:rPr>
              <w:t>,7</w:t>
            </w:r>
            <w:r>
              <w:rPr>
                <w:rFonts w:ascii="Times New Roman" w:hAnsi="Times New Roman" w:cs="Times New Roman"/>
                <w:sz w:val="28"/>
                <w:szCs w:val="28"/>
              </w:rPr>
              <w:t>5±6,13</w:t>
            </w:r>
          </w:p>
        </w:tc>
        <w:tc>
          <w:tcPr>
            <w:tcW w:w="3402" w:type="dxa"/>
          </w:tcPr>
          <w:p w:rsidR="00162D8C" w:rsidRPr="00A63330" w:rsidRDefault="00162D8C"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4,15±2,7</w:t>
            </w:r>
            <w:r w:rsidRPr="00A63330">
              <w:rPr>
                <w:rFonts w:ascii="Times New Roman" w:hAnsi="Times New Roman" w:cs="Times New Roman"/>
                <w:sz w:val="28"/>
                <w:szCs w:val="28"/>
              </w:rPr>
              <w:t>2</w:t>
            </w:r>
          </w:p>
          <w:p w:rsidR="00162D8C" w:rsidRPr="00A63330" w:rsidRDefault="00162D8C"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5,25±2,85</w:t>
            </w:r>
          </w:p>
          <w:p w:rsidR="00162D8C" w:rsidRPr="00A63330" w:rsidRDefault="00162D8C"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5,90±2,64</w:t>
            </w:r>
          </w:p>
          <w:p w:rsidR="00162D8C" w:rsidRPr="00A63330" w:rsidRDefault="00162D8C"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6,12±3</w:t>
            </w:r>
            <w:r w:rsidRPr="00A63330">
              <w:rPr>
                <w:rFonts w:ascii="Times New Roman" w:hAnsi="Times New Roman" w:cs="Times New Roman"/>
                <w:sz w:val="28"/>
                <w:szCs w:val="28"/>
              </w:rPr>
              <w:t>,31</w:t>
            </w:r>
          </w:p>
          <w:p w:rsidR="00162D8C" w:rsidRPr="00A63330" w:rsidRDefault="00162D8C"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7,47±3,74</w:t>
            </w:r>
          </w:p>
        </w:tc>
      </w:tr>
      <w:tr w:rsidR="00162D8C" w:rsidRPr="00A63330" w:rsidTr="001F0C51">
        <w:tc>
          <w:tcPr>
            <w:tcW w:w="1838" w:type="dxa"/>
          </w:tcPr>
          <w:p w:rsidR="00162D8C" w:rsidRPr="00A63330" w:rsidRDefault="00162D8C" w:rsidP="001F0C51">
            <w:pPr>
              <w:spacing w:line="360" w:lineRule="auto"/>
              <w:jc w:val="both"/>
              <w:rPr>
                <w:rFonts w:ascii="Times New Roman" w:hAnsi="Times New Roman" w:cs="Times New Roman"/>
                <w:sz w:val="28"/>
                <w:szCs w:val="28"/>
              </w:rPr>
            </w:pPr>
            <w:r w:rsidRPr="00A63330">
              <w:rPr>
                <w:rFonts w:ascii="Times New Roman" w:hAnsi="Times New Roman" w:cs="Times New Roman"/>
                <w:sz w:val="28"/>
                <w:szCs w:val="28"/>
              </w:rPr>
              <w:t>Всього</w:t>
            </w:r>
          </w:p>
        </w:tc>
        <w:tc>
          <w:tcPr>
            <w:tcW w:w="1134" w:type="dxa"/>
          </w:tcPr>
          <w:p w:rsidR="00162D8C" w:rsidRPr="00A63330" w:rsidRDefault="00162D8C" w:rsidP="001F0C51">
            <w:pPr>
              <w:spacing w:line="360" w:lineRule="auto"/>
              <w:jc w:val="center"/>
              <w:rPr>
                <w:rFonts w:ascii="Times New Roman" w:hAnsi="Times New Roman" w:cs="Times New Roman"/>
                <w:sz w:val="28"/>
                <w:szCs w:val="28"/>
              </w:rPr>
            </w:pPr>
            <w:r>
              <w:rPr>
                <w:rFonts w:ascii="Times New Roman" w:hAnsi="Times New Roman" w:cs="Times New Roman"/>
                <w:sz w:val="28"/>
                <w:szCs w:val="28"/>
              </w:rPr>
              <w:t>152</w:t>
            </w:r>
          </w:p>
        </w:tc>
        <w:tc>
          <w:tcPr>
            <w:tcW w:w="2977" w:type="dxa"/>
          </w:tcPr>
          <w:p w:rsidR="00162D8C" w:rsidRPr="00A63330" w:rsidRDefault="00162D8C" w:rsidP="001F0C51">
            <w:pPr>
              <w:spacing w:line="360" w:lineRule="auto"/>
              <w:jc w:val="center"/>
              <w:rPr>
                <w:rFonts w:ascii="Times New Roman" w:hAnsi="Times New Roman" w:cs="Times New Roman"/>
                <w:sz w:val="28"/>
                <w:szCs w:val="28"/>
              </w:rPr>
            </w:pPr>
            <w:r>
              <w:rPr>
                <w:rFonts w:ascii="Times New Roman" w:hAnsi="Times New Roman" w:cs="Times New Roman"/>
                <w:sz w:val="28"/>
                <w:szCs w:val="28"/>
              </w:rPr>
              <w:t>57,16±7,57</w:t>
            </w:r>
          </w:p>
        </w:tc>
        <w:tc>
          <w:tcPr>
            <w:tcW w:w="3402" w:type="dxa"/>
          </w:tcPr>
          <w:p w:rsidR="00162D8C" w:rsidRPr="00A63330" w:rsidRDefault="00162D8C" w:rsidP="001F0C51">
            <w:pPr>
              <w:spacing w:line="360" w:lineRule="auto"/>
              <w:jc w:val="center"/>
              <w:rPr>
                <w:rFonts w:ascii="Times New Roman" w:hAnsi="Times New Roman" w:cs="Times New Roman"/>
                <w:sz w:val="28"/>
                <w:szCs w:val="28"/>
              </w:rPr>
            </w:pPr>
            <w:r>
              <w:rPr>
                <w:rFonts w:ascii="Times New Roman" w:hAnsi="Times New Roman" w:cs="Times New Roman"/>
                <w:sz w:val="28"/>
                <w:szCs w:val="28"/>
              </w:rPr>
              <w:t>5,34±3,43</w:t>
            </w:r>
          </w:p>
        </w:tc>
      </w:tr>
    </w:tbl>
    <w:p w:rsidR="00162D8C" w:rsidRPr="00A63330" w:rsidRDefault="00162D8C" w:rsidP="00162D8C">
      <w:pPr>
        <w:spacing w:line="360" w:lineRule="auto"/>
        <w:jc w:val="both"/>
        <w:rPr>
          <w:rFonts w:ascii="Times New Roman" w:hAnsi="Times New Roman" w:cs="Times New Roman"/>
          <w:sz w:val="28"/>
          <w:szCs w:val="28"/>
        </w:rPr>
      </w:pPr>
      <w:r>
        <w:rPr>
          <w:rFonts w:ascii="Times New Roman" w:hAnsi="Times New Roman" w:cs="Times New Roman"/>
          <w:sz w:val="28"/>
          <w:szCs w:val="28"/>
        </w:rPr>
        <w:t>Умовні позначення: СВ – стандартне відхилення</w:t>
      </w:r>
    </w:p>
    <w:p w:rsidR="00162D8C" w:rsidRDefault="00162D8C" w:rsidP="00162D8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w:t>
      </w:r>
      <w:r w:rsidRPr="009569F6">
        <w:rPr>
          <w:rFonts w:ascii="Times New Roman" w:hAnsi="Times New Roman" w:cs="Times New Roman"/>
          <w:sz w:val="28"/>
          <w:szCs w:val="28"/>
        </w:rPr>
        <w:t>даними</w:t>
      </w:r>
      <w:r>
        <w:rPr>
          <w:rFonts w:ascii="Times New Roman" w:hAnsi="Times New Roman" w:cs="Times New Roman"/>
          <w:sz w:val="28"/>
          <w:szCs w:val="28"/>
        </w:rPr>
        <w:t xml:space="preserve"> патоморфологічних і променевих досліджень </w:t>
      </w:r>
      <w:r>
        <w:rPr>
          <w:rFonts w:ascii="Times New Roman" w:hAnsi="Times New Roman" w:cs="Times New Roman"/>
          <w:bCs/>
          <w:sz w:val="28"/>
          <w:szCs w:val="28"/>
        </w:rPr>
        <w:t>усі 73 хворих із НКР були розподілені згідно класифікації</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TNM</w:t>
      </w:r>
      <w:r>
        <w:rPr>
          <w:rFonts w:ascii="Times New Roman" w:hAnsi="Times New Roman" w:cs="Times New Roman"/>
          <w:bCs/>
          <w:sz w:val="28"/>
          <w:szCs w:val="28"/>
        </w:rPr>
        <w:t>: р</w:t>
      </w:r>
      <w:r>
        <w:rPr>
          <w:rFonts w:ascii="Times New Roman" w:hAnsi="Times New Roman" w:cs="Times New Roman"/>
          <w:bCs/>
          <w:sz w:val="28"/>
          <w:szCs w:val="28"/>
          <w:lang w:val="en-US"/>
        </w:rPr>
        <w:t>T</w:t>
      </w:r>
      <w:r w:rsidRPr="009E6C7E">
        <w:rPr>
          <w:rFonts w:ascii="Times New Roman" w:hAnsi="Times New Roman" w:cs="Times New Roman"/>
          <w:bCs/>
          <w:sz w:val="28"/>
          <w:szCs w:val="28"/>
        </w:rPr>
        <w:t>1</w:t>
      </w:r>
      <w:r>
        <w:rPr>
          <w:rFonts w:ascii="Times New Roman" w:hAnsi="Times New Roman" w:cs="Times New Roman"/>
          <w:bCs/>
          <w:sz w:val="28"/>
          <w:szCs w:val="28"/>
          <w:lang w:val="en-US"/>
        </w:rPr>
        <w:t>bN</w:t>
      </w:r>
      <w:r w:rsidRPr="009E6C7E">
        <w:rPr>
          <w:rFonts w:ascii="Times New Roman" w:hAnsi="Times New Roman" w:cs="Times New Roman"/>
          <w:bCs/>
          <w:sz w:val="28"/>
          <w:szCs w:val="28"/>
        </w:rPr>
        <w:t>0</w:t>
      </w:r>
      <w:r>
        <w:rPr>
          <w:rFonts w:ascii="Times New Roman" w:hAnsi="Times New Roman" w:cs="Times New Roman"/>
          <w:bCs/>
          <w:sz w:val="28"/>
          <w:szCs w:val="28"/>
          <w:lang w:val="en-US"/>
        </w:rPr>
        <w:t>M</w:t>
      </w:r>
      <w:r w:rsidRPr="009E6C7E">
        <w:rPr>
          <w:rFonts w:ascii="Times New Roman" w:hAnsi="Times New Roman" w:cs="Times New Roman"/>
          <w:bCs/>
          <w:sz w:val="28"/>
          <w:szCs w:val="28"/>
        </w:rPr>
        <w:t>0</w:t>
      </w:r>
      <w:r>
        <w:rPr>
          <w:rFonts w:ascii="Times New Roman" w:hAnsi="Times New Roman" w:cs="Times New Roman"/>
          <w:bCs/>
          <w:sz w:val="28"/>
          <w:szCs w:val="28"/>
        </w:rPr>
        <w:t xml:space="preserve"> – 56 (76,71%) хворих,</w:t>
      </w:r>
      <w:r w:rsidRPr="009E6C7E">
        <w:rPr>
          <w:rFonts w:ascii="Times New Roman" w:hAnsi="Times New Roman" w:cs="Times New Roman"/>
          <w:bCs/>
          <w:sz w:val="28"/>
          <w:szCs w:val="28"/>
        </w:rPr>
        <w:t xml:space="preserve"> </w:t>
      </w:r>
      <w:r>
        <w:rPr>
          <w:rFonts w:ascii="Times New Roman" w:hAnsi="Times New Roman" w:cs="Times New Roman"/>
          <w:bCs/>
          <w:sz w:val="28"/>
          <w:szCs w:val="28"/>
        </w:rPr>
        <w:t>р</w:t>
      </w:r>
      <w:r>
        <w:rPr>
          <w:rFonts w:ascii="Times New Roman" w:hAnsi="Times New Roman" w:cs="Times New Roman"/>
          <w:bCs/>
          <w:sz w:val="28"/>
          <w:szCs w:val="28"/>
          <w:lang w:val="en-US"/>
        </w:rPr>
        <w:t>T</w:t>
      </w:r>
      <w:r w:rsidRPr="009E6C7E">
        <w:rPr>
          <w:rFonts w:ascii="Times New Roman" w:hAnsi="Times New Roman" w:cs="Times New Roman"/>
          <w:bCs/>
          <w:sz w:val="28"/>
          <w:szCs w:val="28"/>
        </w:rPr>
        <w:t>1</w:t>
      </w:r>
      <w:r>
        <w:rPr>
          <w:rFonts w:ascii="Times New Roman" w:hAnsi="Times New Roman" w:cs="Times New Roman"/>
          <w:bCs/>
          <w:sz w:val="28"/>
          <w:szCs w:val="28"/>
          <w:lang w:val="en-US"/>
        </w:rPr>
        <w:t>bN</w:t>
      </w:r>
      <w:r w:rsidRPr="009E6C7E">
        <w:rPr>
          <w:rFonts w:ascii="Times New Roman" w:hAnsi="Times New Roman" w:cs="Times New Roman"/>
          <w:bCs/>
          <w:sz w:val="28"/>
          <w:szCs w:val="28"/>
        </w:rPr>
        <w:t>1</w:t>
      </w:r>
      <w:r>
        <w:rPr>
          <w:rFonts w:ascii="Times New Roman" w:hAnsi="Times New Roman" w:cs="Times New Roman"/>
          <w:bCs/>
          <w:sz w:val="28"/>
          <w:szCs w:val="28"/>
          <w:lang w:val="en-US"/>
        </w:rPr>
        <w:t>M</w:t>
      </w:r>
      <w:r w:rsidRPr="009E6C7E">
        <w:rPr>
          <w:rFonts w:ascii="Times New Roman" w:hAnsi="Times New Roman" w:cs="Times New Roman"/>
          <w:bCs/>
          <w:sz w:val="28"/>
          <w:szCs w:val="28"/>
        </w:rPr>
        <w:t>0</w:t>
      </w:r>
      <w:r>
        <w:rPr>
          <w:rFonts w:ascii="Times New Roman" w:hAnsi="Times New Roman" w:cs="Times New Roman"/>
          <w:bCs/>
          <w:sz w:val="28"/>
          <w:szCs w:val="28"/>
        </w:rPr>
        <w:t xml:space="preserve"> – 1 (1,37%) хворий, р</w:t>
      </w:r>
      <w:r>
        <w:rPr>
          <w:rFonts w:ascii="Times New Roman" w:hAnsi="Times New Roman" w:cs="Times New Roman"/>
          <w:bCs/>
          <w:sz w:val="28"/>
          <w:szCs w:val="28"/>
          <w:lang w:val="en-US"/>
        </w:rPr>
        <w:t>T</w:t>
      </w:r>
      <w:r w:rsidRPr="009E6C7E">
        <w:rPr>
          <w:rFonts w:ascii="Times New Roman" w:hAnsi="Times New Roman" w:cs="Times New Roman"/>
          <w:bCs/>
          <w:sz w:val="28"/>
          <w:szCs w:val="28"/>
        </w:rPr>
        <w:t>2а</w:t>
      </w:r>
      <w:r>
        <w:rPr>
          <w:rFonts w:ascii="Times New Roman" w:hAnsi="Times New Roman" w:cs="Times New Roman"/>
          <w:bCs/>
          <w:sz w:val="28"/>
          <w:szCs w:val="28"/>
          <w:lang w:val="en-US"/>
        </w:rPr>
        <w:t>N</w:t>
      </w:r>
      <w:r w:rsidRPr="009E6C7E">
        <w:rPr>
          <w:rFonts w:ascii="Times New Roman" w:hAnsi="Times New Roman" w:cs="Times New Roman"/>
          <w:bCs/>
          <w:sz w:val="28"/>
          <w:szCs w:val="28"/>
        </w:rPr>
        <w:t>0</w:t>
      </w:r>
      <w:r>
        <w:rPr>
          <w:rFonts w:ascii="Times New Roman" w:hAnsi="Times New Roman" w:cs="Times New Roman"/>
          <w:bCs/>
          <w:sz w:val="28"/>
          <w:szCs w:val="28"/>
          <w:lang w:val="en-US"/>
        </w:rPr>
        <w:t>M</w:t>
      </w:r>
      <w:r w:rsidRPr="009E6C7E">
        <w:rPr>
          <w:rFonts w:ascii="Times New Roman" w:hAnsi="Times New Roman" w:cs="Times New Roman"/>
          <w:bCs/>
          <w:sz w:val="28"/>
          <w:szCs w:val="28"/>
        </w:rPr>
        <w:t>0</w:t>
      </w:r>
      <w:r>
        <w:rPr>
          <w:rFonts w:ascii="Times New Roman" w:hAnsi="Times New Roman" w:cs="Times New Roman"/>
          <w:bCs/>
          <w:sz w:val="28"/>
          <w:szCs w:val="28"/>
        </w:rPr>
        <w:t xml:space="preserve"> – 10 (13,70%) пацієнтів, р</w:t>
      </w:r>
      <w:r>
        <w:rPr>
          <w:rFonts w:ascii="Times New Roman" w:hAnsi="Times New Roman" w:cs="Times New Roman"/>
          <w:bCs/>
          <w:sz w:val="28"/>
          <w:szCs w:val="28"/>
          <w:lang w:val="en-US"/>
        </w:rPr>
        <w:t>T</w:t>
      </w:r>
      <w:r w:rsidRPr="009E6C7E">
        <w:rPr>
          <w:rFonts w:ascii="Times New Roman" w:hAnsi="Times New Roman" w:cs="Times New Roman"/>
          <w:bCs/>
          <w:sz w:val="28"/>
          <w:szCs w:val="28"/>
        </w:rPr>
        <w:t>2а</w:t>
      </w:r>
      <w:r>
        <w:rPr>
          <w:rFonts w:ascii="Times New Roman" w:hAnsi="Times New Roman" w:cs="Times New Roman"/>
          <w:bCs/>
          <w:sz w:val="28"/>
          <w:szCs w:val="28"/>
          <w:lang w:val="en-US"/>
        </w:rPr>
        <w:t>N</w:t>
      </w:r>
      <w:r w:rsidRPr="009E6C7E">
        <w:rPr>
          <w:rFonts w:ascii="Times New Roman" w:hAnsi="Times New Roman" w:cs="Times New Roman"/>
          <w:bCs/>
          <w:sz w:val="28"/>
          <w:szCs w:val="28"/>
        </w:rPr>
        <w:t>1</w:t>
      </w:r>
      <w:r>
        <w:rPr>
          <w:rFonts w:ascii="Times New Roman" w:hAnsi="Times New Roman" w:cs="Times New Roman"/>
          <w:bCs/>
          <w:sz w:val="28"/>
          <w:szCs w:val="28"/>
          <w:lang w:val="en-US"/>
        </w:rPr>
        <w:t>M</w:t>
      </w:r>
      <w:r w:rsidRPr="009E6C7E">
        <w:rPr>
          <w:rFonts w:ascii="Times New Roman" w:hAnsi="Times New Roman" w:cs="Times New Roman"/>
          <w:bCs/>
          <w:sz w:val="28"/>
          <w:szCs w:val="28"/>
        </w:rPr>
        <w:t>0</w:t>
      </w:r>
      <w:r>
        <w:rPr>
          <w:rFonts w:ascii="Times New Roman" w:hAnsi="Times New Roman" w:cs="Times New Roman"/>
          <w:bCs/>
          <w:sz w:val="28"/>
          <w:szCs w:val="28"/>
        </w:rPr>
        <w:t xml:space="preserve"> – 2 (2,74</w:t>
      </w:r>
      <w:r w:rsidRPr="009E6C7E">
        <w:rPr>
          <w:rFonts w:ascii="Times New Roman" w:hAnsi="Times New Roman" w:cs="Times New Roman"/>
          <w:bCs/>
          <w:sz w:val="28"/>
          <w:szCs w:val="28"/>
        </w:rPr>
        <w:t>%</w:t>
      </w:r>
      <w:r>
        <w:rPr>
          <w:rFonts w:ascii="Times New Roman" w:hAnsi="Times New Roman" w:cs="Times New Roman"/>
          <w:bCs/>
          <w:sz w:val="28"/>
          <w:szCs w:val="28"/>
        </w:rPr>
        <w:t>) хворих, р</w:t>
      </w:r>
      <w:r>
        <w:rPr>
          <w:rFonts w:ascii="Times New Roman" w:hAnsi="Times New Roman" w:cs="Times New Roman"/>
          <w:bCs/>
          <w:sz w:val="28"/>
          <w:szCs w:val="28"/>
          <w:lang w:val="en-US"/>
        </w:rPr>
        <w:t>T</w:t>
      </w:r>
      <w:r w:rsidRPr="009E6C7E">
        <w:rPr>
          <w:rFonts w:ascii="Times New Roman" w:hAnsi="Times New Roman" w:cs="Times New Roman"/>
          <w:bCs/>
          <w:sz w:val="28"/>
          <w:szCs w:val="28"/>
        </w:rPr>
        <w:t>2</w:t>
      </w:r>
      <w:r>
        <w:rPr>
          <w:rFonts w:ascii="Times New Roman" w:hAnsi="Times New Roman" w:cs="Times New Roman"/>
          <w:bCs/>
          <w:sz w:val="28"/>
          <w:szCs w:val="28"/>
          <w:lang w:val="en-US"/>
        </w:rPr>
        <w:t>bN</w:t>
      </w:r>
      <w:r w:rsidRPr="009E6C7E">
        <w:rPr>
          <w:rFonts w:ascii="Times New Roman" w:hAnsi="Times New Roman" w:cs="Times New Roman"/>
          <w:bCs/>
          <w:sz w:val="28"/>
          <w:szCs w:val="28"/>
        </w:rPr>
        <w:t>0</w:t>
      </w:r>
      <w:r>
        <w:rPr>
          <w:rFonts w:ascii="Times New Roman" w:hAnsi="Times New Roman" w:cs="Times New Roman"/>
          <w:bCs/>
          <w:sz w:val="28"/>
          <w:szCs w:val="28"/>
          <w:lang w:val="en-US"/>
        </w:rPr>
        <w:t>M</w:t>
      </w:r>
      <w:r w:rsidRPr="009E6C7E">
        <w:rPr>
          <w:rFonts w:ascii="Times New Roman" w:hAnsi="Times New Roman" w:cs="Times New Roman"/>
          <w:bCs/>
          <w:sz w:val="28"/>
          <w:szCs w:val="28"/>
        </w:rPr>
        <w:t>0</w:t>
      </w:r>
      <w:r>
        <w:rPr>
          <w:rFonts w:ascii="Times New Roman" w:hAnsi="Times New Roman" w:cs="Times New Roman"/>
          <w:bCs/>
          <w:sz w:val="28"/>
          <w:szCs w:val="28"/>
        </w:rPr>
        <w:t xml:space="preserve"> – 2 (2,74%) хворих, р</w:t>
      </w:r>
      <w:r>
        <w:rPr>
          <w:rFonts w:ascii="Times New Roman" w:hAnsi="Times New Roman" w:cs="Times New Roman"/>
          <w:bCs/>
          <w:sz w:val="28"/>
          <w:szCs w:val="28"/>
          <w:lang w:val="en-US"/>
        </w:rPr>
        <w:t>T</w:t>
      </w:r>
      <w:r w:rsidRPr="009E6C7E">
        <w:rPr>
          <w:rFonts w:ascii="Times New Roman" w:hAnsi="Times New Roman" w:cs="Times New Roman"/>
          <w:bCs/>
          <w:sz w:val="28"/>
          <w:szCs w:val="28"/>
        </w:rPr>
        <w:t>2</w:t>
      </w:r>
      <w:r>
        <w:rPr>
          <w:rFonts w:ascii="Times New Roman" w:hAnsi="Times New Roman" w:cs="Times New Roman"/>
          <w:bCs/>
          <w:sz w:val="28"/>
          <w:szCs w:val="28"/>
          <w:lang w:val="en-US"/>
        </w:rPr>
        <w:t>bN</w:t>
      </w:r>
      <w:r w:rsidRPr="009E6C7E">
        <w:rPr>
          <w:rFonts w:ascii="Times New Roman" w:hAnsi="Times New Roman" w:cs="Times New Roman"/>
          <w:bCs/>
          <w:sz w:val="28"/>
          <w:szCs w:val="28"/>
        </w:rPr>
        <w:t>1</w:t>
      </w:r>
      <w:r>
        <w:rPr>
          <w:rFonts w:ascii="Times New Roman" w:hAnsi="Times New Roman" w:cs="Times New Roman"/>
          <w:bCs/>
          <w:sz w:val="28"/>
          <w:szCs w:val="28"/>
          <w:lang w:val="en-US"/>
        </w:rPr>
        <w:t>M</w:t>
      </w:r>
      <w:r w:rsidRPr="009E6C7E">
        <w:rPr>
          <w:rFonts w:ascii="Times New Roman" w:hAnsi="Times New Roman" w:cs="Times New Roman"/>
          <w:bCs/>
          <w:sz w:val="28"/>
          <w:szCs w:val="28"/>
        </w:rPr>
        <w:t>0</w:t>
      </w:r>
      <w:r>
        <w:rPr>
          <w:rFonts w:ascii="Times New Roman" w:hAnsi="Times New Roman" w:cs="Times New Roman"/>
          <w:bCs/>
          <w:sz w:val="28"/>
          <w:szCs w:val="28"/>
        </w:rPr>
        <w:t xml:space="preserve"> – 1 (1,37%) хворий, р</w:t>
      </w:r>
      <w:r>
        <w:rPr>
          <w:rFonts w:ascii="Times New Roman" w:hAnsi="Times New Roman" w:cs="Times New Roman"/>
          <w:bCs/>
          <w:sz w:val="28"/>
          <w:szCs w:val="28"/>
          <w:lang w:val="en-US"/>
        </w:rPr>
        <w:t>T</w:t>
      </w:r>
      <w:r w:rsidRPr="009E6C7E">
        <w:rPr>
          <w:rFonts w:ascii="Times New Roman" w:hAnsi="Times New Roman" w:cs="Times New Roman"/>
          <w:bCs/>
          <w:sz w:val="28"/>
          <w:szCs w:val="28"/>
        </w:rPr>
        <w:t>3а</w:t>
      </w:r>
      <w:r>
        <w:rPr>
          <w:rFonts w:ascii="Times New Roman" w:hAnsi="Times New Roman" w:cs="Times New Roman"/>
          <w:bCs/>
          <w:sz w:val="28"/>
          <w:szCs w:val="28"/>
          <w:lang w:val="en-US"/>
        </w:rPr>
        <w:t>N</w:t>
      </w:r>
      <w:r w:rsidRPr="009E6C7E">
        <w:rPr>
          <w:rFonts w:ascii="Times New Roman" w:hAnsi="Times New Roman" w:cs="Times New Roman"/>
          <w:bCs/>
          <w:sz w:val="28"/>
          <w:szCs w:val="28"/>
        </w:rPr>
        <w:t>0</w:t>
      </w:r>
      <w:r>
        <w:rPr>
          <w:rFonts w:ascii="Times New Roman" w:hAnsi="Times New Roman" w:cs="Times New Roman"/>
          <w:bCs/>
          <w:sz w:val="28"/>
          <w:szCs w:val="28"/>
          <w:lang w:val="en-US"/>
        </w:rPr>
        <w:t>M</w:t>
      </w:r>
      <w:r w:rsidRPr="009E6C7E">
        <w:rPr>
          <w:rFonts w:ascii="Times New Roman" w:hAnsi="Times New Roman" w:cs="Times New Roman"/>
          <w:bCs/>
          <w:sz w:val="28"/>
          <w:szCs w:val="28"/>
        </w:rPr>
        <w:t>0</w:t>
      </w:r>
      <w:r>
        <w:rPr>
          <w:rFonts w:ascii="Times New Roman" w:hAnsi="Times New Roman" w:cs="Times New Roman"/>
          <w:bCs/>
          <w:sz w:val="28"/>
          <w:szCs w:val="28"/>
        </w:rPr>
        <w:t xml:space="preserve"> – 1 (1,37%) пацієнт.</w:t>
      </w:r>
      <w:r w:rsidRPr="005F053B">
        <w:rPr>
          <w:rFonts w:ascii="Times New Roman" w:hAnsi="Times New Roman" w:cs="Times New Roman"/>
          <w:sz w:val="28"/>
          <w:szCs w:val="28"/>
        </w:rPr>
        <w:t xml:space="preserve"> В усіх випадках НКР було виявлено світлоклітинний гістологічний підтип, розподіл згідно двоступеневої класифікації Fuhrman був нас</w:t>
      </w:r>
      <w:r>
        <w:rPr>
          <w:rFonts w:ascii="Times New Roman" w:hAnsi="Times New Roman" w:cs="Times New Roman"/>
          <w:sz w:val="28"/>
          <w:szCs w:val="28"/>
        </w:rPr>
        <w:t>тупний: із низьким ступенем – 41 (56,16</w:t>
      </w:r>
      <w:r w:rsidRPr="005F053B">
        <w:rPr>
          <w:rFonts w:ascii="Times New Roman" w:hAnsi="Times New Roman" w:cs="Times New Roman"/>
          <w:sz w:val="28"/>
          <w:szCs w:val="28"/>
        </w:rPr>
        <w:t>%) випадків</w:t>
      </w:r>
      <w:r>
        <w:rPr>
          <w:rFonts w:ascii="Times New Roman" w:hAnsi="Times New Roman" w:cs="Times New Roman"/>
          <w:sz w:val="28"/>
          <w:szCs w:val="28"/>
        </w:rPr>
        <w:t xml:space="preserve"> скНКР, із високим ступенем – 32 (43,84</w:t>
      </w:r>
      <w:r w:rsidRPr="005F053B">
        <w:rPr>
          <w:rFonts w:ascii="Times New Roman" w:hAnsi="Times New Roman" w:cs="Times New Roman"/>
          <w:sz w:val="28"/>
          <w:szCs w:val="28"/>
        </w:rPr>
        <w:t>%) випадок скНКР.</w:t>
      </w:r>
    </w:p>
    <w:p w:rsidR="00162D8C" w:rsidRDefault="00162D8C" w:rsidP="00E11480">
      <w:pPr>
        <w:spacing w:line="360" w:lineRule="auto"/>
        <w:ind w:firstLine="708"/>
        <w:jc w:val="both"/>
        <w:rPr>
          <w:rFonts w:ascii="Times New Roman" w:hAnsi="Times New Roman" w:cs="Times New Roman"/>
          <w:sz w:val="28"/>
          <w:szCs w:val="28"/>
        </w:rPr>
      </w:pPr>
      <w:r>
        <w:rPr>
          <w:rFonts w:ascii="Times New Roman" w:hAnsi="Times New Roman" w:cs="Times New Roman"/>
          <w:bCs/>
          <w:sz w:val="28"/>
          <w:szCs w:val="28"/>
        </w:rPr>
        <w:t xml:space="preserve">Серед всіх 152 хворих з кістами нирок, КТ було виконано у 70 (46,05%) випадках, а МРТ – у 82 (53,95%). </w:t>
      </w:r>
      <w:r w:rsidRPr="005F2804">
        <w:rPr>
          <w:rFonts w:ascii="Times New Roman" w:hAnsi="Times New Roman" w:cs="Times New Roman"/>
          <w:sz w:val="28"/>
          <w:szCs w:val="28"/>
        </w:rPr>
        <w:t xml:space="preserve">За даними </w:t>
      </w:r>
      <w:r>
        <w:rPr>
          <w:rFonts w:ascii="Times New Roman" w:hAnsi="Times New Roman" w:cs="Times New Roman"/>
          <w:sz w:val="28"/>
          <w:szCs w:val="28"/>
        </w:rPr>
        <w:t>крос-секційних</w:t>
      </w:r>
      <w:r w:rsidRPr="005F2804">
        <w:rPr>
          <w:rFonts w:ascii="Times New Roman" w:hAnsi="Times New Roman" w:cs="Times New Roman"/>
          <w:sz w:val="28"/>
          <w:szCs w:val="28"/>
        </w:rPr>
        <w:t xml:space="preserve"> </w:t>
      </w:r>
      <w:r>
        <w:rPr>
          <w:rFonts w:ascii="Times New Roman" w:hAnsi="Times New Roman" w:cs="Times New Roman"/>
          <w:sz w:val="28"/>
          <w:szCs w:val="28"/>
        </w:rPr>
        <w:t>обстежень,</w:t>
      </w:r>
      <w:r w:rsidRPr="005F2804">
        <w:rPr>
          <w:rFonts w:ascii="Times New Roman" w:hAnsi="Times New Roman" w:cs="Times New Roman"/>
          <w:sz w:val="28"/>
          <w:szCs w:val="28"/>
        </w:rPr>
        <w:t xml:space="preserve"> середній розмір новоутворе</w:t>
      </w:r>
      <w:r>
        <w:rPr>
          <w:rFonts w:ascii="Times New Roman" w:hAnsi="Times New Roman" w:cs="Times New Roman"/>
          <w:sz w:val="28"/>
          <w:szCs w:val="28"/>
        </w:rPr>
        <w:t>ння у хворих із НКР складав 6,79±3</w:t>
      </w:r>
      <w:r w:rsidRPr="005F2804">
        <w:rPr>
          <w:rFonts w:ascii="Times New Roman" w:hAnsi="Times New Roman" w:cs="Times New Roman"/>
          <w:sz w:val="28"/>
          <w:szCs w:val="28"/>
        </w:rPr>
        <w:t>,83 см і бу</w:t>
      </w:r>
      <w:r>
        <w:rPr>
          <w:rFonts w:ascii="Times New Roman" w:hAnsi="Times New Roman" w:cs="Times New Roman"/>
          <w:sz w:val="28"/>
          <w:szCs w:val="28"/>
        </w:rPr>
        <w:t>в в межах від 4,57 см до 10,12 см, а доброякісних кіст – 5,24±2,41</w:t>
      </w:r>
      <w:r w:rsidRPr="005F2804">
        <w:rPr>
          <w:rFonts w:ascii="Times New Roman" w:hAnsi="Times New Roman" w:cs="Times New Roman"/>
          <w:sz w:val="28"/>
          <w:szCs w:val="28"/>
        </w:rPr>
        <w:t xml:space="preserve"> см</w:t>
      </w:r>
      <w:r>
        <w:rPr>
          <w:rFonts w:ascii="Times New Roman" w:hAnsi="Times New Roman" w:cs="Times New Roman"/>
          <w:sz w:val="28"/>
          <w:szCs w:val="28"/>
        </w:rPr>
        <w:t xml:space="preserve"> (від 4,02 до 9,34</w:t>
      </w:r>
      <w:r w:rsidRPr="005F2804">
        <w:rPr>
          <w:rFonts w:ascii="Times New Roman" w:hAnsi="Times New Roman" w:cs="Times New Roman"/>
          <w:sz w:val="28"/>
          <w:szCs w:val="28"/>
        </w:rPr>
        <w:t xml:space="preserve"> см). </w:t>
      </w:r>
      <w:r w:rsidRPr="005F2804">
        <w:rPr>
          <w:rFonts w:ascii="Times New Roman" w:hAnsi="Times New Roman"/>
          <w:sz w:val="28"/>
          <w:szCs w:val="28"/>
        </w:rPr>
        <w:t xml:space="preserve">Розподіл </w:t>
      </w:r>
      <w:r w:rsidRPr="005F2804">
        <w:rPr>
          <w:rFonts w:ascii="Times New Roman" w:hAnsi="Times New Roman" w:cs="Times New Roman"/>
          <w:sz w:val="28"/>
          <w:szCs w:val="28"/>
        </w:rPr>
        <w:t xml:space="preserve">досліджуваних хворих із кістозними </w:t>
      </w:r>
      <w:r>
        <w:rPr>
          <w:rFonts w:ascii="Times New Roman" w:hAnsi="Times New Roman" w:cs="Times New Roman"/>
          <w:sz w:val="28"/>
          <w:szCs w:val="28"/>
        </w:rPr>
        <w:t>новоутвореннями</w:t>
      </w:r>
      <w:r w:rsidRPr="005F2804">
        <w:rPr>
          <w:rFonts w:ascii="Times New Roman" w:hAnsi="Times New Roman" w:cs="Times New Roman"/>
          <w:sz w:val="28"/>
          <w:szCs w:val="28"/>
        </w:rPr>
        <w:t xml:space="preserve"> в залежності від класу кісти та методу крос-секційного обс</w:t>
      </w:r>
      <w:r>
        <w:rPr>
          <w:rFonts w:ascii="Times New Roman" w:hAnsi="Times New Roman" w:cs="Times New Roman"/>
          <w:sz w:val="28"/>
          <w:szCs w:val="28"/>
        </w:rPr>
        <w:t xml:space="preserve">теження </w:t>
      </w:r>
      <w:r w:rsidR="00293044">
        <w:rPr>
          <w:rFonts w:ascii="Times New Roman" w:hAnsi="Times New Roman" w:cs="Times New Roman"/>
          <w:sz w:val="28"/>
          <w:szCs w:val="28"/>
        </w:rPr>
        <w:t>наведений у таблиці 3.27</w:t>
      </w:r>
      <w:r>
        <w:rPr>
          <w:rFonts w:ascii="Times New Roman" w:hAnsi="Times New Roman" w:cs="Times New Roman"/>
          <w:sz w:val="28"/>
          <w:szCs w:val="28"/>
        </w:rPr>
        <w:t>.</w:t>
      </w:r>
    </w:p>
    <w:p w:rsidR="003732B6" w:rsidRDefault="003732B6" w:rsidP="00E11480">
      <w:pPr>
        <w:spacing w:line="360" w:lineRule="auto"/>
        <w:ind w:firstLine="708"/>
        <w:jc w:val="both"/>
        <w:rPr>
          <w:rFonts w:ascii="Times New Roman" w:hAnsi="Times New Roman" w:cs="Times New Roman"/>
          <w:sz w:val="28"/>
          <w:szCs w:val="28"/>
        </w:rPr>
      </w:pPr>
    </w:p>
    <w:p w:rsidR="003732B6" w:rsidRPr="00E11480" w:rsidRDefault="003732B6" w:rsidP="00E11480">
      <w:pPr>
        <w:spacing w:line="360" w:lineRule="auto"/>
        <w:ind w:firstLine="708"/>
        <w:jc w:val="both"/>
        <w:rPr>
          <w:rFonts w:ascii="Times New Roman" w:hAnsi="Times New Roman" w:cs="Times New Roman"/>
          <w:bCs/>
          <w:sz w:val="28"/>
          <w:szCs w:val="28"/>
        </w:rPr>
      </w:pPr>
    </w:p>
    <w:p w:rsidR="00162D8C" w:rsidRDefault="00162D8C" w:rsidP="00162D8C">
      <w:pPr>
        <w:spacing w:line="360" w:lineRule="auto"/>
        <w:ind w:firstLine="360"/>
        <w:jc w:val="right"/>
        <w:rPr>
          <w:rFonts w:ascii="Times New Roman" w:hAnsi="Times New Roman"/>
          <w:sz w:val="28"/>
          <w:szCs w:val="28"/>
        </w:rPr>
      </w:pPr>
      <w:r w:rsidRPr="00CB3FB6">
        <w:rPr>
          <w:rFonts w:ascii="Times New Roman" w:hAnsi="Times New Roman"/>
          <w:sz w:val="28"/>
          <w:szCs w:val="28"/>
        </w:rPr>
        <w:lastRenderedPageBreak/>
        <w:t>Таблиця 3.</w:t>
      </w:r>
      <w:r w:rsidR="00293044">
        <w:rPr>
          <w:rFonts w:ascii="Times New Roman" w:hAnsi="Times New Roman"/>
          <w:sz w:val="28"/>
          <w:szCs w:val="28"/>
        </w:rPr>
        <w:t>27</w:t>
      </w:r>
    </w:p>
    <w:p w:rsidR="00162D8C" w:rsidRPr="005F2804" w:rsidRDefault="00162D8C" w:rsidP="00162D8C">
      <w:pPr>
        <w:spacing w:line="360" w:lineRule="auto"/>
        <w:ind w:firstLine="360"/>
        <w:jc w:val="center"/>
        <w:rPr>
          <w:rFonts w:ascii="Times New Roman" w:hAnsi="Times New Roman" w:cs="Times New Roman"/>
          <w:sz w:val="28"/>
          <w:szCs w:val="28"/>
        </w:rPr>
      </w:pPr>
      <w:r w:rsidRPr="005F2804">
        <w:rPr>
          <w:rFonts w:ascii="Times New Roman" w:hAnsi="Times New Roman"/>
          <w:sz w:val="28"/>
          <w:szCs w:val="28"/>
        </w:rPr>
        <w:t xml:space="preserve">Розподіл </w:t>
      </w:r>
      <w:r w:rsidRPr="005F2804">
        <w:rPr>
          <w:rFonts w:ascii="Times New Roman" w:hAnsi="Times New Roman" w:cs="Times New Roman"/>
          <w:sz w:val="28"/>
          <w:szCs w:val="28"/>
        </w:rPr>
        <w:t xml:space="preserve">досліджуваних хворих із </w:t>
      </w:r>
      <w:r>
        <w:rPr>
          <w:rFonts w:ascii="Times New Roman" w:hAnsi="Times New Roman" w:cs="Times New Roman"/>
          <w:sz w:val="28"/>
          <w:szCs w:val="28"/>
        </w:rPr>
        <w:t xml:space="preserve">кістозними масами нирок розміром понад 4 см, </w:t>
      </w:r>
      <w:r w:rsidRPr="005F2804">
        <w:rPr>
          <w:rFonts w:ascii="Times New Roman" w:hAnsi="Times New Roman" w:cs="Times New Roman"/>
          <w:sz w:val="28"/>
          <w:szCs w:val="28"/>
        </w:rPr>
        <w:t xml:space="preserve">в залежності від </w:t>
      </w:r>
      <w:r>
        <w:rPr>
          <w:rFonts w:ascii="Times New Roman" w:hAnsi="Times New Roman" w:cs="Times New Roman"/>
          <w:sz w:val="28"/>
          <w:szCs w:val="28"/>
        </w:rPr>
        <w:t>класу кісти</w:t>
      </w:r>
      <w:r w:rsidRPr="005F2804">
        <w:rPr>
          <w:rFonts w:ascii="Times New Roman" w:hAnsi="Times New Roman" w:cs="Times New Roman"/>
          <w:sz w:val="28"/>
          <w:szCs w:val="28"/>
        </w:rPr>
        <w:t xml:space="preserve"> та методу обстеження</w:t>
      </w:r>
    </w:p>
    <w:tbl>
      <w:tblPr>
        <w:tblStyle w:val="TableGrid"/>
        <w:tblW w:w="9209" w:type="dxa"/>
        <w:tblLook w:val="04A0" w:firstRow="1" w:lastRow="0" w:firstColumn="1" w:lastColumn="0" w:noHBand="0" w:noVBand="1"/>
      </w:tblPr>
      <w:tblGrid>
        <w:gridCol w:w="4106"/>
        <w:gridCol w:w="1276"/>
        <w:gridCol w:w="1843"/>
        <w:gridCol w:w="1984"/>
      </w:tblGrid>
      <w:tr w:rsidR="00162D8C" w:rsidRPr="005F2804" w:rsidTr="001F0C51">
        <w:tc>
          <w:tcPr>
            <w:tcW w:w="4106" w:type="dxa"/>
            <w:vMerge w:val="restart"/>
          </w:tcPr>
          <w:p w:rsidR="00162D8C" w:rsidRPr="005F2804" w:rsidRDefault="00162D8C" w:rsidP="001F0C51">
            <w:pPr>
              <w:jc w:val="both"/>
              <w:rPr>
                <w:rFonts w:ascii="Times New Roman" w:hAnsi="Times New Roman" w:cs="Times New Roman"/>
                <w:b/>
                <w:sz w:val="28"/>
                <w:szCs w:val="28"/>
              </w:rPr>
            </w:pPr>
            <w:r w:rsidRPr="005F2804">
              <w:rPr>
                <w:rFonts w:ascii="Times New Roman" w:hAnsi="Times New Roman" w:cs="Times New Roman"/>
                <w:b/>
                <w:sz w:val="28"/>
                <w:szCs w:val="28"/>
              </w:rPr>
              <w:t>Діагноз</w:t>
            </w:r>
          </w:p>
        </w:tc>
        <w:tc>
          <w:tcPr>
            <w:tcW w:w="1276" w:type="dxa"/>
            <w:vMerge w:val="restart"/>
          </w:tcPr>
          <w:p w:rsidR="00162D8C" w:rsidRPr="005F2804" w:rsidRDefault="00162D8C" w:rsidP="001F0C51">
            <w:pPr>
              <w:jc w:val="center"/>
              <w:rPr>
                <w:rFonts w:ascii="Times New Roman" w:hAnsi="Times New Roman" w:cs="Times New Roman"/>
                <w:b/>
                <w:sz w:val="28"/>
                <w:szCs w:val="28"/>
              </w:rPr>
            </w:pPr>
            <w:r w:rsidRPr="005F2804">
              <w:rPr>
                <w:rFonts w:ascii="Times New Roman" w:hAnsi="Times New Roman" w:cs="Times New Roman"/>
                <w:b/>
                <w:sz w:val="28"/>
                <w:szCs w:val="28"/>
              </w:rPr>
              <w:t>Всього,</w:t>
            </w:r>
          </w:p>
          <w:p w:rsidR="00162D8C" w:rsidRPr="005F2804" w:rsidRDefault="00162D8C" w:rsidP="001F0C51">
            <w:pPr>
              <w:jc w:val="center"/>
              <w:rPr>
                <w:rFonts w:ascii="Times New Roman" w:hAnsi="Times New Roman" w:cs="Times New Roman"/>
                <w:b/>
                <w:sz w:val="28"/>
                <w:szCs w:val="28"/>
              </w:rPr>
            </w:pPr>
            <w:r w:rsidRPr="005F2804">
              <w:rPr>
                <w:rFonts w:ascii="Times New Roman" w:hAnsi="Times New Roman" w:cs="Times New Roman"/>
                <w:b/>
                <w:sz w:val="28"/>
                <w:szCs w:val="28"/>
              </w:rPr>
              <w:t>асб</w:t>
            </w:r>
          </w:p>
        </w:tc>
        <w:tc>
          <w:tcPr>
            <w:tcW w:w="3827" w:type="dxa"/>
            <w:gridSpan w:val="2"/>
          </w:tcPr>
          <w:p w:rsidR="00162D8C" w:rsidRPr="005F2804" w:rsidRDefault="00162D8C" w:rsidP="001F0C51">
            <w:pPr>
              <w:jc w:val="center"/>
              <w:rPr>
                <w:rFonts w:ascii="Times New Roman" w:hAnsi="Times New Roman" w:cs="Times New Roman"/>
                <w:b/>
                <w:sz w:val="28"/>
                <w:szCs w:val="28"/>
              </w:rPr>
            </w:pPr>
            <w:r w:rsidRPr="005F2804">
              <w:rPr>
                <w:rFonts w:ascii="Times New Roman" w:hAnsi="Times New Roman" w:cs="Times New Roman"/>
                <w:b/>
                <w:sz w:val="28"/>
                <w:szCs w:val="28"/>
              </w:rPr>
              <w:t>Тип дослідження</w:t>
            </w:r>
          </w:p>
        </w:tc>
      </w:tr>
      <w:tr w:rsidR="00162D8C" w:rsidRPr="005F2804" w:rsidTr="001F0C51">
        <w:tc>
          <w:tcPr>
            <w:tcW w:w="4106" w:type="dxa"/>
            <w:vMerge/>
          </w:tcPr>
          <w:p w:rsidR="00162D8C" w:rsidRPr="005F2804" w:rsidRDefault="00162D8C" w:rsidP="001F0C51">
            <w:pPr>
              <w:jc w:val="both"/>
              <w:rPr>
                <w:rFonts w:ascii="Times New Roman" w:hAnsi="Times New Roman" w:cs="Times New Roman"/>
                <w:b/>
                <w:sz w:val="28"/>
                <w:szCs w:val="28"/>
              </w:rPr>
            </w:pPr>
          </w:p>
        </w:tc>
        <w:tc>
          <w:tcPr>
            <w:tcW w:w="1276" w:type="dxa"/>
            <w:vMerge/>
          </w:tcPr>
          <w:p w:rsidR="00162D8C" w:rsidRPr="005F2804" w:rsidRDefault="00162D8C" w:rsidP="001F0C51">
            <w:pPr>
              <w:jc w:val="both"/>
              <w:rPr>
                <w:rFonts w:ascii="Times New Roman" w:hAnsi="Times New Roman" w:cs="Times New Roman"/>
                <w:b/>
                <w:sz w:val="28"/>
                <w:szCs w:val="28"/>
              </w:rPr>
            </w:pPr>
          </w:p>
        </w:tc>
        <w:tc>
          <w:tcPr>
            <w:tcW w:w="1843" w:type="dxa"/>
          </w:tcPr>
          <w:p w:rsidR="00162D8C" w:rsidRPr="005F2804" w:rsidRDefault="00162D8C" w:rsidP="001F0C51">
            <w:pPr>
              <w:jc w:val="center"/>
              <w:rPr>
                <w:rFonts w:ascii="Times New Roman" w:hAnsi="Times New Roman" w:cs="Times New Roman"/>
                <w:b/>
                <w:sz w:val="28"/>
                <w:szCs w:val="28"/>
              </w:rPr>
            </w:pPr>
            <w:r w:rsidRPr="005F2804">
              <w:rPr>
                <w:rFonts w:ascii="Times New Roman" w:hAnsi="Times New Roman" w:cs="Times New Roman"/>
                <w:b/>
                <w:sz w:val="28"/>
                <w:szCs w:val="28"/>
              </w:rPr>
              <w:t>КТ, абс</w:t>
            </w:r>
          </w:p>
        </w:tc>
        <w:tc>
          <w:tcPr>
            <w:tcW w:w="1984" w:type="dxa"/>
          </w:tcPr>
          <w:p w:rsidR="00162D8C" w:rsidRPr="005F2804" w:rsidRDefault="00162D8C" w:rsidP="001F0C51">
            <w:pPr>
              <w:jc w:val="center"/>
              <w:rPr>
                <w:rFonts w:ascii="Times New Roman" w:hAnsi="Times New Roman" w:cs="Times New Roman"/>
                <w:b/>
                <w:sz w:val="28"/>
                <w:szCs w:val="28"/>
              </w:rPr>
            </w:pPr>
            <w:r w:rsidRPr="005F2804">
              <w:rPr>
                <w:rFonts w:ascii="Times New Roman" w:hAnsi="Times New Roman" w:cs="Times New Roman"/>
                <w:b/>
                <w:sz w:val="28"/>
                <w:szCs w:val="28"/>
              </w:rPr>
              <w:t>МРТ, абс</w:t>
            </w:r>
          </w:p>
        </w:tc>
      </w:tr>
      <w:tr w:rsidR="00162D8C" w:rsidRPr="005F2804" w:rsidTr="001F0C51">
        <w:tc>
          <w:tcPr>
            <w:tcW w:w="4106" w:type="dxa"/>
          </w:tcPr>
          <w:p w:rsidR="00162D8C" w:rsidRPr="005F2804" w:rsidRDefault="00162D8C" w:rsidP="001F0C51">
            <w:pPr>
              <w:jc w:val="both"/>
              <w:rPr>
                <w:rFonts w:ascii="Times New Roman" w:hAnsi="Times New Roman" w:cs="Times New Roman"/>
                <w:sz w:val="28"/>
                <w:szCs w:val="28"/>
              </w:rPr>
            </w:pPr>
            <w:r w:rsidRPr="005F2804">
              <w:rPr>
                <w:rFonts w:ascii="Times New Roman" w:hAnsi="Times New Roman" w:cs="Times New Roman"/>
                <w:sz w:val="28"/>
                <w:szCs w:val="28"/>
              </w:rPr>
              <w:t>Bosniak І</w:t>
            </w:r>
          </w:p>
          <w:p w:rsidR="00162D8C" w:rsidRPr="005F2804" w:rsidRDefault="00162D8C" w:rsidP="001F0C51">
            <w:pPr>
              <w:jc w:val="both"/>
              <w:rPr>
                <w:rFonts w:ascii="Times New Roman" w:hAnsi="Times New Roman" w:cs="Times New Roman"/>
                <w:sz w:val="28"/>
                <w:szCs w:val="28"/>
              </w:rPr>
            </w:pPr>
            <w:r w:rsidRPr="005F2804">
              <w:rPr>
                <w:rFonts w:ascii="Times New Roman" w:hAnsi="Times New Roman" w:cs="Times New Roman"/>
                <w:sz w:val="28"/>
                <w:szCs w:val="28"/>
              </w:rPr>
              <w:t>Bosniak ІІ</w:t>
            </w:r>
          </w:p>
          <w:p w:rsidR="00162D8C" w:rsidRPr="005F2804" w:rsidRDefault="00162D8C" w:rsidP="001F0C51">
            <w:pPr>
              <w:jc w:val="both"/>
              <w:rPr>
                <w:rFonts w:ascii="Times New Roman" w:hAnsi="Times New Roman" w:cs="Times New Roman"/>
                <w:sz w:val="28"/>
                <w:szCs w:val="28"/>
              </w:rPr>
            </w:pPr>
            <w:r w:rsidRPr="005F2804">
              <w:rPr>
                <w:rFonts w:ascii="Times New Roman" w:hAnsi="Times New Roman" w:cs="Times New Roman"/>
                <w:sz w:val="28"/>
                <w:szCs w:val="28"/>
              </w:rPr>
              <w:t>Bosniak ІІF</w:t>
            </w:r>
          </w:p>
          <w:p w:rsidR="00162D8C" w:rsidRPr="005F2804" w:rsidRDefault="00162D8C" w:rsidP="001F0C51">
            <w:pPr>
              <w:jc w:val="both"/>
              <w:rPr>
                <w:rFonts w:ascii="Times New Roman" w:hAnsi="Times New Roman" w:cs="Times New Roman"/>
                <w:sz w:val="28"/>
                <w:szCs w:val="28"/>
              </w:rPr>
            </w:pPr>
            <w:r w:rsidRPr="005F2804">
              <w:rPr>
                <w:rFonts w:ascii="Times New Roman" w:hAnsi="Times New Roman" w:cs="Times New Roman"/>
                <w:sz w:val="28"/>
                <w:szCs w:val="28"/>
              </w:rPr>
              <w:t>Bosniak ІII</w:t>
            </w:r>
          </w:p>
          <w:p w:rsidR="00162D8C" w:rsidRPr="005F2804" w:rsidRDefault="00162D8C" w:rsidP="001F0C51">
            <w:pPr>
              <w:jc w:val="both"/>
              <w:rPr>
                <w:rFonts w:ascii="Times New Roman" w:hAnsi="Times New Roman" w:cs="Times New Roman"/>
                <w:sz w:val="28"/>
                <w:szCs w:val="28"/>
              </w:rPr>
            </w:pPr>
            <w:r w:rsidRPr="005F2804">
              <w:rPr>
                <w:rFonts w:ascii="Times New Roman" w:hAnsi="Times New Roman" w:cs="Times New Roman"/>
                <w:sz w:val="28"/>
                <w:szCs w:val="28"/>
              </w:rPr>
              <w:t>Bosniak ІV</w:t>
            </w:r>
          </w:p>
        </w:tc>
        <w:tc>
          <w:tcPr>
            <w:tcW w:w="1276" w:type="dxa"/>
          </w:tcPr>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21</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23</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45</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32</w:t>
            </w:r>
          </w:p>
          <w:p w:rsidR="00162D8C" w:rsidRPr="005F2804" w:rsidRDefault="00162D8C" w:rsidP="001F0C51">
            <w:pPr>
              <w:jc w:val="center"/>
              <w:rPr>
                <w:rFonts w:ascii="Times New Roman" w:hAnsi="Times New Roman" w:cs="Times New Roman"/>
                <w:sz w:val="28"/>
                <w:szCs w:val="28"/>
              </w:rPr>
            </w:pPr>
            <w:r>
              <w:rPr>
                <w:rFonts w:ascii="Times New Roman" w:hAnsi="Times New Roman" w:cs="Times New Roman"/>
                <w:sz w:val="28"/>
                <w:szCs w:val="28"/>
              </w:rPr>
              <w:t>31</w:t>
            </w:r>
          </w:p>
        </w:tc>
        <w:tc>
          <w:tcPr>
            <w:tcW w:w="1843" w:type="dxa"/>
          </w:tcPr>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10</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11</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18</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16</w:t>
            </w:r>
          </w:p>
          <w:p w:rsidR="00162D8C" w:rsidRPr="005F2804" w:rsidRDefault="00162D8C" w:rsidP="001F0C51">
            <w:pPr>
              <w:jc w:val="center"/>
              <w:rPr>
                <w:rFonts w:ascii="Times New Roman" w:hAnsi="Times New Roman" w:cs="Times New Roman"/>
                <w:sz w:val="28"/>
                <w:szCs w:val="28"/>
              </w:rPr>
            </w:pPr>
            <w:r>
              <w:rPr>
                <w:rFonts w:ascii="Times New Roman" w:hAnsi="Times New Roman" w:cs="Times New Roman"/>
                <w:sz w:val="28"/>
                <w:szCs w:val="28"/>
              </w:rPr>
              <w:t>15</w:t>
            </w:r>
          </w:p>
        </w:tc>
        <w:tc>
          <w:tcPr>
            <w:tcW w:w="1984" w:type="dxa"/>
          </w:tcPr>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11</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12</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27</w:t>
            </w:r>
          </w:p>
          <w:p w:rsidR="00162D8C" w:rsidRDefault="00162D8C" w:rsidP="001F0C51">
            <w:pPr>
              <w:jc w:val="center"/>
              <w:rPr>
                <w:rFonts w:ascii="Times New Roman" w:hAnsi="Times New Roman" w:cs="Times New Roman"/>
                <w:sz w:val="28"/>
                <w:szCs w:val="28"/>
              </w:rPr>
            </w:pPr>
            <w:r>
              <w:rPr>
                <w:rFonts w:ascii="Times New Roman" w:hAnsi="Times New Roman" w:cs="Times New Roman"/>
                <w:sz w:val="28"/>
                <w:szCs w:val="28"/>
              </w:rPr>
              <w:t>16</w:t>
            </w:r>
          </w:p>
          <w:p w:rsidR="00162D8C" w:rsidRPr="005F2804" w:rsidRDefault="00162D8C" w:rsidP="001F0C51">
            <w:pPr>
              <w:jc w:val="center"/>
              <w:rPr>
                <w:rFonts w:ascii="Times New Roman" w:hAnsi="Times New Roman" w:cs="Times New Roman"/>
                <w:sz w:val="28"/>
                <w:szCs w:val="28"/>
              </w:rPr>
            </w:pPr>
            <w:r>
              <w:rPr>
                <w:rFonts w:ascii="Times New Roman" w:hAnsi="Times New Roman" w:cs="Times New Roman"/>
                <w:sz w:val="28"/>
                <w:szCs w:val="28"/>
              </w:rPr>
              <w:t>16</w:t>
            </w:r>
          </w:p>
        </w:tc>
      </w:tr>
      <w:tr w:rsidR="00162D8C" w:rsidRPr="005F2804" w:rsidTr="001F0C51">
        <w:tc>
          <w:tcPr>
            <w:tcW w:w="4106" w:type="dxa"/>
          </w:tcPr>
          <w:p w:rsidR="00162D8C" w:rsidRPr="005F2804" w:rsidRDefault="00162D8C" w:rsidP="001F0C51">
            <w:pPr>
              <w:rPr>
                <w:rFonts w:ascii="Times New Roman" w:hAnsi="Times New Roman" w:cs="Times New Roman"/>
                <w:sz w:val="28"/>
                <w:szCs w:val="28"/>
              </w:rPr>
            </w:pPr>
            <w:r w:rsidRPr="005F2804">
              <w:rPr>
                <w:rFonts w:ascii="Times New Roman" w:hAnsi="Times New Roman" w:cs="Times New Roman"/>
                <w:sz w:val="28"/>
                <w:szCs w:val="28"/>
              </w:rPr>
              <w:t xml:space="preserve">Середній розмір всіх </w:t>
            </w:r>
            <w:r>
              <w:rPr>
                <w:rFonts w:ascii="Times New Roman" w:hAnsi="Times New Roman" w:cs="Times New Roman"/>
                <w:sz w:val="28"/>
                <w:szCs w:val="28"/>
              </w:rPr>
              <w:t>пухлин</w:t>
            </w:r>
            <w:r w:rsidRPr="005F2804">
              <w:rPr>
                <w:rFonts w:ascii="Times New Roman" w:hAnsi="Times New Roman" w:cs="Times New Roman"/>
                <w:sz w:val="28"/>
                <w:szCs w:val="28"/>
              </w:rPr>
              <w:t>, см</w:t>
            </w:r>
          </w:p>
        </w:tc>
        <w:tc>
          <w:tcPr>
            <w:tcW w:w="1276" w:type="dxa"/>
          </w:tcPr>
          <w:p w:rsidR="00162D8C" w:rsidRPr="005F2804" w:rsidRDefault="00162D8C" w:rsidP="001F0C51">
            <w:pPr>
              <w:jc w:val="center"/>
              <w:rPr>
                <w:rFonts w:ascii="Times New Roman" w:hAnsi="Times New Roman" w:cs="Times New Roman"/>
                <w:sz w:val="28"/>
                <w:szCs w:val="28"/>
              </w:rPr>
            </w:pPr>
            <w:r w:rsidRPr="005F2804">
              <w:rPr>
                <w:rFonts w:ascii="Times New Roman" w:hAnsi="Times New Roman" w:cs="Times New Roman"/>
                <w:sz w:val="28"/>
                <w:szCs w:val="28"/>
              </w:rPr>
              <w:t>-</w:t>
            </w:r>
          </w:p>
        </w:tc>
        <w:tc>
          <w:tcPr>
            <w:tcW w:w="1843" w:type="dxa"/>
          </w:tcPr>
          <w:p w:rsidR="00162D8C" w:rsidRPr="005F2804" w:rsidRDefault="00162D8C"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5,65±3,11</w:t>
            </w:r>
          </w:p>
        </w:tc>
        <w:tc>
          <w:tcPr>
            <w:tcW w:w="1984" w:type="dxa"/>
          </w:tcPr>
          <w:p w:rsidR="00162D8C" w:rsidRPr="005F2804" w:rsidRDefault="00162D8C" w:rsidP="001F0C51">
            <w:pPr>
              <w:spacing w:line="276" w:lineRule="auto"/>
              <w:jc w:val="center"/>
              <w:rPr>
                <w:rFonts w:ascii="Times New Roman" w:hAnsi="Times New Roman" w:cs="Times New Roman"/>
                <w:sz w:val="28"/>
                <w:szCs w:val="28"/>
              </w:rPr>
            </w:pPr>
            <w:r>
              <w:rPr>
                <w:rFonts w:ascii="Times New Roman" w:hAnsi="Times New Roman" w:cs="Times New Roman"/>
                <w:sz w:val="28"/>
                <w:szCs w:val="28"/>
              </w:rPr>
              <w:t>5,14±3,63</w:t>
            </w:r>
          </w:p>
        </w:tc>
      </w:tr>
      <w:tr w:rsidR="00162D8C" w:rsidRPr="005F2804" w:rsidTr="001F0C51">
        <w:tc>
          <w:tcPr>
            <w:tcW w:w="4106" w:type="dxa"/>
          </w:tcPr>
          <w:p w:rsidR="00162D8C" w:rsidRPr="005F2804" w:rsidRDefault="00162D8C" w:rsidP="001F0C51">
            <w:pPr>
              <w:jc w:val="both"/>
              <w:rPr>
                <w:rFonts w:ascii="Times New Roman" w:hAnsi="Times New Roman" w:cs="Times New Roman"/>
                <w:sz w:val="28"/>
                <w:szCs w:val="28"/>
              </w:rPr>
            </w:pPr>
            <w:r w:rsidRPr="005F2804">
              <w:rPr>
                <w:rFonts w:ascii="Times New Roman" w:hAnsi="Times New Roman" w:cs="Times New Roman"/>
                <w:sz w:val="28"/>
                <w:szCs w:val="28"/>
              </w:rPr>
              <w:t>Всього</w:t>
            </w:r>
            <w:r>
              <w:rPr>
                <w:rFonts w:ascii="Times New Roman" w:hAnsi="Times New Roman" w:cs="Times New Roman"/>
                <w:sz w:val="28"/>
                <w:szCs w:val="28"/>
              </w:rPr>
              <w:t xml:space="preserve"> хворих</w:t>
            </w:r>
          </w:p>
        </w:tc>
        <w:tc>
          <w:tcPr>
            <w:tcW w:w="1276" w:type="dxa"/>
          </w:tcPr>
          <w:p w:rsidR="00162D8C" w:rsidRPr="005F2804" w:rsidRDefault="00162D8C" w:rsidP="001F0C51">
            <w:pPr>
              <w:jc w:val="center"/>
              <w:rPr>
                <w:rFonts w:ascii="Times New Roman" w:hAnsi="Times New Roman" w:cs="Times New Roman"/>
                <w:sz w:val="28"/>
                <w:szCs w:val="28"/>
              </w:rPr>
            </w:pPr>
            <w:r>
              <w:rPr>
                <w:rFonts w:ascii="Times New Roman" w:hAnsi="Times New Roman" w:cs="Times New Roman"/>
                <w:sz w:val="28"/>
                <w:szCs w:val="28"/>
              </w:rPr>
              <w:t>152</w:t>
            </w:r>
          </w:p>
        </w:tc>
        <w:tc>
          <w:tcPr>
            <w:tcW w:w="1843" w:type="dxa"/>
          </w:tcPr>
          <w:p w:rsidR="00162D8C" w:rsidRPr="005F2804" w:rsidRDefault="00162D8C" w:rsidP="001F0C51">
            <w:pPr>
              <w:jc w:val="center"/>
              <w:rPr>
                <w:rFonts w:ascii="Times New Roman" w:hAnsi="Times New Roman" w:cs="Times New Roman"/>
                <w:sz w:val="28"/>
                <w:szCs w:val="28"/>
              </w:rPr>
            </w:pPr>
            <w:r>
              <w:rPr>
                <w:rFonts w:ascii="Times New Roman" w:hAnsi="Times New Roman" w:cs="Times New Roman"/>
                <w:sz w:val="28"/>
                <w:szCs w:val="28"/>
              </w:rPr>
              <w:t>70</w:t>
            </w:r>
          </w:p>
        </w:tc>
        <w:tc>
          <w:tcPr>
            <w:tcW w:w="1984" w:type="dxa"/>
          </w:tcPr>
          <w:p w:rsidR="00162D8C" w:rsidRPr="005F2804" w:rsidRDefault="00162D8C" w:rsidP="001F0C51">
            <w:pPr>
              <w:jc w:val="center"/>
              <w:rPr>
                <w:rFonts w:ascii="Times New Roman" w:hAnsi="Times New Roman" w:cs="Times New Roman"/>
                <w:sz w:val="28"/>
                <w:szCs w:val="28"/>
              </w:rPr>
            </w:pPr>
            <w:r>
              <w:rPr>
                <w:rFonts w:ascii="Times New Roman" w:hAnsi="Times New Roman" w:cs="Times New Roman"/>
                <w:sz w:val="28"/>
                <w:szCs w:val="28"/>
              </w:rPr>
              <w:t>82</w:t>
            </w:r>
          </w:p>
        </w:tc>
      </w:tr>
    </w:tbl>
    <w:p w:rsidR="00162D8C" w:rsidRPr="005F2804" w:rsidRDefault="00162D8C" w:rsidP="00162D8C">
      <w:pPr>
        <w:spacing w:line="360" w:lineRule="auto"/>
        <w:jc w:val="both"/>
        <w:rPr>
          <w:rFonts w:ascii="Times New Roman" w:hAnsi="Times New Roman" w:cs="Times New Roman"/>
          <w:sz w:val="28"/>
          <w:szCs w:val="28"/>
        </w:rPr>
      </w:pPr>
    </w:p>
    <w:p w:rsidR="00162D8C" w:rsidRPr="004805A6" w:rsidRDefault="00162D8C" w:rsidP="00162D8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Результати</w:t>
      </w:r>
      <w:r w:rsidRPr="004805A6">
        <w:rPr>
          <w:rFonts w:ascii="Times New Roman" w:hAnsi="Times New Roman" w:cs="Times New Roman"/>
          <w:sz w:val="28"/>
          <w:szCs w:val="28"/>
        </w:rPr>
        <w:t xml:space="preserve"> </w:t>
      </w:r>
      <w:r>
        <w:rPr>
          <w:rFonts w:ascii="Times New Roman" w:hAnsi="Times New Roman" w:cs="Times New Roman"/>
          <w:sz w:val="28"/>
          <w:szCs w:val="28"/>
        </w:rPr>
        <w:t>зображення</w:t>
      </w:r>
      <w:r w:rsidRPr="004805A6">
        <w:rPr>
          <w:rFonts w:ascii="Times New Roman" w:hAnsi="Times New Roman" w:cs="Times New Roman"/>
          <w:sz w:val="28"/>
          <w:szCs w:val="28"/>
        </w:rPr>
        <w:t xml:space="preserve"> кістозних </w:t>
      </w:r>
      <w:r>
        <w:rPr>
          <w:rFonts w:ascii="Times New Roman" w:hAnsi="Times New Roman" w:cs="Times New Roman"/>
          <w:sz w:val="28"/>
          <w:szCs w:val="28"/>
        </w:rPr>
        <w:t>ниркових мас</w:t>
      </w:r>
      <w:r w:rsidRPr="004805A6">
        <w:rPr>
          <w:rFonts w:ascii="Times New Roman" w:hAnsi="Times New Roman" w:cs="Times New Roman"/>
          <w:sz w:val="28"/>
          <w:szCs w:val="28"/>
        </w:rPr>
        <w:t xml:space="preserve"> за допомогою КТ та МРТ були проаналізовані</w:t>
      </w:r>
      <w:r>
        <w:rPr>
          <w:rFonts w:ascii="Times New Roman" w:hAnsi="Times New Roman" w:cs="Times New Roman"/>
          <w:sz w:val="28"/>
          <w:szCs w:val="28"/>
        </w:rPr>
        <w:t>,</w:t>
      </w:r>
      <w:r w:rsidRPr="004805A6">
        <w:rPr>
          <w:rFonts w:ascii="Times New Roman" w:hAnsi="Times New Roman" w:cs="Times New Roman"/>
          <w:sz w:val="28"/>
          <w:szCs w:val="28"/>
        </w:rPr>
        <w:t xml:space="preserve"> та співставленні із даними патоморфологічних заключень. Результати </w:t>
      </w:r>
      <w:r>
        <w:rPr>
          <w:rFonts w:ascii="Times New Roman" w:hAnsi="Times New Roman" w:cs="Times New Roman"/>
          <w:sz w:val="28"/>
          <w:szCs w:val="28"/>
        </w:rPr>
        <w:t>цього</w:t>
      </w:r>
      <w:r w:rsidRPr="004805A6">
        <w:rPr>
          <w:rFonts w:ascii="Times New Roman" w:hAnsi="Times New Roman" w:cs="Times New Roman"/>
          <w:sz w:val="28"/>
          <w:szCs w:val="28"/>
        </w:rPr>
        <w:t xml:space="preserve"> аналізу наводимо </w:t>
      </w:r>
      <w:r>
        <w:rPr>
          <w:rFonts w:ascii="Times New Roman" w:hAnsi="Times New Roman" w:cs="Times New Roman"/>
          <w:sz w:val="28"/>
          <w:szCs w:val="28"/>
        </w:rPr>
        <w:t>нижче</w:t>
      </w:r>
      <w:r w:rsidRPr="004805A6">
        <w:rPr>
          <w:rFonts w:ascii="Times New Roman" w:hAnsi="Times New Roman" w:cs="Times New Roman"/>
          <w:sz w:val="28"/>
          <w:szCs w:val="28"/>
        </w:rPr>
        <w:t>.</w:t>
      </w:r>
    </w:p>
    <w:p w:rsidR="00162D8C" w:rsidRDefault="00162D8C" w:rsidP="00162D8C">
      <w:pPr>
        <w:spacing w:line="360" w:lineRule="auto"/>
        <w:ind w:firstLine="708"/>
        <w:jc w:val="both"/>
        <w:rPr>
          <w:rFonts w:ascii="Times New Roman" w:hAnsi="Times New Roman" w:cs="Times New Roman"/>
          <w:sz w:val="28"/>
          <w:szCs w:val="28"/>
        </w:rPr>
      </w:pPr>
    </w:p>
    <w:p w:rsidR="00162D8C" w:rsidRPr="00C276FB" w:rsidRDefault="00162D8C" w:rsidP="00162D8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3.2</w:t>
      </w:r>
      <w:r w:rsidRPr="00C276FB">
        <w:rPr>
          <w:rFonts w:ascii="Times New Roman" w:hAnsi="Times New Roman" w:cs="Times New Roman"/>
          <w:sz w:val="28"/>
          <w:szCs w:val="28"/>
        </w:rPr>
        <w:t>.2.1. Променеві біомаркери на основі КТ</w:t>
      </w:r>
    </w:p>
    <w:p w:rsidR="00162D8C" w:rsidRPr="00C276FB" w:rsidRDefault="00162D8C" w:rsidP="00162D8C">
      <w:pPr>
        <w:spacing w:line="360" w:lineRule="auto"/>
        <w:ind w:firstLine="709"/>
        <w:jc w:val="both"/>
        <w:rPr>
          <w:rFonts w:ascii="Times New Roman" w:hAnsi="Times New Roman" w:cs="Times New Roman"/>
          <w:sz w:val="28"/>
        </w:rPr>
      </w:pPr>
      <w:r>
        <w:rPr>
          <w:rFonts w:ascii="Times New Roman" w:hAnsi="Times New Roman" w:cs="Times New Roman"/>
          <w:sz w:val="28"/>
          <w:szCs w:val="28"/>
        </w:rPr>
        <w:t>Б</w:t>
      </w:r>
      <w:r w:rsidRPr="00C276FB">
        <w:rPr>
          <w:rFonts w:ascii="Times New Roman" w:hAnsi="Times New Roman" w:cs="Times New Roman"/>
          <w:sz w:val="28"/>
          <w:szCs w:val="28"/>
        </w:rPr>
        <w:t xml:space="preserve">ули проаналізовані показники променевої щільності кіст нирок, які були отримані </w:t>
      </w:r>
      <w:r>
        <w:rPr>
          <w:rFonts w:ascii="Times New Roman" w:hAnsi="Times New Roman" w:cs="Times New Roman"/>
          <w:sz w:val="28"/>
          <w:szCs w:val="28"/>
        </w:rPr>
        <w:t>з зображень</w:t>
      </w:r>
      <w:r w:rsidRPr="00C276FB">
        <w:rPr>
          <w:rFonts w:ascii="Times New Roman" w:hAnsi="Times New Roman" w:cs="Times New Roman"/>
          <w:sz w:val="28"/>
          <w:szCs w:val="28"/>
        </w:rPr>
        <w:t xml:space="preserve"> мультифазної КТ, а також обчислені на їх основі </w:t>
      </w:r>
      <w:r w:rsidRPr="00C276FB">
        <w:rPr>
          <w:rFonts w:ascii="Times New Roman" w:hAnsi="Times New Roman" w:cs="Times New Roman"/>
          <w:sz w:val="28"/>
        </w:rPr>
        <w:t xml:space="preserve">ВПЩ новоутворення до здорової паренхіми нирки, використовуючи описані в попередньому підрозділі методи. </w:t>
      </w:r>
      <w:r w:rsidRPr="00C276FB">
        <w:rPr>
          <w:rFonts w:ascii="Times New Roman" w:hAnsi="Times New Roman" w:cs="Times New Roman"/>
          <w:sz w:val="28"/>
          <w:szCs w:val="28"/>
        </w:rPr>
        <w:t xml:space="preserve">Для обрахунків ВПЩ </w:t>
      </w:r>
      <w:r w:rsidRPr="00C276FB">
        <w:rPr>
          <w:rFonts w:ascii="Times New Roman" w:hAnsi="Times New Roman" w:cs="Times New Roman"/>
          <w:sz w:val="28"/>
        </w:rPr>
        <w:t xml:space="preserve">новоутворення до здорової паренхіми нирки для контрольної групи даний параметр був прийнятий за 1,0. </w:t>
      </w:r>
    </w:p>
    <w:p w:rsidR="00162D8C" w:rsidRDefault="00162D8C" w:rsidP="00162D8C">
      <w:pPr>
        <w:spacing w:line="360" w:lineRule="auto"/>
        <w:ind w:firstLine="709"/>
        <w:jc w:val="both"/>
        <w:rPr>
          <w:rFonts w:ascii="Times New Roman" w:hAnsi="Times New Roman" w:cs="Times New Roman"/>
          <w:sz w:val="28"/>
          <w:szCs w:val="28"/>
        </w:rPr>
      </w:pPr>
      <w:r w:rsidRPr="00C276FB">
        <w:rPr>
          <w:rFonts w:ascii="Times New Roman" w:hAnsi="Times New Roman" w:cs="Times New Roman"/>
          <w:sz w:val="28"/>
          <w:szCs w:val="28"/>
        </w:rPr>
        <w:t>Як і у випадку малих ниркових новоутворень,</w:t>
      </w:r>
      <w:r>
        <w:rPr>
          <w:rFonts w:ascii="Times New Roman" w:hAnsi="Times New Roman" w:cs="Times New Roman"/>
          <w:sz w:val="28"/>
          <w:szCs w:val="28"/>
        </w:rPr>
        <w:t xml:space="preserve"> при вивченні інтенсивності сигналу кіст нирок </w:t>
      </w:r>
      <w:r w:rsidRPr="00214874">
        <w:rPr>
          <w:rFonts w:ascii="Times New Roman" w:hAnsi="Times New Roman" w:cs="Times New Roman"/>
          <w:sz w:val="28"/>
          <w:szCs w:val="28"/>
        </w:rPr>
        <w:t xml:space="preserve">розміром понад 4 см, </w:t>
      </w:r>
      <w:r>
        <w:rPr>
          <w:rFonts w:ascii="Times New Roman" w:hAnsi="Times New Roman" w:cs="Times New Roman"/>
          <w:sz w:val="28"/>
          <w:szCs w:val="28"/>
        </w:rPr>
        <w:t xml:space="preserve">найнижчі на зображеннях всіх фаз КТ значення даного показника спостерігались при кістах І категорії за </w:t>
      </w:r>
      <w:r>
        <w:rPr>
          <w:rFonts w:ascii="Times New Roman" w:hAnsi="Times New Roman" w:cs="Times New Roman"/>
          <w:sz w:val="28"/>
          <w:szCs w:val="28"/>
          <w:lang w:val="en-US"/>
        </w:rPr>
        <w:t>Bosniak</w:t>
      </w:r>
      <w:r>
        <w:rPr>
          <w:rFonts w:ascii="Times New Roman" w:hAnsi="Times New Roman" w:cs="Times New Roman"/>
          <w:sz w:val="28"/>
          <w:szCs w:val="28"/>
        </w:rPr>
        <w:t xml:space="preserve">, а найвищі – при категорії </w:t>
      </w:r>
      <w:r>
        <w:rPr>
          <w:rFonts w:ascii="Times New Roman" w:hAnsi="Times New Roman" w:cs="Times New Roman"/>
          <w:sz w:val="28"/>
          <w:szCs w:val="28"/>
          <w:lang w:val="en-US"/>
        </w:rPr>
        <w:t>IV</w:t>
      </w:r>
      <w:r>
        <w:rPr>
          <w:rFonts w:ascii="Times New Roman" w:hAnsi="Times New Roman" w:cs="Times New Roman"/>
          <w:sz w:val="28"/>
          <w:szCs w:val="28"/>
        </w:rPr>
        <w:t xml:space="preserve">. При порівнянні середніх значень ІС кіст різних класів між собою, найбільш інформативною була кортико-медулярна фаза, оскільки ми отримали статистично достовірну </w:t>
      </w:r>
      <w:r>
        <w:rPr>
          <w:rFonts w:ascii="Times New Roman" w:hAnsi="Times New Roman" w:cs="Times New Roman"/>
          <w:sz w:val="28"/>
          <w:szCs w:val="28"/>
        </w:rPr>
        <w:lastRenderedPageBreak/>
        <w:t xml:space="preserve">різницю у всіх комбінаціях, окрім між </w:t>
      </w:r>
      <w:r>
        <w:rPr>
          <w:rFonts w:ascii="Times New Roman" w:hAnsi="Times New Roman" w:cs="Times New Roman"/>
          <w:sz w:val="28"/>
          <w:szCs w:val="28"/>
          <w:lang w:val="en-US"/>
        </w:rPr>
        <w:t>Bosniak</w:t>
      </w:r>
      <w:r>
        <w:rPr>
          <w:rFonts w:ascii="Times New Roman" w:hAnsi="Times New Roman" w:cs="Times New Roman"/>
          <w:sz w:val="28"/>
          <w:szCs w:val="28"/>
        </w:rPr>
        <w:t xml:space="preserve"> І і </w:t>
      </w:r>
      <w:r>
        <w:rPr>
          <w:rFonts w:ascii="Times New Roman" w:hAnsi="Times New Roman" w:cs="Times New Roman"/>
          <w:sz w:val="28"/>
          <w:szCs w:val="28"/>
          <w:lang w:val="en-US"/>
        </w:rPr>
        <w:t>Bosniak</w:t>
      </w:r>
      <w:r>
        <w:rPr>
          <w:rFonts w:ascii="Times New Roman" w:hAnsi="Times New Roman" w:cs="Times New Roman"/>
          <w:sz w:val="28"/>
          <w:szCs w:val="28"/>
        </w:rPr>
        <w:t xml:space="preserve"> ІІ (р=0,970), та між </w:t>
      </w:r>
      <w:r>
        <w:rPr>
          <w:rFonts w:ascii="Times New Roman" w:hAnsi="Times New Roman" w:cs="Times New Roman"/>
          <w:sz w:val="28"/>
          <w:szCs w:val="28"/>
          <w:lang w:val="en-US"/>
        </w:rPr>
        <w:t>Bosniak</w:t>
      </w:r>
      <w:r>
        <w:rPr>
          <w:rFonts w:ascii="Times New Roman" w:hAnsi="Times New Roman" w:cs="Times New Roman"/>
          <w:sz w:val="28"/>
          <w:szCs w:val="28"/>
        </w:rPr>
        <w:t xml:space="preserve"> </w:t>
      </w:r>
      <w:r>
        <w:rPr>
          <w:rFonts w:ascii="Times New Roman" w:hAnsi="Times New Roman" w:cs="Times New Roman"/>
          <w:sz w:val="28"/>
          <w:szCs w:val="28"/>
          <w:lang w:val="en-US"/>
        </w:rPr>
        <w:t>IV</w:t>
      </w:r>
      <w:r>
        <w:rPr>
          <w:rFonts w:ascii="Times New Roman" w:hAnsi="Times New Roman" w:cs="Times New Roman"/>
          <w:sz w:val="28"/>
          <w:szCs w:val="28"/>
        </w:rPr>
        <w:t xml:space="preserve"> та контрольною групою (р=719). Останнім можна знехтувати, оскільки відрізнити ниркову масу розміром понад 4 см від нормальної ниркової паренхіми безпомилково дозволяла візуальна інспекція зображень будь-якої з фаз КТ після введення контрастних речовин. </w:t>
      </w:r>
    </w:p>
    <w:p w:rsidR="00162D8C" w:rsidRDefault="00162D8C" w:rsidP="00162D8C">
      <w:pPr>
        <w:spacing w:line="360" w:lineRule="auto"/>
        <w:ind w:firstLine="709"/>
        <w:jc w:val="both"/>
        <w:rPr>
          <w:rFonts w:ascii="Times New Roman" w:hAnsi="Times New Roman"/>
          <w:sz w:val="28"/>
          <w:szCs w:val="28"/>
        </w:rPr>
      </w:pPr>
      <w:r>
        <w:rPr>
          <w:rFonts w:ascii="Times New Roman" w:hAnsi="Times New Roman" w:cs="Times New Roman"/>
          <w:sz w:val="28"/>
          <w:szCs w:val="28"/>
        </w:rPr>
        <w:t xml:space="preserve">Відсутність достовірної різниці між кістами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класу та здоровою нирковою паренхімою ми пояснюємо значною присутністю тканинного компоненту кісти, який підвищено (у порівнянні до нормальної ниркової паренхіми) накопичував контраст, що призводило до отримання високих значень інтенсивності сигналу, і як результат, взаємонакладання значень променевої щільності в обох підгрупах. Слід зазначити, що наведені дані були отримані внаслідок розміщення ОЗ над всією кістою, ретельно повторюючи її контур. Так,  середнє значення променевої щільності кіст класу І на зображеннях КМФ становило </w:t>
      </w:r>
      <w:r w:rsidRPr="00072A0A">
        <w:rPr>
          <w:rFonts w:ascii="Times New Roman" w:hAnsi="Times New Roman"/>
          <w:sz w:val="28"/>
          <w:szCs w:val="28"/>
        </w:rPr>
        <w:t>11,24</w:t>
      </w:r>
      <w:r w:rsidRPr="00072A0A">
        <w:rPr>
          <w:rFonts w:ascii="Times New Roman" w:hAnsi="Times New Roman" w:cs="Times New Roman"/>
          <w:sz w:val="28"/>
          <w:szCs w:val="28"/>
        </w:rPr>
        <w:t>±2,54</w:t>
      </w:r>
      <w:r>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xml:space="preserve">, класу ІІ - </w:t>
      </w:r>
      <w:r w:rsidRPr="00072A0A">
        <w:rPr>
          <w:rFonts w:ascii="Times New Roman" w:hAnsi="Times New Roman"/>
          <w:sz w:val="28"/>
          <w:szCs w:val="28"/>
        </w:rPr>
        <w:t>16,65</w:t>
      </w:r>
      <w:r w:rsidRPr="00072A0A">
        <w:rPr>
          <w:rFonts w:ascii="Times New Roman" w:hAnsi="Times New Roman" w:cs="Times New Roman"/>
          <w:sz w:val="28"/>
          <w:szCs w:val="28"/>
        </w:rPr>
        <w:t>±5,23</w:t>
      </w:r>
      <w:r>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класу ІІ</w:t>
      </w:r>
      <w:r>
        <w:rPr>
          <w:rFonts w:ascii="Times New Roman" w:hAnsi="Times New Roman" w:cs="Times New Roman"/>
          <w:sz w:val="28"/>
          <w:szCs w:val="28"/>
          <w:lang w:val="en-US"/>
        </w:rPr>
        <w:t>F</w:t>
      </w:r>
      <w:r>
        <w:rPr>
          <w:rFonts w:ascii="Times New Roman" w:hAnsi="Times New Roman" w:cs="Times New Roman"/>
          <w:sz w:val="28"/>
          <w:szCs w:val="28"/>
        </w:rPr>
        <w:t xml:space="preserve"> - </w:t>
      </w:r>
      <w:r w:rsidRPr="00072A0A">
        <w:rPr>
          <w:rFonts w:ascii="Times New Roman" w:hAnsi="Times New Roman"/>
          <w:sz w:val="28"/>
          <w:szCs w:val="28"/>
        </w:rPr>
        <w:t>40,78</w:t>
      </w:r>
      <w:r w:rsidRPr="00072A0A">
        <w:rPr>
          <w:rFonts w:ascii="Times New Roman" w:hAnsi="Times New Roman" w:cs="Times New Roman"/>
          <w:sz w:val="28"/>
          <w:szCs w:val="28"/>
        </w:rPr>
        <w:t>±15,04</w:t>
      </w:r>
      <w:r>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xml:space="preserve">, класу ІІІ - </w:t>
      </w:r>
      <w:r w:rsidRPr="00072A0A">
        <w:rPr>
          <w:rFonts w:ascii="Times New Roman" w:hAnsi="Times New Roman"/>
          <w:sz w:val="28"/>
          <w:szCs w:val="28"/>
        </w:rPr>
        <w:t>79,33</w:t>
      </w:r>
      <w:r w:rsidRPr="00072A0A">
        <w:rPr>
          <w:rFonts w:ascii="Times New Roman" w:hAnsi="Times New Roman" w:cs="Times New Roman"/>
          <w:sz w:val="28"/>
          <w:szCs w:val="28"/>
        </w:rPr>
        <w:t>±21,78</w:t>
      </w:r>
      <w:r>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xml:space="preserve">, класу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72A0A">
        <w:rPr>
          <w:rFonts w:ascii="Times New Roman" w:hAnsi="Times New Roman"/>
          <w:sz w:val="28"/>
          <w:szCs w:val="28"/>
        </w:rPr>
        <w:t>112,27</w:t>
      </w:r>
      <w:r w:rsidRPr="00072A0A">
        <w:rPr>
          <w:rFonts w:ascii="Times New Roman" w:hAnsi="Times New Roman" w:cs="Times New Roman"/>
          <w:sz w:val="28"/>
          <w:szCs w:val="28"/>
        </w:rPr>
        <w:t>±23,01</w:t>
      </w:r>
      <w:r>
        <w:rPr>
          <w:rFonts w:ascii="Times New Roman" w:hAnsi="Times New Roman" w:cs="Times New Roman"/>
          <w:sz w:val="28"/>
          <w:szCs w:val="28"/>
        </w:rPr>
        <w:t xml:space="preserve"> </w:t>
      </w:r>
      <w:r>
        <w:rPr>
          <w:rFonts w:ascii="Times New Roman" w:hAnsi="Times New Roman" w:cs="Times New Roman"/>
          <w:sz w:val="28"/>
          <w:szCs w:val="28"/>
          <w:lang w:val="en-US"/>
        </w:rPr>
        <w:t>HU</w:t>
      </w:r>
      <w:r>
        <w:rPr>
          <w:rFonts w:ascii="Times New Roman" w:hAnsi="Times New Roman" w:cs="Times New Roman"/>
          <w:sz w:val="28"/>
          <w:szCs w:val="28"/>
        </w:rPr>
        <w:t xml:space="preserve">, а нормальної ниркової паренхіми - </w:t>
      </w:r>
      <w:r w:rsidRPr="00072A0A">
        <w:rPr>
          <w:rFonts w:ascii="Times New Roman" w:hAnsi="Times New Roman"/>
          <w:sz w:val="28"/>
          <w:szCs w:val="28"/>
        </w:rPr>
        <w:t>119,38</w:t>
      </w:r>
      <w:r w:rsidRPr="00072A0A">
        <w:rPr>
          <w:rFonts w:ascii="Times New Roman" w:hAnsi="Times New Roman" w:cs="Times New Roman"/>
          <w:sz w:val="28"/>
          <w:szCs w:val="28"/>
        </w:rPr>
        <w:t>±</w:t>
      </w:r>
      <w:r w:rsidRPr="00072A0A">
        <w:rPr>
          <w:rFonts w:ascii="Times New Roman" w:hAnsi="Times New Roman"/>
          <w:sz w:val="28"/>
          <w:szCs w:val="28"/>
        </w:rPr>
        <w:t>13,21</w:t>
      </w:r>
      <w:r>
        <w:rPr>
          <w:rFonts w:ascii="Times New Roman" w:hAnsi="Times New Roman"/>
          <w:sz w:val="28"/>
          <w:szCs w:val="28"/>
        </w:rPr>
        <w:t xml:space="preserve"> </w:t>
      </w:r>
      <w:r>
        <w:rPr>
          <w:rFonts w:ascii="Times New Roman" w:hAnsi="Times New Roman"/>
          <w:sz w:val="28"/>
          <w:szCs w:val="28"/>
          <w:lang w:val="en-US"/>
        </w:rPr>
        <w:t>HU</w:t>
      </w:r>
      <w:r>
        <w:rPr>
          <w:rFonts w:ascii="Times New Roman" w:hAnsi="Times New Roman"/>
          <w:sz w:val="28"/>
          <w:szCs w:val="28"/>
        </w:rPr>
        <w:t xml:space="preserve">. </w:t>
      </w:r>
    </w:p>
    <w:p w:rsidR="003732B6" w:rsidRDefault="003732B6" w:rsidP="003732B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4D6C4BE3" wp14:editId="4EA81E0D">
            <wp:extent cx="3855059" cy="3248025"/>
            <wp:effectExtent l="0" t="0" r="9525"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6">
                      <a:extLst>
                        <a:ext uri="{28A0092B-C50C-407E-A947-70E740481C1C}">
                          <a14:useLocalDpi xmlns:a14="http://schemas.microsoft.com/office/drawing/2010/main" val="0"/>
                        </a:ext>
                      </a:extLst>
                    </a:blip>
                    <a:srcRect r="22009"/>
                    <a:stretch/>
                  </pic:blipFill>
                  <pic:spPr bwMode="auto">
                    <a:xfrm>
                      <a:off x="0" y="0"/>
                      <a:ext cx="3855059" cy="3248025"/>
                    </a:xfrm>
                    <a:prstGeom prst="rect">
                      <a:avLst/>
                    </a:prstGeom>
                    <a:noFill/>
                    <a:ln>
                      <a:noFill/>
                    </a:ln>
                    <a:extLst>
                      <a:ext uri="{53640926-AAD7-44D8-BBD7-CCE9431645EC}">
                        <a14:shadowObscured xmlns:a14="http://schemas.microsoft.com/office/drawing/2010/main"/>
                      </a:ext>
                    </a:extLst>
                  </pic:spPr>
                </pic:pic>
              </a:graphicData>
            </a:graphic>
          </wp:inline>
        </w:drawing>
      </w:r>
    </w:p>
    <w:p w:rsidR="003732B6" w:rsidRDefault="003732B6" w:rsidP="003732B6">
      <w:pPr>
        <w:autoSpaceDE w:val="0"/>
        <w:autoSpaceDN w:val="0"/>
        <w:adjustRightInd w:val="0"/>
        <w:spacing w:after="0" w:line="240" w:lineRule="auto"/>
        <w:rPr>
          <w:rFonts w:ascii="Times New Roman" w:hAnsi="Times New Roman" w:cs="Times New Roman"/>
          <w:sz w:val="24"/>
          <w:szCs w:val="24"/>
        </w:rPr>
      </w:pPr>
    </w:p>
    <w:p w:rsidR="003732B6" w:rsidRPr="00072A0A" w:rsidRDefault="007A4D2A" w:rsidP="003732B6">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3.40</w:t>
      </w:r>
      <w:r w:rsidR="003732B6" w:rsidRPr="00072A0A">
        <w:rPr>
          <w:rFonts w:ascii="Times New Roman" w:hAnsi="Times New Roman" w:cs="Times New Roman"/>
          <w:sz w:val="28"/>
          <w:szCs w:val="28"/>
        </w:rPr>
        <w:t>. Коробкова діаграма променевої щільності</w:t>
      </w:r>
      <w:r w:rsidR="003732B6">
        <w:rPr>
          <w:rFonts w:ascii="Times New Roman" w:hAnsi="Times New Roman" w:cs="Times New Roman"/>
          <w:sz w:val="28"/>
          <w:szCs w:val="28"/>
        </w:rPr>
        <w:t xml:space="preserve"> кіст нирок розміром понад 4 см, </w:t>
      </w:r>
      <w:r w:rsidR="003732B6" w:rsidRPr="00072A0A">
        <w:rPr>
          <w:rFonts w:ascii="Times New Roman" w:hAnsi="Times New Roman" w:cs="Times New Roman"/>
          <w:sz w:val="28"/>
          <w:szCs w:val="28"/>
        </w:rPr>
        <w:t>на КТ-зображеннях кортико-медулярної фази</w:t>
      </w:r>
    </w:p>
    <w:p w:rsidR="003732B6" w:rsidRDefault="003732B6" w:rsidP="00162D8C">
      <w:pPr>
        <w:spacing w:line="360" w:lineRule="auto"/>
        <w:ind w:firstLine="709"/>
        <w:jc w:val="both"/>
        <w:rPr>
          <w:rFonts w:ascii="Times New Roman" w:hAnsi="Times New Roman" w:cs="Times New Roman"/>
          <w:sz w:val="28"/>
          <w:szCs w:val="28"/>
        </w:rPr>
      </w:pPr>
      <w:r w:rsidRPr="00072A0A">
        <w:rPr>
          <w:rFonts w:ascii="Times New Roman" w:hAnsi="Times New Roman" w:cs="Times New Roman"/>
          <w:sz w:val="28"/>
          <w:szCs w:val="28"/>
        </w:rPr>
        <w:lastRenderedPageBreak/>
        <w:t>Показники середньої променевої щільності кіст нирок розміром понад 4 см на КТ-зображеннях різних фаз</w:t>
      </w:r>
      <w:r>
        <w:rPr>
          <w:rFonts w:ascii="Times New Roman" w:hAnsi="Times New Roman" w:cs="Times New Roman"/>
          <w:sz w:val="28"/>
          <w:szCs w:val="28"/>
        </w:rPr>
        <w:t xml:space="preserve"> наведені у таблиці 3.28.</w:t>
      </w:r>
    </w:p>
    <w:p w:rsidR="00162D8C" w:rsidRPr="00072A0A" w:rsidRDefault="00293044" w:rsidP="00162D8C">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3.28</w:t>
      </w:r>
    </w:p>
    <w:p w:rsidR="00162D8C" w:rsidRPr="00072A0A" w:rsidRDefault="00162D8C" w:rsidP="00162D8C">
      <w:pPr>
        <w:spacing w:line="360" w:lineRule="auto"/>
        <w:jc w:val="center"/>
        <w:rPr>
          <w:rFonts w:ascii="Times New Roman" w:hAnsi="Times New Roman" w:cs="Times New Roman"/>
          <w:sz w:val="28"/>
          <w:szCs w:val="28"/>
        </w:rPr>
      </w:pPr>
      <w:r w:rsidRPr="00072A0A">
        <w:rPr>
          <w:rFonts w:ascii="Times New Roman" w:hAnsi="Times New Roman" w:cs="Times New Roman"/>
          <w:sz w:val="28"/>
          <w:szCs w:val="28"/>
        </w:rPr>
        <w:t>Показники середньої променевої щільності кіст нирок розміром понад 4 см на КТ-зображеннях різних фаз</w:t>
      </w:r>
    </w:p>
    <w:tbl>
      <w:tblPr>
        <w:tblStyle w:val="TableGrid"/>
        <w:tblW w:w="9634" w:type="dxa"/>
        <w:tblLook w:val="04A0" w:firstRow="1" w:lastRow="0" w:firstColumn="1" w:lastColumn="0" w:noHBand="0" w:noVBand="1"/>
      </w:tblPr>
      <w:tblGrid>
        <w:gridCol w:w="1891"/>
        <w:gridCol w:w="1858"/>
        <w:gridCol w:w="1797"/>
        <w:gridCol w:w="2202"/>
        <w:gridCol w:w="1886"/>
      </w:tblGrid>
      <w:tr w:rsidR="00162D8C" w:rsidRPr="00072A0A" w:rsidTr="001F0C51">
        <w:trPr>
          <w:trHeight w:val="322"/>
        </w:trPr>
        <w:tc>
          <w:tcPr>
            <w:tcW w:w="1891" w:type="dxa"/>
            <w:vMerge w:val="restart"/>
          </w:tcPr>
          <w:p w:rsidR="00162D8C" w:rsidRPr="00072A0A" w:rsidRDefault="00162D8C" w:rsidP="001F0C51">
            <w:pPr>
              <w:jc w:val="center"/>
              <w:rPr>
                <w:rFonts w:ascii="Times New Roman" w:hAnsi="Times New Roman"/>
                <w:b/>
                <w:sz w:val="28"/>
                <w:szCs w:val="28"/>
              </w:rPr>
            </w:pPr>
            <w:r w:rsidRPr="00072A0A">
              <w:rPr>
                <w:rFonts w:ascii="Times New Roman" w:hAnsi="Times New Roman"/>
                <w:b/>
                <w:sz w:val="28"/>
                <w:szCs w:val="28"/>
              </w:rPr>
              <w:t>Група</w:t>
            </w:r>
          </w:p>
        </w:tc>
        <w:tc>
          <w:tcPr>
            <w:tcW w:w="7743" w:type="dxa"/>
            <w:gridSpan w:val="4"/>
          </w:tcPr>
          <w:p w:rsidR="00162D8C" w:rsidRPr="00072A0A" w:rsidRDefault="00162D8C" w:rsidP="001F0C51">
            <w:pPr>
              <w:jc w:val="center"/>
              <w:rPr>
                <w:rFonts w:ascii="Times New Roman" w:hAnsi="Times New Roman"/>
                <w:b/>
                <w:sz w:val="28"/>
                <w:szCs w:val="28"/>
              </w:rPr>
            </w:pPr>
            <w:r w:rsidRPr="00072A0A">
              <w:rPr>
                <w:rFonts w:ascii="Times New Roman" w:hAnsi="Times New Roman"/>
                <w:b/>
                <w:sz w:val="28"/>
                <w:szCs w:val="28"/>
              </w:rPr>
              <w:t>Фаза КТ</w:t>
            </w:r>
          </w:p>
        </w:tc>
      </w:tr>
      <w:tr w:rsidR="00162D8C" w:rsidRPr="00072A0A" w:rsidTr="001F0C51">
        <w:trPr>
          <w:trHeight w:val="654"/>
        </w:trPr>
        <w:tc>
          <w:tcPr>
            <w:tcW w:w="1891" w:type="dxa"/>
            <w:vMerge/>
            <w:tcBorders>
              <w:bottom w:val="single" w:sz="4" w:space="0" w:color="auto"/>
            </w:tcBorders>
          </w:tcPr>
          <w:p w:rsidR="00162D8C" w:rsidRPr="00072A0A" w:rsidRDefault="00162D8C" w:rsidP="001F0C51">
            <w:pPr>
              <w:jc w:val="center"/>
              <w:rPr>
                <w:rFonts w:ascii="Times New Roman" w:hAnsi="Times New Roman"/>
                <w:b/>
                <w:sz w:val="28"/>
                <w:szCs w:val="28"/>
              </w:rPr>
            </w:pPr>
          </w:p>
        </w:tc>
        <w:tc>
          <w:tcPr>
            <w:tcW w:w="1858" w:type="dxa"/>
            <w:tcBorders>
              <w:bottom w:val="single" w:sz="4" w:space="0" w:color="auto"/>
            </w:tcBorders>
          </w:tcPr>
          <w:p w:rsidR="00162D8C" w:rsidRPr="00072A0A" w:rsidRDefault="00162D8C" w:rsidP="001F0C51">
            <w:pPr>
              <w:spacing w:line="276" w:lineRule="auto"/>
              <w:jc w:val="center"/>
              <w:rPr>
                <w:rFonts w:ascii="Times New Roman" w:hAnsi="Times New Roman"/>
                <w:b/>
                <w:sz w:val="28"/>
                <w:szCs w:val="28"/>
              </w:rPr>
            </w:pPr>
            <w:r w:rsidRPr="00072A0A">
              <w:rPr>
                <w:rFonts w:ascii="Times New Roman" w:hAnsi="Times New Roman"/>
                <w:b/>
                <w:sz w:val="28"/>
                <w:szCs w:val="28"/>
              </w:rPr>
              <w:t>Пре-контрастні зображення, HU</w:t>
            </w:r>
          </w:p>
        </w:tc>
        <w:tc>
          <w:tcPr>
            <w:tcW w:w="1797" w:type="dxa"/>
            <w:tcBorders>
              <w:bottom w:val="single" w:sz="4" w:space="0" w:color="auto"/>
            </w:tcBorders>
          </w:tcPr>
          <w:p w:rsidR="00162D8C" w:rsidRPr="00072A0A" w:rsidRDefault="00162D8C" w:rsidP="001F0C51">
            <w:pPr>
              <w:spacing w:line="276" w:lineRule="auto"/>
              <w:jc w:val="center"/>
              <w:rPr>
                <w:rFonts w:ascii="Times New Roman" w:hAnsi="Times New Roman"/>
                <w:b/>
                <w:sz w:val="28"/>
                <w:szCs w:val="28"/>
              </w:rPr>
            </w:pPr>
            <w:r w:rsidRPr="00072A0A">
              <w:rPr>
                <w:rFonts w:ascii="Times New Roman" w:hAnsi="Times New Roman"/>
                <w:b/>
                <w:sz w:val="28"/>
                <w:szCs w:val="28"/>
              </w:rPr>
              <w:t>Кортико-медулярна фаза, HU</w:t>
            </w:r>
          </w:p>
        </w:tc>
        <w:tc>
          <w:tcPr>
            <w:tcW w:w="2202" w:type="dxa"/>
            <w:tcBorders>
              <w:bottom w:val="single" w:sz="4" w:space="0" w:color="auto"/>
            </w:tcBorders>
          </w:tcPr>
          <w:p w:rsidR="00162D8C" w:rsidRPr="00072A0A" w:rsidRDefault="00162D8C" w:rsidP="001F0C51">
            <w:pPr>
              <w:spacing w:line="276" w:lineRule="auto"/>
              <w:jc w:val="center"/>
              <w:rPr>
                <w:rFonts w:ascii="Times New Roman" w:hAnsi="Times New Roman"/>
                <w:b/>
                <w:sz w:val="28"/>
                <w:szCs w:val="28"/>
              </w:rPr>
            </w:pPr>
            <w:r w:rsidRPr="00072A0A">
              <w:rPr>
                <w:rFonts w:ascii="Times New Roman" w:hAnsi="Times New Roman"/>
                <w:b/>
                <w:sz w:val="28"/>
                <w:szCs w:val="28"/>
              </w:rPr>
              <w:t>Нефрографічна фаза, HU</w:t>
            </w:r>
          </w:p>
        </w:tc>
        <w:tc>
          <w:tcPr>
            <w:tcW w:w="1886" w:type="dxa"/>
            <w:tcBorders>
              <w:bottom w:val="single" w:sz="4" w:space="0" w:color="auto"/>
            </w:tcBorders>
          </w:tcPr>
          <w:p w:rsidR="00162D8C" w:rsidRPr="00072A0A" w:rsidRDefault="00162D8C" w:rsidP="001F0C51">
            <w:pPr>
              <w:spacing w:line="276" w:lineRule="auto"/>
              <w:jc w:val="center"/>
              <w:rPr>
                <w:rFonts w:ascii="Times New Roman" w:hAnsi="Times New Roman"/>
                <w:b/>
                <w:sz w:val="28"/>
                <w:szCs w:val="28"/>
              </w:rPr>
            </w:pPr>
            <w:r w:rsidRPr="00072A0A">
              <w:rPr>
                <w:rFonts w:ascii="Times New Roman" w:hAnsi="Times New Roman"/>
                <w:b/>
                <w:sz w:val="28"/>
                <w:szCs w:val="28"/>
              </w:rPr>
              <w:t>Екскреторна фаза, HU</w:t>
            </w:r>
          </w:p>
        </w:tc>
      </w:tr>
      <w:tr w:rsidR="00162D8C" w:rsidRPr="00072A0A" w:rsidTr="001F0C51">
        <w:trPr>
          <w:trHeight w:val="182"/>
        </w:trPr>
        <w:tc>
          <w:tcPr>
            <w:tcW w:w="1891" w:type="dxa"/>
          </w:tcPr>
          <w:p w:rsidR="00162D8C" w:rsidRPr="00072A0A" w:rsidRDefault="00162D8C" w:rsidP="001F0C51">
            <w:pPr>
              <w:spacing w:line="276" w:lineRule="auto"/>
              <w:jc w:val="both"/>
              <w:rPr>
                <w:rFonts w:ascii="Times New Roman" w:hAnsi="Times New Roman" w:cs="Times New Roman"/>
                <w:b/>
                <w:sz w:val="28"/>
                <w:szCs w:val="28"/>
              </w:rPr>
            </w:pPr>
            <w:r w:rsidRPr="00072A0A">
              <w:rPr>
                <w:rFonts w:ascii="Times New Roman" w:hAnsi="Times New Roman" w:cs="Times New Roman"/>
                <w:b/>
                <w:sz w:val="28"/>
                <w:szCs w:val="28"/>
              </w:rPr>
              <w:t>Bosniak І,</w:t>
            </w:r>
          </w:p>
          <w:p w:rsidR="00162D8C" w:rsidRPr="00072A0A" w:rsidRDefault="00162D8C" w:rsidP="001F0C51">
            <w:pPr>
              <w:spacing w:line="276" w:lineRule="auto"/>
              <w:rPr>
                <w:rFonts w:ascii="Times New Roman" w:hAnsi="Times New Roman" w:cs="Times New Roman"/>
                <w:b/>
                <w:sz w:val="28"/>
                <w:szCs w:val="28"/>
              </w:rPr>
            </w:pPr>
            <w:r w:rsidRPr="00072A0A">
              <w:rPr>
                <w:rFonts w:ascii="Times New Roman" w:hAnsi="Times New Roman" w:cs="Times New Roman"/>
                <w:b/>
                <w:sz w:val="28"/>
                <w:szCs w:val="28"/>
              </w:rPr>
              <w:t>n=10</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5,57</w:t>
            </w:r>
            <w:r w:rsidRPr="00072A0A">
              <w:rPr>
                <w:rFonts w:ascii="Times New Roman" w:hAnsi="Times New Roman" w:cs="Times New Roman"/>
                <w:sz w:val="28"/>
                <w:szCs w:val="28"/>
              </w:rPr>
              <w:t>±3,27</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11,24</w:t>
            </w:r>
            <w:r w:rsidRPr="00072A0A">
              <w:rPr>
                <w:rFonts w:ascii="Times New Roman" w:hAnsi="Times New Roman" w:cs="Times New Roman"/>
                <w:sz w:val="28"/>
                <w:szCs w:val="28"/>
              </w:rPr>
              <w:t>±2,54</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10,99</w:t>
            </w:r>
            <w:r w:rsidRPr="00072A0A">
              <w:rPr>
                <w:rFonts w:ascii="Times New Roman" w:hAnsi="Times New Roman" w:cs="Times New Roman"/>
                <w:sz w:val="28"/>
                <w:szCs w:val="28"/>
              </w:rPr>
              <w:t>±3,47</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9,35</w:t>
            </w:r>
            <w:r w:rsidRPr="00072A0A">
              <w:rPr>
                <w:rFonts w:ascii="Times New Roman" w:hAnsi="Times New Roman" w:cs="Times New Roman"/>
                <w:sz w:val="28"/>
                <w:szCs w:val="28"/>
              </w:rPr>
              <w:t>±1,69</w:t>
            </w:r>
          </w:p>
        </w:tc>
      </w:tr>
      <w:tr w:rsidR="00162D8C" w:rsidRPr="00072A0A" w:rsidTr="001F0C51">
        <w:tc>
          <w:tcPr>
            <w:tcW w:w="1891" w:type="dxa"/>
          </w:tcPr>
          <w:p w:rsidR="00162D8C" w:rsidRPr="00072A0A" w:rsidRDefault="00162D8C" w:rsidP="001F0C51">
            <w:pPr>
              <w:spacing w:line="276" w:lineRule="auto"/>
              <w:jc w:val="both"/>
              <w:rPr>
                <w:rFonts w:ascii="Times New Roman" w:hAnsi="Times New Roman" w:cs="Times New Roman"/>
                <w:b/>
                <w:sz w:val="28"/>
                <w:szCs w:val="28"/>
              </w:rPr>
            </w:pPr>
            <w:r w:rsidRPr="00072A0A">
              <w:rPr>
                <w:rFonts w:ascii="Times New Roman" w:hAnsi="Times New Roman" w:cs="Times New Roman"/>
                <w:b/>
                <w:sz w:val="28"/>
                <w:szCs w:val="28"/>
              </w:rPr>
              <w:t>Bosniak ІІ,</w:t>
            </w:r>
          </w:p>
          <w:p w:rsidR="00162D8C" w:rsidRPr="00072A0A" w:rsidRDefault="00162D8C" w:rsidP="001F0C51">
            <w:pPr>
              <w:spacing w:line="276" w:lineRule="auto"/>
              <w:jc w:val="both"/>
              <w:rPr>
                <w:rFonts w:ascii="Times New Roman" w:hAnsi="Times New Roman" w:cs="Times New Roman"/>
                <w:b/>
                <w:sz w:val="28"/>
                <w:szCs w:val="28"/>
              </w:rPr>
            </w:pPr>
            <w:r w:rsidRPr="00072A0A">
              <w:rPr>
                <w:rFonts w:ascii="Times New Roman" w:hAnsi="Times New Roman" w:cs="Times New Roman"/>
                <w:b/>
                <w:sz w:val="28"/>
                <w:szCs w:val="28"/>
              </w:rPr>
              <w:t>n=11</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10,70</w:t>
            </w:r>
            <w:r w:rsidRPr="00072A0A">
              <w:rPr>
                <w:rFonts w:ascii="Times New Roman" w:hAnsi="Times New Roman" w:cs="Times New Roman"/>
                <w:sz w:val="28"/>
                <w:szCs w:val="28"/>
              </w:rPr>
              <w:t>±2,99</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16,65</w:t>
            </w:r>
            <w:r w:rsidRPr="00072A0A">
              <w:rPr>
                <w:rFonts w:ascii="Times New Roman" w:hAnsi="Times New Roman" w:cs="Times New Roman"/>
                <w:sz w:val="28"/>
                <w:szCs w:val="28"/>
              </w:rPr>
              <w:t>±5,23</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19,35</w:t>
            </w:r>
            <w:r w:rsidRPr="00072A0A">
              <w:rPr>
                <w:rFonts w:ascii="Times New Roman" w:hAnsi="Times New Roman" w:cs="Times New Roman"/>
                <w:sz w:val="28"/>
                <w:szCs w:val="28"/>
              </w:rPr>
              <w:t>±3,92</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11,39</w:t>
            </w:r>
            <w:r w:rsidRPr="00072A0A">
              <w:rPr>
                <w:rFonts w:ascii="Times New Roman" w:hAnsi="Times New Roman" w:cs="Times New Roman"/>
                <w:sz w:val="28"/>
                <w:szCs w:val="28"/>
              </w:rPr>
              <w:t>±3,98</w:t>
            </w:r>
          </w:p>
        </w:tc>
      </w:tr>
      <w:tr w:rsidR="00162D8C" w:rsidRPr="00072A0A" w:rsidTr="001F0C51">
        <w:tc>
          <w:tcPr>
            <w:tcW w:w="1891" w:type="dxa"/>
          </w:tcPr>
          <w:p w:rsidR="00162D8C" w:rsidRPr="00072A0A" w:rsidRDefault="00162D8C" w:rsidP="001F0C51">
            <w:pPr>
              <w:spacing w:line="276" w:lineRule="auto"/>
              <w:jc w:val="both"/>
              <w:rPr>
                <w:rFonts w:ascii="Times New Roman" w:hAnsi="Times New Roman" w:cs="Times New Roman"/>
                <w:b/>
                <w:sz w:val="28"/>
                <w:szCs w:val="28"/>
              </w:rPr>
            </w:pPr>
            <w:r w:rsidRPr="00072A0A">
              <w:rPr>
                <w:rFonts w:ascii="Times New Roman" w:hAnsi="Times New Roman" w:cs="Times New Roman"/>
                <w:b/>
                <w:sz w:val="28"/>
                <w:szCs w:val="28"/>
              </w:rPr>
              <w:t>Bosniak ІІF,</w:t>
            </w:r>
          </w:p>
          <w:p w:rsidR="00162D8C" w:rsidRPr="00072A0A" w:rsidRDefault="00162D8C" w:rsidP="001F0C51">
            <w:pPr>
              <w:spacing w:line="276" w:lineRule="auto"/>
              <w:rPr>
                <w:rFonts w:ascii="Times New Roman" w:hAnsi="Times New Roman" w:cs="Times New Roman"/>
                <w:b/>
                <w:sz w:val="28"/>
                <w:szCs w:val="28"/>
              </w:rPr>
            </w:pPr>
            <w:r w:rsidRPr="00072A0A">
              <w:rPr>
                <w:rFonts w:ascii="Times New Roman" w:hAnsi="Times New Roman" w:cs="Times New Roman"/>
                <w:b/>
                <w:sz w:val="28"/>
                <w:szCs w:val="28"/>
              </w:rPr>
              <w:t>n=18</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26,94</w:t>
            </w:r>
            <w:r w:rsidRPr="00072A0A">
              <w:rPr>
                <w:rFonts w:ascii="Times New Roman" w:hAnsi="Times New Roman" w:cs="Times New Roman"/>
                <w:sz w:val="28"/>
                <w:szCs w:val="28"/>
              </w:rPr>
              <w:t>±5,95</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40,78</w:t>
            </w:r>
            <w:r w:rsidRPr="00072A0A">
              <w:rPr>
                <w:rFonts w:ascii="Times New Roman" w:hAnsi="Times New Roman" w:cs="Times New Roman"/>
                <w:sz w:val="28"/>
                <w:szCs w:val="28"/>
              </w:rPr>
              <w:t>±15,04</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34,58</w:t>
            </w:r>
            <w:r w:rsidRPr="00072A0A">
              <w:rPr>
                <w:rFonts w:ascii="Times New Roman" w:hAnsi="Times New Roman" w:cs="Times New Roman"/>
                <w:sz w:val="28"/>
                <w:szCs w:val="28"/>
              </w:rPr>
              <w:t>±15,18</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38,45</w:t>
            </w:r>
            <w:r w:rsidRPr="00072A0A">
              <w:rPr>
                <w:rFonts w:ascii="Times New Roman" w:hAnsi="Times New Roman" w:cs="Times New Roman"/>
                <w:sz w:val="28"/>
                <w:szCs w:val="28"/>
              </w:rPr>
              <w:t>±10,48</w:t>
            </w:r>
          </w:p>
        </w:tc>
      </w:tr>
      <w:tr w:rsidR="00162D8C" w:rsidRPr="00072A0A" w:rsidTr="001F0C51">
        <w:tc>
          <w:tcPr>
            <w:tcW w:w="1891" w:type="dxa"/>
          </w:tcPr>
          <w:p w:rsidR="00162D8C" w:rsidRPr="00072A0A" w:rsidRDefault="00162D8C" w:rsidP="001F0C51">
            <w:pPr>
              <w:spacing w:line="276" w:lineRule="auto"/>
              <w:jc w:val="both"/>
              <w:rPr>
                <w:rFonts w:ascii="Times New Roman" w:hAnsi="Times New Roman" w:cs="Times New Roman"/>
                <w:b/>
                <w:sz w:val="28"/>
                <w:szCs w:val="28"/>
              </w:rPr>
            </w:pPr>
            <w:r w:rsidRPr="00072A0A">
              <w:rPr>
                <w:rFonts w:ascii="Times New Roman" w:hAnsi="Times New Roman" w:cs="Times New Roman"/>
                <w:b/>
                <w:sz w:val="28"/>
                <w:szCs w:val="28"/>
              </w:rPr>
              <w:t>Bosniak ІII,</w:t>
            </w:r>
          </w:p>
          <w:p w:rsidR="00162D8C" w:rsidRPr="00072A0A" w:rsidRDefault="00162D8C" w:rsidP="001F0C51">
            <w:pPr>
              <w:spacing w:line="276" w:lineRule="auto"/>
              <w:rPr>
                <w:b/>
              </w:rPr>
            </w:pPr>
            <w:r w:rsidRPr="00072A0A">
              <w:rPr>
                <w:rFonts w:ascii="Times New Roman" w:hAnsi="Times New Roman" w:cs="Times New Roman"/>
                <w:b/>
                <w:sz w:val="28"/>
                <w:szCs w:val="28"/>
              </w:rPr>
              <w:t>n=16</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38,19</w:t>
            </w:r>
            <w:r w:rsidRPr="00072A0A">
              <w:rPr>
                <w:rFonts w:ascii="Times New Roman" w:hAnsi="Times New Roman" w:cs="Times New Roman"/>
                <w:sz w:val="28"/>
                <w:szCs w:val="28"/>
              </w:rPr>
              <w:t>±6,12</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79,33</w:t>
            </w:r>
            <w:r w:rsidRPr="00072A0A">
              <w:rPr>
                <w:rFonts w:ascii="Times New Roman" w:hAnsi="Times New Roman" w:cs="Times New Roman"/>
                <w:sz w:val="28"/>
                <w:szCs w:val="28"/>
              </w:rPr>
              <w:t>±21,78</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76,89</w:t>
            </w:r>
            <w:r w:rsidRPr="00072A0A">
              <w:rPr>
                <w:rFonts w:ascii="Times New Roman" w:hAnsi="Times New Roman" w:cs="Times New Roman"/>
                <w:sz w:val="28"/>
                <w:szCs w:val="28"/>
              </w:rPr>
              <w:t>±23,92</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68,72</w:t>
            </w:r>
            <w:r w:rsidRPr="00072A0A">
              <w:rPr>
                <w:rFonts w:ascii="Times New Roman" w:hAnsi="Times New Roman" w:cs="Times New Roman"/>
                <w:sz w:val="28"/>
                <w:szCs w:val="28"/>
              </w:rPr>
              <w:t>±17,59</w:t>
            </w:r>
          </w:p>
        </w:tc>
      </w:tr>
      <w:tr w:rsidR="00162D8C" w:rsidRPr="00072A0A" w:rsidTr="001F0C51">
        <w:tc>
          <w:tcPr>
            <w:tcW w:w="1891" w:type="dxa"/>
          </w:tcPr>
          <w:p w:rsidR="00162D8C" w:rsidRPr="00072A0A" w:rsidRDefault="00162D8C" w:rsidP="001F0C51">
            <w:pPr>
              <w:spacing w:line="276" w:lineRule="auto"/>
              <w:rPr>
                <w:rFonts w:ascii="Times New Roman" w:hAnsi="Times New Roman"/>
                <w:b/>
                <w:sz w:val="28"/>
                <w:szCs w:val="28"/>
              </w:rPr>
            </w:pPr>
            <w:r w:rsidRPr="00072A0A">
              <w:rPr>
                <w:rFonts w:ascii="Times New Roman" w:hAnsi="Times New Roman" w:cs="Times New Roman"/>
                <w:b/>
                <w:sz w:val="28"/>
                <w:szCs w:val="28"/>
              </w:rPr>
              <w:t>Bosniak ІV, n=15</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41,68</w:t>
            </w:r>
            <w:r w:rsidRPr="00072A0A">
              <w:rPr>
                <w:rFonts w:ascii="Times New Roman" w:hAnsi="Times New Roman" w:cs="Times New Roman"/>
                <w:sz w:val="28"/>
                <w:szCs w:val="28"/>
              </w:rPr>
              <w:t>±6,02</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112,27</w:t>
            </w:r>
            <w:r w:rsidRPr="00072A0A">
              <w:rPr>
                <w:rFonts w:ascii="Times New Roman" w:hAnsi="Times New Roman" w:cs="Times New Roman"/>
                <w:sz w:val="28"/>
                <w:szCs w:val="28"/>
              </w:rPr>
              <w:t>±23,01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88,61</w:t>
            </w:r>
            <w:r w:rsidRPr="00072A0A">
              <w:rPr>
                <w:rFonts w:ascii="Times New Roman" w:hAnsi="Times New Roman" w:cs="Times New Roman"/>
                <w:sz w:val="28"/>
                <w:szCs w:val="28"/>
              </w:rPr>
              <w:t>±26,21</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74,39</w:t>
            </w:r>
            <w:r w:rsidRPr="00072A0A">
              <w:rPr>
                <w:rFonts w:ascii="Times New Roman" w:hAnsi="Times New Roman" w:cs="Times New Roman"/>
                <w:sz w:val="28"/>
                <w:szCs w:val="28"/>
              </w:rPr>
              <w:t>±13,81</w:t>
            </w:r>
          </w:p>
        </w:tc>
      </w:tr>
      <w:tr w:rsidR="00162D8C" w:rsidRPr="00072A0A" w:rsidTr="001F0C51">
        <w:tc>
          <w:tcPr>
            <w:tcW w:w="1891" w:type="dxa"/>
          </w:tcPr>
          <w:p w:rsidR="00162D8C" w:rsidRPr="00072A0A" w:rsidRDefault="00162D8C" w:rsidP="001F0C51">
            <w:pPr>
              <w:spacing w:line="276" w:lineRule="auto"/>
              <w:rPr>
                <w:rFonts w:ascii="Times New Roman" w:hAnsi="Times New Roman"/>
                <w:b/>
                <w:sz w:val="28"/>
                <w:szCs w:val="28"/>
              </w:rPr>
            </w:pPr>
            <w:r w:rsidRPr="00072A0A">
              <w:rPr>
                <w:rFonts w:ascii="Times New Roman" w:hAnsi="Times New Roman"/>
                <w:b/>
                <w:sz w:val="28"/>
                <w:szCs w:val="28"/>
              </w:rPr>
              <w:t xml:space="preserve">Контроль, </w:t>
            </w:r>
            <w:r w:rsidRPr="00072A0A">
              <w:rPr>
                <w:rFonts w:ascii="Times New Roman" w:hAnsi="Times New Roman" w:cs="Times New Roman"/>
                <w:b/>
                <w:sz w:val="28"/>
                <w:szCs w:val="28"/>
              </w:rPr>
              <w:t>n=30</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30,84</w:t>
            </w:r>
            <w:r w:rsidRPr="00072A0A">
              <w:rPr>
                <w:rFonts w:ascii="Times New Roman" w:hAnsi="Times New Roman" w:cs="Times New Roman"/>
                <w:sz w:val="28"/>
                <w:szCs w:val="28"/>
              </w:rPr>
              <w:t>±</w:t>
            </w:r>
            <w:r w:rsidRPr="00072A0A">
              <w:rPr>
                <w:rFonts w:ascii="Times New Roman" w:hAnsi="Times New Roman"/>
                <w:sz w:val="28"/>
                <w:szCs w:val="28"/>
              </w:rPr>
              <w:t>6,51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119,38</w:t>
            </w:r>
            <w:r w:rsidRPr="00072A0A">
              <w:rPr>
                <w:rFonts w:ascii="Times New Roman" w:hAnsi="Times New Roman" w:cs="Times New Roman"/>
                <w:sz w:val="28"/>
                <w:szCs w:val="28"/>
              </w:rPr>
              <w:t>±</w:t>
            </w:r>
            <w:r w:rsidRPr="00072A0A">
              <w:rPr>
                <w:rFonts w:ascii="Times New Roman" w:hAnsi="Times New Roman"/>
                <w:sz w:val="28"/>
                <w:szCs w:val="28"/>
              </w:rPr>
              <w:t>13,21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115,11</w:t>
            </w:r>
            <w:r w:rsidRPr="00072A0A">
              <w:rPr>
                <w:rFonts w:ascii="Times New Roman" w:hAnsi="Times New Roman" w:cs="Times New Roman"/>
                <w:sz w:val="28"/>
                <w:szCs w:val="28"/>
              </w:rPr>
              <w:t>±</w:t>
            </w:r>
            <w:r w:rsidRPr="00072A0A">
              <w:rPr>
                <w:rFonts w:ascii="Times New Roman" w:hAnsi="Times New Roman"/>
                <w:sz w:val="28"/>
                <w:szCs w:val="28"/>
              </w:rPr>
              <w:t>36,03</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85,52</w:t>
            </w:r>
            <w:r w:rsidRPr="00072A0A">
              <w:rPr>
                <w:rFonts w:ascii="Times New Roman" w:hAnsi="Times New Roman" w:cs="Times New Roman"/>
                <w:sz w:val="28"/>
                <w:szCs w:val="28"/>
              </w:rPr>
              <w:t>±</w:t>
            </w:r>
            <w:r w:rsidRPr="00072A0A">
              <w:rPr>
                <w:rFonts w:ascii="Times New Roman" w:hAnsi="Times New Roman"/>
                <w:sz w:val="28"/>
                <w:szCs w:val="28"/>
              </w:rPr>
              <w:t>11,34</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vertAlign w:val="subscript"/>
              </w:rPr>
            </w:pPr>
            <w:r w:rsidRPr="00072A0A">
              <w:rPr>
                <w:rFonts w:ascii="Times New Roman" w:hAnsi="Times New Roman"/>
                <w:b/>
                <w:i/>
                <w:sz w:val="28"/>
                <w:szCs w:val="28"/>
              </w:rPr>
              <w:t>р</w:t>
            </w:r>
            <w:r w:rsidRPr="00072A0A">
              <w:rPr>
                <w:rFonts w:ascii="Times New Roman" w:hAnsi="Times New Roman"/>
                <w:b/>
                <w:i/>
                <w:sz w:val="28"/>
                <w:szCs w:val="28"/>
                <w:vertAlign w:val="subscript"/>
              </w:rPr>
              <w:t>1,2</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0,324</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0,970</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0,974</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0,998</w:t>
            </w:r>
          </w:p>
        </w:tc>
      </w:tr>
      <w:tr w:rsidR="00162D8C" w:rsidRPr="00072A0A" w:rsidTr="001F0C51">
        <w:tc>
          <w:tcPr>
            <w:tcW w:w="1891" w:type="dxa"/>
          </w:tcPr>
          <w:p w:rsidR="00162D8C" w:rsidRPr="00072A0A" w:rsidRDefault="00162D8C" w:rsidP="001F0C51">
            <w:pPr>
              <w:jc w:val="center"/>
              <w:rPr>
                <w:rFonts w:ascii="Times New Roman" w:hAnsi="Times New Roman"/>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1,3</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0,179</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1,4</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1,5</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1,6</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2,3</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0,002</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0,617</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2,4</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2,5</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2,6</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3,4</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3,5</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3,6</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0,213</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4,5</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0,538</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0,790</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0,764</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4,6</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r>
      <w:tr w:rsidR="00162D8C" w:rsidRPr="00072A0A" w:rsidTr="001F0C51">
        <w:tc>
          <w:tcPr>
            <w:tcW w:w="1891" w:type="dxa"/>
          </w:tcPr>
          <w:p w:rsidR="00162D8C" w:rsidRPr="00072A0A" w:rsidRDefault="00162D8C" w:rsidP="001F0C51">
            <w:pPr>
              <w:jc w:val="center"/>
              <w:rPr>
                <w:rFonts w:ascii="Times New Roman" w:hAnsi="Times New Roman"/>
                <w:b/>
                <w:i/>
                <w:sz w:val="28"/>
                <w:szCs w:val="28"/>
              </w:rPr>
            </w:pPr>
            <w:r w:rsidRPr="00072A0A">
              <w:rPr>
                <w:rFonts w:ascii="Times New Roman" w:hAnsi="Times New Roman"/>
                <w:b/>
                <w:i/>
                <w:sz w:val="28"/>
                <w:szCs w:val="28"/>
              </w:rPr>
              <w:t>Р</w:t>
            </w:r>
            <w:r w:rsidRPr="00072A0A">
              <w:rPr>
                <w:rFonts w:ascii="Times New Roman" w:hAnsi="Times New Roman"/>
                <w:b/>
                <w:i/>
                <w:sz w:val="28"/>
                <w:szCs w:val="28"/>
                <w:vertAlign w:val="subscript"/>
              </w:rPr>
              <w:t>5,6</w:t>
            </w:r>
          </w:p>
        </w:tc>
        <w:tc>
          <w:tcPr>
            <w:tcW w:w="1858"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&lt;0,001</w:t>
            </w:r>
          </w:p>
        </w:tc>
        <w:tc>
          <w:tcPr>
            <w:tcW w:w="1797"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0,719</w:t>
            </w:r>
          </w:p>
        </w:tc>
        <w:tc>
          <w:tcPr>
            <w:tcW w:w="2202"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0,016</w:t>
            </w:r>
          </w:p>
        </w:tc>
        <w:tc>
          <w:tcPr>
            <w:tcW w:w="1886" w:type="dxa"/>
          </w:tcPr>
          <w:p w:rsidR="00162D8C" w:rsidRPr="00072A0A" w:rsidRDefault="00162D8C" w:rsidP="001F0C51">
            <w:pPr>
              <w:jc w:val="center"/>
              <w:rPr>
                <w:rFonts w:ascii="Times New Roman" w:hAnsi="Times New Roman"/>
                <w:sz w:val="28"/>
                <w:szCs w:val="28"/>
              </w:rPr>
            </w:pPr>
            <w:r w:rsidRPr="00072A0A">
              <w:rPr>
                <w:rFonts w:ascii="Times New Roman" w:hAnsi="Times New Roman"/>
                <w:sz w:val="28"/>
                <w:szCs w:val="28"/>
              </w:rPr>
              <w:t>0,041</w:t>
            </w:r>
          </w:p>
        </w:tc>
      </w:tr>
    </w:tbl>
    <w:p w:rsidR="003732B6" w:rsidRPr="00034E9D" w:rsidRDefault="003732B6" w:rsidP="00034E9D">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sz w:val="28"/>
          <w:szCs w:val="28"/>
        </w:rPr>
        <w:lastRenderedPageBreak/>
        <w:t xml:space="preserve">Як бачимо, із зростанням класу кісти (що супроводжується все більшою появою тканинного компонента, ущільнених стінок та перегородок із кальцифікаціями, здатних підвищено накопичувати контраст), її променева щільність також збільшується. </w:t>
      </w:r>
    </w:p>
    <w:p w:rsidR="00162D8C" w:rsidRPr="00CE506A" w:rsidRDefault="00162D8C" w:rsidP="00162D8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вивченні відношення променевої щільності кіст нирок до нормальної ниркової паренхіми, на всіх фазах КТ ми спостерігали найнижчі середні значення цього показника у групі із кістами нирок класу І за </w:t>
      </w:r>
      <w:r>
        <w:rPr>
          <w:rFonts w:ascii="Times New Roman" w:hAnsi="Times New Roman" w:cs="Times New Roman"/>
          <w:sz w:val="28"/>
          <w:szCs w:val="28"/>
          <w:lang w:val="en-US"/>
        </w:rPr>
        <w:t>Bosniak</w:t>
      </w:r>
      <w:r>
        <w:rPr>
          <w:rFonts w:ascii="Times New Roman" w:hAnsi="Times New Roman" w:cs="Times New Roman"/>
          <w:sz w:val="28"/>
          <w:szCs w:val="28"/>
        </w:rPr>
        <w:t xml:space="preserve">, а найвищі – при кістах </w:t>
      </w:r>
      <w:r>
        <w:rPr>
          <w:rFonts w:ascii="Times New Roman" w:hAnsi="Times New Roman" w:cs="Times New Roman"/>
          <w:sz w:val="28"/>
          <w:szCs w:val="28"/>
          <w:lang w:val="en-US"/>
        </w:rPr>
        <w:t>IV</w:t>
      </w:r>
      <w:r>
        <w:rPr>
          <w:rFonts w:ascii="Times New Roman" w:hAnsi="Times New Roman" w:cs="Times New Roman"/>
          <w:sz w:val="28"/>
          <w:szCs w:val="28"/>
        </w:rPr>
        <w:t xml:space="preserve">-го класу. В цілому, як і у випадку променевої щільності кісти, застосування ВПЩ дозволяло найкраще диференціювати кісти різних класів при проведенні вимірювань на КТ-зображеннях кортико-медулярної фази: ми отримали статистично достовірну різницю між всіма групами кіст, окрім між класами І та ІІ, а також крім класу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та нормальної нирковою паренхімою, пояснення чого вже було викладено вище. Так, на зображеннях КТ кортико медулярної фази, середнє значення ВПЩ кісти до нормальної ниркової паренхіми при кістах класу І 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складало </w:t>
      </w:r>
      <w:r>
        <w:rPr>
          <w:rFonts w:ascii="Times New Roman" w:hAnsi="Times New Roman"/>
          <w:sz w:val="28"/>
          <w:szCs w:val="28"/>
        </w:rPr>
        <w:t>0,09</w:t>
      </w:r>
      <w:r w:rsidRPr="009E6C7E">
        <w:rPr>
          <w:rFonts w:ascii="Times New Roman" w:hAnsi="Times New Roman" w:cs="Times New Roman"/>
          <w:sz w:val="28"/>
          <w:szCs w:val="28"/>
        </w:rPr>
        <w:t>±</w:t>
      </w:r>
      <w:r>
        <w:rPr>
          <w:rFonts w:ascii="Times New Roman" w:hAnsi="Times New Roman" w:cs="Times New Roman"/>
          <w:sz w:val="28"/>
          <w:szCs w:val="28"/>
        </w:rPr>
        <w:t xml:space="preserve">0,02, при ІІ-му класі – </w:t>
      </w:r>
      <w:r>
        <w:rPr>
          <w:rFonts w:ascii="Times New Roman" w:hAnsi="Times New Roman"/>
          <w:sz w:val="28"/>
          <w:szCs w:val="28"/>
        </w:rPr>
        <w:t>0,14</w:t>
      </w:r>
      <w:r w:rsidRPr="009E6C7E">
        <w:rPr>
          <w:rFonts w:ascii="Times New Roman" w:hAnsi="Times New Roman" w:cs="Times New Roman"/>
          <w:sz w:val="28"/>
          <w:szCs w:val="28"/>
        </w:rPr>
        <w:t>±</w:t>
      </w:r>
      <w:r>
        <w:rPr>
          <w:rFonts w:ascii="Times New Roman" w:hAnsi="Times New Roman" w:cs="Times New Roman"/>
          <w:sz w:val="28"/>
          <w:szCs w:val="28"/>
        </w:rPr>
        <w:t>0,04, класі ІІ</w:t>
      </w:r>
      <w:r>
        <w:rPr>
          <w:rFonts w:ascii="Times New Roman" w:hAnsi="Times New Roman" w:cs="Times New Roman"/>
          <w:sz w:val="28"/>
          <w:szCs w:val="28"/>
          <w:lang w:val="en-US"/>
        </w:rPr>
        <w:t>F</w:t>
      </w:r>
      <w:r>
        <w:rPr>
          <w:rFonts w:ascii="Times New Roman" w:hAnsi="Times New Roman" w:cs="Times New Roman"/>
          <w:sz w:val="28"/>
          <w:szCs w:val="28"/>
        </w:rPr>
        <w:t xml:space="preserve"> – </w:t>
      </w:r>
      <w:r>
        <w:rPr>
          <w:rFonts w:ascii="Times New Roman" w:hAnsi="Times New Roman"/>
          <w:sz w:val="28"/>
          <w:szCs w:val="28"/>
        </w:rPr>
        <w:t>0,35</w:t>
      </w:r>
      <w:r w:rsidRPr="009E6C7E">
        <w:rPr>
          <w:rFonts w:ascii="Times New Roman" w:hAnsi="Times New Roman" w:cs="Times New Roman"/>
          <w:sz w:val="28"/>
          <w:szCs w:val="28"/>
        </w:rPr>
        <w:t>±</w:t>
      </w:r>
      <w:r>
        <w:rPr>
          <w:rFonts w:ascii="Times New Roman" w:hAnsi="Times New Roman" w:cs="Times New Roman"/>
          <w:sz w:val="28"/>
          <w:szCs w:val="28"/>
        </w:rPr>
        <w:t xml:space="preserve">0,12, при ІІІ-му класі – </w:t>
      </w:r>
      <w:r>
        <w:rPr>
          <w:rFonts w:ascii="Times New Roman" w:hAnsi="Times New Roman"/>
          <w:sz w:val="28"/>
          <w:szCs w:val="28"/>
        </w:rPr>
        <w:t>0,64</w:t>
      </w:r>
      <w:r w:rsidRPr="009E6C7E">
        <w:rPr>
          <w:rFonts w:ascii="Times New Roman" w:hAnsi="Times New Roman" w:cs="Times New Roman"/>
          <w:sz w:val="28"/>
          <w:szCs w:val="28"/>
        </w:rPr>
        <w:t>±</w:t>
      </w:r>
      <w:r>
        <w:rPr>
          <w:rFonts w:ascii="Times New Roman" w:hAnsi="Times New Roman" w:cs="Times New Roman"/>
          <w:sz w:val="28"/>
          <w:szCs w:val="28"/>
        </w:rPr>
        <w:t xml:space="preserve">0,17 та при </w:t>
      </w:r>
      <w:r>
        <w:rPr>
          <w:rFonts w:ascii="Times New Roman" w:hAnsi="Times New Roman" w:cs="Times New Roman"/>
          <w:sz w:val="28"/>
          <w:szCs w:val="28"/>
          <w:lang w:val="en-US"/>
        </w:rPr>
        <w:t>IV</w:t>
      </w:r>
      <w:r>
        <w:rPr>
          <w:rFonts w:ascii="Times New Roman" w:hAnsi="Times New Roman" w:cs="Times New Roman"/>
          <w:sz w:val="28"/>
          <w:szCs w:val="28"/>
        </w:rPr>
        <w:t xml:space="preserve">-му – </w:t>
      </w:r>
      <w:r>
        <w:rPr>
          <w:rFonts w:ascii="Times New Roman" w:hAnsi="Times New Roman"/>
          <w:sz w:val="28"/>
          <w:szCs w:val="28"/>
        </w:rPr>
        <w:t>0,97</w:t>
      </w:r>
      <w:r w:rsidRPr="009E6C7E">
        <w:rPr>
          <w:rFonts w:ascii="Times New Roman" w:hAnsi="Times New Roman" w:cs="Times New Roman"/>
          <w:sz w:val="28"/>
          <w:szCs w:val="28"/>
        </w:rPr>
        <w:t>±</w:t>
      </w:r>
      <w:r>
        <w:rPr>
          <w:rFonts w:ascii="Times New Roman" w:hAnsi="Times New Roman" w:cs="Times New Roman"/>
          <w:sz w:val="28"/>
          <w:szCs w:val="28"/>
        </w:rPr>
        <w:t xml:space="preserve">0,22. </w:t>
      </w:r>
    </w:p>
    <w:p w:rsidR="00162D8C" w:rsidRDefault="00162D8C" w:rsidP="00162D8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Далі ми проаналізували</w:t>
      </w:r>
      <w:r w:rsidRPr="0099431D">
        <w:rPr>
          <w:rFonts w:ascii="Times New Roman" w:hAnsi="Times New Roman" w:cs="Times New Roman"/>
          <w:sz w:val="28"/>
          <w:szCs w:val="28"/>
        </w:rPr>
        <w:t xml:space="preserve"> </w:t>
      </w:r>
      <w:r>
        <w:rPr>
          <w:rFonts w:ascii="Times New Roman" w:hAnsi="Times New Roman" w:cs="Times New Roman"/>
          <w:sz w:val="28"/>
          <w:szCs w:val="28"/>
        </w:rPr>
        <w:t>відмінності</w:t>
      </w:r>
      <w:r w:rsidRPr="0099431D">
        <w:rPr>
          <w:rFonts w:ascii="Times New Roman" w:hAnsi="Times New Roman" w:cs="Times New Roman"/>
          <w:sz w:val="28"/>
          <w:szCs w:val="28"/>
        </w:rPr>
        <w:t xml:space="preserve"> між середніми значеннями </w:t>
      </w:r>
      <w:r>
        <w:rPr>
          <w:rFonts w:ascii="Times New Roman" w:hAnsi="Times New Roman" w:cs="Times New Roman"/>
          <w:sz w:val="28"/>
          <w:szCs w:val="28"/>
        </w:rPr>
        <w:t>променевої та</w:t>
      </w:r>
      <w:r w:rsidRPr="0099431D">
        <w:rPr>
          <w:rFonts w:ascii="Times New Roman" w:hAnsi="Times New Roman" w:cs="Times New Roman"/>
          <w:sz w:val="28"/>
          <w:szCs w:val="28"/>
        </w:rPr>
        <w:t xml:space="preserve"> середніми значеннями ВПЩ </w:t>
      </w:r>
      <w:r w:rsidRPr="0099431D">
        <w:rPr>
          <w:rFonts w:ascii="Times New Roman" w:hAnsi="Times New Roman" w:cs="Times New Roman"/>
          <w:sz w:val="28"/>
        </w:rPr>
        <w:t>новоутворення до нормальної ниркової паренхіми</w:t>
      </w:r>
      <w:r w:rsidRPr="0099431D">
        <w:rPr>
          <w:rFonts w:ascii="Times New Roman" w:hAnsi="Times New Roman" w:cs="Times New Roman"/>
          <w:sz w:val="28"/>
          <w:szCs w:val="28"/>
        </w:rPr>
        <w:t xml:space="preserve"> у підгрупах із доброя</w:t>
      </w:r>
      <w:r>
        <w:rPr>
          <w:rFonts w:ascii="Times New Roman" w:hAnsi="Times New Roman" w:cs="Times New Roman"/>
          <w:sz w:val="28"/>
          <w:szCs w:val="28"/>
        </w:rPr>
        <w:t xml:space="preserve">кісними та злоякісними кістами (кістозний скНКР) за описаними у попередньому підрозділі методиками. </w:t>
      </w:r>
    </w:p>
    <w:p w:rsidR="00E11480" w:rsidRDefault="00162D8C" w:rsidP="003732B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кістах класу </w:t>
      </w:r>
      <w:r>
        <w:rPr>
          <w:rFonts w:ascii="Times New Roman" w:hAnsi="Times New Roman" w:cs="Times New Roman"/>
          <w:sz w:val="28"/>
          <w:szCs w:val="28"/>
          <w:lang w:val="en-US"/>
        </w:rPr>
        <w:t>IIF</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w:t>
      </w:r>
      <w:r w:rsidRPr="009E6C7E">
        <w:rPr>
          <w:rFonts w:ascii="Times New Roman" w:hAnsi="Times New Roman" w:cs="Times New Roman"/>
          <w:sz w:val="28"/>
          <w:szCs w:val="28"/>
        </w:rPr>
        <w:t xml:space="preserve"> </w:t>
      </w:r>
      <w:r>
        <w:rPr>
          <w:rFonts w:ascii="Times New Roman" w:hAnsi="Times New Roman" w:cs="Times New Roman"/>
          <w:sz w:val="28"/>
          <w:szCs w:val="28"/>
        </w:rPr>
        <w:t>ми спостерігали достовірні відмінності у середніх значеннях променевої щільності доброякісних та злоякісних кіст (розміщуючи ОЗ всією кістою) при використанні зображень всіх фаз КТ, окрім пре-контрастних зображень (р=</w:t>
      </w:r>
      <w:r w:rsidRPr="009E6C7E">
        <w:rPr>
          <w:rFonts w:ascii="Times New Roman" w:hAnsi="Times New Roman" w:cs="Times New Roman"/>
          <w:sz w:val="28"/>
          <w:szCs w:val="28"/>
        </w:rPr>
        <w:t>0</w:t>
      </w:r>
      <w:r>
        <w:rPr>
          <w:rFonts w:ascii="Times New Roman" w:hAnsi="Times New Roman" w:cs="Times New Roman"/>
          <w:sz w:val="28"/>
          <w:szCs w:val="28"/>
        </w:rPr>
        <w:t xml:space="preserve">,109). При цьому, середні значення ІС доброякісних кіст були нижчими, у порівнянні із злоякісними. Так, на КТ- зображеннях кортико-медулярної фази, середнє значення променевої щільності доброякісних кіст класу </w:t>
      </w:r>
      <w:r>
        <w:rPr>
          <w:rFonts w:ascii="Times New Roman" w:hAnsi="Times New Roman" w:cs="Times New Roman"/>
          <w:sz w:val="28"/>
          <w:szCs w:val="28"/>
          <w:lang w:val="en-US"/>
        </w:rPr>
        <w:t>IIF</w:t>
      </w:r>
      <w:r>
        <w:rPr>
          <w:rFonts w:ascii="Times New Roman" w:hAnsi="Times New Roman" w:cs="Times New Roman"/>
          <w:sz w:val="28"/>
          <w:szCs w:val="28"/>
        </w:rPr>
        <w:t xml:space="preserve"> становило 31,42</w:t>
      </w:r>
      <w:r w:rsidRPr="009E6C7E">
        <w:rPr>
          <w:rFonts w:ascii="Times New Roman" w:hAnsi="Times New Roman" w:cs="Times New Roman"/>
          <w:sz w:val="28"/>
          <w:szCs w:val="28"/>
          <w:lang w:val="ru-RU"/>
        </w:rPr>
        <w:t>±</w:t>
      </w:r>
      <w:r>
        <w:rPr>
          <w:rFonts w:ascii="Times New Roman" w:hAnsi="Times New Roman" w:cs="Times New Roman"/>
          <w:sz w:val="28"/>
          <w:szCs w:val="28"/>
        </w:rPr>
        <w:t xml:space="preserve">8,05 </w:t>
      </w:r>
      <w:r>
        <w:rPr>
          <w:rFonts w:ascii="Times New Roman" w:hAnsi="Times New Roman" w:cs="Times New Roman"/>
          <w:sz w:val="28"/>
          <w:szCs w:val="28"/>
          <w:lang w:val="en-US"/>
        </w:rPr>
        <w:t>HU</w:t>
      </w:r>
      <w:r>
        <w:rPr>
          <w:rFonts w:ascii="Times New Roman" w:hAnsi="Times New Roman" w:cs="Times New Roman"/>
          <w:sz w:val="28"/>
          <w:szCs w:val="28"/>
        </w:rPr>
        <w:t>, а злоякісних – 50,15</w:t>
      </w:r>
      <w:r w:rsidRPr="009E6C7E">
        <w:rPr>
          <w:rFonts w:ascii="Times New Roman" w:hAnsi="Times New Roman" w:cs="Times New Roman"/>
          <w:sz w:val="28"/>
          <w:szCs w:val="28"/>
          <w:lang w:val="ru-RU"/>
        </w:rPr>
        <w:t>±</w:t>
      </w:r>
      <w:r>
        <w:rPr>
          <w:rFonts w:ascii="Times New Roman" w:hAnsi="Times New Roman" w:cs="Times New Roman"/>
          <w:sz w:val="28"/>
          <w:szCs w:val="28"/>
        </w:rPr>
        <w:t xml:space="preserve">14,78 </w:t>
      </w:r>
      <w:r>
        <w:rPr>
          <w:rFonts w:ascii="Times New Roman" w:hAnsi="Times New Roman" w:cs="Times New Roman"/>
          <w:sz w:val="28"/>
          <w:szCs w:val="28"/>
          <w:lang w:val="en-US"/>
        </w:rPr>
        <w:t>HU</w:t>
      </w:r>
      <w:r w:rsidR="00293044">
        <w:rPr>
          <w:rFonts w:ascii="Times New Roman" w:hAnsi="Times New Roman" w:cs="Times New Roman"/>
          <w:sz w:val="28"/>
          <w:szCs w:val="28"/>
        </w:rPr>
        <w:t xml:space="preserve"> </w:t>
      </w:r>
      <w:r w:rsidR="00D13364">
        <w:rPr>
          <w:rFonts w:ascii="Times New Roman" w:hAnsi="Times New Roman" w:cs="Times New Roman"/>
          <w:sz w:val="28"/>
          <w:szCs w:val="28"/>
        </w:rPr>
        <w:t>(р=0,004), рисунок 3.41</w:t>
      </w:r>
      <w:r w:rsidR="00E11480">
        <w:rPr>
          <w:rFonts w:ascii="Times New Roman" w:hAnsi="Times New Roman" w:cs="Times New Roman"/>
          <w:sz w:val="28"/>
          <w:szCs w:val="28"/>
        </w:rPr>
        <w:t>.</w:t>
      </w:r>
    </w:p>
    <w:p w:rsidR="00162D8C" w:rsidRPr="000C465A" w:rsidRDefault="00162D8C" w:rsidP="00162D8C">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4AED4234" wp14:editId="0B119DE9">
            <wp:extent cx="4529791" cy="3619500"/>
            <wp:effectExtent l="0" t="0" r="4445"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543970" cy="3630830"/>
                    </a:xfrm>
                    <a:prstGeom prst="rect">
                      <a:avLst/>
                    </a:prstGeom>
                    <a:noFill/>
                    <a:ln>
                      <a:noFill/>
                    </a:ln>
                  </pic:spPr>
                </pic:pic>
              </a:graphicData>
            </a:graphic>
          </wp:inline>
        </w:drawing>
      </w:r>
    </w:p>
    <w:p w:rsidR="00162D8C" w:rsidRDefault="00D13364" w:rsidP="00E11480">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3.41</w:t>
      </w:r>
      <w:r w:rsidR="00162D8C" w:rsidRPr="001928F5">
        <w:rPr>
          <w:rFonts w:ascii="Times New Roman" w:hAnsi="Times New Roman" w:cs="Times New Roman"/>
          <w:sz w:val="28"/>
          <w:szCs w:val="28"/>
        </w:rPr>
        <w:t>. Коробкова діаграма променевої щільності доброякісних та злоякісних кіст категорії IIF за Bosniak в залежності від фази КТ</w:t>
      </w:r>
      <w:r w:rsidR="00162D8C">
        <w:rPr>
          <w:rFonts w:ascii="Times New Roman" w:hAnsi="Times New Roman" w:cs="Times New Roman"/>
          <w:sz w:val="28"/>
          <w:szCs w:val="28"/>
        </w:rPr>
        <w:t>, при розмірі понад 4 см</w:t>
      </w:r>
    </w:p>
    <w:p w:rsidR="003732B6" w:rsidRDefault="003732B6" w:rsidP="00E11480">
      <w:pPr>
        <w:spacing w:line="360" w:lineRule="auto"/>
        <w:jc w:val="center"/>
        <w:rPr>
          <w:rFonts w:ascii="Times New Roman" w:hAnsi="Times New Roman" w:cs="Times New Roman"/>
          <w:sz w:val="28"/>
          <w:szCs w:val="28"/>
        </w:rPr>
      </w:pPr>
    </w:p>
    <w:p w:rsidR="00ED3C5B" w:rsidRDefault="00162D8C" w:rsidP="00E1148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Така ж тенденція спостерігалась при обрахуванні відношення променевої щільності кісти до нормальної ниркової паренхіми: статистично достовірна різниця у середніх значеннях ВПЩ доброякісних та злоякісних кіст класу </w:t>
      </w:r>
      <w:r>
        <w:rPr>
          <w:rFonts w:ascii="Times New Roman" w:hAnsi="Times New Roman" w:cs="Times New Roman"/>
          <w:sz w:val="28"/>
          <w:szCs w:val="28"/>
          <w:lang w:val="en-US"/>
        </w:rPr>
        <w:t>IIF</w:t>
      </w:r>
      <w:r>
        <w:rPr>
          <w:rFonts w:ascii="Times New Roman" w:hAnsi="Times New Roman" w:cs="Times New Roman"/>
          <w:sz w:val="28"/>
          <w:szCs w:val="28"/>
        </w:rPr>
        <w:t xml:space="preserve"> була присутньою на зображеннях всіх фаз КТ окрім нативної (р=0,721), при цьому, малігнізовані кісти мали вищі показники. Наприклад, на зображеннях кортико-медулярної фази доброякісні кісти мали середнє значення ВПЩ новоутворення до нормальної ниркової паренхіми -  0,29</w:t>
      </w:r>
      <w:r w:rsidRPr="009E6C7E">
        <w:rPr>
          <w:rFonts w:ascii="Times New Roman" w:hAnsi="Times New Roman" w:cs="Times New Roman"/>
          <w:sz w:val="28"/>
          <w:szCs w:val="28"/>
          <w:lang w:val="ru-RU"/>
        </w:rPr>
        <w:t>±</w:t>
      </w:r>
      <w:r>
        <w:rPr>
          <w:rFonts w:ascii="Times New Roman" w:hAnsi="Times New Roman" w:cs="Times New Roman"/>
          <w:sz w:val="28"/>
          <w:szCs w:val="28"/>
        </w:rPr>
        <w:t>0,08, а злоякісні – 0,41</w:t>
      </w:r>
      <w:r w:rsidRPr="009E6C7E">
        <w:rPr>
          <w:rFonts w:ascii="Times New Roman" w:hAnsi="Times New Roman" w:cs="Times New Roman"/>
          <w:sz w:val="28"/>
          <w:szCs w:val="28"/>
          <w:lang w:val="ru-RU"/>
        </w:rPr>
        <w:t>±</w:t>
      </w:r>
      <w:r>
        <w:rPr>
          <w:rFonts w:ascii="Times New Roman" w:hAnsi="Times New Roman" w:cs="Times New Roman"/>
          <w:sz w:val="28"/>
          <w:szCs w:val="28"/>
        </w:rPr>
        <w:t>0,12 (р=</w:t>
      </w:r>
      <w:r w:rsidRPr="009E6C7E">
        <w:rPr>
          <w:rFonts w:ascii="Times New Roman" w:hAnsi="Times New Roman" w:cs="Times New Roman"/>
          <w:sz w:val="28"/>
          <w:szCs w:val="28"/>
          <w:lang w:val="ru-RU"/>
        </w:rPr>
        <w:t>0,017</w:t>
      </w:r>
      <w:r w:rsidR="00293044">
        <w:rPr>
          <w:rFonts w:ascii="Times New Roman" w:hAnsi="Times New Roman" w:cs="Times New Roman"/>
          <w:sz w:val="28"/>
          <w:szCs w:val="28"/>
        </w:rPr>
        <w:t>), таблиця 3.29</w:t>
      </w:r>
      <w:r>
        <w:rPr>
          <w:rFonts w:ascii="Times New Roman" w:hAnsi="Times New Roman" w:cs="Times New Roman"/>
          <w:sz w:val="28"/>
          <w:szCs w:val="28"/>
        </w:rPr>
        <w:t>.</w:t>
      </w:r>
    </w:p>
    <w:p w:rsidR="003732B6" w:rsidRDefault="003732B6" w:rsidP="00E11480">
      <w:pPr>
        <w:spacing w:line="360" w:lineRule="auto"/>
        <w:ind w:firstLine="708"/>
        <w:jc w:val="both"/>
        <w:rPr>
          <w:rFonts w:ascii="Times New Roman" w:hAnsi="Times New Roman" w:cs="Times New Roman"/>
          <w:sz w:val="28"/>
          <w:szCs w:val="28"/>
        </w:rPr>
      </w:pPr>
    </w:p>
    <w:p w:rsidR="003732B6" w:rsidRDefault="003732B6" w:rsidP="00E11480">
      <w:pPr>
        <w:spacing w:line="360" w:lineRule="auto"/>
        <w:ind w:firstLine="708"/>
        <w:jc w:val="both"/>
        <w:rPr>
          <w:rFonts w:ascii="Times New Roman" w:hAnsi="Times New Roman" w:cs="Times New Roman"/>
          <w:sz w:val="28"/>
          <w:szCs w:val="28"/>
        </w:rPr>
      </w:pPr>
    </w:p>
    <w:p w:rsidR="00034E9D" w:rsidRDefault="00034E9D" w:rsidP="00E11480">
      <w:pPr>
        <w:spacing w:line="360" w:lineRule="auto"/>
        <w:ind w:firstLine="708"/>
        <w:jc w:val="both"/>
        <w:rPr>
          <w:rFonts w:ascii="Times New Roman" w:hAnsi="Times New Roman" w:cs="Times New Roman"/>
          <w:sz w:val="28"/>
          <w:szCs w:val="28"/>
        </w:rPr>
      </w:pPr>
    </w:p>
    <w:p w:rsidR="00034E9D" w:rsidRDefault="00034E9D" w:rsidP="00E11480">
      <w:pPr>
        <w:spacing w:line="360" w:lineRule="auto"/>
        <w:ind w:firstLine="708"/>
        <w:jc w:val="both"/>
        <w:rPr>
          <w:rFonts w:ascii="Times New Roman" w:hAnsi="Times New Roman" w:cs="Times New Roman"/>
          <w:sz w:val="28"/>
          <w:szCs w:val="28"/>
        </w:rPr>
      </w:pPr>
    </w:p>
    <w:p w:rsidR="00162D8C" w:rsidRPr="00400CD7" w:rsidRDefault="00293044" w:rsidP="00162D8C">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3.29</w:t>
      </w:r>
    </w:p>
    <w:p w:rsidR="00162D8C" w:rsidRPr="00400CD7" w:rsidRDefault="00162D8C" w:rsidP="00162D8C">
      <w:pPr>
        <w:spacing w:line="360" w:lineRule="auto"/>
        <w:jc w:val="center"/>
        <w:rPr>
          <w:rFonts w:ascii="Times New Roman" w:hAnsi="Times New Roman" w:cs="Times New Roman"/>
          <w:sz w:val="28"/>
          <w:szCs w:val="28"/>
        </w:rPr>
      </w:pPr>
      <w:r w:rsidRPr="00400CD7">
        <w:rPr>
          <w:rFonts w:ascii="Times New Roman" w:hAnsi="Times New Roman" w:cs="Times New Roman"/>
          <w:sz w:val="28"/>
          <w:szCs w:val="28"/>
        </w:rPr>
        <w:t xml:space="preserve">Статистичні характеристики показників променевої щільності </w:t>
      </w:r>
      <w:r w:rsidR="007B3B3F">
        <w:rPr>
          <w:rFonts w:ascii="Times New Roman" w:hAnsi="Times New Roman" w:cs="Times New Roman"/>
          <w:sz w:val="28"/>
          <w:szCs w:val="28"/>
        </w:rPr>
        <w:t xml:space="preserve">та ВПЩ </w:t>
      </w:r>
      <w:r w:rsidRPr="00400CD7">
        <w:rPr>
          <w:rFonts w:ascii="Times New Roman" w:hAnsi="Times New Roman" w:cs="Times New Roman"/>
          <w:sz w:val="28"/>
          <w:szCs w:val="28"/>
        </w:rPr>
        <w:t>доброякісних та злоякісних кіст категорії IIF за Bosniak в залежності від фази КТ</w:t>
      </w:r>
    </w:p>
    <w:tbl>
      <w:tblPr>
        <w:tblStyle w:val="TableGrid"/>
        <w:tblW w:w="0" w:type="auto"/>
        <w:tblLook w:val="04A0" w:firstRow="1" w:lastRow="0" w:firstColumn="1" w:lastColumn="0" w:noHBand="0" w:noVBand="1"/>
      </w:tblPr>
      <w:tblGrid>
        <w:gridCol w:w="3917"/>
        <w:gridCol w:w="1758"/>
        <w:gridCol w:w="1694"/>
        <w:gridCol w:w="1004"/>
        <w:gridCol w:w="971"/>
      </w:tblGrid>
      <w:tr w:rsidR="00162D8C" w:rsidRPr="00400CD7" w:rsidTr="001F0C51">
        <w:tc>
          <w:tcPr>
            <w:tcW w:w="3917" w:type="dxa"/>
            <w:tcBorders>
              <w:tl2br w:val="single" w:sz="4" w:space="0" w:color="auto"/>
            </w:tcBorders>
          </w:tcPr>
          <w:p w:rsidR="00162D8C" w:rsidRPr="00400CD7" w:rsidRDefault="00162D8C" w:rsidP="001F0C51">
            <w:pPr>
              <w:jc w:val="right"/>
              <w:rPr>
                <w:rFonts w:ascii="Times New Roman" w:hAnsi="Times New Roman" w:cs="Times New Roman"/>
                <w:b/>
                <w:sz w:val="28"/>
                <w:szCs w:val="28"/>
              </w:rPr>
            </w:pPr>
            <w:r w:rsidRPr="00400CD7">
              <w:rPr>
                <w:rFonts w:ascii="Times New Roman" w:hAnsi="Times New Roman" w:cs="Times New Roman"/>
                <w:b/>
                <w:sz w:val="28"/>
                <w:szCs w:val="28"/>
              </w:rPr>
              <w:t>Підгрупа</w:t>
            </w:r>
          </w:p>
          <w:p w:rsidR="00162D8C" w:rsidRPr="00400CD7" w:rsidRDefault="00162D8C" w:rsidP="001F0C51">
            <w:pPr>
              <w:jc w:val="both"/>
              <w:rPr>
                <w:rFonts w:ascii="Times New Roman" w:hAnsi="Times New Roman" w:cs="Times New Roman"/>
                <w:b/>
                <w:sz w:val="28"/>
                <w:szCs w:val="28"/>
              </w:rPr>
            </w:pPr>
          </w:p>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Фаза КТ</w:t>
            </w:r>
          </w:p>
        </w:tc>
        <w:tc>
          <w:tcPr>
            <w:tcW w:w="1758" w:type="dxa"/>
          </w:tcPr>
          <w:p w:rsidR="00162D8C" w:rsidRPr="00400CD7" w:rsidRDefault="00162D8C" w:rsidP="001F0C51">
            <w:pPr>
              <w:jc w:val="center"/>
              <w:rPr>
                <w:rFonts w:ascii="Times New Roman" w:hAnsi="Times New Roman" w:cs="Times New Roman"/>
                <w:b/>
                <w:sz w:val="28"/>
                <w:szCs w:val="28"/>
              </w:rPr>
            </w:pPr>
            <w:r w:rsidRPr="00400CD7">
              <w:rPr>
                <w:rFonts w:ascii="Times New Roman" w:hAnsi="Times New Roman" w:cs="Times New Roman"/>
                <w:b/>
                <w:sz w:val="28"/>
                <w:szCs w:val="28"/>
              </w:rPr>
              <w:t xml:space="preserve">Bosniak IIF доброякісні, </w:t>
            </w:r>
          </w:p>
          <w:p w:rsidR="00162D8C" w:rsidRPr="00400CD7" w:rsidRDefault="00162D8C" w:rsidP="001F0C51">
            <w:pPr>
              <w:jc w:val="center"/>
              <w:rPr>
                <w:rFonts w:ascii="Times New Roman" w:hAnsi="Times New Roman" w:cs="Times New Roman"/>
                <w:b/>
                <w:sz w:val="28"/>
                <w:szCs w:val="28"/>
              </w:rPr>
            </w:pPr>
            <w:r w:rsidRPr="00400CD7">
              <w:rPr>
                <w:rFonts w:ascii="Times New Roman" w:hAnsi="Times New Roman" w:cs="Times New Roman"/>
                <w:b/>
                <w:sz w:val="28"/>
                <w:szCs w:val="28"/>
              </w:rPr>
              <w:t>n=</w:t>
            </w:r>
            <w:r>
              <w:rPr>
                <w:rFonts w:ascii="Times New Roman" w:hAnsi="Times New Roman" w:cs="Times New Roman"/>
                <w:b/>
                <w:sz w:val="28"/>
                <w:szCs w:val="28"/>
              </w:rPr>
              <w:t>9</w:t>
            </w:r>
          </w:p>
        </w:tc>
        <w:tc>
          <w:tcPr>
            <w:tcW w:w="1694" w:type="dxa"/>
          </w:tcPr>
          <w:p w:rsidR="00162D8C" w:rsidRPr="00400CD7" w:rsidRDefault="00162D8C" w:rsidP="001F0C51">
            <w:pPr>
              <w:jc w:val="center"/>
              <w:rPr>
                <w:rFonts w:ascii="Times New Roman" w:hAnsi="Times New Roman" w:cs="Times New Roman"/>
                <w:b/>
                <w:sz w:val="28"/>
                <w:szCs w:val="28"/>
              </w:rPr>
            </w:pPr>
            <w:r w:rsidRPr="00400CD7">
              <w:rPr>
                <w:rFonts w:ascii="Times New Roman" w:hAnsi="Times New Roman" w:cs="Times New Roman"/>
                <w:b/>
                <w:sz w:val="28"/>
                <w:szCs w:val="28"/>
              </w:rPr>
              <w:t>Bosniak IIF злоякісні (НКР), n=</w:t>
            </w:r>
            <w:r>
              <w:rPr>
                <w:rFonts w:ascii="Times New Roman" w:hAnsi="Times New Roman" w:cs="Times New Roman"/>
                <w:b/>
                <w:sz w:val="28"/>
                <w:szCs w:val="28"/>
              </w:rPr>
              <w:t>9</w:t>
            </w:r>
          </w:p>
        </w:tc>
        <w:tc>
          <w:tcPr>
            <w:tcW w:w="1004" w:type="dxa"/>
          </w:tcPr>
          <w:p w:rsidR="00162D8C" w:rsidRPr="00400CD7" w:rsidRDefault="00162D8C" w:rsidP="001F0C51">
            <w:pPr>
              <w:jc w:val="center"/>
              <w:rPr>
                <w:rFonts w:ascii="Times New Roman" w:hAnsi="Times New Roman" w:cs="Times New Roman"/>
                <w:sz w:val="28"/>
                <w:szCs w:val="28"/>
              </w:rPr>
            </w:pPr>
            <w:r w:rsidRPr="00400CD7">
              <w:rPr>
                <w:rFonts w:ascii="Times New Roman" w:hAnsi="Times New Roman"/>
                <w:b/>
                <w:i/>
                <w:sz w:val="28"/>
                <w:szCs w:val="28"/>
              </w:rPr>
              <w:t>р</w:t>
            </w:r>
            <w:r w:rsidRPr="00400CD7">
              <w:rPr>
                <w:rFonts w:ascii="Times New Roman" w:hAnsi="Times New Roman"/>
                <w:b/>
                <w:i/>
                <w:sz w:val="28"/>
                <w:szCs w:val="28"/>
                <w:vertAlign w:val="subscript"/>
              </w:rPr>
              <w:t>1,2</w:t>
            </w:r>
          </w:p>
        </w:tc>
        <w:tc>
          <w:tcPr>
            <w:tcW w:w="971" w:type="dxa"/>
          </w:tcPr>
          <w:p w:rsidR="00162D8C" w:rsidRPr="00400CD7" w:rsidRDefault="00162D8C" w:rsidP="001F0C51">
            <w:pPr>
              <w:jc w:val="center"/>
              <w:rPr>
                <w:rFonts w:ascii="Times New Roman" w:hAnsi="Times New Roman"/>
                <w:b/>
                <w:i/>
                <w:sz w:val="28"/>
                <w:szCs w:val="28"/>
                <w:vertAlign w:val="subscript"/>
              </w:rPr>
            </w:pPr>
            <w:r w:rsidRPr="00400CD7">
              <w:rPr>
                <w:rFonts w:ascii="Times New Roman" w:hAnsi="Times New Roman"/>
                <w:b/>
                <w:i/>
                <w:sz w:val="28"/>
                <w:szCs w:val="28"/>
              </w:rPr>
              <w:t>t</w:t>
            </w:r>
            <w:r w:rsidRPr="00400CD7">
              <w:rPr>
                <w:rFonts w:ascii="Times New Roman" w:hAnsi="Times New Roman"/>
                <w:b/>
                <w:i/>
                <w:sz w:val="28"/>
                <w:szCs w:val="28"/>
                <w:vertAlign w:val="subscript"/>
              </w:rPr>
              <w:t>1,2</w:t>
            </w:r>
          </w:p>
        </w:tc>
      </w:tr>
      <w:tr w:rsidR="00162D8C" w:rsidRPr="00400CD7" w:rsidTr="001F0C51">
        <w:tc>
          <w:tcPr>
            <w:tcW w:w="9344" w:type="dxa"/>
            <w:gridSpan w:val="5"/>
          </w:tcPr>
          <w:p w:rsidR="00162D8C" w:rsidRPr="00BE6F8E" w:rsidRDefault="00162D8C" w:rsidP="001F0C51">
            <w:pPr>
              <w:jc w:val="center"/>
              <w:rPr>
                <w:rFonts w:ascii="Times New Roman" w:hAnsi="Times New Roman" w:cs="Times New Roman"/>
                <w:sz w:val="28"/>
                <w:szCs w:val="28"/>
              </w:rPr>
            </w:pPr>
            <w:r w:rsidRPr="00BE6F8E">
              <w:rPr>
                <w:rFonts w:ascii="Times New Roman" w:hAnsi="Times New Roman" w:cs="Times New Roman"/>
                <w:b/>
                <w:sz w:val="28"/>
                <w:szCs w:val="28"/>
              </w:rPr>
              <w:t>Променева щільність,</w:t>
            </w:r>
            <w:r>
              <w:rPr>
                <w:rFonts w:ascii="Times New Roman" w:hAnsi="Times New Roman" w:cs="Times New Roman"/>
                <w:sz w:val="28"/>
                <w:szCs w:val="28"/>
              </w:rPr>
              <w:t xml:space="preserve"> </w:t>
            </w:r>
            <w:r w:rsidRPr="00400CD7">
              <w:rPr>
                <w:rFonts w:ascii="Times New Roman" w:hAnsi="Times New Roman" w:cs="Times New Roman"/>
                <w:b/>
                <w:sz w:val="28"/>
                <w:szCs w:val="28"/>
              </w:rPr>
              <w:t>HU</w:t>
            </w:r>
          </w:p>
        </w:tc>
      </w:tr>
      <w:tr w:rsidR="00162D8C" w:rsidRPr="00400CD7" w:rsidTr="001F0C51">
        <w:tc>
          <w:tcPr>
            <w:tcW w:w="3917" w:type="dxa"/>
          </w:tcPr>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Пре-контрастні зображення</w:t>
            </w:r>
          </w:p>
        </w:tc>
        <w:tc>
          <w:tcPr>
            <w:tcW w:w="1758"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lang w:val="en-US"/>
              </w:rPr>
              <w:t>24,68±</w:t>
            </w:r>
            <w:r>
              <w:rPr>
                <w:rFonts w:ascii="Times New Roman" w:hAnsi="Times New Roman" w:cs="Times New Roman"/>
                <w:sz w:val="28"/>
                <w:szCs w:val="28"/>
              </w:rPr>
              <w:t>5,09</w:t>
            </w:r>
          </w:p>
        </w:tc>
        <w:tc>
          <w:tcPr>
            <w:tcW w:w="1694"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29,20</w:t>
            </w:r>
            <w:r>
              <w:rPr>
                <w:rFonts w:ascii="Times New Roman" w:hAnsi="Times New Roman" w:cs="Times New Roman"/>
                <w:sz w:val="28"/>
                <w:szCs w:val="28"/>
                <w:lang w:val="en-US"/>
              </w:rPr>
              <w:t>±</w:t>
            </w:r>
            <w:r>
              <w:rPr>
                <w:rFonts w:ascii="Times New Roman" w:hAnsi="Times New Roman" w:cs="Times New Roman"/>
                <w:sz w:val="28"/>
                <w:szCs w:val="28"/>
              </w:rPr>
              <w:t>6,15</w:t>
            </w:r>
          </w:p>
        </w:tc>
        <w:tc>
          <w:tcPr>
            <w:tcW w:w="1004" w:type="dxa"/>
          </w:tcPr>
          <w:p w:rsidR="00162D8C" w:rsidRPr="00924A70" w:rsidRDefault="00162D8C" w:rsidP="001F0C51">
            <w:pPr>
              <w:jc w:val="center"/>
              <w:rPr>
                <w:rFonts w:ascii="Times New Roman" w:hAnsi="Times New Roman" w:cs="Times New Roman"/>
                <w:sz w:val="28"/>
                <w:szCs w:val="28"/>
              </w:rPr>
            </w:pPr>
            <w:r>
              <w:rPr>
                <w:rFonts w:ascii="Times New Roman" w:hAnsi="Times New Roman" w:cs="Times New Roman"/>
                <w:sz w:val="28"/>
                <w:szCs w:val="28"/>
                <w:lang w:val="en-US"/>
              </w:rPr>
              <w:t>0</w:t>
            </w:r>
            <w:r>
              <w:rPr>
                <w:rFonts w:ascii="Times New Roman" w:hAnsi="Times New Roman" w:cs="Times New Roman"/>
                <w:sz w:val="28"/>
                <w:szCs w:val="28"/>
              </w:rPr>
              <w:t>,109</w:t>
            </w:r>
          </w:p>
        </w:tc>
        <w:tc>
          <w:tcPr>
            <w:tcW w:w="971"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1,699</w:t>
            </w:r>
          </w:p>
        </w:tc>
      </w:tr>
      <w:tr w:rsidR="00162D8C" w:rsidRPr="00400CD7" w:rsidTr="001F0C51">
        <w:tc>
          <w:tcPr>
            <w:tcW w:w="3917" w:type="dxa"/>
          </w:tcPr>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Кортико-медулярна фаза</w:t>
            </w:r>
          </w:p>
        </w:tc>
        <w:tc>
          <w:tcPr>
            <w:tcW w:w="1758"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31,42</w:t>
            </w:r>
            <w:r>
              <w:rPr>
                <w:rFonts w:ascii="Times New Roman" w:hAnsi="Times New Roman" w:cs="Times New Roman"/>
                <w:sz w:val="28"/>
                <w:szCs w:val="28"/>
                <w:lang w:val="en-US"/>
              </w:rPr>
              <w:t>±</w:t>
            </w:r>
            <w:r>
              <w:rPr>
                <w:rFonts w:ascii="Times New Roman" w:hAnsi="Times New Roman" w:cs="Times New Roman"/>
                <w:sz w:val="28"/>
                <w:szCs w:val="28"/>
              </w:rPr>
              <w:t>8,05</w:t>
            </w:r>
          </w:p>
        </w:tc>
        <w:tc>
          <w:tcPr>
            <w:tcW w:w="1694"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50,15</w:t>
            </w:r>
            <w:r>
              <w:rPr>
                <w:rFonts w:ascii="Times New Roman" w:hAnsi="Times New Roman" w:cs="Times New Roman"/>
                <w:sz w:val="28"/>
                <w:szCs w:val="28"/>
                <w:lang w:val="en-US"/>
              </w:rPr>
              <w:t>±</w:t>
            </w:r>
            <w:r>
              <w:rPr>
                <w:rFonts w:ascii="Times New Roman" w:hAnsi="Times New Roman" w:cs="Times New Roman"/>
                <w:sz w:val="28"/>
                <w:szCs w:val="28"/>
              </w:rPr>
              <w:t>14,78</w:t>
            </w:r>
          </w:p>
        </w:tc>
        <w:tc>
          <w:tcPr>
            <w:tcW w:w="1004"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0,004</w:t>
            </w:r>
          </w:p>
        </w:tc>
        <w:tc>
          <w:tcPr>
            <w:tcW w:w="971"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3,340</w:t>
            </w:r>
          </w:p>
        </w:tc>
      </w:tr>
      <w:tr w:rsidR="00162D8C" w:rsidRPr="00400CD7" w:rsidTr="001F0C51">
        <w:tc>
          <w:tcPr>
            <w:tcW w:w="3917" w:type="dxa"/>
          </w:tcPr>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Нефрографічна фаза</w:t>
            </w:r>
          </w:p>
        </w:tc>
        <w:tc>
          <w:tcPr>
            <w:tcW w:w="1758"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24,31</w:t>
            </w:r>
            <w:r>
              <w:rPr>
                <w:rFonts w:ascii="Times New Roman" w:hAnsi="Times New Roman" w:cs="Times New Roman"/>
                <w:sz w:val="28"/>
                <w:szCs w:val="28"/>
                <w:lang w:val="en-US"/>
              </w:rPr>
              <w:t>±</w:t>
            </w:r>
            <w:r>
              <w:rPr>
                <w:rFonts w:ascii="Times New Roman" w:hAnsi="Times New Roman" w:cs="Times New Roman"/>
                <w:sz w:val="28"/>
                <w:szCs w:val="28"/>
              </w:rPr>
              <w:t>6,66</w:t>
            </w:r>
          </w:p>
        </w:tc>
        <w:tc>
          <w:tcPr>
            <w:tcW w:w="1694"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44,85</w:t>
            </w:r>
            <w:r>
              <w:rPr>
                <w:rFonts w:ascii="Times New Roman" w:hAnsi="Times New Roman" w:cs="Times New Roman"/>
                <w:sz w:val="28"/>
                <w:szCs w:val="28"/>
                <w:lang w:val="en-US"/>
              </w:rPr>
              <w:t>±</w:t>
            </w:r>
            <w:r>
              <w:rPr>
                <w:rFonts w:ascii="Times New Roman" w:hAnsi="Times New Roman" w:cs="Times New Roman"/>
                <w:sz w:val="28"/>
                <w:szCs w:val="28"/>
              </w:rPr>
              <w:t>14,43</w:t>
            </w:r>
          </w:p>
        </w:tc>
        <w:tc>
          <w:tcPr>
            <w:tcW w:w="1004"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0,002</w:t>
            </w:r>
          </w:p>
        </w:tc>
        <w:tc>
          <w:tcPr>
            <w:tcW w:w="971"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3,877</w:t>
            </w:r>
          </w:p>
        </w:tc>
      </w:tr>
      <w:tr w:rsidR="00162D8C" w:rsidRPr="00400CD7" w:rsidTr="001F0C51">
        <w:tc>
          <w:tcPr>
            <w:tcW w:w="3917" w:type="dxa"/>
          </w:tcPr>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Екскреторна фаза</w:t>
            </w:r>
          </w:p>
        </w:tc>
        <w:tc>
          <w:tcPr>
            <w:tcW w:w="1758"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30,56</w:t>
            </w:r>
            <w:r>
              <w:rPr>
                <w:rFonts w:ascii="Times New Roman" w:hAnsi="Times New Roman" w:cs="Times New Roman"/>
                <w:sz w:val="28"/>
                <w:szCs w:val="28"/>
                <w:lang w:val="en-US"/>
              </w:rPr>
              <w:t>±</w:t>
            </w:r>
            <w:r>
              <w:rPr>
                <w:rFonts w:ascii="Times New Roman" w:hAnsi="Times New Roman" w:cs="Times New Roman"/>
                <w:sz w:val="28"/>
                <w:szCs w:val="28"/>
              </w:rPr>
              <w:t>7,34</w:t>
            </w:r>
          </w:p>
        </w:tc>
        <w:tc>
          <w:tcPr>
            <w:tcW w:w="1694"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46,34</w:t>
            </w:r>
            <w:r>
              <w:rPr>
                <w:rFonts w:ascii="Times New Roman" w:hAnsi="Times New Roman" w:cs="Times New Roman"/>
                <w:sz w:val="28"/>
                <w:szCs w:val="28"/>
                <w:lang w:val="en-US"/>
              </w:rPr>
              <w:t>±</w:t>
            </w:r>
            <w:r>
              <w:rPr>
                <w:rFonts w:ascii="Times New Roman" w:hAnsi="Times New Roman" w:cs="Times New Roman"/>
                <w:sz w:val="28"/>
                <w:szCs w:val="28"/>
              </w:rPr>
              <w:t>6,27</w:t>
            </w:r>
          </w:p>
        </w:tc>
        <w:tc>
          <w:tcPr>
            <w:tcW w:w="1004" w:type="dxa"/>
          </w:tcPr>
          <w:p w:rsidR="00162D8C" w:rsidRPr="00924A70" w:rsidRDefault="00162D8C" w:rsidP="001F0C51">
            <w:pPr>
              <w:jc w:val="center"/>
              <w:rPr>
                <w:rFonts w:ascii="Times New Roman" w:hAnsi="Times New Roman" w:cs="Times New Roman"/>
                <w:sz w:val="28"/>
                <w:szCs w:val="28"/>
              </w:rPr>
            </w:pPr>
            <w:r>
              <w:rPr>
                <w:rFonts w:ascii="Times New Roman" w:hAnsi="Times New Roman" w:cs="Times New Roman"/>
                <w:sz w:val="28"/>
                <w:szCs w:val="28"/>
                <w:lang w:val="en-US"/>
              </w:rPr>
              <w:t>&lt;</w:t>
            </w:r>
            <w:r>
              <w:rPr>
                <w:rFonts w:ascii="Times New Roman" w:hAnsi="Times New Roman" w:cs="Times New Roman"/>
                <w:sz w:val="28"/>
                <w:szCs w:val="28"/>
              </w:rPr>
              <w:t>0,001</w:t>
            </w:r>
          </w:p>
        </w:tc>
        <w:tc>
          <w:tcPr>
            <w:tcW w:w="971" w:type="dxa"/>
          </w:tcPr>
          <w:p w:rsidR="00162D8C" w:rsidRPr="004379B2" w:rsidRDefault="00162D8C" w:rsidP="001F0C51">
            <w:pPr>
              <w:jc w:val="center"/>
              <w:rPr>
                <w:rFonts w:ascii="Times New Roman" w:hAnsi="Times New Roman" w:cs="Times New Roman"/>
                <w:sz w:val="28"/>
                <w:szCs w:val="28"/>
                <w:lang w:val="en-US"/>
              </w:rPr>
            </w:pPr>
            <w:r>
              <w:rPr>
                <w:rFonts w:ascii="Times New Roman" w:hAnsi="Times New Roman" w:cs="Times New Roman"/>
                <w:sz w:val="28"/>
                <w:szCs w:val="28"/>
              </w:rPr>
              <w:t>4,907</w:t>
            </w:r>
          </w:p>
        </w:tc>
      </w:tr>
      <w:tr w:rsidR="00162D8C" w:rsidRPr="00400CD7" w:rsidTr="001F0C51">
        <w:tc>
          <w:tcPr>
            <w:tcW w:w="9344" w:type="dxa"/>
            <w:gridSpan w:val="5"/>
          </w:tcPr>
          <w:p w:rsidR="00162D8C" w:rsidRPr="00BE6F8E" w:rsidRDefault="00162D8C" w:rsidP="001F0C51">
            <w:pPr>
              <w:jc w:val="center"/>
              <w:rPr>
                <w:rFonts w:ascii="Times New Roman" w:hAnsi="Times New Roman" w:cs="Times New Roman"/>
                <w:b/>
                <w:sz w:val="28"/>
                <w:szCs w:val="28"/>
              </w:rPr>
            </w:pPr>
            <w:r>
              <w:rPr>
                <w:rFonts w:ascii="Times New Roman" w:hAnsi="Times New Roman" w:cs="Times New Roman"/>
                <w:b/>
                <w:sz w:val="28"/>
                <w:szCs w:val="28"/>
              </w:rPr>
              <w:t>В</w:t>
            </w:r>
            <w:r w:rsidRPr="00BE6F8E">
              <w:rPr>
                <w:rFonts w:ascii="Times New Roman" w:hAnsi="Times New Roman" w:cs="Times New Roman"/>
                <w:b/>
                <w:sz w:val="28"/>
                <w:szCs w:val="28"/>
              </w:rPr>
              <w:t>ідношення променевої щільності кісти до нормальної ниркової паренхіми</w:t>
            </w:r>
          </w:p>
        </w:tc>
      </w:tr>
      <w:tr w:rsidR="00162D8C" w:rsidRPr="00400CD7" w:rsidTr="001F0C51">
        <w:tc>
          <w:tcPr>
            <w:tcW w:w="3917" w:type="dxa"/>
          </w:tcPr>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Пре-контрастні зображення</w:t>
            </w:r>
          </w:p>
        </w:tc>
        <w:tc>
          <w:tcPr>
            <w:tcW w:w="1758" w:type="dxa"/>
          </w:tcPr>
          <w:p w:rsidR="00162D8C" w:rsidRPr="00415D87" w:rsidRDefault="00162D8C" w:rsidP="001F0C51">
            <w:pPr>
              <w:jc w:val="center"/>
              <w:rPr>
                <w:rFonts w:ascii="Times New Roman" w:hAnsi="Times New Roman" w:cs="Times New Roman"/>
                <w:sz w:val="28"/>
                <w:szCs w:val="28"/>
              </w:rPr>
            </w:pPr>
            <w:r>
              <w:rPr>
                <w:rFonts w:ascii="Times New Roman" w:hAnsi="Times New Roman" w:cs="Times New Roman"/>
                <w:sz w:val="28"/>
                <w:szCs w:val="28"/>
                <w:lang w:val="en-US"/>
              </w:rPr>
              <w:t>0</w:t>
            </w:r>
            <w:r>
              <w:rPr>
                <w:rFonts w:ascii="Times New Roman" w:hAnsi="Times New Roman" w:cs="Times New Roman"/>
                <w:sz w:val="28"/>
                <w:szCs w:val="28"/>
              </w:rPr>
              <w:t>,98</w:t>
            </w:r>
            <w:r>
              <w:rPr>
                <w:rFonts w:ascii="Times New Roman" w:hAnsi="Times New Roman" w:cs="Times New Roman"/>
                <w:sz w:val="28"/>
                <w:szCs w:val="28"/>
                <w:lang w:val="en-US"/>
              </w:rPr>
              <w:t>±0,37</w:t>
            </w:r>
          </w:p>
        </w:tc>
        <w:tc>
          <w:tcPr>
            <w:tcW w:w="1694" w:type="dxa"/>
          </w:tcPr>
          <w:p w:rsidR="00162D8C" w:rsidRPr="00415D8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0,92</w:t>
            </w:r>
            <w:r>
              <w:rPr>
                <w:rFonts w:ascii="Times New Roman" w:hAnsi="Times New Roman" w:cs="Times New Roman"/>
                <w:sz w:val="28"/>
                <w:szCs w:val="28"/>
                <w:lang w:val="en-US"/>
              </w:rPr>
              <w:t>±</w:t>
            </w:r>
            <w:r>
              <w:rPr>
                <w:rFonts w:ascii="Times New Roman" w:hAnsi="Times New Roman" w:cs="Times New Roman"/>
                <w:sz w:val="28"/>
                <w:szCs w:val="28"/>
              </w:rPr>
              <w:t>0,26</w:t>
            </w:r>
          </w:p>
        </w:tc>
        <w:tc>
          <w:tcPr>
            <w:tcW w:w="1004" w:type="dxa"/>
          </w:tcPr>
          <w:p w:rsidR="00162D8C" w:rsidRPr="00415D87" w:rsidRDefault="00162D8C" w:rsidP="001F0C51">
            <w:pPr>
              <w:jc w:val="center"/>
              <w:rPr>
                <w:rFonts w:ascii="Times New Roman" w:hAnsi="Times New Roman" w:cs="Times New Roman"/>
                <w:sz w:val="28"/>
                <w:szCs w:val="28"/>
                <w:lang w:val="en-US"/>
              </w:rPr>
            </w:pPr>
            <w:r>
              <w:rPr>
                <w:rFonts w:ascii="Times New Roman" w:hAnsi="Times New Roman" w:cs="Times New Roman"/>
                <w:sz w:val="28"/>
                <w:szCs w:val="28"/>
              </w:rPr>
              <w:t>0,721</w:t>
            </w:r>
          </w:p>
        </w:tc>
        <w:tc>
          <w:tcPr>
            <w:tcW w:w="971"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0,364</w:t>
            </w:r>
          </w:p>
        </w:tc>
      </w:tr>
      <w:tr w:rsidR="00162D8C" w:rsidRPr="00400CD7" w:rsidTr="001F0C51">
        <w:tc>
          <w:tcPr>
            <w:tcW w:w="3917" w:type="dxa"/>
          </w:tcPr>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Кортико-медулярна фаза</w:t>
            </w:r>
          </w:p>
        </w:tc>
        <w:tc>
          <w:tcPr>
            <w:tcW w:w="1758" w:type="dxa"/>
          </w:tcPr>
          <w:p w:rsidR="00162D8C" w:rsidRPr="00415D8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0,29</w:t>
            </w:r>
            <w:r>
              <w:rPr>
                <w:rFonts w:ascii="Times New Roman" w:hAnsi="Times New Roman" w:cs="Times New Roman"/>
                <w:sz w:val="28"/>
                <w:szCs w:val="28"/>
                <w:lang w:val="en-US"/>
              </w:rPr>
              <w:t>±</w:t>
            </w:r>
            <w:r>
              <w:rPr>
                <w:rFonts w:ascii="Times New Roman" w:hAnsi="Times New Roman" w:cs="Times New Roman"/>
                <w:sz w:val="28"/>
                <w:szCs w:val="28"/>
              </w:rPr>
              <w:t>0,08</w:t>
            </w:r>
          </w:p>
        </w:tc>
        <w:tc>
          <w:tcPr>
            <w:tcW w:w="1694" w:type="dxa"/>
          </w:tcPr>
          <w:p w:rsidR="00162D8C" w:rsidRPr="00415D8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0,41</w:t>
            </w:r>
            <w:r>
              <w:rPr>
                <w:rFonts w:ascii="Times New Roman" w:hAnsi="Times New Roman" w:cs="Times New Roman"/>
                <w:sz w:val="28"/>
                <w:szCs w:val="28"/>
                <w:lang w:val="en-US"/>
              </w:rPr>
              <w:t>±</w:t>
            </w:r>
            <w:r>
              <w:rPr>
                <w:rFonts w:ascii="Times New Roman" w:hAnsi="Times New Roman" w:cs="Times New Roman"/>
                <w:sz w:val="28"/>
                <w:szCs w:val="28"/>
              </w:rPr>
              <w:t>0,12</w:t>
            </w:r>
          </w:p>
        </w:tc>
        <w:tc>
          <w:tcPr>
            <w:tcW w:w="1004" w:type="dxa"/>
          </w:tcPr>
          <w:p w:rsidR="00162D8C" w:rsidRPr="00924A70" w:rsidRDefault="00162D8C" w:rsidP="001F0C51">
            <w:pPr>
              <w:jc w:val="center"/>
              <w:rPr>
                <w:rFonts w:ascii="Times New Roman" w:hAnsi="Times New Roman" w:cs="Times New Roman"/>
                <w:sz w:val="28"/>
                <w:szCs w:val="28"/>
              </w:rPr>
            </w:pPr>
            <w:r>
              <w:rPr>
                <w:rFonts w:ascii="Times New Roman" w:hAnsi="Times New Roman" w:cs="Times New Roman"/>
                <w:sz w:val="28"/>
                <w:szCs w:val="28"/>
                <w:lang w:val="en-US"/>
              </w:rPr>
              <w:t>0,017</w:t>
            </w:r>
          </w:p>
        </w:tc>
        <w:tc>
          <w:tcPr>
            <w:tcW w:w="971"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2,660</w:t>
            </w:r>
          </w:p>
        </w:tc>
      </w:tr>
      <w:tr w:rsidR="00162D8C" w:rsidRPr="00400CD7" w:rsidTr="001F0C51">
        <w:tc>
          <w:tcPr>
            <w:tcW w:w="3917" w:type="dxa"/>
          </w:tcPr>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Нефрографічна фаза</w:t>
            </w:r>
          </w:p>
        </w:tc>
        <w:tc>
          <w:tcPr>
            <w:tcW w:w="1758" w:type="dxa"/>
          </w:tcPr>
          <w:p w:rsidR="00162D8C" w:rsidRPr="00415D8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0,21</w:t>
            </w:r>
            <w:r>
              <w:rPr>
                <w:rFonts w:ascii="Times New Roman" w:hAnsi="Times New Roman" w:cs="Times New Roman"/>
                <w:sz w:val="28"/>
                <w:szCs w:val="28"/>
                <w:lang w:val="en-US"/>
              </w:rPr>
              <w:t>±</w:t>
            </w:r>
            <w:r>
              <w:rPr>
                <w:rFonts w:ascii="Times New Roman" w:hAnsi="Times New Roman" w:cs="Times New Roman"/>
                <w:sz w:val="28"/>
                <w:szCs w:val="28"/>
              </w:rPr>
              <w:t>0,07</w:t>
            </w:r>
          </w:p>
        </w:tc>
        <w:tc>
          <w:tcPr>
            <w:tcW w:w="1694" w:type="dxa"/>
          </w:tcPr>
          <w:p w:rsidR="00162D8C" w:rsidRPr="00415D8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0,38</w:t>
            </w:r>
            <w:r>
              <w:rPr>
                <w:rFonts w:ascii="Times New Roman" w:hAnsi="Times New Roman" w:cs="Times New Roman"/>
                <w:sz w:val="28"/>
                <w:szCs w:val="28"/>
                <w:lang w:val="en-US"/>
              </w:rPr>
              <w:t>±</w:t>
            </w:r>
            <w:r>
              <w:rPr>
                <w:rFonts w:ascii="Times New Roman" w:hAnsi="Times New Roman" w:cs="Times New Roman"/>
                <w:sz w:val="28"/>
                <w:szCs w:val="28"/>
              </w:rPr>
              <w:t>0,19</w:t>
            </w:r>
          </w:p>
        </w:tc>
        <w:tc>
          <w:tcPr>
            <w:tcW w:w="1004"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0,026</w:t>
            </w:r>
          </w:p>
        </w:tc>
        <w:tc>
          <w:tcPr>
            <w:tcW w:w="971" w:type="dxa"/>
          </w:tcPr>
          <w:p w:rsidR="00162D8C" w:rsidRPr="00400CD7" w:rsidRDefault="00162D8C" w:rsidP="001F0C51">
            <w:pPr>
              <w:jc w:val="center"/>
              <w:rPr>
                <w:rFonts w:ascii="Times New Roman" w:hAnsi="Times New Roman" w:cs="Times New Roman"/>
                <w:sz w:val="28"/>
                <w:szCs w:val="28"/>
              </w:rPr>
            </w:pPr>
            <w:r>
              <w:rPr>
                <w:rFonts w:ascii="Times New Roman" w:hAnsi="Times New Roman" w:cs="Times New Roman"/>
                <w:sz w:val="28"/>
                <w:szCs w:val="28"/>
              </w:rPr>
              <w:t>2,610</w:t>
            </w:r>
          </w:p>
        </w:tc>
      </w:tr>
      <w:tr w:rsidR="00162D8C" w:rsidRPr="00400CD7" w:rsidTr="001F0C51">
        <w:tc>
          <w:tcPr>
            <w:tcW w:w="3917" w:type="dxa"/>
          </w:tcPr>
          <w:p w:rsidR="00162D8C" w:rsidRPr="00400CD7" w:rsidRDefault="00162D8C" w:rsidP="001F0C51">
            <w:pPr>
              <w:jc w:val="both"/>
              <w:rPr>
                <w:rFonts w:ascii="Times New Roman" w:hAnsi="Times New Roman" w:cs="Times New Roman"/>
                <w:b/>
                <w:sz w:val="28"/>
                <w:szCs w:val="28"/>
              </w:rPr>
            </w:pPr>
            <w:r w:rsidRPr="00400CD7">
              <w:rPr>
                <w:rFonts w:ascii="Times New Roman" w:hAnsi="Times New Roman" w:cs="Times New Roman"/>
                <w:b/>
                <w:sz w:val="28"/>
                <w:szCs w:val="28"/>
              </w:rPr>
              <w:t>Екскреторна фаза</w:t>
            </w:r>
          </w:p>
        </w:tc>
        <w:tc>
          <w:tcPr>
            <w:tcW w:w="1758" w:type="dxa"/>
          </w:tcPr>
          <w:p w:rsidR="00162D8C" w:rsidRPr="00415D8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0,32</w:t>
            </w:r>
            <w:r>
              <w:rPr>
                <w:rFonts w:ascii="Times New Roman" w:hAnsi="Times New Roman" w:cs="Times New Roman"/>
                <w:sz w:val="28"/>
                <w:szCs w:val="28"/>
                <w:lang w:val="en-US"/>
              </w:rPr>
              <w:t>±</w:t>
            </w:r>
            <w:r>
              <w:rPr>
                <w:rFonts w:ascii="Times New Roman" w:hAnsi="Times New Roman" w:cs="Times New Roman"/>
                <w:sz w:val="28"/>
                <w:szCs w:val="28"/>
              </w:rPr>
              <w:t>0,08</w:t>
            </w:r>
          </w:p>
        </w:tc>
        <w:tc>
          <w:tcPr>
            <w:tcW w:w="1694" w:type="dxa"/>
          </w:tcPr>
          <w:p w:rsidR="00162D8C" w:rsidRPr="00415D87" w:rsidRDefault="00162D8C" w:rsidP="001F0C51">
            <w:pPr>
              <w:jc w:val="center"/>
              <w:rPr>
                <w:rFonts w:ascii="Times New Roman" w:hAnsi="Times New Roman" w:cs="Times New Roman"/>
                <w:sz w:val="28"/>
                <w:szCs w:val="28"/>
              </w:rPr>
            </w:pPr>
            <w:r>
              <w:rPr>
                <w:rFonts w:ascii="Times New Roman" w:hAnsi="Times New Roman" w:cs="Times New Roman"/>
                <w:sz w:val="28"/>
                <w:szCs w:val="28"/>
              </w:rPr>
              <w:t>0,53</w:t>
            </w:r>
            <w:r>
              <w:rPr>
                <w:rFonts w:ascii="Times New Roman" w:hAnsi="Times New Roman" w:cs="Times New Roman"/>
                <w:sz w:val="28"/>
                <w:szCs w:val="28"/>
                <w:lang w:val="en-US"/>
              </w:rPr>
              <w:t>±</w:t>
            </w:r>
            <w:r>
              <w:rPr>
                <w:rFonts w:ascii="Times New Roman" w:hAnsi="Times New Roman" w:cs="Times New Roman"/>
                <w:sz w:val="28"/>
                <w:szCs w:val="28"/>
              </w:rPr>
              <w:t>0,13</w:t>
            </w:r>
          </w:p>
        </w:tc>
        <w:tc>
          <w:tcPr>
            <w:tcW w:w="1004" w:type="dxa"/>
          </w:tcPr>
          <w:p w:rsidR="00162D8C" w:rsidRPr="00924A70" w:rsidRDefault="00162D8C" w:rsidP="001F0C51">
            <w:pPr>
              <w:jc w:val="center"/>
              <w:rPr>
                <w:rFonts w:ascii="Times New Roman" w:hAnsi="Times New Roman" w:cs="Times New Roman"/>
                <w:sz w:val="28"/>
                <w:szCs w:val="28"/>
              </w:rPr>
            </w:pPr>
            <w:r>
              <w:rPr>
                <w:rFonts w:ascii="Times New Roman" w:hAnsi="Times New Roman" w:cs="Times New Roman"/>
                <w:sz w:val="28"/>
                <w:szCs w:val="28"/>
                <w:lang w:val="en-US"/>
              </w:rPr>
              <w:t>&lt;</w:t>
            </w:r>
            <w:r>
              <w:rPr>
                <w:rFonts w:ascii="Times New Roman" w:hAnsi="Times New Roman" w:cs="Times New Roman"/>
                <w:sz w:val="28"/>
                <w:szCs w:val="28"/>
              </w:rPr>
              <w:t>0,001</w:t>
            </w:r>
          </w:p>
        </w:tc>
        <w:tc>
          <w:tcPr>
            <w:tcW w:w="971" w:type="dxa"/>
          </w:tcPr>
          <w:p w:rsidR="00162D8C" w:rsidRPr="00924A70" w:rsidRDefault="00162D8C" w:rsidP="001F0C51">
            <w:pPr>
              <w:jc w:val="center"/>
              <w:rPr>
                <w:rFonts w:ascii="Times New Roman" w:hAnsi="Times New Roman" w:cs="Times New Roman"/>
                <w:sz w:val="28"/>
                <w:szCs w:val="28"/>
                <w:lang w:val="en-US"/>
              </w:rPr>
            </w:pPr>
            <w:r>
              <w:rPr>
                <w:rFonts w:ascii="Times New Roman" w:hAnsi="Times New Roman" w:cs="Times New Roman"/>
                <w:sz w:val="28"/>
                <w:szCs w:val="28"/>
              </w:rPr>
              <w:t>4,461</w:t>
            </w:r>
          </w:p>
        </w:tc>
      </w:tr>
    </w:tbl>
    <w:p w:rsidR="00162D8C" w:rsidRDefault="00162D8C" w:rsidP="00162D8C">
      <w:pPr>
        <w:autoSpaceDE w:val="0"/>
        <w:autoSpaceDN w:val="0"/>
        <w:adjustRightInd w:val="0"/>
        <w:spacing w:after="0" w:line="240" w:lineRule="auto"/>
        <w:rPr>
          <w:rFonts w:ascii="Times New Roman" w:hAnsi="Times New Roman" w:cs="Times New Roman"/>
          <w:noProof/>
          <w:sz w:val="24"/>
          <w:szCs w:val="24"/>
          <w:lang w:eastAsia="uk-UA"/>
        </w:rPr>
      </w:pPr>
    </w:p>
    <w:p w:rsidR="00162D8C" w:rsidRDefault="00162D8C" w:rsidP="00162D8C">
      <w:pPr>
        <w:rPr>
          <w:lang w:val="en-US"/>
        </w:rPr>
      </w:pPr>
    </w:p>
    <w:p w:rsidR="00162D8C" w:rsidRPr="00E11480" w:rsidRDefault="00162D8C" w:rsidP="00E11480">
      <w:pPr>
        <w:spacing w:line="360" w:lineRule="auto"/>
        <w:jc w:val="both"/>
        <w:rPr>
          <w:rFonts w:ascii="Times New Roman" w:hAnsi="Times New Roman" w:cs="Times New Roman"/>
          <w:sz w:val="28"/>
          <w:szCs w:val="28"/>
        </w:rPr>
      </w:pPr>
      <w:r>
        <w:tab/>
      </w:r>
      <w:r w:rsidRPr="00B74D7C">
        <w:rPr>
          <w:rFonts w:ascii="Times New Roman" w:hAnsi="Times New Roman" w:cs="Times New Roman"/>
          <w:sz w:val="28"/>
          <w:szCs w:val="28"/>
        </w:rPr>
        <w:t>При</w:t>
      </w:r>
      <w:r>
        <w:t xml:space="preserve"> </w:t>
      </w:r>
      <w:r>
        <w:rPr>
          <w:rFonts w:ascii="Times New Roman" w:hAnsi="Times New Roman" w:cs="Times New Roman"/>
          <w:sz w:val="28"/>
          <w:szCs w:val="28"/>
        </w:rPr>
        <w:t xml:space="preserve">застосуванні інтенсивності сигналу (променевої щільності) для </w:t>
      </w:r>
      <w:r w:rsidRPr="00B74D7C">
        <w:rPr>
          <w:rFonts w:ascii="Times New Roman" w:hAnsi="Times New Roman" w:cs="Times New Roman"/>
          <w:noProof/>
          <w:sz w:val="28"/>
          <w:szCs w:val="28"/>
          <w:lang w:eastAsia="uk-UA"/>
        </w:rPr>
        <w:t xml:space="preserve">диференціації </w:t>
      </w:r>
      <w:r w:rsidRPr="00B74D7C">
        <w:rPr>
          <w:rFonts w:ascii="Times New Roman" w:hAnsi="Times New Roman" w:cs="Times New Roman"/>
          <w:sz w:val="28"/>
          <w:szCs w:val="28"/>
        </w:rPr>
        <w:t>доброякісних та злоякісних кіст категорії IIF за Bosniak</w:t>
      </w:r>
      <w:r>
        <w:rPr>
          <w:rFonts w:ascii="Times New Roman" w:hAnsi="Times New Roman" w:cs="Times New Roman"/>
          <w:sz w:val="28"/>
          <w:szCs w:val="28"/>
        </w:rPr>
        <w:t xml:space="preserve">, найкращі показники чутливості та специфічності були отримані при вимірюваннях на основі кортико-медулярної фази КТ, і становили відповідно 100% та 77,8% при пороговому значенні 34,81 </w:t>
      </w:r>
      <w:r>
        <w:rPr>
          <w:rFonts w:ascii="Times New Roman" w:hAnsi="Times New Roman" w:cs="Times New Roman"/>
          <w:sz w:val="28"/>
          <w:szCs w:val="28"/>
          <w:lang w:val="en-US"/>
        </w:rPr>
        <w:t>HU</w:t>
      </w:r>
      <w:r>
        <w:rPr>
          <w:rFonts w:ascii="Times New Roman" w:hAnsi="Times New Roman" w:cs="Times New Roman"/>
          <w:sz w:val="28"/>
          <w:szCs w:val="28"/>
        </w:rPr>
        <w:t xml:space="preserve"> (</w:t>
      </w:r>
      <w:r>
        <w:rPr>
          <w:rFonts w:ascii="Times New Roman" w:hAnsi="Times New Roman" w:cs="Times New Roman"/>
          <w:sz w:val="28"/>
          <w:szCs w:val="28"/>
          <w:lang w:val="en-US"/>
        </w:rPr>
        <w:t>AUC=</w:t>
      </w:r>
      <w:r w:rsidRPr="00B74D7C">
        <w:rPr>
          <w:rFonts w:ascii="Times New Roman" w:hAnsi="Times New Roman" w:cs="Times New Roman"/>
          <w:sz w:val="28"/>
          <w:szCs w:val="28"/>
          <w:lang w:val="en-US"/>
        </w:rPr>
        <w:t>0</w:t>
      </w:r>
      <w:r>
        <w:rPr>
          <w:rFonts w:ascii="Times New Roman" w:hAnsi="Times New Roman" w:cs="Times New Roman"/>
          <w:sz w:val="28"/>
          <w:szCs w:val="28"/>
        </w:rPr>
        <w:t>,910, 95% ДІ=</w:t>
      </w:r>
      <w:r w:rsidRPr="00B74D7C">
        <w:rPr>
          <w:rFonts w:ascii="Times New Roman" w:hAnsi="Times New Roman" w:cs="Times New Roman"/>
          <w:sz w:val="28"/>
          <w:szCs w:val="28"/>
        </w:rPr>
        <w:t>0,754-1,0, р=0,004)</w:t>
      </w:r>
      <w:r>
        <w:rPr>
          <w:rFonts w:ascii="Times New Roman" w:hAnsi="Times New Roman" w:cs="Times New Roman"/>
          <w:sz w:val="28"/>
          <w:szCs w:val="28"/>
        </w:rPr>
        <w:t xml:space="preserve">. Обчислення відношення променевої щільності кісти до нормальної ниркової паренхіми з тією ж метою на основі зображень екскреторної фази, дозволило отримати ще кращі показники тесту: при граничному значенні 0,40, чутливість, специфічність та точність методу складали відповідно 88,9%, 100% та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sz w:val="28"/>
          <w:szCs w:val="28"/>
        </w:rPr>
        <w:t xml:space="preserve">0,951 </w:t>
      </w:r>
      <w:r w:rsidRPr="00F169CC">
        <w:rPr>
          <w:rFonts w:ascii="Times New Roman" w:hAnsi="Times New Roman" w:cs="Times New Roman"/>
          <w:sz w:val="28"/>
          <w:szCs w:val="28"/>
        </w:rPr>
        <w:t>(</w:t>
      </w:r>
      <w:r>
        <w:rPr>
          <w:rFonts w:ascii="Times New Roman" w:hAnsi="Times New Roman" w:cs="Times New Roman"/>
          <w:sz w:val="28"/>
          <w:szCs w:val="28"/>
        </w:rPr>
        <w:t>95% ДІ=0,847-1,0,</w:t>
      </w:r>
      <w:r w:rsidRPr="00F169CC">
        <w:rPr>
          <w:rFonts w:ascii="Times New Roman" w:hAnsi="Times New Roman" w:cs="Times New Roman"/>
          <w:sz w:val="28"/>
          <w:szCs w:val="28"/>
        </w:rPr>
        <w:t xml:space="preserve"> р=0,001)</w:t>
      </w:r>
      <w:r w:rsidR="00D13364">
        <w:rPr>
          <w:rFonts w:ascii="Times New Roman" w:hAnsi="Times New Roman" w:cs="Times New Roman"/>
          <w:sz w:val="28"/>
          <w:szCs w:val="28"/>
        </w:rPr>
        <w:t>, рисунок 3.42</w:t>
      </w:r>
      <w:r>
        <w:rPr>
          <w:rFonts w:ascii="Times New Roman" w:hAnsi="Times New Roman" w:cs="Times New Roman"/>
          <w:sz w:val="28"/>
          <w:szCs w:val="28"/>
        </w:rPr>
        <w:t>.</w:t>
      </w:r>
    </w:p>
    <w:p w:rsidR="00162D8C" w:rsidRPr="00B74D7C" w:rsidRDefault="00162D8C" w:rsidP="00162D8C">
      <w:pPr>
        <w:autoSpaceDE w:val="0"/>
        <w:autoSpaceDN w:val="0"/>
        <w:adjustRightInd w:val="0"/>
        <w:spacing w:after="0" w:line="240" w:lineRule="auto"/>
        <w:rPr>
          <w:rFonts w:ascii="Times New Roman" w:hAnsi="Times New Roman" w:cs="Times New Roman"/>
          <w:sz w:val="24"/>
          <w:szCs w:val="24"/>
          <w:lang w:val="en-US"/>
        </w:rPr>
      </w:pPr>
      <w:r w:rsidRPr="00B74D7C">
        <w:rPr>
          <w:rFonts w:ascii="Times New Roman" w:hAnsi="Times New Roman" w:cs="Times New Roman"/>
          <w:noProof/>
          <w:sz w:val="24"/>
          <w:szCs w:val="24"/>
          <w:lang w:val="en-US"/>
        </w:rPr>
        <w:lastRenderedPageBreak/>
        <mc:AlternateContent>
          <mc:Choice Requires="wps">
            <w:drawing>
              <wp:anchor distT="0" distB="0" distL="114300" distR="114300" simplePos="0" relativeHeight="251732992" behindDoc="0" locked="0" layoutInCell="1" allowOverlap="1" wp14:anchorId="3DE39F07" wp14:editId="6058AFE6">
                <wp:simplePos x="0" y="0"/>
                <wp:positionH relativeFrom="page">
                  <wp:posOffset>3476625</wp:posOffset>
                </wp:positionH>
                <wp:positionV relativeFrom="paragraph">
                  <wp:posOffset>1987550</wp:posOffset>
                </wp:positionV>
                <wp:extent cx="2533650" cy="400050"/>
                <wp:effectExtent l="0" t="0" r="0" b="0"/>
                <wp:wrapNone/>
                <wp:docPr id="161" name="Надпись 161"/>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5E2D59" w:rsidRDefault="007B5A1D" w:rsidP="00162D8C">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D59">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E39F07" id="Надпись 161" o:spid="_x0000_s1075" type="#_x0000_t202" style="position:absolute;margin-left:273.75pt;margin-top:156.5pt;width:199.5pt;height:31.5pt;z-index:25173299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" filled="f" stroked="f">
                <v:textbox>
                  <w:txbxContent>
                    <w:p w:rsidR="007B5A1D" w:rsidRPr="005E2D59" w:rsidRDefault="007B5A1D" w:rsidP="00162D8C">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E2D59">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sidRPr="00B74D7C">
        <w:rPr>
          <w:rFonts w:ascii="Times New Roman" w:hAnsi="Times New Roman" w:cs="Times New Roman"/>
          <w:noProof/>
          <w:sz w:val="24"/>
          <w:szCs w:val="24"/>
          <w:lang w:val="en-US"/>
        </w:rPr>
        <mc:AlternateContent>
          <mc:Choice Requires="wps">
            <w:drawing>
              <wp:anchor distT="0" distB="0" distL="114300" distR="114300" simplePos="0" relativeHeight="251734016" behindDoc="0" locked="0" layoutInCell="1" allowOverlap="1" wp14:anchorId="4560FB06" wp14:editId="348AE14F">
                <wp:simplePos x="0" y="0"/>
                <wp:positionH relativeFrom="page">
                  <wp:posOffset>6462395</wp:posOffset>
                </wp:positionH>
                <wp:positionV relativeFrom="paragraph">
                  <wp:posOffset>1978025</wp:posOffset>
                </wp:positionV>
                <wp:extent cx="2533650" cy="400050"/>
                <wp:effectExtent l="0" t="0" r="0" b="0"/>
                <wp:wrapNone/>
                <wp:docPr id="162" name="Надпись 162"/>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5E2D59" w:rsidRDefault="007B5A1D" w:rsidP="00162D8C">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560FB06" id="Надпись 162" o:spid="_x0000_s1076" type="#_x0000_t202" style="position:absolute;margin-left:508.85pt;margin-top:155.75pt;width:199.5pt;height:31.5pt;z-index:251734016;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" filled="f" stroked="f">
                <v:textbox>
                  <w:txbxContent>
                    <w:p w:rsidR="007B5A1D" w:rsidRPr="005E2D59" w:rsidRDefault="007B5A1D" w:rsidP="00162D8C">
                      <w:pPr>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Pr>
          <w:rFonts w:ascii="Times New Roman" w:hAnsi="Times New Roman" w:cs="Times New Roman"/>
          <w:noProof/>
          <w:sz w:val="24"/>
          <w:szCs w:val="24"/>
          <w:lang w:val="en-US"/>
        </w:rPr>
        <w:drawing>
          <wp:inline distT="0" distB="0" distL="0" distR="0" wp14:anchorId="4EF25C27" wp14:editId="42C636CF">
            <wp:extent cx="2897246" cy="2880000"/>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8">
                      <a:extLst>
                        <a:ext uri="{28A0092B-C50C-407E-A947-70E740481C1C}">
                          <a14:useLocalDpi xmlns:a14="http://schemas.microsoft.com/office/drawing/2010/main" val="0"/>
                        </a:ext>
                      </a:extLst>
                    </a:blip>
                    <a:srcRect l="10845" r="8772"/>
                    <a:stretch/>
                  </pic:blipFill>
                  <pic:spPr bwMode="auto">
                    <a:xfrm>
                      <a:off x="0" y="0"/>
                      <a:ext cx="2897246" cy="28800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4"/>
          <w:szCs w:val="24"/>
          <w:lang w:val="en-US"/>
        </w:rPr>
        <w:drawing>
          <wp:inline distT="0" distB="0" distL="0" distR="0" wp14:anchorId="49317997" wp14:editId="0A128042">
            <wp:extent cx="2920240" cy="2880000"/>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9">
                      <a:extLst>
                        <a:ext uri="{28A0092B-C50C-407E-A947-70E740481C1C}">
                          <a14:useLocalDpi xmlns:a14="http://schemas.microsoft.com/office/drawing/2010/main" val="0"/>
                        </a:ext>
                      </a:extLst>
                    </a:blip>
                    <a:srcRect l="10845" r="8134"/>
                    <a:stretch/>
                  </pic:blipFill>
                  <pic:spPr bwMode="auto">
                    <a:xfrm>
                      <a:off x="0" y="0"/>
                      <a:ext cx="2920240" cy="2880000"/>
                    </a:xfrm>
                    <a:prstGeom prst="rect">
                      <a:avLst/>
                    </a:prstGeom>
                    <a:noFill/>
                    <a:ln>
                      <a:noFill/>
                    </a:ln>
                    <a:extLst>
                      <a:ext uri="{53640926-AAD7-44D8-BBD7-CCE9431645EC}">
                        <a14:shadowObscured xmlns:a14="http://schemas.microsoft.com/office/drawing/2010/main"/>
                      </a:ext>
                    </a:extLst>
                  </pic:spPr>
                </pic:pic>
              </a:graphicData>
            </a:graphic>
          </wp:inline>
        </w:drawing>
      </w:r>
    </w:p>
    <w:p w:rsidR="00162D8C" w:rsidRPr="00B74D7C" w:rsidRDefault="00162D8C" w:rsidP="00162D8C">
      <w:pPr>
        <w:autoSpaceDE w:val="0"/>
        <w:autoSpaceDN w:val="0"/>
        <w:adjustRightInd w:val="0"/>
        <w:spacing w:after="0" w:line="360" w:lineRule="auto"/>
        <w:jc w:val="center"/>
        <w:rPr>
          <w:rFonts w:ascii="Times New Roman" w:hAnsi="Times New Roman" w:cs="Times New Roman"/>
          <w:sz w:val="28"/>
          <w:szCs w:val="28"/>
        </w:rPr>
      </w:pPr>
      <w:r w:rsidRPr="00B74D7C">
        <w:rPr>
          <w:rFonts w:ascii="Times New Roman" w:hAnsi="Times New Roman" w:cs="Times New Roman"/>
          <w:sz w:val="28"/>
          <w:szCs w:val="28"/>
        </w:rPr>
        <w:t>Рис. 3.4</w:t>
      </w:r>
      <w:r w:rsidR="00D13364">
        <w:rPr>
          <w:rFonts w:ascii="Times New Roman" w:hAnsi="Times New Roman" w:cs="Times New Roman"/>
          <w:sz w:val="28"/>
          <w:szCs w:val="28"/>
        </w:rPr>
        <w:t>2</w:t>
      </w:r>
      <w:r w:rsidRPr="00B74D7C">
        <w:rPr>
          <w:rFonts w:ascii="Times New Roman" w:hAnsi="Times New Roman" w:cs="Times New Roman"/>
          <w:sz w:val="28"/>
          <w:szCs w:val="28"/>
        </w:rPr>
        <w:t xml:space="preserve">. ROC-криві використання (А) інтенсивності сингалу та (Б) відношення променевої щільності </w:t>
      </w:r>
      <w:r>
        <w:rPr>
          <w:rFonts w:ascii="Times New Roman" w:hAnsi="Times New Roman" w:cs="Times New Roman"/>
          <w:sz w:val="28"/>
          <w:szCs w:val="28"/>
        </w:rPr>
        <w:t>кісти</w:t>
      </w:r>
      <w:r w:rsidRPr="00B74D7C">
        <w:rPr>
          <w:rFonts w:ascii="Times New Roman" w:hAnsi="Times New Roman" w:cs="Times New Roman"/>
          <w:sz w:val="28"/>
          <w:szCs w:val="28"/>
        </w:rPr>
        <w:t xml:space="preserve"> до нормальної ниркової паренхіми для </w:t>
      </w:r>
      <w:r w:rsidRPr="00B74D7C">
        <w:rPr>
          <w:rFonts w:ascii="Times New Roman" w:hAnsi="Times New Roman" w:cs="Times New Roman"/>
          <w:noProof/>
          <w:sz w:val="28"/>
          <w:szCs w:val="28"/>
          <w:lang w:eastAsia="uk-UA"/>
        </w:rPr>
        <w:t xml:space="preserve">диференціації </w:t>
      </w:r>
      <w:r w:rsidRPr="00B74D7C">
        <w:rPr>
          <w:rFonts w:ascii="Times New Roman" w:hAnsi="Times New Roman" w:cs="Times New Roman"/>
          <w:sz w:val="28"/>
          <w:szCs w:val="28"/>
        </w:rPr>
        <w:t>доброякісних та злоякісних кіст категорії IIF за Bosniak</w:t>
      </w:r>
      <w:r>
        <w:rPr>
          <w:rFonts w:ascii="Times New Roman" w:hAnsi="Times New Roman" w:cs="Times New Roman"/>
          <w:sz w:val="28"/>
          <w:szCs w:val="28"/>
        </w:rPr>
        <w:t>, при розмірі понад 4 см</w:t>
      </w:r>
    </w:p>
    <w:p w:rsidR="00162D8C" w:rsidRPr="006D0291" w:rsidRDefault="00162D8C" w:rsidP="00162D8C">
      <w:pPr>
        <w:autoSpaceDE w:val="0"/>
        <w:autoSpaceDN w:val="0"/>
        <w:adjustRightInd w:val="0"/>
        <w:spacing w:after="0" w:line="240" w:lineRule="auto"/>
        <w:rPr>
          <w:rFonts w:ascii="Times New Roman" w:hAnsi="Times New Roman" w:cs="Times New Roman"/>
          <w:sz w:val="24"/>
          <w:szCs w:val="24"/>
          <w:lang w:val="en-US"/>
        </w:rPr>
      </w:pPr>
    </w:p>
    <w:p w:rsidR="00162D8C" w:rsidRDefault="00162D8C" w:rsidP="00162D8C">
      <w:pPr>
        <w:autoSpaceDE w:val="0"/>
        <w:autoSpaceDN w:val="0"/>
        <w:adjustRightInd w:val="0"/>
        <w:spacing w:after="0" w:line="240" w:lineRule="auto"/>
        <w:rPr>
          <w:rFonts w:ascii="Times New Roman" w:hAnsi="Times New Roman" w:cs="Times New Roman"/>
          <w:sz w:val="24"/>
          <w:szCs w:val="24"/>
        </w:rPr>
      </w:pPr>
    </w:p>
    <w:p w:rsidR="003D690A" w:rsidRDefault="00162D8C" w:rsidP="00162D8C">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4"/>
          <w:szCs w:val="24"/>
        </w:rPr>
        <w:tab/>
      </w:r>
      <w:r w:rsidRPr="00732C9E">
        <w:rPr>
          <w:rFonts w:ascii="Times New Roman" w:hAnsi="Times New Roman" w:cs="Times New Roman"/>
          <w:sz w:val="28"/>
          <w:szCs w:val="28"/>
        </w:rPr>
        <w:t xml:space="preserve">Ми порівнювали інтенсивність сигналу та відношення променевої щільності </w:t>
      </w:r>
      <w:r>
        <w:rPr>
          <w:rFonts w:ascii="Times New Roman" w:hAnsi="Times New Roman" w:cs="Times New Roman"/>
          <w:sz w:val="28"/>
          <w:szCs w:val="28"/>
        </w:rPr>
        <w:t>кістозної маси</w:t>
      </w:r>
      <w:r w:rsidRPr="00732C9E">
        <w:rPr>
          <w:rFonts w:ascii="Times New Roman" w:hAnsi="Times New Roman" w:cs="Times New Roman"/>
          <w:sz w:val="28"/>
          <w:szCs w:val="28"/>
        </w:rPr>
        <w:t xml:space="preserve"> до нормальної ниркової паренхіми</w:t>
      </w:r>
      <w:r>
        <w:rPr>
          <w:rFonts w:ascii="Times New Roman" w:hAnsi="Times New Roman" w:cs="Times New Roman"/>
          <w:sz w:val="28"/>
          <w:szCs w:val="28"/>
        </w:rPr>
        <w:t>,</w:t>
      </w:r>
      <w:r w:rsidRPr="00732C9E">
        <w:rPr>
          <w:rFonts w:ascii="Times New Roman" w:hAnsi="Times New Roman" w:cs="Times New Roman"/>
          <w:sz w:val="28"/>
          <w:szCs w:val="28"/>
        </w:rPr>
        <w:t xml:space="preserve"> тканинних елементів доброякісних та злоякісних кіст категорій ІІІ та IV за Bosniak (об’єднаних разом задля збільшення вибірки доброякісних кіст)</w:t>
      </w:r>
      <w:r>
        <w:rPr>
          <w:rFonts w:ascii="Times New Roman" w:hAnsi="Times New Roman" w:cs="Times New Roman"/>
          <w:sz w:val="28"/>
          <w:szCs w:val="28"/>
        </w:rPr>
        <w:t xml:space="preserve">. При порівнянні середніх значень ВПЩ тканинних елементів злоякісних та доброякісних кіст вказаних класів, суттєвої різниці отримано не було </w:t>
      </w:r>
      <w:r w:rsidRPr="009E6C7E">
        <w:rPr>
          <w:rFonts w:ascii="Times New Roman" w:hAnsi="Times New Roman" w:cs="Times New Roman"/>
          <w:sz w:val="28"/>
          <w:szCs w:val="28"/>
        </w:rPr>
        <w:t>(</w:t>
      </w:r>
      <w:r>
        <w:rPr>
          <w:rFonts w:ascii="Times New Roman" w:hAnsi="Times New Roman" w:cs="Times New Roman"/>
          <w:sz w:val="28"/>
          <w:szCs w:val="28"/>
        </w:rPr>
        <w:t>р</w:t>
      </w:r>
      <w:r w:rsidRPr="009E6C7E">
        <w:rPr>
          <w:rFonts w:ascii="Times New Roman" w:hAnsi="Times New Roman" w:cs="Times New Roman"/>
          <w:sz w:val="28"/>
          <w:szCs w:val="28"/>
        </w:rPr>
        <w:t>&gt;</w:t>
      </w:r>
      <w:r>
        <w:rPr>
          <w:rFonts w:ascii="Times New Roman" w:hAnsi="Times New Roman" w:cs="Times New Roman"/>
          <w:sz w:val="28"/>
          <w:szCs w:val="28"/>
        </w:rPr>
        <w:t xml:space="preserve">0,05). </w:t>
      </w:r>
    </w:p>
    <w:p w:rsidR="00162D8C" w:rsidRPr="00CC2A74" w:rsidRDefault="00162D8C" w:rsidP="003D690A">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Водночас, було виявлено достовірну різницю у середній променевій щільності тканинного елементу доброякісних та злоякісних кіст використовуючи КТ-зображення екскреторної фази (при застосуванні зображень інших фаз різниця не була достовірною), дані показники становили відповідно 60,10±15,67 </w:t>
      </w:r>
      <w:r>
        <w:rPr>
          <w:rFonts w:ascii="Times New Roman" w:hAnsi="Times New Roman" w:cs="Times New Roman"/>
          <w:sz w:val="28"/>
          <w:szCs w:val="28"/>
          <w:lang w:val="en-US"/>
        </w:rPr>
        <w:t>HU</w:t>
      </w:r>
      <w:r>
        <w:rPr>
          <w:rFonts w:ascii="Times New Roman" w:hAnsi="Times New Roman" w:cs="Times New Roman"/>
          <w:sz w:val="28"/>
          <w:szCs w:val="28"/>
        </w:rPr>
        <w:t xml:space="preserve"> та 75,62±12,16 </w:t>
      </w:r>
      <w:r>
        <w:rPr>
          <w:rFonts w:ascii="Times New Roman" w:hAnsi="Times New Roman" w:cs="Times New Roman"/>
          <w:sz w:val="28"/>
          <w:szCs w:val="28"/>
          <w:lang w:val="en-US"/>
        </w:rPr>
        <w:t>HU</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(р=0,018, </w:t>
      </w:r>
      <w:r>
        <w:rPr>
          <w:rFonts w:ascii="Times New Roman" w:hAnsi="Times New Roman" w:cs="Times New Roman"/>
          <w:sz w:val="28"/>
          <w:szCs w:val="28"/>
          <w:lang w:val="en-US"/>
        </w:rPr>
        <w:t>t</w:t>
      </w:r>
      <w:r w:rsidRPr="009E6C7E">
        <w:rPr>
          <w:rFonts w:ascii="Times New Roman" w:hAnsi="Times New Roman" w:cs="Times New Roman"/>
          <w:sz w:val="28"/>
          <w:szCs w:val="28"/>
        </w:rPr>
        <w:t>=</w:t>
      </w:r>
      <w:r>
        <w:rPr>
          <w:rFonts w:ascii="Times New Roman" w:hAnsi="Times New Roman" w:cs="Times New Roman"/>
          <w:sz w:val="28"/>
          <w:szCs w:val="28"/>
        </w:rPr>
        <w:t xml:space="preserve">2,499). Показовим було, що на зображеннях кортико-медулярної фази, середня інтенсивність сигналу тканинних елементів злоякісних кіст класів ІІІ та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була наближеною до середнього значення ІС солідного НКР і складали відповідно 105,50±27,02 </w:t>
      </w:r>
      <w:r>
        <w:rPr>
          <w:rFonts w:ascii="Times New Roman" w:hAnsi="Times New Roman" w:cs="Times New Roman"/>
          <w:sz w:val="28"/>
          <w:szCs w:val="28"/>
          <w:lang w:val="en-US"/>
        </w:rPr>
        <w:t>HU</w:t>
      </w:r>
      <w:r>
        <w:rPr>
          <w:rFonts w:ascii="Times New Roman" w:hAnsi="Times New Roman" w:cs="Times New Roman"/>
          <w:sz w:val="28"/>
          <w:szCs w:val="28"/>
        </w:rPr>
        <w:t xml:space="preserve"> та </w:t>
      </w:r>
      <w:r>
        <w:rPr>
          <w:rFonts w:ascii="Times New Roman" w:hAnsi="Times New Roman"/>
          <w:sz w:val="28"/>
          <w:szCs w:val="28"/>
        </w:rPr>
        <w:t>106,20</w:t>
      </w:r>
      <w:r>
        <w:rPr>
          <w:rFonts w:ascii="Times New Roman" w:hAnsi="Times New Roman" w:cs="Times New Roman"/>
          <w:sz w:val="28"/>
          <w:szCs w:val="28"/>
        </w:rPr>
        <w:t xml:space="preserve">±24,32 </w:t>
      </w:r>
      <w:r>
        <w:rPr>
          <w:rFonts w:ascii="Times New Roman" w:hAnsi="Times New Roman" w:cs="Times New Roman"/>
          <w:sz w:val="28"/>
          <w:szCs w:val="28"/>
          <w:lang w:val="en-US"/>
        </w:rPr>
        <w:t>HU</w:t>
      </w:r>
      <w:r>
        <w:rPr>
          <w:rFonts w:ascii="Times New Roman" w:hAnsi="Times New Roman" w:cs="Times New Roman"/>
          <w:sz w:val="28"/>
          <w:szCs w:val="28"/>
        </w:rPr>
        <w:t xml:space="preserve">. Водночас, середня променева щільність доброякісних </w:t>
      </w:r>
      <w:r>
        <w:rPr>
          <w:rFonts w:ascii="Times New Roman" w:hAnsi="Times New Roman" w:cs="Times New Roman"/>
          <w:sz w:val="28"/>
          <w:szCs w:val="28"/>
        </w:rPr>
        <w:lastRenderedPageBreak/>
        <w:t xml:space="preserve">кіст цих же класів була близькою до даного показника при солідних доброякісних пухлинах нирок: відповідно 85,73±34,90 </w:t>
      </w:r>
      <w:r>
        <w:rPr>
          <w:rFonts w:ascii="Times New Roman" w:hAnsi="Times New Roman" w:cs="Times New Roman"/>
          <w:sz w:val="28"/>
          <w:szCs w:val="28"/>
          <w:lang w:val="en-US"/>
        </w:rPr>
        <w:t>HU</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sz w:val="28"/>
          <w:szCs w:val="28"/>
        </w:rPr>
        <w:t>85,35</w:t>
      </w:r>
      <w:r>
        <w:rPr>
          <w:rFonts w:ascii="Times New Roman" w:hAnsi="Times New Roman" w:cs="Times New Roman"/>
          <w:sz w:val="28"/>
          <w:szCs w:val="28"/>
        </w:rPr>
        <w:t xml:space="preserve">±20,08. Такі дані на наш погляд свідчать про доцільність запропонованої нами методики вимірювання інтенсивності сигналу не лише всієї кісти класу ІІІ та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за </w:t>
      </w:r>
      <w:r>
        <w:rPr>
          <w:rFonts w:ascii="Times New Roman" w:hAnsi="Times New Roman" w:cs="Times New Roman"/>
          <w:sz w:val="28"/>
          <w:szCs w:val="28"/>
          <w:lang w:val="en-US"/>
        </w:rPr>
        <w:t>Bosniak</w:t>
      </w:r>
      <w:r>
        <w:rPr>
          <w:rFonts w:ascii="Times New Roman" w:hAnsi="Times New Roman" w:cs="Times New Roman"/>
          <w:sz w:val="28"/>
          <w:szCs w:val="28"/>
        </w:rPr>
        <w:t xml:space="preserve">, але також і окремо її тканинних елементів, з метою диференційної діагностики НКР. Застосування граничного значення ІС тканинного елементу кісти ІІІ чи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класу – 59,75 </w:t>
      </w:r>
      <w:r>
        <w:rPr>
          <w:rFonts w:ascii="Times New Roman" w:hAnsi="Times New Roman" w:cs="Times New Roman"/>
          <w:sz w:val="28"/>
          <w:szCs w:val="28"/>
          <w:lang w:val="en-US"/>
        </w:rPr>
        <w:t>HU</w:t>
      </w:r>
      <w:r>
        <w:rPr>
          <w:rFonts w:ascii="Times New Roman" w:hAnsi="Times New Roman" w:cs="Times New Roman"/>
          <w:sz w:val="28"/>
          <w:szCs w:val="28"/>
        </w:rPr>
        <w:t>,  дозволило диференціювати злоякісні новоутворення від доброякісних із 88,5% чутливістю та 60</w:t>
      </w:r>
      <w:r w:rsidRPr="009E6C7E">
        <w:rPr>
          <w:rFonts w:ascii="Times New Roman" w:hAnsi="Times New Roman" w:cs="Times New Roman"/>
          <w:sz w:val="28"/>
          <w:szCs w:val="28"/>
        </w:rPr>
        <w:t xml:space="preserve">% </w:t>
      </w:r>
      <w:r w:rsidRPr="00CC2A74">
        <w:rPr>
          <w:rFonts w:ascii="Times New Roman" w:hAnsi="Times New Roman" w:cs="Times New Roman"/>
          <w:sz w:val="28"/>
          <w:szCs w:val="28"/>
        </w:rPr>
        <w:t xml:space="preserve">специфічністю </w:t>
      </w:r>
      <w:r w:rsidRPr="009E6C7E">
        <w:rPr>
          <w:rFonts w:ascii="Times New Roman" w:hAnsi="Times New Roman" w:cs="Times New Roman"/>
          <w:sz w:val="28"/>
          <w:szCs w:val="28"/>
        </w:rPr>
        <w:t>(</w:t>
      </w:r>
      <w:r w:rsidRPr="00CC2A74">
        <w:rPr>
          <w:rFonts w:ascii="Times New Roman" w:hAnsi="Times New Roman" w:cs="Times New Roman"/>
          <w:sz w:val="28"/>
          <w:szCs w:val="28"/>
          <w:lang w:val="en-US"/>
        </w:rPr>
        <w:t>AUC</w:t>
      </w:r>
      <w:r w:rsidRPr="009E6C7E">
        <w:rPr>
          <w:rFonts w:ascii="Times New Roman" w:hAnsi="Times New Roman" w:cs="Times New Roman"/>
          <w:sz w:val="28"/>
          <w:szCs w:val="28"/>
        </w:rPr>
        <w:t>=0,762</w:t>
      </w:r>
      <w:r>
        <w:rPr>
          <w:rFonts w:ascii="Times New Roman" w:hAnsi="Times New Roman" w:cs="Times New Roman"/>
          <w:sz w:val="28"/>
          <w:szCs w:val="28"/>
        </w:rPr>
        <w:t>, 95% ДІ=0,486-0,998, р=0,049)</w:t>
      </w:r>
      <w:r w:rsidRPr="009E6C7E">
        <w:rPr>
          <w:rFonts w:ascii="Times New Roman" w:hAnsi="Times New Roman" w:cs="Times New Roman"/>
          <w:sz w:val="28"/>
          <w:szCs w:val="28"/>
        </w:rPr>
        <w:t>.</w:t>
      </w:r>
      <w:r w:rsidRPr="00CC2A74">
        <w:rPr>
          <w:rFonts w:ascii="Times New Roman" w:hAnsi="Times New Roman" w:cs="Times New Roman"/>
          <w:sz w:val="28"/>
          <w:szCs w:val="28"/>
        </w:rPr>
        <w:t xml:space="preserve">  </w:t>
      </w:r>
    </w:p>
    <w:p w:rsidR="00162D8C" w:rsidRDefault="00162D8C" w:rsidP="00E1148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w:t>
      </w:r>
      <w:r w:rsidRPr="00C80041">
        <w:rPr>
          <w:rFonts w:ascii="Times New Roman" w:hAnsi="Times New Roman" w:cs="Times New Roman"/>
          <w:sz w:val="28"/>
          <w:szCs w:val="28"/>
        </w:rPr>
        <w:t xml:space="preserve">уттєвих відмінностей при порівнянні середніх значень </w:t>
      </w:r>
      <w:r>
        <w:rPr>
          <w:rFonts w:ascii="Times New Roman" w:hAnsi="Times New Roman" w:cs="Times New Roman"/>
          <w:sz w:val="28"/>
          <w:szCs w:val="28"/>
        </w:rPr>
        <w:t xml:space="preserve">інтенсивності сигналу </w:t>
      </w:r>
      <w:r w:rsidRPr="00C80041">
        <w:rPr>
          <w:rFonts w:ascii="Times New Roman" w:hAnsi="Times New Roman" w:cs="Times New Roman"/>
          <w:sz w:val="28"/>
          <w:szCs w:val="28"/>
        </w:rPr>
        <w:t xml:space="preserve">та </w:t>
      </w:r>
      <w:r>
        <w:rPr>
          <w:rFonts w:ascii="Times New Roman" w:hAnsi="Times New Roman" w:cs="Times New Roman"/>
          <w:sz w:val="28"/>
          <w:szCs w:val="28"/>
        </w:rPr>
        <w:t>відношення променевої щільності кісти до нормальної ниркової паренхіми</w:t>
      </w:r>
      <w:r w:rsidRPr="00C80041">
        <w:rPr>
          <w:rFonts w:ascii="Times New Roman" w:hAnsi="Times New Roman" w:cs="Times New Roman"/>
          <w:sz w:val="28"/>
          <w:szCs w:val="28"/>
        </w:rPr>
        <w:t xml:space="preserve"> при кістозному НКР низького та високого ступенів за Fuhrman </w:t>
      </w:r>
      <w:r>
        <w:rPr>
          <w:rFonts w:ascii="Times New Roman" w:hAnsi="Times New Roman" w:cs="Times New Roman"/>
          <w:sz w:val="28"/>
          <w:szCs w:val="28"/>
        </w:rPr>
        <w:t xml:space="preserve">ми не спостерігали </w:t>
      </w:r>
      <w:r w:rsidRPr="00C80041">
        <w:rPr>
          <w:rFonts w:ascii="Times New Roman" w:hAnsi="Times New Roman" w:cs="Times New Roman"/>
          <w:sz w:val="28"/>
          <w:szCs w:val="28"/>
        </w:rPr>
        <w:t>(р&gt;0,05).</w:t>
      </w:r>
      <w:r w:rsidR="00E11480">
        <w:rPr>
          <w:rFonts w:ascii="Times New Roman" w:hAnsi="Times New Roman" w:cs="Times New Roman"/>
          <w:sz w:val="28"/>
          <w:szCs w:val="28"/>
        </w:rPr>
        <w:t xml:space="preserve"> </w:t>
      </w:r>
    </w:p>
    <w:p w:rsidR="003D690A" w:rsidRDefault="003D690A" w:rsidP="00E11480">
      <w:pPr>
        <w:spacing w:line="360" w:lineRule="auto"/>
        <w:ind w:firstLine="708"/>
        <w:jc w:val="both"/>
        <w:rPr>
          <w:rFonts w:ascii="Times New Roman" w:hAnsi="Times New Roman" w:cs="Times New Roman"/>
          <w:sz w:val="28"/>
          <w:szCs w:val="28"/>
        </w:rPr>
      </w:pPr>
    </w:p>
    <w:p w:rsidR="00162D8C" w:rsidRDefault="00162D8C" w:rsidP="00162D8C">
      <w:pPr>
        <w:spacing w:line="360" w:lineRule="auto"/>
        <w:jc w:val="both"/>
        <w:rPr>
          <w:rFonts w:ascii="Times New Roman" w:hAnsi="Times New Roman" w:cs="Times New Roman"/>
          <w:sz w:val="28"/>
          <w:szCs w:val="28"/>
        </w:rPr>
      </w:pPr>
      <w:r w:rsidRPr="00DF36AD">
        <w:rPr>
          <w:rFonts w:ascii="Times New Roman" w:hAnsi="Times New Roman" w:cs="Times New Roman"/>
          <w:noProof/>
          <w:sz w:val="28"/>
          <w:szCs w:val="28"/>
          <w:lang w:val="en-US"/>
        </w:rPr>
        <mc:AlternateContent>
          <mc:Choice Requires="wps">
            <w:drawing>
              <wp:anchor distT="0" distB="0" distL="114300" distR="114300" simplePos="0" relativeHeight="251738112" behindDoc="0" locked="0" layoutInCell="1" allowOverlap="1" wp14:anchorId="5BF63542" wp14:editId="0F66021E">
                <wp:simplePos x="0" y="0"/>
                <wp:positionH relativeFrom="page">
                  <wp:posOffset>5047615</wp:posOffset>
                </wp:positionH>
                <wp:positionV relativeFrom="paragraph">
                  <wp:posOffset>1308100</wp:posOffset>
                </wp:positionV>
                <wp:extent cx="2533650" cy="400050"/>
                <wp:effectExtent l="0" t="0" r="0" b="0"/>
                <wp:wrapNone/>
                <wp:docPr id="167" name="Надпись 167"/>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162D8C">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F63542" id="Надпись 167" o:spid="_x0000_s1077" type="#_x0000_t202" style="position:absolute;left:0;text-align:left;margin-left:397.45pt;margin-top:103pt;width:199.5pt;height:31.5pt;z-index:25173811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" filled="f" stroked="f">
                <v:textbox>
                  <w:txbxContent>
                    <w:p w:rsidR="007B5A1D" w:rsidRPr="00D162D6" w:rsidRDefault="007B5A1D" w:rsidP="00162D8C">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r w:rsidRPr="00DF36AD">
        <w:rPr>
          <w:rFonts w:ascii="Times New Roman" w:hAnsi="Times New Roman" w:cs="Times New Roman"/>
          <w:noProof/>
          <w:sz w:val="28"/>
          <w:szCs w:val="28"/>
          <w:lang w:val="en-US"/>
        </w:rPr>
        <mc:AlternateContent>
          <mc:Choice Requires="wps">
            <w:drawing>
              <wp:anchor distT="0" distB="0" distL="114300" distR="114300" simplePos="0" relativeHeight="251737088" behindDoc="0" locked="0" layoutInCell="1" allowOverlap="1" wp14:anchorId="576BE3E8" wp14:editId="61131F29">
                <wp:simplePos x="0" y="0"/>
                <wp:positionH relativeFrom="page">
                  <wp:posOffset>3075940</wp:posOffset>
                </wp:positionH>
                <wp:positionV relativeFrom="paragraph">
                  <wp:posOffset>1317625</wp:posOffset>
                </wp:positionV>
                <wp:extent cx="2533650" cy="400050"/>
                <wp:effectExtent l="0" t="0" r="0" b="0"/>
                <wp:wrapNone/>
                <wp:docPr id="168" name="Надпись 168"/>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162D8C">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6BE3E8" id="Надпись 168" o:spid="_x0000_s1078" type="#_x0000_t202" style="position:absolute;left:0;text-align:left;margin-left:242.2pt;margin-top:103.75pt;width:199.5pt;height:31.5pt;z-index:25173708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" filled="f" stroked="f">
                <v:textbox>
                  <w:txbxContent>
                    <w:p w:rsidR="007B5A1D" w:rsidRPr="00D162D6" w:rsidRDefault="007B5A1D" w:rsidP="00162D8C">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DF36AD">
        <w:rPr>
          <w:rFonts w:ascii="Times New Roman" w:hAnsi="Times New Roman" w:cs="Times New Roman"/>
          <w:noProof/>
          <w:sz w:val="28"/>
          <w:szCs w:val="28"/>
          <w:lang w:val="en-US"/>
        </w:rPr>
        <mc:AlternateContent>
          <mc:Choice Requires="wps">
            <w:drawing>
              <wp:anchor distT="0" distB="0" distL="114300" distR="114300" simplePos="0" relativeHeight="251736064" behindDoc="0" locked="0" layoutInCell="1" allowOverlap="1" wp14:anchorId="359F469B" wp14:editId="3A647290">
                <wp:simplePos x="0" y="0"/>
                <wp:positionH relativeFrom="page">
                  <wp:posOffset>1080135</wp:posOffset>
                </wp:positionH>
                <wp:positionV relativeFrom="paragraph">
                  <wp:posOffset>1327401</wp:posOffset>
                </wp:positionV>
                <wp:extent cx="2533650" cy="400050"/>
                <wp:effectExtent l="0" t="0" r="0" b="0"/>
                <wp:wrapNone/>
                <wp:docPr id="169" name="Надпись 169"/>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162D8C">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9F469B" id="Надпись 169" o:spid="_x0000_s1079" type="#_x0000_t202" style="position:absolute;left:0;text-align:left;margin-left:85.05pt;margin-top:104.5pt;width:199.5pt;height:31.5pt;z-index:25173606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" filled="f" stroked="f">
                <v:textbox>
                  <w:txbxContent>
                    <w:p w:rsidR="007B5A1D" w:rsidRPr="00D162D6" w:rsidRDefault="007B5A1D" w:rsidP="00162D8C">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Pr>
          <w:rFonts w:ascii="Times New Roman" w:hAnsi="Times New Roman" w:cs="Times New Roman"/>
          <w:noProof/>
          <w:sz w:val="28"/>
          <w:szCs w:val="28"/>
          <w:lang w:val="en-US"/>
        </w:rPr>
        <w:drawing>
          <wp:inline distT="0" distB="0" distL="0" distR="0">
            <wp:extent cx="5934075" cy="1685925"/>
            <wp:effectExtent l="0" t="0" r="9525" b="9525"/>
            <wp:docPr id="175" name="Рисунок 175" descr="9,45х8,16х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9,45х8,16х8,0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34075" cy="1685925"/>
                    </a:xfrm>
                    <a:prstGeom prst="rect">
                      <a:avLst/>
                    </a:prstGeom>
                    <a:noFill/>
                    <a:ln>
                      <a:noFill/>
                    </a:ln>
                  </pic:spPr>
                </pic:pic>
              </a:graphicData>
            </a:graphic>
          </wp:inline>
        </w:drawing>
      </w:r>
    </w:p>
    <w:p w:rsidR="00162D8C" w:rsidRPr="00F3417C" w:rsidRDefault="00D13364" w:rsidP="003D690A">
      <w:pPr>
        <w:spacing w:line="360" w:lineRule="auto"/>
        <w:jc w:val="both"/>
        <w:rPr>
          <w:rFonts w:ascii="Times New Roman" w:hAnsi="Times New Roman" w:cs="Times New Roman"/>
          <w:sz w:val="28"/>
          <w:szCs w:val="28"/>
        </w:rPr>
      </w:pPr>
      <w:r>
        <w:rPr>
          <w:rFonts w:ascii="Times New Roman" w:hAnsi="Times New Roman" w:cs="Times New Roman"/>
          <w:sz w:val="28"/>
          <w:szCs w:val="28"/>
        </w:rPr>
        <w:t>Рис. 3.43</w:t>
      </w:r>
      <w:r w:rsidR="00162D8C" w:rsidRPr="00FC5277">
        <w:rPr>
          <w:rFonts w:ascii="Times New Roman" w:hAnsi="Times New Roman" w:cs="Times New Roman"/>
          <w:sz w:val="28"/>
          <w:szCs w:val="28"/>
        </w:rPr>
        <w:t>.</w:t>
      </w:r>
      <w:r w:rsidR="00162D8C">
        <w:rPr>
          <w:rFonts w:ascii="Times New Roman" w:hAnsi="Times New Roman" w:cs="Times New Roman"/>
          <w:sz w:val="28"/>
          <w:szCs w:val="28"/>
        </w:rPr>
        <w:t xml:space="preserve"> Дані мультифазної КТ хворого К., 58</w:t>
      </w:r>
      <w:r w:rsidR="00162D8C" w:rsidRPr="00FC5277">
        <w:rPr>
          <w:rFonts w:ascii="Times New Roman" w:hAnsi="Times New Roman" w:cs="Times New Roman"/>
          <w:sz w:val="28"/>
          <w:szCs w:val="28"/>
        </w:rPr>
        <w:t xml:space="preserve"> р.,</w:t>
      </w:r>
      <w:r w:rsidR="00162D8C">
        <w:rPr>
          <w:rFonts w:ascii="Times New Roman" w:hAnsi="Times New Roman" w:cs="Times New Roman"/>
          <w:sz w:val="28"/>
          <w:szCs w:val="28"/>
        </w:rPr>
        <w:t xml:space="preserve"> осьова проекція, кіста за </w:t>
      </w:r>
      <w:r w:rsidR="00162D8C">
        <w:rPr>
          <w:rFonts w:ascii="Times New Roman" w:hAnsi="Times New Roman" w:cs="Times New Roman"/>
          <w:sz w:val="28"/>
          <w:szCs w:val="28"/>
          <w:lang w:val="en-US"/>
        </w:rPr>
        <w:t>Bosniak</w:t>
      </w:r>
      <w:r w:rsidR="00162D8C" w:rsidRPr="009E6C7E">
        <w:rPr>
          <w:rFonts w:ascii="Times New Roman" w:hAnsi="Times New Roman" w:cs="Times New Roman"/>
          <w:sz w:val="28"/>
          <w:szCs w:val="28"/>
        </w:rPr>
        <w:t xml:space="preserve"> </w:t>
      </w:r>
      <w:r w:rsidR="00162D8C">
        <w:rPr>
          <w:rFonts w:ascii="Times New Roman" w:hAnsi="Times New Roman" w:cs="Times New Roman"/>
          <w:sz w:val="28"/>
          <w:szCs w:val="28"/>
        </w:rPr>
        <w:t xml:space="preserve">клас </w:t>
      </w:r>
      <w:r w:rsidR="00162D8C">
        <w:rPr>
          <w:rFonts w:ascii="Times New Roman" w:hAnsi="Times New Roman" w:cs="Times New Roman"/>
          <w:sz w:val="28"/>
          <w:szCs w:val="28"/>
          <w:lang w:val="en-US"/>
        </w:rPr>
        <w:t>IV</w:t>
      </w:r>
      <w:r w:rsidR="00162D8C">
        <w:rPr>
          <w:rFonts w:ascii="Times New Roman" w:hAnsi="Times New Roman" w:cs="Times New Roman"/>
          <w:sz w:val="28"/>
          <w:szCs w:val="28"/>
        </w:rPr>
        <w:t xml:space="preserve"> нижнього сегменту лівої нирки розміром </w:t>
      </w:r>
      <w:r w:rsidR="00162D8C" w:rsidRPr="0017059E">
        <w:rPr>
          <w:rFonts w:ascii="Times New Roman" w:hAnsi="Times New Roman" w:cs="Times New Roman"/>
          <w:sz w:val="28"/>
          <w:szCs w:val="28"/>
        </w:rPr>
        <w:t>9,45х8,16х8,09</w:t>
      </w:r>
      <w:r w:rsidR="00162D8C">
        <w:rPr>
          <w:rFonts w:ascii="Times New Roman" w:hAnsi="Times New Roman" w:cs="Times New Roman"/>
          <w:sz w:val="28"/>
          <w:szCs w:val="28"/>
        </w:rPr>
        <w:t xml:space="preserve"> см, в центрі кісти візуалізується кальцинат. ОЗ над тканинним компонентом кісти (стрілка). А: кортико-медулярна фаза, ІС=109,67 </w:t>
      </w:r>
      <w:r w:rsidR="00162D8C">
        <w:rPr>
          <w:rFonts w:ascii="Times New Roman" w:hAnsi="Times New Roman" w:cs="Times New Roman"/>
          <w:sz w:val="28"/>
          <w:szCs w:val="28"/>
          <w:lang w:val="en-US"/>
        </w:rPr>
        <w:t>HU</w:t>
      </w:r>
      <w:r w:rsidR="00162D8C">
        <w:rPr>
          <w:rFonts w:ascii="Times New Roman" w:hAnsi="Times New Roman" w:cs="Times New Roman"/>
          <w:sz w:val="28"/>
          <w:szCs w:val="28"/>
        </w:rPr>
        <w:t xml:space="preserve">, ВПЩ=0,89; Б: нефрографічна фаза, ІС=87,43 </w:t>
      </w:r>
      <w:r w:rsidR="00162D8C">
        <w:rPr>
          <w:rFonts w:ascii="Times New Roman" w:hAnsi="Times New Roman" w:cs="Times New Roman"/>
          <w:sz w:val="28"/>
          <w:szCs w:val="28"/>
          <w:lang w:val="en-US"/>
        </w:rPr>
        <w:t>HU</w:t>
      </w:r>
      <w:r w:rsidR="00162D8C">
        <w:rPr>
          <w:rFonts w:ascii="Times New Roman" w:hAnsi="Times New Roman" w:cs="Times New Roman"/>
          <w:sz w:val="28"/>
          <w:szCs w:val="28"/>
        </w:rPr>
        <w:t xml:space="preserve">, ВПЩ=0,76; В: екскреторна фаза, ІС=72,45 </w:t>
      </w:r>
      <w:r w:rsidR="00162D8C">
        <w:rPr>
          <w:rFonts w:ascii="Times New Roman" w:hAnsi="Times New Roman" w:cs="Times New Roman"/>
          <w:sz w:val="28"/>
          <w:szCs w:val="28"/>
          <w:lang w:val="en-US"/>
        </w:rPr>
        <w:t>HU</w:t>
      </w:r>
      <w:r w:rsidR="00162D8C">
        <w:rPr>
          <w:rFonts w:ascii="Times New Roman" w:hAnsi="Times New Roman" w:cs="Times New Roman"/>
          <w:sz w:val="28"/>
          <w:szCs w:val="28"/>
        </w:rPr>
        <w:t>, ВПЩ=0,89. Хворому виконана радикальна нефректомія. Патоморфологічний діагноз: кістозний світлоклітинний НКР, р</w:t>
      </w:r>
      <w:r w:rsidR="00162D8C">
        <w:rPr>
          <w:rFonts w:ascii="Times New Roman" w:hAnsi="Times New Roman" w:cs="Times New Roman"/>
          <w:sz w:val="28"/>
          <w:szCs w:val="28"/>
          <w:lang w:val="en-US"/>
        </w:rPr>
        <w:t>T</w:t>
      </w:r>
      <w:r w:rsidR="00162D8C" w:rsidRPr="009E6C7E">
        <w:rPr>
          <w:rFonts w:ascii="Times New Roman" w:hAnsi="Times New Roman" w:cs="Times New Roman"/>
          <w:sz w:val="28"/>
          <w:szCs w:val="28"/>
        </w:rPr>
        <w:t>2</w:t>
      </w:r>
      <w:r w:rsidR="00162D8C">
        <w:rPr>
          <w:rFonts w:ascii="Times New Roman" w:hAnsi="Times New Roman" w:cs="Times New Roman"/>
          <w:sz w:val="28"/>
          <w:szCs w:val="28"/>
          <w:lang w:val="en-US"/>
        </w:rPr>
        <w:t>aN</w:t>
      </w:r>
      <w:r w:rsidR="00162D8C" w:rsidRPr="009E6C7E">
        <w:rPr>
          <w:rFonts w:ascii="Times New Roman" w:hAnsi="Times New Roman" w:cs="Times New Roman"/>
          <w:sz w:val="28"/>
          <w:szCs w:val="28"/>
        </w:rPr>
        <w:t>0</w:t>
      </w:r>
      <w:r w:rsidR="00162D8C">
        <w:rPr>
          <w:rFonts w:ascii="Times New Roman" w:hAnsi="Times New Roman" w:cs="Times New Roman"/>
          <w:sz w:val="28"/>
          <w:szCs w:val="28"/>
          <w:lang w:val="en-US"/>
        </w:rPr>
        <w:t>M</w:t>
      </w:r>
      <w:r w:rsidR="00162D8C" w:rsidRPr="009E6C7E">
        <w:rPr>
          <w:rFonts w:ascii="Times New Roman" w:hAnsi="Times New Roman" w:cs="Times New Roman"/>
          <w:sz w:val="28"/>
          <w:szCs w:val="28"/>
        </w:rPr>
        <w:t>0</w:t>
      </w:r>
      <w:r w:rsidR="00162D8C">
        <w:rPr>
          <w:rFonts w:ascii="Times New Roman" w:hAnsi="Times New Roman" w:cs="Times New Roman"/>
          <w:sz w:val="28"/>
          <w:szCs w:val="28"/>
        </w:rPr>
        <w:t xml:space="preserve">, ІІІ ступінь за </w:t>
      </w:r>
      <w:r w:rsidR="00162D8C">
        <w:rPr>
          <w:rFonts w:ascii="Times New Roman" w:hAnsi="Times New Roman" w:cs="Times New Roman"/>
          <w:sz w:val="28"/>
          <w:szCs w:val="28"/>
          <w:lang w:val="en-US"/>
        </w:rPr>
        <w:t>Fuhrman</w:t>
      </w:r>
      <w:r w:rsidR="00162D8C">
        <w:rPr>
          <w:rFonts w:ascii="Times New Roman" w:hAnsi="Times New Roman" w:cs="Times New Roman"/>
          <w:sz w:val="28"/>
          <w:szCs w:val="28"/>
        </w:rPr>
        <w:t xml:space="preserve"> </w:t>
      </w:r>
    </w:p>
    <w:p w:rsidR="00162D8C" w:rsidRPr="00C80041" w:rsidRDefault="00162D8C" w:rsidP="00162D8C">
      <w:pPr>
        <w:spacing w:line="360" w:lineRule="auto"/>
        <w:jc w:val="both"/>
        <w:rPr>
          <w:rFonts w:ascii="Times New Roman" w:hAnsi="Times New Roman" w:cs="Times New Roman"/>
          <w:sz w:val="28"/>
          <w:szCs w:val="28"/>
        </w:rPr>
      </w:pPr>
    </w:p>
    <w:p w:rsidR="00162D8C" w:rsidRDefault="00162D8C" w:rsidP="00162D8C">
      <w:pPr>
        <w:jc w:val="center"/>
        <w:rPr>
          <w:sz w:val="28"/>
          <w:szCs w:val="28"/>
          <w:lang w:val="en-US"/>
        </w:rPr>
      </w:pPr>
      <w:r w:rsidRPr="00DF36AD">
        <w:rPr>
          <w:noProof/>
          <w:sz w:val="28"/>
          <w:szCs w:val="28"/>
          <w:lang w:val="en-US"/>
        </w:rPr>
        <w:lastRenderedPageBreak/>
        <mc:AlternateContent>
          <mc:Choice Requires="wps">
            <w:drawing>
              <wp:anchor distT="0" distB="0" distL="114300" distR="114300" simplePos="0" relativeHeight="251742208" behindDoc="0" locked="0" layoutInCell="1" allowOverlap="1" wp14:anchorId="3A8BD861" wp14:editId="21F8C174">
                <wp:simplePos x="0" y="0"/>
                <wp:positionH relativeFrom="margin">
                  <wp:posOffset>3096895</wp:posOffset>
                </wp:positionH>
                <wp:positionV relativeFrom="paragraph">
                  <wp:posOffset>1815753</wp:posOffset>
                </wp:positionV>
                <wp:extent cx="5939790" cy="466725"/>
                <wp:effectExtent l="0" t="0" r="0" b="9525"/>
                <wp:wrapNone/>
                <wp:docPr id="170" name="Надпись 170"/>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DF36AD" w:rsidRDefault="007B5A1D" w:rsidP="00162D8C">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36AD">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8BD861" id="Надпись 170" o:spid="_x0000_s1080" type="#_x0000_t202" style="position:absolute;left:0;text-align:left;margin-left:243.85pt;margin-top:142.95pt;width:467.7pt;height:36.75pt;z-index:251742208;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" filled="f" stroked="f">
                <v:textbox>
                  <w:txbxContent>
                    <w:p w:rsidR="007B5A1D" w:rsidRPr="00DF36AD" w:rsidRDefault="007B5A1D" w:rsidP="00162D8C">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36AD">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w10:wrap anchorx="margin"/>
              </v:shape>
            </w:pict>
          </mc:Fallback>
        </mc:AlternateContent>
      </w:r>
      <w:r w:rsidRPr="00DF36AD">
        <w:rPr>
          <w:noProof/>
          <w:sz w:val="28"/>
          <w:szCs w:val="28"/>
          <w:lang w:val="en-US"/>
        </w:rPr>
        <mc:AlternateContent>
          <mc:Choice Requires="wps">
            <w:drawing>
              <wp:anchor distT="0" distB="0" distL="114300" distR="114300" simplePos="0" relativeHeight="251741184" behindDoc="0" locked="0" layoutInCell="1" allowOverlap="1" wp14:anchorId="5F224C2A" wp14:editId="41D0DCF8">
                <wp:simplePos x="0" y="0"/>
                <wp:positionH relativeFrom="margin">
                  <wp:posOffset>726967</wp:posOffset>
                </wp:positionH>
                <wp:positionV relativeFrom="paragraph">
                  <wp:posOffset>1818448</wp:posOffset>
                </wp:positionV>
                <wp:extent cx="5939790" cy="466725"/>
                <wp:effectExtent l="0" t="0" r="0" b="9525"/>
                <wp:wrapNone/>
                <wp:docPr id="171" name="Надпись 171"/>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DF36AD" w:rsidRDefault="007B5A1D" w:rsidP="00162D8C">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36AD">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F224C2A" id="Надпись 171" o:spid="_x0000_s1081" type="#_x0000_t202" style="position:absolute;left:0;text-align:left;margin-left:57.25pt;margin-top:143.2pt;width:467.7pt;height:36.75pt;z-index:25174118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" filled="f" stroked="f">
                <v:textbox>
                  <w:txbxContent>
                    <w:p w:rsidR="007B5A1D" w:rsidRPr="00DF36AD" w:rsidRDefault="007B5A1D" w:rsidP="00162D8C">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36AD">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margin"/>
              </v:shape>
            </w:pict>
          </mc:Fallback>
        </mc:AlternateContent>
      </w:r>
      <w:r w:rsidRPr="00DF36AD">
        <w:rPr>
          <w:noProof/>
          <w:sz w:val="28"/>
          <w:szCs w:val="28"/>
          <w:lang w:val="en-US"/>
        </w:rPr>
        <mc:AlternateContent>
          <mc:Choice Requires="wps">
            <w:drawing>
              <wp:anchor distT="0" distB="0" distL="114300" distR="114300" simplePos="0" relativeHeight="251740160" behindDoc="0" locked="0" layoutInCell="1" allowOverlap="1" wp14:anchorId="04B9FDA6" wp14:editId="6E447DD4">
                <wp:simplePos x="0" y="0"/>
                <wp:positionH relativeFrom="margin">
                  <wp:posOffset>3068907</wp:posOffset>
                </wp:positionH>
                <wp:positionV relativeFrom="paragraph">
                  <wp:posOffset>7620</wp:posOffset>
                </wp:positionV>
                <wp:extent cx="5939790" cy="466725"/>
                <wp:effectExtent l="0" t="0" r="0" b="9525"/>
                <wp:wrapNone/>
                <wp:docPr id="172" name="Надпись 172"/>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DF36AD" w:rsidRDefault="007B5A1D" w:rsidP="00162D8C">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36AD">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B9FDA6" id="Надпись 172" o:spid="_x0000_s1082" type="#_x0000_t202" style="position:absolute;left:0;text-align:left;margin-left:241.65pt;margin-top:.6pt;width:467.7pt;height:36.75pt;z-index:25174016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" filled="f" stroked="f">
                <v:textbox>
                  <w:txbxContent>
                    <w:p w:rsidR="007B5A1D" w:rsidRPr="00DF36AD" w:rsidRDefault="007B5A1D" w:rsidP="00162D8C">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36AD">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margin"/>
              </v:shape>
            </w:pict>
          </mc:Fallback>
        </mc:AlternateContent>
      </w:r>
      <w:r w:rsidRPr="00DF36AD">
        <w:rPr>
          <w:noProof/>
          <w:sz w:val="28"/>
          <w:szCs w:val="28"/>
          <w:lang w:val="en-US"/>
        </w:rPr>
        <mc:AlternateContent>
          <mc:Choice Requires="wps">
            <w:drawing>
              <wp:anchor distT="0" distB="0" distL="114300" distR="114300" simplePos="0" relativeHeight="251739136" behindDoc="0" locked="0" layoutInCell="1" allowOverlap="1" wp14:anchorId="549C1484" wp14:editId="02CBF861">
                <wp:simplePos x="0" y="0"/>
                <wp:positionH relativeFrom="margin">
                  <wp:posOffset>681487</wp:posOffset>
                </wp:positionH>
                <wp:positionV relativeFrom="paragraph">
                  <wp:posOffset>17516</wp:posOffset>
                </wp:positionV>
                <wp:extent cx="5939790" cy="466725"/>
                <wp:effectExtent l="0" t="0" r="0" b="9525"/>
                <wp:wrapNone/>
                <wp:docPr id="173" name="Надпись 173"/>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DF36AD" w:rsidRDefault="007B5A1D" w:rsidP="00162D8C">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36AD">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9C1484" id="Надпись 173" o:spid="_x0000_s1083" type="#_x0000_t202" style="position:absolute;left:0;text-align:left;margin-left:53.65pt;margin-top:1.4pt;width:467.7pt;height:36.75pt;z-index:25173913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" filled="f" stroked="f">
                <v:textbox>
                  <w:txbxContent>
                    <w:p w:rsidR="007B5A1D" w:rsidRPr="00DF36AD" w:rsidRDefault="007B5A1D" w:rsidP="00162D8C">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F36AD">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margin"/>
              </v:shape>
            </w:pict>
          </mc:Fallback>
        </mc:AlternateContent>
      </w:r>
      <w:r>
        <w:rPr>
          <w:noProof/>
          <w:sz w:val="28"/>
          <w:szCs w:val="28"/>
          <w:lang w:val="en-US"/>
        </w:rPr>
        <w:drawing>
          <wp:inline distT="0" distB="0" distL="0" distR="0">
            <wp:extent cx="4552950" cy="3629025"/>
            <wp:effectExtent l="0" t="0" r="0" b="9525"/>
            <wp:docPr id="174" name="Рисунок 174" descr="8,20х7,88х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8,20х7,88х7,78"/>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4552950" cy="3629025"/>
                    </a:xfrm>
                    <a:prstGeom prst="rect">
                      <a:avLst/>
                    </a:prstGeom>
                    <a:noFill/>
                    <a:ln>
                      <a:noFill/>
                    </a:ln>
                  </pic:spPr>
                </pic:pic>
              </a:graphicData>
            </a:graphic>
          </wp:inline>
        </w:drawing>
      </w:r>
    </w:p>
    <w:p w:rsidR="00162D8C" w:rsidRDefault="00D13364" w:rsidP="00162D8C">
      <w:pPr>
        <w:spacing w:line="360" w:lineRule="auto"/>
        <w:jc w:val="both"/>
        <w:rPr>
          <w:rFonts w:ascii="Times New Roman" w:hAnsi="Times New Roman" w:cs="Times New Roman"/>
          <w:sz w:val="28"/>
          <w:szCs w:val="28"/>
        </w:rPr>
      </w:pPr>
      <w:r>
        <w:rPr>
          <w:rFonts w:ascii="Times New Roman" w:hAnsi="Times New Roman" w:cs="Times New Roman"/>
          <w:sz w:val="28"/>
          <w:szCs w:val="28"/>
        </w:rPr>
        <w:t>Рис. 3.44</w:t>
      </w:r>
      <w:r w:rsidR="00162D8C" w:rsidRPr="00FC5277">
        <w:rPr>
          <w:rFonts w:ascii="Times New Roman" w:hAnsi="Times New Roman" w:cs="Times New Roman"/>
          <w:sz w:val="28"/>
          <w:szCs w:val="28"/>
        </w:rPr>
        <w:t>.</w:t>
      </w:r>
      <w:r w:rsidR="00162D8C">
        <w:rPr>
          <w:rFonts w:ascii="Times New Roman" w:hAnsi="Times New Roman" w:cs="Times New Roman"/>
          <w:sz w:val="28"/>
          <w:szCs w:val="28"/>
        </w:rPr>
        <w:t xml:space="preserve"> Дані мультифазної КТ хворої К., 49</w:t>
      </w:r>
      <w:r w:rsidR="00162D8C" w:rsidRPr="00FC5277">
        <w:rPr>
          <w:rFonts w:ascii="Times New Roman" w:hAnsi="Times New Roman" w:cs="Times New Roman"/>
          <w:sz w:val="28"/>
          <w:szCs w:val="28"/>
        </w:rPr>
        <w:t xml:space="preserve"> р.,</w:t>
      </w:r>
      <w:r w:rsidR="00162D8C">
        <w:rPr>
          <w:rFonts w:ascii="Times New Roman" w:hAnsi="Times New Roman" w:cs="Times New Roman"/>
          <w:sz w:val="28"/>
          <w:szCs w:val="28"/>
        </w:rPr>
        <w:t xml:space="preserve"> кіста за </w:t>
      </w:r>
      <w:r w:rsidR="00162D8C">
        <w:rPr>
          <w:rFonts w:ascii="Times New Roman" w:hAnsi="Times New Roman" w:cs="Times New Roman"/>
          <w:sz w:val="28"/>
          <w:szCs w:val="28"/>
          <w:lang w:val="en-US"/>
        </w:rPr>
        <w:t xml:space="preserve">Bosniak </w:t>
      </w:r>
      <w:r w:rsidR="00162D8C">
        <w:rPr>
          <w:rFonts w:ascii="Times New Roman" w:hAnsi="Times New Roman" w:cs="Times New Roman"/>
          <w:sz w:val="28"/>
          <w:szCs w:val="28"/>
        </w:rPr>
        <w:t xml:space="preserve">клас </w:t>
      </w:r>
      <w:r w:rsidR="00162D8C">
        <w:rPr>
          <w:rFonts w:ascii="Times New Roman" w:hAnsi="Times New Roman" w:cs="Times New Roman"/>
          <w:sz w:val="28"/>
          <w:szCs w:val="28"/>
          <w:lang w:val="en-US"/>
        </w:rPr>
        <w:t>I</w:t>
      </w:r>
      <w:r w:rsidR="00162D8C">
        <w:rPr>
          <w:rFonts w:ascii="Times New Roman" w:hAnsi="Times New Roman" w:cs="Times New Roman"/>
          <w:sz w:val="28"/>
          <w:szCs w:val="28"/>
        </w:rPr>
        <w:t xml:space="preserve"> нижнього сегменту лівої нирки розміром </w:t>
      </w:r>
      <w:r w:rsidR="00162D8C" w:rsidRPr="00CB569B">
        <w:rPr>
          <w:rFonts w:ascii="Times New Roman" w:hAnsi="Times New Roman" w:cs="Times New Roman"/>
          <w:sz w:val="28"/>
          <w:szCs w:val="28"/>
        </w:rPr>
        <w:t>8,20х7,88х7,78</w:t>
      </w:r>
      <w:r w:rsidR="00162D8C">
        <w:rPr>
          <w:rFonts w:ascii="Times New Roman" w:hAnsi="Times New Roman" w:cs="Times New Roman"/>
          <w:sz w:val="28"/>
          <w:szCs w:val="28"/>
        </w:rPr>
        <w:t xml:space="preserve"> см. ОЗ над ділянкою кісти. А: пре-контрастне зображення, ІС=5,43 </w:t>
      </w:r>
      <w:r w:rsidR="00162D8C">
        <w:rPr>
          <w:rFonts w:ascii="Times New Roman" w:hAnsi="Times New Roman" w:cs="Times New Roman"/>
          <w:sz w:val="28"/>
          <w:szCs w:val="28"/>
          <w:lang w:val="en-US"/>
        </w:rPr>
        <w:t>HU</w:t>
      </w:r>
      <w:r w:rsidR="00162D8C">
        <w:rPr>
          <w:rFonts w:ascii="Times New Roman" w:hAnsi="Times New Roman" w:cs="Times New Roman"/>
          <w:sz w:val="28"/>
          <w:szCs w:val="28"/>
        </w:rPr>
        <w:t>, ВПЩ=0,23; Б: кортико-медулярна фаза, ІС=5,56</w:t>
      </w:r>
      <w:r w:rsidR="00162D8C" w:rsidRPr="009E6C7E">
        <w:rPr>
          <w:rFonts w:ascii="Times New Roman" w:hAnsi="Times New Roman" w:cs="Times New Roman"/>
          <w:sz w:val="28"/>
          <w:szCs w:val="28"/>
        </w:rPr>
        <w:t xml:space="preserve"> </w:t>
      </w:r>
      <w:r w:rsidR="00162D8C">
        <w:rPr>
          <w:rFonts w:ascii="Times New Roman" w:hAnsi="Times New Roman" w:cs="Times New Roman"/>
          <w:sz w:val="28"/>
          <w:szCs w:val="28"/>
          <w:lang w:val="en-US"/>
        </w:rPr>
        <w:t>HU</w:t>
      </w:r>
      <w:r w:rsidR="00162D8C">
        <w:rPr>
          <w:rFonts w:ascii="Times New Roman" w:hAnsi="Times New Roman" w:cs="Times New Roman"/>
          <w:sz w:val="28"/>
          <w:szCs w:val="28"/>
        </w:rPr>
        <w:t>, ВПЩ=0,09 В: екскреторна фаза, ІС=6,45</w:t>
      </w:r>
      <w:r w:rsidR="00162D8C" w:rsidRPr="009E6C7E">
        <w:rPr>
          <w:rFonts w:ascii="Times New Roman" w:hAnsi="Times New Roman" w:cs="Times New Roman"/>
          <w:sz w:val="28"/>
          <w:szCs w:val="28"/>
        </w:rPr>
        <w:t xml:space="preserve"> </w:t>
      </w:r>
      <w:r w:rsidR="00162D8C">
        <w:rPr>
          <w:rFonts w:ascii="Times New Roman" w:hAnsi="Times New Roman" w:cs="Times New Roman"/>
          <w:sz w:val="28"/>
          <w:szCs w:val="28"/>
          <w:lang w:val="en-US"/>
        </w:rPr>
        <w:t>HU</w:t>
      </w:r>
      <w:r w:rsidR="00162D8C">
        <w:rPr>
          <w:rFonts w:ascii="Times New Roman" w:hAnsi="Times New Roman" w:cs="Times New Roman"/>
          <w:sz w:val="28"/>
          <w:szCs w:val="28"/>
        </w:rPr>
        <w:t xml:space="preserve">, ВПЩ=0,10. </w:t>
      </w:r>
    </w:p>
    <w:p w:rsidR="00162D8C" w:rsidRDefault="00162D8C" w:rsidP="00817533">
      <w:pPr>
        <w:pStyle w:val="Standard"/>
        <w:autoSpaceDE w:val="0"/>
        <w:spacing w:line="276" w:lineRule="auto"/>
        <w:jc w:val="both"/>
        <w:rPr>
          <w:rFonts w:cs="Times New Roman"/>
          <w:sz w:val="28"/>
          <w:szCs w:val="28"/>
        </w:rPr>
      </w:pPr>
    </w:p>
    <w:p w:rsidR="00ED0862" w:rsidRDefault="00ED0862" w:rsidP="00ED0862">
      <w:pPr>
        <w:spacing w:line="360" w:lineRule="auto"/>
        <w:ind w:firstLine="708"/>
        <w:jc w:val="both"/>
        <w:rPr>
          <w:rFonts w:ascii="Times New Roman" w:hAnsi="Times New Roman" w:cs="Times New Roman"/>
          <w:sz w:val="28"/>
          <w:szCs w:val="28"/>
        </w:rPr>
      </w:pPr>
      <w:r w:rsidRPr="000B631E">
        <w:rPr>
          <w:rFonts w:ascii="Times New Roman" w:hAnsi="Times New Roman" w:cs="Times New Roman"/>
          <w:sz w:val="28"/>
          <w:szCs w:val="28"/>
        </w:rPr>
        <w:t>3.2.2.2. Променеві біомаркери на основі МРТ</w:t>
      </w:r>
    </w:p>
    <w:p w:rsidR="00ED0862" w:rsidRPr="00F33CCE" w:rsidRDefault="00ED0862" w:rsidP="00ED086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Ми вивчали ефективність новітніх</w:t>
      </w:r>
      <w:r w:rsidRPr="000B631E">
        <w:rPr>
          <w:rFonts w:ascii="Times New Roman" w:hAnsi="Times New Roman" w:cs="Times New Roman"/>
          <w:sz w:val="28"/>
          <w:szCs w:val="28"/>
        </w:rPr>
        <w:t xml:space="preserve"> </w:t>
      </w:r>
      <w:r>
        <w:rPr>
          <w:rFonts w:ascii="Times New Roman" w:hAnsi="Times New Roman" w:cs="Times New Roman"/>
          <w:sz w:val="28"/>
          <w:szCs w:val="28"/>
        </w:rPr>
        <w:t xml:space="preserve">променевих </w:t>
      </w:r>
      <w:r w:rsidRPr="000B631E">
        <w:rPr>
          <w:rFonts w:ascii="Times New Roman" w:hAnsi="Times New Roman" w:cs="Times New Roman"/>
          <w:sz w:val="28"/>
          <w:szCs w:val="28"/>
        </w:rPr>
        <w:t xml:space="preserve">біомаркерів на основі МРТ, </w:t>
      </w:r>
      <w:r>
        <w:rPr>
          <w:rFonts w:ascii="Times New Roman" w:hAnsi="Times New Roman" w:cs="Times New Roman"/>
          <w:sz w:val="28"/>
          <w:szCs w:val="28"/>
        </w:rPr>
        <w:t xml:space="preserve">для діагностики </w:t>
      </w:r>
      <w:r w:rsidRPr="000B631E">
        <w:rPr>
          <w:rFonts w:ascii="Times New Roman" w:hAnsi="Times New Roman" w:cs="Times New Roman"/>
          <w:sz w:val="28"/>
          <w:szCs w:val="28"/>
        </w:rPr>
        <w:t>кістозного НКР</w:t>
      </w:r>
      <w:r>
        <w:rPr>
          <w:rFonts w:ascii="Times New Roman" w:hAnsi="Times New Roman" w:cs="Times New Roman"/>
          <w:sz w:val="28"/>
          <w:szCs w:val="28"/>
        </w:rPr>
        <w:t>, для чого</w:t>
      </w:r>
      <w:r w:rsidRPr="000B631E">
        <w:rPr>
          <w:rFonts w:ascii="Times New Roman" w:hAnsi="Times New Roman" w:cs="Times New Roman"/>
          <w:sz w:val="28"/>
          <w:szCs w:val="28"/>
        </w:rPr>
        <w:t xml:space="preserve"> у всіх групах кіст нами були проаналізовані показники </w:t>
      </w:r>
      <w:r>
        <w:rPr>
          <w:rFonts w:ascii="Times New Roman" w:hAnsi="Times New Roman" w:cs="Times New Roman"/>
          <w:sz w:val="28"/>
          <w:szCs w:val="28"/>
        </w:rPr>
        <w:t xml:space="preserve">інтенсивності сигналу дифузійно-зважених зображень та </w:t>
      </w:r>
      <w:r w:rsidRPr="000B631E">
        <w:rPr>
          <w:rFonts w:ascii="Times New Roman" w:hAnsi="Times New Roman" w:cs="Times New Roman"/>
          <w:sz w:val="28"/>
          <w:szCs w:val="28"/>
          <w:vertAlign w:val="subscript"/>
        </w:rPr>
        <w:t xml:space="preserve"> </w:t>
      </w:r>
      <w:r>
        <w:rPr>
          <w:rFonts w:ascii="Times New Roman" w:hAnsi="Times New Roman" w:cs="Times New Roman"/>
          <w:sz w:val="28"/>
          <w:szCs w:val="28"/>
        </w:rPr>
        <w:t>вимірюваний коефіцієнт дифузії</w:t>
      </w:r>
      <w:r w:rsidRPr="000B631E">
        <w:rPr>
          <w:rFonts w:ascii="Times New Roman" w:hAnsi="Times New Roman" w:cs="Times New Roman"/>
          <w:sz w:val="28"/>
          <w:szCs w:val="28"/>
        </w:rPr>
        <w:t xml:space="preserve"> визначені при b-значеннях 0 та 800 сек</w:t>
      </w:r>
      <w:r w:rsidRPr="000B631E">
        <w:rPr>
          <w:rFonts w:ascii="Times New Roman" w:eastAsiaTheme="minorEastAsia" w:hAnsi="Times New Roman" w:cs="Times New Roman"/>
          <w:sz w:val="28"/>
          <w:szCs w:val="28"/>
        </w:rPr>
        <w:t>/мм</w:t>
      </w:r>
      <w:r w:rsidRPr="000B631E">
        <w:rPr>
          <w:rFonts w:ascii="Times New Roman" w:eastAsiaTheme="minorEastAsia" w:hAnsi="Times New Roman" w:cs="Times New Roman"/>
          <w:sz w:val="28"/>
          <w:szCs w:val="28"/>
          <w:vertAlign w:val="superscript"/>
        </w:rPr>
        <w:t>2</w:t>
      </w:r>
      <w:r w:rsidRPr="000B631E">
        <w:rPr>
          <w:rFonts w:ascii="Times New Roman" w:hAnsi="Times New Roman" w:cs="Times New Roman"/>
          <w:sz w:val="28"/>
          <w:szCs w:val="28"/>
        </w:rPr>
        <w:t>, за допомогою методів</w:t>
      </w:r>
      <w:r>
        <w:rPr>
          <w:rFonts w:ascii="Times New Roman" w:hAnsi="Times New Roman" w:cs="Times New Roman"/>
          <w:sz w:val="28"/>
          <w:szCs w:val="28"/>
        </w:rPr>
        <w:t xml:space="preserve"> наведених у попередньому підрозділі</w:t>
      </w:r>
      <w:r w:rsidRPr="000B631E">
        <w:rPr>
          <w:rFonts w:ascii="Times New Roman" w:hAnsi="Times New Roman" w:cs="Times New Roman"/>
          <w:sz w:val="28"/>
          <w:szCs w:val="28"/>
        </w:rPr>
        <w:t xml:space="preserve">. </w:t>
      </w:r>
      <w:r>
        <w:rPr>
          <w:rFonts w:ascii="Times New Roman" w:hAnsi="Times New Roman" w:cs="Times New Roman"/>
          <w:sz w:val="28"/>
          <w:szCs w:val="28"/>
        </w:rPr>
        <w:t xml:space="preserve">В цілому, для кіст нирок нижчих категорій (І, ІІ) було характерним підвищення інтенсивності сигналу на дифузійно-зважених зображеннях, при високих показниках вимірюваного коефіцієнта дифузії, який по мірі зростання класу кісти мав тенденцію до зменшення. Подібно до малих ниркових новоутворень, при кістах нирок розміром понад 4 см, </w:t>
      </w:r>
      <w:r w:rsidRPr="000B631E">
        <w:rPr>
          <w:rFonts w:ascii="Times New Roman" w:hAnsi="Times New Roman" w:cs="Times New Roman"/>
          <w:sz w:val="28"/>
          <w:szCs w:val="28"/>
        </w:rPr>
        <w:t>найвищі показники ІС</w:t>
      </w:r>
      <w:r w:rsidRPr="000B631E">
        <w:rPr>
          <w:rFonts w:ascii="Times New Roman" w:hAnsi="Times New Roman" w:cs="Times New Roman"/>
          <w:sz w:val="28"/>
          <w:szCs w:val="28"/>
          <w:vertAlign w:val="subscript"/>
        </w:rPr>
        <w:t>ДЗЗ</w:t>
      </w:r>
      <w:r w:rsidRPr="000B631E">
        <w:rPr>
          <w:rFonts w:ascii="Times New Roman" w:hAnsi="Times New Roman" w:cs="Times New Roman"/>
          <w:sz w:val="28"/>
          <w:szCs w:val="28"/>
        </w:rPr>
        <w:t xml:space="preserve"> були </w:t>
      </w:r>
      <w:r>
        <w:rPr>
          <w:rFonts w:ascii="Times New Roman" w:hAnsi="Times New Roman" w:cs="Times New Roman"/>
          <w:sz w:val="28"/>
          <w:szCs w:val="28"/>
        </w:rPr>
        <w:lastRenderedPageBreak/>
        <w:t>притаманні</w:t>
      </w:r>
      <w:r w:rsidRPr="000B631E">
        <w:rPr>
          <w:rFonts w:ascii="Times New Roman" w:hAnsi="Times New Roman" w:cs="Times New Roman"/>
          <w:sz w:val="28"/>
          <w:szCs w:val="28"/>
        </w:rPr>
        <w:t xml:space="preserve"> </w:t>
      </w:r>
      <w:r>
        <w:rPr>
          <w:rFonts w:ascii="Times New Roman" w:hAnsi="Times New Roman" w:cs="Times New Roman"/>
          <w:sz w:val="28"/>
          <w:szCs w:val="28"/>
        </w:rPr>
        <w:t>кістам</w:t>
      </w:r>
      <w:r w:rsidRPr="000B631E">
        <w:rPr>
          <w:rFonts w:ascii="Times New Roman" w:hAnsi="Times New Roman" w:cs="Times New Roman"/>
          <w:sz w:val="28"/>
          <w:szCs w:val="28"/>
        </w:rPr>
        <w:t xml:space="preserve"> класів І та ІІ за Bosniak (</w:t>
      </w:r>
      <w:r>
        <w:rPr>
          <w:rFonts w:ascii="Times New Roman" w:hAnsi="Times New Roman"/>
          <w:sz w:val="28"/>
          <w:szCs w:val="28"/>
        </w:rPr>
        <w:t>відповідно 136,23</w:t>
      </w:r>
      <w:r w:rsidRPr="000B631E">
        <w:rPr>
          <w:rFonts w:ascii="Times New Roman" w:hAnsi="Times New Roman" w:cs="Times New Roman"/>
          <w:sz w:val="28"/>
          <w:szCs w:val="28"/>
        </w:rPr>
        <w:t>±</w:t>
      </w:r>
      <w:r>
        <w:rPr>
          <w:rFonts w:ascii="Times New Roman" w:hAnsi="Times New Roman"/>
          <w:sz w:val="28"/>
          <w:szCs w:val="28"/>
        </w:rPr>
        <w:t>38,76 та 134,67</w:t>
      </w:r>
      <w:r w:rsidRPr="000B631E">
        <w:rPr>
          <w:rFonts w:ascii="Times New Roman" w:hAnsi="Times New Roman" w:cs="Times New Roman"/>
          <w:sz w:val="28"/>
          <w:szCs w:val="28"/>
        </w:rPr>
        <w:t>±</w:t>
      </w:r>
      <w:r>
        <w:rPr>
          <w:rFonts w:ascii="Times New Roman" w:hAnsi="Times New Roman"/>
          <w:sz w:val="28"/>
          <w:szCs w:val="28"/>
        </w:rPr>
        <w:t xml:space="preserve">28,12), а найнижчі спостерігались </w:t>
      </w:r>
      <w:r w:rsidRPr="000B631E">
        <w:rPr>
          <w:rFonts w:ascii="Times New Roman" w:hAnsi="Times New Roman"/>
          <w:sz w:val="28"/>
          <w:szCs w:val="28"/>
        </w:rPr>
        <w:t>при кістах VI класу (</w:t>
      </w:r>
      <w:r>
        <w:rPr>
          <w:rFonts w:ascii="Times New Roman" w:hAnsi="Times New Roman"/>
          <w:sz w:val="28"/>
          <w:szCs w:val="28"/>
        </w:rPr>
        <w:t>86,24</w:t>
      </w:r>
      <w:r w:rsidRPr="000B631E">
        <w:rPr>
          <w:rFonts w:ascii="Times New Roman" w:hAnsi="Times New Roman" w:cs="Times New Roman"/>
          <w:sz w:val="28"/>
          <w:szCs w:val="28"/>
        </w:rPr>
        <w:t>±</w:t>
      </w:r>
      <w:r>
        <w:rPr>
          <w:rFonts w:ascii="Times New Roman" w:hAnsi="Times New Roman"/>
          <w:sz w:val="28"/>
          <w:szCs w:val="28"/>
        </w:rPr>
        <w:t>20,35</w:t>
      </w:r>
      <w:r w:rsidRPr="000B631E">
        <w:rPr>
          <w:rFonts w:ascii="Times New Roman" w:hAnsi="Times New Roman"/>
          <w:sz w:val="28"/>
          <w:szCs w:val="28"/>
        </w:rPr>
        <w:t xml:space="preserve">). </w:t>
      </w:r>
      <w:r>
        <w:rPr>
          <w:rFonts w:ascii="Times New Roman" w:hAnsi="Times New Roman"/>
          <w:sz w:val="28"/>
          <w:szCs w:val="28"/>
        </w:rPr>
        <w:t>При цьому діапазон значень інтенсивності сигналу</w:t>
      </w:r>
      <w:r w:rsidRPr="000B631E">
        <w:rPr>
          <w:rFonts w:ascii="Times New Roman" w:hAnsi="Times New Roman" w:cs="Times New Roman"/>
          <w:sz w:val="28"/>
          <w:szCs w:val="28"/>
        </w:rPr>
        <w:t xml:space="preserve"> у групах із кістами нирок значною мірою </w:t>
      </w:r>
      <w:r>
        <w:rPr>
          <w:rFonts w:ascii="Times New Roman" w:hAnsi="Times New Roman" w:cs="Times New Roman"/>
          <w:sz w:val="28"/>
          <w:szCs w:val="28"/>
        </w:rPr>
        <w:t>взаємонакладався</w:t>
      </w:r>
      <w:r w:rsidRPr="000B631E">
        <w:rPr>
          <w:rFonts w:ascii="Times New Roman" w:hAnsi="Times New Roman" w:cs="Times New Roman"/>
          <w:sz w:val="28"/>
          <w:szCs w:val="28"/>
        </w:rPr>
        <w:t xml:space="preserve">, </w:t>
      </w:r>
      <w:r>
        <w:rPr>
          <w:rFonts w:ascii="Times New Roman" w:hAnsi="Times New Roman" w:cs="Times New Roman"/>
          <w:sz w:val="28"/>
          <w:szCs w:val="28"/>
        </w:rPr>
        <w:t>внаслідок</w:t>
      </w:r>
      <w:r w:rsidRPr="000B631E">
        <w:rPr>
          <w:rFonts w:ascii="Times New Roman" w:hAnsi="Times New Roman" w:cs="Times New Roman"/>
          <w:sz w:val="28"/>
          <w:szCs w:val="28"/>
        </w:rPr>
        <w:t xml:space="preserve"> чого </w:t>
      </w:r>
      <w:r>
        <w:rPr>
          <w:rFonts w:ascii="Times New Roman" w:hAnsi="Times New Roman" w:cs="Times New Roman"/>
          <w:sz w:val="28"/>
          <w:szCs w:val="28"/>
        </w:rPr>
        <w:t>ми отримали</w:t>
      </w:r>
      <w:r w:rsidRPr="000B631E">
        <w:rPr>
          <w:rFonts w:ascii="Times New Roman" w:hAnsi="Times New Roman" w:cs="Times New Roman"/>
          <w:sz w:val="28"/>
          <w:szCs w:val="28"/>
        </w:rPr>
        <w:t xml:space="preserve"> відсутність статистично достовірних відмінностей між категоріями кіст І та ІІ (р=</w:t>
      </w:r>
      <w:r>
        <w:rPr>
          <w:rFonts w:ascii="Times New Roman" w:hAnsi="Times New Roman"/>
          <w:sz w:val="28"/>
          <w:szCs w:val="28"/>
        </w:rPr>
        <w:t>0,981</w:t>
      </w:r>
      <w:r w:rsidRPr="000B631E">
        <w:rPr>
          <w:rFonts w:ascii="Times New Roman" w:hAnsi="Times New Roman"/>
          <w:sz w:val="28"/>
          <w:szCs w:val="28"/>
        </w:rPr>
        <w:t>)</w:t>
      </w:r>
      <w:r w:rsidRPr="000B631E">
        <w:rPr>
          <w:rFonts w:ascii="Times New Roman" w:hAnsi="Times New Roman" w:cs="Times New Roman"/>
          <w:sz w:val="28"/>
          <w:szCs w:val="28"/>
        </w:rPr>
        <w:t>, ІІF та ІІІ (р=</w:t>
      </w:r>
      <w:r>
        <w:rPr>
          <w:rFonts w:ascii="Times New Roman" w:hAnsi="Times New Roman"/>
          <w:sz w:val="28"/>
          <w:szCs w:val="28"/>
        </w:rPr>
        <w:t>0,195</w:t>
      </w:r>
      <w:r w:rsidRPr="000B631E">
        <w:rPr>
          <w:rFonts w:ascii="Times New Roman" w:hAnsi="Times New Roman"/>
          <w:sz w:val="28"/>
          <w:szCs w:val="28"/>
        </w:rPr>
        <w:t>)</w:t>
      </w:r>
      <w:r w:rsidRPr="000B631E">
        <w:rPr>
          <w:rFonts w:ascii="Times New Roman" w:hAnsi="Times New Roman" w:cs="Times New Roman"/>
          <w:sz w:val="28"/>
          <w:szCs w:val="28"/>
        </w:rPr>
        <w:t>, ІІF та IV (р=</w:t>
      </w:r>
      <w:r>
        <w:rPr>
          <w:rFonts w:ascii="Times New Roman" w:hAnsi="Times New Roman"/>
          <w:sz w:val="28"/>
          <w:szCs w:val="28"/>
        </w:rPr>
        <w:t>0,085</w:t>
      </w:r>
      <w:r w:rsidRPr="000B631E">
        <w:rPr>
          <w:rFonts w:ascii="Times New Roman" w:hAnsi="Times New Roman"/>
          <w:sz w:val="28"/>
          <w:szCs w:val="28"/>
        </w:rPr>
        <w:t>)</w:t>
      </w:r>
      <w:r w:rsidRPr="000B631E">
        <w:rPr>
          <w:rFonts w:ascii="Times New Roman" w:hAnsi="Times New Roman" w:cs="Times New Roman"/>
          <w:sz w:val="28"/>
          <w:szCs w:val="28"/>
        </w:rPr>
        <w:t>, ІІІ та IV (р=</w:t>
      </w:r>
      <w:r>
        <w:rPr>
          <w:rFonts w:ascii="Times New Roman" w:hAnsi="Times New Roman"/>
          <w:sz w:val="28"/>
          <w:szCs w:val="28"/>
        </w:rPr>
        <w:t>0,995</w:t>
      </w:r>
      <w:r w:rsidRPr="000B631E">
        <w:rPr>
          <w:rFonts w:ascii="Times New Roman" w:hAnsi="Times New Roman"/>
          <w:sz w:val="28"/>
          <w:szCs w:val="28"/>
        </w:rPr>
        <w:t>).</w:t>
      </w:r>
    </w:p>
    <w:p w:rsidR="00ED0862" w:rsidRDefault="00ED0862" w:rsidP="00ED0862">
      <w:pPr>
        <w:spacing w:line="360" w:lineRule="auto"/>
        <w:ind w:firstLine="708"/>
        <w:jc w:val="both"/>
        <w:rPr>
          <w:rFonts w:ascii="Times New Roman" w:hAnsi="Times New Roman"/>
          <w:sz w:val="28"/>
          <w:szCs w:val="28"/>
        </w:rPr>
      </w:pPr>
      <w:r>
        <w:rPr>
          <w:rFonts w:ascii="Times New Roman" w:hAnsi="Times New Roman" w:cs="Times New Roman"/>
          <w:sz w:val="28"/>
          <w:szCs w:val="28"/>
        </w:rPr>
        <w:t xml:space="preserve">При аналізі отриманих показників вимірюваного коефіцієнта дифузії в досліджуваних групах кіст (розміщуючи ОЗ над ділянкою всієї кісти), найвище його середнє значення було отримано при кістах категорії 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І (</w:t>
      </w:r>
      <w:r>
        <w:rPr>
          <w:rFonts w:ascii="Times New Roman" w:hAnsi="Times New Roman"/>
          <w:sz w:val="28"/>
          <w:szCs w:val="28"/>
        </w:rPr>
        <w:t>3,57</w:t>
      </w:r>
      <w:r>
        <w:rPr>
          <w:rFonts w:ascii="Times New Roman" w:hAnsi="Times New Roman" w:cs="Times New Roman"/>
          <w:sz w:val="28"/>
          <w:szCs w:val="28"/>
        </w:rPr>
        <w:t>±</w:t>
      </w:r>
      <w:r>
        <w:rPr>
          <w:rFonts w:ascii="Times New Roman" w:hAnsi="Times New Roman"/>
          <w:sz w:val="28"/>
          <w:szCs w:val="28"/>
        </w:rPr>
        <w:t>0,12</w:t>
      </w:r>
      <w:r w:rsidRPr="00F33CCE">
        <w:rPr>
          <w:rFonts w:ascii="Times New Roman" w:hAnsi="Times New Roman" w:cs="Times New Roman"/>
          <w:bCs/>
          <w:sz w:val="28"/>
          <w:szCs w:val="28"/>
        </w:rPr>
        <w:t>×10</w:t>
      </w:r>
      <w:r w:rsidRPr="00F33CCE">
        <w:rPr>
          <w:rFonts w:ascii="Times New Roman" w:hAnsi="Times New Roman" w:cs="Times New Roman"/>
          <w:bCs/>
          <w:sz w:val="28"/>
          <w:szCs w:val="28"/>
          <w:vertAlign w:val="superscript"/>
        </w:rPr>
        <w:t>−3</w:t>
      </w:r>
      <w:r w:rsidRPr="00F33CCE">
        <w:rPr>
          <w:rFonts w:ascii="Times New Roman" w:hAnsi="Times New Roman" w:cs="Times New Roman"/>
          <w:bCs/>
          <w:sz w:val="28"/>
          <w:szCs w:val="28"/>
        </w:rPr>
        <w:t xml:space="preserve"> мм</w:t>
      </w:r>
      <w:r w:rsidRPr="00F33CCE">
        <w:rPr>
          <w:rFonts w:ascii="Times New Roman" w:hAnsi="Times New Roman" w:cs="Times New Roman"/>
          <w:bCs/>
          <w:sz w:val="28"/>
          <w:szCs w:val="28"/>
          <w:vertAlign w:val="superscript"/>
        </w:rPr>
        <w:t>2</w:t>
      </w:r>
      <w:r w:rsidRPr="00F33CCE">
        <w:rPr>
          <w:rFonts w:ascii="Times New Roman" w:hAnsi="Times New Roman" w:cs="Times New Roman"/>
          <w:bCs/>
          <w:sz w:val="28"/>
          <w:szCs w:val="28"/>
        </w:rPr>
        <w:t>/с</w:t>
      </w:r>
      <w:r>
        <w:rPr>
          <w:rFonts w:ascii="Times New Roman" w:hAnsi="Times New Roman" w:cs="Times New Roman"/>
          <w:bCs/>
          <w:sz w:val="28"/>
          <w:szCs w:val="28"/>
        </w:rPr>
        <w:t xml:space="preserve">), що свідчило про вільну дифузію у їх вмісті. На противагу цьому, найвище середнє значення ВКД ми спостерігали при класі кіст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bCs/>
          <w:sz w:val="28"/>
          <w:szCs w:val="28"/>
          <w:lang w:val="en-US"/>
        </w:rPr>
        <w:t>IV</w:t>
      </w:r>
      <w:r>
        <w:rPr>
          <w:rFonts w:ascii="Times New Roman" w:hAnsi="Times New Roman" w:cs="Times New Roman"/>
          <w:bCs/>
          <w:sz w:val="28"/>
          <w:szCs w:val="28"/>
        </w:rPr>
        <w:t xml:space="preserve"> (</w:t>
      </w:r>
      <w:r>
        <w:rPr>
          <w:rFonts w:ascii="Times New Roman" w:hAnsi="Times New Roman"/>
          <w:sz w:val="28"/>
          <w:szCs w:val="28"/>
        </w:rPr>
        <w:t>2,25</w:t>
      </w:r>
      <w:r>
        <w:rPr>
          <w:rFonts w:ascii="Times New Roman" w:hAnsi="Times New Roman" w:cs="Times New Roman"/>
          <w:sz w:val="28"/>
          <w:szCs w:val="28"/>
        </w:rPr>
        <w:t>±</w:t>
      </w:r>
      <w:r>
        <w:rPr>
          <w:rFonts w:ascii="Times New Roman" w:hAnsi="Times New Roman"/>
          <w:sz w:val="28"/>
          <w:szCs w:val="28"/>
        </w:rPr>
        <w:t>0,24</w:t>
      </w:r>
      <w:r w:rsidR="00D13364" w:rsidRPr="00F33CCE">
        <w:rPr>
          <w:rFonts w:ascii="Times New Roman" w:hAnsi="Times New Roman" w:cs="Times New Roman"/>
          <w:bCs/>
          <w:sz w:val="28"/>
          <w:szCs w:val="28"/>
        </w:rPr>
        <w:t>×10</w:t>
      </w:r>
      <w:r w:rsidR="00D13364" w:rsidRPr="00F33CCE">
        <w:rPr>
          <w:rFonts w:ascii="Times New Roman" w:hAnsi="Times New Roman" w:cs="Times New Roman"/>
          <w:bCs/>
          <w:sz w:val="28"/>
          <w:szCs w:val="28"/>
          <w:vertAlign w:val="superscript"/>
        </w:rPr>
        <w:t>−3</w:t>
      </w:r>
      <w:r w:rsidR="00D13364" w:rsidRPr="00F33CCE">
        <w:rPr>
          <w:rFonts w:ascii="Times New Roman" w:hAnsi="Times New Roman" w:cs="Times New Roman"/>
          <w:bCs/>
          <w:sz w:val="28"/>
          <w:szCs w:val="28"/>
        </w:rPr>
        <w:t xml:space="preserve"> мм</w:t>
      </w:r>
      <w:r w:rsidR="00D13364" w:rsidRPr="00F33CCE">
        <w:rPr>
          <w:rFonts w:ascii="Times New Roman" w:hAnsi="Times New Roman" w:cs="Times New Roman"/>
          <w:bCs/>
          <w:sz w:val="28"/>
          <w:szCs w:val="28"/>
          <w:vertAlign w:val="superscript"/>
        </w:rPr>
        <w:t>2</w:t>
      </w:r>
      <w:r w:rsidR="00D13364" w:rsidRPr="00F33CCE">
        <w:rPr>
          <w:rFonts w:ascii="Times New Roman" w:hAnsi="Times New Roman" w:cs="Times New Roman"/>
          <w:bCs/>
          <w:sz w:val="28"/>
          <w:szCs w:val="28"/>
        </w:rPr>
        <w:t>/с</w:t>
      </w:r>
      <w:r>
        <w:rPr>
          <w:rFonts w:ascii="Times New Roman" w:hAnsi="Times New Roman"/>
          <w:sz w:val="28"/>
          <w:szCs w:val="28"/>
        </w:rPr>
        <w:t xml:space="preserve">), що у порівнянні із кістами класу І свідчило про гірші показники дифузії в їх тканинах. При класах кіст ІІ, </w:t>
      </w:r>
      <w:r>
        <w:rPr>
          <w:rFonts w:ascii="Times New Roman" w:hAnsi="Times New Roman"/>
          <w:sz w:val="28"/>
          <w:szCs w:val="28"/>
          <w:lang w:val="en-US"/>
        </w:rPr>
        <w:t>IIF</w:t>
      </w:r>
      <w:r>
        <w:rPr>
          <w:rFonts w:ascii="Times New Roman" w:hAnsi="Times New Roman"/>
          <w:sz w:val="28"/>
          <w:szCs w:val="28"/>
        </w:rPr>
        <w:t xml:space="preserve"> та ІІІ показники ВКД прогресивно зменшувались, що вірогідно було пов’язане із зростанням частки тканинного компоненту (потовщені стінки, перегородки) із збільшенням класу кісти. </w:t>
      </w:r>
    </w:p>
    <w:p w:rsidR="00ED0862" w:rsidRPr="00676AC8" w:rsidRDefault="00ED0862" w:rsidP="00ED0862">
      <w:pPr>
        <w:spacing w:line="360" w:lineRule="auto"/>
        <w:ind w:firstLine="708"/>
        <w:jc w:val="both"/>
        <w:rPr>
          <w:rFonts w:ascii="Times New Roman" w:hAnsi="Times New Roman"/>
          <w:sz w:val="28"/>
          <w:szCs w:val="28"/>
        </w:rPr>
      </w:pPr>
      <w:r>
        <w:rPr>
          <w:rFonts w:ascii="Times New Roman" w:hAnsi="Times New Roman"/>
          <w:sz w:val="28"/>
          <w:szCs w:val="28"/>
        </w:rPr>
        <w:t xml:space="preserve">При порівнянні середніх значень ВКД між всім групами, ми отримали статистично достовірну різницю, у всіх комбінаціях, чого не спостерігалось при вивченні інших променевих біомаркерів. Також ми отримали суттєву різницю між середнім значенням ВКД нормальної ниркової паренхіми, та всіма класами кіст, окрім ІІІ, однак, візуальна інспекція Т1-ЗЗ та Т2-ЗЗ дозволяла безпомилково диференціювати наявність такого кістозного утворення та неуражену паренхіму нирки. </w:t>
      </w:r>
      <w:r w:rsidRPr="000B631E">
        <w:rPr>
          <w:rFonts w:ascii="Times New Roman" w:hAnsi="Times New Roman" w:cs="Times New Roman"/>
          <w:sz w:val="28"/>
          <w:szCs w:val="28"/>
        </w:rPr>
        <w:t xml:space="preserve">Статистична характеристика показників </w:t>
      </w:r>
      <w:r w:rsidRPr="000B631E">
        <w:rPr>
          <w:rFonts w:ascii="Times New Roman" w:hAnsi="Times New Roman"/>
          <w:sz w:val="28"/>
          <w:szCs w:val="28"/>
        </w:rPr>
        <w:t>інтенсивності сигналу дифузійно-зважених зображень та вимірюваного коефіцієнта дифузії</w:t>
      </w:r>
      <w:r w:rsidRPr="000B631E">
        <w:rPr>
          <w:rFonts w:ascii="Times New Roman" w:hAnsi="Times New Roman" w:cs="Times New Roman"/>
          <w:sz w:val="28"/>
          <w:szCs w:val="28"/>
        </w:rPr>
        <w:t xml:space="preserve"> </w:t>
      </w:r>
      <w:r>
        <w:rPr>
          <w:rFonts w:ascii="Times New Roman" w:hAnsi="Times New Roman" w:cs="Times New Roman"/>
          <w:sz w:val="28"/>
          <w:szCs w:val="28"/>
        </w:rPr>
        <w:t xml:space="preserve">кіст нирок при розмірі понад </w:t>
      </w:r>
      <w:r w:rsidR="00293044">
        <w:rPr>
          <w:rFonts w:ascii="Times New Roman" w:hAnsi="Times New Roman" w:cs="Times New Roman"/>
          <w:sz w:val="28"/>
          <w:szCs w:val="28"/>
        </w:rPr>
        <w:t>4 см представлена у таблиці 3.30</w:t>
      </w:r>
      <w:r>
        <w:rPr>
          <w:rFonts w:ascii="Times New Roman" w:hAnsi="Times New Roman" w:cs="Times New Roman"/>
          <w:sz w:val="28"/>
          <w:szCs w:val="28"/>
        </w:rPr>
        <w:t>.</w:t>
      </w:r>
    </w:p>
    <w:p w:rsidR="00ED3C5B" w:rsidRDefault="00ED3C5B" w:rsidP="00ED0862">
      <w:pPr>
        <w:spacing w:line="360" w:lineRule="auto"/>
        <w:jc w:val="both"/>
        <w:rPr>
          <w:rFonts w:ascii="Times New Roman" w:hAnsi="Times New Roman" w:cs="Times New Roman"/>
          <w:sz w:val="28"/>
          <w:szCs w:val="28"/>
        </w:rPr>
      </w:pPr>
    </w:p>
    <w:p w:rsidR="003D690A" w:rsidRPr="000B631E" w:rsidRDefault="003D690A" w:rsidP="00ED0862">
      <w:pPr>
        <w:spacing w:line="360" w:lineRule="auto"/>
        <w:jc w:val="both"/>
        <w:rPr>
          <w:rFonts w:ascii="Times New Roman" w:hAnsi="Times New Roman" w:cs="Times New Roman"/>
          <w:sz w:val="28"/>
          <w:szCs w:val="28"/>
        </w:rPr>
      </w:pPr>
    </w:p>
    <w:p w:rsidR="00ED0862" w:rsidRPr="000B631E" w:rsidRDefault="00293044" w:rsidP="00ED0862">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3.30</w:t>
      </w:r>
    </w:p>
    <w:p w:rsidR="00ED0862" w:rsidRPr="000B631E" w:rsidRDefault="00ED0862" w:rsidP="00ED0862">
      <w:pPr>
        <w:spacing w:line="360" w:lineRule="auto"/>
        <w:jc w:val="center"/>
        <w:rPr>
          <w:rFonts w:ascii="Times New Roman" w:hAnsi="Times New Roman" w:cs="Times New Roman"/>
          <w:sz w:val="28"/>
          <w:szCs w:val="28"/>
        </w:rPr>
      </w:pPr>
      <w:r w:rsidRPr="000B631E">
        <w:rPr>
          <w:rFonts w:ascii="Times New Roman" w:hAnsi="Times New Roman" w:cs="Times New Roman"/>
          <w:sz w:val="28"/>
          <w:szCs w:val="28"/>
        </w:rPr>
        <w:t xml:space="preserve">Статистична характеристика показників </w:t>
      </w:r>
      <w:r w:rsidRPr="000B631E">
        <w:rPr>
          <w:rFonts w:ascii="Times New Roman" w:hAnsi="Times New Roman"/>
          <w:sz w:val="28"/>
          <w:szCs w:val="28"/>
        </w:rPr>
        <w:t>інтенсивності сигналу дифузійно-зважених зображень та вимірюваного коефіцієнта дифузії</w:t>
      </w:r>
      <w:r w:rsidRPr="000B631E">
        <w:rPr>
          <w:rFonts w:ascii="Times New Roman" w:hAnsi="Times New Roman" w:cs="Times New Roman"/>
          <w:sz w:val="28"/>
          <w:szCs w:val="28"/>
        </w:rPr>
        <w:t xml:space="preserve"> </w:t>
      </w:r>
      <w:r>
        <w:rPr>
          <w:rFonts w:ascii="Times New Roman" w:hAnsi="Times New Roman" w:cs="Times New Roman"/>
          <w:sz w:val="28"/>
          <w:szCs w:val="28"/>
        </w:rPr>
        <w:t>кіст нирок при розмірі понад 4 см</w:t>
      </w:r>
    </w:p>
    <w:tbl>
      <w:tblPr>
        <w:tblStyle w:val="TableGrid"/>
        <w:tblW w:w="0" w:type="auto"/>
        <w:tblLook w:val="04A0" w:firstRow="1" w:lastRow="0" w:firstColumn="1" w:lastColumn="0" w:noHBand="0" w:noVBand="1"/>
      </w:tblPr>
      <w:tblGrid>
        <w:gridCol w:w="1802"/>
        <w:gridCol w:w="1816"/>
        <w:gridCol w:w="1816"/>
        <w:gridCol w:w="1816"/>
        <w:gridCol w:w="1817"/>
      </w:tblGrid>
      <w:tr w:rsidR="00ED0862" w:rsidRPr="000B631E" w:rsidTr="001F0C51">
        <w:trPr>
          <w:trHeight w:val="370"/>
        </w:trPr>
        <w:tc>
          <w:tcPr>
            <w:tcW w:w="1802" w:type="dxa"/>
            <w:vMerge w:val="restart"/>
          </w:tcPr>
          <w:p w:rsidR="00ED0862" w:rsidRPr="000B631E" w:rsidRDefault="00ED0862" w:rsidP="001F0C51">
            <w:pPr>
              <w:jc w:val="center"/>
              <w:rPr>
                <w:rFonts w:ascii="Times New Roman" w:hAnsi="Times New Roman"/>
                <w:b/>
                <w:sz w:val="28"/>
                <w:szCs w:val="28"/>
              </w:rPr>
            </w:pPr>
            <w:r w:rsidRPr="000B631E">
              <w:rPr>
                <w:rFonts w:ascii="Times New Roman" w:hAnsi="Times New Roman"/>
                <w:b/>
                <w:sz w:val="28"/>
                <w:szCs w:val="28"/>
              </w:rPr>
              <w:t>Група</w:t>
            </w:r>
          </w:p>
        </w:tc>
        <w:tc>
          <w:tcPr>
            <w:tcW w:w="3632" w:type="dxa"/>
            <w:gridSpan w:val="2"/>
          </w:tcPr>
          <w:p w:rsidR="00ED0862" w:rsidRPr="000B631E" w:rsidRDefault="00ED0862" w:rsidP="001F0C51">
            <w:pPr>
              <w:jc w:val="center"/>
              <w:rPr>
                <w:rFonts w:ascii="Times New Roman" w:hAnsi="Times New Roman"/>
                <w:b/>
                <w:sz w:val="28"/>
                <w:szCs w:val="28"/>
              </w:rPr>
            </w:pPr>
            <w:r w:rsidRPr="000B631E">
              <w:rPr>
                <w:rFonts w:ascii="Times New Roman" w:hAnsi="Times New Roman"/>
                <w:b/>
                <w:sz w:val="28"/>
                <w:szCs w:val="28"/>
              </w:rPr>
              <w:t>Інтенсивність сигналу дифузійно-зважених зображень</w:t>
            </w:r>
          </w:p>
        </w:tc>
        <w:tc>
          <w:tcPr>
            <w:tcW w:w="3633" w:type="dxa"/>
            <w:gridSpan w:val="2"/>
          </w:tcPr>
          <w:p w:rsidR="00ED0862" w:rsidRPr="000B631E" w:rsidRDefault="00ED0862" w:rsidP="001F0C51">
            <w:pPr>
              <w:jc w:val="center"/>
              <w:rPr>
                <w:rFonts w:ascii="Times New Roman" w:hAnsi="Times New Roman"/>
                <w:b/>
                <w:sz w:val="28"/>
                <w:szCs w:val="28"/>
              </w:rPr>
            </w:pPr>
            <w:r w:rsidRPr="000B631E">
              <w:rPr>
                <w:rFonts w:ascii="Times New Roman" w:hAnsi="Times New Roman"/>
                <w:b/>
                <w:sz w:val="28"/>
                <w:szCs w:val="28"/>
              </w:rPr>
              <w:t>Вимірюваний коефіцієнт дифузії, ,</w:t>
            </w:r>
            <w:r w:rsidRPr="000B631E">
              <w:rPr>
                <w:rFonts w:ascii="Times New Roman" w:hAnsi="Times New Roman" w:cs="Times New Roman"/>
                <w:b/>
                <w:bCs/>
                <w:sz w:val="28"/>
                <w:szCs w:val="28"/>
              </w:rPr>
              <w:t xml:space="preserve"> ×10</w:t>
            </w:r>
            <w:r w:rsidRPr="000B631E">
              <w:rPr>
                <w:rFonts w:ascii="Times New Roman" w:hAnsi="Times New Roman" w:cs="Times New Roman"/>
                <w:b/>
                <w:bCs/>
                <w:sz w:val="28"/>
                <w:szCs w:val="28"/>
                <w:vertAlign w:val="superscript"/>
              </w:rPr>
              <w:t>−3</w:t>
            </w:r>
            <w:r w:rsidRPr="000B631E">
              <w:rPr>
                <w:rFonts w:ascii="Times New Roman" w:hAnsi="Times New Roman" w:cs="Times New Roman"/>
                <w:b/>
                <w:bCs/>
                <w:sz w:val="28"/>
                <w:szCs w:val="28"/>
              </w:rPr>
              <w:t xml:space="preserve"> мм</w:t>
            </w:r>
            <w:r w:rsidRPr="000B631E">
              <w:rPr>
                <w:rFonts w:ascii="Times New Roman" w:hAnsi="Times New Roman" w:cs="Times New Roman"/>
                <w:b/>
                <w:bCs/>
                <w:sz w:val="28"/>
                <w:szCs w:val="28"/>
                <w:vertAlign w:val="superscript"/>
              </w:rPr>
              <w:t>2</w:t>
            </w:r>
            <w:r w:rsidRPr="000B631E">
              <w:rPr>
                <w:rFonts w:ascii="Times New Roman" w:hAnsi="Times New Roman" w:cs="Times New Roman"/>
                <w:b/>
                <w:bCs/>
                <w:sz w:val="28"/>
                <w:szCs w:val="28"/>
              </w:rPr>
              <w:t>/с</w:t>
            </w:r>
          </w:p>
        </w:tc>
      </w:tr>
      <w:tr w:rsidR="00ED0862" w:rsidRPr="000B631E" w:rsidTr="001F0C51">
        <w:trPr>
          <w:trHeight w:val="321"/>
        </w:trPr>
        <w:tc>
          <w:tcPr>
            <w:tcW w:w="1802" w:type="dxa"/>
            <w:vMerge/>
            <w:tcBorders>
              <w:bottom w:val="single" w:sz="4" w:space="0" w:color="auto"/>
            </w:tcBorders>
          </w:tcPr>
          <w:p w:rsidR="00ED0862" w:rsidRPr="000B631E" w:rsidRDefault="00ED0862" w:rsidP="001F0C51">
            <w:pPr>
              <w:jc w:val="center"/>
              <w:rPr>
                <w:rFonts w:ascii="Times New Roman" w:hAnsi="Times New Roman"/>
                <w:b/>
                <w:sz w:val="28"/>
                <w:szCs w:val="28"/>
              </w:rPr>
            </w:pPr>
          </w:p>
        </w:tc>
        <w:tc>
          <w:tcPr>
            <w:tcW w:w="1816" w:type="dxa"/>
            <w:tcBorders>
              <w:bottom w:val="single" w:sz="4" w:space="0" w:color="auto"/>
            </w:tcBorders>
          </w:tcPr>
          <w:p w:rsidR="00ED0862" w:rsidRPr="000B631E" w:rsidRDefault="00ED0862" w:rsidP="001F0C51">
            <w:pPr>
              <w:jc w:val="center"/>
              <w:rPr>
                <w:rFonts w:ascii="Times New Roman" w:hAnsi="Times New Roman"/>
                <w:b/>
                <w:sz w:val="28"/>
                <w:szCs w:val="28"/>
              </w:rPr>
            </w:pPr>
            <w:r w:rsidRPr="000B631E">
              <w:rPr>
                <w:rFonts w:ascii="Times New Roman" w:hAnsi="Times New Roman"/>
                <w:b/>
                <w:sz w:val="28"/>
                <w:szCs w:val="28"/>
              </w:rPr>
              <w:t>Середнє</w:t>
            </w:r>
          </w:p>
        </w:tc>
        <w:tc>
          <w:tcPr>
            <w:tcW w:w="1816" w:type="dxa"/>
            <w:tcBorders>
              <w:bottom w:val="single" w:sz="4" w:space="0" w:color="auto"/>
            </w:tcBorders>
          </w:tcPr>
          <w:p w:rsidR="00ED0862" w:rsidRPr="000B631E" w:rsidRDefault="00ED0862" w:rsidP="001F0C51">
            <w:pPr>
              <w:jc w:val="center"/>
              <w:rPr>
                <w:rFonts w:ascii="Times New Roman" w:hAnsi="Times New Roman"/>
                <w:b/>
                <w:sz w:val="28"/>
                <w:szCs w:val="28"/>
              </w:rPr>
            </w:pPr>
            <w:r w:rsidRPr="000B631E">
              <w:rPr>
                <w:rFonts w:ascii="Times New Roman" w:hAnsi="Times New Roman"/>
                <w:b/>
                <w:sz w:val="28"/>
                <w:szCs w:val="28"/>
              </w:rPr>
              <w:t>СВ</w:t>
            </w:r>
          </w:p>
        </w:tc>
        <w:tc>
          <w:tcPr>
            <w:tcW w:w="1816" w:type="dxa"/>
            <w:tcBorders>
              <w:bottom w:val="single" w:sz="4" w:space="0" w:color="auto"/>
            </w:tcBorders>
          </w:tcPr>
          <w:p w:rsidR="00ED0862" w:rsidRPr="000B631E" w:rsidRDefault="00ED0862" w:rsidP="001F0C51">
            <w:pPr>
              <w:jc w:val="center"/>
              <w:rPr>
                <w:rFonts w:ascii="Times New Roman" w:hAnsi="Times New Roman"/>
                <w:b/>
                <w:sz w:val="28"/>
                <w:szCs w:val="28"/>
              </w:rPr>
            </w:pPr>
            <w:r w:rsidRPr="000B631E">
              <w:rPr>
                <w:rFonts w:ascii="Times New Roman" w:hAnsi="Times New Roman"/>
                <w:b/>
                <w:sz w:val="28"/>
                <w:szCs w:val="28"/>
              </w:rPr>
              <w:t>Середнє</w:t>
            </w:r>
          </w:p>
        </w:tc>
        <w:tc>
          <w:tcPr>
            <w:tcW w:w="1817" w:type="dxa"/>
            <w:tcBorders>
              <w:bottom w:val="single" w:sz="4" w:space="0" w:color="auto"/>
            </w:tcBorders>
          </w:tcPr>
          <w:p w:rsidR="00ED0862" w:rsidRPr="000B631E" w:rsidRDefault="00ED0862" w:rsidP="001F0C51">
            <w:pPr>
              <w:jc w:val="center"/>
              <w:rPr>
                <w:rFonts w:ascii="Times New Roman" w:hAnsi="Times New Roman"/>
                <w:b/>
                <w:sz w:val="28"/>
                <w:szCs w:val="28"/>
              </w:rPr>
            </w:pPr>
            <w:r w:rsidRPr="000B631E">
              <w:rPr>
                <w:rFonts w:ascii="Times New Roman" w:hAnsi="Times New Roman"/>
                <w:b/>
                <w:sz w:val="28"/>
                <w:szCs w:val="28"/>
              </w:rPr>
              <w:t>СВ</w:t>
            </w:r>
          </w:p>
        </w:tc>
      </w:tr>
      <w:tr w:rsidR="00ED0862" w:rsidRPr="000B631E" w:rsidTr="001F0C51">
        <w:tc>
          <w:tcPr>
            <w:tcW w:w="1802" w:type="dxa"/>
          </w:tcPr>
          <w:p w:rsidR="00ED0862" w:rsidRPr="000B631E" w:rsidRDefault="00ED0862" w:rsidP="001F0C51">
            <w:pPr>
              <w:jc w:val="both"/>
              <w:rPr>
                <w:rFonts w:ascii="Times New Roman" w:hAnsi="Times New Roman" w:cs="Times New Roman"/>
                <w:b/>
                <w:sz w:val="28"/>
                <w:szCs w:val="28"/>
              </w:rPr>
            </w:pPr>
            <w:r w:rsidRPr="000B631E">
              <w:rPr>
                <w:rFonts w:ascii="Times New Roman" w:hAnsi="Times New Roman" w:cs="Times New Roman"/>
                <w:b/>
                <w:sz w:val="28"/>
                <w:szCs w:val="28"/>
              </w:rPr>
              <w:t>Bosniak І,</w:t>
            </w:r>
          </w:p>
          <w:p w:rsidR="00ED0862" w:rsidRPr="000B631E" w:rsidRDefault="00ED0862" w:rsidP="001F0C51">
            <w:pPr>
              <w:rPr>
                <w:rFonts w:ascii="Times New Roman" w:hAnsi="Times New Roman" w:cs="Times New Roman"/>
                <w:b/>
                <w:sz w:val="28"/>
                <w:szCs w:val="28"/>
              </w:rPr>
            </w:pPr>
            <w:r>
              <w:rPr>
                <w:rFonts w:ascii="Times New Roman" w:hAnsi="Times New Roman" w:cs="Times New Roman"/>
                <w:b/>
                <w:sz w:val="28"/>
                <w:szCs w:val="28"/>
              </w:rPr>
              <w:t>n=11</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136</w:t>
            </w:r>
            <w:r w:rsidRPr="000B631E">
              <w:rPr>
                <w:rFonts w:ascii="Times New Roman" w:hAnsi="Times New Roman"/>
                <w:sz w:val="28"/>
                <w:szCs w:val="28"/>
              </w:rPr>
              <w:t>,</w:t>
            </w:r>
            <w:r>
              <w:rPr>
                <w:rFonts w:ascii="Times New Roman" w:hAnsi="Times New Roman"/>
                <w:sz w:val="28"/>
                <w:szCs w:val="28"/>
              </w:rPr>
              <w:t>23</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38,76</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3,57</w:t>
            </w:r>
          </w:p>
        </w:tc>
        <w:tc>
          <w:tcPr>
            <w:tcW w:w="1817"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0,12</w:t>
            </w:r>
          </w:p>
        </w:tc>
      </w:tr>
      <w:tr w:rsidR="00ED0862" w:rsidRPr="000B631E" w:rsidTr="001F0C51">
        <w:tc>
          <w:tcPr>
            <w:tcW w:w="1802" w:type="dxa"/>
          </w:tcPr>
          <w:p w:rsidR="00ED0862" w:rsidRPr="000B631E" w:rsidRDefault="00ED0862" w:rsidP="001F0C51">
            <w:pPr>
              <w:jc w:val="both"/>
              <w:rPr>
                <w:rFonts w:ascii="Times New Roman" w:hAnsi="Times New Roman" w:cs="Times New Roman"/>
                <w:b/>
                <w:sz w:val="28"/>
                <w:szCs w:val="28"/>
              </w:rPr>
            </w:pPr>
            <w:r w:rsidRPr="000B631E">
              <w:rPr>
                <w:rFonts w:ascii="Times New Roman" w:hAnsi="Times New Roman" w:cs="Times New Roman"/>
                <w:b/>
                <w:sz w:val="28"/>
                <w:szCs w:val="28"/>
              </w:rPr>
              <w:t>Bosniak ІІ,</w:t>
            </w:r>
          </w:p>
          <w:p w:rsidR="00ED0862" w:rsidRPr="000B631E" w:rsidRDefault="00ED0862" w:rsidP="001F0C51">
            <w:pPr>
              <w:jc w:val="both"/>
              <w:rPr>
                <w:rFonts w:ascii="Times New Roman" w:hAnsi="Times New Roman" w:cs="Times New Roman"/>
                <w:b/>
                <w:sz w:val="28"/>
                <w:szCs w:val="28"/>
              </w:rPr>
            </w:pPr>
            <w:r w:rsidRPr="000B631E">
              <w:rPr>
                <w:rFonts w:ascii="Times New Roman" w:hAnsi="Times New Roman" w:cs="Times New Roman"/>
                <w:b/>
                <w:sz w:val="28"/>
                <w:szCs w:val="28"/>
              </w:rPr>
              <w:t>n=12</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134,67</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28,12</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3,29</w:t>
            </w:r>
          </w:p>
        </w:tc>
        <w:tc>
          <w:tcPr>
            <w:tcW w:w="1817"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0,13</w:t>
            </w:r>
          </w:p>
        </w:tc>
      </w:tr>
      <w:tr w:rsidR="00ED0862" w:rsidRPr="000B631E" w:rsidTr="001F0C51">
        <w:tc>
          <w:tcPr>
            <w:tcW w:w="1802" w:type="dxa"/>
          </w:tcPr>
          <w:p w:rsidR="00ED0862" w:rsidRPr="000B631E" w:rsidRDefault="00ED0862" w:rsidP="001F0C51">
            <w:pPr>
              <w:jc w:val="both"/>
              <w:rPr>
                <w:rFonts w:ascii="Times New Roman" w:hAnsi="Times New Roman" w:cs="Times New Roman"/>
                <w:b/>
                <w:sz w:val="28"/>
                <w:szCs w:val="28"/>
              </w:rPr>
            </w:pPr>
            <w:r w:rsidRPr="000B631E">
              <w:rPr>
                <w:rFonts w:ascii="Times New Roman" w:hAnsi="Times New Roman" w:cs="Times New Roman"/>
                <w:b/>
                <w:sz w:val="28"/>
                <w:szCs w:val="28"/>
              </w:rPr>
              <w:t>Bosniak ІІF,</w:t>
            </w:r>
          </w:p>
          <w:p w:rsidR="00ED0862" w:rsidRPr="000B631E" w:rsidRDefault="00ED0862" w:rsidP="001F0C51">
            <w:pPr>
              <w:rPr>
                <w:rFonts w:ascii="Times New Roman" w:hAnsi="Times New Roman" w:cs="Times New Roman"/>
                <w:b/>
                <w:sz w:val="28"/>
                <w:szCs w:val="28"/>
              </w:rPr>
            </w:pPr>
            <w:r>
              <w:rPr>
                <w:rFonts w:ascii="Times New Roman" w:hAnsi="Times New Roman" w:cs="Times New Roman"/>
                <w:b/>
                <w:sz w:val="28"/>
                <w:szCs w:val="28"/>
              </w:rPr>
              <w:t>n=27</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106,98</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15,45</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2,99</w:t>
            </w:r>
          </w:p>
        </w:tc>
        <w:tc>
          <w:tcPr>
            <w:tcW w:w="1817"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0,26</w:t>
            </w:r>
          </w:p>
        </w:tc>
      </w:tr>
      <w:tr w:rsidR="00ED0862" w:rsidRPr="000B631E" w:rsidTr="001F0C51">
        <w:tc>
          <w:tcPr>
            <w:tcW w:w="1802" w:type="dxa"/>
          </w:tcPr>
          <w:p w:rsidR="00ED0862" w:rsidRPr="000B631E" w:rsidRDefault="00ED0862" w:rsidP="001F0C51">
            <w:pPr>
              <w:jc w:val="both"/>
              <w:rPr>
                <w:rFonts w:ascii="Times New Roman" w:hAnsi="Times New Roman" w:cs="Times New Roman"/>
                <w:b/>
                <w:sz w:val="28"/>
                <w:szCs w:val="28"/>
              </w:rPr>
            </w:pPr>
            <w:r w:rsidRPr="000B631E">
              <w:rPr>
                <w:rFonts w:ascii="Times New Roman" w:hAnsi="Times New Roman" w:cs="Times New Roman"/>
                <w:b/>
                <w:sz w:val="28"/>
                <w:szCs w:val="28"/>
              </w:rPr>
              <w:t>Bosniak ІII,</w:t>
            </w:r>
          </w:p>
          <w:p w:rsidR="00ED0862" w:rsidRPr="000B631E" w:rsidRDefault="00ED0862" w:rsidP="001F0C51">
            <w:pPr>
              <w:rPr>
                <w:b/>
              </w:rPr>
            </w:pPr>
            <w:r>
              <w:rPr>
                <w:rFonts w:ascii="Times New Roman" w:hAnsi="Times New Roman" w:cs="Times New Roman"/>
                <w:b/>
                <w:sz w:val="28"/>
                <w:szCs w:val="28"/>
              </w:rPr>
              <w:t>n=16</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85,36</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16,11</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2,54</w:t>
            </w:r>
          </w:p>
        </w:tc>
        <w:tc>
          <w:tcPr>
            <w:tcW w:w="1817"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0,36</w:t>
            </w:r>
          </w:p>
        </w:tc>
      </w:tr>
      <w:tr w:rsidR="00ED0862" w:rsidRPr="000B631E" w:rsidTr="001F0C51">
        <w:tc>
          <w:tcPr>
            <w:tcW w:w="1802" w:type="dxa"/>
          </w:tcPr>
          <w:p w:rsidR="00ED0862" w:rsidRPr="000B631E" w:rsidRDefault="00ED0862" w:rsidP="001F0C51">
            <w:pPr>
              <w:rPr>
                <w:rFonts w:ascii="Times New Roman" w:hAnsi="Times New Roman"/>
                <w:b/>
                <w:sz w:val="28"/>
                <w:szCs w:val="28"/>
              </w:rPr>
            </w:pPr>
            <w:r>
              <w:rPr>
                <w:rFonts w:ascii="Times New Roman" w:hAnsi="Times New Roman" w:cs="Times New Roman"/>
                <w:b/>
                <w:sz w:val="28"/>
                <w:szCs w:val="28"/>
              </w:rPr>
              <w:t>Bosniak ІV, n=16</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86,24</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20,35</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2,25</w:t>
            </w:r>
          </w:p>
        </w:tc>
        <w:tc>
          <w:tcPr>
            <w:tcW w:w="1817"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0,24</w:t>
            </w:r>
          </w:p>
        </w:tc>
      </w:tr>
      <w:tr w:rsidR="00ED0862" w:rsidRPr="000B631E" w:rsidTr="001F0C51">
        <w:tc>
          <w:tcPr>
            <w:tcW w:w="1802" w:type="dxa"/>
          </w:tcPr>
          <w:p w:rsidR="00ED0862" w:rsidRPr="000B631E" w:rsidRDefault="00ED0862" w:rsidP="001F0C51">
            <w:pPr>
              <w:rPr>
                <w:rFonts w:ascii="Times New Roman" w:hAnsi="Times New Roman"/>
                <w:b/>
                <w:sz w:val="28"/>
                <w:szCs w:val="28"/>
              </w:rPr>
            </w:pPr>
            <w:r w:rsidRPr="000B631E">
              <w:rPr>
                <w:rFonts w:ascii="Times New Roman" w:hAnsi="Times New Roman"/>
                <w:b/>
                <w:sz w:val="28"/>
                <w:szCs w:val="28"/>
              </w:rPr>
              <w:t xml:space="preserve">Контроль, </w:t>
            </w:r>
            <w:r w:rsidRPr="000B631E">
              <w:rPr>
                <w:rFonts w:ascii="Times New Roman" w:hAnsi="Times New Roman" w:cs="Times New Roman"/>
                <w:b/>
                <w:sz w:val="28"/>
                <w:szCs w:val="28"/>
              </w:rPr>
              <w:t>n=30</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87,23</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28,45</w:t>
            </w:r>
          </w:p>
        </w:tc>
        <w:tc>
          <w:tcPr>
            <w:tcW w:w="1816" w:type="dxa"/>
          </w:tcPr>
          <w:p w:rsidR="00ED0862" w:rsidRPr="00FB6A55" w:rsidRDefault="00ED0862" w:rsidP="001F0C51">
            <w:pPr>
              <w:jc w:val="center"/>
              <w:rPr>
                <w:rFonts w:ascii="Times New Roman" w:hAnsi="Times New Roman"/>
                <w:sz w:val="28"/>
                <w:szCs w:val="28"/>
              </w:rPr>
            </w:pPr>
            <w:r>
              <w:rPr>
                <w:rFonts w:ascii="Times New Roman" w:hAnsi="Times New Roman"/>
                <w:sz w:val="28"/>
                <w:szCs w:val="28"/>
              </w:rPr>
              <w:t>2,58</w:t>
            </w:r>
          </w:p>
        </w:tc>
        <w:tc>
          <w:tcPr>
            <w:tcW w:w="1817" w:type="dxa"/>
          </w:tcPr>
          <w:p w:rsidR="00ED0862" w:rsidRPr="00FB6A55" w:rsidRDefault="00ED0862" w:rsidP="001F0C51">
            <w:pPr>
              <w:jc w:val="center"/>
              <w:rPr>
                <w:rFonts w:ascii="Times New Roman" w:hAnsi="Times New Roman"/>
                <w:sz w:val="28"/>
                <w:szCs w:val="28"/>
              </w:rPr>
            </w:pPr>
            <w:r>
              <w:rPr>
                <w:rFonts w:ascii="Times New Roman" w:hAnsi="Times New Roman"/>
                <w:sz w:val="28"/>
                <w:szCs w:val="28"/>
              </w:rPr>
              <w:t>0,05</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vertAlign w:val="subscript"/>
              </w:rPr>
            </w:pPr>
            <w:r w:rsidRPr="000B631E">
              <w:rPr>
                <w:rFonts w:ascii="Times New Roman" w:hAnsi="Times New Roman"/>
                <w:b/>
                <w:i/>
                <w:sz w:val="28"/>
                <w:szCs w:val="28"/>
              </w:rPr>
              <w:t>р</w:t>
            </w:r>
            <w:r w:rsidRPr="000B631E">
              <w:rPr>
                <w:rFonts w:ascii="Times New Roman" w:hAnsi="Times New Roman"/>
                <w:b/>
                <w:i/>
                <w:sz w:val="28"/>
                <w:szCs w:val="28"/>
                <w:vertAlign w:val="subscript"/>
              </w:rPr>
              <w:t>1,2</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0,981</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0,031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1,3</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0,015</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1,4</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&lt;0,001</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0B631E" w:rsidRDefault="00ED0862" w:rsidP="001F0C51">
            <w:pPr>
              <w:jc w:val="cente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1,5</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&lt;0,001</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0B631E" w:rsidRDefault="00ED0862" w:rsidP="001F0C51">
            <w:pPr>
              <w:jc w:val="cente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1,6</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&lt;0,001</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0B631E" w:rsidRDefault="00ED0862" w:rsidP="001F0C51">
            <w:pPr>
              <w:jc w:val="cente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2,3</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0,021</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sidRPr="00F67B48">
              <w:rPr>
                <w:rFonts w:ascii="Times New Roman" w:hAnsi="Times New Roman" w:cs="Times New Roman"/>
                <w:sz w:val="28"/>
                <w:szCs w:val="28"/>
              </w:rPr>
              <w:t>0,002</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2,4</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&lt;0,001</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2,5</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&lt;0,001</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2,6</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&lt;0,001</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3,4</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0,195</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3,5</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0,085</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3,6</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0,065</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4,5</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0,995</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Pr>
                <w:rFonts w:ascii="Times New Roman" w:hAnsi="Times New Roman" w:cs="Times New Roman"/>
                <w:sz w:val="28"/>
                <w:szCs w:val="28"/>
              </w:rPr>
              <w:t>0,004</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4,6</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0,992</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Pr>
                <w:rFonts w:ascii="Times New Roman" w:hAnsi="Times New Roman" w:cs="Times New Roman"/>
                <w:sz w:val="28"/>
                <w:szCs w:val="28"/>
              </w:rPr>
              <w:t>0,990</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r w:rsidR="00ED0862" w:rsidRPr="000B631E" w:rsidTr="001F0C51">
        <w:tc>
          <w:tcPr>
            <w:tcW w:w="1802" w:type="dxa"/>
          </w:tcPr>
          <w:p w:rsidR="00ED0862" w:rsidRPr="000B631E" w:rsidRDefault="00ED0862" w:rsidP="001F0C51">
            <w:pPr>
              <w:jc w:val="center"/>
              <w:rPr>
                <w:rFonts w:ascii="Times New Roman" w:hAnsi="Times New Roman"/>
                <w:b/>
                <w:i/>
                <w:sz w:val="28"/>
                <w:szCs w:val="28"/>
              </w:rPr>
            </w:pPr>
            <w:r w:rsidRPr="000B631E">
              <w:rPr>
                <w:rFonts w:ascii="Times New Roman" w:hAnsi="Times New Roman"/>
                <w:b/>
                <w:i/>
                <w:sz w:val="28"/>
                <w:szCs w:val="28"/>
              </w:rPr>
              <w:t>Р</w:t>
            </w:r>
            <w:r w:rsidRPr="000B631E">
              <w:rPr>
                <w:rFonts w:ascii="Times New Roman" w:hAnsi="Times New Roman"/>
                <w:b/>
                <w:i/>
                <w:sz w:val="28"/>
                <w:szCs w:val="28"/>
                <w:vertAlign w:val="subscript"/>
              </w:rPr>
              <w:t>5,6</w:t>
            </w:r>
          </w:p>
        </w:tc>
        <w:tc>
          <w:tcPr>
            <w:tcW w:w="1816" w:type="dxa"/>
          </w:tcPr>
          <w:p w:rsidR="00ED0862" w:rsidRPr="000B631E" w:rsidRDefault="00ED0862" w:rsidP="001F0C51">
            <w:pPr>
              <w:jc w:val="center"/>
              <w:rPr>
                <w:rFonts w:ascii="Times New Roman" w:hAnsi="Times New Roman"/>
                <w:sz w:val="28"/>
                <w:szCs w:val="28"/>
              </w:rPr>
            </w:pPr>
            <w:r>
              <w:rPr>
                <w:rFonts w:ascii="Times New Roman" w:hAnsi="Times New Roman"/>
                <w:sz w:val="28"/>
                <w:szCs w:val="28"/>
              </w:rPr>
              <w:t>0,998</w:t>
            </w:r>
          </w:p>
        </w:tc>
        <w:tc>
          <w:tcPr>
            <w:tcW w:w="1816"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c>
          <w:tcPr>
            <w:tcW w:w="1816" w:type="dxa"/>
          </w:tcPr>
          <w:p w:rsidR="00ED0862" w:rsidRPr="00F67B48" w:rsidRDefault="00ED0862" w:rsidP="001F0C51">
            <w:pPr>
              <w:jc w:val="center"/>
              <w:rPr>
                <w:rFonts w:ascii="Times New Roman" w:hAnsi="Times New Roman" w:cs="Times New Roman"/>
                <w:sz w:val="28"/>
                <w:szCs w:val="28"/>
              </w:rPr>
            </w:pPr>
            <w:r w:rsidRPr="000B631E">
              <w:rPr>
                <w:rFonts w:ascii="Times New Roman" w:hAnsi="Times New Roman"/>
                <w:sz w:val="28"/>
                <w:szCs w:val="28"/>
              </w:rPr>
              <w:t>&lt;0,001</w:t>
            </w:r>
          </w:p>
        </w:tc>
        <w:tc>
          <w:tcPr>
            <w:tcW w:w="1817" w:type="dxa"/>
          </w:tcPr>
          <w:p w:rsidR="00ED0862" w:rsidRPr="000B631E" w:rsidRDefault="00ED0862" w:rsidP="001F0C51">
            <w:pPr>
              <w:jc w:val="center"/>
              <w:rPr>
                <w:rFonts w:ascii="Times New Roman" w:hAnsi="Times New Roman"/>
                <w:sz w:val="28"/>
                <w:szCs w:val="28"/>
              </w:rPr>
            </w:pPr>
            <w:r w:rsidRPr="000B631E">
              <w:rPr>
                <w:rFonts w:ascii="Times New Roman" w:hAnsi="Times New Roman"/>
                <w:sz w:val="28"/>
                <w:szCs w:val="28"/>
              </w:rPr>
              <w:t>-</w:t>
            </w:r>
          </w:p>
        </w:tc>
      </w:tr>
    </w:tbl>
    <w:p w:rsidR="00ED0862" w:rsidRDefault="00ED0862" w:rsidP="00E11480">
      <w:pPr>
        <w:spacing w:line="360" w:lineRule="auto"/>
        <w:jc w:val="both"/>
        <w:rPr>
          <w:rFonts w:ascii="Times New Roman" w:hAnsi="Times New Roman"/>
          <w:sz w:val="28"/>
          <w:szCs w:val="28"/>
        </w:rPr>
      </w:pPr>
    </w:p>
    <w:p w:rsidR="00ED0862" w:rsidRDefault="00ED0862" w:rsidP="00ED0862">
      <w:pPr>
        <w:spacing w:line="360" w:lineRule="auto"/>
        <w:ind w:firstLine="708"/>
        <w:jc w:val="both"/>
        <w:rPr>
          <w:rFonts w:ascii="Times New Roman" w:hAnsi="Times New Roman"/>
          <w:sz w:val="28"/>
          <w:szCs w:val="28"/>
        </w:rPr>
      </w:pPr>
      <w:r>
        <w:rPr>
          <w:rFonts w:ascii="Times New Roman" w:hAnsi="Times New Roman"/>
          <w:sz w:val="28"/>
          <w:szCs w:val="28"/>
        </w:rPr>
        <w:t xml:space="preserve">Крім цього, у порівнянні із показниками ВКД при малих кістозних новоутвореннях нирок, при кістах класів ІІІ та </w:t>
      </w:r>
      <w:r>
        <w:rPr>
          <w:rFonts w:ascii="Times New Roman" w:hAnsi="Times New Roman"/>
          <w:sz w:val="28"/>
          <w:szCs w:val="28"/>
          <w:lang w:val="en-US"/>
        </w:rPr>
        <w:t>IV</w:t>
      </w:r>
      <w:r w:rsidRPr="009E6C7E">
        <w:rPr>
          <w:rFonts w:ascii="Times New Roman" w:hAnsi="Times New Roman"/>
          <w:sz w:val="28"/>
          <w:szCs w:val="28"/>
        </w:rPr>
        <w:t xml:space="preserve"> </w:t>
      </w:r>
      <w:r>
        <w:rPr>
          <w:rFonts w:ascii="Times New Roman" w:hAnsi="Times New Roman"/>
          <w:sz w:val="28"/>
          <w:szCs w:val="28"/>
        </w:rPr>
        <w:t xml:space="preserve">розміром понад 4 см, ми отримало значно ширші діапазони значень, що пов’язуємо із більш вираженою </w:t>
      </w:r>
      <w:r>
        <w:rPr>
          <w:rFonts w:ascii="Times New Roman" w:hAnsi="Times New Roman"/>
          <w:sz w:val="28"/>
          <w:szCs w:val="28"/>
        </w:rPr>
        <w:lastRenderedPageBreak/>
        <w:t>гетерогенністю характерною для великих новоутворень (потовщені стінки та перегородки, ступінь мікроваскуляризації, некротичні ділян</w:t>
      </w:r>
      <w:r w:rsidR="00D13364">
        <w:rPr>
          <w:rFonts w:ascii="Times New Roman" w:hAnsi="Times New Roman"/>
          <w:sz w:val="28"/>
          <w:szCs w:val="28"/>
        </w:rPr>
        <w:t>ки, кальцифікації), рисунок 3.45</w:t>
      </w:r>
      <w:r>
        <w:rPr>
          <w:rFonts w:ascii="Times New Roman" w:hAnsi="Times New Roman"/>
          <w:sz w:val="28"/>
          <w:szCs w:val="28"/>
        </w:rPr>
        <w:t>.</w:t>
      </w:r>
    </w:p>
    <w:p w:rsidR="00ED0862" w:rsidRDefault="00ED0862" w:rsidP="00ED0862">
      <w:pPr>
        <w:autoSpaceDE w:val="0"/>
        <w:autoSpaceDN w:val="0"/>
        <w:adjustRightInd w:val="0"/>
        <w:spacing w:after="0" w:line="240" w:lineRule="auto"/>
        <w:jc w:val="center"/>
        <w:rPr>
          <w:rFonts w:ascii="Times New Roman" w:hAnsi="Times New Roman" w:cs="Times New Roman"/>
          <w:sz w:val="24"/>
          <w:szCs w:val="24"/>
        </w:rPr>
      </w:pPr>
    </w:p>
    <w:p w:rsidR="00ED0862" w:rsidRDefault="00ED0862" w:rsidP="00ED0862">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5160BA4B" wp14:editId="06D7AC03">
            <wp:extent cx="4136416" cy="3305175"/>
            <wp:effectExtent l="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140716" cy="3308611"/>
                    </a:xfrm>
                    <a:prstGeom prst="rect">
                      <a:avLst/>
                    </a:prstGeom>
                    <a:noFill/>
                    <a:ln>
                      <a:noFill/>
                    </a:ln>
                  </pic:spPr>
                </pic:pic>
              </a:graphicData>
            </a:graphic>
          </wp:inline>
        </w:drawing>
      </w:r>
    </w:p>
    <w:p w:rsidR="00ED0862" w:rsidRPr="00F67B48" w:rsidRDefault="00D13364" w:rsidP="00ED0862">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3.45</w:t>
      </w:r>
      <w:r w:rsidR="00ED0862" w:rsidRPr="00F67B48">
        <w:rPr>
          <w:rFonts w:ascii="Times New Roman" w:hAnsi="Times New Roman" w:cs="Times New Roman"/>
          <w:sz w:val="28"/>
          <w:szCs w:val="28"/>
        </w:rPr>
        <w:t xml:space="preserve">. Коробкова діаграма ВКД кіст нирок розміром понад 4 см та нормальної ниркової паренхіми </w:t>
      </w:r>
      <w:r w:rsidR="00ED0862" w:rsidRPr="00F67B48">
        <w:rPr>
          <w:rFonts w:ascii="Times New Roman" w:hAnsi="Times New Roman"/>
          <w:sz w:val="28"/>
          <w:szCs w:val="28"/>
        </w:rPr>
        <w:t>(</w:t>
      </w:r>
      <w:r w:rsidR="00ED0862" w:rsidRPr="00F67B48">
        <w:rPr>
          <w:rFonts w:ascii="Times New Roman" w:hAnsi="Times New Roman" w:cs="Times New Roman"/>
          <w:sz w:val="28"/>
          <w:szCs w:val="28"/>
        </w:rPr>
        <w:t>×</w:t>
      </w:r>
      <w:r w:rsidR="00ED0862" w:rsidRPr="00F67B48">
        <w:rPr>
          <w:rFonts w:ascii="Times New Roman" w:hAnsi="Times New Roman"/>
          <w:sz w:val="28"/>
          <w:szCs w:val="28"/>
        </w:rPr>
        <w:t>10</w:t>
      </w:r>
      <w:r w:rsidR="00ED0862" w:rsidRPr="00F67B48">
        <w:rPr>
          <w:rFonts w:ascii="Times New Roman" w:hAnsi="Times New Roman"/>
          <w:sz w:val="28"/>
          <w:szCs w:val="28"/>
          <w:vertAlign w:val="superscript"/>
        </w:rPr>
        <w:t>-3</w:t>
      </w:r>
      <w:r w:rsidR="00ED0862" w:rsidRPr="00F67B48">
        <w:rPr>
          <w:rFonts w:ascii="Times New Roman" w:hAnsi="Times New Roman"/>
          <w:sz w:val="28"/>
          <w:szCs w:val="28"/>
        </w:rPr>
        <w:t xml:space="preserve"> мм</w:t>
      </w:r>
      <w:r w:rsidR="00ED0862" w:rsidRPr="00F67B48">
        <w:rPr>
          <w:rFonts w:ascii="Times New Roman" w:hAnsi="Times New Roman"/>
          <w:sz w:val="28"/>
          <w:szCs w:val="28"/>
          <w:vertAlign w:val="superscript"/>
        </w:rPr>
        <w:t>2</w:t>
      </w:r>
      <w:r w:rsidR="00ED0862" w:rsidRPr="00F67B48">
        <w:rPr>
          <w:rFonts w:ascii="Times New Roman" w:hAnsi="Times New Roman"/>
          <w:sz w:val="28"/>
          <w:szCs w:val="28"/>
        </w:rPr>
        <w:t>/с)</w:t>
      </w:r>
    </w:p>
    <w:p w:rsidR="00ED0862" w:rsidRDefault="00ED0862" w:rsidP="00ED0862">
      <w:pPr>
        <w:autoSpaceDE w:val="0"/>
        <w:autoSpaceDN w:val="0"/>
        <w:adjustRightInd w:val="0"/>
        <w:spacing w:after="0" w:line="240" w:lineRule="auto"/>
        <w:jc w:val="center"/>
        <w:rPr>
          <w:rFonts w:ascii="Times New Roman" w:hAnsi="Times New Roman" w:cs="Times New Roman"/>
          <w:sz w:val="24"/>
          <w:szCs w:val="24"/>
        </w:rPr>
      </w:pPr>
    </w:p>
    <w:p w:rsidR="00ED0862" w:rsidRDefault="00ED0862" w:rsidP="00E11480">
      <w:pPr>
        <w:autoSpaceDE w:val="0"/>
        <w:autoSpaceDN w:val="0"/>
        <w:adjustRightInd w:val="0"/>
        <w:spacing w:after="0" w:line="240" w:lineRule="auto"/>
        <w:rPr>
          <w:rFonts w:ascii="Times New Roman" w:hAnsi="Times New Roman" w:cs="Times New Roman"/>
          <w:sz w:val="24"/>
          <w:szCs w:val="24"/>
        </w:rPr>
      </w:pPr>
    </w:p>
    <w:p w:rsidR="00ED0862" w:rsidRPr="004173DF" w:rsidRDefault="00ED0862" w:rsidP="00ED086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результаті а</w:t>
      </w:r>
      <w:r w:rsidRPr="00994BF8">
        <w:rPr>
          <w:rFonts w:ascii="Times New Roman" w:hAnsi="Times New Roman" w:cs="Times New Roman"/>
          <w:sz w:val="28"/>
          <w:szCs w:val="28"/>
        </w:rPr>
        <w:t>наліз</w:t>
      </w:r>
      <w:r>
        <w:rPr>
          <w:rFonts w:ascii="Times New Roman" w:hAnsi="Times New Roman" w:cs="Times New Roman"/>
          <w:sz w:val="28"/>
          <w:szCs w:val="28"/>
        </w:rPr>
        <w:t>у</w:t>
      </w:r>
      <w:r w:rsidRPr="00994BF8">
        <w:rPr>
          <w:rFonts w:ascii="Times New Roman" w:hAnsi="Times New Roman" w:cs="Times New Roman"/>
          <w:sz w:val="28"/>
          <w:szCs w:val="28"/>
        </w:rPr>
        <w:t xml:space="preserve"> відмінностей у середніх значеннях </w:t>
      </w:r>
      <w:r>
        <w:rPr>
          <w:rFonts w:ascii="Times New Roman" w:hAnsi="Times New Roman" w:cs="Times New Roman"/>
          <w:sz w:val="28"/>
          <w:szCs w:val="28"/>
        </w:rPr>
        <w:t>інтенсивності сигналу</w:t>
      </w:r>
      <w:r w:rsidRPr="00994BF8">
        <w:rPr>
          <w:rFonts w:ascii="Times New Roman" w:hAnsi="Times New Roman" w:cs="Times New Roman"/>
          <w:sz w:val="28"/>
          <w:szCs w:val="28"/>
        </w:rPr>
        <w:t xml:space="preserve"> та </w:t>
      </w:r>
      <w:r>
        <w:rPr>
          <w:rFonts w:ascii="Times New Roman" w:hAnsi="Times New Roman" w:cs="Times New Roman"/>
          <w:sz w:val="28"/>
          <w:szCs w:val="28"/>
        </w:rPr>
        <w:t>вимірюваного коефіцієнта дифузії</w:t>
      </w:r>
      <w:r w:rsidRPr="00994BF8">
        <w:rPr>
          <w:rFonts w:ascii="Times New Roman" w:hAnsi="Times New Roman" w:cs="Times New Roman"/>
          <w:sz w:val="28"/>
          <w:szCs w:val="28"/>
        </w:rPr>
        <w:t xml:space="preserve"> в підгрупах із доброякісними (n=</w:t>
      </w:r>
      <w:r>
        <w:rPr>
          <w:rFonts w:ascii="Times New Roman" w:hAnsi="Times New Roman" w:cs="Times New Roman"/>
          <w:sz w:val="28"/>
          <w:szCs w:val="28"/>
        </w:rPr>
        <w:t>16</w:t>
      </w:r>
      <w:r w:rsidRPr="00994BF8">
        <w:rPr>
          <w:rFonts w:ascii="Times New Roman" w:hAnsi="Times New Roman" w:cs="Times New Roman"/>
          <w:sz w:val="28"/>
          <w:szCs w:val="28"/>
        </w:rPr>
        <w:t>) та злоякісними (n=</w:t>
      </w:r>
      <w:r>
        <w:rPr>
          <w:rFonts w:ascii="Times New Roman" w:hAnsi="Times New Roman" w:cs="Times New Roman"/>
          <w:sz w:val="28"/>
          <w:szCs w:val="28"/>
        </w:rPr>
        <w:t>11</w:t>
      </w:r>
      <w:r w:rsidRPr="00994BF8">
        <w:rPr>
          <w:rFonts w:ascii="Times New Roman" w:hAnsi="Times New Roman" w:cs="Times New Roman"/>
          <w:sz w:val="28"/>
          <w:szCs w:val="28"/>
        </w:rPr>
        <w:t xml:space="preserve">) кістами категорії IIF за Bosniak, розміром </w:t>
      </w:r>
      <w:r>
        <w:rPr>
          <w:rFonts w:ascii="Times New Roman" w:hAnsi="Times New Roman" w:cs="Times New Roman"/>
          <w:sz w:val="28"/>
          <w:szCs w:val="28"/>
        </w:rPr>
        <w:t>понад</w:t>
      </w:r>
      <w:r w:rsidRPr="00994BF8">
        <w:rPr>
          <w:rFonts w:ascii="Times New Roman" w:hAnsi="Times New Roman" w:cs="Times New Roman"/>
          <w:sz w:val="28"/>
          <w:szCs w:val="28"/>
        </w:rPr>
        <w:t xml:space="preserve"> 4 см (</w:t>
      </w:r>
      <w:r>
        <w:rPr>
          <w:rFonts w:ascii="Times New Roman" w:hAnsi="Times New Roman" w:cs="Times New Roman"/>
          <w:sz w:val="28"/>
          <w:szCs w:val="28"/>
        </w:rPr>
        <w:t>при охопленні ОЗ всього</w:t>
      </w:r>
      <w:r w:rsidRPr="00994BF8">
        <w:rPr>
          <w:rFonts w:ascii="Times New Roman" w:hAnsi="Times New Roman" w:cs="Times New Roman"/>
          <w:sz w:val="28"/>
          <w:szCs w:val="28"/>
        </w:rPr>
        <w:t xml:space="preserve"> контур</w:t>
      </w:r>
      <w:r>
        <w:rPr>
          <w:rFonts w:ascii="Times New Roman" w:hAnsi="Times New Roman" w:cs="Times New Roman"/>
          <w:sz w:val="28"/>
          <w:szCs w:val="28"/>
        </w:rPr>
        <w:t>у</w:t>
      </w:r>
      <w:r w:rsidRPr="00994BF8">
        <w:rPr>
          <w:rFonts w:ascii="Times New Roman" w:hAnsi="Times New Roman" w:cs="Times New Roman"/>
          <w:sz w:val="28"/>
          <w:szCs w:val="28"/>
        </w:rPr>
        <w:t xml:space="preserve"> кісти)</w:t>
      </w:r>
      <w:r>
        <w:rPr>
          <w:rFonts w:ascii="Times New Roman" w:hAnsi="Times New Roman" w:cs="Times New Roman"/>
          <w:sz w:val="28"/>
          <w:szCs w:val="28"/>
        </w:rPr>
        <w:t xml:space="preserve"> було виявлено</w:t>
      </w:r>
      <w:r w:rsidRPr="00994BF8">
        <w:rPr>
          <w:rFonts w:ascii="Times New Roman" w:hAnsi="Times New Roman" w:cs="Times New Roman"/>
          <w:sz w:val="28"/>
          <w:szCs w:val="28"/>
        </w:rPr>
        <w:t>, що середнє значення IC</w:t>
      </w:r>
      <w:r w:rsidRPr="00994BF8">
        <w:rPr>
          <w:rFonts w:ascii="Times New Roman" w:hAnsi="Times New Roman" w:cs="Times New Roman"/>
          <w:sz w:val="28"/>
          <w:szCs w:val="28"/>
          <w:vertAlign w:val="subscript"/>
        </w:rPr>
        <w:t xml:space="preserve">ДЗЗ </w:t>
      </w:r>
      <w:r w:rsidRPr="00994BF8">
        <w:rPr>
          <w:rFonts w:ascii="Times New Roman" w:hAnsi="Times New Roman" w:cs="Times New Roman"/>
          <w:sz w:val="28"/>
          <w:szCs w:val="28"/>
        </w:rPr>
        <w:t>доброякісних не мало суттєвих відмінностей із злоякісними (р=</w:t>
      </w:r>
      <w:r>
        <w:rPr>
          <w:rFonts w:ascii="Times New Roman" w:hAnsi="Times New Roman" w:cs="Times New Roman"/>
          <w:sz w:val="28"/>
          <w:szCs w:val="28"/>
        </w:rPr>
        <w:t>0,972</w:t>
      </w:r>
      <w:r w:rsidRPr="00994BF8">
        <w:rPr>
          <w:rFonts w:ascii="Times New Roman" w:hAnsi="Times New Roman" w:cs="Times New Roman"/>
          <w:sz w:val="28"/>
          <w:szCs w:val="28"/>
        </w:rPr>
        <w:t xml:space="preserve">). </w:t>
      </w:r>
      <w:r>
        <w:rPr>
          <w:rFonts w:ascii="Times New Roman" w:hAnsi="Times New Roman" w:cs="Times New Roman"/>
          <w:sz w:val="28"/>
          <w:szCs w:val="28"/>
        </w:rPr>
        <w:t>В той же час</w:t>
      </w:r>
      <w:r w:rsidRPr="00994BF8">
        <w:rPr>
          <w:rFonts w:ascii="Times New Roman" w:hAnsi="Times New Roman" w:cs="Times New Roman"/>
          <w:sz w:val="28"/>
          <w:szCs w:val="28"/>
        </w:rPr>
        <w:t xml:space="preserve">, середній показник ВКД, при доброякісних кістах даного класу був статистично достовірно вищим </w:t>
      </w:r>
      <w:r>
        <w:rPr>
          <w:rFonts w:ascii="Times New Roman" w:hAnsi="Times New Roman" w:cs="Times New Roman"/>
          <w:sz w:val="28"/>
          <w:szCs w:val="28"/>
        </w:rPr>
        <w:t>у порівнянні із злоякісними</w:t>
      </w:r>
      <w:r w:rsidRPr="00994BF8">
        <w:rPr>
          <w:rFonts w:ascii="Times New Roman" w:hAnsi="Times New Roman" w:cs="Times New Roman"/>
          <w:sz w:val="28"/>
          <w:szCs w:val="28"/>
        </w:rPr>
        <w:t xml:space="preserve"> (р&lt;</w:t>
      </w:r>
      <w:r>
        <w:rPr>
          <w:rFonts w:ascii="Times New Roman" w:hAnsi="Times New Roman" w:cs="Times New Roman"/>
          <w:sz w:val="28"/>
          <w:szCs w:val="28"/>
        </w:rPr>
        <w:t>0,018</w:t>
      </w:r>
      <w:r w:rsidRPr="00994BF8">
        <w:rPr>
          <w:rFonts w:ascii="Times New Roman" w:hAnsi="Times New Roman" w:cs="Times New Roman"/>
          <w:sz w:val="28"/>
          <w:szCs w:val="28"/>
        </w:rPr>
        <w:t>), та</w:t>
      </w:r>
      <w:r w:rsidR="00293044">
        <w:rPr>
          <w:rFonts w:ascii="Times New Roman" w:hAnsi="Times New Roman" w:cs="Times New Roman"/>
          <w:sz w:val="28"/>
          <w:szCs w:val="28"/>
        </w:rPr>
        <w:t>блиця 3.31</w:t>
      </w:r>
      <w:r w:rsidRPr="00994BF8">
        <w:rPr>
          <w:rFonts w:ascii="Times New Roman" w:hAnsi="Times New Roman" w:cs="Times New Roman"/>
          <w:sz w:val="28"/>
          <w:szCs w:val="28"/>
        </w:rPr>
        <w:t>.</w:t>
      </w:r>
    </w:p>
    <w:p w:rsidR="00ED0862" w:rsidRDefault="00ED0862" w:rsidP="00ED0862">
      <w:pPr>
        <w:autoSpaceDE w:val="0"/>
        <w:autoSpaceDN w:val="0"/>
        <w:adjustRightInd w:val="0"/>
        <w:spacing w:after="0" w:line="240" w:lineRule="auto"/>
        <w:rPr>
          <w:rFonts w:ascii="Times New Roman" w:hAnsi="Times New Roman" w:cs="Times New Roman"/>
          <w:sz w:val="24"/>
          <w:szCs w:val="24"/>
        </w:rPr>
      </w:pPr>
    </w:p>
    <w:p w:rsidR="00E11480" w:rsidRDefault="00E11480" w:rsidP="00ED0862">
      <w:pPr>
        <w:autoSpaceDE w:val="0"/>
        <w:autoSpaceDN w:val="0"/>
        <w:adjustRightInd w:val="0"/>
        <w:spacing w:after="0" w:line="240" w:lineRule="auto"/>
        <w:rPr>
          <w:rFonts w:ascii="Times New Roman" w:hAnsi="Times New Roman" w:cs="Times New Roman"/>
          <w:sz w:val="24"/>
          <w:szCs w:val="24"/>
        </w:rPr>
      </w:pPr>
    </w:p>
    <w:p w:rsidR="00E11480" w:rsidRDefault="00E11480" w:rsidP="00ED0862">
      <w:pPr>
        <w:autoSpaceDE w:val="0"/>
        <w:autoSpaceDN w:val="0"/>
        <w:adjustRightInd w:val="0"/>
        <w:spacing w:after="0" w:line="240" w:lineRule="auto"/>
        <w:rPr>
          <w:rFonts w:ascii="Times New Roman" w:hAnsi="Times New Roman" w:cs="Times New Roman"/>
          <w:sz w:val="24"/>
          <w:szCs w:val="24"/>
        </w:rPr>
      </w:pPr>
    </w:p>
    <w:p w:rsidR="00E11480" w:rsidRDefault="00E11480" w:rsidP="00ED0862">
      <w:pPr>
        <w:autoSpaceDE w:val="0"/>
        <w:autoSpaceDN w:val="0"/>
        <w:adjustRightInd w:val="0"/>
        <w:spacing w:after="0" w:line="240" w:lineRule="auto"/>
        <w:rPr>
          <w:rFonts w:ascii="Times New Roman" w:hAnsi="Times New Roman" w:cs="Times New Roman"/>
          <w:sz w:val="24"/>
          <w:szCs w:val="24"/>
        </w:rPr>
      </w:pPr>
    </w:p>
    <w:p w:rsidR="003D690A" w:rsidRDefault="003D690A" w:rsidP="00ED0862">
      <w:pPr>
        <w:autoSpaceDE w:val="0"/>
        <w:autoSpaceDN w:val="0"/>
        <w:adjustRightInd w:val="0"/>
        <w:spacing w:after="0" w:line="240" w:lineRule="auto"/>
        <w:rPr>
          <w:rFonts w:ascii="Times New Roman" w:hAnsi="Times New Roman" w:cs="Times New Roman"/>
          <w:sz w:val="24"/>
          <w:szCs w:val="24"/>
        </w:rPr>
      </w:pPr>
    </w:p>
    <w:p w:rsidR="00ED3C5B" w:rsidRDefault="00ED3C5B" w:rsidP="00ED0862">
      <w:pPr>
        <w:autoSpaceDE w:val="0"/>
        <w:autoSpaceDN w:val="0"/>
        <w:adjustRightInd w:val="0"/>
        <w:spacing w:after="0" w:line="240" w:lineRule="auto"/>
        <w:rPr>
          <w:rFonts w:ascii="Times New Roman" w:hAnsi="Times New Roman" w:cs="Times New Roman"/>
          <w:sz w:val="24"/>
          <w:szCs w:val="24"/>
        </w:rPr>
      </w:pPr>
    </w:p>
    <w:p w:rsidR="00ED0862" w:rsidRPr="003F2499" w:rsidRDefault="00293044" w:rsidP="00ED0862">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3.31</w:t>
      </w:r>
    </w:p>
    <w:p w:rsidR="00ED0862" w:rsidRPr="003F2499" w:rsidRDefault="00ED0862" w:rsidP="00ED0862">
      <w:pPr>
        <w:spacing w:line="360" w:lineRule="auto"/>
        <w:jc w:val="center"/>
        <w:rPr>
          <w:rFonts w:ascii="Times New Roman" w:hAnsi="Times New Roman" w:cs="Times New Roman"/>
          <w:sz w:val="28"/>
          <w:szCs w:val="28"/>
        </w:rPr>
      </w:pPr>
      <w:r w:rsidRPr="003F2499">
        <w:rPr>
          <w:rFonts w:ascii="Times New Roman" w:hAnsi="Times New Roman"/>
          <w:sz w:val="28"/>
          <w:szCs w:val="28"/>
        </w:rPr>
        <w:t xml:space="preserve">Середні значення </w:t>
      </w:r>
      <w:r w:rsidRPr="003F2499">
        <w:rPr>
          <w:rFonts w:ascii="Times New Roman" w:hAnsi="Times New Roman" w:cs="Times New Roman"/>
          <w:sz w:val="28"/>
          <w:szCs w:val="28"/>
        </w:rPr>
        <w:t xml:space="preserve">інтенсивності сигналу дифузійно-зважених зображень та вимірюваного коефіцієнта дифузії в підгрупах із доброякісними  та злоякісними кістами категорії IIF за Bosniak розміром </w:t>
      </w:r>
      <w:r>
        <w:rPr>
          <w:rFonts w:ascii="Times New Roman" w:hAnsi="Times New Roman" w:cs="Times New Roman"/>
          <w:sz w:val="28"/>
          <w:szCs w:val="28"/>
        </w:rPr>
        <w:t>понад</w:t>
      </w:r>
      <w:r w:rsidRPr="003F2499">
        <w:rPr>
          <w:rFonts w:ascii="Times New Roman" w:hAnsi="Times New Roman" w:cs="Times New Roman"/>
          <w:sz w:val="28"/>
          <w:szCs w:val="28"/>
        </w:rPr>
        <w:t xml:space="preserve"> 4 см</w:t>
      </w:r>
    </w:p>
    <w:tbl>
      <w:tblPr>
        <w:tblStyle w:val="TableGrid"/>
        <w:tblW w:w="0" w:type="auto"/>
        <w:tblInd w:w="-289" w:type="dxa"/>
        <w:tblLook w:val="04A0" w:firstRow="1" w:lastRow="0" w:firstColumn="1" w:lastColumn="0" w:noHBand="0" w:noVBand="1"/>
      </w:tblPr>
      <w:tblGrid>
        <w:gridCol w:w="4244"/>
        <w:gridCol w:w="1770"/>
        <w:gridCol w:w="1770"/>
        <w:gridCol w:w="1003"/>
        <w:gridCol w:w="846"/>
      </w:tblGrid>
      <w:tr w:rsidR="00ED0862" w:rsidRPr="003F2499" w:rsidTr="001F0C51">
        <w:tc>
          <w:tcPr>
            <w:tcW w:w="4244" w:type="dxa"/>
            <w:tcBorders>
              <w:tl2br w:val="single" w:sz="4" w:space="0" w:color="auto"/>
            </w:tcBorders>
          </w:tcPr>
          <w:p w:rsidR="00ED0862" w:rsidRPr="003F2499" w:rsidRDefault="00ED0862" w:rsidP="001F0C51">
            <w:pPr>
              <w:jc w:val="right"/>
              <w:rPr>
                <w:rFonts w:ascii="Times New Roman" w:hAnsi="Times New Roman" w:cs="Times New Roman"/>
                <w:b/>
                <w:sz w:val="28"/>
                <w:szCs w:val="28"/>
              </w:rPr>
            </w:pPr>
            <w:r w:rsidRPr="003F2499">
              <w:rPr>
                <w:rFonts w:ascii="Times New Roman" w:hAnsi="Times New Roman" w:cs="Times New Roman"/>
                <w:b/>
                <w:sz w:val="28"/>
                <w:szCs w:val="28"/>
              </w:rPr>
              <w:t>Підгрупа</w:t>
            </w:r>
          </w:p>
          <w:p w:rsidR="00ED0862" w:rsidRPr="003F2499" w:rsidRDefault="00ED0862" w:rsidP="001F0C51">
            <w:pPr>
              <w:jc w:val="both"/>
              <w:rPr>
                <w:rFonts w:ascii="Times New Roman" w:hAnsi="Times New Roman" w:cs="Times New Roman"/>
                <w:b/>
                <w:sz w:val="28"/>
                <w:szCs w:val="28"/>
              </w:rPr>
            </w:pPr>
          </w:p>
          <w:p w:rsidR="00ED0862" w:rsidRPr="003F2499" w:rsidRDefault="00ED0862" w:rsidP="001F0C51">
            <w:pPr>
              <w:jc w:val="both"/>
              <w:rPr>
                <w:rFonts w:ascii="Times New Roman" w:hAnsi="Times New Roman" w:cs="Times New Roman"/>
                <w:b/>
                <w:sz w:val="28"/>
                <w:szCs w:val="28"/>
              </w:rPr>
            </w:pPr>
            <w:r w:rsidRPr="003F2499">
              <w:rPr>
                <w:rFonts w:ascii="Times New Roman" w:hAnsi="Times New Roman" w:cs="Times New Roman"/>
                <w:b/>
                <w:sz w:val="28"/>
                <w:szCs w:val="28"/>
              </w:rPr>
              <w:t>Показник</w:t>
            </w:r>
          </w:p>
        </w:tc>
        <w:tc>
          <w:tcPr>
            <w:tcW w:w="1770" w:type="dxa"/>
          </w:tcPr>
          <w:p w:rsidR="00ED0862" w:rsidRPr="003F2499" w:rsidRDefault="00ED0862" w:rsidP="001F0C51">
            <w:pPr>
              <w:jc w:val="center"/>
              <w:rPr>
                <w:rFonts w:ascii="Times New Roman" w:hAnsi="Times New Roman" w:cs="Times New Roman"/>
                <w:b/>
                <w:sz w:val="28"/>
                <w:szCs w:val="28"/>
              </w:rPr>
            </w:pPr>
            <w:r w:rsidRPr="003F2499">
              <w:rPr>
                <w:rFonts w:ascii="Times New Roman" w:hAnsi="Times New Roman" w:cs="Times New Roman"/>
                <w:b/>
                <w:sz w:val="28"/>
                <w:szCs w:val="28"/>
              </w:rPr>
              <w:t xml:space="preserve">Bosniak IIF доброякісні, </w:t>
            </w:r>
          </w:p>
          <w:p w:rsidR="00ED0862" w:rsidRPr="003F2499" w:rsidRDefault="00ED0862" w:rsidP="001F0C51">
            <w:pPr>
              <w:jc w:val="center"/>
              <w:rPr>
                <w:rFonts w:ascii="Times New Roman" w:hAnsi="Times New Roman" w:cs="Times New Roman"/>
                <w:b/>
                <w:sz w:val="28"/>
                <w:szCs w:val="28"/>
              </w:rPr>
            </w:pPr>
            <w:r w:rsidRPr="003F2499">
              <w:rPr>
                <w:rFonts w:ascii="Times New Roman" w:hAnsi="Times New Roman" w:cs="Times New Roman"/>
                <w:b/>
                <w:sz w:val="28"/>
                <w:szCs w:val="28"/>
              </w:rPr>
              <w:t>n=</w:t>
            </w:r>
            <w:r>
              <w:rPr>
                <w:rFonts w:ascii="Times New Roman" w:hAnsi="Times New Roman" w:cs="Times New Roman"/>
                <w:b/>
                <w:sz w:val="28"/>
                <w:szCs w:val="28"/>
              </w:rPr>
              <w:t>16</w:t>
            </w:r>
          </w:p>
        </w:tc>
        <w:tc>
          <w:tcPr>
            <w:tcW w:w="1770" w:type="dxa"/>
          </w:tcPr>
          <w:p w:rsidR="00ED0862" w:rsidRPr="003F2499" w:rsidRDefault="00ED0862" w:rsidP="001F0C51">
            <w:pPr>
              <w:jc w:val="center"/>
              <w:rPr>
                <w:rFonts w:ascii="Times New Roman" w:hAnsi="Times New Roman" w:cs="Times New Roman"/>
                <w:b/>
                <w:sz w:val="28"/>
                <w:szCs w:val="28"/>
              </w:rPr>
            </w:pPr>
            <w:r w:rsidRPr="003F2499">
              <w:rPr>
                <w:rFonts w:ascii="Times New Roman" w:hAnsi="Times New Roman" w:cs="Times New Roman"/>
                <w:b/>
                <w:sz w:val="28"/>
                <w:szCs w:val="28"/>
              </w:rPr>
              <w:t>Bosniak IIF злоякісні (НКР), n=</w:t>
            </w:r>
            <w:r>
              <w:rPr>
                <w:rFonts w:ascii="Times New Roman" w:hAnsi="Times New Roman" w:cs="Times New Roman"/>
                <w:b/>
                <w:sz w:val="28"/>
                <w:szCs w:val="28"/>
              </w:rPr>
              <w:t>11</w:t>
            </w:r>
          </w:p>
        </w:tc>
        <w:tc>
          <w:tcPr>
            <w:tcW w:w="1003" w:type="dxa"/>
          </w:tcPr>
          <w:p w:rsidR="00ED0862" w:rsidRPr="003F2499" w:rsidRDefault="00ED0862" w:rsidP="001F0C51">
            <w:pPr>
              <w:jc w:val="center"/>
              <w:rPr>
                <w:rFonts w:ascii="Times New Roman" w:hAnsi="Times New Roman" w:cs="Times New Roman"/>
                <w:sz w:val="28"/>
                <w:szCs w:val="28"/>
              </w:rPr>
            </w:pPr>
            <w:r w:rsidRPr="003F2499">
              <w:rPr>
                <w:rFonts w:ascii="Times New Roman" w:hAnsi="Times New Roman"/>
                <w:b/>
                <w:i/>
                <w:sz w:val="28"/>
                <w:szCs w:val="28"/>
              </w:rPr>
              <w:t>р</w:t>
            </w:r>
            <w:r w:rsidRPr="003F2499">
              <w:rPr>
                <w:rFonts w:ascii="Times New Roman" w:hAnsi="Times New Roman"/>
                <w:b/>
                <w:i/>
                <w:sz w:val="28"/>
                <w:szCs w:val="28"/>
                <w:vertAlign w:val="subscript"/>
              </w:rPr>
              <w:t>1,2</w:t>
            </w:r>
          </w:p>
        </w:tc>
        <w:tc>
          <w:tcPr>
            <w:tcW w:w="846" w:type="dxa"/>
          </w:tcPr>
          <w:p w:rsidR="00ED0862" w:rsidRPr="003F2499" w:rsidRDefault="00ED0862" w:rsidP="001F0C51">
            <w:pPr>
              <w:jc w:val="center"/>
              <w:rPr>
                <w:rFonts w:ascii="Times New Roman" w:hAnsi="Times New Roman"/>
                <w:b/>
                <w:i/>
                <w:sz w:val="28"/>
                <w:szCs w:val="28"/>
                <w:vertAlign w:val="subscript"/>
              </w:rPr>
            </w:pPr>
            <w:r w:rsidRPr="003F2499">
              <w:rPr>
                <w:rFonts w:ascii="Times New Roman" w:hAnsi="Times New Roman"/>
                <w:b/>
                <w:i/>
                <w:sz w:val="28"/>
                <w:szCs w:val="28"/>
              </w:rPr>
              <w:t>t</w:t>
            </w:r>
            <w:r w:rsidRPr="003F2499">
              <w:rPr>
                <w:rFonts w:ascii="Times New Roman" w:hAnsi="Times New Roman"/>
                <w:b/>
                <w:i/>
                <w:sz w:val="28"/>
                <w:szCs w:val="28"/>
                <w:vertAlign w:val="subscript"/>
              </w:rPr>
              <w:t>1,2</w:t>
            </w:r>
          </w:p>
        </w:tc>
      </w:tr>
      <w:tr w:rsidR="00ED0862" w:rsidRPr="003F2499" w:rsidTr="001F0C51">
        <w:tc>
          <w:tcPr>
            <w:tcW w:w="4244" w:type="dxa"/>
          </w:tcPr>
          <w:p w:rsidR="00ED0862" w:rsidRPr="003F2499" w:rsidRDefault="00ED0862" w:rsidP="001F0C51">
            <w:pPr>
              <w:rPr>
                <w:rFonts w:ascii="Times New Roman" w:hAnsi="Times New Roman" w:cs="Times New Roman"/>
                <w:b/>
                <w:sz w:val="28"/>
                <w:szCs w:val="28"/>
              </w:rPr>
            </w:pPr>
            <w:r w:rsidRPr="003F2499">
              <w:rPr>
                <w:rFonts w:ascii="Times New Roman" w:hAnsi="Times New Roman" w:cs="Times New Roman"/>
                <w:b/>
                <w:sz w:val="28"/>
                <w:szCs w:val="28"/>
              </w:rPr>
              <w:t>Інтенсивність сигналу дифузійно-зважених зображень</w:t>
            </w:r>
          </w:p>
        </w:tc>
        <w:tc>
          <w:tcPr>
            <w:tcW w:w="1770" w:type="dxa"/>
          </w:tcPr>
          <w:p w:rsidR="00ED0862" w:rsidRPr="003F2499" w:rsidRDefault="00ED0862" w:rsidP="001F0C51">
            <w:pPr>
              <w:jc w:val="center"/>
              <w:rPr>
                <w:rFonts w:ascii="Times New Roman" w:hAnsi="Times New Roman" w:cs="Times New Roman"/>
                <w:sz w:val="28"/>
                <w:szCs w:val="28"/>
              </w:rPr>
            </w:pPr>
            <w:r>
              <w:rPr>
                <w:rFonts w:ascii="Times New Roman" w:hAnsi="Times New Roman" w:cs="Times New Roman"/>
                <w:sz w:val="28"/>
                <w:szCs w:val="28"/>
              </w:rPr>
              <w:t>106,83±13,96</w:t>
            </w:r>
          </w:p>
        </w:tc>
        <w:tc>
          <w:tcPr>
            <w:tcW w:w="1770" w:type="dxa"/>
          </w:tcPr>
          <w:p w:rsidR="00ED0862" w:rsidRPr="003F2499" w:rsidRDefault="00ED0862" w:rsidP="001F0C51">
            <w:pPr>
              <w:jc w:val="center"/>
              <w:rPr>
                <w:rFonts w:ascii="Times New Roman" w:hAnsi="Times New Roman" w:cs="Times New Roman"/>
                <w:sz w:val="28"/>
                <w:szCs w:val="28"/>
              </w:rPr>
            </w:pPr>
            <w:r>
              <w:rPr>
                <w:rFonts w:ascii="Times New Roman" w:hAnsi="Times New Roman" w:cs="Times New Roman"/>
                <w:sz w:val="28"/>
                <w:szCs w:val="28"/>
              </w:rPr>
              <w:t>107,02±12,62</w:t>
            </w:r>
          </w:p>
        </w:tc>
        <w:tc>
          <w:tcPr>
            <w:tcW w:w="1003" w:type="dxa"/>
          </w:tcPr>
          <w:p w:rsidR="00ED0862" w:rsidRPr="003F2499" w:rsidRDefault="00ED0862" w:rsidP="001F0C51">
            <w:pPr>
              <w:jc w:val="center"/>
              <w:rPr>
                <w:rFonts w:ascii="Times New Roman" w:hAnsi="Times New Roman" w:cs="Times New Roman"/>
                <w:sz w:val="28"/>
                <w:szCs w:val="28"/>
              </w:rPr>
            </w:pPr>
            <w:r>
              <w:rPr>
                <w:rFonts w:ascii="Times New Roman" w:hAnsi="Times New Roman" w:cs="Times New Roman"/>
                <w:sz w:val="28"/>
                <w:szCs w:val="28"/>
              </w:rPr>
              <w:t>0,972</w:t>
            </w:r>
          </w:p>
        </w:tc>
        <w:tc>
          <w:tcPr>
            <w:tcW w:w="846" w:type="dxa"/>
          </w:tcPr>
          <w:p w:rsidR="00ED0862" w:rsidRPr="003F2499" w:rsidRDefault="00ED0862" w:rsidP="001F0C51">
            <w:pPr>
              <w:jc w:val="center"/>
              <w:rPr>
                <w:rFonts w:ascii="Times New Roman" w:hAnsi="Times New Roman" w:cs="Times New Roman"/>
                <w:sz w:val="28"/>
                <w:szCs w:val="28"/>
              </w:rPr>
            </w:pPr>
            <w:r>
              <w:rPr>
                <w:rFonts w:ascii="Times New Roman" w:hAnsi="Times New Roman" w:cs="Times New Roman"/>
                <w:sz w:val="28"/>
                <w:szCs w:val="28"/>
              </w:rPr>
              <w:t>0,035</w:t>
            </w:r>
          </w:p>
        </w:tc>
      </w:tr>
      <w:tr w:rsidR="00ED0862" w:rsidRPr="003F2499" w:rsidTr="001F0C51">
        <w:tc>
          <w:tcPr>
            <w:tcW w:w="4244" w:type="dxa"/>
          </w:tcPr>
          <w:p w:rsidR="00ED0862" w:rsidRPr="003F2499" w:rsidRDefault="00ED0862" w:rsidP="001F0C51">
            <w:pPr>
              <w:rPr>
                <w:rFonts w:ascii="Times New Roman" w:hAnsi="Times New Roman" w:cs="Times New Roman"/>
                <w:b/>
                <w:sz w:val="28"/>
                <w:szCs w:val="28"/>
              </w:rPr>
            </w:pPr>
            <w:r w:rsidRPr="003F2499">
              <w:rPr>
                <w:rFonts w:ascii="Times New Roman" w:hAnsi="Times New Roman" w:cs="Times New Roman"/>
                <w:b/>
                <w:sz w:val="28"/>
                <w:szCs w:val="28"/>
              </w:rPr>
              <w:t xml:space="preserve">Вимірюваний коефіцієнт дифузії, </w:t>
            </w:r>
            <w:r w:rsidRPr="003F2499">
              <w:rPr>
                <w:rFonts w:ascii="Times New Roman" w:hAnsi="Times New Roman" w:cs="Times New Roman"/>
                <w:b/>
                <w:bCs/>
                <w:sz w:val="28"/>
                <w:szCs w:val="28"/>
              </w:rPr>
              <w:t>×10</w:t>
            </w:r>
            <w:r w:rsidRPr="003F2499">
              <w:rPr>
                <w:rFonts w:ascii="Times New Roman" w:hAnsi="Times New Roman" w:cs="Times New Roman"/>
                <w:b/>
                <w:bCs/>
                <w:sz w:val="28"/>
                <w:szCs w:val="28"/>
                <w:vertAlign w:val="superscript"/>
              </w:rPr>
              <w:t>−3</w:t>
            </w:r>
            <w:r w:rsidRPr="003F2499">
              <w:rPr>
                <w:rFonts w:ascii="Times New Roman" w:hAnsi="Times New Roman" w:cs="Times New Roman"/>
                <w:b/>
                <w:bCs/>
                <w:sz w:val="28"/>
                <w:szCs w:val="28"/>
              </w:rPr>
              <w:t xml:space="preserve"> мм</w:t>
            </w:r>
            <w:r w:rsidRPr="003F2499">
              <w:rPr>
                <w:rFonts w:ascii="Times New Roman" w:hAnsi="Times New Roman" w:cs="Times New Roman"/>
                <w:b/>
                <w:bCs/>
                <w:sz w:val="28"/>
                <w:szCs w:val="28"/>
                <w:vertAlign w:val="superscript"/>
              </w:rPr>
              <w:t>2</w:t>
            </w:r>
            <w:r w:rsidRPr="003F2499">
              <w:rPr>
                <w:rFonts w:ascii="Times New Roman" w:hAnsi="Times New Roman" w:cs="Times New Roman"/>
                <w:b/>
                <w:bCs/>
                <w:sz w:val="28"/>
                <w:szCs w:val="28"/>
              </w:rPr>
              <w:t>/с</w:t>
            </w:r>
          </w:p>
        </w:tc>
        <w:tc>
          <w:tcPr>
            <w:tcW w:w="1770" w:type="dxa"/>
          </w:tcPr>
          <w:p w:rsidR="00ED0862" w:rsidRPr="003F2499" w:rsidRDefault="00ED0862" w:rsidP="001F0C51">
            <w:pPr>
              <w:jc w:val="center"/>
              <w:rPr>
                <w:rFonts w:ascii="Times New Roman" w:hAnsi="Times New Roman" w:cs="Times New Roman"/>
                <w:sz w:val="28"/>
                <w:szCs w:val="28"/>
              </w:rPr>
            </w:pPr>
            <w:r>
              <w:rPr>
                <w:rFonts w:ascii="Times New Roman" w:hAnsi="Times New Roman" w:cs="Times New Roman"/>
                <w:sz w:val="28"/>
                <w:szCs w:val="28"/>
              </w:rPr>
              <w:t>3,11±0,09</w:t>
            </w:r>
          </w:p>
        </w:tc>
        <w:tc>
          <w:tcPr>
            <w:tcW w:w="1770" w:type="dxa"/>
          </w:tcPr>
          <w:p w:rsidR="00ED0862" w:rsidRPr="003F2499" w:rsidRDefault="00ED0862" w:rsidP="001F0C51">
            <w:pPr>
              <w:jc w:val="center"/>
              <w:rPr>
                <w:rFonts w:ascii="Times New Roman" w:hAnsi="Times New Roman" w:cs="Times New Roman"/>
                <w:sz w:val="28"/>
                <w:szCs w:val="28"/>
              </w:rPr>
            </w:pPr>
            <w:r>
              <w:rPr>
                <w:rFonts w:ascii="Times New Roman" w:hAnsi="Times New Roman" w:cs="Times New Roman"/>
                <w:sz w:val="28"/>
                <w:szCs w:val="28"/>
              </w:rPr>
              <w:t>2,83±0,33</w:t>
            </w:r>
          </w:p>
        </w:tc>
        <w:tc>
          <w:tcPr>
            <w:tcW w:w="1003" w:type="dxa"/>
          </w:tcPr>
          <w:p w:rsidR="00ED0862" w:rsidRPr="003F2499" w:rsidRDefault="00ED0862" w:rsidP="001F0C51">
            <w:pPr>
              <w:jc w:val="center"/>
              <w:rPr>
                <w:rFonts w:ascii="Times New Roman" w:hAnsi="Times New Roman" w:cs="Times New Roman"/>
                <w:sz w:val="28"/>
                <w:szCs w:val="28"/>
              </w:rPr>
            </w:pPr>
            <w:r>
              <w:rPr>
                <w:rFonts w:ascii="Times New Roman" w:hAnsi="Times New Roman" w:cs="Times New Roman"/>
                <w:sz w:val="28"/>
                <w:szCs w:val="28"/>
              </w:rPr>
              <w:t>0,018</w:t>
            </w:r>
          </w:p>
        </w:tc>
        <w:tc>
          <w:tcPr>
            <w:tcW w:w="846" w:type="dxa"/>
          </w:tcPr>
          <w:p w:rsidR="00ED0862" w:rsidRPr="003F2499" w:rsidRDefault="00ED0862" w:rsidP="001F0C51">
            <w:pPr>
              <w:jc w:val="center"/>
              <w:rPr>
                <w:rFonts w:ascii="Times New Roman" w:hAnsi="Times New Roman" w:cs="Times New Roman"/>
                <w:sz w:val="28"/>
                <w:szCs w:val="28"/>
              </w:rPr>
            </w:pPr>
            <w:r>
              <w:rPr>
                <w:rFonts w:ascii="Times New Roman" w:hAnsi="Times New Roman" w:cs="Times New Roman"/>
                <w:sz w:val="28"/>
                <w:szCs w:val="28"/>
              </w:rPr>
              <w:t>2,773</w:t>
            </w:r>
          </w:p>
        </w:tc>
      </w:tr>
    </w:tbl>
    <w:p w:rsidR="00ED0862" w:rsidRPr="005237AF" w:rsidRDefault="00ED0862" w:rsidP="00ED0862">
      <w:pPr>
        <w:spacing w:line="360" w:lineRule="auto"/>
        <w:ind w:firstLine="708"/>
        <w:jc w:val="both"/>
        <w:rPr>
          <w:rFonts w:ascii="Times New Roman" w:hAnsi="Times New Roman" w:cs="Times New Roman"/>
          <w:sz w:val="28"/>
          <w:szCs w:val="28"/>
        </w:rPr>
      </w:pPr>
    </w:p>
    <w:p w:rsidR="00ED0862" w:rsidRDefault="00ED0862" w:rsidP="00ED0862">
      <w:pPr>
        <w:autoSpaceDE w:val="0"/>
        <w:autoSpaceDN w:val="0"/>
        <w:adjustRightInd w:val="0"/>
        <w:spacing w:after="0" w:line="360" w:lineRule="auto"/>
        <w:jc w:val="both"/>
        <w:rPr>
          <w:rFonts w:ascii="Times New Roman" w:hAnsi="Times New Roman" w:cs="Times New Roman"/>
          <w:sz w:val="28"/>
          <w:szCs w:val="28"/>
        </w:rPr>
      </w:pPr>
      <w:r w:rsidRPr="005237AF">
        <w:rPr>
          <w:rFonts w:ascii="Times New Roman" w:hAnsi="Times New Roman" w:cs="Times New Roman"/>
          <w:sz w:val="28"/>
          <w:szCs w:val="28"/>
        </w:rPr>
        <w:tab/>
        <w:t xml:space="preserve">Застосування </w:t>
      </w:r>
      <w:r>
        <w:rPr>
          <w:rFonts w:ascii="Times New Roman" w:hAnsi="Times New Roman" w:cs="Times New Roman"/>
          <w:sz w:val="28"/>
          <w:szCs w:val="28"/>
        </w:rPr>
        <w:t>граничного значення ВКД 3,03</w:t>
      </w:r>
      <w:r w:rsidRPr="008C5984">
        <w:rPr>
          <w:rFonts w:ascii="Times New Roman" w:hAnsi="Times New Roman" w:cs="Times New Roman"/>
          <w:bCs/>
          <w:sz w:val="28"/>
          <w:szCs w:val="28"/>
        </w:rPr>
        <w:t>×10</w:t>
      </w:r>
      <w:r w:rsidRPr="008C5984">
        <w:rPr>
          <w:rFonts w:ascii="Times New Roman" w:hAnsi="Times New Roman" w:cs="Times New Roman"/>
          <w:bCs/>
          <w:sz w:val="28"/>
          <w:szCs w:val="28"/>
          <w:vertAlign w:val="superscript"/>
        </w:rPr>
        <w:t>−3</w:t>
      </w:r>
      <w:r w:rsidRPr="008C5984">
        <w:rPr>
          <w:rFonts w:ascii="Times New Roman" w:hAnsi="Times New Roman" w:cs="Times New Roman"/>
          <w:bCs/>
          <w:sz w:val="28"/>
          <w:szCs w:val="28"/>
        </w:rPr>
        <w:t xml:space="preserve"> мм</w:t>
      </w:r>
      <w:r w:rsidRPr="008C5984">
        <w:rPr>
          <w:rFonts w:ascii="Times New Roman" w:hAnsi="Times New Roman" w:cs="Times New Roman"/>
          <w:bCs/>
          <w:sz w:val="28"/>
          <w:szCs w:val="28"/>
          <w:vertAlign w:val="superscript"/>
        </w:rPr>
        <w:t>2</w:t>
      </w:r>
      <w:r w:rsidRPr="008C5984">
        <w:rPr>
          <w:rFonts w:ascii="Times New Roman" w:hAnsi="Times New Roman" w:cs="Times New Roman"/>
          <w:bCs/>
          <w:sz w:val="28"/>
          <w:szCs w:val="28"/>
        </w:rPr>
        <w:t>/с</w:t>
      </w:r>
      <w:r>
        <w:rPr>
          <w:rFonts w:ascii="Times New Roman" w:hAnsi="Times New Roman" w:cs="Times New Roman"/>
          <w:sz w:val="28"/>
          <w:szCs w:val="28"/>
        </w:rPr>
        <w:t xml:space="preserve">  </w:t>
      </w:r>
      <w:r w:rsidRPr="000C3FE6">
        <w:rPr>
          <w:rFonts w:ascii="Times New Roman" w:hAnsi="Times New Roman" w:cs="Times New Roman"/>
          <w:sz w:val="28"/>
          <w:szCs w:val="28"/>
        </w:rPr>
        <w:t xml:space="preserve">для диференціації доброякісних та злоякісних кіст категорії IIF за Bosniak розміром </w:t>
      </w:r>
      <w:r>
        <w:rPr>
          <w:rFonts w:ascii="Times New Roman" w:hAnsi="Times New Roman" w:cs="Times New Roman"/>
          <w:sz w:val="28"/>
          <w:szCs w:val="28"/>
        </w:rPr>
        <w:t>понад</w:t>
      </w:r>
      <w:r w:rsidRPr="000C3FE6">
        <w:rPr>
          <w:rFonts w:ascii="Times New Roman" w:hAnsi="Times New Roman" w:cs="Times New Roman"/>
          <w:sz w:val="28"/>
          <w:szCs w:val="28"/>
        </w:rPr>
        <w:t xml:space="preserve"> 4 см дозволило отримати </w:t>
      </w:r>
      <w:r>
        <w:rPr>
          <w:rFonts w:ascii="Times New Roman" w:hAnsi="Times New Roman" w:cs="Times New Roman"/>
          <w:sz w:val="28"/>
          <w:szCs w:val="28"/>
        </w:rPr>
        <w:t>відмінні</w:t>
      </w:r>
      <w:r w:rsidRPr="000C3FE6">
        <w:rPr>
          <w:rFonts w:ascii="Times New Roman" w:hAnsi="Times New Roman" w:cs="Times New Roman"/>
          <w:sz w:val="28"/>
          <w:szCs w:val="28"/>
        </w:rPr>
        <w:t xml:space="preserve"> показники чутливості та специфічності – відповідно </w:t>
      </w:r>
      <w:r>
        <w:rPr>
          <w:rFonts w:ascii="Times New Roman" w:hAnsi="Times New Roman" w:cs="Times New Roman"/>
          <w:sz w:val="28"/>
          <w:szCs w:val="28"/>
        </w:rPr>
        <w:t>90,9% та 93,7</w:t>
      </w:r>
      <w:r w:rsidRPr="000C3FE6">
        <w:rPr>
          <w:rFonts w:ascii="Times New Roman" w:hAnsi="Times New Roman" w:cs="Times New Roman"/>
          <w:sz w:val="28"/>
          <w:szCs w:val="28"/>
        </w:rPr>
        <w:t xml:space="preserve">% при </w:t>
      </w:r>
      <w:r>
        <w:rPr>
          <w:rFonts w:ascii="Times New Roman" w:hAnsi="Times New Roman" w:cs="Times New Roman"/>
          <w:sz w:val="28"/>
          <w:szCs w:val="28"/>
        </w:rPr>
        <w:t>високій</w:t>
      </w:r>
      <w:r w:rsidRPr="000C3FE6">
        <w:rPr>
          <w:rFonts w:ascii="Times New Roman" w:hAnsi="Times New Roman" w:cs="Times New Roman"/>
          <w:sz w:val="28"/>
          <w:szCs w:val="28"/>
        </w:rPr>
        <w:t xml:space="preserve"> точності методу (AUC=</w:t>
      </w:r>
      <w:r>
        <w:rPr>
          <w:rFonts w:ascii="Times New Roman" w:hAnsi="Times New Roman" w:cs="Times New Roman"/>
          <w:sz w:val="28"/>
          <w:szCs w:val="28"/>
        </w:rPr>
        <w:t>0,920, 95% ДІ=0,808</w:t>
      </w:r>
      <w:r w:rsidRPr="000C3FE6">
        <w:rPr>
          <w:rFonts w:ascii="Times New Roman" w:hAnsi="Times New Roman" w:cs="Times New Roman"/>
          <w:sz w:val="28"/>
          <w:szCs w:val="28"/>
        </w:rPr>
        <w:t>-1,0, р</w:t>
      </w:r>
      <w:r w:rsidRPr="009E6C7E">
        <w:rPr>
          <w:rFonts w:ascii="Times New Roman" w:hAnsi="Times New Roman" w:cs="Times New Roman"/>
          <w:sz w:val="28"/>
          <w:szCs w:val="28"/>
        </w:rPr>
        <w:t>&lt;</w:t>
      </w:r>
      <w:r w:rsidR="00293044">
        <w:rPr>
          <w:rFonts w:ascii="Times New Roman" w:hAnsi="Times New Roman" w:cs="Times New Roman"/>
          <w:sz w:val="28"/>
          <w:szCs w:val="28"/>
        </w:rPr>
        <w:t>0,00</w:t>
      </w:r>
      <w:r w:rsidR="00D13364">
        <w:rPr>
          <w:rFonts w:ascii="Times New Roman" w:hAnsi="Times New Roman" w:cs="Times New Roman"/>
          <w:sz w:val="28"/>
          <w:szCs w:val="28"/>
        </w:rPr>
        <w:t>1), рисунок 3.46</w:t>
      </w:r>
      <w:r w:rsidRPr="000C3FE6">
        <w:rPr>
          <w:rFonts w:ascii="Times New Roman" w:hAnsi="Times New Roman" w:cs="Times New Roman"/>
          <w:sz w:val="28"/>
          <w:szCs w:val="28"/>
        </w:rPr>
        <w:t>.</w:t>
      </w:r>
    </w:p>
    <w:p w:rsidR="00ED0862" w:rsidRPr="005237AF" w:rsidRDefault="00ED0862" w:rsidP="00ED0862">
      <w:pPr>
        <w:autoSpaceDE w:val="0"/>
        <w:autoSpaceDN w:val="0"/>
        <w:adjustRightInd w:val="0"/>
        <w:spacing w:after="0" w:line="360" w:lineRule="auto"/>
        <w:jc w:val="both"/>
        <w:rPr>
          <w:rFonts w:ascii="Times New Roman" w:hAnsi="Times New Roman" w:cs="Times New Roman"/>
          <w:sz w:val="28"/>
          <w:szCs w:val="28"/>
        </w:rPr>
      </w:pPr>
    </w:p>
    <w:p w:rsidR="00ED0862" w:rsidRDefault="00ED0862" w:rsidP="00ED0862">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1AEE9D9F" wp14:editId="4F21AEE2">
            <wp:extent cx="3445029" cy="2752725"/>
            <wp:effectExtent l="0" t="0" r="3175"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459829" cy="2764551"/>
                    </a:xfrm>
                    <a:prstGeom prst="rect">
                      <a:avLst/>
                    </a:prstGeom>
                    <a:noFill/>
                    <a:ln>
                      <a:noFill/>
                    </a:ln>
                  </pic:spPr>
                </pic:pic>
              </a:graphicData>
            </a:graphic>
          </wp:inline>
        </w:drawing>
      </w:r>
    </w:p>
    <w:p w:rsidR="00ED0862" w:rsidRDefault="00D13364" w:rsidP="00ED0862">
      <w:pPr>
        <w:spacing w:line="276" w:lineRule="auto"/>
        <w:ind w:firstLine="708"/>
        <w:jc w:val="center"/>
        <w:rPr>
          <w:rFonts w:ascii="Times New Roman" w:hAnsi="Times New Roman" w:cs="Times New Roman"/>
          <w:sz w:val="28"/>
          <w:szCs w:val="28"/>
        </w:rPr>
      </w:pPr>
      <w:r>
        <w:rPr>
          <w:rFonts w:ascii="Times New Roman" w:hAnsi="Times New Roman" w:cs="Times New Roman"/>
          <w:sz w:val="28"/>
          <w:szCs w:val="28"/>
        </w:rPr>
        <w:t>Рис. 3.46</w:t>
      </w:r>
      <w:r w:rsidR="00ED0862" w:rsidRPr="008968F5">
        <w:rPr>
          <w:rFonts w:ascii="Times New Roman" w:hAnsi="Times New Roman" w:cs="Times New Roman"/>
          <w:sz w:val="28"/>
          <w:szCs w:val="28"/>
        </w:rPr>
        <w:t xml:space="preserve">. ROC-криві застосування вимірюваного коефіцієнта дифузії для диференціації доброякісних та злоякісних кіст категорії IIF за Bosniak розміром </w:t>
      </w:r>
      <w:r w:rsidR="00ED0862">
        <w:rPr>
          <w:rFonts w:ascii="Times New Roman" w:hAnsi="Times New Roman" w:cs="Times New Roman"/>
          <w:sz w:val="28"/>
          <w:szCs w:val="28"/>
        </w:rPr>
        <w:t>понад</w:t>
      </w:r>
      <w:r w:rsidR="00ED0862" w:rsidRPr="008968F5">
        <w:rPr>
          <w:rFonts w:ascii="Times New Roman" w:hAnsi="Times New Roman" w:cs="Times New Roman"/>
          <w:sz w:val="28"/>
          <w:szCs w:val="28"/>
        </w:rPr>
        <w:t xml:space="preserve"> 4 см</w:t>
      </w:r>
    </w:p>
    <w:p w:rsidR="00ED0862" w:rsidRPr="00061797" w:rsidRDefault="00ED0862" w:rsidP="00ED0862">
      <w:pPr>
        <w:spacing w:line="360" w:lineRule="auto"/>
        <w:jc w:val="both"/>
        <w:rPr>
          <w:rFonts w:ascii="Times New Roman" w:hAnsi="Times New Roman" w:cs="Times New Roman"/>
          <w:sz w:val="28"/>
          <w:szCs w:val="28"/>
        </w:rPr>
      </w:pPr>
    </w:p>
    <w:p w:rsidR="00ED0862" w:rsidRDefault="00ED0862" w:rsidP="00ED0862">
      <w:pPr>
        <w:spacing w:line="360" w:lineRule="auto"/>
        <w:jc w:val="both"/>
        <w:rPr>
          <w:rFonts w:ascii="Times New Roman" w:hAnsi="Times New Roman" w:cs="Times New Roman"/>
          <w:sz w:val="28"/>
          <w:szCs w:val="28"/>
        </w:rPr>
      </w:pPr>
      <w:r w:rsidRPr="00A1200C">
        <w:rPr>
          <w:rFonts w:ascii="Times New Roman CYR" w:hAnsi="Times New Roman CYR" w:cs="Times New Roman"/>
          <w:bCs/>
          <w:noProof/>
          <w:sz w:val="28"/>
          <w:szCs w:val="28"/>
          <w:lang w:val="en-US"/>
        </w:rPr>
        <w:lastRenderedPageBreak/>
        <mc:AlternateContent>
          <mc:Choice Requires="wps">
            <w:drawing>
              <wp:anchor distT="0" distB="0" distL="114300" distR="114300" simplePos="0" relativeHeight="251748352" behindDoc="0" locked="0" layoutInCell="1" allowOverlap="1" wp14:anchorId="5A3EF0F0" wp14:editId="3BAE030D">
                <wp:simplePos x="0" y="0"/>
                <wp:positionH relativeFrom="page">
                  <wp:posOffset>3085465</wp:posOffset>
                </wp:positionH>
                <wp:positionV relativeFrom="paragraph">
                  <wp:posOffset>2797810</wp:posOffset>
                </wp:positionV>
                <wp:extent cx="2533650" cy="400050"/>
                <wp:effectExtent l="0" t="0" r="0" b="0"/>
                <wp:wrapNone/>
                <wp:docPr id="176" name="Надпись 176"/>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3EF0F0" id="Надпись 176" o:spid="_x0000_s1084" type="#_x0000_t202" style="position:absolute;left:0;text-align:left;margin-left:242.95pt;margin-top:220.3pt;width:199.5pt;height:31.5pt;z-index:251748352;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" filled="f" stroked="f">
                <v:textbo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v:textbox>
                <w10:wrap anchorx="page"/>
              </v:shape>
            </w:pict>
          </mc:Fallback>
        </mc:AlternateContent>
      </w:r>
      <w:r w:rsidRPr="00A1200C">
        <w:rPr>
          <w:rFonts w:ascii="Times New Roman CYR" w:hAnsi="Times New Roman CYR" w:cs="Times New Roman"/>
          <w:bCs/>
          <w:noProof/>
          <w:sz w:val="28"/>
          <w:szCs w:val="28"/>
          <w:lang w:val="en-US"/>
        </w:rPr>
        <mc:AlternateContent>
          <mc:Choice Requires="wps">
            <w:drawing>
              <wp:anchor distT="0" distB="0" distL="114300" distR="114300" simplePos="0" relativeHeight="251747328" behindDoc="0" locked="0" layoutInCell="1" allowOverlap="1" wp14:anchorId="1DB7D7BA" wp14:editId="30DBB16B">
                <wp:simplePos x="0" y="0"/>
                <wp:positionH relativeFrom="page">
                  <wp:posOffset>1085215</wp:posOffset>
                </wp:positionH>
                <wp:positionV relativeFrom="paragraph">
                  <wp:posOffset>2759710</wp:posOffset>
                </wp:positionV>
                <wp:extent cx="2533650" cy="400050"/>
                <wp:effectExtent l="0" t="0" r="0" b="0"/>
                <wp:wrapNone/>
                <wp:docPr id="177" name="Надпись 177"/>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B7D7BA" id="Надпись 177" o:spid="_x0000_s1085" type="#_x0000_t202" style="position:absolute;left:0;text-align:left;margin-left:85.45pt;margin-top:217.3pt;width:199.5pt;height:31.5pt;z-index:251747328;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" filled="f" stroked="f">
                <v:textbo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w10:wrap anchorx="page"/>
              </v:shape>
            </w:pict>
          </mc:Fallback>
        </mc:AlternateContent>
      </w:r>
      <w:r w:rsidRPr="00A1200C">
        <w:rPr>
          <w:rFonts w:ascii="Times New Roman CYR" w:hAnsi="Times New Roman CYR" w:cs="Times New Roman"/>
          <w:bCs/>
          <w:noProof/>
          <w:sz w:val="28"/>
          <w:szCs w:val="28"/>
          <w:lang w:val="en-US"/>
        </w:rPr>
        <mc:AlternateContent>
          <mc:Choice Requires="wps">
            <w:drawing>
              <wp:anchor distT="0" distB="0" distL="114300" distR="114300" simplePos="0" relativeHeight="251746304" behindDoc="0" locked="0" layoutInCell="1" allowOverlap="1" wp14:anchorId="77322E35" wp14:editId="5B23AD60">
                <wp:simplePos x="0" y="0"/>
                <wp:positionH relativeFrom="page">
                  <wp:posOffset>5047615</wp:posOffset>
                </wp:positionH>
                <wp:positionV relativeFrom="paragraph">
                  <wp:posOffset>1188085</wp:posOffset>
                </wp:positionV>
                <wp:extent cx="2533650" cy="400050"/>
                <wp:effectExtent l="0" t="0" r="0" b="0"/>
                <wp:wrapNone/>
                <wp:docPr id="178" name="Надпись 178"/>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322E35" id="Надпись 178" o:spid="_x0000_s1086" type="#_x0000_t202" style="position:absolute;left:0;text-align:left;margin-left:397.45pt;margin-top:93.55pt;width:199.5pt;height:31.5pt;z-index:251746304;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" filled="f" stroked="f">
                <v:textbo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page"/>
              </v:shape>
            </w:pict>
          </mc:Fallback>
        </mc:AlternateContent>
      </w:r>
      <w:r w:rsidRPr="00A1200C">
        <w:rPr>
          <w:rFonts w:ascii="Times New Roman CYR" w:hAnsi="Times New Roman CYR" w:cs="Times New Roman"/>
          <w:bCs/>
          <w:noProof/>
          <w:sz w:val="28"/>
          <w:szCs w:val="28"/>
          <w:lang w:val="en-US"/>
        </w:rPr>
        <mc:AlternateContent>
          <mc:Choice Requires="wps">
            <w:drawing>
              <wp:anchor distT="0" distB="0" distL="114300" distR="114300" simplePos="0" relativeHeight="251745280" behindDoc="0" locked="0" layoutInCell="1" allowOverlap="1" wp14:anchorId="02BF1B1D" wp14:editId="787FD5D6">
                <wp:simplePos x="0" y="0"/>
                <wp:positionH relativeFrom="page">
                  <wp:posOffset>3075940</wp:posOffset>
                </wp:positionH>
                <wp:positionV relativeFrom="paragraph">
                  <wp:posOffset>1197610</wp:posOffset>
                </wp:positionV>
                <wp:extent cx="2533650" cy="400050"/>
                <wp:effectExtent l="0" t="0" r="0" b="0"/>
                <wp:wrapNone/>
                <wp:docPr id="179" name="Надпись 179"/>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2BF1B1D" id="Надпись 179" o:spid="_x0000_s1087" type="#_x0000_t202" style="position:absolute;left:0;text-align:left;margin-left:242.2pt;margin-top:94.3pt;width:199.5pt;height:31.5pt;z-index:251745280;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" filled="f" stroked="f">
                <v:textbo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page"/>
              </v:shape>
            </w:pict>
          </mc:Fallback>
        </mc:AlternateContent>
      </w:r>
      <w:r w:rsidRPr="00A1200C">
        <w:rPr>
          <w:rFonts w:ascii="Times New Roman CYR" w:hAnsi="Times New Roman CYR" w:cs="Times New Roman"/>
          <w:bCs/>
          <w:noProof/>
          <w:sz w:val="28"/>
          <w:szCs w:val="28"/>
          <w:lang w:val="en-US"/>
        </w:rPr>
        <mc:AlternateContent>
          <mc:Choice Requires="wps">
            <w:drawing>
              <wp:anchor distT="0" distB="0" distL="114300" distR="114300" simplePos="0" relativeHeight="251744256" behindDoc="0" locked="0" layoutInCell="1" allowOverlap="1" wp14:anchorId="5B3B7CB0" wp14:editId="142B45C8">
                <wp:simplePos x="0" y="0"/>
                <wp:positionH relativeFrom="page">
                  <wp:posOffset>1080135</wp:posOffset>
                </wp:positionH>
                <wp:positionV relativeFrom="paragraph">
                  <wp:posOffset>1207135</wp:posOffset>
                </wp:positionV>
                <wp:extent cx="2533650" cy="400050"/>
                <wp:effectExtent l="0" t="0" r="0" b="0"/>
                <wp:wrapNone/>
                <wp:docPr id="180" name="Надпись 180"/>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3B7CB0" id="Надпись 180" o:spid="_x0000_s1088" type="#_x0000_t202" style="position:absolute;left:0;text-align:left;margin-left:85.05pt;margin-top:95.05pt;width:199.5pt;height:31.5pt;z-index:251744256;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" filled="f" stroked="f">
                <v:textbo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162D6">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page"/>
              </v:shape>
            </w:pict>
          </mc:Fallback>
        </mc:AlternateContent>
      </w:r>
      <w:r w:rsidRPr="00A1200C">
        <w:rPr>
          <w:rFonts w:ascii="Times New Roman CYR" w:hAnsi="Times New Roman CYR" w:cs="Times New Roman"/>
          <w:bCs/>
          <w:noProof/>
          <w:sz w:val="28"/>
          <w:szCs w:val="28"/>
          <w:lang w:val="en-US"/>
        </w:rPr>
        <mc:AlternateContent>
          <mc:Choice Requires="wps">
            <w:drawing>
              <wp:anchor distT="0" distB="0" distL="114300" distR="114300" simplePos="0" relativeHeight="251749376" behindDoc="0" locked="0" layoutInCell="1" allowOverlap="1" wp14:anchorId="5B20B4F7" wp14:editId="10CB4120">
                <wp:simplePos x="0" y="0"/>
                <wp:positionH relativeFrom="page">
                  <wp:posOffset>5085715</wp:posOffset>
                </wp:positionH>
                <wp:positionV relativeFrom="paragraph">
                  <wp:posOffset>2788285</wp:posOffset>
                </wp:positionV>
                <wp:extent cx="2533650" cy="400050"/>
                <wp:effectExtent l="0" t="0" r="0" b="0"/>
                <wp:wrapNone/>
                <wp:docPr id="181" name="Надпись 181"/>
                <wp:cNvGraphicFramePr/>
                <a:graphic xmlns:a="http://schemas.openxmlformats.org/drawingml/2006/main">
                  <a:graphicData uri="http://schemas.microsoft.com/office/word/2010/wordprocessingShape">
                    <wps:wsp>
                      <wps:cNvSpPr txBox="1"/>
                      <wps:spPr>
                        <a:xfrm>
                          <a:off x="0" y="0"/>
                          <a:ext cx="2533650" cy="400050"/>
                        </a:xfrm>
                        <a:prstGeom prst="rect">
                          <a:avLst/>
                        </a:prstGeom>
                        <a:noFill/>
                        <a:ln>
                          <a:noFill/>
                        </a:ln>
                      </wps:spPr>
                      <wps:txb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Ж</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20B4F7" id="Надпись 181" o:spid="_x0000_s1089" type="#_x0000_t202" style="position:absolute;left:0;text-align:left;margin-left:400.45pt;margin-top:219.55pt;width:199.5pt;height:31.5pt;z-index:251749376;visibility:visible;mso-wrap-style:non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" filled="f" stroked="f">
                <v:textbox>
                  <w:txbxContent>
                    <w:p w:rsidR="007B5A1D" w:rsidRPr="00D162D6" w:rsidRDefault="007B5A1D" w:rsidP="00ED0862">
                      <w:pPr>
                        <w:jc w:val="cente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FFFFFF" w:themeColor="background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Ж</w:t>
                      </w:r>
                    </w:p>
                  </w:txbxContent>
                </v:textbox>
                <w10:wrap anchorx="page"/>
              </v:shape>
            </w:pict>
          </mc:Fallback>
        </mc:AlternateContent>
      </w:r>
      <w:r>
        <w:rPr>
          <w:rFonts w:ascii="Times New Roman" w:hAnsi="Times New Roman" w:cs="Times New Roman"/>
          <w:noProof/>
          <w:sz w:val="28"/>
          <w:szCs w:val="28"/>
          <w:lang w:val="en-US"/>
        </w:rPr>
        <w:drawing>
          <wp:inline distT="0" distB="0" distL="0" distR="0" wp14:anchorId="608E107C" wp14:editId="451B572A">
            <wp:extent cx="5939790" cy="3139440"/>
            <wp:effectExtent l="0" t="0" r="3810" b="381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2.jp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939790" cy="3139440"/>
                    </a:xfrm>
                    <a:prstGeom prst="rect">
                      <a:avLst/>
                    </a:prstGeom>
                  </pic:spPr>
                </pic:pic>
              </a:graphicData>
            </a:graphic>
          </wp:inline>
        </w:drawing>
      </w:r>
    </w:p>
    <w:p w:rsidR="00ED0862" w:rsidRDefault="00D13364" w:rsidP="00ED0862">
      <w:pPr>
        <w:spacing w:line="360" w:lineRule="auto"/>
        <w:jc w:val="both"/>
        <w:rPr>
          <w:rFonts w:ascii="Times New Roman" w:hAnsi="Times New Roman" w:cs="Times New Roman"/>
          <w:color w:val="131413"/>
          <w:sz w:val="28"/>
          <w:szCs w:val="28"/>
        </w:rPr>
      </w:pPr>
      <w:r>
        <w:rPr>
          <w:rFonts w:ascii="Times New Roman" w:hAnsi="Times New Roman" w:cs="Times New Roman"/>
          <w:sz w:val="28"/>
          <w:szCs w:val="28"/>
        </w:rPr>
        <w:t>Рис. 3.47</w:t>
      </w:r>
      <w:r w:rsidR="00ED0862" w:rsidRPr="008968F5">
        <w:rPr>
          <w:rFonts w:ascii="Times New Roman" w:hAnsi="Times New Roman" w:cs="Times New Roman"/>
          <w:sz w:val="28"/>
          <w:szCs w:val="28"/>
        </w:rPr>
        <w:t>.</w:t>
      </w:r>
      <w:r w:rsidR="00ED0862" w:rsidRPr="00767FA8">
        <w:rPr>
          <w:rFonts w:ascii="Times New Roman" w:hAnsi="Times New Roman" w:cs="Times New Roman"/>
          <w:sz w:val="28"/>
          <w:szCs w:val="28"/>
        </w:rPr>
        <w:t xml:space="preserve"> </w:t>
      </w:r>
      <w:r w:rsidR="00ED0862" w:rsidRPr="00652AD0">
        <w:rPr>
          <w:rFonts w:ascii="Times New Roman" w:hAnsi="Times New Roman" w:cs="Times New Roman"/>
          <w:sz w:val="28"/>
          <w:szCs w:val="28"/>
        </w:rPr>
        <w:t xml:space="preserve">Результат </w:t>
      </w:r>
      <w:r w:rsidR="00ED0862">
        <w:rPr>
          <w:rFonts w:ascii="Times New Roman CYR" w:hAnsi="Times New Roman CYR" w:cs="Times New Roman"/>
          <w:bCs/>
          <w:sz w:val="28"/>
          <w:szCs w:val="28"/>
        </w:rPr>
        <w:t>МРТ-дослідження хворого C., 67</w:t>
      </w:r>
      <w:r w:rsidR="00ED0862" w:rsidRPr="00652AD0">
        <w:rPr>
          <w:rFonts w:ascii="Times New Roman CYR" w:hAnsi="Times New Roman CYR" w:cs="Times New Roman"/>
          <w:bCs/>
          <w:sz w:val="28"/>
          <w:szCs w:val="28"/>
        </w:rPr>
        <w:t xml:space="preserve"> р.,</w:t>
      </w:r>
      <w:r w:rsidR="00ED0862" w:rsidRPr="009E6C7E">
        <w:rPr>
          <w:rFonts w:ascii="Times New Roman CYR" w:hAnsi="Times New Roman CYR" w:cs="Times New Roman"/>
          <w:bCs/>
          <w:sz w:val="28"/>
          <w:szCs w:val="28"/>
          <w:lang w:val="ru-RU"/>
        </w:rPr>
        <w:t xml:space="preserve"> </w:t>
      </w:r>
      <w:r w:rsidR="00ED0862">
        <w:rPr>
          <w:rFonts w:ascii="Times New Roman CYR" w:hAnsi="Times New Roman CYR" w:cs="Times New Roman"/>
          <w:bCs/>
          <w:sz w:val="28"/>
          <w:szCs w:val="28"/>
        </w:rPr>
        <w:t xml:space="preserve">кіста </w:t>
      </w:r>
      <w:r w:rsidR="00ED0862">
        <w:rPr>
          <w:rFonts w:ascii="Times New Roman CYR" w:hAnsi="Times New Roman CYR" w:cs="Times New Roman"/>
          <w:bCs/>
          <w:sz w:val="28"/>
          <w:szCs w:val="28"/>
          <w:lang w:val="en-US"/>
        </w:rPr>
        <w:t>IV</w:t>
      </w:r>
      <w:r w:rsidR="00ED0862" w:rsidRPr="009E6C7E">
        <w:rPr>
          <w:rFonts w:ascii="Times New Roman CYR" w:hAnsi="Times New Roman CYR" w:cs="Times New Roman"/>
          <w:bCs/>
          <w:sz w:val="28"/>
          <w:szCs w:val="28"/>
          <w:lang w:val="ru-RU"/>
        </w:rPr>
        <w:t xml:space="preserve"> </w:t>
      </w:r>
      <w:r w:rsidR="00ED0862">
        <w:rPr>
          <w:rFonts w:ascii="Times New Roman CYR" w:hAnsi="Times New Roman CYR" w:cs="Times New Roman"/>
          <w:bCs/>
          <w:sz w:val="28"/>
          <w:szCs w:val="28"/>
        </w:rPr>
        <w:t xml:space="preserve">класу за </w:t>
      </w:r>
      <w:r w:rsidR="00ED0862">
        <w:rPr>
          <w:rFonts w:ascii="Times New Roman CYR" w:hAnsi="Times New Roman CYR" w:cs="Times New Roman"/>
          <w:bCs/>
          <w:sz w:val="28"/>
          <w:szCs w:val="28"/>
          <w:lang w:val="en-US"/>
        </w:rPr>
        <w:t>Bosniak</w:t>
      </w:r>
      <w:r w:rsidR="00ED0862" w:rsidRPr="009E6C7E">
        <w:rPr>
          <w:rFonts w:ascii="Times New Roman CYR" w:hAnsi="Times New Roman CYR" w:cs="Times New Roman"/>
          <w:bCs/>
          <w:sz w:val="28"/>
          <w:szCs w:val="28"/>
          <w:lang w:val="ru-RU"/>
        </w:rPr>
        <w:t xml:space="preserve"> </w:t>
      </w:r>
      <w:r w:rsidR="00ED0862">
        <w:rPr>
          <w:rFonts w:ascii="Times New Roman CYR" w:hAnsi="Times New Roman CYR" w:cs="Times New Roman"/>
          <w:bCs/>
          <w:sz w:val="28"/>
          <w:szCs w:val="28"/>
        </w:rPr>
        <w:t xml:space="preserve">середнього та верхнього сегментів правої нирки, розміром 9,30х5,56х4,53 см, з множинними потовщеними перегородками та підвищеним в них накопиченням контрасту.  </w:t>
      </w:r>
      <w:r w:rsidR="00ED0862">
        <w:rPr>
          <w:rFonts w:ascii="Times New Roman" w:eastAsia="Arial CYR" w:hAnsi="Times New Roman" w:cs="Times New Roman"/>
          <w:sz w:val="28"/>
          <w:szCs w:val="28"/>
        </w:rPr>
        <w:t xml:space="preserve">А: корональне Т2-ЗЗ в режимі </w:t>
      </w:r>
      <w:r w:rsidR="00ED0862">
        <w:rPr>
          <w:rFonts w:ascii="Times New Roman" w:eastAsia="Arial CYR" w:hAnsi="Times New Roman" w:cs="Times New Roman"/>
          <w:sz w:val="28"/>
          <w:szCs w:val="28"/>
          <w:lang w:val="en-US"/>
        </w:rPr>
        <w:t>SSFSE</w:t>
      </w:r>
      <w:r w:rsidR="00ED0862">
        <w:rPr>
          <w:rFonts w:ascii="Times New Roman" w:eastAsia="Arial CYR" w:hAnsi="Times New Roman" w:cs="Times New Roman"/>
          <w:sz w:val="28"/>
          <w:szCs w:val="28"/>
        </w:rPr>
        <w:t>; Б: осьове</w:t>
      </w:r>
      <w:r w:rsidR="00ED0862" w:rsidRPr="009E6C7E">
        <w:rPr>
          <w:rFonts w:ascii="Times New Roman" w:eastAsia="Arial CYR" w:hAnsi="Times New Roman" w:cs="Times New Roman"/>
          <w:sz w:val="28"/>
          <w:szCs w:val="28"/>
        </w:rPr>
        <w:t xml:space="preserve"> 2</w:t>
      </w:r>
      <w:r w:rsidR="00ED0862" w:rsidRPr="00A1200C">
        <w:rPr>
          <w:rFonts w:ascii="Times New Roman" w:eastAsia="Arial CYR" w:hAnsi="Times New Roman" w:cs="Times New Roman"/>
          <w:sz w:val="28"/>
          <w:szCs w:val="28"/>
          <w:lang w:val="en-US"/>
        </w:rPr>
        <w:t>D</w:t>
      </w:r>
      <w:r w:rsidR="00ED0862" w:rsidRPr="009E6C7E">
        <w:rPr>
          <w:rFonts w:ascii="Times New Roman" w:eastAsia="Arial CYR" w:hAnsi="Times New Roman" w:cs="Times New Roman"/>
          <w:sz w:val="28"/>
          <w:szCs w:val="28"/>
        </w:rPr>
        <w:t xml:space="preserve"> </w:t>
      </w:r>
      <w:r w:rsidR="00ED0862" w:rsidRPr="00A1200C">
        <w:rPr>
          <w:rFonts w:ascii="Times New Roman" w:eastAsia="Arial CYR" w:hAnsi="Times New Roman" w:cs="Times New Roman"/>
          <w:sz w:val="28"/>
          <w:szCs w:val="28"/>
        </w:rPr>
        <w:t>зображення режимі</w:t>
      </w:r>
      <w:r w:rsidR="00ED0862">
        <w:rPr>
          <w:rFonts w:ascii="Times New Roman" w:eastAsia="Arial CYR" w:hAnsi="Times New Roman" w:cs="Times New Roman"/>
          <w:sz w:val="28"/>
          <w:szCs w:val="28"/>
        </w:rPr>
        <w:t xml:space="preserve"> </w:t>
      </w:r>
      <w:r w:rsidR="00ED0862">
        <w:rPr>
          <w:rFonts w:ascii="Times New Roman" w:eastAsia="Arial CYR" w:hAnsi="Times New Roman" w:cs="Times New Roman"/>
          <w:sz w:val="28"/>
          <w:szCs w:val="28"/>
          <w:lang w:val="en-US"/>
        </w:rPr>
        <w:t>FIESTA</w:t>
      </w:r>
      <w:r w:rsidR="00ED0862" w:rsidRPr="009E6C7E">
        <w:rPr>
          <w:rFonts w:ascii="Times New Roman" w:eastAsia="Arial CYR" w:hAnsi="Times New Roman" w:cs="Times New Roman"/>
          <w:sz w:val="28"/>
          <w:szCs w:val="28"/>
        </w:rPr>
        <w:t xml:space="preserve"> </w:t>
      </w:r>
      <w:r w:rsidR="00ED0862">
        <w:rPr>
          <w:rFonts w:ascii="Times New Roman" w:eastAsia="Arial CYR" w:hAnsi="Times New Roman" w:cs="Times New Roman"/>
          <w:sz w:val="28"/>
          <w:szCs w:val="28"/>
          <w:lang w:val="en-US"/>
        </w:rPr>
        <w:t>FAT</w:t>
      </w:r>
      <w:r w:rsidR="00ED0862" w:rsidRPr="009E6C7E">
        <w:rPr>
          <w:rFonts w:ascii="Times New Roman" w:eastAsia="Arial CYR" w:hAnsi="Times New Roman" w:cs="Times New Roman"/>
          <w:sz w:val="28"/>
          <w:szCs w:val="28"/>
        </w:rPr>
        <w:t xml:space="preserve"> </w:t>
      </w:r>
      <w:r w:rsidR="00ED0862">
        <w:rPr>
          <w:rFonts w:ascii="Times New Roman" w:eastAsia="Arial CYR" w:hAnsi="Times New Roman" w:cs="Times New Roman"/>
          <w:sz w:val="28"/>
          <w:szCs w:val="28"/>
          <w:lang w:val="en-US"/>
        </w:rPr>
        <w:t>SAT</w:t>
      </w:r>
      <w:r w:rsidR="00ED0862" w:rsidRPr="00A1200C">
        <w:rPr>
          <w:rFonts w:ascii="Times New Roman" w:eastAsia="Arial CYR" w:hAnsi="Times New Roman" w:cs="Times New Roman"/>
          <w:sz w:val="28"/>
          <w:szCs w:val="28"/>
        </w:rPr>
        <w:t>;</w:t>
      </w:r>
      <w:r w:rsidR="00ED0862">
        <w:rPr>
          <w:rFonts w:ascii="Times New Roman CYR" w:hAnsi="Times New Roman CYR" w:cs="Times New Roman"/>
          <w:bCs/>
          <w:sz w:val="28"/>
          <w:szCs w:val="28"/>
        </w:rPr>
        <w:t xml:space="preserve"> </w:t>
      </w:r>
      <w:r w:rsidR="00ED0862">
        <w:rPr>
          <w:rFonts w:ascii="Times New Roman" w:eastAsia="Arial CYR" w:hAnsi="Times New Roman" w:cs="Times New Roman"/>
          <w:sz w:val="28"/>
          <w:szCs w:val="28"/>
        </w:rPr>
        <w:t xml:space="preserve">В: осьове Т2-ЗЗ в режимі </w:t>
      </w:r>
      <w:r w:rsidR="00ED0862">
        <w:rPr>
          <w:rFonts w:ascii="Times New Roman" w:eastAsia="Arial CYR" w:hAnsi="Times New Roman" w:cs="Times New Roman"/>
          <w:sz w:val="28"/>
          <w:szCs w:val="28"/>
          <w:lang w:val="en-US"/>
        </w:rPr>
        <w:t>SSFSET</w:t>
      </w:r>
      <w:r w:rsidR="00ED0862">
        <w:rPr>
          <w:rFonts w:ascii="Times New Roman" w:eastAsia="Arial CYR" w:hAnsi="Times New Roman" w:cs="Times New Roman"/>
          <w:sz w:val="28"/>
          <w:szCs w:val="28"/>
        </w:rPr>
        <w:t>;</w:t>
      </w:r>
      <w:r w:rsidR="00ED0862">
        <w:rPr>
          <w:rFonts w:ascii="Times New Roman CYR" w:hAnsi="Times New Roman CYR" w:cs="Times New Roman"/>
          <w:bCs/>
          <w:sz w:val="28"/>
          <w:szCs w:val="28"/>
        </w:rPr>
        <w:t xml:space="preserve"> </w:t>
      </w:r>
      <w:r w:rsidR="00ED0862">
        <w:rPr>
          <w:rFonts w:ascii="Times New Roman" w:eastAsia="Arial CYR" w:hAnsi="Times New Roman" w:cs="Times New Roman"/>
          <w:sz w:val="28"/>
          <w:szCs w:val="28"/>
        </w:rPr>
        <w:t xml:space="preserve">Г: осьове </w:t>
      </w:r>
      <w:r w:rsidR="00ED0862">
        <w:rPr>
          <w:rFonts w:ascii="Times New Roman" w:eastAsia="Arial CYR" w:hAnsi="Times New Roman" w:cs="Times New Roman"/>
          <w:sz w:val="28"/>
          <w:szCs w:val="28"/>
          <w:lang w:val="en-US"/>
        </w:rPr>
        <w:t>Dual</w:t>
      </w:r>
      <w:r w:rsidR="00ED0862" w:rsidRPr="009E6C7E">
        <w:rPr>
          <w:rFonts w:ascii="Times New Roman" w:eastAsia="Arial CYR" w:hAnsi="Times New Roman" w:cs="Times New Roman"/>
          <w:sz w:val="28"/>
          <w:szCs w:val="28"/>
        </w:rPr>
        <w:t xml:space="preserve"> </w:t>
      </w:r>
      <w:r w:rsidR="00ED0862">
        <w:rPr>
          <w:rFonts w:ascii="Times New Roman" w:eastAsia="Arial CYR" w:hAnsi="Times New Roman" w:cs="Times New Roman"/>
          <w:sz w:val="28"/>
          <w:szCs w:val="28"/>
          <w:lang w:val="en-US"/>
        </w:rPr>
        <w:t>Echo</w:t>
      </w:r>
      <w:r w:rsidR="00ED0862">
        <w:rPr>
          <w:rFonts w:ascii="Times New Roman" w:eastAsia="Arial CYR" w:hAnsi="Times New Roman" w:cs="Times New Roman"/>
          <w:sz w:val="28"/>
          <w:szCs w:val="28"/>
        </w:rPr>
        <w:t xml:space="preserve"> в режимі </w:t>
      </w:r>
      <w:r w:rsidR="00ED0862">
        <w:rPr>
          <w:rFonts w:ascii="Times New Roman" w:eastAsia="Arial CYR" w:hAnsi="Times New Roman" w:cs="Times New Roman"/>
          <w:sz w:val="28"/>
          <w:szCs w:val="28"/>
          <w:lang w:val="en-US"/>
        </w:rPr>
        <w:t>FSPGR</w:t>
      </w:r>
      <w:r w:rsidR="00ED0862">
        <w:rPr>
          <w:rFonts w:ascii="Times New Roman" w:eastAsia="Arial CYR" w:hAnsi="Times New Roman" w:cs="Times New Roman"/>
          <w:sz w:val="28"/>
          <w:szCs w:val="28"/>
        </w:rPr>
        <w:t xml:space="preserve">; Д: осьове дифузійно-зважене зображення, кіста представлена ділянками ізо- та гіперінтенсивності по відношенню до нормальної ниркової паренхіми; Ж: ВКД-карта, ОЗ над ділянкою тканинного елементу кісти (перегородки) із найменшим значенням ВКД, яке становило </w:t>
      </w:r>
      <w:r w:rsidR="00ED0862">
        <w:rPr>
          <w:rFonts w:ascii="Times New Roman" w:hAnsi="Times New Roman"/>
          <w:sz w:val="28"/>
          <w:szCs w:val="28"/>
        </w:rPr>
        <w:t>1,83</w:t>
      </w:r>
      <w:r w:rsidR="00ED0862" w:rsidRPr="00153D69">
        <w:rPr>
          <w:rFonts w:ascii="Times New Roman" w:hAnsi="Times New Roman" w:cs="Times New Roman"/>
          <w:sz w:val="28"/>
          <w:szCs w:val="28"/>
        </w:rPr>
        <w:t>×</w:t>
      </w:r>
      <w:r w:rsidR="00ED0862" w:rsidRPr="00153D69">
        <w:rPr>
          <w:rFonts w:ascii="Times New Roman" w:hAnsi="Times New Roman"/>
          <w:sz w:val="28"/>
          <w:szCs w:val="28"/>
        </w:rPr>
        <w:t>10</w:t>
      </w:r>
      <w:r w:rsidR="00ED0862" w:rsidRPr="00153D69">
        <w:rPr>
          <w:rFonts w:ascii="Times New Roman" w:hAnsi="Times New Roman"/>
          <w:sz w:val="28"/>
          <w:szCs w:val="28"/>
          <w:vertAlign w:val="superscript"/>
        </w:rPr>
        <w:t>-3</w:t>
      </w:r>
      <w:r w:rsidR="00ED0862" w:rsidRPr="00153D69">
        <w:rPr>
          <w:rFonts w:ascii="Times New Roman" w:hAnsi="Times New Roman"/>
          <w:sz w:val="28"/>
          <w:szCs w:val="28"/>
        </w:rPr>
        <w:t xml:space="preserve"> мм</w:t>
      </w:r>
      <w:r w:rsidR="00ED0862" w:rsidRPr="00153D69">
        <w:rPr>
          <w:rFonts w:ascii="Times New Roman" w:hAnsi="Times New Roman"/>
          <w:sz w:val="28"/>
          <w:szCs w:val="28"/>
          <w:vertAlign w:val="superscript"/>
        </w:rPr>
        <w:t>2</w:t>
      </w:r>
      <w:r w:rsidR="00ED0862" w:rsidRPr="00153D69">
        <w:rPr>
          <w:rFonts w:ascii="Times New Roman" w:hAnsi="Times New Roman"/>
          <w:sz w:val="28"/>
          <w:szCs w:val="28"/>
        </w:rPr>
        <w:t>/с</w:t>
      </w:r>
      <w:r w:rsidR="00ED0862">
        <w:rPr>
          <w:rFonts w:ascii="Times New Roman" w:hAnsi="Times New Roman"/>
          <w:sz w:val="28"/>
          <w:szCs w:val="28"/>
        </w:rPr>
        <w:t xml:space="preserve">. </w:t>
      </w:r>
      <w:r w:rsidR="00ED0862" w:rsidRPr="00931AB2">
        <w:rPr>
          <w:rFonts w:ascii="Times New Roman" w:hAnsi="Times New Roman" w:cs="Times New Roman"/>
          <w:bCs/>
          <w:sz w:val="28"/>
          <w:szCs w:val="28"/>
        </w:rPr>
        <w:t xml:space="preserve">Хворому виконана радикальна нефректомія. Патоморфологічне заключення: кістозний скНКР правої нирки, pТ2aN0M0, ІІ ступінь за </w:t>
      </w:r>
      <w:r w:rsidR="00ED0862" w:rsidRPr="00931AB2">
        <w:rPr>
          <w:rFonts w:ascii="Times New Roman" w:hAnsi="Times New Roman" w:cs="Times New Roman"/>
          <w:color w:val="131413"/>
          <w:sz w:val="28"/>
          <w:szCs w:val="28"/>
        </w:rPr>
        <w:t>Fuhrman.</w:t>
      </w:r>
    </w:p>
    <w:p w:rsidR="00D13364" w:rsidRPr="003D690A" w:rsidRDefault="00D13364" w:rsidP="00ED0862">
      <w:pPr>
        <w:spacing w:line="360" w:lineRule="auto"/>
        <w:jc w:val="both"/>
        <w:rPr>
          <w:rFonts w:ascii="Times New Roman CYR" w:hAnsi="Times New Roman CYR" w:cs="Times New Roman"/>
          <w:bCs/>
          <w:sz w:val="28"/>
          <w:szCs w:val="28"/>
        </w:rPr>
      </w:pPr>
    </w:p>
    <w:p w:rsidR="008615D9" w:rsidRPr="008615D9" w:rsidRDefault="008615D9" w:rsidP="008C497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Нами були проведені виміри</w:t>
      </w:r>
      <w:r w:rsidRPr="00732C9E">
        <w:rPr>
          <w:rFonts w:ascii="Times New Roman" w:hAnsi="Times New Roman" w:cs="Times New Roman"/>
          <w:sz w:val="28"/>
          <w:szCs w:val="28"/>
        </w:rPr>
        <w:t xml:space="preserve"> інтенсивність сигналу </w:t>
      </w:r>
      <w:r>
        <w:rPr>
          <w:rFonts w:ascii="Times New Roman" w:hAnsi="Times New Roman" w:cs="Times New Roman"/>
          <w:sz w:val="28"/>
          <w:szCs w:val="28"/>
        </w:rPr>
        <w:t xml:space="preserve">ДЗЗ </w:t>
      </w:r>
      <w:r w:rsidRPr="00732C9E">
        <w:rPr>
          <w:rFonts w:ascii="Times New Roman" w:hAnsi="Times New Roman" w:cs="Times New Roman"/>
          <w:sz w:val="28"/>
          <w:szCs w:val="28"/>
        </w:rPr>
        <w:t xml:space="preserve">та </w:t>
      </w:r>
      <w:r>
        <w:rPr>
          <w:rFonts w:ascii="Times New Roman" w:hAnsi="Times New Roman" w:cs="Times New Roman"/>
          <w:sz w:val="28"/>
          <w:szCs w:val="28"/>
        </w:rPr>
        <w:t>ВКД</w:t>
      </w:r>
      <w:r w:rsidRPr="00732C9E">
        <w:rPr>
          <w:rFonts w:ascii="Times New Roman" w:hAnsi="Times New Roman" w:cs="Times New Roman"/>
          <w:sz w:val="28"/>
          <w:szCs w:val="28"/>
        </w:rPr>
        <w:t xml:space="preserve"> тканинних елементів доброякісних та злоякісних кіст</w:t>
      </w:r>
      <w:r>
        <w:rPr>
          <w:rFonts w:ascii="Times New Roman" w:hAnsi="Times New Roman" w:cs="Times New Roman"/>
          <w:sz w:val="28"/>
          <w:szCs w:val="28"/>
        </w:rPr>
        <w:t xml:space="preserve"> (кістозний скНКР)</w:t>
      </w:r>
      <w:r w:rsidRPr="00732C9E">
        <w:rPr>
          <w:rFonts w:ascii="Times New Roman" w:hAnsi="Times New Roman" w:cs="Times New Roman"/>
          <w:sz w:val="28"/>
          <w:szCs w:val="28"/>
        </w:rPr>
        <w:t xml:space="preserve"> категорій ІІІ та IV за Bosniak (об’єднаних разом </w:t>
      </w:r>
      <w:r>
        <w:rPr>
          <w:rFonts w:ascii="Times New Roman" w:hAnsi="Times New Roman" w:cs="Times New Roman"/>
          <w:sz w:val="28"/>
          <w:szCs w:val="28"/>
        </w:rPr>
        <w:t>з метою</w:t>
      </w:r>
      <w:r w:rsidRPr="00732C9E">
        <w:rPr>
          <w:rFonts w:ascii="Times New Roman" w:hAnsi="Times New Roman" w:cs="Times New Roman"/>
          <w:sz w:val="28"/>
          <w:szCs w:val="28"/>
        </w:rPr>
        <w:t xml:space="preserve"> збільшення вибірки доброякісних кіст)</w:t>
      </w:r>
      <w:r>
        <w:rPr>
          <w:rFonts w:ascii="Times New Roman" w:hAnsi="Times New Roman" w:cs="Times New Roman"/>
          <w:sz w:val="28"/>
          <w:szCs w:val="28"/>
        </w:rPr>
        <w:t>. При порівнянні середніх значень 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тканинних елементів злоякісних та доброякісних кіст вказаних класів, достовірної різниці </w:t>
      </w:r>
      <w:r>
        <w:rPr>
          <w:rFonts w:ascii="Times New Roman" w:hAnsi="Times New Roman" w:cs="Times New Roman"/>
          <w:sz w:val="28"/>
          <w:szCs w:val="28"/>
        </w:rPr>
        <w:lastRenderedPageBreak/>
        <w:t xml:space="preserve">отримано не було </w:t>
      </w:r>
      <w:r w:rsidRPr="009E6C7E">
        <w:rPr>
          <w:rFonts w:ascii="Times New Roman" w:hAnsi="Times New Roman" w:cs="Times New Roman"/>
          <w:sz w:val="28"/>
          <w:szCs w:val="28"/>
        </w:rPr>
        <w:t>(</w:t>
      </w:r>
      <w:r>
        <w:rPr>
          <w:rFonts w:ascii="Times New Roman" w:hAnsi="Times New Roman" w:cs="Times New Roman"/>
          <w:sz w:val="28"/>
          <w:szCs w:val="28"/>
        </w:rPr>
        <w:t>р</w:t>
      </w:r>
      <w:r w:rsidRPr="009E6C7E">
        <w:rPr>
          <w:rFonts w:ascii="Times New Roman" w:hAnsi="Times New Roman" w:cs="Times New Roman"/>
          <w:sz w:val="28"/>
          <w:szCs w:val="28"/>
        </w:rPr>
        <w:t>&gt;</w:t>
      </w:r>
      <w:r>
        <w:rPr>
          <w:rFonts w:ascii="Times New Roman" w:hAnsi="Times New Roman" w:cs="Times New Roman"/>
          <w:sz w:val="28"/>
          <w:szCs w:val="28"/>
        </w:rPr>
        <w:t>0,05). Однак, було виявлено достовірну різницю у середніх значеннях ВКД тканинного елементу доброякісних та злоякісних кіст, які становили відповідно 2,06±0,11</w:t>
      </w:r>
      <w:r w:rsidRPr="00316331">
        <w:rPr>
          <w:rFonts w:ascii="Times New Roman" w:hAnsi="Times New Roman" w:cs="Times New Roman"/>
          <w:bCs/>
          <w:sz w:val="28"/>
          <w:szCs w:val="28"/>
        </w:rPr>
        <w:t>×10</w:t>
      </w:r>
      <w:r w:rsidRPr="00316331">
        <w:rPr>
          <w:rFonts w:ascii="Times New Roman" w:hAnsi="Times New Roman" w:cs="Times New Roman"/>
          <w:bCs/>
          <w:sz w:val="28"/>
          <w:szCs w:val="28"/>
          <w:vertAlign w:val="superscript"/>
        </w:rPr>
        <w:t>−3</w:t>
      </w:r>
      <w:r w:rsidRPr="00316331">
        <w:rPr>
          <w:rFonts w:ascii="Times New Roman" w:hAnsi="Times New Roman" w:cs="Times New Roman"/>
          <w:bCs/>
          <w:sz w:val="28"/>
          <w:szCs w:val="28"/>
        </w:rPr>
        <w:t xml:space="preserve"> мм</w:t>
      </w:r>
      <w:r w:rsidRPr="00316331">
        <w:rPr>
          <w:rFonts w:ascii="Times New Roman" w:hAnsi="Times New Roman" w:cs="Times New Roman"/>
          <w:bCs/>
          <w:sz w:val="28"/>
          <w:szCs w:val="28"/>
          <w:vertAlign w:val="superscript"/>
        </w:rPr>
        <w:t>2</w:t>
      </w:r>
      <w:r w:rsidRPr="00316331">
        <w:rPr>
          <w:rFonts w:ascii="Times New Roman" w:hAnsi="Times New Roman" w:cs="Times New Roman"/>
          <w:bCs/>
          <w:sz w:val="28"/>
          <w:szCs w:val="28"/>
        </w:rPr>
        <w:t>/с</w:t>
      </w:r>
      <w:r>
        <w:rPr>
          <w:rFonts w:ascii="Times New Roman" w:hAnsi="Times New Roman" w:cs="Times New Roman"/>
          <w:bCs/>
          <w:sz w:val="28"/>
          <w:szCs w:val="28"/>
        </w:rPr>
        <w:t xml:space="preserve"> та 1,82</w:t>
      </w:r>
      <w:r>
        <w:rPr>
          <w:rFonts w:ascii="Times New Roman" w:hAnsi="Times New Roman" w:cs="Times New Roman"/>
          <w:sz w:val="28"/>
          <w:szCs w:val="28"/>
        </w:rPr>
        <w:t>±0,12</w:t>
      </w:r>
      <w:r w:rsidRPr="00316331">
        <w:rPr>
          <w:rFonts w:ascii="Times New Roman" w:hAnsi="Times New Roman" w:cs="Times New Roman"/>
          <w:bCs/>
          <w:sz w:val="28"/>
          <w:szCs w:val="28"/>
        </w:rPr>
        <w:t>×10</w:t>
      </w:r>
      <w:r w:rsidRPr="00316331">
        <w:rPr>
          <w:rFonts w:ascii="Times New Roman" w:hAnsi="Times New Roman" w:cs="Times New Roman"/>
          <w:bCs/>
          <w:sz w:val="28"/>
          <w:szCs w:val="28"/>
          <w:vertAlign w:val="superscript"/>
        </w:rPr>
        <w:t>−3</w:t>
      </w:r>
      <w:r w:rsidRPr="00316331">
        <w:rPr>
          <w:rFonts w:ascii="Times New Roman" w:hAnsi="Times New Roman" w:cs="Times New Roman"/>
          <w:bCs/>
          <w:sz w:val="28"/>
          <w:szCs w:val="28"/>
        </w:rPr>
        <w:t xml:space="preserve"> мм</w:t>
      </w:r>
      <w:r w:rsidRPr="00316331">
        <w:rPr>
          <w:rFonts w:ascii="Times New Roman" w:hAnsi="Times New Roman" w:cs="Times New Roman"/>
          <w:bCs/>
          <w:sz w:val="28"/>
          <w:szCs w:val="28"/>
          <w:vertAlign w:val="superscript"/>
        </w:rPr>
        <w:t>2</w:t>
      </w:r>
      <w:r w:rsidRPr="00316331">
        <w:rPr>
          <w:rFonts w:ascii="Times New Roman" w:hAnsi="Times New Roman" w:cs="Times New Roman"/>
          <w:bCs/>
          <w:sz w:val="28"/>
          <w:szCs w:val="28"/>
        </w:rPr>
        <w:t>/с</w:t>
      </w:r>
      <w:r>
        <w:rPr>
          <w:rFonts w:ascii="Times New Roman" w:hAnsi="Times New Roman" w:cs="Times New Roman"/>
          <w:bCs/>
          <w:sz w:val="28"/>
          <w:szCs w:val="28"/>
        </w:rPr>
        <w:t xml:space="preserve"> (р</w:t>
      </w:r>
      <w:r w:rsidRPr="009E6C7E">
        <w:rPr>
          <w:rFonts w:ascii="Times New Roman" w:hAnsi="Times New Roman" w:cs="Times New Roman"/>
          <w:bCs/>
          <w:sz w:val="28"/>
          <w:szCs w:val="28"/>
          <w:lang w:val="ru-RU"/>
        </w:rPr>
        <w:t>&lt;</w:t>
      </w:r>
      <w:r>
        <w:rPr>
          <w:rFonts w:ascii="Times New Roman" w:hAnsi="Times New Roman" w:cs="Times New Roman"/>
          <w:bCs/>
          <w:sz w:val="28"/>
          <w:szCs w:val="28"/>
        </w:rPr>
        <w:t xml:space="preserve">0,001, </w:t>
      </w:r>
      <w:r>
        <w:rPr>
          <w:rFonts w:ascii="Times New Roman" w:hAnsi="Times New Roman" w:cs="Times New Roman"/>
          <w:bCs/>
          <w:sz w:val="28"/>
          <w:szCs w:val="28"/>
          <w:lang w:val="en-US"/>
        </w:rPr>
        <w:t>t</w:t>
      </w:r>
      <w:r>
        <w:rPr>
          <w:rFonts w:ascii="Times New Roman" w:hAnsi="Times New Roman" w:cs="Times New Roman"/>
          <w:bCs/>
          <w:sz w:val="28"/>
          <w:szCs w:val="28"/>
        </w:rPr>
        <w:t xml:space="preserve">=4,209). </w:t>
      </w:r>
    </w:p>
    <w:p w:rsidR="00ED0862" w:rsidRDefault="008C4970" w:rsidP="008615D9">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Суттєвим</w:t>
      </w:r>
      <w:r w:rsidR="008615D9">
        <w:rPr>
          <w:rFonts w:ascii="Times New Roman" w:hAnsi="Times New Roman" w:cs="Times New Roman"/>
          <w:sz w:val="28"/>
          <w:szCs w:val="28"/>
        </w:rPr>
        <w:t xml:space="preserve"> було те, що отримані значення ВКД тканинних елементів при злоякісних кістах наближались до середнього значення даного показника при солідному світлоклітинному НКР, а доброякісних кіст – до солідних доброякісних пухлин нирок. </w:t>
      </w:r>
      <w:r w:rsidR="008615D9" w:rsidRPr="00061797">
        <w:rPr>
          <w:rFonts w:ascii="Times New Roman" w:hAnsi="Times New Roman" w:cs="Times New Roman"/>
          <w:sz w:val="28"/>
          <w:szCs w:val="28"/>
        </w:rPr>
        <w:t xml:space="preserve">Водночас, </w:t>
      </w:r>
      <w:r w:rsidR="008615D9">
        <w:rPr>
          <w:rFonts w:ascii="Times New Roman" w:hAnsi="Times New Roman" w:cs="Times New Roman"/>
          <w:sz w:val="28"/>
          <w:szCs w:val="28"/>
        </w:rPr>
        <w:t xml:space="preserve">нами </w:t>
      </w:r>
      <w:r w:rsidR="008615D9" w:rsidRPr="00061797">
        <w:rPr>
          <w:rFonts w:ascii="Times New Roman" w:hAnsi="Times New Roman" w:cs="Times New Roman"/>
          <w:sz w:val="28"/>
          <w:szCs w:val="28"/>
        </w:rPr>
        <w:t xml:space="preserve">не було </w:t>
      </w:r>
      <w:r w:rsidR="008615D9">
        <w:rPr>
          <w:rFonts w:ascii="Times New Roman" w:hAnsi="Times New Roman" w:cs="Times New Roman"/>
          <w:sz w:val="28"/>
          <w:szCs w:val="28"/>
        </w:rPr>
        <w:t xml:space="preserve">виявлено </w:t>
      </w:r>
      <w:r w:rsidR="008615D9" w:rsidRPr="00061797">
        <w:rPr>
          <w:rFonts w:ascii="Times New Roman" w:hAnsi="Times New Roman" w:cs="Times New Roman"/>
          <w:sz w:val="28"/>
          <w:szCs w:val="28"/>
        </w:rPr>
        <w:t>суттєвих відмінностей при порівнянні середніх значень ІС</w:t>
      </w:r>
      <w:r w:rsidR="008615D9" w:rsidRPr="00061797">
        <w:rPr>
          <w:rFonts w:ascii="Times New Roman" w:hAnsi="Times New Roman" w:cs="Times New Roman"/>
          <w:sz w:val="28"/>
          <w:szCs w:val="28"/>
          <w:vertAlign w:val="subscript"/>
        </w:rPr>
        <w:t>ДЗЗ</w:t>
      </w:r>
      <w:r w:rsidR="008615D9" w:rsidRPr="00061797">
        <w:rPr>
          <w:rFonts w:ascii="Times New Roman" w:hAnsi="Times New Roman" w:cs="Times New Roman"/>
          <w:sz w:val="28"/>
          <w:szCs w:val="28"/>
        </w:rPr>
        <w:t xml:space="preserve"> та ВКД при кістозному НКР низького та високого ступенів за Fuhrman (р&gt;0,05).</w:t>
      </w:r>
      <w:r w:rsidR="008615D9">
        <w:rPr>
          <w:rFonts w:ascii="Times New Roman" w:hAnsi="Times New Roman" w:cs="Times New Roman"/>
          <w:sz w:val="28"/>
          <w:szCs w:val="28"/>
        </w:rPr>
        <w:t xml:space="preserve"> Застосування граничного значення ВКД тканинного елементу кісти ІІІ чи </w:t>
      </w:r>
      <w:r w:rsidR="008615D9">
        <w:rPr>
          <w:rFonts w:ascii="Times New Roman" w:hAnsi="Times New Roman" w:cs="Times New Roman"/>
          <w:sz w:val="28"/>
          <w:szCs w:val="28"/>
          <w:lang w:val="en-US"/>
        </w:rPr>
        <w:t>IV</w:t>
      </w:r>
      <w:r w:rsidR="008615D9" w:rsidRPr="009E6C7E">
        <w:rPr>
          <w:rFonts w:ascii="Times New Roman" w:hAnsi="Times New Roman" w:cs="Times New Roman"/>
          <w:sz w:val="28"/>
          <w:szCs w:val="28"/>
        </w:rPr>
        <w:t xml:space="preserve"> </w:t>
      </w:r>
      <w:r w:rsidR="008615D9">
        <w:rPr>
          <w:rFonts w:ascii="Times New Roman" w:hAnsi="Times New Roman" w:cs="Times New Roman"/>
          <w:sz w:val="28"/>
          <w:szCs w:val="28"/>
        </w:rPr>
        <w:t>класу – 2,02</w:t>
      </w:r>
      <w:r w:rsidR="008615D9" w:rsidRPr="00316331">
        <w:rPr>
          <w:rFonts w:ascii="Times New Roman" w:hAnsi="Times New Roman" w:cs="Times New Roman"/>
          <w:bCs/>
          <w:sz w:val="28"/>
          <w:szCs w:val="28"/>
        </w:rPr>
        <w:t>×10</w:t>
      </w:r>
      <w:r w:rsidR="008615D9" w:rsidRPr="00316331">
        <w:rPr>
          <w:rFonts w:ascii="Times New Roman" w:hAnsi="Times New Roman" w:cs="Times New Roman"/>
          <w:bCs/>
          <w:sz w:val="28"/>
          <w:szCs w:val="28"/>
          <w:vertAlign w:val="superscript"/>
        </w:rPr>
        <w:t>−3</w:t>
      </w:r>
      <w:r w:rsidR="008615D9" w:rsidRPr="00316331">
        <w:rPr>
          <w:rFonts w:ascii="Times New Roman" w:hAnsi="Times New Roman" w:cs="Times New Roman"/>
          <w:bCs/>
          <w:sz w:val="28"/>
          <w:szCs w:val="28"/>
        </w:rPr>
        <w:t xml:space="preserve"> мм</w:t>
      </w:r>
      <w:r w:rsidR="008615D9" w:rsidRPr="00316331">
        <w:rPr>
          <w:rFonts w:ascii="Times New Roman" w:hAnsi="Times New Roman" w:cs="Times New Roman"/>
          <w:bCs/>
          <w:sz w:val="28"/>
          <w:szCs w:val="28"/>
          <w:vertAlign w:val="superscript"/>
        </w:rPr>
        <w:t>2</w:t>
      </w:r>
      <w:r w:rsidR="008615D9" w:rsidRPr="00316331">
        <w:rPr>
          <w:rFonts w:ascii="Times New Roman" w:hAnsi="Times New Roman" w:cs="Times New Roman"/>
          <w:bCs/>
          <w:sz w:val="28"/>
          <w:szCs w:val="28"/>
        </w:rPr>
        <w:t>/с</w:t>
      </w:r>
      <w:r w:rsidR="008615D9">
        <w:rPr>
          <w:rFonts w:ascii="Times New Roman" w:hAnsi="Times New Roman" w:cs="Times New Roman"/>
          <w:sz w:val="28"/>
          <w:szCs w:val="28"/>
        </w:rPr>
        <w:t>,  дозволило диференціювати злоякісні новоутворення від доброякісних із 100% чутливістю та 80</w:t>
      </w:r>
      <w:r w:rsidR="008615D9" w:rsidRPr="009E6C7E">
        <w:rPr>
          <w:rFonts w:ascii="Times New Roman" w:hAnsi="Times New Roman" w:cs="Times New Roman"/>
          <w:sz w:val="28"/>
          <w:szCs w:val="28"/>
        </w:rPr>
        <w:t xml:space="preserve">% </w:t>
      </w:r>
      <w:r w:rsidR="008615D9" w:rsidRPr="00CC2A74">
        <w:rPr>
          <w:rFonts w:ascii="Times New Roman" w:hAnsi="Times New Roman" w:cs="Times New Roman"/>
          <w:sz w:val="28"/>
          <w:szCs w:val="28"/>
        </w:rPr>
        <w:t xml:space="preserve">специфічністю </w:t>
      </w:r>
      <w:r w:rsidR="008615D9" w:rsidRPr="009E6C7E">
        <w:rPr>
          <w:rFonts w:ascii="Times New Roman" w:hAnsi="Times New Roman" w:cs="Times New Roman"/>
          <w:sz w:val="28"/>
          <w:szCs w:val="28"/>
        </w:rPr>
        <w:t>(</w:t>
      </w:r>
      <w:r w:rsidR="008615D9" w:rsidRPr="00CC2A74">
        <w:rPr>
          <w:rFonts w:ascii="Times New Roman" w:hAnsi="Times New Roman" w:cs="Times New Roman"/>
          <w:sz w:val="28"/>
          <w:szCs w:val="28"/>
          <w:lang w:val="en-US"/>
        </w:rPr>
        <w:t>AUC</w:t>
      </w:r>
      <w:r w:rsidR="008615D9" w:rsidRPr="009E6C7E">
        <w:rPr>
          <w:rFonts w:ascii="Times New Roman" w:hAnsi="Times New Roman" w:cs="Times New Roman"/>
          <w:sz w:val="28"/>
          <w:szCs w:val="28"/>
        </w:rPr>
        <w:t>=0,948</w:t>
      </w:r>
      <w:r w:rsidR="008615D9">
        <w:rPr>
          <w:rFonts w:ascii="Times New Roman" w:hAnsi="Times New Roman" w:cs="Times New Roman"/>
          <w:sz w:val="28"/>
          <w:szCs w:val="28"/>
        </w:rPr>
        <w:t>, 95% ДІ=0,846-1,0, р=0,002)</w:t>
      </w:r>
      <w:r w:rsidR="008615D9" w:rsidRPr="009E6C7E">
        <w:rPr>
          <w:rFonts w:ascii="Times New Roman" w:hAnsi="Times New Roman" w:cs="Times New Roman"/>
          <w:sz w:val="28"/>
          <w:szCs w:val="28"/>
        </w:rPr>
        <w:t>.</w:t>
      </w:r>
      <w:r w:rsidR="008615D9" w:rsidRPr="00CC2A74">
        <w:rPr>
          <w:rFonts w:ascii="Times New Roman" w:hAnsi="Times New Roman" w:cs="Times New Roman"/>
          <w:sz w:val="28"/>
          <w:szCs w:val="28"/>
        </w:rPr>
        <w:t xml:space="preserve">  </w:t>
      </w:r>
    </w:p>
    <w:p w:rsidR="008615D9" w:rsidRDefault="008615D9" w:rsidP="008615D9">
      <w:pPr>
        <w:spacing w:line="360" w:lineRule="auto"/>
        <w:ind w:firstLine="708"/>
        <w:jc w:val="both"/>
        <w:rPr>
          <w:rFonts w:ascii="Times New Roman" w:hAnsi="Times New Roman" w:cs="Times New Roman"/>
          <w:sz w:val="28"/>
          <w:szCs w:val="28"/>
        </w:rPr>
      </w:pPr>
    </w:p>
    <w:p w:rsidR="008615D9" w:rsidRDefault="00ED0862" w:rsidP="00ED0862">
      <w:pPr>
        <w:pStyle w:val="Standard"/>
        <w:autoSpaceDE w:val="0"/>
        <w:spacing w:line="360" w:lineRule="auto"/>
        <w:ind w:firstLine="708"/>
        <w:jc w:val="both"/>
        <w:rPr>
          <w:rFonts w:cs="Times New Roman"/>
          <w:sz w:val="28"/>
          <w:szCs w:val="28"/>
        </w:rPr>
      </w:pPr>
      <w:r>
        <w:rPr>
          <w:rFonts w:cs="Times New Roman"/>
          <w:sz w:val="28"/>
          <w:szCs w:val="28"/>
        </w:rPr>
        <w:t xml:space="preserve">Підсумовуючи наведені вище дані, із всіх досліджених нами новітніх потенційних променевих біомаркерів НКР на основі КТ та МРТ, застосування ВКД отриманого з дифузійно-зважених зображень МРТ, дозволяло із найкращими показниками точності, чутливості та специфічності диференціювати солідний та кістозний НКР від інших пухлин нирок, як у випадку </w:t>
      </w:r>
      <w:r>
        <w:rPr>
          <w:rFonts w:cs="Times New Roman"/>
          <w:sz w:val="28"/>
          <w:szCs w:val="28"/>
          <w:lang w:val="en-US"/>
        </w:rPr>
        <w:t>SRM</w:t>
      </w:r>
      <w:r>
        <w:rPr>
          <w:rFonts w:cs="Times New Roman"/>
          <w:sz w:val="28"/>
          <w:szCs w:val="28"/>
        </w:rPr>
        <w:t xml:space="preserve">, так і при пухлинах розміром понад 4 см. Крім цього, лише застосування ВКД дозволяло із достатньою точністю </w:t>
      </w:r>
      <w:r w:rsidRPr="00EC53C0">
        <w:rPr>
          <w:rFonts w:cs="Times New Roman"/>
          <w:sz w:val="28"/>
          <w:szCs w:val="28"/>
        </w:rPr>
        <w:t>доопераційно</w:t>
      </w:r>
      <w:r>
        <w:rPr>
          <w:rFonts w:cs="Times New Roman"/>
          <w:sz w:val="28"/>
          <w:szCs w:val="28"/>
        </w:rPr>
        <w:t xml:space="preserve"> визначати гістологічний підтип НКР</w:t>
      </w:r>
      <w:r w:rsidRPr="00EC53C0">
        <w:rPr>
          <w:rFonts w:cs="Times New Roman"/>
          <w:sz w:val="28"/>
          <w:szCs w:val="28"/>
        </w:rPr>
        <w:t>, а також відрізняти низький ступінь скНКР від високого за Fuhrman (а при пухлинах розміром &gt;4 см також визначати ступінь за Fuhrman папілярного НКР)</w:t>
      </w:r>
      <w:r>
        <w:rPr>
          <w:rFonts w:cs="Times New Roman"/>
          <w:sz w:val="28"/>
          <w:szCs w:val="28"/>
        </w:rPr>
        <w:t xml:space="preserve">. </w:t>
      </w:r>
    </w:p>
    <w:p w:rsidR="00ED0862" w:rsidRDefault="00ED0862" w:rsidP="00ED0862">
      <w:pPr>
        <w:pStyle w:val="Standard"/>
        <w:autoSpaceDE w:val="0"/>
        <w:spacing w:line="360" w:lineRule="auto"/>
        <w:ind w:firstLine="708"/>
        <w:jc w:val="both"/>
        <w:rPr>
          <w:rFonts w:cs="Times New Roman"/>
          <w:sz w:val="28"/>
          <w:szCs w:val="28"/>
        </w:rPr>
      </w:pPr>
      <w:r>
        <w:rPr>
          <w:rFonts w:cs="Times New Roman"/>
          <w:sz w:val="28"/>
          <w:szCs w:val="28"/>
        </w:rPr>
        <w:t xml:space="preserve">При кістозних </w:t>
      </w:r>
      <w:r>
        <w:rPr>
          <w:rFonts w:cs="Times New Roman"/>
          <w:sz w:val="28"/>
          <w:szCs w:val="28"/>
          <w:lang w:val="en-US"/>
        </w:rPr>
        <w:t>SRM</w:t>
      </w:r>
      <w:r>
        <w:rPr>
          <w:rFonts w:cs="Times New Roman"/>
          <w:sz w:val="28"/>
          <w:szCs w:val="28"/>
        </w:rPr>
        <w:t xml:space="preserve"> застосування ВКД дозволяло із найкращими показниками точності, чутливості та специфічності диференціювати доброякісні і злоякісні кісти </w:t>
      </w:r>
      <w:r>
        <w:rPr>
          <w:rFonts w:cs="Times New Roman"/>
          <w:sz w:val="28"/>
          <w:szCs w:val="28"/>
          <w:lang w:val="en-US"/>
        </w:rPr>
        <w:t>II</w:t>
      </w:r>
      <w:r w:rsidRPr="009E6C7E">
        <w:rPr>
          <w:rFonts w:cs="Times New Roman"/>
          <w:sz w:val="28"/>
          <w:szCs w:val="28"/>
        </w:rPr>
        <w:t xml:space="preserve"> </w:t>
      </w:r>
      <w:r>
        <w:rPr>
          <w:rFonts w:cs="Times New Roman"/>
          <w:sz w:val="28"/>
          <w:szCs w:val="28"/>
        </w:rPr>
        <w:t xml:space="preserve">класу за </w:t>
      </w:r>
      <w:r>
        <w:rPr>
          <w:rFonts w:cs="Times New Roman"/>
          <w:sz w:val="28"/>
          <w:szCs w:val="28"/>
          <w:lang w:val="en-US"/>
        </w:rPr>
        <w:t>Bosniak</w:t>
      </w:r>
      <w:r>
        <w:rPr>
          <w:rFonts w:cs="Times New Roman"/>
          <w:sz w:val="28"/>
          <w:szCs w:val="28"/>
        </w:rPr>
        <w:t xml:space="preserve">, та крім цього, відрізняти злоякісні та доброякісні кісти класів ІІІ та </w:t>
      </w:r>
      <w:r>
        <w:rPr>
          <w:rFonts w:cs="Times New Roman"/>
          <w:sz w:val="28"/>
          <w:szCs w:val="28"/>
          <w:lang w:val="en-US"/>
        </w:rPr>
        <w:t>IV</w:t>
      </w:r>
      <w:r>
        <w:rPr>
          <w:rFonts w:cs="Times New Roman"/>
          <w:sz w:val="28"/>
          <w:szCs w:val="28"/>
        </w:rPr>
        <w:t xml:space="preserve"> при їх розмірі понад 4 см. Такі </w:t>
      </w:r>
      <w:r>
        <w:rPr>
          <w:rFonts w:cs="Times New Roman"/>
          <w:sz w:val="28"/>
          <w:szCs w:val="28"/>
        </w:rPr>
        <w:lastRenderedPageBreak/>
        <w:t>отримані дані мають велике практичне значення, оскільки без застосування інвазійних діагностичних методик, таких як ЧПБ, уможливлюють визначення вказаних характеристик пухлини, що мають безпосередній вплив на вибір тактики лікування. Враховуючи отримані результати можна стверджувати, що ВКД дифузійно-зважених зображень МРТ при солідних і кістозних ниркових новоутвореннях може бути використаним у якості «променевої біопсії». Важливим є те, що для проведення даної методики не обов’язковим є застосування контрастних речовин, і яка, на додачу до здатності точно диференціювати НКР,</w:t>
      </w:r>
      <w:r w:rsidRPr="009E6C7E">
        <w:rPr>
          <w:rFonts w:cs="Times New Roman"/>
          <w:sz w:val="28"/>
          <w:szCs w:val="28"/>
          <w:lang w:val="ru-RU"/>
        </w:rPr>
        <w:t xml:space="preserve"> </w:t>
      </w:r>
      <w:r>
        <w:rPr>
          <w:rFonts w:cs="Times New Roman"/>
          <w:sz w:val="28"/>
          <w:szCs w:val="28"/>
        </w:rPr>
        <w:t>дозволяє уникати суттєвого променевого навантаження на хворого.</w:t>
      </w:r>
    </w:p>
    <w:p w:rsidR="00ED0862" w:rsidRDefault="00ED0862" w:rsidP="00ED0862">
      <w:pPr>
        <w:pStyle w:val="Standard"/>
        <w:autoSpaceDE w:val="0"/>
        <w:spacing w:line="360" w:lineRule="auto"/>
        <w:jc w:val="both"/>
        <w:rPr>
          <w:rFonts w:cs="Times New Roman"/>
          <w:sz w:val="28"/>
          <w:szCs w:val="28"/>
        </w:rPr>
      </w:pPr>
    </w:p>
    <w:p w:rsidR="00ED3C5B" w:rsidRDefault="00ED3C5B" w:rsidP="00ED0862">
      <w:pPr>
        <w:pStyle w:val="Standard"/>
        <w:autoSpaceDE w:val="0"/>
        <w:spacing w:line="360" w:lineRule="auto"/>
        <w:jc w:val="both"/>
        <w:rPr>
          <w:rFonts w:cs="Times New Roman"/>
          <w:sz w:val="28"/>
          <w:szCs w:val="28"/>
        </w:rPr>
      </w:pPr>
    </w:p>
    <w:p w:rsidR="00ED3C5B" w:rsidRDefault="00ED3C5B" w:rsidP="00ED0862">
      <w:pPr>
        <w:pStyle w:val="Standard"/>
        <w:autoSpaceDE w:val="0"/>
        <w:spacing w:line="360" w:lineRule="auto"/>
        <w:jc w:val="both"/>
        <w:rPr>
          <w:rFonts w:cs="Times New Roman"/>
          <w:sz w:val="28"/>
          <w:szCs w:val="28"/>
        </w:rPr>
      </w:pPr>
    </w:p>
    <w:p w:rsidR="00ED3C5B" w:rsidRDefault="00ED3C5B" w:rsidP="00ED0862">
      <w:pPr>
        <w:pStyle w:val="Standard"/>
        <w:autoSpaceDE w:val="0"/>
        <w:spacing w:line="360" w:lineRule="auto"/>
        <w:jc w:val="both"/>
        <w:rPr>
          <w:rFonts w:cs="Times New Roman"/>
          <w:sz w:val="28"/>
          <w:szCs w:val="28"/>
        </w:rPr>
      </w:pPr>
    </w:p>
    <w:p w:rsidR="00ED3C5B" w:rsidRDefault="00ED3C5B" w:rsidP="00ED0862">
      <w:pPr>
        <w:pStyle w:val="Standard"/>
        <w:autoSpaceDE w:val="0"/>
        <w:spacing w:line="360" w:lineRule="auto"/>
        <w:jc w:val="both"/>
        <w:rPr>
          <w:rFonts w:cs="Times New Roman"/>
          <w:sz w:val="28"/>
          <w:szCs w:val="28"/>
        </w:rPr>
      </w:pPr>
    </w:p>
    <w:p w:rsidR="00ED3C5B" w:rsidRDefault="00ED3C5B" w:rsidP="00ED0862">
      <w:pPr>
        <w:pStyle w:val="Standard"/>
        <w:autoSpaceDE w:val="0"/>
        <w:spacing w:line="360" w:lineRule="auto"/>
        <w:jc w:val="both"/>
        <w:rPr>
          <w:rFonts w:cs="Times New Roman"/>
          <w:sz w:val="28"/>
          <w:szCs w:val="28"/>
        </w:rPr>
      </w:pPr>
    </w:p>
    <w:p w:rsidR="00ED3C5B" w:rsidRDefault="00ED3C5B" w:rsidP="00ED0862">
      <w:pPr>
        <w:pStyle w:val="Standard"/>
        <w:autoSpaceDE w:val="0"/>
        <w:spacing w:line="360" w:lineRule="auto"/>
        <w:jc w:val="both"/>
        <w:rPr>
          <w:rFonts w:cs="Times New Roman"/>
          <w:sz w:val="28"/>
          <w:szCs w:val="28"/>
        </w:rPr>
      </w:pPr>
    </w:p>
    <w:p w:rsidR="00ED3C5B" w:rsidRDefault="00ED3C5B" w:rsidP="00ED0862">
      <w:pPr>
        <w:pStyle w:val="Standard"/>
        <w:autoSpaceDE w:val="0"/>
        <w:spacing w:line="360" w:lineRule="auto"/>
        <w:jc w:val="both"/>
        <w:rPr>
          <w:rFonts w:cs="Times New Roman"/>
          <w:sz w:val="28"/>
          <w:szCs w:val="28"/>
        </w:rPr>
      </w:pPr>
    </w:p>
    <w:p w:rsidR="003E1DFE" w:rsidRDefault="003E1DFE"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3D690A" w:rsidRDefault="003D690A" w:rsidP="00ED0862">
      <w:pPr>
        <w:pStyle w:val="Standard"/>
        <w:autoSpaceDE w:val="0"/>
        <w:spacing w:line="360" w:lineRule="auto"/>
        <w:jc w:val="both"/>
        <w:rPr>
          <w:rFonts w:cs="Times New Roman"/>
          <w:sz w:val="28"/>
          <w:szCs w:val="28"/>
        </w:rPr>
      </w:pPr>
    </w:p>
    <w:p w:rsidR="00ED3C5B" w:rsidRDefault="00ED3C5B" w:rsidP="00ED0862">
      <w:pPr>
        <w:pStyle w:val="Standard"/>
        <w:autoSpaceDE w:val="0"/>
        <w:spacing w:line="360" w:lineRule="auto"/>
        <w:jc w:val="both"/>
        <w:rPr>
          <w:rFonts w:cs="Times New Roman"/>
          <w:sz w:val="28"/>
          <w:szCs w:val="28"/>
        </w:rPr>
      </w:pPr>
    </w:p>
    <w:p w:rsidR="001A5726" w:rsidRPr="00687291" w:rsidRDefault="001A5726" w:rsidP="001A5726">
      <w:pPr>
        <w:spacing w:line="360" w:lineRule="auto"/>
        <w:contextualSpacing/>
        <w:rPr>
          <w:rFonts w:ascii="Times New Roman" w:hAnsi="Times New Roman" w:cs="Times New Roman"/>
          <w:b/>
          <w:sz w:val="28"/>
          <w:szCs w:val="28"/>
        </w:rPr>
      </w:pPr>
      <w:r w:rsidRPr="00687291">
        <w:rPr>
          <w:rFonts w:ascii="Times New Roman" w:hAnsi="Times New Roman" w:cs="Times New Roman"/>
          <w:b/>
          <w:sz w:val="28"/>
          <w:szCs w:val="28"/>
        </w:rPr>
        <w:lastRenderedPageBreak/>
        <w:t xml:space="preserve">РОЗДІЛ 4. МОЛЕКУЛЯРНІ БІОМАРКЕРИ У ДІАГНОСТИЦІ ТА </w:t>
      </w:r>
      <w:r w:rsidR="00582BAD">
        <w:rPr>
          <w:rFonts w:ascii="Times New Roman" w:hAnsi="Times New Roman" w:cs="Times New Roman"/>
          <w:b/>
          <w:sz w:val="28"/>
          <w:szCs w:val="28"/>
        </w:rPr>
        <w:t>СКРИНІНГУ</w:t>
      </w:r>
      <w:r w:rsidRPr="00687291">
        <w:rPr>
          <w:rFonts w:ascii="Times New Roman" w:hAnsi="Times New Roman" w:cs="Times New Roman"/>
          <w:b/>
          <w:sz w:val="28"/>
          <w:szCs w:val="28"/>
        </w:rPr>
        <w:t xml:space="preserve"> ПІСЛЯОПЕРАЦІЙНОГО ПЕРІОДУ ХВОРИХ ІЗ НИРКОВО-КЛІТИННИМ РАКОМ</w:t>
      </w:r>
    </w:p>
    <w:p w:rsidR="001A5726" w:rsidRPr="00926079" w:rsidRDefault="001A5726" w:rsidP="001A5726">
      <w:pPr>
        <w:rPr>
          <w:b/>
          <w:sz w:val="28"/>
          <w:szCs w:val="28"/>
        </w:rPr>
      </w:pPr>
    </w:p>
    <w:p w:rsidR="001A5726" w:rsidRPr="00624F31" w:rsidRDefault="001A5726" w:rsidP="001A5726">
      <w:pPr>
        <w:spacing w:line="360" w:lineRule="auto"/>
        <w:contextualSpacing/>
        <w:rPr>
          <w:rFonts w:ascii="Times New Roman" w:hAnsi="Times New Roman" w:cs="Times New Roman"/>
          <w:b/>
          <w:sz w:val="28"/>
          <w:szCs w:val="28"/>
        </w:rPr>
      </w:pPr>
      <w:r w:rsidRPr="00624F31">
        <w:rPr>
          <w:rFonts w:ascii="Times New Roman" w:hAnsi="Times New Roman" w:cs="Times New Roman"/>
          <w:b/>
          <w:sz w:val="28"/>
          <w:szCs w:val="28"/>
        </w:rPr>
        <w:t xml:space="preserve">4.1. Діагностика НКР та </w:t>
      </w:r>
      <w:r w:rsidR="00582BAD">
        <w:rPr>
          <w:rFonts w:ascii="Times New Roman" w:hAnsi="Times New Roman" w:cs="Times New Roman"/>
          <w:b/>
          <w:sz w:val="28"/>
          <w:szCs w:val="28"/>
        </w:rPr>
        <w:t>скринінг</w:t>
      </w:r>
      <w:r w:rsidRPr="00624F31">
        <w:rPr>
          <w:rFonts w:ascii="Times New Roman" w:hAnsi="Times New Roman" w:cs="Times New Roman"/>
          <w:b/>
          <w:sz w:val="28"/>
          <w:szCs w:val="28"/>
        </w:rPr>
        <w:t xml:space="preserve"> післяопераційного періоду на основі визначення експресії miRNA-15а в сечі</w:t>
      </w:r>
    </w:p>
    <w:p w:rsidR="001A5726" w:rsidRPr="00687291" w:rsidRDefault="001A5726" w:rsidP="001A5726">
      <w:pPr>
        <w:spacing w:line="360" w:lineRule="auto"/>
        <w:ind w:firstLine="708"/>
        <w:jc w:val="both"/>
        <w:rPr>
          <w:rFonts w:ascii="Times New Roman" w:hAnsi="Times New Roman" w:cs="Times New Roman"/>
          <w:color w:val="000000" w:themeColor="text1"/>
          <w:sz w:val="28"/>
          <w:szCs w:val="28"/>
        </w:rPr>
      </w:pPr>
    </w:p>
    <w:p w:rsidR="001A5726" w:rsidRDefault="001A5726" w:rsidP="001A5726">
      <w:pPr>
        <w:spacing w:line="360" w:lineRule="auto"/>
        <w:ind w:firstLine="708"/>
        <w:jc w:val="both"/>
        <w:rPr>
          <w:rFonts w:ascii="Times New Roman" w:hAnsi="Times New Roman" w:cs="Times New Roman"/>
          <w:color w:val="000000" w:themeColor="text1"/>
          <w:sz w:val="28"/>
          <w:szCs w:val="28"/>
        </w:rPr>
      </w:pPr>
      <w:r w:rsidRPr="00687291">
        <w:rPr>
          <w:rFonts w:ascii="Times New Roman" w:hAnsi="Times New Roman" w:cs="Times New Roman"/>
          <w:color w:val="000000" w:themeColor="text1"/>
          <w:sz w:val="28"/>
          <w:szCs w:val="28"/>
        </w:rPr>
        <w:t>На сьогодні</w:t>
      </w:r>
      <w:r>
        <w:rPr>
          <w:rFonts w:ascii="Times New Roman" w:hAnsi="Times New Roman" w:cs="Times New Roman"/>
          <w:color w:val="000000" w:themeColor="text1"/>
          <w:sz w:val="28"/>
          <w:szCs w:val="28"/>
        </w:rPr>
        <w:t>,</w:t>
      </w:r>
      <w:r w:rsidRPr="00687291">
        <w:rPr>
          <w:rFonts w:ascii="Times New Roman" w:hAnsi="Times New Roman" w:cs="Times New Roman"/>
          <w:color w:val="000000" w:themeColor="text1"/>
          <w:sz w:val="28"/>
          <w:szCs w:val="28"/>
        </w:rPr>
        <w:t xml:space="preserve"> згідно Рекомендацій Європейської Асоціації Урології із НКР</w:t>
      </w:r>
      <w:r>
        <w:rPr>
          <w:rFonts w:ascii="Times New Roman" w:hAnsi="Times New Roman" w:cs="Times New Roman"/>
          <w:color w:val="000000" w:themeColor="text1"/>
          <w:sz w:val="28"/>
          <w:szCs w:val="28"/>
        </w:rPr>
        <w:t>,</w:t>
      </w:r>
      <w:r w:rsidRPr="00687291">
        <w:rPr>
          <w:rFonts w:ascii="Times New Roman" w:hAnsi="Times New Roman" w:cs="Times New Roman"/>
          <w:color w:val="000000" w:themeColor="text1"/>
          <w:sz w:val="28"/>
          <w:szCs w:val="28"/>
        </w:rPr>
        <w:t xml:space="preserve"> не існує жодного молекулярного біомаркеру, який би міг застосовуватись у широкій клінічній діагностичній практиці при вказаній патології.</w:t>
      </w:r>
      <w:r w:rsidRPr="00687291">
        <w:rPr>
          <w:rFonts w:ascii="Times New Roman" w:hAnsi="Times New Roman" w:cs="Times New Roman"/>
          <w:sz w:val="28"/>
          <w:szCs w:val="28"/>
        </w:rPr>
        <w:t xml:space="preserve"> </w:t>
      </w:r>
      <w:r w:rsidRPr="00687291">
        <w:rPr>
          <w:rFonts w:ascii="Times New Roman" w:hAnsi="Times New Roman" w:cs="Times New Roman"/>
          <w:color w:val="000000" w:themeColor="text1"/>
          <w:sz w:val="28"/>
          <w:szCs w:val="28"/>
        </w:rPr>
        <w:t xml:space="preserve">Існують дані щодо важливого значення </w:t>
      </w:r>
      <w:r>
        <w:rPr>
          <w:rFonts w:ascii="Times New Roman" w:hAnsi="Times New Roman" w:cs="Times New Roman"/>
          <w:color w:val="000000" w:themeColor="text1"/>
          <w:sz w:val="28"/>
          <w:szCs w:val="28"/>
        </w:rPr>
        <w:t xml:space="preserve">пригніченої експресії </w:t>
      </w:r>
      <w:r w:rsidRPr="00687291">
        <w:rPr>
          <w:rFonts w:ascii="Times New Roman" w:hAnsi="Times New Roman" w:cs="Times New Roman"/>
          <w:color w:val="000000" w:themeColor="text1"/>
          <w:sz w:val="28"/>
          <w:szCs w:val="28"/>
        </w:rPr>
        <w:t>miR-15а у патогенезі раку простати, хронічної лімфоцитарної лімфоми та аденоми гіпофізу при яких вона відіграє роль туморосупресора, промотуючи апоптоз злоякісних клітин маючи за мішен</w:t>
      </w:r>
      <w:r>
        <w:rPr>
          <w:rFonts w:ascii="Times New Roman" w:hAnsi="Times New Roman" w:cs="Times New Roman"/>
          <w:color w:val="000000" w:themeColor="text1"/>
          <w:sz w:val="28"/>
          <w:szCs w:val="28"/>
        </w:rPr>
        <w:t>і</w:t>
      </w:r>
      <w:r w:rsidRPr="00687291">
        <w:rPr>
          <w:rFonts w:ascii="Times New Roman" w:hAnsi="Times New Roman" w:cs="Times New Roman"/>
          <w:color w:val="000000" w:themeColor="text1"/>
          <w:sz w:val="28"/>
          <w:szCs w:val="28"/>
        </w:rPr>
        <w:t xml:space="preserve"> онкоген BCL2</w:t>
      </w:r>
      <w:r>
        <w:rPr>
          <w:rFonts w:ascii="Times New Roman" w:hAnsi="Times New Roman" w:cs="Times New Roman"/>
          <w:color w:val="000000" w:themeColor="text1"/>
          <w:sz w:val="28"/>
          <w:szCs w:val="28"/>
        </w:rPr>
        <w:t>, а також</w:t>
      </w:r>
      <w:r w:rsidRPr="009E6C7E">
        <w:rPr>
          <w:rFonts w:ascii="Times New Roman" w:hAnsi="Times New Roman"/>
          <w:color w:val="000000"/>
          <w:sz w:val="28"/>
          <w:szCs w:val="28"/>
          <w:shd w:val="clear" w:color="auto" w:fill="FFFFFF"/>
        </w:rPr>
        <w:t xml:space="preserve"> </w:t>
      </w:r>
      <w:r w:rsidRPr="00C4028B">
        <w:rPr>
          <w:rFonts w:ascii="Times New Roman" w:hAnsi="Times New Roman"/>
          <w:color w:val="000000"/>
          <w:sz w:val="28"/>
          <w:szCs w:val="28"/>
          <w:shd w:val="clear" w:color="auto" w:fill="FFFFFF"/>
          <w:lang w:val="en-US"/>
        </w:rPr>
        <w:t>Mcl</w:t>
      </w:r>
      <w:r w:rsidRPr="009E6C7E">
        <w:rPr>
          <w:rFonts w:ascii="Times New Roman" w:hAnsi="Times New Roman"/>
          <w:color w:val="000000"/>
          <w:sz w:val="28"/>
          <w:szCs w:val="28"/>
          <w:shd w:val="clear" w:color="auto" w:fill="FFFFFF"/>
        </w:rPr>
        <w:t xml:space="preserve">1, </w:t>
      </w:r>
      <w:r w:rsidRPr="00C4028B">
        <w:rPr>
          <w:rFonts w:ascii="Times New Roman" w:hAnsi="Times New Roman"/>
          <w:color w:val="000000"/>
          <w:sz w:val="28"/>
          <w:szCs w:val="28"/>
          <w:shd w:val="clear" w:color="auto" w:fill="FFFFFF"/>
          <w:lang w:val="en-US"/>
        </w:rPr>
        <w:t>CcnD</w:t>
      </w:r>
      <w:r w:rsidRPr="009E6C7E">
        <w:rPr>
          <w:rFonts w:ascii="Times New Roman" w:hAnsi="Times New Roman"/>
          <w:color w:val="000000"/>
          <w:sz w:val="28"/>
          <w:szCs w:val="28"/>
          <w:shd w:val="clear" w:color="auto" w:fill="FFFFFF"/>
        </w:rPr>
        <w:t xml:space="preserve">1 </w:t>
      </w:r>
      <w:r>
        <w:rPr>
          <w:rFonts w:ascii="Times New Roman" w:hAnsi="Times New Roman"/>
          <w:color w:val="000000"/>
          <w:sz w:val="28"/>
          <w:szCs w:val="28"/>
          <w:shd w:val="clear" w:color="auto" w:fill="FFFFFF"/>
        </w:rPr>
        <w:t>та</w:t>
      </w:r>
      <w:r w:rsidRPr="009E6C7E">
        <w:rPr>
          <w:rFonts w:ascii="Times New Roman" w:hAnsi="Times New Roman"/>
          <w:color w:val="000000"/>
          <w:sz w:val="28"/>
          <w:szCs w:val="28"/>
          <w:shd w:val="clear" w:color="auto" w:fill="FFFFFF"/>
        </w:rPr>
        <w:t xml:space="preserve"> </w:t>
      </w:r>
      <w:r w:rsidRPr="00C4028B">
        <w:rPr>
          <w:rFonts w:ascii="Times New Roman" w:hAnsi="Times New Roman"/>
          <w:color w:val="000000"/>
          <w:sz w:val="28"/>
          <w:szCs w:val="28"/>
          <w:shd w:val="clear" w:color="auto" w:fill="FFFFFF"/>
          <w:lang w:val="en-US"/>
        </w:rPr>
        <w:t>Wnt</w:t>
      </w:r>
      <w:r w:rsidRPr="009E6C7E">
        <w:rPr>
          <w:rFonts w:ascii="Times New Roman" w:hAnsi="Times New Roman"/>
          <w:color w:val="000000"/>
          <w:sz w:val="28"/>
          <w:szCs w:val="28"/>
          <w:shd w:val="clear" w:color="auto" w:fill="FFFFFF"/>
        </w:rPr>
        <w:t>3</w:t>
      </w:r>
      <w:r w:rsidRPr="00C4028B">
        <w:rPr>
          <w:rFonts w:ascii="Times New Roman" w:hAnsi="Times New Roman"/>
          <w:color w:val="000000"/>
          <w:sz w:val="28"/>
          <w:szCs w:val="28"/>
          <w:shd w:val="clear" w:color="auto" w:fill="FFFFFF"/>
          <w:lang w:val="en-US"/>
        </w:rPr>
        <w:t>A</w:t>
      </w:r>
      <w:r>
        <w:rPr>
          <w:rFonts w:ascii="Times New Roman" w:hAnsi="Times New Roman"/>
          <w:color w:val="000000"/>
          <w:sz w:val="28"/>
          <w:szCs w:val="28"/>
          <w:shd w:val="clear" w:color="auto" w:fill="FFFFFF"/>
        </w:rPr>
        <w:t>.</w:t>
      </w:r>
      <w:r>
        <w:rPr>
          <w:rFonts w:ascii="Times New Roman" w:hAnsi="Times New Roman" w:cs="Times New Roman"/>
          <w:color w:val="000000" w:themeColor="text1"/>
          <w:sz w:val="28"/>
          <w:szCs w:val="28"/>
        </w:rPr>
        <w:t xml:space="preserve"> МікроРНК</w:t>
      </w:r>
      <w:r w:rsidRPr="00687291">
        <w:rPr>
          <w:rFonts w:ascii="Times New Roman" w:hAnsi="Times New Roman" w:cs="Times New Roman"/>
          <w:color w:val="000000" w:themeColor="text1"/>
          <w:sz w:val="28"/>
          <w:szCs w:val="28"/>
        </w:rPr>
        <w:t>-15а походить з кластеру хромосомної ділянки 13q14, яка часто делетована при злоякісних новоутвореннях</w:t>
      </w:r>
      <w:r>
        <w:rPr>
          <w:rFonts w:ascii="Times New Roman" w:hAnsi="Times New Roman" w:cs="Times New Roman"/>
          <w:color w:val="000000" w:themeColor="text1"/>
          <w:sz w:val="28"/>
          <w:szCs w:val="28"/>
        </w:rPr>
        <w:t xml:space="preserve"> (рис 4.1)</w:t>
      </w:r>
      <w:r w:rsidRPr="00687291">
        <w:rPr>
          <w:rFonts w:ascii="Times New Roman" w:hAnsi="Times New Roman" w:cs="Times New Roman"/>
          <w:color w:val="000000" w:themeColor="text1"/>
          <w:sz w:val="28"/>
          <w:szCs w:val="28"/>
        </w:rPr>
        <w:t xml:space="preserve">. </w:t>
      </w:r>
    </w:p>
    <w:p w:rsidR="001A5726" w:rsidRDefault="001A5726" w:rsidP="001A5726">
      <w:pPr>
        <w:spacing w:line="360" w:lineRule="auto"/>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en-US"/>
        </w:rPr>
        <w:drawing>
          <wp:inline distT="0" distB="0" distL="0" distR="0" wp14:anchorId="6BDBF622" wp14:editId="707E63E5">
            <wp:extent cx="854959" cy="3491945"/>
            <wp:effectExtent l="0" t="4128"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hsa-mir-15a.gif"/>
                    <pic:cNvPicPr/>
                  </pic:nvPicPr>
                  <pic:blipFill rotWithShape="1">
                    <a:blip r:embed="rId85" cstate="print">
                      <a:extLst>
                        <a:ext uri="{28A0092B-C50C-407E-A947-70E740481C1C}">
                          <a14:useLocalDpi xmlns:a14="http://schemas.microsoft.com/office/drawing/2010/main" val="0"/>
                        </a:ext>
                      </a:extLst>
                    </a:blip>
                    <a:srcRect l="36722" t="8178" r="36658" b="7807"/>
                    <a:stretch/>
                  </pic:blipFill>
                  <pic:spPr bwMode="auto">
                    <a:xfrm rot="5400000">
                      <a:off x="0" y="0"/>
                      <a:ext cx="869338" cy="3550675"/>
                    </a:xfrm>
                    <a:prstGeom prst="rect">
                      <a:avLst/>
                    </a:prstGeom>
                    <a:ln>
                      <a:noFill/>
                    </a:ln>
                    <a:extLst>
                      <a:ext uri="{53640926-AAD7-44D8-BBD7-CCE9431645EC}">
                        <a14:shadowObscured xmlns:a14="http://schemas.microsoft.com/office/drawing/2010/main"/>
                      </a:ext>
                    </a:extLst>
                  </pic:spPr>
                </pic:pic>
              </a:graphicData>
            </a:graphic>
          </wp:inline>
        </w:drawing>
      </w:r>
    </w:p>
    <w:p w:rsidR="001A5726" w:rsidRDefault="001A5726" w:rsidP="008615D9">
      <w:pPr>
        <w:spacing w:line="360" w:lineRule="auto"/>
        <w:ind w:firstLine="70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4.1. Нуклеотидна послідовність міРНК</w:t>
      </w:r>
      <w:r w:rsidRPr="003008FB">
        <w:rPr>
          <w:rFonts w:ascii="Times New Roman" w:hAnsi="Times New Roman" w:cs="Times New Roman"/>
          <w:color w:val="000000" w:themeColor="text1"/>
          <w:sz w:val="28"/>
          <w:szCs w:val="28"/>
        </w:rPr>
        <w:t>-15а</w:t>
      </w:r>
    </w:p>
    <w:p w:rsidR="008615D9" w:rsidRDefault="008615D9" w:rsidP="008615D9">
      <w:pPr>
        <w:spacing w:line="360" w:lineRule="auto"/>
        <w:ind w:firstLine="708"/>
        <w:jc w:val="center"/>
        <w:rPr>
          <w:rFonts w:ascii="Times New Roman" w:hAnsi="Times New Roman" w:cs="Times New Roman"/>
          <w:color w:val="000000" w:themeColor="text1"/>
          <w:sz w:val="28"/>
          <w:szCs w:val="28"/>
        </w:rPr>
      </w:pPr>
    </w:p>
    <w:p w:rsidR="001A5726" w:rsidRDefault="001A5726" w:rsidP="001A5726">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Водночас, </w:t>
      </w:r>
      <w:r>
        <w:rPr>
          <w:rFonts w:ascii="Times New Roman" w:hAnsi="Times New Roman"/>
          <w:sz w:val="28"/>
          <w:szCs w:val="28"/>
        </w:rPr>
        <w:t>ядерне</w:t>
      </w:r>
      <w:r w:rsidRPr="00926079">
        <w:rPr>
          <w:rFonts w:ascii="Times New Roman" w:hAnsi="Times New Roman"/>
          <w:sz w:val="28"/>
          <w:szCs w:val="28"/>
        </w:rPr>
        <w:t xml:space="preserve"> </w:t>
      </w:r>
      <w:r w:rsidRPr="003638C7">
        <w:rPr>
          <w:rFonts w:ascii="Times New Roman" w:hAnsi="Times New Roman"/>
          <w:sz w:val="28"/>
          <w:szCs w:val="28"/>
        </w:rPr>
        <w:t>зв’язування</w:t>
      </w:r>
      <w:r w:rsidRPr="00926079">
        <w:rPr>
          <w:rFonts w:ascii="Times New Roman" w:hAnsi="Times New Roman"/>
          <w:sz w:val="28"/>
          <w:szCs w:val="28"/>
        </w:rPr>
        <w:t xml:space="preserve"> </w:t>
      </w:r>
      <w:r>
        <w:rPr>
          <w:rFonts w:ascii="Times New Roman" w:hAnsi="Times New Roman"/>
          <w:sz w:val="28"/>
          <w:szCs w:val="28"/>
          <w:lang w:val="en-US"/>
        </w:rPr>
        <w:t>pri</w:t>
      </w:r>
      <w:r>
        <w:rPr>
          <w:rFonts w:ascii="Times New Roman" w:hAnsi="Times New Roman"/>
          <w:sz w:val="28"/>
          <w:szCs w:val="28"/>
        </w:rPr>
        <w:t xml:space="preserve">-міРНК-15а є </w:t>
      </w:r>
      <w:r>
        <w:rPr>
          <w:rFonts w:ascii="Times New Roman" w:hAnsi="Times New Roman" w:cs="Times New Roman"/>
          <w:color w:val="000000" w:themeColor="text1"/>
          <w:sz w:val="28"/>
          <w:szCs w:val="28"/>
        </w:rPr>
        <w:t xml:space="preserve">однією із функцій протеїнкінази </w:t>
      </w:r>
      <w:r w:rsidRPr="00C4028B">
        <w:rPr>
          <w:rFonts w:ascii="Times New Roman" w:hAnsi="Times New Roman"/>
          <w:sz w:val="28"/>
          <w:szCs w:val="28"/>
          <w:lang w:val="en-US"/>
        </w:rPr>
        <w:t>Cα</w:t>
      </w:r>
      <w:r w:rsidRPr="009E6C7E">
        <w:rPr>
          <w:rFonts w:ascii="Times New Roman" w:hAnsi="Times New Roman"/>
          <w:sz w:val="28"/>
          <w:szCs w:val="28"/>
        </w:rPr>
        <w:t xml:space="preserve"> (</w:t>
      </w:r>
      <w:r w:rsidRPr="00C4028B">
        <w:rPr>
          <w:rFonts w:ascii="Times New Roman" w:hAnsi="Times New Roman"/>
          <w:sz w:val="28"/>
          <w:szCs w:val="28"/>
          <w:lang w:val="en-US"/>
        </w:rPr>
        <w:t>PKCα</w:t>
      </w:r>
      <w:r w:rsidRPr="009E6C7E">
        <w:rPr>
          <w:rFonts w:ascii="Times New Roman" w:hAnsi="Times New Roman"/>
          <w:sz w:val="28"/>
          <w:szCs w:val="28"/>
        </w:rPr>
        <w:t xml:space="preserve">), </w:t>
      </w:r>
      <w:r w:rsidRPr="00926079">
        <w:rPr>
          <w:rFonts w:ascii="Times New Roman" w:hAnsi="Times New Roman"/>
          <w:sz w:val="28"/>
          <w:szCs w:val="28"/>
        </w:rPr>
        <w:t>яка також відіграє в</w:t>
      </w:r>
      <w:r w:rsidRPr="003638C7">
        <w:rPr>
          <w:rFonts w:ascii="Times New Roman" w:hAnsi="Times New Roman"/>
          <w:sz w:val="28"/>
          <w:szCs w:val="28"/>
        </w:rPr>
        <w:t xml:space="preserve">ажливу </w:t>
      </w:r>
      <w:r>
        <w:rPr>
          <w:rFonts w:ascii="Times New Roman" w:hAnsi="Times New Roman"/>
          <w:sz w:val="28"/>
          <w:szCs w:val="28"/>
        </w:rPr>
        <w:t xml:space="preserve">роль ендотелін-1 </w:t>
      </w:r>
      <w:r w:rsidRPr="009E6C7E">
        <w:rPr>
          <w:rFonts w:ascii="Times New Roman" w:hAnsi="Times New Roman"/>
          <w:sz w:val="28"/>
          <w:szCs w:val="28"/>
        </w:rPr>
        <w:t>(</w:t>
      </w:r>
      <w:r w:rsidRPr="00C4028B">
        <w:rPr>
          <w:rFonts w:ascii="Times New Roman" w:hAnsi="Times New Roman"/>
          <w:sz w:val="28"/>
          <w:szCs w:val="28"/>
          <w:lang w:val="en-US"/>
        </w:rPr>
        <w:t>ET</w:t>
      </w:r>
      <w:r w:rsidRPr="009E6C7E">
        <w:rPr>
          <w:rFonts w:ascii="Times New Roman" w:hAnsi="Times New Roman"/>
          <w:sz w:val="28"/>
          <w:szCs w:val="28"/>
        </w:rPr>
        <w:t>-1)</w:t>
      </w:r>
      <w:r>
        <w:rPr>
          <w:rFonts w:ascii="Times New Roman" w:hAnsi="Times New Roman"/>
          <w:sz w:val="28"/>
          <w:szCs w:val="28"/>
        </w:rPr>
        <w:t xml:space="preserve"> опосередкованому сигналюванні – системі, яка втягнена у ріст пухлини. Окрім цього, міР-15а бере участь у неканонічному сигнальному шляху ядерного фактору </w:t>
      </w:r>
      <w:r w:rsidRPr="00C4028B">
        <w:rPr>
          <w:rFonts w:ascii="Times New Roman" w:hAnsi="Times New Roman"/>
          <w:color w:val="000000"/>
          <w:sz w:val="28"/>
          <w:szCs w:val="28"/>
          <w:shd w:val="clear" w:color="auto" w:fill="FFFFFF"/>
          <w:lang w:val="en-US"/>
        </w:rPr>
        <w:t>KappaB</w:t>
      </w:r>
      <w:r w:rsidRPr="009E6C7E">
        <w:rPr>
          <w:rFonts w:ascii="Times New Roman" w:hAnsi="Times New Roman"/>
          <w:color w:val="000000"/>
          <w:sz w:val="28"/>
          <w:szCs w:val="28"/>
          <w:shd w:val="clear" w:color="auto" w:fill="FFFFFF"/>
        </w:rPr>
        <w:t xml:space="preserve"> (</w:t>
      </w:r>
      <w:r w:rsidRPr="00C4028B">
        <w:rPr>
          <w:rStyle w:val="highlight"/>
          <w:rFonts w:ascii="Times New Roman" w:hAnsi="Times New Roman"/>
          <w:color w:val="000000"/>
          <w:sz w:val="28"/>
          <w:szCs w:val="28"/>
          <w:shd w:val="clear" w:color="auto" w:fill="FFFFFF"/>
          <w:lang w:val="en-US"/>
        </w:rPr>
        <w:t>NF</w:t>
      </w:r>
      <w:r w:rsidRPr="009E6C7E">
        <w:rPr>
          <w:rFonts w:ascii="Times New Roman" w:hAnsi="Times New Roman"/>
          <w:color w:val="000000"/>
          <w:sz w:val="28"/>
          <w:szCs w:val="28"/>
          <w:shd w:val="clear" w:color="auto" w:fill="FFFFFF"/>
        </w:rPr>
        <w:t>-</w:t>
      </w:r>
      <w:r w:rsidRPr="00C4028B">
        <w:rPr>
          <w:rFonts w:ascii="Times New Roman" w:hAnsi="Times New Roman"/>
          <w:color w:val="000000"/>
          <w:sz w:val="28"/>
          <w:szCs w:val="28"/>
          <w:shd w:val="clear" w:color="auto" w:fill="FFFFFF"/>
          <w:lang w:val="en-US"/>
        </w:rPr>
        <w:t>κB</w:t>
      </w:r>
      <w:r w:rsidRPr="009E6C7E">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 xml:space="preserve">, який регулює резистентність до апоптозу, ангіогенез та мультирезистентність до терапевтичних агентів. В той же час, ген </w:t>
      </w:r>
      <w:r w:rsidRPr="00C4028B">
        <w:rPr>
          <w:rFonts w:ascii="Times New Roman" w:hAnsi="Times New Roman"/>
          <w:color w:val="000000"/>
          <w:sz w:val="28"/>
          <w:szCs w:val="28"/>
          <w:shd w:val="clear" w:color="auto" w:fill="FFFFFF"/>
          <w:lang w:val="en-US"/>
        </w:rPr>
        <w:t>von</w:t>
      </w:r>
      <w:r w:rsidRPr="009E6C7E">
        <w:rPr>
          <w:rFonts w:ascii="Times New Roman" w:hAnsi="Times New Roman"/>
          <w:color w:val="000000"/>
          <w:sz w:val="28"/>
          <w:szCs w:val="28"/>
          <w:shd w:val="clear" w:color="auto" w:fill="FFFFFF"/>
          <w:lang w:val="ru-RU"/>
        </w:rPr>
        <w:t xml:space="preserve"> </w:t>
      </w:r>
      <w:r w:rsidRPr="00C4028B">
        <w:rPr>
          <w:rFonts w:ascii="Times New Roman" w:hAnsi="Times New Roman"/>
          <w:color w:val="000000"/>
          <w:sz w:val="28"/>
          <w:szCs w:val="28"/>
          <w:shd w:val="clear" w:color="auto" w:fill="FFFFFF"/>
          <w:lang w:val="en-US"/>
        </w:rPr>
        <w:t>Hippel</w:t>
      </w:r>
      <w:r w:rsidRPr="009E6C7E">
        <w:rPr>
          <w:rFonts w:ascii="Times New Roman" w:hAnsi="Times New Roman"/>
          <w:color w:val="000000"/>
          <w:sz w:val="28"/>
          <w:szCs w:val="28"/>
          <w:shd w:val="clear" w:color="auto" w:fill="FFFFFF"/>
          <w:lang w:val="ru-RU"/>
        </w:rPr>
        <w:t xml:space="preserve"> </w:t>
      </w:r>
      <w:r w:rsidRPr="00C4028B">
        <w:rPr>
          <w:rFonts w:ascii="Times New Roman" w:hAnsi="Times New Roman"/>
          <w:color w:val="000000"/>
          <w:sz w:val="28"/>
          <w:szCs w:val="28"/>
          <w:shd w:val="clear" w:color="auto" w:fill="FFFFFF"/>
          <w:lang w:val="en-US"/>
        </w:rPr>
        <w:t>Lindau</w:t>
      </w:r>
      <w:r w:rsidRPr="009E6C7E">
        <w:rPr>
          <w:rFonts w:ascii="Times New Roman" w:hAnsi="Times New Roman"/>
          <w:color w:val="000000"/>
          <w:sz w:val="28"/>
          <w:szCs w:val="28"/>
          <w:shd w:val="clear" w:color="auto" w:fill="FFFFFF"/>
          <w:lang w:val="ru-RU"/>
        </w:rPr>
        <w:t xml:space="preserve"> </w:t>
      </w:r>
      <w:r>
        <w:rPr>
          <w:rFonts w:ascii="Times New Roman" w:hAnsi="Times New Roman"/>
          <w:color w:val="000000"/>
          <w:sz w:val="28"/>
          <w:szCs w:val="28"/>
          <w:shd w:val="clear" w:color="auto" w:fill="FFFFFF"/>
        </w:rPr>
        <w:t xml:space="preserve">є негативним регулятором </w:t>
      </w:r>
      <w:r w:rsidRPr="00C4028B">
        <w:rPr>
          <w:rStyle w:val="highlight"/>
          <w:rFonts w:ascii="Times New Roman" w:hAnsi="Times New Roman"/>
          <w:color w:val="000000"/>
          <w:sz w:val="28"/>
          <w:szCs w:val="28"/>
          <w:shd w:val="clear" w:color="auto" w:fill="FFFFFF"/>
          <w:lang w:val="en-US"/>
        </w:rPr>
        <w:t>NF</w:t>
      </w:r>
      <w:r w:rsidRPr="009E6C7E">
        <w:rPr>
          <w:rFonts w:ascii="Times New Roman" w:hAnsi="Times New Roman"/>
          <w:color w:val="000000"/>
          <w:sz w:val="28"/>
          <w:szCs w:val="28"/>
          <w:shd w:val="clear" w:color="auto" w:fill="FFFFFF"/>
          <w:lang w:val="ru-RU"/>
        </w:rPr>
        <w:t>-</w:t>
      </w:r>
      <w:r w:rsidRPr="00C4028B">
        <w:rPr>
          <w:rFonts w:ascii="Times New Roman" w:hAnsi="Times New Roman"/>
          <w:color w:val="000000"/>
          <w:sz w:val="28"/>
          <w:szCs w:val="28"/>
          <w:shd w:val="clear" w:color="auto" w:fill="FFFFFF"/>
          <w:lang w:val="en-US"/>
        </w:rPr>
        <w:t>κB</w:t>
      </w:r>
      <w:r>
        <w:rPr>
          <w:rFonts w:ascii="Times New Roman" w:hAnsi="Times New Roman"/>
          <w:color w:val="000000"/>
          <w:sz w:val="28"/>
          <w:szCs w:val="28"/>
          <w:shd w:val="clear" w:color="auto" w:fill="FFFFFF"/>
        </w:rPr>
        <w:t xml:space="preserve">. Такі дані свідчать про </w:t>
      </w:r>
      <w:r>
        <w:rPr>
          <w:rFonts w:ascii="Times New Roman" w:hAnsi="Times New Roman"/>
          <w:color w:val="000000"/>
          <w:sz w:val="28"/>
          <w:szCs w:val="28"/>
          <w:shd w:val="clear" w:color="auto" w:fill="FFFFFF"/>
        </w:rPr>
        <w:lastRenderedPageBreak/>
        <w:t>потенційно важливу роль міРНК-15а у розвитку і НКР, проте, можливості застосування її експресії для діагностики цього захворювання є невивченими.</w:t>
      </w:r>
    </w:p>
    <w:p w:rsidR="001A5726" w:rsidRPr="00687291" w:rsidRDefault="001A5726" w:rsidP="001A5726">
      <w:pPr>
        <w:spacing w:line="360" w:lineRule="auto"/>
        <w:ind w:firstLine="708"/>
        <w:jc w:val="both"/>
        <w:rPr>
          <w:rFonts w:ascii="Times New Roman" w:hAnsi="Times New Roman" w:cs="Times New Roman"/>
          <w:b/>
          <w:sz w:val="28"/>
          <w:szCs w:val="28"/>
        </w:rPr>
      </w:pPr>
      <w:r w:rsidRPr="00687291">
        <w:rPr>
          <w:rFonts w:ascii="Times New Roman" w:hAnsi="Times New Roman" w:cs="Times New Roman"/>
          <w:color w:val="000000" w:themeColor="text1"/>
          <w:sz w:val="28"/>
          <w:szCs w:val="28"/>
        </w:rPr>
        <w:t xml:space="preserve">Метою дослідження було оцінити можливість використання експресії </w:t>
      </w:r>
      <w:r w:rsidRPr="00687291">
        <w:rPr>
          <w:rFonts w:ascii="Times New Roman" w:hAnsi="Times New Roman" w:cs="Times New Roman"/>
          <w:sz w:val="28"/>
          <w:szCs w:val="28"/>
        </w:rPr>
        <w:t>miRNA-15а у сечі хворих у якості потенційного молекулярного діагностичного біомаркеру НКР.</w:t>
      </w:r>
      <w:r w:rsidRPr="00687291">
        <w:rPr>
          <w:rFonts w:ascii="Times New Roman" w:hAnsi="Times New Roman" w:cs="Times New Roman"/>
          <w:b/>
          <w:sz w:val="28"/>
          <w:szCs w:val="28"/>
        </w:rPr>
        <w:t xml:space="preserve"> </w:t>
      </w:r>
      <w:r w:rsidRPr="00687291">
        <w:rPr>
          <w:rFonts w:ascii="Times New Roman" w:hAnsi="Times New Roman" w:cs="Times New Roman"/>
          <w:sz w:val="28"/>
          <w:szCs w:val="28"/>
          <w:shd w:val="clear" w:color="auto" w:fill="FFFFFF"/>
        </w:rPr>
        <w:t>Дослідження проводилось на базі клініки кафедри урології ФПДО</w:t>
      </w:r>
      <w:r w:rsidRPr="00687291">
        <w:rPr>
          <w:rFonts w:ascii="Times New Roman" w:hAnsi="Times New Roman" w:cs="Times New Roman"/>
          <w:sz w:val="28"/>
          <w:szCs w:val="28"/>
        </w:rPr>
        <w:t xml:space="preserve"> та Відділу загальної та молекулярної патофізіології</w:t>
      </w:r>
      <w:r w:rsidRPr="00687291">
        <w:rPr>
          <w:rFonts w:ascii="Times New Roman" w:hAnsi="Times New Roman" w:cs="Times New Roman"/>
          <w:bCs/>
          <w:sz w:val="28"/>
          <w:szCs w:val="28"/>
        </w:rPr>
        <w:t xml:space="preserve"> Інституту фізіології ім. О.О. Богомольця НАН України впродовж 2015-2018 рр.</w:t>
      </w:r>
    </w:p>
    <w:p w:rsidR="001A5726" w:rsidRPr="00687291" w:rsidRDefault="001A5726" w:rsidP="001A5726">
      <w:pPr>
        <w:spacing w:after="0" w:line="360" w:lineRule="auto"/>
        <w:ind w:firstLine="708"/>
        <w:jc w:val="both"/>
        <w:rPr>
          <w:rFonts w:ascii="Times New Roman" w:hAnsi="Times New Roman" w:cs="Times New Roman"/>
          <w:color w:val="000000" w:themeColor="text1"/>
          <w:sz w:val="28"/>
          <w:szCs w:val="28"/>
          <w:shd w:val="clear" w:color="auto" w:fill="FFFFFF"/>
        </w:rPr>
      </w:pPr>
      <w:r w:rsidRPr="00687291">
        <w:rPr>
          <w:rFonts w:ascii="Times New Roman" w:hAnsi="Times New Roman" w:cs="Times New Roman"/>
          <w:sz w:val="28"/>
          <w:szCs w:val="28"/>
        </w:rPr>
        <w:t xml:space="preserve">У дослідження було </w:t>
      </w:r>
      <w:r>
        <w:rPr>
          <w:rFonts w:ascii="Times New Roman" w:hAnsi="Times New Roman" w:cs="Times New Roman"/>
          <w:sz w:val="28"/>
          <w:szCs w:val="28"/>
        </w:rPr>
        <w:t>включено</w:t>
      </w:r>
      <w:r w:rsidRPr="00687291">
        <w:rPr>
          <w:rFonts w:ascii="Times New Roman" w:hAnsi="Times New Roman" w:cs="Times New Roman"/>
          <w:sz w:val="28"/>
          <w:szCs w:val="28"/>
        </w:rPr>
        <w:t xml:space="preserve"> 67 дорослих хворих із солідними нирковими новоутворами за даними клінічних та променевих обстежень, яким була виконана радикальна чи парціальна нефректомія із наступним патоморфологічним аналізом. Радикальна нефректомія була виконана у </w:t>
      </w:r>
      <w:r w:rsidRPr="00687291">
        <w:rPr>
          <w:rFonts w:ascii="Times New Roman" w:hAnsi="Times New Roman" w:cs="Times New Roman"/>
          <w:color w:val="000000" w:themeColor="text1"/>
          <w:sz w:val="28"/>
          <w:szCs w:val="28"/>
          <w:shd w:val="clear" w:color="auto" w:fill="FFFFFF"/>
        </w:rPr>
        <w:t xml:space="preserve">42 (80,77%) пацієнтів, у решти 10 (19,23%) випадках була проведена парціальна нефректомія. Гендерний розподіл був наступним: 41 (61,19%) чоловік та 26 жінок (38,81%). Вік хворих коливався від 46 до 69 років (середній – </w:t>
      </w:r>
      <w:r w:rsidRPr="00687291">
        <w:rPr>
          <w:rStyle w:val="apple-converted-space"/>
          <w:sz w:val="28"/>
          <w:szCs w:val="28"/>
          <w:shd w:val="clear" w:color="auto" w:fill="FFFFFF"/>
        </w:rPr>
        <w:t>60,19</w:t>
      </w:r>
      <w:r w:rsidRPr="00687291">
        <w:rPr>
          <w:rFonts w:ascii="Times New Roman" w:hAnsi="Times New Roman" w:cs="Times New Roman"/>
          <w:sz w:val="28"/>
          <w:szCs w:val="28"/>
        </w:rPr>
        <w:t xml:space="preserve">±6,36 років). Розмір пухлин варіювався від 2,08 до 12,7 см, середній розмір становив 7,01±2,08 см. </w:t>
      </w:r>
      <w:r w:rsidRPr="00687291">
        <w:rPr>
          <w:rFonts w:ascii="Times New Roman" w:hAnsi="Times New Roman" w:cs="Times New Roman"/>
          <w:color w:val="000000" w:themeColor="text1"/>
          <w:sz w:val="28"/>
          <w:szCs w:val="28"/>
          <w:shd w:val="clear" w:color="auto" w:fill="FFFFFF"/>
        </w:rPr>
        <w:t>Діагноз НКР був у 52 (77,61%) хворих, ОЦ нирки – у 8 (11,94%) пацієнтів, ПА нирки – у 2 (2,99%) хворих, та АМЛ нирки – у 5 (7,46%) пацієнтів.</w:t>
      </w:r>
      <w:r>
        <w:rPr>
          <w:rFonts w:ascii="Times New Roman" w:hAnsi="Times New Roman" w:cs="Times New Roman"/>
          <w:color w:val="000000" w:themeColor="text1"/>
          <w:sz w:val="28"/>
          <w:szCs w:val="28"/>
          <w:shd w:val="clear" w:color="auto" w:fill="FFFFFF"/>
        </w:rPr>
        <w:t xml:space="preserve"> В дослідження не входили хворі із двостороннім ураженням нирок, хронічними чи гострими запальними процесами сечовивідних шляхів та вираженою нирковою недостатністю.</w:t>
      </w:r>
    </w:p>
    <w:p w:rsidR="001A5726" w:rsidRPr="00687291" w:rsidRDefault="001A5726" w:rsidP="00C1115E">
      <w:pPr>
        <w:spacing w:after="0" w:line="360" w:lineRule="auto"/>
        <w:ind w:firstLine="708"/>
        <w:jc w:val="both"/>
        <w:rPr>
          <w:rFonts w:ascii="Times New Roman" w:hAnsi="Times New Roman" w:cs="Times New Roman"/>
          <w:sz w:val="28"/>
          <w:szCs w:val="28"/>
        </w:rPr>
      </w:pPr>
      <w:r w:rsidRPr="00687291">
        <w:rPr>
          <w:rFonts w:ascii="Times New Roman" w:hAnsi="Times New Roman" w:cs="Times New Roman"/>
          <w:color w:val="000000" w:themeColor="text1"/>
          <w:sz w:val="28"/>
          <w:szCs w:val="28"/>
          <w:shd w:val="clear" w:color="auto" w:fill="FFFFFF"/>
        </w:rPr>
        <w:t xml:space="preserve">Всі випадки НКР були класифіковані відповідно до гістологічного підтипу НКР: світлоклітинний НКР (скНКР, n=22), папілярний НКР (пНКР, n=16) та хромофобний НКР (хрНКР, n=14). Спрощена двоступенева класифікація за Fuhrman була застосована для визначення </w:t>
      </w:r>
      <w:r w:rsidR="00B02037">
        <w:rPr>
          <w:rFonts w:ascii="Times New Roman" w:hAnsi="Times New Roman" w:cs="Times New Roman"/>
          <w:color w:val="000000" w:themeColor="text1"/>
          <w:sz w:val="28"/>
          <w:szCs w:val="28"/>
          <w:shd w:val="clear" w:color="auto" w:fill="FFFFFF"/>
        </w:rPr>
        <w:t>ступеня</w:t>
      </w:r>
      <w:r w:rsidRPr="00687291">
        <w:rPr>
          <w:rFonts w:ascii="Times New Roman" w:hAnsi="Times New Roman" w:cs="Times New Roman"/>
          <w:color w:val="000000" w:themeColor="text1"/>
          <w:sz w:val="28"/>
          <w:szCs w:val="28"/>
          <w:shd w:val="clear" w:color="auto" w:fill="FFFFFF"/>
        </w:rPr>
        <w:t xml:space="preserve"> диференціації пухлини, згідно якою І та ІІ ступені були згруповані (n=12), а також поєднані ІІ та IV ступені (n=10). Згідно класифікації </w:t>
      </w:r>
      <w:r w:rsidRPr="00926079">
        <w:rPr>
          <w:rFonts w:ascii="Times New Roman" w:hAnsi="Times New Roman" w:cs="Times New Roman"/>
          <w:color w:val="000000" w:themeColor="text1"/>
          <w:sz w:val="28"/>
          <w:szCs w:val="28"/>
          <w:shd w:val="clear" w:color="auto" w:fill="FFFFFF"/>
        </w:rPr>
        <w:t xml:space="preserve">TNM </w:t>
      </w:r>
      <w:r w:rsidRPr="00687291">
        <w:rPr>
          <w:rFonts w:ascii="Times New Roman" w:hAnsi="Times New Roman" w:cs="Times New Roman"/>
          <w:color w:val="000000" w:themeColor="text1"/>
          <w:sz w:val="28"/>
          <w:szCs w:val="28"/>
          <w:shd w:val="clear" w:color="auto" w:fill="FFFFFF"/>
        </w:rPr>
        <w:t xml:space="preserve">усі випадки НКР були класифіковані наступним чином: </w:t>
      </w:r>
      <w:r w:rsidRPr="00687291">
        <w:rPr>
          <w:rFonts w:ascii="Times New Roman" w:hAnsi="Times New Roman" w:cs="Times New Roman"/>
          <w:sz w:val="28"/>
          <w:szCs w:val="28"/>
        </w:rPr>
        <w:t xml:space="preserve">T1aN0M0 (n=13, 25,0%), T1bN0M0 (n=15, 28,85%), T2aN0M0 (n=12, 23,08%), T2bN0M0 (n=5, 9,62%), T3aN0M0 </w:t>
      </w:r>
      <w:r w:rsidRPr="00687291">
        <w:rPr>
          <w:rFonts w:ascii="Times New Roman" w:hAnsi="Times New Roman" w:cs="Times New Roman"/>
          <w:sz w:val="28"/>
          <w:szCs w:val="28"/>
        </w:rPr>
        <w:lastRenderedPageBreak/>
        <w:t>(n=4, 7,69%), T3aN1M0 (n=3, 5,77%). У 9 (17,31%) хворих із НКР був пато</w:t>
      </w:r>
      <w:r>
        <w:rPr>
          <w:rFonts w:ascii="Times New Roman" w:hAnsi="Times New Roman" w:cs="Times New Roman"/>
          <w:sz w:val="28"/>
          <w:szCs w:val="28"/>
        </w:rPr>
        <w:t>морфо</w:t>
      </w:r>
      <w:r w:rsidRPr="00687291">
        <w:rPr>
          <w:rFonts w:ascii="Times New Roman" w:hAnsi="Times New Roman" w:cs="Times New Roman"/>
          <w:sz w:val="28"/>
          <w:szCs w:val="28"/>
        </w:rPr>
        <w:t xml:space="preserve">логічно виявлений некроз пухлини, та у жодному випадку не спостерігалась саркоматоїдна чи рабдоїдна диференціація. У всіх АМЛ спостерігався варіант з низьким вмістом жиру. </w:t>
      </w:r>
      <w:r w:rsidRPr="00687291">
        <w:rPr>
          <w:rFonts w:ascii="Times New Roman" w:hAnsi="Times New Roman" w:cs="Times New Roman"/>
          <w:color w:val="000000" w:themeColor="text1"/>
          <w:sz w:val="28"/>
          <w:szCs w:val="28"/>
          <w:shd w:val="clear" w:color="auto" w:fill="FFFFFF"/>
        </w:rPr>
        <w:t>Характеристика досліджуваних груп хворих наведена у таблиці 4.1.</w:t>
      </w:r>
    </w:p>
    <w:p w:rsidR="001A5726" w:rsidRPr="00687291" w:rsidRDefault="001A5726" w:rsidP="001A5726">
      <w:pPr>
        <w:spacing w:line="360" w:lineRule="auto"/>
        <w:jc w:val="right"/>
        <w:rPr>
          <w:rFonts w:ascii="Times New Roman" w:hAnsi="Times New Roman" w:cs="Times New Roman"/>
          <w:sz w:val="28"/>
          <w:szCs w:val="28"/>
        </w:rPr>
      </w:pPr>
      <w:r w:rsidRPr="00687291">
        <w:rPr>
          <w:rFonts w:ascii="Times New Roman" w:hAnsi="Times New Roman" w:cs="Times New Roman"/>
          <w:sz w:val="28"/>
          <w:szCs w:val="28"/>
        </w:rPr>
        <w:t xml:space="preserve">Таблиця 4.1 </w:t>
      </w:r>
    </w:p>
    <w:p w:rsidR="001A5726" w:rsidRPr="00687291" w:rsidRDefault="001A5726" w:rsidP="001A5726">
      <w:pPr>
        <w:spacing w:line="360" w:lineRule="auto"/>
        <w:jc w:val="center"/>
        <w:rPr>
          <w:rFonts w:ascii="Times New Roman" w:hAnsi="Times New Roman" w:cs="Times New Roman"/>
          <w:sz w:val="28"/>
          <w:szCs w:val="28"/>
        </w:rPr>
      </w:pPr>
      <w:r w:rsidRPr="00687291">
        <w:rPr>
          <w:rFonts w:ascii="Times New Roman" w:hAnsi="Times New Roman" w:cs="Times New Roman"/>
          <w:sz w:val="28"/>
          <w:szCs w:val="28"/>
        </w:rPr>
        <w:t>Детальна характеристика підгруп хворих</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397"/>
        <w:gridCol w:w="709"/>
        <w:gridCol w:w="709"/>
        <w:gridCol w:w="709"/>
        <w:gridCol w:w="1701"/>
        <w:gridCol w:w="2126"/>
      </w:tblGrid>
      <w:tr w:rsidR="001A5726" w:rsidRPr="00687291" w:rsidTr="001F0C51">
        <w:trPr>
          <w:trHeight w:val="279"/>
        </w:trPr>
        <w:tc>
          <w:tcPr>
            <w:tcW w:w="3397" w:type="dxa"/>
          </w:tcPr>
          <w:p w:rsidR="001A5726" w:rsidRPr="00687291" w:rsidRDefault="001A5726" w:rsidP="001F0C51">
            <w:pPr>
              <w:spacing w:after="0" w:line="240" w:lineRule="auto"/>
              <w:rPr>
                <w:rFonts w:ascii="Times New Roman" w:hAnsi="Times New Roman" w:cs="Times New Roman"/>
                <w:b/>
                <w:sz w:val="28"/>
                <w:szCs w:val="28"/>
              </w:rPr>
            </w:pPr>
            <w:r w:rsidRPr="00687291">
              <w:rPr>
                <w:rFonts w:ascii="Times New Roman" w:hAnsi="Times New Roman" w:cs="Times New Roman"/>
                <w:b/>
                <w:sz w:val="28"/>
                <w:szCs w:val="28"/>
              </w:rPr>
              <w:t>Тип пухлини</w:t>
            </w:r>
          </w:p>
        </w:tc>
        <w:tc>
          <w:tcPr>
            <w:tcW w:w="709" w:type="dxa"/>
          </w:tcPr>
          <w:p w:rsidR="001A5726" w:rsidRPr="00687291" w:rsidRDefault="001A5726" w:rsidP="001F0C51">
            <w:pPr>
              <w:spacing w:after="0" w:line="240" w:lineRule="auto"/>
              <w:rPr>
                <w:rFonts w:ascii="Times New Roman" w:hAnsi="Times New Roman" w:cs="Times New Roman"/>
                <w:b/>
                <w:sz w:val="28"/>
                <w:szCs w:val="28"/>
              </w:rPr>
            </w:pPr>
            <w:r w:rsidRPr="00687291">
              <w:rPr>
                <w:rFonts w:ascii="Times New Roman" w:hAnsi="Times New Roman" w:cs="Times New Roman"/>
                <w:b/>
                <w:sz w:val="28"/>
                <w:szCs w:val="28"/>
              </w:rPr>
              <w:t>N</w:t>
            </w:r>
          </w:p>
        </w:tc>
        <w:tc>
          <w:tcPr>
            <w:tcW w:w="709" w:type="dxa"/>
          </w:tcPr>
          <w:p w:rsidR="001A5726" w:rsidRPr="00687291" w:rsidRDefault="001A5726" w:rsidP="001F0C51">
            <w:pPr>
              <w:spacing w:after="0" w:line="240" w:lineRule="auto"/>
              <w:rPr>
                <w:rFonts w:ascii="Times New Roman" w:hAnsi="Times New Roman" w:cs="Times New Roman"/>
                <w:b/>
                <w:sz w:val="28"/>
                <w:szCs w:val="28"/>
              </w:rPr>
            </w:pPr>
            <w:r w:rsidRPr="00687291">
              <w:rPr>
                <w:rFonts w:ascii="Times New Roman" w:hAnsi="Times New Roman" w:cs="Times New Roman"/>
                <w:b/>
                <w:sz w:val="28"/>
                <w:szCs w:val="28"/>
              </w:rPr>
              <w:t xml:space="preserve">Ч </w:t>
            </w:r>
          </w:p>
        </w:tc>
        <w:tc>
          <w:tcPr>
            <w:tcW w:w="709" w:type="dxa"/>
          </w:tcPr>
          <w:p w:rsidR="001A5726" w:rsidRPr="00687291" w:rsidRDefault="001A5726" w:rsidP="001F0C51">
            <w:pPr>
              <w:spacing w:after="0" w:line="240" w:lineRule="auto"/>
              <w:rPr>
                <w:rFonts w:ascii="Times New Roman" w:hAnsi="Times New Roman" w:cs="Times New Roman"/>
                <w:b/>
                <w:sz w:val="28"/>
                <w:szCs w:val="28"/>
              </w:rPr>
            </w:pPr>
            <w:r w:rsidRPr="00687291">
              <w:rPr>
                <w:rFonts w:ascii="Times New Roman" w:hAnsi="Times New Roman" w:cs="Times New Roman"/>
                <w:b/>
                <w:sz w:val="28"/>
                <w:szCs w:val="28"/>
              </w:rPr>
              <w:t>Ж</w:t>
            </w:r>
          </w:p>
        </w:tc>
        <w:tc>
          <w:tcPr>
            <w:tcW w:w="1701" w:type="dxa"/>
          </w:tcPr>
          <w:p w:rsidR="001A5726" w:rsidRPr="00687291" w:rsidRDefault="001A5726" w:rsidP="001F0C51">
            <w:pPr>
              <w:spacing w:after="0" w:line="240" w:lineRule="auto"/>
              <w:rPr>
                <w:rFonts w:ascii="Times New Roman" w:hAnsi="Times New Roman" w:cs="Times New Roman"/>
                <w:b/>
                <w:sz w:val="28"/>
                <w:szCs w:val="28"/>
              </w:rPr>
            </w:pPr>
            <w:r w:rsidRPr="00687291">
              <w:rPr>
                <w:rFonts w:ascii="Times New Roman" w:hAnsi="Times New Roman" w:cs="Times New Roman"/>
                <w:b/>
                <w:sz w:val="28"/>
                <w:szCs w:val="28"/>
              </w:rPr>
              <w:t>Середній вік, (роки, середнє ± СВ)</w:t>
            </w:r>
          </w:p>
        </w:tc>
        <w:tc>
          <w:tcPr>
            <w:tcW w:w="2126" w:type="dxa"/>
          </w:tcPr>
          <w:p w:rsidR="001A5726" w:rsidRPr="00687291" w:rsidRDefault="001A5726" w:rsidP="001F0C51">
            <w:pPr>
              <w:spacing w:after="0" w:line="240" w:lineRule="auto"/>
              <w:rPr>
                <w:rFonts w:ascii="Times New Roman" w:hAnsi="Times New Roman" w:cs="Times New Roman"/>
                <w:b/>
                <w:sz w:val="28"/>
                <w:szCs w:val="28"/>
              </w:rPr>
            </w:pPr>
            <w:r w:rsidRPr="00687291">
              <w:rPr>
                <w:rFonts w:ascii="Times New Roman" w:hAnsi="Times New Roman" w:cs="Times New Roman"/>
                <w:b/>
                <w:sz w:val="28"/>
                <w:szCs w:val="28"/>
              </w:rPr>
              <w:t>Середній розмір пухлини, (см, середнє ± СВ)</w:t>
            </w:r>
          </w:p>
        </w:tc>
      </w:tr>
      <w:tr w:rsidR="001A5726" w:rsidRPr="00687291" w:rsidTr="001F0C51">
        <w:trPr>
          <w:trHeight w:val="115"/>
        </w:trPr>
        <w:tc>
          <w:tcPr>
            <w:tcW w:w="3397" w:type="dxa"/>
          </w:tcPr>
          <w:p w:rsidR="001A5726" w:rsidRPr="00687291" w:rsidRDefault="001A5726" w:rsidP="001F0C51">
            <w:pPr>
              <w:spacing w:after="0" w:line="240" w:lineRule="auto"/>
              <w:jc w:val="both"/>
              <w:rPr>
                <w:rFonts w:ascii="Times New Roman" w:hAnsi="Times New Roman" w:cs="Times New Roman"/>
                <w:b/>
                <w:sz w:val="28"/>
                <w:szCs w:val="28"/>
              </w:rPr>
            </w:pPr>
            <w:r w:rsidRPr="00687291">
              <w:rPr>
                <w:rFonts w:ascii="Times New Roman" w:hAnsi="Times New Roman" w:cs="Times New Roman"/>
                <w:b/>
                <w:sz w:val="28"/>
                <w:szCs w:val="28"/>
              </w:rPr>
              <w:t>НКР</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52</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32</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20</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60,77±6,31</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7,10±2,96</w:t>
            </w:r>
          </w:p>
        </w:tc>
      </w:tr>
      <w:tr w:rsidR="001A5726" w:rsidRPr="00687291" w:rsidTr="001F0C51">
        <w:trPr>
          <w:trHeight w:val="121"/>
        </w:trPr>
        <w:tc>
          <w:tcPr>
            <w:tcW w:w="3397" w:type="dxa"/>
          </w:tcPr>
          <w:p w:rsidR="001A5726" w:rsidRPr="00687291" w:rsidRDefault="001A5726" w:rsidP="001F0C51">
            <w:pPr>
              <w:spacing w:after="0" w:line="240" w:lineRule="auto"/>
              <w:jc w:val="both"/>
              <w:rPr>
                <w:rFonts w:ascii="Times New Roman" w:hAnsi="Times New Roman" w:cs="Times New Roman"/>
                <w:b/>
                <w:sz w:val="28"/>
                <w:szCs w:val="28"/>
              </w:rPr>
            </w:pPr>
            <w:r w:rsidRPr="00687291">
              <w:rPr>
                <w:rFonts w:ascii="Times New Roman" w:hAnsi="Times New Roman" w:cs="Times New Roman"/>
                <w:b/>
                <w:sz w:val="28"/>
                <w:szCs w:val="28"/>
              </w:rPr>
              <w:t>скНКР</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22</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13</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9</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60,59±6,08</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7,18±3,10</w:t>
            </w:r>
          </w:p>
        </w:tc>
      </w:tr>
      <w:tr w:rsidR="001A5726" w:rsidRPr="00687291" w:rsidTr="001F0C51">
        <w:trPr>
          <w:trHeight w:val="115"/>
        </w:trPr>
        <w:tc>
          <w:tcPr>
            <w:tcW w:w="3397" w:type="dxa"/>
          </w:tcPr>
          <w:p w:rsidR="001A5726" w:rsidRPr="00687291" w:rsidRDefault="001A5726" w:rsidP="001F0C51">
            <w:pPr>
              <w:spacing w:after="0" w:line="240" w:lineRule="auto"/>
              <w:jc w:val="both"/>
              <w:rPr>
                <w:rFonts w:ascii="Times New Roman" w:hAnsi="Times New Roman" w:cs="Times New Roman"/>
                <w:b/>
                <w:sz w:val="28"/>
                <w:szCs w:val="28"/>
              </w:rPr>
            </w:pPr>
            <w:r w:rsidRPr="00687291">
              <w:rPr>
                <w:rFonts w:ascii="Times New Roman" w:hAnsi="Times New Roman" w:cs="Times New Roman"/>
                <w:b/>
                <w:sz w:val="28"/>
                <w:szCs w:val="28"/>
              </w:rPr>
              <w:t>пНКР</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16</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11</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5</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61,06±5,58</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6,79±2,74</w:t>
            </w:r>
          </w:p>
        </w:tc>
      </w:tr>
      <w:tr w:rsidR="001A5726" w:rsidRPr="00687291" w:rsidTr="001F0C51">
        <w:trPr>
          <w:trHeight w:val="115"/>
        </w:trPr>
        <w:tc>
          <w:tcPr>
            <w:tcW w:w="3397" w:type="dxa"/>
          </w:tcPr>
          <w:p w:rsidR="001A5726" w:rsidRPr="00687291" w:rsidRDefault="001A5726" w:rsidP="001F0C51">
            <w:pPr>
              <w:spacing w:after="0" w:line="240" w:lineRule="auto"/>
              <w:jc w:val="both"/>
              <w:rPr>
                <w:rFonts w:ascii="Times New Roman" w:hAnsi="Times New Roman" w:cs="Times New Roman"/>
                <w:b/>
                <w:sz w:val="28"/>
                <w:szCs w:val="28"/>
              </w:rPr>
            </w:pPr>
            <w:r w:rsidRPr="00687291">
              <w:rPr>
                <w:rFonts w:ascii="Times New Roman" w:hAnsi="Times New Roman" w:cs="Times New Roman"/>
                <w:b/>
                <w:sz w:val="28"/>
                <w:szCs w:val="28"/>
              </w:rPr>
              <w:t>хрНКР</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14</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8</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60,71±7,78</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7,34±3,16</w:t>
            </w:r>
          </w:p>
        </w:tc>
      </w:tr>
      <w:tr w:rsidR="001A5726" w:rsidRPr="00687291" w:rsidTr="001F0C51">
        <w:trPr>
          <w:trHeight w:val="115"/>
        </w:trPr>
        <w:tc>
          <w:tcPr>
            <w:tcW w:w="3397" w:type="dxa"/>
          </w:tcPr>
          <w:p w:rsidR="001A5726" w:rsidRPr="00687291" w:rsidRDefault="001A5726" w:rsidP="001F0C51">
            <w:pPr>
              <w:spacing w:after="0" w:line="240" w:lineRule="auto"/>
              <w:jc w:val="both"/>
              <w:rPr>
                <w:rFonts w:ascii="Times New Roman" w:hAnsi="Times New Roman" w:cs="Times New Roman"/>
                <w:b/>
                <w:sz w:val="28"/>
                <w:szCs w:val="28"/>
              </w:rPr>
            </w:pPr>
            <w:r w:rsidRPr="00687291">
              <w:rPr>
                <w:rFonts w:ascii="Times New Roman" w:hAnsi="Times New Roman" w:cs="Times New Roman"/>
                <w:b/>
                <w:sz w:val="28"/>
                <w:szCs w:val="28"/>
              </w:rPr>
              <w:t>Доброякісні пухлини</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15</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9</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58,20±6,33</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6,70±2,57</w:t>
            </w:r>
          </w:p>
        </w:tc>
      </w:tr>
      <w:tr w:rsidR="001A5726" w:rsidRPr="00687291" w:rsidTr="001F0C51">
        <w:trPr>
          <w:trHeight w:val="121"/>
        </w:trPr>
        <w:tc>
          <w:tcPr>
            <w:tcW w:w="3397" w:type="dxa"/>
          </w:tcPr>
          <w:p w:rsidR="001A5726" w:rsidRPr="00687291" w:rsidRDefault="001A5726" w:rsidP="001F0C51">
            <w:pPr>
              <w:spacing w:after="0" w:line="240" w:lineRule="auto"/>
              <w:jc w:val="both"/>
              <w:rPr>
                <w:rFonts w:ascii="Times New Roman" w:hAnsi="Times New Roman" w:cs="Times New Roman"/>
                <w:b/>
                <w:sz w:val="28"/>
                <w:szCs w:val="28"/>
              </w:rPr>
            </w:pPr>
            <w:r w:rsidRPr="00687291">
              <w:rPr>
                <w:rFonts w:ascii="Times New Roman" w:hAnsi="Times New Roman" w:cs="Times New Roman"/>
                <w:b/>
                <w:sz w:val="28"/>
                <w:szCs w:val="28"/>
              </w:rPr>
              <w:t>ОЦ</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8</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5</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3</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58,38±5,76</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6,26±2,07</w:t>
            </w:r>
          </w:p>
        </w:tc>
      </w:tr>
      <w:tr w:rsidR="001A5726" w:rsidRPr="00687291" w:rsidTr="001F0C51">
        <w:trPr>
          <w:trHeight w:val="115"/>
        </w:trPr>
        <w:tc>
          <w:tcPr>
            <w:tcW w:w="3397" w:type="dxa"/>
          </w:tcPr>
          <w:p w:rsidR="001A5726" w:rsidRPr="00687291" w:rsidRDefault="001A5726" w:rsidP="001F0C51">
            <w:pPr>
              <w:spacing w:after="0" w:line="240" w:lineRule="auto"/>
              <w:jc w:val="both"/>
              <w:rPr>
                <w:rFonts w:ascii="Times New Roman" w:hAnsi="Times New Roman" w:cs="Times New Roman"/>
                <w:b/>
                <w:color w:val="000000" w:themeColor="text1"/>
                <w:sz w:val="28"/>
                <w:szCs w:val="28"/>
                <w:shd w:val="clear" w:color="auto" w:fill="FFFFFF"/>
              </w:rPr>
            </w:pPr>
            <w:r w:rsidRPr="00687291">
              <w:rPr>
                <w:rFonts w:ascii="Times New Roman" w:hAnsi="Times New Roman" w:cs="Times New Roman"/>
                <w:b/>
                <w:sz w:val="28"/>
                <w:szCs w:val="28"/>
              </w:rPr>
              <w:t>ПА</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2</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2</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61,0±8,49</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4,15±0,92</w:t>
            </w:r>
          </w:p>
        </w:tc>
      </w:tr>
      <w:tr w:rsidR="001A5726" w:rsidRPr="00687291" w:rsidTr="001F0C51">
        <w:trPr>
          <w:trHeight w:val="70"/>
        </w:trPr>
        <w:tc>
          <w:tcPr>
            <w:tcW w:w="3397" w:type="dxa"/>
          </w:tcPr>
          <w:p w:rsidR="001A5726" w:rsidRPr="00687291" w:rsidRDefault="001A5726" w:rsidP="001F0C51">
            <w:pPr>
              <w:spacing w:after="0" w:line="240" w:lineRule="auto"/>
              <w:jc w:val="both"/>
              <w:rPr>
                <w:rFonts w:ascii="Times New Roman" w:hAnsi="Times New Roman" w:cs="Times New Roman"/>
                <w:b/>
                <w:sz w:val="28"/>
                <w:szCs w:val="28"/>
              </w:rPr>
            </w:pPr>
            <w:r w:rsidRPr="00687291">
              <w:rPr>
                <w:rFonts w:ascii="Times New Roman" w:hAnsi="Times New Roman" w:cs="Times New Roman"/>
                <w:b/>
                <w:sz w:val="28"/>
                <w:szCs w:val="28"/>
              </w:rPr>
              <w:t>АМЛ</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5</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2</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3</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56,8±7,60</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8,42±2,84</w:t>
            </w:r>
          </w:p>
        </w:tc>
      </w:tr>
      <w:tr w:rsidR="001A5726" w:rsidRPr="00687291" w:rsidTr="001F0C51">
        <w:trPr>
          <w:trHeight w:val="70"/>
        </w:trPr>
        <w:tc>
          <w:tcPr>
            <w:tcW w:w="3397" w:type="dxa"/>
          </w:tcPr>
          <w:p w:rsidR="001A5726" w:rsidRPr="00687291" w:rsidRDefault="001A5726" w:rsidP="001F0C51">
            <w:pPr>
              <w:spacing w:after="0" w:line="240" w:lineRule="auto"/>
              <w:jc w:val="both"/>
              <w:rPr>
                <w:rFonts w:ascii="Times New Roman" w:hAnsi="Times New Roman" w:cs="Times New Roman"/>
                <w:b/>
                <w:sz w:val="28"/>
                <w:szCs w:val="28"/>
              </w:rPr>
            </w:pPr>
            <w:r w:rsidRPr="00687291">
              <w:rPr>
                <w:rFonts w:ascii="Times New Roman" w:hAnsi="Times New Roman" w:cs="Times New Roman"/>
                <w:b/>
                <w:sz w:val="28"/>
                <w:szCs w:val="28"/>
              </w:rPr>
              <w:t>Усього</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67</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41</w:t>
            </w:r>
          </w:p>
        </w:tc>
        <w:tc>
          <w:tcPr>
            <w:tcW w:w="709"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26</w:t>
            </w:r>
          </w:p>
        </w:tc>
        <w:tc>
          <w:tcPr>
            <w:tcW w:w="1701"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60,19±6,36</w:t>
            </w:r>
          </w:p>
        </w:tc>
        <w:tc>
          <w:tcPr>
            <w:tcW w:w="2126" w:type="dxa"/>
          </w:tcPr>
          <w:p w:rsidR="001A5726" w:rsidRPr="00687291" w:rsidRDefault="001A5726" w:rsidP="001F0C51">
            <w:pPr>
              <w:spacing w:after="0" w:line="240" w:lineRule="auto"/>
              <w:jc w:val="both"/>
              <w:rPr>
                <w:rFonts w:ascii="Times New Roman" w:hAnsi="Times New Roman" w:cs="Times New Roman"/>
                <w:sz w:val="28"/>
                <w:szCs w:val="28"/>
              </w:rPr>
            </w:pPr>
            <w:r w:rsidRPr="00687291">
              <w:rPr>
                <w:rFonts w:ascii="Times New Roman" w:hAnsi="Times New Roman" w:cs="Times New Roman"/>
                <w:sz w:val="28"/>
                <w:szCs w:val="28"/>
              </w:rPr>
              <w:t>7,01±2,08</w:t>
            </w:r>
          </w:p>
        </w:tc>
      </w:tr>
    </w:tbl>
    <w:p w:rsidR="001A5726" w:rsidRPr="00687291" w:rsidRDefault="001A5726" w:rsidP="001A5726">
      <w:pPr>
        <w:spacing w:after="0" w:line="360" w:lineRule="auto"/>
        <w:jc w:val="both"/>
        <w:rPr>
          <w:rFonts w:ascii="Times New Roman" w:hAnsi="Times New Roman" w:cs="Times New Roman"/>
          <w:color w:val="000000" w:themeColor="text1"/>
          <w:sz w:val="28"/>
          <w:szCs w:val="28"/>
          <w:shd w:val="clear" w:color="auto" w:fill="FFFFFF"/>
        </w:rPr>
      </w:pPr>
    </w:p>
    <w:p w:rsidR="001A5726" w:rsidRPr="00624F31" w:rsidRDefault="001A5726" w:rsidP="001A5726">
      <w:pPr>
        <w:spacing w:line="360" w:lineRule="auto"/>
        <w:contextualSpacing/>
        <w:rPr>
          <w:rFonts w:ascii="Times New Roman" w:hAnsi="Times New Roman" w:cs="Times New Roman"/>
          <w:sz w:val="28"/>
          <w:szCs w:val="28"/>
        </w:rPr>
      </w:pPr>
    </w:p>
    <w:p w:rsidR="001A5726" w:rsidRPr="00687291" w:rsidRDefault="001A5726" w:rsidP="001A5726">
      <w:pPr>
        <w:spacing w:line="360" w:lineRule="auto"/>
        <w:ind w:firstLine="708"/>
        <w:jc w:val="both"/>
        <w:rPr>
          <w:rFonts w:ascii="Times New Roman" w:hAnsi="Times New Roman" w:cs="Times New Roman"/>
          <w:sz w:val="28"/>
          <w:szCs w:val="28"/>
        </w:rPr>
      </w:pPr>
      <w:r w:rsidRPr="00687291">
        <w:rPr>
          <w:rFonts w:ascii="Times New Roman" w:hAnsi="Times New Roman" w:cs="Times New Roman"/>
          <w:sz w:val="28"/>
          <w:szCs w:val="28"/>
          <w:shd w:val="clear" w:color="auto" w:fill="FFFFFF"/>
        </w:rPr>
        <w:t xml:space="preserve">За 1 день до та на 8-й день після оперативного лікування у всіх хворих в стерильний контейнер була зібрана ранішня сеча в об’ємі 100-150 мл, всі зразки були піддані кріоконсервації при -25°С. Для контролю сеча аналогічним чином одноразово була зібрана і консервована у 30 здорових волонтерів </w:t>
      </w:r>
      <w:r w:rsidRPr="00687291">
        <w:rPr>
          <w:rFonts w:ascii="Times New Roman" w:hAnsi="Times New Roman" w:cs="Times New Roman"/>
          <w:sz w:val="28"/>
          <w:szCs w:val="28"/>
        </w:rPr>
        <w:t>без ниркової патології</w:t>
      </w:r>
      <w:r>
        <w:rPr>
          <w:rFonts w:ascii="Times New Roman" w:hAnsi="Times New Roman" w:cs="Times New Roman"/>
          <w:sz w:val="28"/>
          <w:szCs w:val="28"/>
        </w:rPr>
        <w:t>,</w:t>
      </w:r>
      <w:r w:rsidRPr="00687291">
        <w:rPr>
          <w:rFonts w:ascii="Times New Roman" w:hAnsi="Times New Roman" w:cs="Times New Roman"/>
          <w:sz w:val="28"/>
          <w:szCs w:val="28"/>
        </w:rPr>
        <w:t xml:space="preserve"> за даними клінічних та променевих досліджень (16 чоловіків і 14 жінок) віком від 47 до 55 років (середній вік 53,5±4,9 років). Для оцінки морфо-функціонального стану нирок усім волонтерам перед включенням у дослідження проводили відповідні обстеження: загальний аналіз крові та сечі, біохімічне дослідження крові (креатинін, сечовина, АЛТ, АСТ), УЗД нирок. До забору зразків сечі</w:t>
      </w:r>
      <w:r>
        <w:rPr>
          <w:rFonts w:ascii="Times New Roman" w:hAnsi="Times New Roman" w:cs="Times New Roman"/>
          <w:sz w:val="28"/>
          <w:szCs w:val="28"/>
        </w:rPr>
        <w:t xml:space="preserve"> перед нефректомією,</w:t>
      </w:r>
      <w:r w:rsidRPr="00687291">
        <w:rPr>
          <w:rFonts w:ascii="Times New Roman" w:hAnsi="Times New Roman" w:cs="Times New Roman"/>
          <w:sz w:val="28"/>
          <w:szCs w:val="28"/>
        </w:rPr>
        <w:t xml:space="preserve"> ЧПБ чи попереднє лікування НКР у пацієнтів не проводилось. </w:t>
      </w:r>
    </w:p>
    <w:p w:rsidR="001A5726" w:rsidRPr="00687291" w:rsidRDefault="001A5726" w:rsidP="001A5726">
      <w:pPr>
        <w:autoSpaceDE w:val="0"/>
        <w:autoSpaceDN w:val="0"/>
        <w:adjustRightInd w:val="0"/>
        <w:spacing w:after="0" w:line="360" w:lineRule="auto"/>
        <w:ind w:firstLine="708"/>
        <w:jc w:val="both"/>
        <w:rPr>
          <w:rFonts w:ascii="Times New Roman" w:hAnsi="Times New Roman" w:cs="Times New Roman"/>
          <w:sz w:val="28"/>
          <w:szCs w:val="28"/>
        </w:rPr>
      </w:pPr>
      <w:r w:rsidRPr="00687291">
        <w:rPr>
          <w:rFonts w:ascii="Times New Roman" w:hAnsi="Times New Roman" w:cs="Times New Roman"/>
          <w:sz w:val="28"/>
          <w:szCs w:val="28"/>
        </w:rPr>
        <w:lastRenderedPageBreak/>
        <w:t>Хворі із НКР склали основну групу (</w:t>
      </w:r>
      <w:r w:rsidRPr="00926079">
        <w:rPr>
          <w:rFonts w:ascii="Times New Roman" w:hAnsi="Times New Roman" w:cs="Times New Roman"/>
          <w:sz w:val="28"/>
          <w:szCs w:val="28"/>
        </w:rPr>
        <w:t>n=52)</w:t>
      </w:r>
      <w:r w:rsidRPr="00687291">
        <w:rPr>
          <w:rFonts w:ascii="Times New Roman" w:hAnsi="Times New Roman" w:cs="Times New Roman"/>
          <w:sz w:val="28"/>
          <w:szCs w:val="28"/>
        </w:rPr>
        <w:t>, хворі з доброякісними пухлинами нирок увійшли до групи порівняння (</w:t>
      </w:r>
      <w:r w:rsidRPr="00926079">
        <w:rPr>
          <w:rFonts w:ascii="Times New Roman" w:hAnsi="Times New Roman" w:cs="Times New Roman"/>
          <w:sz w:val="28"/>
          <w:szCs w:val="28"/>
        </w:rPr>
        <w:t>n</w:t>
      </w:r>
      <w:r w:rsidRPr="00687291">
        <w:rPr>
          <w:rFonts w:ascii="Times New Roman" w:hAnsi="Times New Roman" w:cs="Times New Roman"/>
          <w:sz w:val="28"/>
          <w:szCs w:val="28"/>
        </w:rPr>
        <w:t xml:space="preserve">=15), контрольну групу склали здорові особи </w:t>
      </w:r>
      <w:r w:rsidRPr="00926079">
        <w:rPr>
          <w:rFonts w:ascii="Times New Roman" w:hAnsi="Times New Roman" w:cs="Times New Roman"/>
          <w:sz w:val="28"/>
          <w:szCs w:val="28"/>
        </w:rPr>
        <w:t>(n</w:t>
      </w:r>
      <w:r w:rsidRPr="00687291">
        <w:rPr>
          <w:rFonts w:ascii="Times New Roman" w:hAnsi="Times New Roman" w:cs="Times New Roman"/>
          <w:sz w:val="28"/>
          <w:szCs w:val="28"/>
        </w:rPr>
        <w:t xml:space="preserve">=30). </w:t>
      </w:r>
      <w:r w:rsidRPr="00926079">
        <w:rPr>
          <w:rFonts w:ascii="Times New Roman" w:hAnsi="Times New Roman" w:cs="Times New Roman"/>
          <w:sz w:val="28"/>
          <w:szCs w:val="28"/>
        </w:rPr>
        <w:t xml:space="preserve">У хворих </w:t>
      </w:r>
      <w:r w:rsidRPr="00687291">
        <w:rPr>
          <w:rFonts w:ascii="Times New Roman" w:hAnsi="Times New Roman" w:cs="Times New Roman"/>
          <w:sz w:val="28"/>
          <w:szCs w:val="28"/>
        </w:rPr>
        <w:t xml:space="preserve">всіх груп було здійснено визначення </w:t>
      </w:r>
      <w:r w:rsidRPr="00926079">
        <w:rPr>
          <w:rFonts w:ascii="Times New Roman" w:hAnsi="Times New Roman" w:cs="Times New Roman"/>
          <w:sz w:val="28"/>
          <w:szCs w:val="28"/>
        </w:rPr>
        <w:t xml:space="preserve">експресії </w:t>
      </w:r>
      <w:r w:rsidR="000F4FDB">
        <w:rPr>
          <w:rFonts w:ascii="Times New Roman" w:hAnsi="Times New Roman" w:cs="Times New Roman"/>
          <w:color w:val="000000" w:themeColor="text1"/>
          <w:sz w:val="28"/>
          <w:szCs w:val="28"/>
        </w:rPr>
        <w:t>miR-15а у сечі.</w:t>
      </w:r>
      <w:r w:rsidRPr="00926079">
        <w:rPr>
          <w:rFonts w:ascii="Times New Roman" w:hAnsi="Times New Roman" w:cs="Times New Roman"/>
          <w:sz w:val="28"/>
          <w:szCs w:val="28"/>
        </w:rPr>
        <w:t xml:space="preserve"> </w:t>
      </w:r>
      <w:r w:rsidRPr="00926079">
        <w:rPr>
          <w:rFonts w:ascii="Times New Roman" w:hAnsi="Times New Roman" w:cs="Times New Roman"/>
          <w:color w:val="000000" w:themeColor="text1"/>
          <w:sz w:val="28"/>
          <w:szCs w:val="28"/>
        </w:rPr>
        <w:t xml:space="preserve">Для оцінки різниці у експресії miR-15а у підгрупах хворих застосовувався одно-факторний дисперсійний аналіз. Нормальність розподілу даних проводилась з використанням тесту Шапіро-Вілка </w:t>
      </w:r>
      <w:r w:rsidRPr="00926079">
        <w:rPr>
          <w:rFonts w:ascii="Times New Roman" w:hAnsi="Times New Roman" w:cs="Times New Roman"/>
          <w:sz w:val="28"/>
          <w:szCs w:val="28"/>
          <w:lang w:eastAsia="uk-UA"/>
        </w:rPr>
        <w:t xml:space="preserve">(W=0.542, p=0.001). Оскільки W-статистика була значимою (p&lt;0,05), то гіпотеза, що розподіл даних є нормальний була відхилена та вірогідність відмінностей визначалась за допомогою непараметричного U тесту Мана-Вітні. </w:t>
      </w:r>
    </w:p>
    <w:p w:rsidR="002C4B85" w:rsidRDefault="001A5726" w:rsidP="001A5726">
      <w:pPr>
        <w:spacing w:line="360" w:lineRule="auto"/>
        <w:ind w:firstLine="708"/>
        <w:jc w:val="both"/>
        <w:rPr>
          <w:rFonts w:ascii="Times New Roman" w:hAnsi="Times New Roman" w:cs="Times New Roman"/>
          <w:sz w:val="28"/>
          <w:szCs w:val="28"/>
        </w:rPr>
      </w:pPr>
      <w:r w:rsidRPr="00926079">
        <w:rPr>
          <w:rFonts w:ascii="Times New Roman" w:hAnsi="Times New Roman" w:cs="Times New Roman"/>
          <w:sz w:val="28"/>
          <w:szCs w:val="28"/>
        </w:rPr>
        <w:t xml:space="preserve">В результаті проведеного дослідження нами було виявлено експресію </w:t>
      </w:r>
      <w:r w:rsidRPr="00926079">
        <w:rPr>
          <w:rFonts w:ascii="Times New Roman" w:hAnsi="Times New Roman" w:cs="Times New Roman"/>
          <w:color w:val="000000" w:themeColor="text1"/>
          <w:sz w:val="28"/>
          <w:szCs w:val="28"/>
        </w:rPr>
        <w:t>miR-15а в сечі хворих на НКР</w:t>
      </w:r>
      <w:r w:rsidRPr="00687291">
        <w:rPr>
          <w:rFonts w:ascii="Times New Roman" w:hAnsi="Times New Roman" w:cs="Times New Roman"/>
          <w:color w:val="000000" w:themeColor="text1"/>
          <w:sz w:val="28"/>
          <w:szCs w:val="28"/>
        </w:rPr>
        <w:t>, доброякісні пухлини нирок</w:t>
      </w:r>
      <w:r w:rsidRPr="00926079">
        <w:rPr>
          <w:rFonts w:ascii="Times New Roman" w:hAnsi="Times New Roman" w:cs="Times New Roman"/>
          <w:color w:val="000000" w:themeColor="text1"/>
          <w:sz w:val="28"/>
          <w:szCs w:val="28"/>
        </w:rPr>
        <w:t xml:space="preserve"> та </w:t>
      </w:r>
      <w:r w:rsidRPr="00687291">
        <w:rPr>
          <w:rFonts w:ascii="Times New Roman" w:hAnsi="Times New Roman" w:cs="Times New Roman"/>
          <w:color w:val="000000" w:themeColor="text1"/>
          <w:sz w:val="28"/>
          <w:szCs w:val="28"/>
        </w:rPr>
        <w:t xml:space="preserve">у </w:t>
      </w:r>
      <w:r w:rsidRPr="00926079">
        <w:rPr>
          <w:rFonts w:ascii="Times New Roman" w:hAnsi="Times New Roman" w:cs="Times New Roman"/>
          <w:color w:val="000000" w:themeColor="text1"/>
          <w:sz w:val="28"/>
          <w:szCs w:val="28"/>
        </w:rPr>
        <w:t xml:space="preserve">здорових осіб. </w:t>
      </w:r>
      <w:r w:rsidRPr="00687291">
        <w:rPr>
          <w:rFonts w:ascii="Times New Roman" w:hAnsi="Times New Roman" w:cs="Times New Roman"/>
          <w:color w:val="000000" w:themeColor="text1"/>
          <w:sz w:val="28"/>
          <w:szCs w:val="28"/>
        </w:rPr>
        <w:t>М</w:t>
      </w:r>
      <w:r w:rsidRPr="00926079">
        <w:rPr>
          <w:rFonts w:ascii="Times New Roman" w:hAnsi="Times New Roman" w:cs="Times New Roman"/>
          <w:color w:val="000000" w:themeColor="text1"/>
          <w:sz w:val="28"/>
          <w:szCs w:val="28"/>
        </w:rPr>
        <w:t xml:space="preserve">и спостерігали </w:t>
      </w:r>
      <w:r w:rsidRPr="00926079">
        <w:rPr>
          <w:rFonts w:ascii="Times New Roman" w:hAnsi="Times New Roman" w:cs="Times New Roman"/>
          <w:sz w:val="28"/>
          <w:szCs w:val="28"/>
        </w:rPr>
        <w:t>статистично достовірну (</w:t>
      </w:r>
      <w:r w:rsidRPr="00687291">
        <w:rPr>
          <w:rFonts w:ascii="Times New Roman" w:hAnsi="Times New Roman" w:cs="Times New Roman"/>
          <w:sz w:val="28"/>
          <w:szCs w:val="28"/>
        </w:rPr>
        <w:t>р</w:t>
      </w:r>
      <w:r w:rsidRPr="00926079">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r w:rsidRPr="00926079">
        <w:rPr>
          <w:rFonts w:ascii="Times New Roman" w:hAnsi="Times New Roman" w:cs="Times New Roman"/>
          <w:sz w:val="28"/>
          <w:szCs w:val="28"/>
        </w:rPr>
        <w:t xml:space="preserve">) різницю у рівнях експресії </w:t>
      </w:r>
      <w:r w:rsidRPr="00926079">
        <w:rPr>
          <w:rFonts w:ascii="Times New Roman" w:hAnsi="Times New Roman" w:cs="Times New Roman"/>
          <w:color w:val="000000" w:themeColor="text1"/>
          <w:sz w:val="28"/>
          <w:szCs w:val="28"/>
        </w:rPr>
        <w:t xml:space="preserve">miR-15а у сечі хворих із НКР, доброякісними пухлинами нирок та у </w:t>
      </w:r>
      <w:r w:rsidRPr="00687291">
        <w:rPr>
          <w:rFonts w:ascii="Times New Roman" w:hAnsi="Times New Roman" w:cs="Times New Roman"/>
          <w:color w:val="000000" w:themeColor="text1"/>
          <w:sz w:val="28"/>
          <w:szCs w:val="28"/>
        </w:rPr>
        <w:t>здорових осіб, при цьому найвищ</w:t>
      </w:r>
      <w:r>
        <w:rPr>
          <w:rFonts w:ascii="Times New Roman" w:hAnsi="Times New Roman" w:cs="Times New Roman"/>
          <w:color w:val="000000" w:themeColor="text1"/>
          <w:sz w:val="28"/>
          <w:szCs w:val="28"/>
        </w:rPr>
        <w:t>ий середній рівень експресії був характерним</w:t>
      </w:r>
      <w:r w:rsidRPr="00926079">
        <w:rPr>
          <w:rFonts w:ascii="Times New Roman" w:hAnsi="Times New Roman" w:cs="Times New Roman"/>
          <w:color w:val="000000" w:themeColor="text1"/>
          <w:sz w:val="28"/>
          <w:szCs w:val="28"/>
        </w:rPr>
        <w:t xml:space="preserve"> для злоякісних пухлин</w:t>
      </w:r>
      <w:r w:rsidRPr="00687291">
        <w:rPr>
          <w:rFonts w:ascii="Times New Roman" w:hAnsi="Times New Roman" w:cs="Times New Roman"/>
          <w:color w:val="000000" w:themeColor="text1"/>
          <w:sz w:val="28"/>
          <w:szCs w:val="28"/>
        </w:rPr>
        <w:t xml:space="preserve"> (</w:t>
      </w:r>
      <w:r w:rsidRPr="00687291">
        <w:rPr>
          <w:rFonts w:ascii="Times New Roman" w:eastAsia="Times New Roman" w:hAnsi="Times New Roman" w:cs="Times New Roman"/>
          <w:sz w:val="28"/>
          <w:szCs w:val="28"/>
          <w:lang w:eastAsia="uk-UA"/>
        </w:rPr>
        <w:t>2,50E-01 УО)</w:t>
      </w:r>
      <w:r>
        <w:rPr>
          <w:rFonts w:ascii="Times New Roman" w:hAnsi="Times New Roman" w:cs="Times New Roman"/>
          <w:color w:val="000000" w:themeColor="text1"/>
          <w:sz w:val="28"/>
          <w:szCs w:val="28"/>
        </w:rPr>
        <w:t>, а найнижчий</w:t>
      </w:r>
      <w:r w:rsidRPr="00926079">
        <w:rPr>
          <w:rFonts w:ascii="Times New Roman" w:hAnsi="Times New Roman" w:cs="Times New Roman"/>
          <w:color w:val="000000" w:themeColor="text1"/>
          <w:sz w:val="28"/>
          <w:szCs w:val="28"/>
        </w:rPr>
        <w:t xml:space="preserve"> – для групи контролю</w:t>
      </w:r>
      <w:r w:rsidRPr="00687291">
        <w:rPr>
          <w:rFonts w:ascii="Times New Roman" w:hAnsi="Times New Roman" w:cs="Times New Roman"/>
          <w:color w:val="000000" w:themeColor="text1"/>
          <w:sz w:val="28"/>
          <w:szCs w:val="28"/>
        </w:rPr>
        <w:t xml:space="preserve"> (</w:t>
      </w:r>
      <w:r w:rsidRPr="00687291">
        <w:rPr>
          <w:rFonts w:ascii="Times New Roman" w:eastAsia="Times New Roman" w:hAnsi="Times New Roman" w:cs="Times New Roman"/>
          <w:sz w:val="28"/>
          <w:szCs w:val="28"/>
          <w:lang w:eastAsia="uk-UA"/>
        </w:rPr>
        <w:t>3,36E-07 УО)</w:t>
      </w:r>
      <w:r w:rsidRPr="00926079">
        <w:rPr>
          <w:rFonts w:ascii="Times New Roman" w:hAnsi="Times New Roman" w:cs="Times New Roman"/>
          <w:color w:val="000000" w:themeColor="text1"/>
          <w:sz w:val="28"/>
          <w:szCs w:val="28"/>
        </w:rPr>
        <w:t xml:space="preserve">. Водночас, достовірних відмінностей </w:t>
      </w:r>
      <w:r w:rsidRPr="00926079">
        <w:rPr>
          <w:rFonts w:ascii="Times New Roman" w:hAnsi="Times New Roman" w:cs="Times New Roman"/>
          <w:sz w:val="28"/>
          <w:szCs w:val="28"/>
        </w:rPr>
        <w:t xml:space="preserve">у експресії </w:t>
      </w:r>
      <w:r w:rsidRPr="00926079">
        <w:rPr>
          <w:rFonts w:ascii="Times New Roman" w:hAnsi="Times New Roman" w:cs="Times New Roman"/>
          <w:color w:val="000000" w:themeColor="text1"/>
          <w:sz w:val="28"/>
          <w:szCs w:val="28"/>
        </w:rPr>
        <w:t xml:space="preserve">miR-15а </w:t>
      </w:r>
      <w:r w:rsidRPr="00926079">
        <w:rPr>
          <w:rFonts w:ascii="Times New Roman" w:hAnsi="Times New Roman" w:cs="Times New Roman"/>
          <w:sz w:val="28"/>
          <w:szCs w:val="28"/>
        </w:rPr>
        <w:t>у хворих з скНКР, пНКР та хрНКР не спостерігалось (р&gt;</w:t>
      </w:r>
      <w:r w:rsidRPr="00687291">
        <w:rPr>
          <w:rFonts w:ascii="Times New Roman" w:hAnsi="Times New Roman" w:cs="Times New Roman"/>
          <w:sz w:val="28"/>
          <w:szCs w:val="28"/>
        </w:rPr>
        <w:t>0,05)</w:t>
      </w:r>
      <w:r w:rsidRPr="00926079">
        <w:rPr>
          <w:rFonts w:ascii="Times New Roman" w:hAnsi="Times New Roman" w:cs="Times New Roman"/>
          <w:sz w:val="28"/>
          <w:szCs w:val="28"/>
        </w:rPr>
        <w:t xml:space="preserve">. </w:t>
      </w:r>
    </w:p>
    <w:p w:rsidR="002C4B85" w:rsidRPr="003008FB" w:rsidRDefault="002C4B85" w:rsidP="002C4B85">
      <w:pPr>
        <w:spacing w:line="360" w:lineRule="auto"/>
        <w:jc w:val="center"/>
        <w:rPr>
          <w:rFonts w:ascii="Times New Roman" w:hAnsi="Times New Roman" w:cs="Times New Roman"/>
          <w:color w:val="000000" w:themeColor="text1"/>
          <w:sz w:val="28"/>
          <w:szCs w:val="28"/>
        </w:rPr>
      </w:pPr>
      <w:r w:rsidRPr="003008FB">
        <w:rPr>
          <w:rFonts w:ascii="Times New Roman" w:hAnsi="Times New Roman" w:cs="Times New Roman"/>
          <w:noProof/>
          <w:sz w:val="28"/>
          <w:szCs w:val="28"/>
          <w:lang w:val="en-US"/>
        </w:rPr>
        <w:drawing>
          <wp:inline distT="0" distB="0" distL="0" distR="0" wp14:anchorId="13B0C6ED" wp14:editId="7FCC3E39">
            <wp:extent cx="3724275" cy="3105625"/>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726332" cy="3107340"/>
                    </a:xfrm>
                    <a:prstGeom prst="rect">
                      <a:avLst/>
                    </a:prstGeom>
                    <a:noFill/>
                    <a:ln>
                      <a:noFill/>
                    </a:ln>
                  </pic:spPr>
                </pic:pic>
              </a:graphicData>
            </a:graphic>
          </wp:inline>
        </w:drawing>
      </w:r>
    </w:p>
    <w:p w:rsidR="002C4B85" w:rsidRDefault="002C4B85" w:rsidP="00034E9D">
      <w:pPr>
        <w:spacing w:line="360" w:lineRule="auto"/>
        <w:jc w:val="center"/>
        <w:rPr>
          <w:rFonts w:ascii="Times New Roman" w:hAnsi="Times New Roman" w:cs="Times New Roman"/>
          <w:color w:val="000000" w:themeColor="text1"/>
          <w:sz w:val="28"/>
          <w:szCs w:val="28"/>
        </w:rPr>
      </w:pPr>
      <w:r w:rsidRPr="003008FB">
        <w:rPr>
          <w:rFonts w:ascii="Times New Roman" w:hAnsi="Times New Roman" w:cs="Times New Roman"/>
          <w:color w:val="000000" w:themeColor="text1"/>
          <w:sz w:val="28"/>
          <w:szCs w:val="28"/>
        </w:rPr>
        <w:t>Рис. 4.</w:t>
      </w:r>
      <w:r>
        <w:rPr>
          <w:rFonts w:ascii="Times New Roman" w:hAnsi="Times New Roman" w:cs="Times New Roman"/>
          <w:color w:val="000000" w:themeColor="text1"/>
          <w:sz w:val="28"/>
          <w:szCs w:val="28"/>
        </w:rPr>
        <w:t>2</w:t>
      </w:r>
      <w:r w:rsidRPr="003008FB">
        <w:rPr>
          <w:rFonts w:ascii="Times New Roman" w:hAnsi="Times New Roman" w:cs="Times New Roman"/>
          <w:color w:val="000000" w:themeColor="text1"/>
          <w:sz w:val="28"/>
          <w:szCs w:val="28"/>
        </w:rPr>
        <w:t>. Коробкова діаграма експресії miR-15а в сечі хворих із НКР (до та після операції), доброякісними пухлинами нирок та у здорових осіб</w:t>
      </w:r>
    </w:p>
    <w:p w:rsidR="002C4B85" w:rsidRDefault="002C4B85" w:rsidP="007504C3">
      <w:pPr>
        <w:spacing w:line="360" w:lineRule="auto"/>
        <w:ind w:firstLine="708"/>
        <w:jc w:val="both"/>
        <w:rPr>
          <w:rFonts w:ascii="Times New Roman" w:hAnsi="Times New Roman" w:cs="Times New Roman"/>
          <w:color w:val="000000" w:themeColor="text1"/>
          <w:sz w:val="28"/>
          <w:szCs w:val="28"/>
        </w:rPr>
      </w:pPr>
      <w:r w:rsidRPr="00926079">
        <w:rPr>
          <w:rFonts w:ascii="Times New Roman" w:hAnsi="Times New Roman" w:cs="Times New Roman"/>
          <w:color w:val="000000" w:themeColor="text1"/>
          <w:sz w:val="28"/>
          <w:szCs w:val="28"/>
        </w:rPr>
        <w:lastRenderedPageBreak/>
        <w:t xml:space="preserve">Детальна статистична характеристика експресії miR-15а у </w:t>
      </w:r>
      <w:r w:rsidRPr="00687291">
        <w:rPr>
          <w:rFonts w:ascii="Times New Roman" w:hAnsi="Times New Roman" w:cs="Times New Roman"/>
          <w:color w:val="000000" w:themeColor="text1"/>
          <w:sz w:val="28"/>
          <w:szCs w:val="28"/>
        </w:rPr>
        <w:t xml:space="preserve">досліджуваних групах і </w:t>
      </w:r>
      <w:r w:rsidRPr="00926079">
        <w:rPr>
          <w:rFonts w:ascii="Times New Roman" w:hAnsi="Times New Roman" w:cs="Times New Roman"/>
          <w:color w:val="000000" w:themeColor="text1"/>
          <w:sz w:val="28"/>
          <w:szCs w:val="28"/>
        </w:rPr>
        <w:t xml:space="preserve">підгрупах відображена у таблиці </w:t>
      </w:r>
      <w:r w:rsidRPr="00687291">
        <w:rPr>
          <w:rFonts w:ascii="Times New Roman" w:hAnsi="Times New Roman" w:cs="Times New Roman"/>
          <w:color w:val="000000" w:themeColor="text1"/>
          <w:sz w:val="28"/>
          <w:szCs w:val="28"/>
        </w:rPr>
        <w:t>4.</w:t>
      </w:r>
      <w:r w:rsidRPr="00926079">
        <w:rPr>
          <w:rFonts w:ascii="Times New Roman" w:hAnsi="Times New Roman" w:cs="Times New Roman"/>
          <w:color w:val="000000" w:themeColor="text1"/>
          <w:sz w:val="28"/>
          <w:szCs w:val="28"/>
        </w:rPr>
        <w:t>2.</w:t>
      </w:r>
    </w:p>
    <w:p w:rsidR="001A5726" w:rsidRPr="00687291" w:rsidRDefault="001A5726" w:rsidP="001A5726">
      <w:pPr>
        <w:spacing w:line="360" w:lineRule="auto"/>
        <w:jc w:val="right"/>
        <w:rPr>
          <w:rFonts w:ascii="Times New Roman" w:hAnsi="Times New Roman" w:cs="Times New Roman"/>
          <w:color w:val="000000" w:themeColor="text1"/>
          <w:sz w:val="28"/>
          <w:szCs w:val="28"/>
        </w:rPr>
      </w:pPr>
      <w:r w:rsidRPr="00687291">
        <w:rPr>
          <w:rFonts w:ascii="Times New Roman" w:hAnsi="Times New Roman" w:cs="Times New Roman"/>
          <w:color w:val="000000" w:themeColor="text1"/>
          <w:sz w:val="28"/>
          <w:szCs w:val="28"/>
        </w:rPr>
        <w:t>Таблиця 4.2</w:t>
      </w:r>
    </w:p>
    <w:p w:rsidR="001A5726" w:rsidRPr="00687291" w:rsidRDefault="001A5726" w:rsidP="001A5726">
      <w:pPr>
        <w:spacing w:line="360" w:lineRule="auto"/>
        <w:jc w:val="center"/>
        <w:rPr>
          <w:rFonts w:ascii="Times New Roman" w:hAnsi="Times New Roman" w:cs="Times New Roman"/>
          <w:color w:val="000000" w:themeColor="text1"/>
          <w:sz w:val="28"/>
          <w:szCs w:val="28"/>
        </w:rPr>
      </w:pPr>
      <w:r w:rsidRPr="00687291">
        <w:rPr>
          <w:rFonts w:ascii="Times New Roman" w:eastAsia="Times New Roman" w:hAnsi="Times New Roman" w:cs="Times New Roman"/>
          <w:color w:val="000000"/>
          <w:sz w:val="28"/>
          <w:szCs w:val="28"/>
          <w:lang w:eastAsia="uk-UA"/>
        </w:rPr>
        <w:t xml:space="preserve">Статистичні характеристики </w:t>
      </w:r>
      <w:r w:rsidRPr="00926079">
        <w:rPr>
          <w:rFonts w:ascii="Times New Roman" w:eastAsia="Times New Roman" w:hAnsi="Times New Roman" w:cs="Times New Roman"/>
          <w:color w:val="000000"/>
          <w:sz w:val="28"/>
          <w:szCs w:val="28"/>
          <w:lang w:eastAsia="uk-UA"/>
        </w:rPr>
        <w:t xml:space="preserve">експресії </w:t>
      </w:r>
      <w:r w:rsidRPr="00926079">
        <w:rPr>
          <w:rFonts w:ascii="Times New Roman" w:hAnsi="Times New Roman" w:cs="Times New Roman"/>
          <w:color w:val="000000" w:themeColor="text1"/>
          <w:sz w:val="28"/>
          <w:szCs w:val="28"/>
        </w:rPr>
        <w:t>miR-15а</w:t>
      </w:r>
      <w:r w:rsidRPr="00926079">
        <w:rPr>
          <w:rFonts w:ascii="Times New Roman" w:eastAsia="Times New Roman" w:hAnsi="Times New Roman" w:cs="Times New Roman"/>
          <w:color w:val="000000"/>
          <w:sz w:val="28"/>
          <w:szCs w:val="28"/>
          <w:lang w:eastAsia="uk-UA"/>
        </w:rPr>
        <w:t xml:space="preserve"> в сечі у хворих із НКР, доброякісними пухлинами нирки</w:t>
      </w:r>
      <w:r w:rsidRPr="00687291">
        <w:rPr>
          <w:rFonts w:ascii="Times New Roman" w:eastAsia="Times New Roman" w:hAnsi="Times New Roman" w:cs="Times New Roman"/>
          <w:color w:val="000000"/>
          <w:sz w:val="28"/>
          <w:szCs w:val="28"/>
          <w:lang w:eastAsia="uk-UA"/>
        </w:rPr>
        <w:t xml:space="preserve"> та здорових осіб</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496"/>
        <w:gridCol w:w="1347"/>
        <w:gridCol w:w="1276"/>
        <w:gridCol w:w="1276"/>
        <w:gridCol w:w="1275"/>
        <w:gridCol w:w="1276"/>
      </w:tblGrid>
      <w:tr w:rsidR="001A5726" w:rsidRPr="00687291" w:rsidTr="001F0C51">
        <w:trPr>
          <w:trHeight w:val="413"/>
          <w:jc w:val="center"/>
        </w:trPr>
        <w:tc>
          <w:tcPr>
            <w:tcW w:w="2830" w:type="dxa"/>
            <w:vMerge w:val="restart"/>
            <w:shd w:val="clear" w:color="auto" w:fill="auto"/>
            <w:noWrap/>
            <w:vAlign w:val="center"/>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Група/підгрупа</w:t>
            </w:r>
          </w:p>
        </w:tc>
        <w:tc>
          <w:tcPr>
            <w:tcW w:w="496" w:type="dxa"/>
            <w:vMerge w:val="restart"/>
            <w:shd w:val="clear" w:color="auto" w:fill="auto"/>
            <w:noWrap/>
            <w:vAlign w:val="center"/>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N</w:t>
            </w:r>
          </w:p>
        </w:tc>
        <w:tc>
          <w:tcPr>
            <w:tcW w:w="6450" w:type="dxa"/>
            <w:gridSpan w:val="5"/>
            <w:shd w:val="clear" w:color="auto" w:fill="auto"/>
            <w:noWrap/>
            <w:vAlign w:val="center"/>
          </w:tcPr>
          <w:p w:rsidR="001A5726" w:rsidRPr="009C2A39"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color w:val="000000"/>
                <w:sz w:val="28"/>
                <w:szCs w:val="28"/>
                <w:lang w:eastAsia="uk-UA"/>
              </w:rPr>
              <w:t xml:space="preserve">Експресія </w:t>
            </w:r>
            <w:r w:rsidRPr="00926079">
              <w:rPr>
                <w:rFonts w:ascii="Times New Roman" w:hAnsi="Times New Roman" w:cs="Times New Roman"/>
                <w:b/>
                <w:color w:val="000000" w:themeColor="text1"/>
                <w:sz w:val="28"/>
                <w:szCs w:val="28"/>
              </w:rPr>
              <w:t>miR-15а, УО</w:t>
            </w:r>
          </w:p>
        </w:tc>
      </w:tr>
      <w:tr w:rsidR="001A5726" w:rsidRPr="00687291" w:rsidTr="001F0C51">
        <w:trPr>
          <w:trHeight w:val="413"/>
          <w:jc w:val="center"/>
        </w:trPr>
        <w:tc>
          <w:tcPr>
            <w:tcW w:w="2830" w:type="dxa"/>
            <w:vMerge/>
            <w:shd w:val="clear" w:color="auto" w:fill="auto"/>
            <w:noWrap/>
            <w:vAlign w:val="bottom"/>
            <w:hideMark/>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p>
        </w:tc>
        <w:tc>
          <w:tcPr>
            <w:tcW w:w="496" w:type="dxa"/>
            <w:vMerge/>
            <w:shd w:val="clear" w:color="auto" w:fill="auto"/>
            <w:noWrap/>
            <w:vAlign w:val="center"/>
            <w:hideMark/>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p>
        </w:tc>
        <w:tc>
          <w:tcPr>
            <w:tcW w:w="1347" w:type="dxa"/>
            <w:vMerge w:val="restart"/>
            <w:shd w:val="clear" w:color="auto" w:fill="auto"/>
            <w:noWrap/>
            <w:vAlign w:val="center"/>
            <w:hideMark/>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Середнє</w:t>
            </w:r>
          </w:p>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арифм.</w:t>
            </w:r>
          </w:p>
        </w:tc>
        <w:tc>
          <w:tcPr>
            <w:tcW w:w="1276" w:type="dxa"/>
            <w:vMerge w:val="restart"/>
            <w:shd w:val="clear" w:color="auto" w:fill="auto"/>
            <w:noWrap/>
            <w:vAlign w:val="center"/>
            <w:hideMark/>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Медіана</w:t>
            </w:r>
          </w:p>
        </w:tc>
        <w:tc>
          <w:tcPr>
            <w:tcW w:w="1276" w:type="dxa"/>
            <w:vMerge w:val="restart"/>
            <w:shd w:val="clear" w:color="auto" w:fill="auto"/>
            <w:noWrap/>
            <w:vAlign w:val="center"/>
            <w:hideMark/>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Станд. відх.</w:t>
            </w:r>
          </w:p>
        </w:tc>
        <w:tc>
          <w:tcPr>
            <w:tcW w:w="2551" w:type="dxa"/>
            <w:gridSpan w:val="2"/>
            <w:shd w:val="clear" w:color="auto" w:fill="auto"/>
            <w:noWrap/>
            <w:vAlign w:val="bottom"/>
            <w:hideMark/>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95% ДІ для середнього арифм.</w:t>
            </w:r>
          </w:p>
        </w:tc>
      </w:tr>
      <w:tr w:rsidR="001A5726" w:rsidRPr="00687291" w:rsidTr="001F0C51">
        <w:trPr>
          <w:trHeight w:val="412"/>
          <w:jc w:val="center"/>
        </w:trPr>
        <w:tc>
          <w:tcPr>
            <w:tcW w:w="2830" w:type="dxa"/>
            <w:vMerge/>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p>
        </w:tc>
        <w:tc>
          <w:tcPr>
            <w:tcW w:w="496" w:type="dxa"/>
            <w:vMerge/>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p>
        </w:tc>
        <w:tc>
          <w:tcPr>
            <w:tcW w:w="1347" w:type="dxa"/>
            <w:vMerge/>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p>
        </w:tc>
        <w:tc>
          <w:tcPr>
            <w:tcW w:w="1276" w:type="dxa"/>
            <w:vMerge/>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p>
        </w:tc>
        <w:tc>
          <w:tcPr>
            <w:tcW w:w="1276" w:type="dxa"/>
            <w:vMerge/>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p>
        </w:tc>
        <w:tc>
          <w:tcPr>
            <w:tcW w:w="1275"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Нижня межа</w:t>
            </w:r>
          </w:p>
        </w:tc>
        <w:tc>
          <w:tcPr>
            <w:tcW w:w="1276"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Верхня межа</w:t>
            </w:r>
          </w:p>
        </w:tc>
      </w:tr>
      <w:tr w:rsidR="001A5726" w:rsidRPr="00687291" w:rsidTr="001F0C51">
        <w:trPr>
          <w:trHeight w:val="339"/>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НКР до операції</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52</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2,50E-01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color w:val="000000"/>
                <w:sz w:val="28"/>
                <w:szCs w:val="28"/>
                <w:lang w:eastAsia="uk-UA"/>
              </w:rPr>
            </w:pPr>
            <w:r w:rsidRPr="00687291">
              <w:rPr>
                <w:rFonts w:ascii="Times New Roman" w:eastAsia="Times New Roman" w:hAnsi="Times New Roman" w:cs="Times New Roman"/>
                <w:color w:val="000000"/>
                <w:sz w:val="28"/>
                <w:szCs w:val="28"/>
                <w:lang w:eastAsia="uk-UA"/>
              </w:rPr>
              <w:t>1,26E-01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2,72E-01</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1,74E-01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3,25E-01</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Доброяк. пухлини</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15</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1,32E-03</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7,34E-06</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3,90E-03</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8,40E-04</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3,49E-03</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Контроль</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15</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3,36E-07</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3,28E-07</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1,04E-07</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2,79E-07</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3,94E-07</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НКР після операції</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52</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1,18E-03</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5,36E-04</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5,18E-03</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2,61E-04</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2,63E-03</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скНКР</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22</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3,00E-01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2,28E-01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3,06E-01</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1,64E-01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4,36E-01</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пНКР</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16</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1,58E-01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5,66E-02</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2,33E-01</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5,29E-02</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3,02E-01</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хрНКР</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14</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2,95E-01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2,86E-01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2,54E-01</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1,07E-01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4,00E-01</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скНКР низьк. ступ.</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12</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8,28E-02</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1,76E-02</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1,44E-01</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8,80E-03</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1,74E-01</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скНКР висок. ступ.</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10</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5,61E-01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5,56E-01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2,33E-01</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3,94E-01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7,27E-01</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НКР з некрозом</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9</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6,13E-01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5,86E-01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2,15E-01</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4,48E-01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7,79E-01</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rPr>
                <w:rFonts w:ascii="Times New Roman" w:eastAsia="Times New Roman" w:hAnsi="Times New Roman" w:cs="Times New Roman"/>
                <w:b/>
                <w:sz w:val="28"/>
                <w:szCs w:val="28"/>
                <w:lang w:eastAsia="uk-UA"/>
              </w:rPr>
            </w:pPr>
            <w:r w:rsidRPr="00687291">
              <w:rPr>
                <w:rFonts w:ascii="Times New Roman" w:eastAsia="Times New Roman" w:hAnsi="Times New Roman" w:cs="Times New Roman"/>
                <w:b/>
                <w:sz w:val="28"/>
                <w:szCs w:val="28"/>
                <w:lang w:eastAsia="uk-UA"/>
              </w:rPr>
              <w:t>НКР без некрозу</w:t>
            </w:r>
          </w:p>
        </w:tc>
        <w:tc>
          <w:tcPr>
            <w:tcW w:w="49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43</w:t>
            </w:r>
          </w:p>
        </w:tc>
        <w:tc>
          <w:tcPr>
            <w:tcW w:w="1347"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1,74E-01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5,43E-02</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2,16E-01</w:t>
            </w:r>
          </w:p>
        </w:tc>
        <w:tc>
          <w:tcPr>
            <w:tcW w:w="1275"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1,07E-01</w:t>
            </w:r>
          </w:p>
        </w:tc>
        <w:tc>
          <w:tcPr>
            <w:tcW w:w="1276" w:type="dxa"/>
            <w:shd w:val="clear" w:color="auto" w:fill="auto"/>
            <w:noWrap/>
            <w:vAlign w:val="bottom"/>
          </w:tcPr>
          <w:p w:rsidR="001A5726" w:rsidRPr="00687291" w:rsidRDefault="001A5726" w:rsidP="001F0C51">
            <w:pPr>
              <w:spacing w:after="0" w:line="276" w:lineRule="auto"/>
              <w:jc w:val="right"/>
              <w:rPr>
                <w:rFonts w:ascii="Times New Roman" w:eastAsia="Times New Roman" w:hAnsi="Times New Roman" w:cs="Times New Roman"/>
                <w:sz w:val="28"/>
                <w:szCs w:val="28"/>
                <w:lang w:eastAsia="uk-UA"/>
              </w:rPr>
            </w:pPr>
            <w:r w:rsidRPr="00687291">
              <w:rPr>
                <w:rFonts w:ascii="Times New Roman" w:eastAsia="Times New Roman" w:hAnsi="Times New Roman" w:cs="Times New Roman"/>
                <w:sz w:val="28"/>
                <w:szCs w:val="28"/>
                <w:lang w:eastAsia="uk-UA"/>
              </w:rPr>
              <w:t>2,40E-01</w:t>
            </w:r>
          </w:p>
        </w:tc>
      </w:tr>
      <w:tr w:rsidR="001A5726" w:rsidRPr="00687291" w:rsidTr="001F0C51">
        <w:trPr>
          <w:trHeight w:val="300"/>
          <w:jc w:val="center"/>
        </w:trPr>
        <w:tc>
          <w:tcPr>
            <w:tcW w:w="2830" w:type="dxa"/>
            <w:shd w:val="clear" w:color="auto" w:fill="auto"/>
            <w:noWrap/>
            <w:vAlign w:val="bottom"/>
          </w:tcPr>
          <w:p w:rsidR="001A5726" w:rsidRPr="00926079" w:rsidRDefault="001A5726" w:rsidP="001F0C51">
            <w:pPr>
              <w:spacing w:after="0" w:line="276" w:lineRule="auto"/>
              <w:jc w:val="center"/>
              <w:rPr>
                <w:rFonts w:ascii="Times New Roman" w:eastAsia="Times New Roman" w:hAnsi="Times New Roman" w:cs="Times New Roman"/>
                <w:b/>
                <w:i/>
                <w:sz w:val="28"/>
                <w:szCs w:val="28"/>
                <w:lang w:eastAsia="uk-UA"/>
              </w:rPr>
            </w:pPr>
            <w:r w:rsidRPr="00926079">
              <w:rPr>
                <w:rFonts w:ascii="Times New Roman" w:eastAsia="Times New Roman" w:hAnsi="Times New Roman" w:cs="Times New Roman"/>
                <w:b/>
                <w:i/>
                <w:sz w:val="28"/>
                <w:szCs w:val="28"/>
                <w:lang w:eastAsia="uk-UA"/>
              </w:rPr>
              <w:t>p1,2</w:t>
            </w:r>
          </w:p>
        </w:tc>
        <w:tc>
          <w:tcPr>
            <w:tcW w:w="496"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p>
        </w:tc>
        <w:tc>
          <w:tcPr>
            <w:tcW w:w="1276"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p1,3</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p1,4</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p2,3</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&gt;</w:t>
            </w:r>
            <w:r w:rsidRPr="00687291">
              <w:rPr>
                <w:rFonts w:ascii="Times New Roman" w:eastAsia="Times New Roman" w:hAnsi="Times New Roman" w:cs="Times New Roman"/>
                <w:sz w:val="28"/>
                <w:szCs w:val="28"/>
                <w:lang w:eastAsia="uk-UA"/>
              </w:rPr>
              <w:t>0,05</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p2,4</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&gt;</w:t>
            </w:r>
            <w:r w:rsidRPr="00687291">
              <w:rPr>
                <w:rFonts w:ascii="Times New Roman" w:eastAsia="Times New Roman" w:hAnsi="Times New Roman" w:cs="Times New Roman"/>
                <w:sz w:val="28"/>
                <w:szCs w:val="28"/>
                <w:lang w:eastAsia="uk-UA"/>
              </w:rPr>
              <w:t>0,05</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p5,6</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&gt;</w:t>
            </w:r>
            <w:r w:rsidRPr="00687291">
              <w:rPr>
                <w:rFonts w:ascii="Times New Roman" w:eastAsia="Times New Roman" w:hAnsi="Times New Roman" w:cs="Times New Roman"/>
                <w:sz w:val="28"/>
                <w:szCs w:val="28"/>
                <w:lang w:eastAsia="uk-UA"/>
              </w:rPr>
              <w:t>0,05</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p5,7</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&gt;</w:t>
            </w:r>
            <w:r w:rsidRPr="00687291">
              <w:rPr>
                <w:rFonts w:ascii="Times New Roman" w:eastAsia="Times New Roman" w:hAnsi="Times New Roman" w:cs="Times New Roman"/>
                <w:sz w:val="28"/>
                <w:szCs w:val="28"/>
                <w:lang w:eastAsia="uk-UA"/>
              </w:rPr>
              <w:t>0,05</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p6,7</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&gt;</w:t>
            </w:r>
            <w:r w:rsidRPr="00687291">
              <w:rPr>
                <w:rFonts w:ascii="Times New Roman" w:eastAsia="Times New Roman" w:hAnsi="Times New Roman" w:cs="Times New Roman"/>
                <w:sz w:val="28"/>
                <w:szCs w:val="28"/>
                <w:lang w:eastAsia="uk-UA"/>
              </w:rPr>
              <w:t>0,05</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p8,9</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r w:rsidR="001A5726" w:rsidRPr="00687291" w:rsidTr="001F0C51">
        <w:trPr>
          <w:trHeight w:val="300"/>
          <w:jc w:val="center"/>
        </w:trPr>
        <w:tc>
          <w:tcPr>
            <w:tcW w:w="2830" w:type="dxa"/>
            <w:shd w:val="clear" w:color="auto" w:fill="auto"/>
            <w:noWrap/>
            <w:vAlign w:val="bottom"/>
          </w:tcPr>
          <w:p w:rsidR="001A5726" w:rsidRPr="00687291" w:rsidRDefault="001A5726" w:rsidP="001F0C51">
            <w:pPr>
              <w:spacing w:after="0" w:line="276" w:lineRule="auto"/>
              <w:jc w:val="center"/>
              <w:rPr>
                <w:rFonts w:ascii="Times New Roman" w:eastAsia="Times New Roman" w:hAnsi="Times New Roman" w:cs="Times New Roman"/>
                <w:b/>
                <w:sz w:val="28"/>
                <w:szCs w:val="28"/>
                <w:lang w:eastAsia="uk-UA"/>
              </w:rPr>
            </w:pPr>
            <w:r w:rsidRPr="00926079">
              <w:rPr>
                <w:rFonts w:ascii="Times New Roman" w:eastAsia="Times New Roman" w:hAnsi="Times New Roman" w:cs="Times New Roman"/>
                <w:b/>
                <w:i/>
                <w:sz w:val="28"/>
                <w:szCs w:val="28"/>
                <w:lang w:eastAsia="uk-UA"/>
              </w:rPr>
              <w:t>p10,11</w:t>
            </w:r>
          </w:p>
        </w:tc>
        <w:tc>
          <w:tcPr>
            <w:tcW w:w="49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347"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5"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c>
          <w:tcPr>
            <w:tcW w:w="1276" w:type="dxa"/>
            <w:shd w:val="clear" w:color="auto" w:fill="auto"/>
            <w:noWrap/>
          </w:tcPr>
          <w:p w:rsidR="001A5726" w:rsidRPr="00687291" w:rsidRDefault="001A5726" w:rsidP="001F0C51">
            <w:pPr>
              <w:spacing w:after="0" w:line="276" w:lineRule="auto"/>
              <w:jc w:val="center"/>
              <w:rPr>
                <w:rFonts w:ascii="Times New Roman" w:eastAsia="Times New Roman" w:hAnsi="Times New Roman" w:cs="Times New Roman"/>
                <w:sz w:val="28"/>
                <w:szCs w:val="28"/>
                <w:lang w:eastAsia="uk-UA"/>
              </w:rPr>
            </w:pPr>
            <w:r w:rsidRPr="00926079">
              <w:rPr>
                <w:rFonts w:ascii="Times New Roman" w:eastAsia="Times New Roman" w:hAnsi="Times New Roman" w:cs="Times New Roman"/>
                <w:sz w:val="28"/>
                <w:szCs w:val="28"/>
                <w:lang w:eastAsia="uk-UA"/>
              </w:rPr>
              <w:t>-</w:t>
            </w:r>
          </w:p>
        </w:tc>
      </w:tr>
    </w:tbl>
    <w:p w:rsidR="001A5726" w:rsidRPr="00687291" w:rsidRDefault="001A5726" w:rsidP="001A5726">
      <w:pPr>
        <w:spacing w:line="360" w:lineRule="auto"/>
        <w:jc w:val="both"/>
        <w:rPr>
          <w:rFonts w:ascii="Times New Roman" w:hAnsi="Times New Roman" w:cs="Times New Roman"/>
          <w:color w:val="000000" w:themeColor="text1"/>
          <w:sz w:val="28"/>
          <w:szCs w:val="28"/>
        </w:rPr>
      </w:pPr>
    </w:p>
    <w:p w:rsidR="001A5726" w:rsidRPr="00926079" w:rsidRDefault="002C4B85" w:rsidP="002C4B85">
      <w:pPr>
        <w:spacing w:line="360" w:lineRule="auto"/>
        <w:ind w:firstLine="708"/>
        <w:jc w:val="both"/>
        <w:rPr>
          <w:rFonts w:ascii="Times New Roman" w:hAnsi="Times New Roman" w:cs="Times New Roman"/>
          <w:color w:val="000000" w:themeColor="text1"/>
          <w:sz w:val="28"/>
          <w:szCs w:val="28"/>
        </w:rPr>
      </w:pPr>
      <w:r w:rsidRPr="00926079">
        <w:rPr>
          <w:rFonts w:ascii="Times New Roman" w:hAnsi="Times New Roman" w:cs="Times New Roman"/>
          <w:sz w:val="28"/>
          <w:szCs w:val="28"/>
        </w:rPr>
        <w:lastRenderedPageBreak/>
        <w:t xml:space="preserve">У підгрупах хворих із скНКР високого та низького </w:t>
      </w:r>
      <w:r w:rsidR="00B02037">
        <w:rPr>
          <w:rFonts w:ascii="Times New Roman" w:hAnsi="Times New Roman" w:cs="Times New Roman"/>
          <w:sz w:val="28"/>
          <w:szCs w:val="28"/>
        </w:rPr>
        <w:t>ступеня</w:t>
      </w:r>
      <w:r w:rsidRPr="00926079">
        <w:rPr>
          <w:rFonts w:ascii="Times New Roman" w:hAnsi="Times New Roman" w:cs="Times New Roman"/>
          <w:sz w:val="28"/>
          <w:szCs w:val="28"/>
        </w:rPr>
        <w:t xml:space="preserve"> диференціації ми констатували різницю у середніх рівнях експресії</w:t>
      </w:r>
      <w:r w:rsidRPr="00926079">
        <w:rPr>
          <w:rFonts w:ascii="Times New Roman" w:hAnsi="Times New Roman" w:cs="Times New Roman"/>
          <w:color w:val="000000" w:themeColor="text1"/>
          <w:sz w:val="28"/>
          <w:szCs w:val="28"/>
        </w:rPr>
        <w:t xml:space="preserve"> miR-15а в сечі, при цьому при низькодиференційованих пухлинах (</w:t>
      </w:r>
      <w:r w:rsidRPr="00687291">
        <w:rPr>
          <w:rFonts w:ascii="Times New Roman" w:hAnsi="Times New Roman" w:cs="Times New Roman"/>
          <w:color w:val="000000" w:themeColor="text1"/>
          <w:sz w:val="28"/>
          <w:szCs w:val="28"/>
        </w:rPr>
        <w:t xml:space="preserve">ступені </w:t>
      </w:r>
      <w:r w:rsidRPr="00926079">
        <w:rPr>
          <w:rFonts w:ascii="Times New Roman" w:hAnsi="Times New Roman" w:cs="Times New Roman"/>
          <w:color w:val="000000" w:themeColor="text1"/>
          <w:sz w:val="28"/>
          <w:szCs w:val="28"/>
        </w:rPr>
        <w:t xml:space="preserve">Furhman III та IV) даний показник був достовірно </w:t>
      </w:r>
      <w:r w:rsidRPr="00926079">
        <w:rPr>
          <w:rFonts w:ascii="Times New Roman" w:hAnsi="Times New Roman" w:cs="Times New Roman"/>
          <w:sz w:val="28"/>
          <w:szCs w:val="28"/>
        </w:rPr>
        <w:t>(</w:t>
      </w:r>
      <w:r w:rsidRPr="00687291">
        <w:rPr>
          <w:rFonts w:ascii="Times New Roman" w:hAnsi="Times New Roman" w:cs="Times New Roman"/>
          <w:sz w:val="28"/>
          <w:szCs w:val="28"/>
        </w:rPr>
        <w:t>р</w:t>
      </w:r>
      <w:r w:rsidRPr="00926079">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r w:rsidRPr="00926079">
        <w:rPr>
          <w:rFonts w:ascii="Times New Roman" w:hAnsi="Times New Roman" w:cs="Times New Roman"/>
          <w:sz w:val="28"/>
          <w:szCs w:val="28"/>
        </w:rPr>
        <w:t>)</w:t>
      </w:r>
      <w:r w:rsidRPr="00926079">
        <w:rPr>
          <w:rFonts w:ascii="Times New Roman" w:hAnsi="Times New Roman" w:cs="Times New Roman"/>
          <w:color w:val="000000" w:themeColor="text1"/>
          <w:sz w:val="28"/>
          <w:szCs w:val="28"/>
        </w:rPr>
        <w:t xml:space="preserve"> вищий</w:t>
      </w:r>
      <w:r>
        <w:rPr>
          <w:rFonts w:ascii="Times New Roman" w:hAnsi="Times New Roman" w:cs="Times New Roman"/>
          <w:color w:val="000000" w:themeColor="text1"/>
          <w:sz w:val="28"/>
          <w:szCs w:val="28"/>
        </w:rPr>
        <w:t>,</w:t>
      </w:r>
      <w:r w:rsidRPr="00926079">
        <w:rPr>
          <w:rFonts w:ascii="Times New Roman" w:hAnsi="Times New Roman" w:cs="Times New Roman"/>
          <w:color w:val="000000" w:themeColor="text1"/>
          <w:sz w:val="28"/>
          <w:szCs w:val="28"/>
        </w:rPr>
        <w:t xml:space="preserve"> ніж при високодиференційованих (</w:t>
      </w:r>
      <w:r w:rsidRPr="00687291">
        <w:rPr>
          <w:rFonts w:ascii="Times New Roman" w:hAnsi="Times New Roman" w:cs="Times New Roman"/>
          <w:color w:val="000000" w:themeColor="text1"/>
          <w:sz w:val="28"/>
          <w:szCs w:val="28"/>
        </w:rPr>
        <w:t xml:space="preserve">ступені </w:t>
      </w:r>
      <w:r w:rsidRPr="00926079">
        <w:rPr>
          <w:rFonts w:ascii="Times New Roman" w:hAnsi="Times New Roman" w:cs="Times New Roman"/>
          <w:color w:val="000000" w:themeColor="text1"/>
          <w:sz w:val="28"/>
          <w:szCs w:val="28"/>
        </w:rPr>
        <w:t>Furhman I та IІ)</w:t>
      </w:r>
      <w:r w:rsidRPr="00926079">
        <w:rPr>
          <w:rFonts w:ascii="Times New Roman" w:hAnsi="Times New Roman" w:cs="Times New Roman"/>
          <w:sz w:val="28"/>
          <w:szCs w:val="28"/>
        </w:rPr>
        <w:t xml:space="preserve">. Водночас, у пацієнтів із НКР та некротичними змінами в пухлині рівні експресії </w:t>
      </w:r>
      <w:r w:rsidRPr="00926079">
        <w:rPr>
          <w:rFonts w:ascii="Times New Roman" w:hAnsi="Times New Roman" w:cs="Times New Roman"/>
          <w:color w:val="000000" w:themeColor="text1"/>
          <w:sz w:val="28"/>
          <w:szCs w:val="28"/>
        </w:rPr>
        <w:t xml:space="preserve">miR-15а </w:t>
      </w:r>
      <w:r w:rsidRPr="00687291">
        <w:rPr>
          <w:rFonts w:ascii="Times New Roman" w:hAnsi="Times New Roman" w:cs="Times New Roman"/>
          <w:color w:val="000000" w:themeColor="text1"/>
          <w:sz w:val="28"/>
          <w:szCs w:val="28"/>
        </w:rPr>
        <w:t>були вищими</w:t>
      </w:r>
      <w:r>
        <w:rPr>
          <w:rFonts w:ascii="Times New Roman" w:hAnsi="Times New Roman" w:cs="Times New Roman"/>
          <w:color w:val="000000" w:themeColor="text1"/>
          <w:sz w:val="28"/>
          <w:szCs w:val="28"/>
        </w:rPr>
        <w:t>,</w:t>
      </w:r>
      <w:r w:rsidRPr="00687291">
        <w:rPr>
          <w:rFonts w:ascii="Times New Roman" w:hAnsi="Times New Roman" w:cs="Times New Roman"/>
          <w:color w:val="000000" w:themeColor="text1"/>
          <w:sz w:val="28"/>
          <w:szCs w:val="28"/>
        </w:rPr>
        <w:t xml:space="preserve"> ніж за</w:t>
      </w:r>
      <w:r w:rsidRPr="00926079">
        <w:rPr>
          <w:rFonts w:ascii="Times New Roman" w:hAnsi="Times New Roman" w:cs="Times New Roman"/>
          <w:color w:val="000000" w:themeColor="text1"/>
          <w:sz w:val="28"/>
          <w:szCs w:val="28"/>
        </w:rPr>
        <w:t xml:space="preserve"> відсутності некрозу, різниця у середніх значеннях цього показника також була статистично вагома (</w:t>
      </w:r>
      <w:r w:rsidRPr="00687291">
        <w:rPr>
          <w:rFonts w:ascii="Times New Roman" w:hAnsi="Times New Roman" w:cs="Times New Roman"/>
          <w:sz w:val="28"/>
          <w:szCs w:val="28"/>
        </w:rPr>
        <w:t>р</w:t>
      </w:r>
      <w:r w:rsidRPr="00926079">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r>
        <w:rPr>
          <w:rFonts w:ascii="Times New Roman" w:hAnsi="Times New Roman" w:cs="Times New Roman"/>
          <w:sz w:val="28"/>
          <w:szCs w:val="28"/>
        </w:rPr>
        <w:t>).</w:t>
      </w:r>
    </w:p>
    <w:p w:rsidR="001A5726" w:rsidRPr="00926079" w:rsidRDefault="001A5726" w:rsidP="001A5726">
      <w:pPr>
        <w:autoSpaceDE w:val="0"/>
        <w:autoSpaceDN w:val="0"/>
        <w:adjustRightInd w:val="0"/>
        <w:spacing w:after="0" w:line="240" w:lineRule="auto"/>
        <w:jc w:val="center"/>
        <w:rPr>
          <w:rFonts w:ascii="Times New Roman" w:hAnsi="Times New Roman" w:cs="Times New Roman"/>
          <w:sz w:val="28"/>
          <w:szCs w:val="28"/>
        </w:rPr>
      </w:pPr>
      <w:r w:rsidRPr="00926079">
        <w:rPr>
          <w:noProof/>
          <w:sz w:val="28"/>
          <w:szCs w:val="28"/>
          <w:lang w:val="en-US"/>
        </w:rPr>
        <mc:AlternateContent>
          <mc:Choice Requires="wps">
            <w:drawing>
              <wp:anchor distT="0" distB="0" distL="114300" distR="114300" simplePos="0" relativeHeight="251756544" behindDoc="0" locked="0" layoutInCell="1" allowOverlap="1" wp14:anchorId="5BA42D89" wp14:editId="4473CA32">
                <wp:simplePos x="0" y="0"/>
                <wp:positionH relativeFrom="margin">
                  <wp:posOffset>2057400</wp:posOffset>
                </wp:positionH>
                <wp:positionV relativeFrom="paragraph">
                  <wp:posOffset>55245</wp:posOffset>
                </wp:positionV>
                <wp:extent cx="1828800" cy="352425"/>
                <wp:effectExtent l="0" t="0" r="0" b="9525"/>
                <wp:wrapNone/>
                <wp:docPr id="191" name="Надпись 191"/>
                <wp:cNvGraphicFramePr/>
                <a:graphic xmlns:a="http://schemas.openxmlformats.org/drawingml/2006/main">
                  <a:graphicData uri="http://schemas.microsoft.com/office/word/2010/wordprocessingShape">
                    <wps:wsp>
                      <wps:cNvSpPr txBox="1"/>
                      <wps:spPr>
                        <a:xfrm>
                          <a:off x="0" y="0"/>
                          <a:ext cx="1828800" cy="352425"/>
                        </a:xfrm>
                        <a:prstGeom prst="rect">
                          <a:avLst/>
                        </a:prstGeom>
                        <a:noFill/>
                        <a:ln>
                          <a:noFill/>
                        </a:ln>
                      </wps:spPr>
                      <wps:txbx>
                        <w:txbxContent>
                          <w:p w:rsidR="007B5A1D" w:rsidRPr="00926079" w:rsidRDefault="007B5A1D" w:rsidP="001A5726">
                            <w:pPr>
                              <w:spacing w:line="360" w:lineRule="auto"/>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26079">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A42D89" id="Надпись 191" o:spid="_x0000_s1090" type="#_x0000_t202" style="position:absolute;left:0;text-align:left;margin-left:162pt;margin-top:4.35pt;width:2in;height:27.75pt;z-index:25175654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" filled="f" stroked="f">
                <v:textbox>
                  <w:txbxContent>
                    <w:p w:rsidR="007B5A1D" w:rsidRPr="00926079" w:rsidRDefault="007B5A1D" w:rsidP="001A5726">
                      <w:pPr>
                        <w:spacing w:line="360" w:lineRule="auto"/>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26079">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margin"/>
              </v:shape>
            </w:pict>
          </mc:Fallback>
        </mc:AlternateContent>
      </w:r>
      <w:r w:rsidRPr="00926079">
        <w:rPr>
          <w:noProof/>
          <w:sz w:val="28"/>
          <w:szCs w:val="28"/>
          <w:lang w:val="en-US"/>
        </w:rPr>
        <mc:AlternateContent>
          <mc:Choice Requires="wps">
            <w:drawing>
              <wp:anchor distT="0" distB="0" distL="114300" distR="114300" simplePos="0" relativeHeight="251757568" behindDoc="0" locked="0" layoutInCell="1" allowOverlap="1" wp14:anchorId="2920A972" wp14:editId="6511469D">
                <wp:simplePos x="0" y="0"/>
                <wp:positionH relativeFrom="margin">
                  <wp:posOffset>3291840</wp:posOffset>
                </wp:positionH>
                <wp:positionV relativeFrom="paragraph">
                  <wp:posOffset>55245</wp:posOffset>
                </wp:positionV>
                <wp:extent cx="1828800" cy="352425"/>
                <wp:effectExtent l="0" t="0" r="0" b="9525"/>
                <wp:wrapNone/>
                <wp:docPr id="192" name="Надпись 192"/>
                <wp:cNvGraphicFramePr/>
                <a:graphic xmlns:a="http://schemas.openxmlformats.org/drawingml/2006/main">
                  <a:graphicData uri="http://schemas.microsoft.com/office/word/2010/wordprocessingShape">
                    <wps:wsp>
                      <wps:cNvSpPr txBox="1"/>
                      <wps:spPr>
                        <a:xfrm>
                          <a:off x="0" y="0"/>
                          <a:ext cx="1828800" cy="352425"/>
                        </a:xfrm>
                        <a:prstGeom prst="rect">
                          <a:avLst/>
                        </a:prstGeom>
                        <a:noFill/>
                        <a:ln>
                          <a:noFill/>
                        </a:ln>
                      </wps:spPr>
                      <wps:txbx>
                        <w:txbxContent>
                          <w:p w:rsidR="007B5A1D" w:rsidRPr="00926079" w:rsidRDefault="007B5A1D" w:rsidP="001A5726">
                            <w:pPr>
                              <w:spacing w:line="360" w:lineRule="auto"/>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920A972" id="Надпись 192" o:spid="_x0000_s1091" type="#_x0000_t202" style="position:absolute;left:0;text-align:left;margin-left:259.2pt;margin-top:4.35pt;width:2in;height:27.75pt;z-index:251757568;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" filled="f" stroked="f">
                <v:textbox>
                  <w:txbxContent>
                    <w:p w:rsidR="007B5A1D" w:rsidRPr="00926079" w:rsidRDefault="007B5A1D" w:rsidP="001A5726">
                      <w:pPr>
                        <w:spacing w:line="360" w:lineRule="auto"/>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margin"/>
              </v:shape>
            </w:pict>
          </mc:Fallback>
        </mc:AlternateContent>
      </w:r>
      <w:r w:rsidRPr="00926079">
        <w:rPr>
          <w:noProof/>
          <w:sz w:val="28"/>
          <w:szCs w:val="28"/>
          <w:lang w:val="en-US"/>
        </w:rPr>
        <mc:AlternateContent>
          <mc:Choice Requires="wps">
            <w:drawing>
              <wp:anchor distT="0" distB="0" distL="114300" distR="114300" simplePos="0" relativeHeight="251758592" behindDoc="0" locked="0" layoutInCell="1" allowOverlap="1" wp14:anchorId="62CEEAD2" wp14:editId="371368CF">
                <wp:simplePos x="0" y="0"/>
                <wp:positionH relativeFrom="margin">
                  <wp:posOffset>4320540</wp:posOffset>
                </wp:positionH>
                <wp:positionV relativeFrom="paragraph">
                  <wp:posOffset>55245</wp:posOffset>
                </wp:positionV>
                <wp:extent cx="1828800" cy="352425"/>
                <wp:effectExtent l="0" t="0" r="0" b="9525"/>
                <wp:wrapNone/>
                <wp:docPr id="193" name="Надпись 193"/>
                <wp:cNvGraphicFramePr/>
                <a:graphic xmlns:a="http://schemas.openxmlformats.org/drawingml/2006/main">
                  <a:graphicData uri="http://schemas.microsoft.com/office/word/2010/wordprocessingShape">
                    <wps:wsp>
                      <wps:cNvSpPr txBox="1"/>
                      <wps:spPr>
                        <a:xfrm>
                          <a:off x="0" y="0"/>
                          <a:ext cx="1828800" cy="352425"/>
                        </a:xfrm>
                        <a:prstGeom prst="rect">
                          <a:avLst/>
                        </a:prstGeom>
                        <a:noFill/>
                        <a:ln>
                          <a:noFill/>
                        </a:ln>
                      </wps:spPr>
                      <wps:txbx>
                        <w:txbxContent>
                          <w:p w:rsidR="007B5A1D" w:rsidRPr="00926079" w:rsidRDefault="007B5A1D" w:rsidP="001A5726">
                            <w:pPr>
                              <w:spacing w:line="360" w:lineRule="auto"/>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CEEAD2" id="Надпись 193" o:spid="_x0000_s1092" type="#_x0000_t202" style="position:absolute;left:0;text-align:left;margin-left:340.2pt;margin-top:4.35pt;width:2in;height:27.75pt;z-index:25175859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" filled="f" stroked="f">
                <v:textbox>
                  <w:txbxContent>
                    <w:p w:rsidR="007B5A1D" w:rsidRPr="00926079" w:rsidRDefault="007B5A1D" w:rsidP="001A5726">
                      <w:pPr>
                        <w:spacing w:line="360" w:lineRule="auto"/>
                        <w:jc w:val="cente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noProof/>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margin"/>
              </v:shape>
            </w:pict>
          </mc:Fallback>
        </mc:AlternateContent>
      </w:r>
      <w:r w:rsidRPr="00926079">
        <w:rPr>
          <w:rFonts w:ascii="Times New Roman" w:hAnsi="Times New Roman" w:cs="Times New Roman"/>
          <w:noProof/>
          <w:sz w:val="28"/>
          <w:szCs w:val="28"/>
          <w:lang w:val="en-US"/>
        </w:rPr>
        <w:drawing>
          <wp:inline distT="0" distB="0" distL="0" distR="0" wp14:anchorId="7EA8A3F6" wp14:editId="26A7219C">
            <wp:extent cx="3604311" cy="2880000"/>
            <wp:effectExtent l="0" t="0" r="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604311" cy="2880000"/>
                    </a:xfrm>
                    <a:prstGeom prst="rect">
                      <a:avLst/>
                    </a:prstGeom>
                    <a:noFill/>
                    <a:ln>
                      <a:noFill/>
                    </a:ln>
                  </pic:spPr>
                </pic:pic>
              </a:graphicData>
            </a:graphic>
          </wp:inline>
        </w:drawing>
      </w:r>
    </w:p>
    <w:p w:rsidR="001A5726" w:rsidRDefault="001A5726" w:rsidP="001A5726">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4.3</w:t>
      </w:r>
      <w:r w:rsidRPr="00687291">
        <w:rPr>
          <w:rFonts w:ascii="Times New Roman" w:hAnsi="Times New Roman" w:cs="Times New Roman"/>
          <w:color w:val="000000" w:themeColor="text1"/>
          <w:sz w:val="28"/>
          <w:szCs w:val="28"/>
        </w:rPr>
        <w:t xml:space="preserve">. Коробкова діаграма експресії miR-15а в сечі хворих з (А) гістологічними підтипами НКР, (Б) низьким та високим ступенем скНКР за </w:t>
      </w:r>
      <w:r w:rsidRPr="00926079">
        <w:rPr>
          <w:rFonts w:ascii="Times New Roman" w:hAnsi="Times New Roman" w:cs="Times New Roman"/>
          <w:color w:val="000000" w:themeColor="text1"/>
          <w:sz w:val="28"/>
          <w:szCs w:val="28"/>
        </w:rPr>
        <w:t>Fuhrman</w:t>
      </w:r>
      <w:r w:rsidRPr="00687291">
        <w:rPr>
          <w:rFonts w:ascii="Times New Roman" w:hAnsi="Times New Roman" w:cs="Times New Roman"/>
          <w:color w:val="000000" w:themeColor="text1"/>
          <w:sz w:val="28"/>
          <w:szCs w:val="28"/>
        </w:rPr>
        <w:t>, (В) з та без некрозу пухлини при НКР</w:t>
      </w:r>
    </w:p>
    <w:p w:rsidR="001A5726" w:rsidRPr="00926079" w:rsidRDefault="001A5726" w:rsidP="001A5726">
      <w:pPr>
        <w:jc w:val="center"/>
        <w:rPr>
          <w:rFonts w:ascii="Times New Roman" w:hAnsi="Times New Roman" w:cs="Times New Roman"/>
          <w:color w:val="000000" w:themeColor="text1"/>
          <w:sz w:val="28"/>
          <w:szCs w:val="28"/>
        </w:rPr>
      </w:pPr>
    </w:p>
    <w:p w:rsidR="001A5726" w:rsidRPr="002C4B85" w:rsidRDefault="001A5726" w:rsidP="002C4B85">
      <w:pPr>
        <w:spacing w:line="360" w:lineRule="auto"/>
        <w:ind w:firstLine="708"/>
        <w:jc w:val="both"/>
        <w:rPr>
          <w:rFonts w:ascii="Times New Roman" w:eastAsia="Times New Roman" w:hAnsi="Times New Roman" w:cs="Times New Roman"/>
          <w:color w:val="000000"/>
          <w:sz w:val="28"/>
          <w:szCs w:val="28"/>
          <w:lang w:eastAsia="uk-UA"/>
        </w:rPr>
      </w:pPr>
      <w:r w:rsidRPr="00926079">
        <w:rPr>
          <w:rFonts w:ascii="Times New Roman" w:hAnsi="Times New Roman" w:cs="Times New Roman"/>
          <w:color w:val="000000" w:themeColor="text1"/>
          <w:sz w:val="28"/>
          <w:szCs w:val="28"/>
        </w:rPr>
        <w:t>Статистичний аналіз виявив у хворих із НКР кореляцію між розміром пухлини та рівнем експресії miR-15а, при цьому коефіцієнт кореляції становив r=0,87</w:t>
      </w:r>
      <w:r w:rsidR="001137BF">
        <w:rPr>
          <w:rFonts w:ascii="Times New Roman" w:hAnsi="Times New Roman" w:cs="Times New Roman"/>
          <w:color w:val="000000" w:themeColor="text1"/>
          <w:sz w:val="28"/>
          <w:szCs w:val="28"/>
        </w:rPr>
        <w:t>0</w:t>
      </w:r>
      <w:r w:rsidRPr="00926079">
        <w:rPr>
          <w:rFonts w:ascii="Times New Roman" w:hAnsi="Times New Roman" w:cs="Times New Roman"/>
          <w:color w:val="000000" w:themeColor="text1"/>
          <w:sz w:val="28"/>
          <w:szCs w:val="28"/>
        </w:rPr>
        <w:t>,  що свідчило на користь сильного позит</w:t>
      </w:r>
      <w:r w:rsidRPr="00687291">
        <w:rPr>
          <w:rFonts w:ascii="Times New Roman" w:hAnsi="Times New Roman" w:cs="Times New Roman"/>
          <w:color w:val="000000" w:themeColor="text1"/>
          <w:sz w:val="28"/>
          <w:szCs w:val="28"/>
        </w:rPr>
        <w:t>ивного взаємозв’язку</w:t>
      </w:r>
      <w:r w:rsidRPr="00926079">
        <w:rPr>
          <w:rFonts w:ascii="Times New Roman" w:hAnsi="Times New Roman" w:cs="Times New Roman"/>
          <w:color w:val="000000" w:themeColor="text1"/>
          <w:sz w:val="28"/>
          <w:szCs w:val="28"/>
        </w:rPr>
        <w:t xml:space="preserve">. Під час порівняння середніх значень експресії miR-15а в підгрупах хворих із НКР в залежності від Т-стадії ТNM класифікації, статистична різниця була відсутня </w:t>
      </w:r>
      <w:r w:rsidRPr="00926079">
        <w:rPr>
          <w:rFonts w:ascii="Times New Roman" w:hAnsi="Times New Roman" w:cs="Times New Roman"/>
          <w:sz w:val="28"/>
          <w:szCs w:val="28"/>
        </w:rPr>
        <w:t xml:space="preserve">(р&gt;0,05) </w:t>
      </w:r>
      <w:r w:rsidRPr="00926079">
        <w:rPr>
          <w:rFonts w:ascii="Times New Roman" w:hAnsi="Times New Roman" w:cs="Times New Roman"/>
          <w:color w:val="000000" w:themeColor="text1"/>
          <w:sz w:val="28"/>
          <w:szCs w:val="28"/>
        </w:rPr>
        <w:t xml:space="preserve">між підгрупами </w:t>
      </w:r>
      <w:r w:rsidRPr="00926079">
        <w:rPr>
          <w:rFonts w:ascii="Times New Roman" w:eastAsia="Times New Roman" w:hAnsi="Times New Roman" w:cs="Times New Roman"/>
          <w:color w:val="000000" w:themeColor="text1"/>
          <w:sz w:val="28"/>
          <w:szCs w:val="28"/>
          <w:lang w:eastAsia="uk-UA"/>
        </w:rPr>
        <w:t xml:space="preserve">T1aN0M0 </w:t>
      </w:r>
      <w:r>
        <w:rPr>
          <w:rFonts w:ascii="Times New Roman" w:eastAsia="Times New Roman" w:hAnsi="Times New Roman" w:cs="Times New Roman"/>
          <w:color w:val="000000" w:themeColor="text1"/>
          <w:sz w:val="28"/>
          <w:szCs w:val="28"/>
          <w:lang w:eastAsia="uk-UA"/>
        </w:rPr>
        <w:t>і</w:t>
      </w:r>
      <w:r w:rsidRPr="00926079">
        <w:rPr>
          <w:rFonts w:ascii="Times New Roman" w:eastAsia="Times New Roman" w:hAnsi="Times New Roman" w:cs="Times New Roman"/>
          <w:color w:val="000000" w:themeColor="text1"/>
          <w:sz w:val="28"/>
          <w:szCs w:val="28"/>
          <w:lang w:eastAsia="uk-UA"/>
        </w:rPr>
        <w:t xml:space="preserve"> T1bN0M0</w:t>
      </w:r>
      <w:r>
        <w:rPr>
          <w:rFonts w:ascii="Times New Roman" w:eastAsia="Times New Roman" w:hAnsi="Times New Roman" w:cs="Times New Roman"/>
          <w:color w:val="000000" w:themeColor="text1"/>
          <w:sz w:val="28"/>
          <w:szCs w:val="28"/>
          <w:lang w:eastAsia="uk-UA"/>
        </w:rPr>
        <w:t>,</w:t>
      </w:r>
      <w:r w:rsidRPr="00926079">
        <w:rPr>
          <w:rFonts w:ascii="Times New Roman" w:eastAsia="Times New Roman" w:hAnsi="Times New Roman" w:cs="Times New Roman"/>
          <w:color w:val="000000" w:themeColor="text1"/>
          <w:sz w:val="28"/>
          <w:szCs w:val="28"/>
          <w:lang w:eastAsia="uk-UA"/>
        </w:rPr>
        <w:t xml:space="preserve"> та T2aN0M0 </w:t>
      </w:r>
      <w:r>
        <w:rPr>
          <w:rFonts w:ascii="Times New Roman" w:eastAsia="Times New Roman" w:hAnsi="Times New Roman" w:cs="Times New Roman"/>
          <w:color w:val="000000" w:themeColor="text1"/>
          <w:sz w:val="28"/>
          <w:szCs w:val="28"/>
          <w:lang w:eastAsia="uk-UA"/>
        </w:rPr>
        <w:t>і</w:t>
      </w:r>
      <w:r w:rsidRPr="00926079">
        <w:rPr>
          <w:rFonts w:ascii="Times New Roman" w:eastAsia="Times New Roman" w:hAnsi="Times New Roman" w:cs="Times New Roman"/>
          <w:color w:val="000000" w:themeColor="text1"/>
          <w:sz w:val="28"/>
          <w:szCs w:val="28"/>
          <w:lang w:eastAsia="uk-UA"/>
        </w:rPr>
        <w:t xml:space="preserve"> T2bN0M</w:t>
      </w:r>
      <w:r>
        <w:rPr>
          <w:rFonts w:ascii="Times New Roman" w:eastAsia="Times New Roman" w:hAnsi="Times New Roman" w:cs="Times New Roman"/>
          <w:color w:val="000000" w:themeColor="text1"/>
          <w:sz w:val="28"/>
          <w:szCs w:val="28"/>
          <w:lang w:eastAsia="uk-UA"/>
        </w:rPr>
        <w:t>0;</w:t>
      </w:r>
      <w:r w:rsidRPr="00926079">
        <w:rPr>
          <w:rFonts w:ascii="Times New Roman" w:eastAsia="Times New Roman" w:hAnsi="Times New Roman" w:cs="Times New Roman"/>
          <w:color w:val="000000" w:themeColor="text1"/>
          <w:sz w:val="28"/>
          <w:szCs w:val="28"/>
          <w:lang w:eastAsia="uk-UA"/>
        </w:rPr>
        <w:t xml:space="preserve"> у решті випадків така різниця була достовірною </w:t>
      </w:r>
      <w:r w:rsidRPr="00926079">
        <w:rPr>
          <w:rFonts w:ascii="Times New Roman" w:hAnsi="Times New Roman" w:cs="Times New Roman"/>
          <w:color w:val="000000" w:themeColor="text1"/>
          <w:sz w:val="28"/>
          <w:szCs w:val="28"/>
        </w:rPr>
        <w:t>(</w:t>
      </w:r>
      <w:r w:rsidRPr="00926079">
        <w:rPr>
          <w:rFonts w:ascii="Times New Roman" w:hAnsi="Times New Roman" w:cs="Times New Roman"/>
          <w:sz w:val="28"/>
          <w:szCs w:val="28"/>
        </w:rPr>
        <w:t xml:space="preserve">р&lt;0,05). Середні значення </w:t>
      </w:r>
      <w:r w:rsidRPr="00926079">
        <w:rPr>
          <w:rFonts w:ascii="Times New Roman" w:hAnsi="Times New Roman" w:cs="Times New Roman"/>
          <w:color w:val="000000" w:themeColor="text1"/>
          <w:sz w:val="28"/>
          <w:szCs w:val="28"/>
        </w:rPr>
        <w:t xml:space="preserve">експресії miR-15а згідно ТNM класифікації були наступними: </w:t>
      </w:r>
      <w:r w:rsidRPr="00926079">
        <w:rPr>
          <w:rFonts w:ascii="Times New Roman" w:eastAsia="Times New Roman" w:hAnsi="Times New Roman" w:cs="Times New Roman"/>
          <w:color w:val="000000" w:themeColor="text1"/>
          <w:sz w:val="28"/>
          <w:szCs w:val="28"/>
          <w:lang w:eastAsia="uk-UA"/>
        </w:rPr>
        <w:t xml:space="preserve">T1aN0M0 – </w:t>
      </w:r>
      <w:r w:rsidRPr="00926079">
        <w:rPr>
          <w:rFonts w:ascii="Times New Roman" w:eastAsia="Times New Roman" w:hAnsi="Times New Roman" w:cs="Times New Roman"/>
          <w:color w:val="000000"/>
          <w:sz w:val="28"/>
          <w:szCs w:val="28"/>
          <w:lang w:eastAsia="uk-UA"/>
        </w:rPr>
        <w:lastRenderedPageBreak/>
        <w:t xml:space="preserve">5,77E-03±3,93E-03 УО, </w:t>
      </w:r>
      <w:r w:rsidRPr="00926079">
        <w:rPr>
          <w:rFonts w:ascii="Times New Roman" w:hAnsi="Times New Roman" w:cs="Times New Roman"/>
          <w:color w:val="000000"/>
          <w:sz w:val="28"/>
          <w:szCs w:val="28"/>
        </w:rPr>
        <w:t xml:space="preserve">T1bN0M0 - </w:t>
      </w:r>
      <w:r w:rsidRPr="00926079">
        <w:rPr>
          <w:rFonts w:ascii="Times New Roman" w:eastAsia="Times New Roman" w:hAnsi="Times New Roman" w:cs="Times New Roman"/>
          <w:color w:val="000000"/>
          <w:sz w:val="28"/>
          <w:szCs w:val="28"/>
          <w:lang w:eastAsia="uk-UA"/>
        </w:rPr>
        <w:t xml:space="preserve">7,35E-02±7,90E-02 УО, </w:t>
      </w:r>
      <w:r w:rsidRPr="00926079">
        <w:rPr>
          <w:rFonts w:ascii="Times New Roman" w:hAnsi="Times New Roman" w:cs="Times New Roman"/>
          <w:color w:val="000000"/>
          <w:sz w:val="28"/>
          <w:szCs w:val="28"/>
        </w:rPr>
        <w:t xml:space="preserve">T2aN0M0 - </w:t>
      </w:r>
      <w:r w:rsidRPr="00926079">
        <w:rPr>
          <w:rFonts w:ascii="Times New Roman" w:eastAsia="Times New Roman" w:hAnsi="Times New Roman" w:cs="Times New Roman"/>
          <w:color w:val="000000"/>
          <w:sz w:val="28"/>
          <w:szCs w:val="28"/>
          <w:lang w:eastAsia="uk-UA"/>
        </w:rPr>
        <w:t xml:space="preserve">3,57E-01±1,63E-01 УО, </w:t>
      </w:r>
      <w:r w:rsidRPr="00926079">
        <w:rPr>
          <w:rFonts w:ascii="Times New Roman" w:eastAsia="Times New Roman" w:hAnsi="Times New Roman" w:cs="Times New Roman"/>
          <w:color w:val="000000" w:themeColor="text1"/>
          <w:sz w:val="28"/>
          <w:szCs w:val="28"/>
          <w:lang w:eastAsia="uk-UA"/>
        </w:rPr>
        <w:t xml:space="preserve">T2bN0M0 - </w:t>
      </w:r>
      <w:r w:rsidRPr="00926079">
        <w:rPr>
          <w:rFonts w:ascii="Times New Roman" w:eastAsia="Times New Roman" w:hAnsi="Times New Roman" w:cs="Times New Roman"/>
          <w:color w:val="000000"/>
          <w:sz w:val="28"/>
          <w:szCs w:val="28"/>
          <w:lang w:eastAsia="uk-UA"/>
        </w:rPr>
        <w:t>4,99E-01±</w:t>
      </w:r>
      <w:r w:rsidRPr="00926079">
        <w:rPr>
          <w:rFonts w:ascii="Times New Roman" w:hAnsi="Times New Roman" w:cs="Times New Roman"/>
          <w:color w:val="000000"/>
          <w:sz w:val="28"/>
          <w:szCs w:val="28"/>
        </w:rPr>
        <w:t xml:space="preserve"> </w:t>
      </w:r>
      <w:r w:rsidRPr="00926079">
        <w:rPr>
          <w:rFonts w:ascii="Times New Roman" w:eastAsia="Times New Roman" w:hAnsi="Times New Roman" w:cs="Times New Roman"/>
          <w:color w:val="000000"/>
          <w:sz w:val="28"/>
          <w:szCs w:val="28"/>
          <w:lang w:eastAsia="uk-UA"/>
        </w:rPr>
        <w:t xml:space="preserve">4,37E-02 УО, </w:t>
      </w:r>
      <w:r w:rsidRPr="00926079">
        <w:rPr>
          <w:rFonts w:ascii="Times New Roman" w:eastAsia="Times New Roman" w:hAnsi="Times New Roman" w:cs="Times New Roman"/>
          <w:color w:val="000000" w:themeColor="text1"/>
          <w:sz w:val="28"/>
          <w:szCs w:val="28"/>
          <w:lang w:eastAsia="uk-UA"/>
        </w:rPr>
        <w:t xml:space="preserve">T3aN0-1M0 - </w:t>
      </w:r>
      <w:r w:rsidRPr="00926079">
        <w:rPr>
          <w:rFonts w:ascii="Times New Roman" w:eastAsia="Times New Roman" w:hAnsi="Times New Roman" w:cs="Times New Roman"/>
          <w:color w:val="000000"/>
          <w:sz w:val="28"/>
          <w:szCs w:val="28"/>
          <w:lang w:eastAsia="uk-UA"/>
        </w:rPr>
        <w:t>7,18E-01±1,56E-01 УО.</w:t>
      </w:r>
      <w:r>
        <w:rPr>
          <w:rFonts w:ascii="Times New Roman" w:eastAsia="Times New Roman" w:hAnsi="Times New Roman" w:cs="Times New Roman"/>
          <w:color w:val="000000"/>
          <w:sz w:val="28"/>
          <w:szCs w:val="28"/>
          <w:lang w:eastAsia="uk-UA"/>
        </w:rPr>
        <w:t xml:space="preserve"> Слід зазначити, що істотних корелятивних зав’язків із віком хворого, показниками загального аналізу сечі, рівнями біохімічних індикаторів функції нирок (креатиніну, сечовини) та експресією </w:t>
      </w:r>
      <w:r w:rsidRPr="003008FB">
        <w:rPr>
          <w:rFonts w:ascii="Times New Roman" w:hAnsi="Times New Roman" w:cs="Times New Roman"/>
          <w:color w:val="000000" w:themeColor="text1"/>
          <w:sz w:val="28"/>
          <w:szCs w:val="28"/>
        </w:rPr>
        <w:t>miR-15а</w:t>
      </w:r>
      <w:r>
        <w:rPr>
          <w:rFonts w:ascii="Times New Roman" w:hAnsi="Times New Roman" w:cs="Times New Roman"/>
          <w:color w:val="000000" w:themeColor="text1"/>
          <w:sz w:val="28"/>
          <w:szCs w:val="28"/>
        </w:rPr>
        <w:t xml:space="preserve"> в сечі нами знайдено не було.</w:t>
      </w:r>
    </w:p>
    <w:p w:rsidR="001A5726" w:rsidRPr="00926079" w:rsidRDefault="001A5726" w:rsidP="001A5726">
      <w:pPr>
        <w:spacing w:line="360" w:lineRule="auto"/>
        <w:jc w:val="center"/>
        <w:rPr>
          <w:rFonts w:ascii="Times New Roman" w:hAnsi="Times New Roman" w:cs="Times New Roman"/>
          <w:sz w:val="28"/>
          <w:szCs w:val="28"/>
        </w:rPr>
      </w:pPr>
      <w:r w:rsidRPr="00926079">
        <w:rPr>
          <w:rFonts w:ascii="Times New Roman" w:hAnsi="Times New Roman" w:cs="Times New Roman"/>
          <w:noProof/>
          <w:sz w:val="28"/>
          <w:szCs w:val="28"/>
          <w:lang w:val="en-US"/>
        </w:rPr>
        <w:drawing>
          <wp:inline distT="0" distB="0" distL="0" distR="0" wp14:anchorId="74C12048" wp14:editId="3000565B">
            <wp:extent cx="3001992" cy="2810877"/>
            <wp:effectExtent l="0" t="0" r="8255" b="889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r="14490"/>
                    <a:stretch/>
                  </pic:blipFill>
                  <pic:spPr bwMode="auto">
                    <a:xfrm>
                      <a:off x="0" y="0"/>
                      <a:ext cx="3017528" cy="2825424"/>
                    </a:xfrm>
                    <a:prstGeom prst="rect">
                      <a:avLst/>
                    </a:prstGeom>
                    <a:noFill/>
                    <a:ln>
                      <a:noFill/>
                    </a:ln>
                    <a:extLst>
                      <a:ext uri="{53640926-AAD7-44D8-BBD7-CCE9431645EC}">
                        <a14:shadowObscured xmlns:a14="http://schemas.microsoft.com/office/drawing/2010/main"/>
                      </a:ext>
                    </a:extLst>
                  </pic:spPr>
                </pic:pic>
              </a:graphicData>
            </a:graphic>
          </wp:inline>
        </w:drawing>
      </w:r>
    </w:p>
    <w:p w:rsidR="001A5726" w:rsidRPr="00926079" w:rsidRDefault="001A5726" w:rsidP="001A5726">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4.4</w:t>
      </w:r>
      <w:r w:rsidRPr="00926079">
        <w:rPr>
          <w:rFonts w:ascii="Times New Roman" w:hAnsi="Times New Roman" w:cs="Times New Roman"/>
          <w:color w:val="000000" w:themeColor="text1"/>
          <w:sz w:val="28"/>
          <w:szCs w:val="28"/>
        </w:rPr>
        <w:t>. Графік кореляції розміру пухлини при НКР та експресії miR-15а</w:t>
      </w:r>
    </w:p>
    <w:p w:rsidR="001A5726" w:rsidRPr="00926079" w:rsidRDefault="001A5726" w:rsidP="001A5726">
      <w:pPr>
        <w:spacing w:line="360" w:lineRule="auto"/>
        <w:ind w:firstLine="708"/>
        <w:jc w:val="both"/>
        <w:rPr>
          <w:rFonts w:ascii="Times New Roman" w:hAnsi="Times New Roman" w:cs="Times New Roman"/>
          <w:sz w:val="28"/>
          <w:szCs w:val="28"/>
        </w:rPr>
      </w:pPr>
    </w:p>
    <w:p w:rsidR="001A5726" w:rsidRPr="00926079" w:rsidRDefault="001A5726" w:rsidP="001A5726">
      <w:pPr>
        <w:spacing w:line="360" w:lineRule="auto"/>
        <w:ind w:firstLine="708"/>
        <w:jc w:val="both"/>
        <w:rPr>
          <w:rFonts w:ascii="Times New Roman" w:eastAsia="Times New Roman" w:hAnsi="Times New Roman" w:cs="Times New Roman"/>
          <w:color w:val="000000"/>
          <w:sz w:val="28"/>
          <w:szCs w:val="28"/>
          <w:lang w:eastAsia="uk-UA"/>
        </w:rPr>
      </w:pPr>
      <w:r w:rsidRPr="00926079">
        <w:rPr>
          <w:rFonts w:ascii="Times New Roman" w:eastAsia="Times New Roman" w:hAnsi="Times New Roman" w:cs="Times New Roman"/>
          <w:color w:val="000000"/>
          <w:sz w:val="28"/>
          <w:szCs w:val="28"/>
          <w:lang w:eastAsia="uk-UA"/>
        </w:rPr>
        <w:t xml:space="preserve">При визначенні </w:t>
      </w:r>
      <w:r w:rsidRPr="00926079">
        <w:rPr>
          <w:rFonts w:ascii="Times New Roman" w:hAnsi="Times New Roman" w:cs="Times New Roman"/>
          <w:sz w:val="28"/>
          <w:szCs w:val="28"/>
        </w:rPr>
        <w:t xml:space="preserve">діагностичної ефективності застосування визначених у сечі рівнів експресії </w:t>
      </w:r>
      <w:r w:rsidRPr="00926079">
        <w:rPr>
          <w:rFonts w:ascii="Times New Roman" w:hAnsi="Times New Roman" w:cs="Times New Roman"/>
          <w:color w:val="000000" w:themeColor="text1"/>
          <w:sz w:val="28"/>
          <w:szCs w:val="28"/>
        </w:rPr>
        <w:t xml:space="preserve">miR-15а при диференційній діагностиці НКР та доброякісних пухлин нирки за допомогою ROC </w:t>
      </w:r>
      <w:r w:rsidRPr="00926079">
        <w:rPr>
          <w:rFonts w:ascii="Times New Roman" w:hAnsi="Times New Roman"/>
          <w:sz w:val="28"/>
          <w:szCs w:val="28"/>
        </w:rPr>
        <w:t xml:space="preserve">аналізу, чутливість та специфічність при пороговому значенні експресії </w:t>
      </w:r>
      <w:r w:rsidRPr="00926079">
        <w:rPr>
          <w:rFonts w:ascii="Times New Roman" w:eastAsia="Times New Roman" w:hAnsi="Times New Roman"/>
          <w:color w:val="000000"/>
          <w:sz w:val="28"/>
          <w:szCs w:val="28"/>
          <w:lang w:eastAsia="uk-UA"/>
        </w:rPr>
        <w:t>5,00E-06</w:t>
      </w:r>
      <w:r w:rsidRPr="009E6C7E">
        <w:rPr>
          <w:rFonts w:ascii="Times New Roman" w:eastAsia="Times New Roman" w:hAnsi="Times New Roman"/>
          <w:color w:val="000000"/>
          <w:sz w:val="24"/>
          <w:szCs w:val="24"/>
          <w:lang w:val="ru-RU" w:eastAsia="uk-UA"/>
        </w:rPr>
        <w:t xml:space="preserve"> </w:t>
      </w:r>
      <w:r w:rsidRPr="00926079">
        <w:rPr>
          <w:rFonts w:ascii="Times New Roman" w:eastAsia="Times New Roman" w:hAnsi="Times New Roman" w:cs="Times New Roman"/>
          <w:sz w:val="28"/>
          <w:szCs w:val="28"/>
          <w:lang w:eastAsia="uk-UA"/>
        </w:rPr>
        <w:t xml:space="preserve">УО становили </w:t>
      </w:r>
      <w:r w:rsidRPr="00D654E5">
        <w:rPr>
          <w:rFonts w:ascii="Times New Roman" w:eastAsia="Times New Roman" w:hAnsi="Times New Roman" w:cs="Times New Roman"/>
          <w:color w:val="000000"/>
          <w:sz w:val="28"/>
          <w:szCs w:val="28"/>
          <w:lang w:eastAsia="uk-UA"/>
        </w:rPr>
        <w:t xml:space="preserve">відповідно </w:t>
      </w:r>
      <w:r w:rsidRPr="00926079">
        <w:rPr>
          <w:rFonts w:ascii="Times New Roman" w:eastAsia="Times New Roman" w:hAnsi="Times New Roman" w:cs="Times New Roman"/>
          <w:color w:val="000000"/>
          <w:sz w:val="28"/>
          <w:szCs w:val="28"/>
          <w:lang w:eastAsia="uk-UA"/>
        </w:rPr>
        <w:t>98,1% та 100%</w:t>
      </w:r>
      <w:r>
        <w:rPr>
          <w:rFonts w:ascii="Times New Roman" w:eastAsia="Times New Roman" w:hAnsi="Times New Roman" w:cs="Times New Roman"/>
          <w:color w:val="000000"/>
          <w:sz w:val="28"/>
          <w:szCs w:val="28"/>
          <w:lang w:eastAsia="uk-UA"/>
        </w:rPr>
        <w:t>,</w:t>
      </w:r>
      <w:r w:rsidRPr="00926079">
        <w:rPr>
          <w:rFonts w:ascii="Times New Roman" w:eastAsia="Times New Roman" w:hAnsi="Times New Roman" w:cs="Times New Roman"/>
          <w:color w:val="000000"/>
          <w:sz w:val="28"/>
          <w:szCs w:val="28"/>
          <w:lang w:eastAsia="uk-UA"/>
        </w:rPr>
        <w:t xml:space="preserve"> при цьому площа під кривою </w:t>
      </w:r>
      <w:r>
        <w:rPr>
          <w:rFonts w:ascii="Times New Roman" w:eastAsia="Times New Roman" w:hAnsi="Times New Roman" w:cs="Times New Roman"/>
          <w:color w:val="000000"/>
          <w:sz w:val="28"/>
          <w:szCs w:val="28"/>
          <w:lang w:eastAsia="uk-UA"/>
        </w:rPr>
        <w:t xml:space="preserve">складала 0,955 </w:t>
      </w:r>
      <w:r w:rsidRPr="003008FB">
        <w:rPr>
          <w:rFonts w:ascii="Times New Roman" w:eastAsia="Times New Roman" w:hAnsi="Times New Roman" w:cs="Times New Roman"/>
          <w:color w:val="000000"/>
          <w:sz w:val="28"/>
          <w:szCs w:val="28"/>
          <w:lang w:eastAsia="uk-UA"/>
        </w:rPr>
        <w:t>(95% ДІ=0,895-0</w:t>
      </w:r>
      <w:r>
        <w:rPr>
          <w:rFonts w:ascii="Times New Roman" w:eastAsia="Times New Roman" w:hAnsi="Times New Roman" w:cs="Times New Roman"/>
          <w:color w:val="000000"/>
          <w:sz w:val="28"/>
          <w:szCs w:val="28"/>
          <w:lang w:eastAsia="uk-UA"/>
        </w:rPr>
        <w:t>,997, р</w:t>
      </w:r>
      <w:r w:rsidRPr="009E6C7E">
        <w:rPr>
          <w:rFonts w:ascii="Times New Roman" w:eastAsia="Times New Roman" w:hAnsi="Times New Roman" w:cs="Times New Roman"/>
          <w:color w:val="000000"/>
          <w:sz w:val="28"/>
          <w:szCs w:val="28"/>
          <w:lang w:val="ru-RU" w:eastAsia="uk-UA"/>
        </w:rPr>
        <w:t>&lt;</w:t>
      </w:r>
      <w:r>
        <w:rPr>
          <w:rFonts w:ascii="Times New Roman" w:eastAsia="Times New Roman" w:hAnsi="Times New Roman" w:cs="Times New Roman"/>
          <w:color w:val="000000"/>
          <w:sz w:val="28"/>
          <w:szCs w:val="28"/>
          <w:lang w:eastAsia="uk-UA"/>
        </w:rPr>
        <w:t>0,001</w:t>
      </w:r>
      <w:r w:rsidRPr="003008FB">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що свідчило про високу точність методу. </w:t>
      </w:r>
      <w:r w:rsidRPr="00926079">
        <w:rPr>
          <w:rFonts w:ascii="Times New Roman" w:eastAsia="Times New Roman" w:hAnsi="Times New Roman" w:cs="Times New Roman"/>
          <w:color w:val="000000"/>
          <w:sz w:val="28"/>
          <w:szCs w:val="28"/>
          <w:lang w:eastAsia="uk-UA"/>
        </w:rPr>
        <w:t xml:space="preserve"> </w:t>
      </w:r>
      <w:r>
        <w:rPr>
          <w:rFonts w:ascii="Times New Roman" w:hAnsi="Times New Roman" w:cs="Times New Roman"/>
          <w:sz w:val="28"/>
          <w:szCs w:val="28"/>
        </w:rPr>
        <w:t xml:space="preserve">Як видно з отриманих даних, запропонований нами метод діагностики НКР продемонстрував високі показники чутливості та специфічності: лише у 3 (5,77%) із 52 випадків НКР, при розмірі пухлин </w:t>
      </w:r>
      <w:r w:rsidRPr="003008FB">
        <w:rPr>
          <w:rFonts w:ascii="Times New Roman" w:eastAsia="Times New Roman" w:hAnsi="Times New Roman"/>
          <w:color w:val="000000"/>
          <w:sz w:val="28"/>
          <w:szCs w:val="28"/>
          <w:lang w:eastAsia="uk-UA"/>
        </w:rPr>
        <w:t>&lt;3,4 см (T1aN0M0)</w:t>
      </w:r>
      <w:r>
        <w:rPr>
          <w:rFonts w:ascii="Times New Roman" w:eastAsia="Times New Roman" w:hAnsi="Times New Roman"/>
          <w:color w:val="000000"/>
          <w:sz w:val="28"/>
          <w:szCs w:val="28"/>
          <w:lang w:eastAsia="uk-UA"/>
        </w:rPr>
        <w:t xml:space="preserve">, рівні експресії </w:t>
      </w:r>
      <w:r w:rsidRPr="003008FB">
        <w:rPr>
          <w:rFonts w:ascii="Times New Roman" w:hAnsi="Times New Roman" w:cs="Times New Roman"/>
          <w:color w:val="000000" w:themeColor="text1"/>
          <w:sz w:val="28"/>
          <w:szCs w:val="28"/>
        </w:rPr>
        <w:t>miR-15а</w:t>
      </w:r>
      <w:r>
        <w:rPr>
          <w:rFonts w:ascii="Times New Roman" w:hAnsi="Times New Roman" w:cs="Times New Roman"/>
          <w:color w:val="000000" w:themeColor="text1"/>
          <w:sz w:val="28"/>
          <w:szCs w:val="28"/>
        </w:rPr>
        <w:t xml:space="preserve"> були в діапазоні значень доброякісних пухлин нирок. Водночас,  лише у 2 (13,33%) з 15 хворих з доброякісними пухлинами нирок </w:t>
      </w:r>
      <w:r>
        <w:rPr>
          <w:rFonts w:ascii="Times New Roman" w:hAnsi="Times New Roman" w:cs="Times New Roman"/>
          <w:color w:val="000000" w:themeColor="text1"/>
          <w:sz w:val="28"/>
          <w:szCs w:val="28"/>
        </w:rPr>
        <w:lastRenderedPageBreak/>
        <w:t xml:space="preserve">(1 ОЦ та 1 АМЛ) розміром 9,6 та 11,0 см рівні експресії </w:t>
      </w:r>
      <w:r w:rsidRPr="003008FB">
        <w:rPr>
          <w:rFonts w:ascii="Times New Roman" w:hAnsi="Times New Roman" w:cs="Times New Roman"/>
          <w:color w:val="000000" w:themeColor="text1"/>
          <w:sz w:val="28"/>
          <w:szCs w:val="28"/>
        </w:rPr>
        <w:t>miR-15а</w:t>
      </w:r>
      <w:r>
        <w:rPr>
          <w:rFonts w:ascii="Times New Roman" w:hAnsi="Times New Roman" w:cs="Times New Roman"/>
          <w:color w:val="000000" w:themeColor="text1"/>
          <w:sz w:val="28"/>
          <w:szCs w:val="28"/>
        </w:rPr>
        <w:t xml:space="preserve"> знаходились в межах значень НКР.</w:t>
      </w:r>
    </w:p>
    <w:p w:rsidR="001A5726" w:rsidRPr="00926079" w:rsidRDefault="001A5726" w:rsidP="001A5726">
      <w:pPr>
        <w:jc w:val="center"/>
        <w:rPr>
          <w:rFonts w:ascii="Times New Roman" w:hAnsi="Times New Roman" w:cs="Times New Roman"/>
          <w:color w:val="000000" w:themeColor="text1"/>
          <w:sz w:val="28"/>
          <w:szCs w:val="28"/>
        </w:rPr>
      </w:pPr>
      <w:r w:rsidRPr="00926079">
        <w:rPr>
          <w:rFonts w:ascii="Times New Roman" w:hAnsi="Times New Roman" w:cs="Times New Roman"/>
          <w:noProof/>
          <w:sz w:val="28"/>
          <w:szCs w:val="28"/>
          <w:lang w:val="en-US"/>
        </w:rPr>
        <w:drawing>
          <wp:inline distT="0" distB="0" distL="0" distR="0" wp14:anchorId="17FD9FA0" wp14:editId="77E18A4C">
            <wp:extent cx="2887820" cy="2914650"/>
            <wp:effectExtent l="0" t="0" r="8255"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l="11473" r="9197"/>
                    <a:stretch/>
                  </pic:blipFill>
                  <pic:spPr bwMode="auto">
                    <a:xfrm>
                      <a:off x="0" y="0"/>
                      <a:ext cx="2905628" cy="2932623"/>
                    </a:xfrm>
                    <a:prstGeom prst="rect">
                      <a:avLst/>
                    </a:prstGeom>
                    <a:noFill/>
                    <a:ln>
                      <a:noFill/>
                    </a:ln>
                    <a:extLst>
                      <a:ext uri="{53640926-AAD7-44D8-BBD7-CCE9431645EC}">
                        <a14:shadowObscured xmlns:a14="http://schemas.microsoft.com/office/drawing/2010/main"/>
                      </a:ext>
                    </a:extLst>
                  </pic:spPr>
                </pic:pic>
              </a:graphicData>
            </a:graphic>
          </wp:inline>
        </w:drawing>
      </w:r>
    </w:p>
    <w:p w:rsidR="001A5726" w:rsidRPr="003008FB" w:rsidRDefault="001A5726" w:rsidP="001A5726">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Рис. 4.5. </w:t>
      </w:r>
      <w:r w:rsidRPr="003008FB">
        <w:rPr>
          <w:rFonts w:ascii="Times New Roman" w:hAnsi="Times New Roman" w:cs="Times New Roman"/>
          <w:color w:val="000000" w:themeColor="text1"/>
          <w:sz w:val="28"/>
          <w:szCs w:val="28"/>
        </w:rPr>
        <w:t>ROC-криві експресії miR-15а при диференціації НКР від доброякісних пухлин нирок</w:t>
      </w:r>
    </w:p>
    <w:p w:rsidR="001A5726" w:rsidRDefault="001A5726" w:rsidP="001A5726">
      <w:pPr>
        <w:spacing w:line="360" w:lineRule="auto"/>
        <w:jc w:val="both"/>
        <w:rPr>
          <w:rFonts w:ascii="Times New Roman" w:hAnsi="Times New Roman" w:cs="Times New Roman"/>
          <w:sz w:val="28"/>
          <w:szCs w:val="28"/>
        </w:rPr>
      </w:pPr>
    </w:p>
    <w:p w:rsidR="001A5726" w:rsidRDefault="001A5726" w:rsidP="001A5726">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Диференціація конвенційного НКР високого від низького </w:t>
      </w:r>
      <w:r w:rsidR="00B02037">
        <w:rPr>
          <w:rFonts w:ascii="Times New Roman" w:hAnsi="Times New Roman" w:cs="Times New Roman"/>
          <w:sz w:val="28"/>
          <w:szCs w:val="28"/>
        </w:rPr>
        <w:t>ступеня</w:t>
      </w:r>
      <w:r>
        <w:rPr>
          <w:rFonts w:ascii="Times New Roman" w:hAnsi="Times New Roman" w:cs="Times New Roman"/>
          <w:sz w:val="28"/>
          <w:szCs w:val="28"/>
        </w:rPr>
        <w:t xml:space="preserve"> за </w:t>
      </w:r>
      <w:r>
        <w:rPr>
          <w:rFonts w:ascii="Times New Roman" w:hAnsi="Times New Roman" w:cs="Times New Roman"/>
          <w:sz w:val="28"/>
          <w:szCs w:val="28"/>
          <w:lang w:val="en-US"/>
        </w:rPr>
        <w:t>Fuhrman</w:t>
      </w:r>
      <w:r w:rsidRPr="009E6C7E">
        <w:rPr>
          <w:rFonts w:ascii="Times New Roman" w:hAnsi="Times New Roman" w:cs="Times New Roman"/>
          <w:sz w:val="28"/>
          <w:szCs w:val="28"/>
        </w:rPr>
        <w:t xml:space="preserve"> </w:t>
      </w:r>
      <w:r>
        <w:rPr>
          <w:rFonts w:ascii="Times New Roman" w:hAnsi="Times New Roman" w:cs="Times New Roman"/>
          <w:sz w:val="28"/>
          <w:szCs w:val="28"/>
        </w:rPr>
        <w:t>була можливою із чутливістю та специфічністю відповідно 100% та 80% при граничній величині експресії міР-15а 4,44</w:t>
      </w:r>
      <w:r>
        <w:rPr>
          <w:rFonts w:ascii="Times New Roman" w:eastAsia="Times New Roman" w:hAnsi="Times New Roman" w:cs="Times New Roman"/>
          <w:sz w:val="28"/>
          <w:szCs w:val="28"/>
          <w:lang w:eastAsia="uk-UA"/>
        </w:rPr>
        <w:t>E-01 УО (</w:t>
      </w:r>
      <w:r>
        <w:rPr>
          <w:rFonts w:ascii="Times New Roman" w:eastAsia="Times New Roman" w:hAnsi="Times New Roman" w:cs="Times New Roman"/>
          <w:sz w:val="28"/>
          <w:szCs w:val="28"/>
          <w:lang w:val="en-US" w:eastAsia="uk-UA"/>
        </w:rPr>
        <w:t>AUC</w:t>
      </w:r>
      <w:r w:rsidRPr="009E6C7E">
        <w:rPr>
          <w:rFonts w:ascii="Times New Roman" w:eastAsia="Times New Roman" w:hAnsi="Times New Roman" w:cs="Times New Roman"/>
          <w:sz w:val="28"/>
          <w:szCs w:val="28"/>
          <w:lang w:eastAsia="uk-UA"/>
        </w:rPr>
        <w:t>=0,967</w:t>
      </w:r>
      <w:r>
        <w:rPr>
          <w:rFonts w:ascii="Times New Roman" w:eastAsia="Times New Roman" w:hAnsi="Times New Roman" w:cs="Times New Roman"/>
          <w:sz w:val="28"/>
          <w:szCs w:val="28"/>
          <w:lang w:eastAsia="uk-UA"/>
        </w:rPr>
        <w:t>, 95% ДІ=0,902-0,998, р</w:t>
      </w:r>
      <w:r w:rsidRPr="009E6C7E">
        <w:rPr>
          <w:rFonts w:ascii="Times New Roman" w:eastAsia="Times New Roman" w:hAnsi="Times New Roman" w:cs="Times New Roman"/>
          <w:sz w:val="28"/>
          <w:szCs w:val="28"/>
          <w:lang w:eastAsia="uk-UA"/>
        </w:rPr>
        <w:t>&lt;</w:t>
      </w:r>
      <w:r>
        <w:rPr>
          <w:rFonts w:ascii="Times New Roman" w:eastAsia="Times New Roman" w:hAnsi="Times New Roman" w:cs="Times New Roman"/>
          <w:sz w:val="28"/>
          <w:szCs w:val="28"/>
          <w:lang w:eastAsia="uk-UA"/>
        </w:rPr>
        <w:t xml:space="preserve">0,001). Застосування </w:t>
      </w:r>
      <w:r>
        <w:rPr>
          <w:rFonts w:ascii="Times New Roman" w:hAnsi="Times New Roman" w:cs="Times New Roman"/>
          <w:sz w:val="28"/>
          <w:szCs w:val="28"/>
        </w:rPr>
        <w:t xml:space="preserve">експресії міР-15а із пороговим значенням 3,81Е-1 УО для </w:t>
      </w:r>
      <w:r>
        <w:rPr>
          <w:rFonts w:ascii="Times New Roman" w:eastAsia="Times New Roman" w:hAnsi="Times New Roman" w:cs="Times New Roman"/>
          <w:sz w:val="28"/>
          <w:szCs w:val="28"/>
          <w:lang w:eastAsia="uk-UA"/>
        </w:rPr>
        <w:t>диференціації наявності некрозу пухлини при НКР від його відсутності дозволяло отримати 88,9% чутливість та 79,1% специфічність (</w:t>
      </w:r>
      <w:r>
        <w:rPr>
          <w:rFonts w:ascii="Times New Roman" w:eastAsia="Times New Roman" w:hAnsi="Times New Roman" w:cs="Times New Roman"/>
          <w:sz w:val="28"/>
          <w:szCs w:val="28"/>
          <w:lang w:val="en-US" w:eastAsia="uk-UA"/>
        </w:rPr>
        <w:t>AUC</w:t>
      </w:r>
      <w:r w:rsidRPr="009E6C7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0,920, 95% ДІ=0,839-0,989, р</w:t>
      </w:r>
      <w:r w:rsidRPr="009E6C7E">
        <w:rPr>
          <w:rFonts w:ascii="Times New Roman" w:eastAsia="Times New Roman" w:hAnsi="Times New Roman" w:cs="Times New Roman"/>
          <w:sz w:val="28"/>
          <w:szCs w:val="28"/>
          <w:lang w:eastAsia="uk-UA"/>
        </w:rPr>
        <w:t>&lt;</w:t>
      </w:r>
      <w:r>
        <w:rPr>
          <w:rFonts w:ascii="Times New Roman" w:eastAsia="Times New Roman" w:hAnsi="Times New Roman" w:cs="Times New Roman"/>
          <w:sz w:val="28"/>
          <w:szCs w:val="28"/>
          <w:lang w:eastAsia="uk-UA"/>
        </w:rPr>
        <w:t>0,001). Зазначимо, що наявність некрозу НКР на КТ чи МРТ зображеннях було запідозрено лише у 6 (66,67%) з 9 випадків післяопераційно патоморфологічно виявлених некротичних змін у пухлині.</w:t>
      </w:r>
    </w:p>
    <w:p w:rsidR="001A5726" w:rsidRDefault="001A5726" w:rsidP="001A5726">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Крім цього, а</w:t>
      </w:r>
      <w:r w:rsidRPr="003008FB">
        <w:rPr>
          <w:rFonts w:ascii="Times New Roman" w:hAnsi="Times New Roman" w:cs="Times New Roman"/>
          <w:color w:val="000000" w:themeColor="text1"/>
          <w:sz w:val="28"/>
          <w:szCs w:val="28"/>
        </w:rPr>
        <w:t xml:space="preserve">наліз </w:t>
      </w:r>
      <w:r w:rsidRPr="003008FB">
        <w:rPr>
          <w:rFonts w:ascii="Times New Roman" w:hAnsi="Times New Roman" w:cs="Times New Roman"/>
          <w:sz w:val="28"/>
          <w:szCs w:val="28"/>
        </w:rPr>
        <w:t xml:space="preserve">експресії </w:t>
      </w:r>
      <w:r w:rsidRPr="003008FB">
        <w:rPr>
          <w:rFonts w:ascii="Times New Roman" w:hAnsi="Times New Roman" w:cs="Times New Roman"/>
          <w:color w:val="000000" w:themeColor="text1"/>
          <w:sz w:val="28"/>
          <w:szCs w:val="28"/>
        </w:rPr>
        <w:t xml:space="preserve">miR-15а у хворих із НКР до та після оперативного втручання продемонстрував статистично достовірне  </w:t>
      </w:r>
      <w:r w:rsidRPr="003008FB">
        <w:rPr>
          <w:rFonts w:ascii="Times New Roman" w:hAnsi="Times New Roman" w:cs="Times New Roman"/>
          <w:sz w:val="28"/>
          <w:szCs w:val="28"/>
        </w:rPr>
        <w:t>(р</w:t>
      </w:r>
      <w:r w:rsidRPr="003008FB">
        <w:rPr>
          <w:rFonts w:ascii="Times New Roman" w:eastAsia="Times New Roman" w:hAnsi="Times New Roman" w:cs="Times New Roman"/>
          <w:sz w:val="28"/>
          <w:szCs w:val="28"/>
          <w:lang w:eastAsia="uk-UA"/>
        </w:rPr>
        <w:t>&lt;0,001</w:t>
      </w:r>
      <w:r w:rsidRPr="003008FB">
        <w:rPr>
          <w:rFonts w:ascii="Times New Roman" w:hAnsi="Times New Roman" w:cs="Times New Roman"/>
          <w:sz w:val="28"/>
          <w:szCs w:val="28"/>
        </w:rPr>
        <w:t xml:space="preserve">) її зниження в післяопераційному періоді в середньому на </w:t>
      </w:r>
      <w:r w:rsidRPr="003008FB">
        <w:rPr>
          <w:rFonts w:ascii="Times New Roman" w:eastAsia="Times New Roman" w:hAnsi="Times New Roman" w:cs="Times New Roman"/>
          <w:color w:val="000000" w:themeColor="text1"/>
          <w:sz w:val="28"/>
          <w:szCs w:val="28"/>
          <w:lang w:eastAsia="uk-UA"/>
        </w:rPr>
        <w:t>99,53%</w:t>
      </w:r>
      <w:r>
        <w:rPr>
          <w:rFonts w:ascii="Times New Roman" w:eastAsia="Times New Roman" w:hAnsi="Times New Roman" w:cs="Times New Roman"/>
          <w:color w:val="000000" w:themeColor="text1"/>
          <w:sz w:val="28"/>
          <w:szCs w:val="28"/>
          <w:lang w:eastAsia="uk-UA"/>
        </w:rPr>
        <w:t xml:space="preserve"> (з </w:t>
      </w:r>
      <w:r w:rsidRPr="003008FB">
        <w:rPr>
          <w:rFonts w:ascii="Times New Roman" w:eastAsia="Times New Roman" w:hAnsi="Times New Roman" w:cs="Times New Roman"/>
          <w:sz w:val="28"/>
          <w:szCs w:val="28"/>
          <w:lang w:eastAsia="uk-UA"/>
        </w:rPr>
        <w:t>2,50E-01</w:t>
      </w:r>
      <w:r>
        <w:rPr>
          <w:rFonts w:ascii="Times New Roman" w:eastAsia="Times New Roman" w:hAnsi="Times New Roman" w:cs="Times New Roman"/>
          <w:sz w:val="28"/>
          <w:szCs w:val="28"/>
          <w:lang w:eastAsia="uk-UA"/>
        </w:rPr>
        <w:t>±</w:t>
      </w:r>
      <w:r w:rsidRPr="003008FB">
        <w:rPr>
          <w:rFonts w:ascii="Times New Roman" w:eastAsia="Times New Roman" w:hAnsi="Times New Roman" w:cs="Times New Roman"/>
          <w:sz w:val="28"/>
          <w:szCs w:val="28"/>
          <w:lang w:eastAsia="uk-UA"/>
        </w:rPr>
        <w:t>2,72E-01</w:t>
      </w:r>
      <w:r>
        <w:rPr>
          <w:rFonts w:ascii="Times New Roman" w:eastAsia="Times New Roman" w:hAnsi="Times New Roman" w:cs="Times New Roman"/>
          <w:sz w:val="28"/>
          <w:szCs w:val="28"/>
          <w:lang w:eastAsia="uk-UA"/>
        </w:rPr>
        <w:t xml:space="preserve"> УО до </w:t>
      </w:r>
      <w:r w:rsidRPr="003008FB">
        <w:rPr>
          <w:rFonts w:ascii="Times New Roman" w:eastAsia="Times New Roman" w:hAnsi="Times New Roman" w:cs="Times New Roman"/>
          <w:sz w:val="28"/>
          <w:szCs w:val="28"/>
          <w:lang w:eastAsia="uk-UA"/>
        </w:rPr>
        <w:t>1,18E-03</w:t>
      </w:r>
      <w:r>
        <w:rPr>
          <w:rFonts w:ascii="Times New Roman" w:eastAsia="Times New Roman" w:hAnsi="Times New Roman" w:cs="Times New Roman"/>
          <w:sz w:val="28"/>
          <w:szCs w:val="28"/>
          <w:lang w:eastAsia="uk-UA"/>
        </w:rPr>
        <w:t>±</w:t>
      </w:r>
      <w:r w:rsidRPr="003008FB">
        <w:rPr>
          <w:rFonts w:ascii="Times New Roman" w:eastAsia="Times New Roman" w:hAnsi="Times New Roman" w:cs="Times New Roman"/>
          <w:sz w:val="28"/>
          <w:szCs w:val="28"/>
          <w:lang w:eastAsia="uk-UA"/>
        </w:rPr>
        <w:t>5,36E-04</w:t>
      </w:r>
      <w:r>
        <w:rPr>
          <w:rFonts w:ascii="Times New Roman" w:eastAsia="Times New Roman" w:hAnsi="Times New Roman" w:cs="Times New Roman"/>
          <w:sz w:val="28"/>
          <w:szCs w:val="28"/>
          <w:lang w:eastAsia="uk-UA"/>
        </w:rPr>
        <w:t xml:space="preserve"> УО</w:t>
      </w:r>
      <w:r>
        <w:rPr>
          <w:rFonts w:ascii="Times New Roman" w:eastAsia="Times New Roman" w:hAnsi="Times New Roman" w:cs="Times New Roman"/>
          <w:color w:val="000000" w:themeColor="text1"/>
          <w:sz w:val="28"/>
          <w:szCs w:val="28"/>
          <w:lang w:eastAsia="uk-UA"/>
        </w:rPr>
        <w:t>)</w:t>
      </w:r>
      <w:r w:rsidRPr="003008FB">
        <w:rPr>
          <w:rFonts w:ascii="Times New Roman" w:hAnsi="Times New Roman" w:cs="Times New Roman"/>
          <w:sz w:val="28"/>
          <w:szCs w:val="28"/>
        </w:rPr>
        <w:t xml:space="preserve">, що може бути використано для </w:t>
      </w:r>
      <w:r w:rsidRPr="003008FB">
        <w:rPr>
          <w:rFonts w:ascii="Times New Roman" w:hAnsi="Times New Roman" w:cs="Times New Roman"/>
          <w:sz w:val="28"/>
          <w:szCs w:val="28"/>
        </w:rPr>
        <w:lastRenderedPageBreak/>
        <w:t xml:space="preserve">оцінки </w:t>
      </w:r>
      <w:r>
        <w:rPr>
          <w:rFonts w:ascii="Times New Roman" w:hAnsi="Times New Roman" w:cs="Times New Roman"/>
          <w:sz w:val="28"/>
          <w:szCs w:val="28"/>
        </w:rPr>
        <w:t>радикальності</w:t>
      </w:r>
      <w:r w:rsidRPr="003008FB">
        <w:rPr>
          <w:rFonts w:ascii="Times New Roman" w:hAnsi="Times New Roman" w:cs="Times New Roman"/>
          <w:sz w:val="28"/>
          <w:szCs w:val="28"/>
        </w:rPr>
        <w:t xml:space="preserve"> проведеного лікування</w:t>
      </w:r>
      <w:r>
        <w:rPr>
          <w:rFonts w:ascii="Times New Roman" w:hAnsi="Times New Roman" w:cs="Times New Roman"/>
          <w:sz w:val="28"/>
          <w:szCs w:val="28"/>
        </w:rPr>
        <w:t xml:space="preserve"> (у всіх випадках хірургічні краї після виконаної парціальної нефректомії при НКР були негативним). Необхідні подальші дослідження для вивчення рівнів експресії </w:t>
      </w:r>
      <w:r w:rsidRPr="003008FB">
        <w:rPr>
          <w:rFonts w:ascii="Times New Roman" w:hAnsi="Times New Roman" w:cs="Times New Roman"/>
          <w:color w:val="000000" w:themeColor="text1"/>
          <w:sz w:val="28"/>
          <w:szCs w:val="28"/>
        </w:rPr>
        <w:t>miR-15а</w:t>
      </w:r>
      <w:r>
        <w:rPr>
          <w:rFonts w:ascii="Times New Roman" w:hAnsi="Times New Roman" w:cs="Times New Roman"/>
          <w:color w:val="000000" w:themeColor="text1"/>
          <w:sz w:val="28"/>
          <w:szCs w:val="28"/>
        </w:rPr>
        <w:t xml:space="preserve"> в динаміці у віддаленому післяопераційному періоді для з’ясування цінності методу у виявленні рецидиву захворювання.</w:t>
      </w:r>
    </w:p>
    <w:p w:rsidR="001A5726" w:rsidRDefault="001A5726" w:rsidP="001A5726">
      <w:pPr>
        <w:spacing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Надмірні рівні експресії </w:t>
      </w:r>
      <w:r w:rsidRPr="003008FB">
        <w:rPr>
          <w:rFonts w:ascii="Times New Roman" w:hAnsi="Times New Roman" w:cs="Times New Roman"/>
          <w:color w:val="000000" w:themeColor="text1"/>
          <w:sz w:val="28"/>
          <w:szCs w:val="28"/>
        </w:rPr>
        <w:t>miR-15а</w:t>
      </w:r>
      <w:r>
        <w:rPr>
          <w:rFonts w:ascii="Times New Roman" w:hAnsi="Times New Roman" w:cs="Times New Roman"/>
          <w:color w:val="000000" w:themeColor="text1"/>
          <w:sz w:val="28"/>
          <w:szCs w:val="28"/>
        </w:rPr>
        <w:t xml:space="preserve"> в сечі хворих із НКР свідчать про те, що дана молекулярна сполука відіграє роль онко</w:t>
      </w:r>
      <w:r w:rsidRPr="009E6C7E">
        <w:rPr>
          <w:rFonts w:ascii="Times New Roman" w:hAnsi="Times New Roman" w:cs="Times New Roman"/>
          <w:color w:val="000000" w:themeColor="text1"/>
          <w:sz w:val="28"/>
          <w:szCs w:val="28"/>
        </w:rPr>
        <w:t>мір</w:t>
      </w:r>
      <w:r>
        <w:rPr>
          <w:rFonts w:ascii="Times New Roman" w:hAnsi="Times New Roman" w:cs="Times New Roman"/>
          <w:color w:val="000000" w:themeColor="text1"/>
          <w:sz w:val="28"/>
          <w:szCs w:val="28"/>
        </w:rPr>
        <w:t xml:space="preserve">, тобто промотує розвиток згаданого злоякісного процесу в нирці, що є неочікуваною науковою знахідкою, оскільки при інших видах раку (в тому числі передміхурової залози) вона відігравала роль онко-супресора. З перспективи того, що одним із потенційних видів генної терапії окремих злоякісних пухлин є введення в організм хворих онко-протекторних </w:t>
      </w:r>
      <w:r w:rsidR="007D7DC9">
        <w:rPr>
          <w:rFonts w:ascii="Times New Roman" w:hAnsi="Times New Roman" w:cs="Times New Roman"/>
          <w:color w:val="000000" w:themeColor="text1"/>
          <w:sz w:val="28"/>
          <w:szCs w:val="28"/>
        </w:rPr>
        <w:t>міРНК</w:t>
      </w:r>
      <w:r>
        <w:rPr>
          <w:rFonts w:ascii="Times New Roman" w:hAnsi="Times New Roman" w:cs="Times New Roman"/>
          <w:color w:val="000000" w:themeColor="text1"/>
          <w:sz w:val="28"/>
          <w:szCs w:val="28"/>
        </w:rPr>
        <w:t xml:space="preserve">для інгібування росту новоутвору, отримання нами інформації про навпаки, онко-промоутерну роль </w:t>
      </w:r>
      <w:r w:rsidRPr="003008FB">
        <w:rPr>
          <w:rFonts w:ascii="Times New Roman" w:hAnsi="Times New Roman" w:cs="Times New Roman"/>
          <w:color w:val="000000" w:themeColor="text1"/>
          <w:sz w:val="28"/>
          <w:szCs w:val="28"/>
        </w:rPr>
        <w:t>miR-15а</w:t>
      </w:r>
      <w:r>
        <w:rPr>
          <w:rFonts w:ascii="Times New Roman" w:hAnsi="Times New Roman" w:cs="Times New Roman"/>
          <w:color w:val="000000" w:themeColor="text1"/>
          <w:sz w:val="28"/>
          <w:szCs w:val="28"/>
        </w:rPr>
        <w:t>, важко переоцінити.</w:t>
      </w:r>
    </w:p>
    <w:p w:rsidR="001A5726" w:rsidRPr="00926079" w:rsidRDefault="001A5726" w:rsidP="001A5726">
      <w:pPr>
        <w:spacing w:line="360" w:lineRule="auto"/>
        <w:contextualSpacing/>
        <w:rPr>
          <w:rFonts w:ascii="Times New Roman" w:hAnsi="Times New Roman" w:cs="Times New Roman"/>
          <w:sz w:val="28"/>
          <w:szCs w:val="28"/>
        </w:rPr>
      </w:pPr>
    </w:p>
    <w:p w:rsidR="001A5726" w:rsidRDefault="001A5726" w:rsidP="001A5726">
      <w:pPr>
        <w:spacing w:line="360" w:lineRule="auto"/>
        <w:ind w:firstLine="708"/>
        <w:contextualSpacing/>
        <w:rPr>
          <w:rFonts w:ascii="Times New Roman" w:hAnsi="Times New Roman" w:cs="Times New Roman"/>
          <w:b/>
          <w:sz w:val="28"/>
          <w:szCs w:val="28"/>
        </w:rPr>
      </w:pPr>
      <w:r w:rsidRPr="00687291">
        <w:rPr>
          <w:rFonts w:ascii="Times New Roman" w:hAnsi="Times New Roman" w:cs="Times New Roman"/>
          <w:b/>
          <w:sz w:val="28"/>
          <w:szCs w:val="28"/>
        </w:rPr>
        <w:t>4.2. Дослідження загальної РНК у сечі хворих із НКР</w:t>
      </w:r>
    </w:p>
    <w:p w:rsidR="001A5726" w:rsidRDefault="001A5726" w:rsidP="001A5726">
      <w:pPr>
        <w:spacing w:line="360" w:lineRule="auto"/>
        <w:ind w:firstLine="708"/>
        <w:contextualSpacing/>
        <w:rPr>
          <w:rFonts w:ascii="Times New Roman" w:hAnsi="Times New Roman" w:cs="Times New Roman"/>
          <w:b/>
          <w:sz w:val="28"/>
          <w:szCs w:val="28"/>
        </w:rPr>
      </w:pPr>
    </w:p>
    <w:p w:rsidR="001A5726" w:rsidRDefault="001A5726" w:rsidP="001A5726">
      <w:pPr>
        <w:spacing w:line="360" w:lineRule="auto"/>
        <w:contextualSpacing/>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Наступним кроком був аналіз рівню загальної тотальної РНК у сечі досліджуваних груп. В процесі ізоляції </w:t>
      </w:r>
      <w:r w:rsidRPr="003008FB">
        <w:rPr>
          <w:rFonts w:ascii="Times New Roman" w:hAnsi="Times New Roman" w:cs="Times New Roman"/>
          <w:color w:val="000000" w:themeColor="text1"/>
          <w:sz w:val="28"/>
          <w:szCs w:val="28"/>
        </w:rPr>
        <w:t>miR-15а</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 xml:space="preserve">показники вільної РНК в сечі ми отримували для кожного </w:t>
      </w:r>
      <w:r w:rsidRPr="00926079">
        <w:rPr>
          <w:rFonts w:ascii="Times New Roman" w:hAnsi="Times New Roman" w:cs="Times New Roman"/>
          <w:sz w:val="28"/>
          <w:szCs w:val="28"/>
        </w:rPr>
        <w:t>хворого (чи здорового волонтера)</w:t>
      </w:r>
      <w:r>
        <w:rPr>
          <w:rFonts w:ascii="Times New Roman" w:hAnsi="Times New Roman" w:cs="Times New Roman"/>
          <w:sz w:val="28"/>
          <w:szCs w:val="28"/>
        </w:rPr>
        <w:t xml:space="preserve"> за допомогою спектрофотометрії. Кількість вільної РНК в сечі</w:t>
      </w:r>
      <w:r w:rsidR="00825AB5">
        <w:rPr>
          <w:rFonts w:ascii="Times New Roman" w:hAnsi="Times New Roman" w:cs="Times New Roman"/>
          <w:sz w:val="28"/>
          <w:szCs w:val="28"/>
        </w:rPr>
        <w:t xml:space="preserve"> вимірювалась на частоті 230 нм</w:t>
      </w:r>
      <w:bookmarkStart w:id="2" w:name="_GoBack"/>
      <w:bookmarkEnd w:id="2"/>
      <w:r>
        <w:rPr>
          <w:rFonts w:ascii="Times New Roman" w:hAnsi="Times New Roman" w:cs="Times New Roman"/>
          <w:sz w:val="28"/>
          <w:szCs w:val="28"/>
        </w:rPr>
        <w:t xml:space="preserve">. Випадків, коли співвідношення отримане на частотах 260/280 становило </w:t>
      </w:r>
      <w:r w:rsidRPr="009E6C7E">
        <w:rPr>
          <w:rFonts w:ascii="Times New Roman" w:hAnsi="Times New Roman" w:cs="Times New Roman"/>
          <w:sz w:val="28"/>
          <w:szCs w:val="28"/>
          <w:lang w:val="ru-RU"/>
        </w:rPr>
        <w:t>&gt;</w:t>
      </w:r>
      <w:r>
        <w:rPr>
          <w:rFonts w:ascii="Times New Roman" w:hAnsi="Times New Roman" w:cs="Times New Roman"/>
          <w:sz w:val="28"/>
          <w:szCs w:val="28"/>
        </w:rPr>
        <w:t>1,70 (що означало наявність надмірно високого відсотку домішок у вигляді білків і вуглеводів у зразку) нами не спостерігалось. Таким чином основну групу склали 52 хворих з НКР, групу порівняння – 15 хворих з доброякісними пухлинами нирок і контрольну – 15 здорових волонтерів.</w:t>
      </w:r>
    </w:p>
    <w:p w:rsidR="002C4B85" w:rsidRDefault="001A5726" w:rsidP="001A5726">
      <w:pPr>
        <w:spacing w:line="360" w:lineRule="auto"/>
        <w:ind w:firstLine="708"/>
        <w:contextualSpacing/>
        <w:jc w:val="both"/>
      </w:pPr>
      <w:r>
        <w:rPr>
          <w:rFonts w:ascii="Times New Roman" w:hAnsi="Times New Roman" w:cs="Times New Roman"/>
          <w:sz w:val="28"/>
          <w:szCs w:val="28"/>
        </w:rPr>
        <w:t xml:space="preserve">В загальному показник вільної РНК в сечі варіювався від 570,60 до 1862,83 </w:t>
      </w:r>
      <w:r w:rsidRPr="00926079">
        <w:rPr>
          <w:rFonts w:ascii="Times New Roman" w:hAnsi="Times New Roman" w:cs="Times New Roman"/>
          <w:sz w:val="28"/>
          <w:szCs w:val="28"/>
          <w:lang w:bidi="he-IL"/>
        </w:rPr>
        <w:t>нг/мкл</w:t>
      </w:r>
      <w:r>
        <w:rPr>
          <w:rFonts w:ascii="Times New Roman" w:hAnsi="Times New Roman" w:cs="Times New Roman"/>
          <w:sz w:val="28"/>
          <w:szCs w:val="28"/>
          <w:lang w:bidi="he-IL"/>
        </w:rPr>
        <w:t xml:space="preserve">. В основній групі його середнє значення складало </w:t>
      </w:r>
      <w:r>
        <w:rPr>
          <w:rFonts w:ascii="Times New Roman" w:eastAsia="Times New Roman" w:hAnsi="Times New Roman" w:cs="Times New Roman"/>
          <w:sz w:val="28"/>
          <w:szCs w:val="28"/>
          <w:lang w:eastAsia="uk-UA"/>
        </w:rPr>
        <w:t>1196,41±</w:t>
      </w:r>
      <w:r>
        <w:rPr>
          <w:rFonts w:ascii="Times New Roman" w:eastAsia="Times New Roman" w:hAnsi="Times New Roman" w:cs="Times New Roman"/>
          <w:color w:val="000000"/>
          <w:sz w:val="28"/>
          <w:szCs w:val="28"/>
          <w:lang w:eastAsia="uk-UA"/>
        </w:rPr>
        <w:t xml:space="preserve">440,64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xml:space="preserve">, в групі порівняння – </w:t>
      </w:r>
      <w:r>
        <w:rPr>
          <w:rFonts w:ascii="Times New Roman" w:eastAsia="Times New Roman" w:hAnsi="Times New Roman" w:cs="Times New Roman"/>
          <w:sz w:val="28"/>
          <w:szCs w:val="28"/>
          <w:lang w:eastAsia="uk-UA"/>
        </w:rPr>
        <w:t xml:space="preserve">968,85±921,57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xml:space="preserve">, та в </w:t>
      </w:r>
      <w:r>
        <w:rPr>
          <w:rFonts w:ascii="Times New Roman" w:hAnsi="Times New Roman" w:cs="Times New Roman"/>
          <w:sz w:val="28"/>
          <w:szCs w:val="28"/>
          <w:lang w:bidi="he-IL"/>
        </w:rPr>
        <w:lastRenderedPageBreak/>
        <w:t xml:space="preserve">контрольній - </w:t>
      </w:r>
      <w:r>
        <w:rPr>
          <w:rFonts w:ascii="Times New Roman" w:eastAsia="Times New Roman" w:hAnsi="Times New Roman" w:cs="Times New Roman"/>
          <w:sz w:val="28"/>
          <w:szCs w:val="28"/>
          <w:lang w:eastAsia="uk-UA"/>
        </w:rPr>
        <w:t xml:space="preserve">962,70±905,60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Нами не було знайдено статистично достовірної різниці при порівнянні середніх значень вільної РНК в сечі досліджуваних груп між собою (р</w:t>
      </w:r>
      <w:r w:rsidRPr="009E6C7E">
        <w:rPr>
          <w:rFonts w:ascii="Times New Roman" w:hAnsi="Times New Roman" w:cs="Times New Roman"/>
          <w:sz w:val="28"/>
          <w:szCs w:val="28"/>
          <w:lang w:bidi="he-IL"/>
        </w:rPr>
        <w:t>&gt;</w:t>
      </w:r>
      <w:r>
        <w:rPr>
          <w:rFonts w:ascii="Times New Roman" w:hAnsi="Times New Roman" w:cs="Times New Roman"/>
          <w:sz w:val="28"/>
          <w:szCs w:val="28"/>
          <w:lang w:bidi="he-IL"/>
        </w:rPr>
        <w:t>0,05). Такі дані ми пояснюємо тим, що в сечі як хворих, так і здорових осіб міститься значна кількість молекулярних сполук, які окрім міР-15а можуть бути джерелом вільної РНК, в тому числі, ціла низка інших мікроРНК.</w:t>
      </w:r>
      <w:r>
        <w:t xml:space="preserve"> </w:t>
      </w:r>
    </w:p>
    <w:p w:rsidR="002C4B85" w:rsidRDefault="001A5726" w:rsidP="001A5726">
      <w:pPr>
        <w:spacing w:line="360" w:lineRule="auto"/>
        <w:ind w:firstLine="708"/>
        <w:contextualSpacing/>
        <w:jc w:val="both"/>
        <w:rPr>
          <w:rFonts w:ascii="Times New Roman" w:hAnsi="Times New Roman" w:cs="Times New Roman"/>
          <w:sz w:val="28"/>
          <w:szCs w:val="28"/>
          <w:lang w:bidi="he-IL"/>
        </w:rPr>
      </w:pPr>
      <w:r>
        <w:rPr>
          <w:rFonts w:ascii="Times New Roman" w:hAnsi="Times New Roman" w:cs="Times New Roman"/>
          <w:sz w:val="28"/>
          <w:szCs w:val="28"/>
          <w:lang w:bidi="he-IL"/>
        </w:rPr>
        <w:t xml:space="preserve">Також ми не спостерігали взаємозв’язків між розміром пухлини, а при НКР між стадією, гістологічним підтипом та ступенем за </w:t>
      </w:r>
      <w:r>
        <w:rPr>
          <w:rFonts w:ascii="Times New Roman" w:hAnsi="Times New Roman" w:cs="Times New Roman"/>
          <w:sz w:val="28"/>
          <w:szCs w:val="28"/>
          <w:lang w:val="en-US" w:bidi="he-IL"/>
        </w:rPr>
        <w:t>Fuhrman</w:t>
      </w:r>
      <w:r>
        <w:rPr>
          <w:rFonts w:ascii="Times New Roman" w:hAnsi="Times New Roman" w:cs="Times New Roman"/>
          <w:sz w:val="28"/>
          <w:szCs w:val="28"/>
          <w:lang w:bidi="he-IL"/>
        </w:rPr>
        <w:t xml:space="preserve"> і рівнем вільної РНК в сечі. В зв’язку з цим, на основі даних патоморфологічних заключень, нами були проаналізовані такі прогностично важливі характеристики пухлини при НКР, як некроз </w:t>
      </w:r>
      <w:r w:rsidRPr="009E6C7E">
        <w:rPr>
          <w:rFonts w:ascii="Times New Roman" w:hAnsi="Times New Roman" w:cs="Times New Roman"/>
          <w:sz w:val="28"/>
          <w:szCs w:val="28"/>
          <w:lang w:bidi="he-IL"/>
        </w:rPr>
        <w:t>(</w:t>
      </w:r>
      <w:r>
        <w:rPr>
          <w:rFonts w:ascii="Times New Roman" w:hAnsi="Times New Roman" w:cs="Times New Roman"/>
          <w:sz w:val="28"/>
          <w:szCs w:val="28"/>
          <w:lang w:val="en-US" w:bidi="he-IL"/>
        </w:rPr>
        <w:t>n</w:t>
      </w:r>
      <w:r w:rsidRPr="009E6C7E">
        <w:rPr>
          <w:rFonts w:ascii="Times New Roman" w:hAnsi="Times New Roman" w:cs="Times New Roman"/>
          <w:sz w:val="28"/>
          <w:szCs w:val="28"/>
          <w:lang w:bidi="he-IL"/>
        </w:rPr>
        <w:t>=8)</w:t>
      </w:r>
      <w:r>
        <w:rPr>
          <w:rFonts w:ascii="Times New Roman" w:hAnsi="Times New Roman" w:cs="Times New Roman"/>
          <w:sz w:val="28"/>
          <w:szCs w:val="28"/>
          <w:lang w:bidi="he-IL"/>
        </w:rPr>
        <w:t>, мікроскопічна інвазія чашко-мискової системи нирки (</w:t>
      </w:r>
      <w:r>
        <w:rPr>
          <w:rFonts w:ascii="Times New Roman" w:hAnsi="Times New Roman" w:cs="Times New Roman"/>
          <w:sz w:val="28"/>
          <w:szCs w:val="28"/>
          <w:lang w:val="en-US" w:bidi="he-IL"/>
        </w:rPr>
        <w:t>n</w:t>
      </w:r>
      <w:r>
        <w:rPr>
          <w:rFonts w:ascii="Times New Roman" w:hAnsi="Times New Roman" w:cs="Times New Roman"/>
          <w:sz w:val="28"/>
          <w:szCs w:val="28"/>
          <w:lang w:bidi="he-IL"/>
        </w:rPr>
        <w:t>=9) та наявність кістозного компоненту пухлини (</w:t>
      </w:r>
      <w:r>
        <w:rPr>
          <w:rFonts w:ascii="Times New Roman" w:hAnsi="Times New Roman" w:cs="Times New Roman"/>
          <w:sz w:val="28"/>
          <w:szCs w:val="28"/>
          <w:lang w:val="en-US" w:bidi="he-IL"/>
        </w:rPr>
        <w:t>n</w:t>
      </w:r>
      <w:r>
        <w:rPr>
          <w:rFonts w:ascii="Times New Roman" w:hAnsi="Times New Roman" w:cs="Times New Roman"/>
          <w:sz w:val="28"/>
          <w:szCs w:val="28"/>
          <w:lang w:bidi="he-IL"/>
        </w:rPr>
        <w:t xml:space="preserve">=8). </w:t>
      </w:r>
    </w:p>
    <w:p w:rsidR="001A5726" w:rsidRDefault="001A5726" w:rsidP="007504C3">
      <w:pPr>
        <w:spacing w:line="360" w:lineRule="auto"/>
        <w:ind w:firstLine="708"/>
        <w:contextualSpacing/>
        <w:jc w:val="both"/>
        <w:rPr>
          <w:rFonts w:ascii="Times New Roman" w:hAnsi="Times New Roman" w:cs="Times New Roman"/>
          <w:sz w:val="28"/>
          <w:szCs w:val="28"/>
          <w:lang w:bidi="he-IL"/>
        </w:rPr>
      </w:pPr>
      <w:r>
        <w:rPr>
          <w:rFonts w:ascii="Times New Roman" w:hAnsi="Times New Roman" w:cs="Times New Roman"/>
          <w:sz w:val="28"/>
          <w:szCs w:val="28"/>
          <w:lang w:bidi="he-IL"/>
        </w:rPr>
        <w:t xml:space="preserve">В результаті ми не отримали істотних кореляційних зав’язків між присутністю некротичних змін пухлини, та кістозних включень. Водночас, ми отримали статистично достовірну різницю у середніх значеннях вільної РНК виміряної в сечі хворих із НКР з та без мікроскопічної інвазії ЧМС нирки і які становили відповідно 1796,42±45,67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xml:space="preserve"> та 987,71±296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xml:space="preserve"> (р</w:t>
      </w:r>
      <w:r w:rsidRPr="009E6C7E">
        <w:rPr>
          <w:rFonts w:ascii="Times New Roman" w:hAnsi="Times New Roman" w:cs="Times New Roman"/>
          <w:sz w:val="28"/>
          <w:szCs w:val="28"/>
          <w:lang w:bidi="he-IL"/>
        </w:rPr>
        <w:t>&lt;</w:t>
      </w:r>
      <w:r>
        <w:rPr>
          <w:rFonts w:ascii="Times New Roman" w:hAnsi="Times New Roman" w:cs="Times New Roman"/>
          <w:sz w:val="28"/>
          <w:szCs w:val="28"/>
          <w:lang w:bidi="he-IL"/>
        </w:rPr>
        <w:t xml:space="preserve">0,001, </w:t>
      </w:r>
      <w:r>
        <w:rPr>
          <w:rFonts w:ascii="Times New Roman" w:hAnsi="Times New Roman" w:cs="Times New Roman"/>
          <w:sz w:val="28"/>
          <w:szCs w:val="28"/>
          <w:lang w:val="en-US" w:bidi="he-IL"/>
        </w:rPr>
        <w:t>t</w:t>
      </w:r>
      <w:r w:rsidR="007504C3">
        <w:rPr>
          <w:rFonts w:ascii="Times New Roman" w:hAnsi="Times New Roman" w:cs="Times New Roman"/>
          <w:sz w:val="28"/>
          <w:szCs w:val="28"/>
          <w:lang w:bidi="he-IL"/>
        </w:rPr>
        <w:t>=4,458), рисунок 4.6.</w:t>
      </w:r>
    </w:p>
    <w:p w:rsidR="001A5726" w:rsidRPr="00926079" w:rsidRDefault="001A5726" w:rsidP="001A572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22838943" wp14:editId="2B35885D">
            <wp:extent cx="3540392" cy="2828925"/>
            <wp:effectExtent l="0" t="0" r="3175"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546984" cy="2834193"/>
                    </a:xfrm>
                    <a:prstGeom prst="rect">
                      <a:avLst/>
                    </a:prstGeom>
                    <a:noFill/>
                    <a:ln>
                      <a:noFill/>
                    </a:ln>
                  </pic:spPr>
                </pic:pic>
              </a:graphicData>
            </a:graphic>
          </wp:inline>
        </w:drawing>
      </w:r>
    </w:p>
    <w:p w:rsidR="001A5726" w:rsidRPr="007504C3" w:rsidRDefault="001A5726" w:rsidP="007504C3">
      <w:pPr>
        <w:spacing w:line="360" w:lineRule="auto"/>
        <w:ind w:firstLine="708"/>
        <w:contextualSpacing/>
        <w:jc w:val="center"/>
        <w:rPr>
          <w:rFonts w:ascii="Times New Roman" w:hAnsi="Times New Roman" w:cs="Times New Roman"/>
          <w:sz w:val="28"/>
          <w:szCs w:val="28"/>
          <w:lang w:bidi="he-IL"/>
        </w:rPr>
      </w:pPr>
      <w:r>
        <w:rPr>
          <w:rFonts w:ascii="Times New Roman" w:hAnsi="Times New Roman" w:cs="Times New Roman"/>
          <w:sz w:val="28"/>
          <w:szCs w:val="28"/>
          <w:lang w:bidi="he-IL"/>
        </w:rPr>
        <w:t>Рис. 4.6. Коробкова діаграма рівнів вільної РНК в сечі хворих з НКР з та без мікроскопічної інвазії чашко-мискової системи нирки</w:t>
      </w:r>
    </w:p>
    <w:p w:rsidR="001A5726" w:rsidRDefault="001A5726" w:rsidP="001A5726">
      <w:pPr>
        <w:spacing w:line="360" w:lineRule="auto"/>
        <w:jc w:val="both"/>
        <w:rPr>
          <w:rFonts w:ascii="Times New Roman" w:hAnsi="Times New Roman" w:cs="Times New Roman"/>
          <w:sz w:val="28"/>
          <w:szCs w:val="28"/>
          <w:lang w:bidi="he-IL"/>
        </w:rPr>
      </w:pPr>
      <w:r>
        <w:rPr>
          <w:sz w:val="28"/>
          <w:szCs w:val="28"/>
        </w:rPr>
        <w:lastRenderedPageBreak/>
        <w:tab/>
      </w:r>
      <w:r>
        <w:rPr>
          <w:rFonts w:ascii="Times New Roman" w:hAnsi="Times New Roman" w:cs="Times New Roman"/>
          <w:sz w:val="28"/>
          <w:szCs w:val="28"/>
        </w:rPr>
        <w:t xml:space="preserve">Підвищений рівень вільної РНК в сечі хворих з мікроскопічним ураженням ЧМС злоякісним новоутворенням ми пояснюємо деструкцією канальців нефрону та ниркових сосочків внаслідок пухлинної інвазії і як насідок, потрапляння в сечу більшої кількості (у порівнянні з неураженою ЧМС) потенційних джерел вільної РНК - клітини (в тому числі НКР) та їх фрагменти, мікроРНК, матричніРНК, некодуючі РНК, нуклеотиди тощо. При пороговому значенні вільної тотальної РНК 1641,24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xml:space="preserve">, ми диференціювали наявність мікроскопічної інвазії ЧМС від її відсутності при НКР із чутливістю та специфічністю 100%. Важливо відзначити, що на КТ та МРТ зображеннях, лише у 1 (11,11%) з 9 хворих з НКР та мікроскопічною інвазією ЧМС, було запідозрено її променеві ознаки. </w:t>
      </w:r>
    </w:p>
    <w:p w:rsidR="001A5726" w:rsidRDefault="001A5726" w:rsidP="001A5726">
      <w:pPr>
        <w:spacing w:line="360" w:lineRule="auto"/>
        <w:jc w:val="both"/>
        <w:rPr>
          <w:rFonts w:ascii="Times New Roman" w:hAnsi="Times New Roman" w:cs="Times New Roman"/>
          <w:sz w:val="28"/>
          <w:szCs w:val="28"/>
          <w:lang w:bidi="he-IL"/>
        </w:rPr>
      </w:pPr>
    </w:p>
    <w:p w:rsidR="007504C3" w:rsidRDefault="001A5726" w:rsidP="007504C3">
      <w:pPr>
        <w:spacing w:line="360" w:lineRule="auto"/>
        <w:jc w:val="both"/>
        <w:rPr>
          <w:sz w:val="28"/>
          <w:szCs w:val="28"/>
        </w:rPr>
      </w:pPr>
      <w:r>
        <w:rPr>
          <w:rFonts w:ascii="Times New Roman" w:hAnsi="Times New Roman" w:cs="Times New Roman"/>
          <w:sz w:val="28"/>
          <w:szCs w:val="28"/>
          <w:lang w:bidi="he-IL"/>
        </w:rPr>
        <w:tab/>
        <w:t xml:space="preserve">Наведені дані свідчать про високій потенціал застосування експресії мікроРНК-15а визначеної в сечі у якості молекулярного біомаркеру НКР, для диференціації даного захворювання із доброякісними  новоутвореннями нирок, а також для його визначення </w:t>
      </w:r>
      <w:r w:rsidR="00B02037">
        <w:rPr>
          <w:rFonts w:ascii="Times New Roman" w:hAnsi="Times New Roman" w:cs="Times New Roman"/>
          <w:sz w:val="28"/>
          <w:szCs w:val="28"/>
          <w:lang w:bidi="he-IL"/>
        </w:rPr>
        <w:t>ступеня</w:t>
      </w:r>
      <w:r>
        <w:rPr>
          <w:rFonts w:ascii="Times New Roman" w:hAnsi="Times New Roman" w:cs="Times New Roman"/>
          <w:sz w:val="28"/>
          <w:szCs w:val="28"/>
          <w:lang w:bidi="he-IL"/>
        </w:rPr>
        <w:t xml:space="preserve"> за </w:t>
      </w:r>
      <w:r>
        <w:rPr>
          <w:rFonts w:ascii="Times New Roman" w:hAnsi="Times New Roman" w:cs="Times New Roman"/>
          <w:sz w:val="28"/>
          <w:szCs w:val="28"/>
          <w:lang w:val="en-US" w:bidi="he-IL"/>
        </w:rPr>
        <w:t>Fuhrman</w:t>
      </w:r>
      <w:r>
        <w:rPr>
          <w:rFonts w:ascii="Times New Roman" w:hAnsi="Times New Roman" w:cs="Times New Roman"/>
          <w:sz w:val="28"/>
          <w:szCs w:val="28"/>
          <w:lang w:bidi="he-IL"/>
        </w:rPr>
        <w:t>. Рівень експресії міР-15а корелював із розміром пухлини та мав позитивний взаємозв’язок із стадією за ТМ</w:t>
      </w:r>
      <w:r>
        <w:rPr>
          <w:rFonts w:ascii="Times New Roman" w:hAnsi="Times New Roman" w:cs="Times New Roman"/>
          <w:sz w:val="28"/>
          <w:szCs w:val="28"/>
          <w:lang w:val="en-US" w:bidi="he-IL"/>
        </w:rPr>
        <w:t>N</w:t>
      </w:r>
      <w:r>
        <w:rPr>
          <w:rFonts w:ascii="Times New Roman" w:hAnsi="Times New Roman" w:cs="Times New Roman"/>
          <w:sz w:val="28"/>
          <w:szCs w:val="28"/>
          <w:lang w:bidi="he-IL"/>
        </w:rPr>
        <w:t>, мав високі показники чутливості, точності та специфічності, тим самим відповідаючи основним вимогам до потенційного біомаркеру. Крім цього, використання експресії міР-15а дозволяло виявляти випадки некротичних змін у пухлині тоді, коли його променевих ознак на КТ чи МРТ не спостерігалось. Враховуючи прогностичну значимість некрозу, це є важливою знахідкою. Рівень експресії міР-15а в сечі у хворих з НКР після проведеного хірургічного лікування достовірно знижувався, що також свідчить на користь можливості його використання у якості біомаркеру. Водночас, визначення тотальної вільної РНК в сечі дозволило безпомилково виявляти випадки мікроскопічної інвазії чашко-мискової системи нирки пухлиною при НКР, що враховуючи її важливу прогностичну роль, безперечно матиме застосування у клінічній практиці.</w:t>
      </w:r>
    </w:p>
    <w:p w:rsidR="00707D60" w:rsidRPr="007504C3" w:rsidRDefault="00707D60" w:rsidP="007504C3">
      <w:pPr>
        <w:spacing w:line="360" w:lineRule="auto"/>
        <w:jc w:val="both"/>
        <w:rPr>
          <w:sz w:val="28"/>
          <w:szCs w:val="28"/>
        </w:rPr>
      </w:pPr>
      <w:r w:rsidRPr="00452C2D">
        <w:rPr>
          <w:rFonts w:ascii="Times New Roman" w:hAnsi="Times New Roman" w:cs="Times New Roman"/>
          <w:b/>
          <w:sz w:val="28"/>
          <w:szCs w:val="28"/>
        </w:rPr>
        <w:lastRenderedPageBreak/>
        <w:t xml:space="preserve">РОЗДІЛ 5. ЗАСТОСУВАННЯ ПРОМЕНЕВИХ БІОМАРКЕРІВ ДЛЯ </w:t>
      </w:r>
      <w:r w:rsidR="00582BAD">
        <w:rPr>
          <w:rFonts w:ascii="Times New Roman" w:hAnsi="Times New Roman" w:cs="Times New Roman"/>
          <w:b/>
          <w:sz w:val="28"/>
          <w:szCs w:val="28"/>
        </w:rPr>
        <w:t>ПРОГНОЗУВАННЯ</w:t>
      </w:r>
      <w:r w:rsidRPr="00452C2D">
        <w:rPr>
          <w:rFonts w:ascii="Times New Roman" w:hAnsi="Times New Roman" w:cs="Times New Roman"/>
          <w:b/>
          <w:sz w:val="28"/>
          <w:szCs w:val="28"/>
        </w:rPr>
        <w:t xml:space="preserve"> ЕФЕКТИВНОСТІ ЛІКУВАННЯ ЛОКАЛЬНИХ </w:t>
      </w:r>
      <w:r>
        <w:rPr>
          <w:rFonts w:ascii="Times New Roman" w:hAnsi="Times New Roman" w:cs="Times New Roman"/>
          <w:b/>
          <w:sz w:val="28"/>
          <w:szCs w:val="28"/>
        </w:rPr>
        <w:t>І</w:t>
      </w:r>
      <w:r w:rsidRPr="00452C2D">
        <w:rPr>
          <w:rFonts w:ascii="Times New Roman" w:hAnsi="Times New Roman" w:cs="Times New Roman"/>
          <w:b/>
          <w:sz w:val="28"/>
          <w:szCs w:val="28"/>
        </w:rPr>
        <w:t xml:space="preserve"> РОЗПОВСЮДЖЕНИХ ФОРМ </w:t>
      </w:r>
      <w:r>
        <w:rPr>
          <w:rFonts w:ascii="Times New Roman" w:hAnsi="Times New Roman" w:cs="Times New Roman"/>
          <w:b/>
          <w:sz w:val="28"/>
          <w:szCs w:val="28"/>
        </w:rPr>
        <w:t>НКР</w:t>
      </w:r>
      <w:r w:rsidRPr="00452C2D">
        <w:rPr>
          <w:rFonts w:ascii="Times New Roman" w:hAnsi="Times New Roman" w:cs="Times New Roman"/>
          <w:b/>
          <w:sz w:val="28"/>
          <w:szCs w:val="28"/>
        </w:rPr>
        <w:t xml:space="preserve"> ТА ДІАГНОСТИКИ ЙОГО ЛОКАЛЬНОГО РЕЦИДИВУ</w:t>
      </w:r>
    </w:p>
    <w:p w:rsidR="00707D60" w:rsidRPr="00452C2D" w:rsidRDefault="00707D60" w:rsidP="00707D60">
      <w:pPr>
        <w:rPr>
          <w:b/>
        </w:rPr>
      </w:pPr>
    </w:p>
    <w:p w:rsidR="00707D60" w:rsidRPr="00452C2D" w:rsidRDefault="00707D60" w:rsidP="00707D60">
      <w:pPr>
        <w:spacing w:line="360" w:lineRule="auto"/>
        <w:contextualSpacing/>
        <w:rPr>
          <w:rFonts w:ascii="Times New Roman" w:hAnsi="Times New Roman" w:cs="Times New Roman"/>
          <w:b/>
          <w:sz w:val="28"/>
          <w:szCs w:val="28"/>
        </w:rPr>
      </w:pPr>
      <w:r w:rsidRPr="00452C2D">
        <w:rPr>
          <w:rFonts w:ascii="Times New Roman" w:hAnsi="Times New Roman" w:cs="Times New Roman"/>
          <w:b/>
          <w:sz w:val="28"/>
          <w:szCs w:val="28"/>
        </w:rPr>
        <w:t xml:space="preserve">5.1. </w:t>
      </w:r>
      <w:r w:rsidR="00582BAD">
        <w:rPr>
          <w:rFonts w:ascii="Times New Roman" w:hAnsi="Times New Roman" w:cs="Times New Roman"/>
          <w:b/>
          <w:sz w:val="28"/>
          <w:szCs w:val="28"/>
        </w:rPr>
        <w:t>Прогнозування</w:t>
      </w:r>
      <w:r w:rsidRPr="00452C2D">
        <w:rPr>
          <w:rFonts w:ascii="Times New Roman" w:hAnsi="Times New Roman" w:cs="Times New Roman"/>
          <w:b/>
          <w:sz w:val="28"/>
          <w:szCs w:val="28"/>
        </w:rPr>
        <w:t xml:space="preserve"> ефективності селективної емболізації ниркових артерій у хворих із локалізованим НКР</w:t>
      </w:r>
    </w:p>
    <w:p w:rsidR="00707D60" w:rsidRDefault="00707D60" w:rsidP="00707D60"/>
    <w:p w:rsidR="00707D60" w:rsidRPr="00E00CDB" w:rsidRDefault="00707D60" w:rsidP="00707D60">
      <w:pPr>
        <w:spacing w:line="360" w:lineRule="auto"/>
        <w:ind w:firstLine="708"/>
        <w:jc w:val="both"/>
        <w:rPr>
          <w:rFonts w:ascii="Times New Roman" w:hAnsi="Times New Roman" w:cs="Times New Roman"/>
          <w:color w:val="000000" w:themeColor="text1"/>
          <w:sz w:val="28"/>
          <w:szCs w:val="28"/>
        </w:rPr>
      </w:pPr>
      <w:r w:rsidRPr="0093264F">
        <w:rPr>
          <w:rFonts w:ascii="Times New Roman" w:hAnsi="Times New Roman" w:cs="Times New Roman"/>
          <w:sz w:val="28"/>
          <w:szCs w:val="28"/>
          <w:shd w:val="clear" w:color="auto" w:fill="FFFFFF"/>
        </w:rPr>
        <w:t xml:space="preserve">Мета дослідження полягала у оцінці </w:t>
      </w:r>
      <w:r>
        <w:rPr>
          <w:rFonts w:ascii="Times New Roman" w:hAnsi="Times New Roman" w:cs="Times New Roman"/>
          <w:sz w:val="28"/>
          <w:szCs w:val="28"/>
          <w:shd w:val="clear" w:color="auto" w:fill="FFFFFF"/>
        </w:rPr>
        <w:t>ефективності</w:t>
      </w:r>
      <w:r w:rsidRPr="0093264F">
        <w:rPr>
          <w:rFonts w:ascii="Times New Roman" w:hAnsi="Times New Roman" w:cs="Times New Roman"/>
          <w:sz w:val="28"/>
          <w:szCs w:val="28"/>
          <w:shd w:val="clear" w:color="auto" w:fill="FFFFFF"/>
        </w:rPr>
        <w:t xml:space="preserve"> застосування </w:t>
      </w:r>
      <w:r>
        <w:rPr>
          <w:rFonts w:ascii="Times New Roman" w:hAnsi="Times New Roman" w:cs="Times New Roman"/>
          <w:sz w:val="28"/>
          <w:szCs w:val="28"/>
          <w:shd w:val="clear" w:color="auto" w:fill="FFFFFF"/>
        </w:rPr>
        <w:t>індексу резистентності визначеного за допомогою допплер-УЗД,</w:t>
      </w:r>
      <w:r w:rsidRPr="0093264F">
        <w:rPr>
          <w:rFonts w:ascii="Times New Roman" w:hAnsi="Times New Roman" w:cs="Times New Roman"/>
          <w:sz w:val="28"/>
          <w:szCs w:val="28"/>
          <w:shd w:val="clear" w:color="auto" w:fill="FFFFFF"/>
        </w:rPr>
        <w:t xml:space="preserve"> для передбачення об’єму </w:t>
      </w:r>
      <w:r>
        <w:rPr>
          <w:rFonts w:ascii="Times New Roman" w:hAnsi="Times New Roman" w:cs="Times New Roman"/>
          <w:sz w:val="28"/>
          <w:szCs w:val="28"/>
          <w:shd w:val="clear" w:color="auto" w:fill="FFFFFF"/>
        </w:rPr>
        <w:t>інтраопераційної крововтрати</w:t>
      </w:r>
      <w:r w:rsidRPr="0093264F">
        <w:rPr>
          <w:rFonts w:ascii="Times New Roman" w:hAnsi="Times New Roman" w:cs="Times New Roman"/>
          <w:sz w:val="28"/>
          <w:szCs w:val="28"/>
          <w:shd w:val="clear" w:color="auto" w:fill="FFFFFF"/>
        </w:rPr>
        <w:t xml:space="preserve"> під час </w:t>
      </w:r>
      <w:r w:rsidRPr="00452C2D">
        <w:rPr>
          <w:rFonts w:ascii="Times New Roman" w:hAnsi="Times New Roman" w:cs="Times New Roman"/>
          <w:sz w:val="28"/>
          <w:szCs w:val="28"/>
          <w:shd w:val="clear" w:color="auto" w:fill="FFFFFF"/>
        </w:rPr>
        <w:t xml:space="preserve">відкритої радикальної нефректомії у хворих з НКР та після СЕНА. Робота виконувалась на базі клінік кафедри урології та кафедри радіології </w:t>
      </w:r>
      <w:r w:rsidRPr="00452C2D">
        <w:rPr>
          <w:rFonts w:ascii="Times New Roman CYR" w:hAnsi="Times New Roman CYR" w:cs="Times New Roman"/>
          <w:sz w:val="28"/>
          <w:szCs w:val="28"/>
        </w:rPr>
        <w:t xml:space="preserve">Львівського національного медичного університету імені Данила Галицького, відділення інтервенційної радіології Комунальної міської клінічної лікарні швидкої медичної допомоги м. Львова, </w:t>
      </w:r>
      <w:r w:rsidRPr="00452C2D">
        <w:rPr>
          <w:rFonts w:ascii="Times New Roman" w:hAnsi="Times New Roman" w:cs="Times New Roman"/>
          <w:color w:val="000000" w:themeColor="text1"/>
          <w:sz w:val="28"/>
          <w:szCs w:val="28"/>
          <w:shd w:val="clear" w:color="auto" w:fill="FFFFFF"/>
        </w:rPr>
        <w:t>Центру ендоурології Клінічної лікарні Львіської залізниці</w:t>
      </w:r>
      <w:r>
        <w:rPr>
          <w:rFonts w:ascii="Times New Roman" w:hAnsi="Times New Roman" w:cs="Times New Roman"/>
          <w:sz w:val="28"/>
          <w:szCs w:val="28"/>
        </w:rPr>
        <w:t xml:space="preserve">, </w:t>
      </w:r>
      <w:r w:rsidRPr="00452C2D">
        <w:rPr>
          <w:rFonts w:ascii="Times New Roman" w:hAnsi="Times New Roman" w:cs="Times New Roman"/>
          <w:sz w:val="28"/>
          <w:szCs w:val="28"/>
        </w:rPr>
        <w:t>медичного центру «Євроклінік», м. Львів</w:t>
      </w:r>
      <w:r>
        <w:rPr>
          <w:rFonts w:ascii="Times New Roman" w:hAnsi="Times New Roman" w:cs="Times New Roman"/>
          <w:sz w:val="28"/>
          <w:szCs w:val="28"/>
        </w:rPr>
        <w:t xml:space="preserve">, </w:t>
      </w:r>
      <w:r w:rsidRPr="00452C2D">
        <w:rPr>
          <w:rFonts w:ascii="Times New Roman" w:hAnsi="Times New Roman" w:cs="Times New Roman"/>
          <w:sz w:val="28"/>
          <w:szCs w:val="28"/>
        </w:rPr>
        <w:t>відділу променевої діагностики Шпиталю Швєнтей Родзіни</w:t>
      </w:r>
      <w:r>
        <w:rPr>
          <w:rFonts w:ascii="Times New Roman" w:hAnsi="Times New Roman" w:cs="Times New Roman"/>
          <w:sz w:val="28"/>
          <w:szCs w:val="28"/>
        </w:rPr>
        <w:t xml:space="preserve">, </w:t>
      </w:r>
      <w:r w:rsidRPr="00452C2D">
        <w:rPr>
          <w:rFonts w:ascii="Times New Roman" w:hAnsi="Times New Roman" w:cs="Times New Roman"/>
          <w:sz w:val="28"/>
          <w:szCs w:val="28"/>
        </w:rPr>
        <w:t>м. Ж</w:t>
      </w:r>
      <w:r>
        <w:rPr>
          <w:rFonts w:ascii="Times New Roman" w:hAnsi="Times New Roman" w:cs="Times New Roman"/>
          <w:sz w:val="28"/>
          <w:szCs w:val="28"/>
        </w:rPr>
        <w:t>ешів, Польща,</w:t>
      </w:r>
      <w:r w:rsidRPr="00452C2D">
        <w:rPr>
          <w:rFonts w:ascii="Times New Roman" w:hAnsi="Times New Roman" w:cs="Times New Roman"/>
          <w:sz w:val="28"/>
          <w:szCs w:val="28"/>
        </w:rPr>
        <w:t xml:space="preserve"> відділення променевої діагностики Клінічного воєводського шпиталю ім. Св. Ядвігі Крульовей, м. Ж</w:t>
      </w:r>
      <w:r>
        <w:rPr>
          <w:rFonts w:ascii="Times New Roman" w:hAnsi="Times New Roman" w:cs="Times New Roman"/>
          <w:sz w:val="28"/>
          <w:szCs w:val="28"/>
        </w:rPr>
        <w:t>ешів, Польща та клініки урології Вроцлавського медичного університету, м. Вроцлав, Польща, впродовж 2013-2018</w:t>
      </w:r>
      <w:r w:rsidRPr="00452C2D">
        <w:rPr>
          <w:rFonts w:ascii="Times New Roman" w:hAnsi="Times New Roman" w:cs="Times New Roman"/>
          <w:sz w:val="28"/>
          <w:szCs w:val="28"/>
        </w:rPr>
        <w:t xml:space="preserve"> років.</w:t>
      </w:r>
      <w:r>
        <w:rPr>
          <w:rFonts w:ascii="Times New Roman" w:hAnsi="Times New Roman" w:cs="Times New Roman"/>
          <w:sz w:val="28"/>
          <w:szCs w:val="28"/>
        </w:rPr>
        <w:t xml:space="preserve"> </w:t>
      </w:r>
    </w:p>
    <w:p w:rsidR="00707D60" w:rsidRPr="009E6C7E" w:rsidRDefault="00707D60" w:rsidP="00707D60">
      <w:pPr>
        <w:spacing w:line="360" w:lineRule="auto"/>
        <w:ind w:firstLine="708"/>
        <w:jc w:val="both"/>
        <w:rPr>
          <w:rFonts w:ascii="Times New Roman" w:hAnsi="Times New Roman" w:cs="Times New Roman"/>
          <w:sz w:val="28"/>
          <w:szCs w:val="28"/>
          <w:shd w:val="clear" w:color="auto" w:fill="FFFFFF"/>
        </w:rPr>
      </w:pPr>
      <w:r w:rsidRPr="0093264F">
        <w:rPr>
          <w:rFonts w:ascii="Times New Roman" w:hAnsi="Times New Roman" w:cs="Times New Roman"/>
          <w:sz w:val="28"/>
          <w:szCs w:val="28"/>
          <w:shd w:val="clear" w:color="auto" w:fill="FFFFFF"/>
        </w:rPr>
        <w:t xml:space="preserve">До основної групи ввійшло 33 хворих (18 чоловіків і 15 жінок) із солідним НКР за даними клінічних і променевих досліджень та із показами до </w:t>
      </w:r>
      <w:r>
        <w:rPr>
          <w:rFonts w:ascii="Times New Roman" w:hAnsi="Times New Roman" w:cs="Times New Roman"/>
          <w:sz w:val="28"/>
          <w:szCs w:val="28"/>
          <w:shd w:val="clear" w:color="auto" w:fill="FFFFFF"/>
        </w:rPr>
        <w:t>С</w:t>
      </w:r>
      <w:r w:rsidRPr="0093264F">
        <w:rPr>
          <w:rFonts w:ascii="Times New Roman" w:hAnsi="Times New Roman" w:cs="Times New Roman"/>
          <w:sz w:val="28"/>
          <w:szCs w:val="28"/>
          <w:shd w:val="clear" w:color="auto" w:fill="FFFFFF"/>
        </w:rPr>
        <w:t>ЕНА</w:t>
      </w:r>
      <w:r w:rsidRPr="009E6C7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пухлина значних розмірів та високої васкуляризації за даними променевих обстежень, персистуюча макро- чи мікрогематурія, яка не купувалась медикаментозно) </w:t>
      </w:r>
      <w:r w:rsidRPr="0093264F">
        <w:rPr>
          <w:rFonts w:ascii="Times New Roman" w:hAnsi="Times New Roman" w:cs="Times New Roman"/>
          <w:sz w:val="28"/>
          <w:szCs w:val="28"/>
          <w:shd w:val="clear" w:color="auto" w:fill="FFFFFF"/>
        </w:rPr>
        <w:t>і подальшої радикальної нефре</w:t>
      </w:r>
      <w:r>
        <w:rPr>
          <w:rFonts w:ascii="Times New Roman" w:hAnsi="Times New Roman" w:cs="Times New Roman"/>
          <w:sz w:val="28"/>
          <w:szCs w:val="28"/>
          <w:shd w:val="clear" w:color="auto" w:fill="FFFFFF"/>
        </w:rPr>
        <w:t>ктомії. Вік пацієнтів варіював</w:t>
      </w:r>
      <w:r w:rsidRPr="0093264F">
        <w:rPr>
          <w:rFonts w:ascii="Times New Roman" w:hAnsi="Times New Roman" w:cs="Times New Roman"/>
          <w:sz w:val="28"/>
          <w:szCs w:val="28"/>
          <w:shd w:val="clear" w:color="auto" w:fill="FFFFFF"/>
        </w:rPr>
        <w:t xml:space="preserve"> від 52 до 70 років, середній вік складав 62</w:t>
      </w:r>
      <w:r>
        <w:rPr>
          <w:rFonts w:ascii="Times New Roman" w:hAnsi="Times New Roman" w:cs="Times New Roman"/>
          <w:sz w:val="28"/>
          <w:szCs w:val="28"/>
          <w:shd w:val="clear" w:color="auto" w:fill="FFFFFF"/>
        </w:rPr>
        <w:t>,43</w:t>
      </w:r>
      <w:r w:rsidRPr="0093264F">
        <w:rPr>
          <w:rFonts w:ascii="Times New Roman" w:hAnsi="Times New Roman" w:cs="Times New Roman"/>
          <w:sz w:val="28"/>
          <w:szCs w:val="28"/>
          <w:shd w:val="clear" w:color="auto" w:fill="FFFFFF"/>
        </w:rPr>
        <w:t>±6,3</w:t>
      </w:r>
      <w:r>
        <w:rPr>
          <w:rFonts w:ascii="Times New Roman" w:hAnsi="Times New Roman" w:cs="Times New Roman"/>
          <w:sz w:val="28"/>
          <w:szCs w:val="28"/>
          <w:shd w:val="clear" w:color="auto" w:fill="FFFFFF"/>
        </w:rPr>
        <w:t>3</w:t>
      </w:r>
      <w:r w:rsidRPr="0093264F">
        <w:rPr>
          <w:rFonts w:ascii="Times New Roman" w:hAnsi="Times New Roman" w:cs="Times New Roman"/>
          <w:sz w:val="28"/>
          <w:szCs w:val="28"/>
          <w:shd w:val="clear" w:color="auto" w:fill="FFFFFF"/>
        </w:rPr>
        <w:t xml:space="preserve"> роки. Ро</w:t>
      </w:r>
      <w:r>
        <w:rPr>
          <w:rFonts w:ascii="Times New Roman" w:hAnsi="Times New Roman" w:cs="Times New Roman"/>
          <w:sz w:val="28"/>
          <w:szCs w:val="28"/>
          <w:shd w:val="clear" w:color="auto" w:fill="FFFFFF"/>
        </w:rPr>
        <w:t>змір новоутворів коливався від 8</w:t>
      </w:r>
      <w:r w:rsidRPr="0093264F">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rPr>
        <w:t>4 до 11,34</w:t>
      </w:r>
      <w:r w:rsidRPr="0093264F">
        <w:rPr>
          <w:rFonts w:ascii="Times New Roman" w:hAnsi="Times New Roman" w:cs="Times New Roman"/>
          <w:sz w:val="28"/>
          <w:szCs w:val="28"/>
          <w:shd w:val="clear" w:color="auto" w:fill="FFFFFF"/>
        </w:rPr>
        <w:t xml:space="preserve"> см, сере</w:t>
      </w:r>
      <w:r>
        <w:rPr>
          <w:rFonts w:ascii="Times New Roman" w:hAnsi="Times New Roman" w:cs="Times New Roman"/>
          <w:sz w:val="28"/>
          <w:szCs w:val="28"/>
          <w:shd w:val="clear" w:color="auto" w:fill="FFFFFF"/>
        </w:rPr>
        <w:t>дній розмір пухлини становив 9,11±0</w:t>
      </w:r>
      <w:r w:rsidRPr="0093264F">
        <w:rPr>
          <w:rFonts w:ascii="Times New Roman" w:hAnsi="Times New Roman" w:cs="Times New Roman"/>
          <w:sz w:val="28"/>
          <w:szCs w:val="28"/>
          <w:shd w:val="clear" w:color="auto" w:fill="FFFFFF"/>
        </w:rPr>
        <w:t>,8</w:t>
      </w:r>
      <w:r>
        <w:rPr>
          <w:rFonts w:ascii="Times New Roman" w:hAnsi="Times New Roman" w:cs="Times New Roman"/>
          <w:sz w:val="28"/>
          <w:szCs w:val="28"/>
          <w:shd w:val="clear" w:color="auto" w:fill="FFFFFF"/>
        </w:rPr>
        <w:t xml:space="preserve">4  см у найбільшому вимірі. В дослідження не включались </w:t>
      </w:r>
      <w:r>
        <w:rPr>
          <w:rFonts w:ascii="Times New Roman" w:hAnsi="Times New Roman" w:cs="Times New Roman"/>
          <w:sz w:val="28"/>
          <w:szCs w:val="28"/>
          <w:shd w:val="clear" w:color="auto" w:fill="FFFFFF"/>
        </w:rPr>
        <w:lastRenderedPageBreak/>
        <w:t>хворі із інвазією ниркової вени пухлинним тромбом, вираженою нирковою недостатністю та інфекційно-запальними захворюваннями сечовивідних шляхів. Контрольну групу склали 20 здорових волонтерів, без ознак ниркової патології (</w:t>
      </w:r>
      <w:r>
        <w:rPr>
          <w:rFonts w:ascii="Times New Roman" w:hAnsi="Times New Roman" w:cs="Times New Roman"/>
          <w:sz w:val="28"/>
          <w:szCs w:val="28"/>
        </w:rPr>
        <w:t>12 чоловіків і 8 жінок,</w:t>
      </w:r>
      <w:r w:rsidRPr="0093264F">
        <w:rPr>
          <w:rFonts w:ascii="Times New Roman" w:hAnsi="Times New Roman" w:cs="Times New Roman"/>
          <w:sz w:val="28"/>
          <w:szCs w:val="28"/>
        </w:rPr>
        <w:t xml:space="preserve"> віком від</w:t>
      </w:r>
      <w:r>
        <w:rPr>
          <w:rFonts w:ascii="Times New Roman" w:hAnsi="Times New Roman" w:cs="Times New Roman"/>
          <w:sz w:val="28"/>
          <w:szCs w:val="28"/>
        </w:rPr>
        <w:t xml:space="preserve"> 38 до 50 років, середній вік 55</w:t>
      </w:r>
      <w:r w:rsidRPr="0093264F">
        <w:rPr>
          <w:rFonts w:ascii="Times New Roman" w:hAnsi="Times New Roman" w:cs="Times New Roman"/>
          <w:sz w:val="28"/>
          <w:szCs w:val="28"/>
        </w:rPr>
        <w:t>,2</w:t>
      </w:r>
      <w:r>
        <w:rPr>
          <w:rFonts w:ascii="Times New Roman" w:hAnsi="Times New Roman" w:cs="Times New Roman"/>
          <w:sz w:val="28"/>
          <w:szCs w:val="28"/>
        </w:rPr>
        <w:t>4±3,23</w:t>
      </w:r>
      <w:r w:rsidRPr="0093264F">
        <w:rPr>
          <w:rFonts w:ascii="Times New Roman" w:hAnsi="Times New Roman" w:cs="Times New Roman"/>
          <w:sz w:val="28"/>
          <w:szCs w:val="28"/>
        </w:rPr>
        <w:t xml:space="preserve"> роки)</w:t>
      </w:r>
      <w:r>
        <w:rPr>
          <w:rFonts w:ascii="Times New Roman" w:hAnsi="Times New Roman" w:cs="Times New Roman"/>
          <w:sz w:val="28"/>
          <w:szCs w:val="28"/>
        </w:rPr>
        <w:t>.</w:t>
      </w:r>
      <w:r w:rsidRPr="00492D12">
        <w:rPr>
          <w:rFonts w:ascii="Times New Roman" w:hAnsi="Times New Roman" w:cs="Times New Roman"/>
          <w:sz w:val="28"/>
          <w:szCs w:val="28"/>
        </w:rPr>
        <w:t xml:space="preserve"> </w:t>
      </w:r>
      <w:r w:rsidRPr="0093264F">
        <w:rPr>
          <w:rFonts w:ascii="Times New Roman" w:hAnsi="Times New Roman" w:cs="Times New Roman"/>
          <w:sz w:val="28"/>
          <w:szCs w:val="28"/>
        </w:rPr>
        <w:t>Для оцінки морфо-функціонального стану нирок усім волонтерам перед включенням у дослідження проводили відповідні обстеження: загальний аналіз крові та сечі, біохімічне дослідження крові (креатинін, сечовина, АЛТ, АСТ), УЗД нирок.</w:t>
      </w:r>
    </w:p>
    <w:p w:rsidR="00707D60" w:rsidRDefault="00707D60" w:rsidP="00707D60">
      <w:pPr>
        <w:spacing w:line="360" w:lineRule="auto"/>
        <w:ind w:firstLine="708"/>
        <w:jc w:val="both"/>
        <w:rPr>
          <w:rFonts w:ascii="Times New Roman" w:hAnsi="Times New Roman" w:cs="Times New Roman"/>
          <w:sz w:val="28"/>
          <w:szCs w:val="28"/>
        </w:rPr>
      </w:pPr>
      <w:r w:rsidRPr="0093264F">
        <w:rPr>
          <w:rFonts w:ascii="Times New Roman" w:hAnsi="Times New Roman" w:cs="Times New Roman"/>
          <w:sz w:val="28"/>
          <w:szCs w:val="28"/>
        </w:rPr>
        <w:t xml:space="preserve">Всім пацієнтам із НКР в той самий чи за 1 день перед </w:t>
      </w:r>
      <w:r>
        <w:rPr>
          <w:rFonts w:ascii="Times New Roman" w:hAnsi="Times New Roman" w:cs="Times New Roman"/>
          <w:sz w:val="28"/>
          <w:szCs w:val="28"/>
        </w:rPr>
        <w:t>С</w:t>
      </w:r>
      <w:r w:rsidRPr="0093264F">
        <w:rPr>
          <w:rFonts w:ascii="Times New Roman" w:hAnsi="Times New Roman" w:cs="Times New Roman"/>
          <w:sz w:val="28"/>
          <w:szCs w:val="28"/>
        </w:rPr>
        <w:t>ЕНА</w:t>
      </w:r>
      <w:r w:rsidR="00607DFC">
        <w:rPr>
          <w:rFonts w:ascii="Times New Roman" w:hAnsi="Times New Roman" w:cs="Times New Roman"/>
          <w:sz w:val="28"/>
          <w:szCs w:val="28"/>
        </w:rPr>
        <w:t>, та на 5</w:t>
      </w:r>
      <w:r>
        <w:rPr>
          <w:rFonts w:ascii="Times New Roman" w:hAnsi="Times New Roman" w:cs="Times New Roman"/>
          <w:sz w:val="28"/>
          <w:szCs w:val="28"/>
        </w:rPr>
        <w:t xml:space="preserve"> день після неї, проводили УЗД-обстеження нирок, яке включало визначення індексу резистентності (ІР) над ділянкою новоутворення в доплерографічному режимі сканування (датчик 4,5</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 xml:space="preserve">МГц). Для отримання значень ІР у здорових волонтерів, </w:t>
      </w:r>
      <w:r w:rsidRPr="00492D12">
        <w:rPr>
          <w:rFonts w:ascii="Times New Roman" w:hAnsi="Times New Roman" w:cs="Times New Roman"/>
          <w:sz w:val="28"/>
          <w:szCs w:val="28"/>
        </w:rPr>
        <w:t>область</w:t>
      </w:r>
      <w:r>
        <w:rPr>
          <w:rFonts w:ascii="Times New Roman" w:hAnsi="Times New Roman" w:cs="Times New Roman"/>
          <w:sz w:val="28"/>
          <w:szCs w:val="28"/>
        </w:rPr>
        <w:t xml:space="preserve"> зацікавлення розташовували над ділянкою нормальної ниркової паренхіми та проводили вимірювання.</w:t>
      </w:r>
      <w:r w:rsidRPr="00492D12">
        <w:rPr>
          <w:rFonts w:ascii="Times New Roman" w:hAnsi="Times New Roman" w:cs="Times New Roman"/>
          <w:sz w:val="28"/>
          <w:szCs w:val="28"/>
        </w:rPr>
        <w:t xml:space="preserve"> </w:t>
      </w:r>
      <w:r>
        <w:rPr>
          <w:rFonts w:ascii="Times New Roman" w:hAnsi="Times New Roman" w:cs="Times New Roman"/>
          <w:sz w:val="28"/>
          <w:szCs w:val="28"/>
        </w:rPr>
        <w:t>У жодного хворого</w:t>
      </w:r>
      <w:r w:rsidRPr="0093264F">
        <w:rPr>
          <w:rFonts w:ascii="Times New Roman" w:hAnsi="Times New Roman" w:cs="Times New Roman"/>
          <w:sz w:val="28"/>
          <w:szCs w:val="28"/>
        </w:rPr>
        <w:t xml:space="preserve"> </w:t>
      </w:r>
      <w:r>
        <w:rPr>
          <w:rFonts w:ascii="Times New Roman" w:hAnsi="Times New Roman" w:cs="Times New Roman"/>
          <w:sz w:val="28"/>
          <w:szCs w:val="28"/>
        </w:rPr>
        <w:t xml:space="preserve">в минулому </w:t>
      </w:r>
      <w:r w:rsidRPr="0093264F">
        <w:rPr>
          <w:rFonts w:ascii="Times New Roman" w:hAnsi="Times New Roman" w:cs="Times New Roman"/>
          <w:sz w:val="28"/>
          <w:szCs w:val="28"/>
        </w:rPr>
        <w:t xml:space="preserve">протипухлинна терапія </w:t>
      </w:r>
      <w:r>
        <w:rPr>
          <w:rFonts w:ascii="Times New Roman" w:hAnsi="Times New Roman" w:cs="Times New Roman"/>
          <w:sz w:val="28"/>
          <w:szCs w:val="28"/>
        </w:rPr>
        <w:t xml:space="preserve">чи інші методи лікування НКР не проводилась. </w:t>
      </w:r>
    </w:p>
    <w:p w:rsidR="00707D60" w:rsidRDefault="00707D60" w:rsidP="00707D6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Селективна</w:t>
      </w:r>
      <w:r w:rsidRPr="0093264F">
        <w:rPr>
          <w:rFonts w:ascii="Times New Roman" w:hAnsi="Times New Roman" w:cs="Times New Roman"/>
          <w:sz w:val="28"/>
          <w:szCs w:val="28"/>
        </w:rPr>
        <w:t xml:space="preserve"> </w:t>
      </w:r>
      <w:r>
        <w:rPr>
          <w:rFonts w:ascii="Times New Roman" w:hAnsi="Times New Roman" w:cs="Times New Roman"/>
          <w:sz w:val="28"/>
          <w:szCs w:val="28"/>
        </w:rPr>
        <w:t>емболізація ниркових артерій виконувалась</w:t>
      </w:r>
      <w:r w:rsidRPr="0093264F">
        <w:rPr>
          <w:rFonts w:ascii="Times New Roman" w:hAnsi="Times New Roman" w:cs="Times New Roman"/>
          <w:sz w:val="28"/>
          <w:szCs w:val="28"/>
        </w:rPr>
        <w:t xml:space="preserve"> під флюороскопічним контролем за наступною методикою: під місцевою анестезією 0,5% новокаїну за Селдінгером пунктували праву променеву  артерію</w:t>
      </w:r>
      <w:r>
        <w:rPr>
          <w:rFonts w:ascii="Times New Roman" w:hAnsi="Times New Roman" w:cs="Times New Roman"/>
          <w:sz w:val="28"/>
          <w:szCs w:val="28"/>
        </w:rPr>
        <w:t>,</w:t>
      </w:r>
      <w:r w:rsidRPr="0093264F">
        <w:rPr>
          <w:rFonts w:ascii="Times New Roman" w:hAnsi="Times New Roman" w:cs="Times New Roman"/>
          <w:sz w:val="28"/>
          <w:szCs w:val="28"/>
        </w:rPr>
        <w:t xml:space="preserve"> після чого в неї вставляли інтродюсер  (6 Fr). Катетером типу “MP” проводили</w:t>
      </w:r>
      <w:r>
        <w:rPr>
          <w:rFonts w:ascii="Times New Roman" w:hAnsi="Times New Roman" w:cs="Times New Roman"/>
          <w:sz w:val="28"/>
          <w:szCs w:val="28"/>
        </w:rPr>
        <w:t xml:space="preserve"> селективну ангіографію </w:t>
      </w:r>
      <w:r w:rsidRPr="0093264F">
        <w:rPr>
          <w:rFonts w:ascii="Times New Roman" w:hAnsi="Times New Roman" w:cs="Times New Roman"/>
          <w:sz w:val="28"/>
          <w:szCs w:val="28"/>
        </w:rPr>
        <w:t>ниркової артерії контрастом  Ультравіст-370</w:t>
      </w:r>
      <w:r>
        <w:rPr>
          <w:rFonts w:ascii="Times New Roman" w:hAnsi="Times New Roman" w:cs="Times New Roman"/>
          <w:sz w:val="28"/>
          <w:szCs w:val="28"/>
        </w:rPr>
        <w:t xml:space="preserve"> (80 мл)</w:t>
      </w:r>
      <w:r w:rsidRPr="0093264F">
        <w:rPr>
          <w:rFonts w:ascii="Times New Roman" w:hAnsi="Times New Roman" w:cs="Times New Roman"/>
          <w:sz w:val="28"/>
          <w:szCs w:val="28"/>
        </w:rPr>
        <w:t>.  Після цього</w:t>
      </w:r>
      <w:r>
        <w:rPr>
          <w:rFonts w:ascii="Times New Roman" w:hAnsi="Times New Roman" w:cs="Times New Roman"/>
          <w:sz w:val="28"/>
          <w:szCs w:val="28"/>
        </w:rPr>
        <w:t>,</w:t>
      </w:r>
      <w:r w:rsidRPr="0093264F">
        <w:rPr>
          <w:rFonts w:ascii="Times New Roman" w:hAnsi="Times New Roman" w:cs="Times New Roman"/>
          <w:sz w:val="28"/>
          <w:szCs w:val="28"/>
        </w:rPr>
        <w:t xml:space="preserve"> почергово в артер</w:t>
      </w:r>
      <w:r w:rsidRPr="00492D12">
        <w:rPr>
          <w:rFonts w:ascii="Times New Roman" w:hAnsi="Times New Roman" w:cs="Times New Roman"/>
          <w:sz w:val="28"/>
          <w:szCs w:val="28"/>
        </w:rPr>
        <w:t>ію</w:t>
      </w:r>
      <w:r>
        <w:rPr>
          <w:rFonts w:ascii="Times New Roman" w:hAnsi="Times New Roman" w:cs="Times New Roman"/>
          <w:sz w:val="28"/>
          <w:szCs w:val="28"/>
        </w:rPr>
        <w:t>, що кровопостачає пухлину</w:t>
      </w:r>
      <w:r w:rsidRPr="00492D12">
        <w:rPr>
          <w:rFonts w:ascii="Times New Roman" w:hAnsi="Times New Roman" w:cs="Times New Roman"/>
          <w:sz w:val="28"/>
          <w:szCs w:val="28"/>
        </w:rPr>
        <w:t xml:space="preserve"> водили 1 спіраль “COOK” та три спіралі типу Гіантурко (усі спіралі МРТ-сумісні), досягаючи тотальної </w:t>
      </w:r>
      <w:r>
        <w:rPr>
          <w:rFonts w:ascii="Times New Roman" w:hAnsi="Times New Roman" w:cs="Times New Roman"/>
          <w:sz w:val="28"/>
          <w:szCs w:val="28"/>
        </w:rPr>
        <w:t>емболізації</w:t>
      </w:r>
      <w:r w:rsidRPr="00492D12">
        <w:rPr>
          <w:rFonts w:ascii="Times New Roman" w:hAnsi="Times New Roman" w:cs="Times New Roman"/>
          <w:sz w:val="28"/>
          <w:szCs w:val="28"/>
        </w:rPr>
        <w:t xml:space="preserve">. Після </w:t>
      </w:r>
      <w:r>
        <w:rPr>
          <w:rFonts w:ascii="Times New Roman" w:hAnsi="Times New Roman" w:cs="Times New Roman"/>
          <w:sz w:val="28"/>
          <w:szCs w:val="28"/>
        </w:rPr>
        <w:t>С</w:t>
      </w:r>
      <w:r w:rsidRPr="00492D12">
        <w:rPr>
          <w:rFonts w:ascii="Times New Roman" w:hAnsi="Times New Roman" w:cs="Times New Roman"/>
          <w:sz w:val="28"/>
          <w:szCs w:val="28"/>
        </w:rPr>
        <w:t>ЕНА на ділянку пункції накладали тиснучу пов’язку на 6 годин. Середня тривалість процедури  складала 120</w:t>
      </w:r>
      <w:r w:rsidRPr="0093264F">
        <w:rPr>
          <w:rFonts w:ascii="Times New Roman" w:hAnsi="Times New Roman" w:cs="Times New Roman"/>
          <w:sz w:val="28"/>
          <w:szCs w:val="28"/>
        </w:rPr>
        <w:t xml:space="preserve"> хв.</w:t>
      </w:r>
      <w:r>
        <w:rPr>
          <w:rFonts w:ascii="Times New Roman" w:hAnsi="Times New Roman" w:cs="Times New Roman"/>
          <w:sz w:val="28"/>
          <w:szCs w:val="28"/>
        </w:rPr>
        <w:t xml:space="preserve"> </w:t>
      </w:r>
      <w:r w:rsidRPr="00492D12">
        <w:rPr>
          <w:rFonts w:ascii="Times New Roman" w:hAnsi="Times New Roman" w:cs="Times New Roman"/>
          <w:sz w:val="28"/>
          <w:szCs w:val="28"/>
        </w:rPr>
        <w:t>У жодному випадку повторних СЕНА не проводилось.</w:t>
      </w:r>
    </w:p>
    <w:p w:rsidR="00707D60" w:rsidRPr="008A7759" w:rsidRDefault="00707D60" w:rsidP="00707D60">
      <w:pPr>
        <w:spacing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rPr>
        <w:t>Усім хворим із НКР через 5</w:t>
      </w:r>
      <w:r w:rsidRPr="0093264F">
        <w:rPr>
          <w:rFonts w:ascii="Times New Roman" w:hAnsi="Times New Roman" w:cs="Times New Roman"/>
          <w:sz w:val="28"/>
          <w:szCs w:val="28"/>
        </w:rPr>
        <w:t xml:space="preserve"> д</w:t>
      </w:r>
      <w:r>
        <w:rPr>
          <w:rFonts w:ascii="Times New Roman" w:hAnsi="Times New Roman" w:cs="Times New Roman"/>
          <w:sz w:val="28"/>
          <w:szCs w:val="28"/>
        </w:rPr>
        <w:t>нів</w:t>
      </w:r>
      <w:r w:rsidRPr="0093264F">
        <w:rPr>
          <w:rFonts w:ascii="Times New Roman" w:hAnsi="Times New Roman" w:cs="Times New Roman"/>
          <w:sz w:val="28"/>
          <w:szCs w:val="28"/>
        </w:rPr>
        <w:t xml:space="preserve"> після </w:t>
      </w:r>
      <w:r>
        <w:rPr>
          <w:rFonts w:ascii="Times New Roman" w:hAnsi="Times New Roman" w:cs="Times New Roman"/>
          <w:sz w:val="28"/>
          <w:szCs w:val="28"/>
        </w:rPr>
        <w:t>С</w:t>
      </w:r>
      <w:r w:rsidRPr="0093264F">
        <w:rPr>
          <w:rFonts w:ascii="Times New Roman" w:hAnsi="Times New Roman" w:cs="Times New Roman"/>
          <w:sz w:val="28"/>
          <w:szCs w:val="28"/>
        </w:rPr>
        <w:t>ЕНА була виконана відкрита радикальна нефректомія з подальшою патоморфологічною верифікацією діагнозу, у 100% вип</w:t>
      </w:r>
      <w:r>
        <w:rPr>
          <w:rFonts w:ascii="Times New Roman" w:hAnsi="Times New Roman" w:cs="Times New Roman"/>
          <w:sz w:val="28"/>
          <w:szCs w:val="28"/>
        </w:rPr>
        <w:t xml:space="preserve">адків було підтверджено діагноз світлоклітинного </w:t>
      </w:r>
      <w:r w:rsidRPr="0093264F">
        <w:rPr>
          <w:rFonts w:ascii="Times New Roman" w:hAnsi="Times New Roman" w:cs="Times New Roman"/>
          <w:sz w:val="28"/>
          <w:szCs w:val="28"/>
        </w:rPr>
        <w:t xml:space="preserve">НКР. </w:t>
      </w:r>
      <w:r>
        <w:rPr>
          <w:rFonts w:ascii="Times New Roman" w:hAnsi="Times New Roman" w:cs="Times New Roman"/>
          <w:sz w:val="28"/>
          <w:szCs w:val="28"/>
          <w:shd w:val="clear" w:color="auto" w:fill="FFFFFF"/>
        </w:rPr>
        <w:lastRenderedPageBreak/>
        <w:t xml:space="preserve">Згідно класифікації </w:t>
      </w:r>
      <w:r>
        <w:rPr>
          <w:rFonts w:ascii="Times New Roman" w:hAnsi="Times New Roman" w:cs="Times New Roman"/>
          <w:sz w:val="28"/>
          <w:szCs w:val="28"/>
          <w:shd w:val="clear" w:color="auto" w:fill="FFFFFF"/>
          <w:lang w:val="en-US"/>
        </w:rPr>
        <w:t>TNM</w:t>
      </w:r>
      <w:r>
        <w:rPr>
          <w:rFonts w:ascii="Times New Roman" w:hAnsi="Times New Roman" w:cs="Times New Roman"/>
          <w:sz w:val="28"/>
          <w:szCs w:val="28"/>
          <w:shd w:val="clear" w:color="auto" w:fill="FFFFFF"/>
        </w:rPr>
        <w:t xml:space="preserve"> хворі були розподілені наступним чином: </w:t>
      </w:r>
      <w:r>
        <w:rPr>
          <w:rFonts w:ascii="Times New Roman" w:hAnsi="Times New Roman" w:cs="Times New Roman"/>
          <w:sz w:val="28"/>
          <w:szCs w:val="28"/>
          <w:shd w:val="clear" w:color="auto" w:fill="FFFFFF"/>
          <w:lang w:val="en-US"/>
        </w:rPr>
        <w:t>pT</w:t>
      </w:r>
      <w:r w:rsidRPr="009E6C7E">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lang w:val="en-US"/>
        </w:rPr>
        <w:t>aN</w:t>
      </w:r>
      <w:r w:rsidRPr="009E6C7E">
        <w:rPr>
          <w:rFonts w:ascii="Times New Roman" w:hAnsi="Times New Roman" w:cs="Times New Roman"/>
          <w:sz w:val="28"/>
          <w:szCs w:val="28"/>
          <w:shd w:val="clear" w:color="auto" w:fill="FFFFFF"/>
        </w:rPr>
        <w:t>0</w:t>
      </w:r>
      <w:r>
        <w:rPr>
          <w:rFonts w:ascii="Times New Roman" w:hAnsi="Times New Roman" w:cs="Times New Roman"/>
          <w:sz w:val="28"/>
          <w:szCs w:val="28"/>
          <w:shd w:val="clear" w:color="auto" w:fill="FFFFFF"/>
          <w:lang w:val="en-US"/>
        </w:rPr>
        <w:t>M</w:t>
      </w:r>
      <w:r w:rsidRPr="009E6C7E">
        <w:rPr>
          <w:rFonts w:ascii="Times New Roman" w:hAnsi="Times New Roman" w:cs="Times New Roman"/>
          <w:sz w:val="28"/>
          <w:szCs w:val="28"/>
          <w:shd w:val="clear" w:color="auto" w:fill="FFFFFF"/>
        </w:rPr>
        <w:t xml:space="preserve">0 </w:t>
      </w:r>
      <w:r>
        <w:rPr>
          <w:rFonts w:ascii="Times New Roman" w:hAnsi="Times New Roman" w:cs="Times New Roman"/>
          <w:sz w:val="28"/>
          <w:szCs w:val="28"/>
          <w:shd w:val="clear" w:color="auto" w:fill="FFFFFF"/>
        </w:rPr>
        <w:t xml:space="preserve">– 12 (36,36%) хворих, </w:t>
      </w:r>
      <w:r>
        <w:rPr>
          <w:rFonts w:ascii="Times New Roman" w:hAnsi="Times New Roman" w:cs="Times New Roman"/>
          <w:sz w:val="28"/>
          <w:szCs w:val="28"/>
          <w:shd w:val="clear" w:color="auto" w:fill="FFFFFF"/>
          <w:lang w:val="en-US"/>
        </w:rPr>
        <w:t>pT</w:t>
      </w:r>
      <w:r w:rsidRPr="009E6C7E">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lang w:val="en-US"/>
        </w:rPr>
        <w:t>aN</w:t>
      </w:r>
      <w:r w:rsidRPr="009E6C7E">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lang w:val="en-US"/>
        </w:rPr>
        <w:t>M</w:t>
      </w:r>
      <w:r w:rsidRPr="009E6C7E">
        <w:rPr>
          <w:rFonts w:ascii="Times New Roman" w:hAnsi="Times New Roman" w:cs="Times New Roman"/>
          <w:sz w:val="28"/>
          <w:szCs w:val="28"/>
          <w:shd w:val="clear" w:color="auto" w:fill="FFFFFF"/>
        </w:rPr>
        <w:t xml:space="preserve">0 </w:t>
      </w:r>
      <w:r>
        <w:rPr>
          <w:rFonts w:ascii="Times New Roman" w:hAnsi="Times New Roman" w:cs="Times New Roman"/>
          <w:sz w:val="28"/>
          <w:szCs w:val="28"/>
          <w:shd w:val="clear" w:color="auto" w:fill="FFFFFF"/>
        </w:rPr>
        <w:t xml:space="preserve">– 1 (3,03%) пацієнт, </w:t>
      </w:r>
      <w:r>
        <w:rPr>
          <w:rFonts w:ascii="Times New Roman" w:hAnsi="Times New Roman" w:cs="Times New Roman"/>
          <w:sz w:val="28"/>
          <w:szCs w:val="28"/>
          <w:shd w:val="clear" w:color="auto" w:fill="FFFFFF"/>
          <w:lang w:val="en-US"/>
        </w:rPr>
        <w:t>pT</w:t>
      </w:r>
      <w:r w:rsidRPr="009E6C7E">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lang w:val="en-US"/>
        </w:rPr>
        <w:t>bN</w:t>
      </w:r>
      <w:r w:rsidRPr="009E6C7E">
        <w:rPr>
          <w:rFonts w:ascii="Times New Roman" w:hAnsi="Times New Roman" w:cs="Times New Roman"/>
          <w:sz w:val="28"/>
          <w:szCs w:val="28"/>
          <w:shd w:val="clear" w:color="auto" w:fill="FFFFFF"/>
        </w:rPr>
        <w:t>0</w:t>
      </w:r>
      <w:r>
        <w:rPr>
          <w:rFonts w:ascii="Times New Roman" w:hAnsi="Times New Roman" w:cs="Times New Roman"/>
          <w:sz w:val="28"/>
          <w:szCs w:val="28"/>
          <w:shd w:val="clear" w:color="auto" w:fill="FFFFFF"/>
          <w:lang w:val="en-US"/>
        </w:rPr>
        <w:t>M</w:t>
      </w:r>
      <w:r w:rsidRPr="009E6C7E">
        <w:rPr>
          <w:rFonts w:ascii="Times New Roman" w:hAnsi="Times New Roman" w:cs="Times New Roman"/>
          <w:sz w:val="28"/>
          <w:szCs w:val="28"/>
          <w:shd w:val="clear" w:color="auto" w:fill="FFFFFF"/>
        </w:rPr>
        <w:t xml:space="preserve">0 </w:t>
      </w:r>
      <w:r>
        <w:rPr>
          <w:rFonts w:ascii="Times New Roman" w:hAnsi="Times New Roman" w:cs="Times New Roman"/>
          <w:sz w:val="28"/>
          <w:szCs w:val="28"/>
          <w:shd w:val="clear" w:color="auto" w:fill="FFFFFF"/>
        </w:rPr>
        <w:t xml:space="preserve">– 13 хворих (39,39%),   </w:t>
      </w:r>
      <w:r>
        <w:rPr>
          <w:rFonts w:ascii="Times New Roman" w:hAnsi="Times New Roman" w:cs="Times New Roman"/>
          <w:sz w:val="28"/>
          <w:szCs w:val="28"/>
          <w:shd w:val="clear" w:color="auto" w:fill="FFFFFF"/>
          <w:lang w:val="en-US"/>
        </w:rPr>
        <w:t>pT</w:t>
      </w:r>
      <w:r w:rsidRPr="009E6C7E">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lang w:val="en-US"/>
        </w:rPr>
        <w:t>bN</w:t>
      </w:r>
      <w:r w:rsidRPr="009E6C7E">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lang w:val="en-US"/>
        </w:rPr>
        <w:t>M</w:t>
      </w:r>
      <w:r w:rsidRPr="009E6C7E">
        <w:rPr>
          <w:rFonts w:ascii="Times New Roman" w:hAnsi="Times New Roman" w:cs="Times New Roman"/>
          <w:sz w:val="28"/>
          <w:szCs w:val="28"/>
          <w:shd w:val="clear" w:color="auto" w:fill="FFFFFF"/>
        </w:rPr>
        <w:t>0</w:t>
      </w:r>
      <w:r>
        <w:rPr>
          <w:rFonts w:ascii="Times New Roman" w:hAnsi="Times New Roman" w:cs="Times New Roman"/>
          <w:sz w:val="28"/>
          <w:szCs w:val="28"/>
          <w:shd w:val="clear" w:color="auto" w:fill="FFFFFF"/>
        </w:rPr>
        <w:t xml:space="preserve"> – 1 (3,03%) пацієнти, </w:t>
      </w:r>
      <w:r w:rsidRPr="009E6C7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pT</w:t>
      </w:r>
      <w:r w:rsidRPr="009E6C7E">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lang w:val="en-US"/>
        </w:rPr>
        <w:t>aN</w:t>
      </w:r>
      <w:r w:rsidRPr="009E6C7E">
        <w:rPr>
          <w:rFonts w:ascii="Times New Roman" w:hAnsi="Times New Roman" w:cs="Times New Roman"/>
          <w:sz w:val="28"/>
          <w:szCs w:val="28"/>
          <w:shd w:val="clear" w:color="auto" w:fill="FFFFFF"/>
        </w:rPr>
        <w:t>0</w:t>
      </w:r>
      <w:r>
        <w:rPr>
          <w:rFonts w:ascii="Times New Roman" w:hAnsi="Times New Roman" w:cs="Times New Roman"/>
          <w:sz w:val="28"/>
          <w:szCs w:val="28"/>
          <w:shd w:val="clear" w:color="auto" w:fill="FFFFFF"/>
          <w:lang w:val="en-US"/>
        </w:rPr>
        <w:t>M</w:t>
      </w:r>
      <w:r w:rsidRPr="009E6C7E">
        <w:rPr>
          <w:rFonts w:ascii="Times New Roman" w:hAnsi="Times New Roman" w:cs="Times New Roman"/>
          <w:sz w:val="28"/>
          <w:szCs w:val="28"/>
          <w:shd w:val="clear" w:color="auto" w:fill="FFFFFF"/>
        </w:rPr>
        <w:t>0</w:t>
      </w:r>
      <w:r>
        <w:rPr>
          <w:rFonts w:ascii="Times New Roman" w:hAnsi="Times New Roman" w:cs="Times New Roman"/>
          <w:sz w:val="28"/>
          <w:szCs w:val="28"/>
          <w:shd w:val="clear" w:color="auto" w:fill="FFFFFF"/>
        </w:rPr>
        <w:t xml:space="preserve"> – 5 (15,15%) хворих та </w:t>
      </w:r>
      <w:r>
        <w:rPr>
          <w:rFonts w:ascii="Times New Roman" w:hAnsi="Times New Roman" w:cs="Times New Roman"/>
          <w:sz w:val="28"/>
          <w:szCs w:val="28"/>
          <w:shd w:val="clear" w:color="auto" w:fill="FFFFFF"/>
          <w:lang w:val="en-US"/>
        </w:rPr>
        <w:t>pT</w:t>
      </w:r>
      <w:r w:rsidRPr="009E6C7E">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lang w:val="en-US"/>
        </w:rPr>
        <w:t>aN</w:t>
      </w:r>
      <w:r w:rsidRPr="009E6C7E">
        <w:rPr>
          <w:rFonts w:ascii="Times New Roman" w:hAnsi="Times New Roman" w:cs="Times New Roman"/>
          <w:sz w:val="28"/>
          <w:szCs w:val="28"/>
          <w:shd w:val="clear" w:color="auto" w:fill="FFFFFF"/>
        </w:rPr>
        <w:t>1</w:t>
      </w:r>
      <w:r>
        <w:rPr>
          <w:rFonts w:ascii="Times New Roman" w:hAnsi="Times New Roman" w:cs="Times New Roman"/>
          <w:sz w:val="28"/>
          <w:szCs w:val="28"/>
          <w:shd w:val="clear" w:color="auto" w:fill="FFFFFF"/>
          <w:lang w:val="en-US"/>
        </w:rPr>
        <w:t>M</w:t>
      </w:r>
      <w:r w:rsidRPr="009E6C7E">
        <w:rPr>
          <w:rFonts w:ascii="Times New Roman" w:hAnsi="Times New Roman" w:cs="Times New Roman"/>
          <w:sz w:val="28"/>
          <w:szCs w:val="28"/>
          <w:shd w:val="clear" w:color="auto" w:fill="FFFFFF"/>
        </w:rPr>
        <w:t>0</w:t>
      </w:r>
      <w:r>
        <w:rPr>
          <w:rFonts w:ascii="Times New Roman" w:hAnsi="Times New Roman" w:cs="Times New Roman"/>
          <w:sz w:val="28"/>
          <w:szCs w:val="28"/>
          <w:shd w:val="clear" w:color="auto" w:fill="FFFFFF"/>
        </w:rPr>
        <w:t xml:space="preserve"> – 1 (3,03%) випадки. Низький ступінь за </w:t>
      </w:r>
      <w:r>
        <w:rPr>
          <w:rFonts w:ascii="Times New Roman" w:hAnsi="Times New Roman" w:cs="Times New Roman"/>
          <w:sz w:val="28"/>
          <w:szCs w:val="28"/>
          <w:shd w:val="clear" w:color="auto" w:fill="FFFFFF"/>
          <w:lang w:val="en-US"/>
        </w:rPr>
        <w:t>Fuhrman</w:t>
      </w:r>
      <w:r w:rsidRPr="009E6C7E">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було виявлено у 11 (33,33%) хворих, та у 22 (66,67%) пацієнтів – високий.</w:t>
      </w:r>
    </w:p>
    <w:p w:rsidR="00707D60" w:rsidRPr="00217C20" w:rsidRDefault="00707D60" w:rsidP="00707D60">
      <w:pPr>
        <w:spacing w:line="360" w:lineRule="auto"/>
        <w:ind w:firstLine="708"/>
        <w:jc w:val="both"/>
        <w:rPr>
          <w:rFonts w:ascii="Times New Roman" w:hAnsi="Times New Roman" w:cs="Times New Roman"/>
          <w:sz w:val="28"/>
          <w:szCs w:val="28"/>
          <w:shd w:val="clear" w:color="auto" w:fill="FFFFFF"/>
        </w:rPr>
      </w:pPr>
      <w:r w:rsidRPr="0093264F">
        <w:rPr>
          <w:rFonts w:ascii="Times New Roman" w:hAnsi="Times New Roman" w:cs="Times New Roman"/>
          <w:sz w:val="28"/>
          <w:szCs w:val="28"/>
        </w:rPr>
        <w:t xml:space="preserve">У всіх пацієнтів проводилось визначення об’єму </w:t>
      </w:r>
      <w:r>
        <w:rPr>
          <w:rFonts w:ascii="Times New Roman" w:hAnsi="Times New Roman" w:cs="Times New Roman"/>
          <w:sz w:val="28"/>
          <w:szCs w:val="28"/>
        </w:rPr>
        <w:t>оціночної інтраопераційної крововтрати (</w:t>
      </w:r>
      <w:r w:rsidRPr="0093264F">
        <w:rPr>
          <w:rFonts w:ascii="Times New Roman" w:hAnsi="Times New Roman" w:cs="Times New Roman"/>
          <w:sz w:val="28"/>
          <w:szCs w:val="28"/>
        </w:rPr>
        <w:t>ОІК</w:t>
      </w:r>
      <w:r>
        <w:rPr>
          <w:rFonts w:ascii="Times New Roman" w:hAnsi="Times New Roman" w:cs="Times New Roman"/>
          <w:sz w:val="28"/>
          <w:szCs w:val="28"/>
        </w:rPr>
        <w:t>)</w:t>
      </w:r>
      <w:r w:rsidRPr="0093264F">
        <w:rPr>
          <w:rFonts w:ascii="Times New Roman" w:hAnsi="Times New Roman" w:cs="Times New Roman"/>
          <w:sz w:val="28"/>
          <w:szCs w:val="28"/>
        </w:rPr>
        <w:t xml:space="preserve"> за наступною методикою: приймали, що 1 мл кро</w:t>
      </w:r>
      <w:r>
        <w:rPr>
          <w:rFonts w:ascii="Times New Roman" w:hAnsi="Times New Roman" w:cs="Times New Roman"/>
          <w:sz w:val="28"/>
          <w:szCs w:val="28"/>
        </w:rPr>
        <w:t>ві важить близько 1 грам</w:t>
      </w:r>
      <w:r w:rsidRPr="0093264F">
        <w:rPr>
          <w:rFonts w:ascii="Times New Roman" w:hAnsi="Times New Roman" w:cs="Times New Roman"/>
          <w:sz w:val="28"/>
          <w:szCs w:val="28"/>
        </w:rPr>
        <w:t>; зважували просякненні кров’ю тампони віднімаючи відповідну за кількістю масу сухих тампонів; при зважуванні ємностей для відсмоктаної крові віднімали масу їх порожніх; оцінювали об’єм крові, що потрапила на хірургічні простирадла, під тіло хворого тощо; враховували використаний об’єм розчину для іригації та віднім</w:t>
      </w:r>
      <w:r>
        <w:rPr>
          <w:rFonts w:ascii="Times New Roman" w:hAnsi="Times New Roman" w:cs="Times New Roman"/>
          <w:sz w:val="28"/>
          <w:szCs w:val="28"/>
        </w:rPr>
        <w:t xml:space="preserve">али його від загального об’єму </w:t>
      </w:r>
      <w:r w:rsidRPr="0093264F">
        <w:rPr>
          <w:rFonts w:ascii="Times New Roman" w:hAnsi="Times New Roman" w:cs="Times New Roman"/>
          <w:sz w:val="28"/>
          <w:szCs w:val="28"/>
        </w:rPr>
        <w:t>О</w:t>
      </w:r>
      <w:r>
        <w:rPr>
          <w:rFonts w:ascii="Times New Roman" w:hAnsi="Times New Roman" w:cs="Times New Roman"/>
          <w:sz w:val="28"/>
          <w:szCs w:val="28"/>
        </w:rPr>
        <w:t>І</w:t>
      </w:r>
      <w:r w:rsidRPr="0093264F">
        <w:rPr>
          <w:rFonts w:ascii="Times New Roman" w:hAnsi="Times New Roman" w:cs="Times New Roman"/>
          <w:sz w:val="28"/>
          <w:szCs w:val="28"/>
        </w:rPr>
        <w:t>К.</w:t>
      </w:r>
      <w:r>
        <w:rPr>
          <w:rFonts w:ascii="Times New Roman" w:hAnsi="Times New Roman" w:cs="Times New Roman"/>
          <w:sz w:val="28"/>
          <w:szCs w:val="28"/>
        </w:rPr>
        <w:t xml:space="preserve"> </w:t>
      </w:r>
      <w:r w:rsidRPr="0093264F">
        <w:rPr>
          <w:rFonts w:ascii="Times New Roman" w:hAnsi="Times New Roman" w:cs="Times New Roman"/>
          <w:sz w:val="28"/>
          <w:szCs w:val="28"/>
          <w:shd w:val="clear" w:color="auto" w:fill="FFFFFF"/>
        </w:rPr>
        <w:t>У хворих до операції гематокрит знаходився в діапазоні 38-</w:t>
      </w:r>
      <w:r>
        <w:rPr>
          <w:rFonts w:ascii="Times New Roman" w:hAnsi="Times New Roman" w:cs="Times New Roman"/>
          <w:sz w:val="28"/>
          <w:szCs w:val="28"/>
          <w:shd w:val="clear" w:color="auto" w:fill="FFFFFF"/>
        </w:rPr>
        <w:t>49</w:t>
      </w:r>
      <w:r w:rsidRPr="0093264F">
        <w:rPr>
          <w:rFonts w:ascii="Times New Roman" w:hAnsi="Times New Roman" w:cs="Times New Roman"/>
          <w:sz w:val="28"/>
          <w:szCs w:val="28"/>
          <w:shd w:val="clear" w:color="auto" w:fill="FFFFFF"/>
        </w:rPr>
        <w:t>% у чоловіків та 33-</w:t>
      </w:r>
      <w:r>
        <w:rPr>
          <w:rFonts w:ascii="Times New Roman" w:hAnsi="Times New Roman" w:cs="Times New Roman"/>
          <w:sz w:val="28"/>
          <w:szCs w:val="28"/>
          <w:shd w:val="clear" w:color="auto" w:fill="FFFFFF"/>
        </w:rPr>
        <w:t>43</w:t>
      </w:r>
      <w:r w:rsidRPr="0093264F">
        <w:rPr>
          <w:rFonts w:ascii="Times New Roman" w:hAnsi="Times New Roman" w:cs="Times New Roman"/>
          <w:sz w:val="28"/>
          <w:szCs w:val="28"/>
          <w:shd w:val="clear" w:color="auto" w:fill="FFFFFF"/>
        </w:rPr>
        <w:t>% у жінок.</w:t>
      </w:r>
      <w:r>
        <w:rPr>
          <w:rFonts w:ascii="Times New Roman" w:hAnsi="Times New Roman" w:cs="Times New Roman"/>
          <w:sz w:val="28"/>
          <w:szCs w:val="28"/>
          <w:shd w:val="clear" w:color="auto" w:fill="FFFFFF"/>
        </w:rPr>
        <w:t xml:space="preserve"> </w:t>
      </w:r>
    </w:p>
    <w:p w:rsidR="00707D60" w:rsidRDefault="00707D60" w:rsidP="00707D60">
      <w:pPr>
        <w:spacing w:line="360" w:lineRule="auto"/>
        <w:ind w:firstLine="708"/>
        <w:jc w:val="both"/>
        <w:rPr>
          <w:rFonts w:ascii="Times New Roman" w:hAnsi="Times New Roman" w:cs="Times New Roman"/>
          <w:sz w:val="28"/>
          <w:szCs w:val="28"/>
        </w:rPr>
      </w:pPr>
      <w:r w:rsidRPr="0093264F">
        <w:rPr>
          <w:rFonts w:ascii="Times New Roman" w:hAnsi="Times New Roman" w:cs="Times New Roman"/>
          <w:sz w:val="28"/>
          <w:szCs w:val="28"/>
        </w:rPr>
        <w:t xml:space="preserve">При виконанні відкритої нефректомії у хворих із НКР після </w:t>
      </w:r>
      <w:r>
        <w:rPr>
          <w:rFonts w:ascii="Times New Roman" w:hAnsi="Times New Roman" w:cs="Times New Roman"/>
          <w:sz w:val="28"/>
          <w:szCs w:val="28"/>
        </w:rPr>
        <w:t>С</w:t>
      </w:r>
      <w:r w:rsidRPr="0093264F">
        <w:rPr>
          <w:rFonts w:ascii="Times New Roman" w:hAnsi="Times New Roman" w:cs="Times New Roman"/>
          <w:sz w:val="28"/>
          <w:szCs w:val="28"/>
        </w:rPr>
        <w:t xml:space="preserve">ЕНА об’єм </w:t>
      </w:r>
      <w:r>
        <w:rPr>
          <w:rFonts w:ascii="Times New Roman" w:hAnsi="Times New Roman" w:cs="Times New Roman"/>
          <w:sz w:val="28"/>
          <w:szCs w:val="28"/>
        </w:rPr>
        <w:t>оціночної інтраопераційної крововтрати коливався в межах 158-10</w:t>
      </w:r>
      <w:r w:rsidRPr="0093264F">
        <w:rPr>
          <w:rFonts w:ascii="Times New Roman" w:hAnsi="Times New Roman" w:cs="Times New Roman"/>
          <w:sz w:val="28"/>
          <w:szCs w:val="28"/>
        </w:rPr>
        <w:t>50 мл, середній об’єм становив 457,3</w:t>
      </w:r>
      <w:r>
        <w:rPr>
          <w:rFonts w:ascii="Times New Roman" w:hAnsi="Times New Roman" w:cs="Times New Roman"/>
          <w:sz w:val="28"/>
          <w:szCs w:val="28"/>
        </w:rPr>
        <w:t>3</w:t>
      </w:r>
      <w:r w:rsidRPr="0093264F">
        <w:rPr>
          <w:rFonts w:ascii="Times New Roman" w:hAnsi="Times New Roman" w:cs="Times New Roman"/>
          <w:sz w:val="28"/>
          <w:szCs w:val="28"/>
        </w:rPr>
        <w:t>±260,52 мл. В залежності від показників ОІК усіх пацієнтів основної групи було розділ</w:t>
      </w:r>
      <w:r>
        <w:rPr>
          <w:rFonts w:ascii="Times New Roman" w:hAnsi="Times New Roman" w:cs="Times New Roman"/>
          <w:sz w:val="28"/>
          <w:szCs w:val="28"/>
        </w:rPr>
        <w:t>ено на 3</w:t>
      </w:r>
      <w:r w:rsidRPr="0093264F">
        <w:rPr>
          <w:rFonts w:ascii="Times New Roman" w:hAnsi="Times New Roman" w:cs="Times New Roman"/>
          <w:sz w:val="28"/>
          <w:szCs w:val="28"/>
        </w:rPr>
        <w:t xml:space="preserve"> </w:t>
      </w:r>
      <w:r>
        <w:rPr>
          <w:rFonts w:ascii="Times New Roman" w:hAnsi="Times New Roman" w:cs="Times New Roman"/>
          <w:sz w:val="28"/>
          <w:szCs w:val="28"/>
        </w:rPr>
        <w:t>підгрупи</w:t>
      </w:r>
      <w:r w:rsidRPr="0093264F">
        <w:rPr>
          <w:rFonts w:ascii="Times New Roman" w:hAnsi="Times New Roman" w:cs="Times New Roman"/>
          <w:sz w:val="28"/>
          <w:szCs w:val="28"/>
        </w:rPr>
        <w:t xml:space="preserve">: І </w:t>
      </w:r>
      <w:r>
        <w:rPr>
          <w:rFonts w:ascii="Times New Roman" w:hAnsi="Times New Roman" w:cs="Times New Roman"/>
          <w:sz w:val="28"/>
          <w:szCs w:val="28"/>
        </w:rPr>
        <w:t>підгрупа – ОІК в межах 0-249</w:t>
      </w:r>
      <w:r w:rsidRPr="0093264F">
        <w:rPr>
          <w:rFonts w:ascii="Times New Roman" w:hAnsi="Times New Roman" w:cs="Times New Roman"/>
          <w:sz w:val="28"/>
          <w:szCs w:val="28"/>
        </w:rPr>
        <w:t xml:space="preserve"> мл (n=9, 27,27%), ІІ </w:t>
      </w:r>
      <w:r>
        <w:rPr>
          <w:rFonts w:ascii="Times New Roman" w:hAnsi="Times New Roman" w:cs="Times New Roman"/>
          <w:sz w:val="28"/>
          <w:szCs w:val="28"/>
        </w:rPr>
        <w:t xml:space="preserve">підгрупа </w:t>
      </w:r>
      <w:r w:rsidRPr="0093264F">
        <w:rPr>
          <w:rFonts w:ascii="Times New Roman" w:hAnsi="Times New Roman" w:cs="Times New Roman"/>
          <w:sz w:val="28"/>
          <w:szCs w:val="28"/>
        </w:rPr>
        <w:t xml:space="preserve">– ОІК від 250 до 500 мл (n=14, 42,42%), ІІІ </w:t>
      </w:r>
      <w:r>
        <w:rPr>
          <w:rFonts w:ascii="Times New Roman" w:hAnsi="Times New Roman" w:cs="Times New Roman"/>
          <w:sz w:val="28"/>
          <w:szCs w:val="28"/>
        </w:rPr>
        <w:t xml:space="preserve">підгрупа </w:t>
      </w:r>
      <w:r w:rsidRPr="0093264F">
        <w:rPr>
          <w:rFonts w:ascii="Times New Roman" w:hAnsi="Times New Roman" w:cs="Times New Roman"/>
          <w:sz w:val="28"/>
          <w:szCs w:val="28"/>
        </w:rPr>
        <w:t xml:space="preserve">– ОІК </w:t>
      </w:r>
      <w:r>
        <w:rPr>
          <w:rFonts w:ascii="Times New Roman" w:hAnsi="Times New Roman" w:cs="Times New Roman"/>
          <w:sz w:val="28"/>
          <w:szCs w:val="28"/>
        </w:rPr>
        <w:t>більше</w:t>
      </w:r>
      <w:r w:rsidRPr="0093264F">
        <w:rPr>
          <w:rFonts w:ascii="Times New Roman" w:hAnsi="Times New Roman" w:cs="Times New Roman"/>
          <w:sz w:val="28"/>
          <w:szCs w:val="28"/>
        </w:rPr>
        <w:t xml:space="preserve"> 500</w:t>
      </w:r>
      <w:r>
        <w:rPr>
          <w:rFonts w:ascii="Times New Roman" w:hAnsi="Times New Roman" w:cs="Times New Roman"/>
          <w:sz w:val="28"/>
          <w:szCs w:val="28"/>
        </w:rPr>
        <w:t xml:space="preserve"> мл (n=10, 30,30</w:t>
      </w:r>
      <w:r w:rsidRPr="0093264F">
        <w:rPr>
          <w:rFonts w:ascii="Times New Roman" w:hAnsi="Times New Roman" w:cs="Times New Roman"/>
          <w:sz w:val="28"/>
          <w:szCs w:val="28"/>
        </w:rPr>
        <w:t>%)</w:t>
      </w:r>
      <w:r>
        <w:rPr>
          <w:rFonts w:ascii="Times New Roman" w:hAnsi="Times New Roman" w:cs="Times New Roman"/>
          <w:sz w:val="28"/>
          <w:szCs w:val="28"/>
        </w:rPr>
        <w:t>.</w:t>
      </w:r>
      <w:r w:rsidRPr="0093264F">
        <w:rPr>
          <w:rFonts w:ascii="Times New Roman" w:hAnsi="Times New Roman" w:cs="Times New Roman"/>
          <w:sz w:val="28"/>
          <w:szCs w:val="28"/>
        </w:rPr>
        <w:t xml:space="preserve"> Середні значення ОІК у наведених </w:t>
      </w:r>
      <w:r>
        <w:rPr>
          <w:rFonts w:ascii="Times New Roman" w:hAnsi="Times New Roman" w:cs="Times New Roman"/>
          <w:sz w:val="28"/>
          <w:szCs w:val="28"/>
        </w:rPr>
        <w:t xml:space="preserve">трьох підгрупах </w:t>
      </w:r>
      <w:r w:rsidRPr="0093264F">
        <w:rPr>
          <w:rFonts w:ascii="Times New Roman" w:hAnsi="Times New Roman" w:cs="Times New Roman"/>
          <w:sz w:val="28"/>
          <w:szCs w:val="28"/>
        </w:rPr>
        <w:t xml:space="preserve">становили: І </w:t>
      </w:r>
      <w:r>
        <w:rPr>
          <w:rFonts w:ascii="Times New Roman" w:hAnsi="Times New Roman" w:cs="Times New Roman"/>
          <w:sz w:val="28"/>
          <w:szCs w:val="28"/>
        </w:rPr>
        <w:t>– 216,55±34,45 мл, ІІ – 387,29±64,19 мл, ІІІ – 720,36±198,23 мл.</w:t>
      </w:r>
    </w:p>
    <w:p w:rsidR="00707D60" w:rsidRDefault="00707D60" w:rsidP="00707D6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результаті проведених вимірювань до проведення СЕНА, середнє значення ІР у групі з НКР становило 0,61±0,02 та достовірно відрізнялось від даного показника контрольної групи – 0,74±0,10 (р</w:t>
      </w:r>
      <w:r w:rsidRPr="009E6C7E">
        <w:rPr>
          <w:rFonts w:ascii="Times New Roman" w:hAnsi="Times New Roman" w:cs="Times New Roman"/>
          <w:sz w:val="28"/>
          <w:szCs w:val="28"/>
          <w:lang w:val="ru-RU"/>
        </w:rPr>
        <w:t>&lt;</w:t>
      </w:r>
      <w:r>
        <w:rPr>
          <w:rFonts w:ascii="Times New Roman" w:hAnsi="Times New Roman" w:cs="Times New Roman"/>
          <w:sz w:val="28"/>
          <w:szCs w:val="28"/>
        </w:rPr>
        <w:t>0,001). Такі дані свідчили про більшу реноваскулярну резистентність в тканинах пухлини у порівнянні із здоровою нирковою паренхімою. Після проведення СЕНА середній показник ІР в основній групі зростав в середньому на 21,31% і становив 0,74±0,10 (</w:t>
      </w:r>
      <w:r w:rsidRPr="009E6C7E">
        <w:rPr>
          <w:rFonts w:ascii="Times New Roman" w:hAnsi="Times New Roman" w:cs="Times New Roman"/>
          <w:sz w:val="28"/>
          <w:szCs w:val="28"/>
        </w:rPr>
        <w:t>&lt;</w:t>
      </w:r>
      <w:r>
        <w:rPr>
          <w:rFonts w:ascii="Times New Roman" w:hAnsi="Times New Roman" w:cs="Times New Roman"/>
          <w:sz w:val="28"/>
          <w:szCs w:val="28"/>
        </w:rPr>
        <w:t xml:space="preserve">0,001), що ми пояснюємо підвищенням реноваскулярної </w:t>
      </w:r>
      <w:r>
        <w:rPr>
          <w:rFonts w:ascii="Times New Roman" w:hAnsi="Times New Roman" w:cs="Times New Roman"/>
          <w:sz w:val="28"/>
          <w:szCs w:val="28"/>
        </w:rPr>
        <w:lastRenderedPageBreak/>
        <w:t>резистентності внаслідок емболізації судин пухлини. Нами були ретроспективно проаналізовані показники індексу резистентності у підгрупах хворих із різним об’ємом оціночної інтраопераційної крововтрати після емболізації та порівняно їх із вихідними значеннями до виконання СЕНА та хірургічного лікування, рисунок 5.1.</w:t>
      </w:r>
    </w:p>
    <w:p w:rsidR="00707D60" w:rsidRDefault="00707D60" w:rsidP="00707D60">
      <w:pPr>
        <w:spacing w:line="360" w:lineRule="auto"/>
        <w:jc w:val="center"/>
        <w:rPr>
          <w:rFonts w:ascii="Times New Roman" w:hAnsi="Times New Roman" w:cs="Times New Roman"/>
          <w:sz w:val="28"/>
          <w:szCs w:val="28"/>
        </w:rPr>
      </w:pPr>
      <w:r>
        <w:rPr>
          <w:rFonts w:ascii="Times New Roman" w:hAnsi="Times New Roman" w:cs="Times New Roman"/>
          <w:noProof/>
          <w:sz w:val="24"/>
          <w:szCs w:val="24"/>
          <w:lang w:val="en-US"/>
        </w:rPr>
        <w:drawing>
          <wp:inline distT="0" distB="0" distL="0" distR="0" wp14:anchorId="5DEAE2C1" wp14:editId="1709FB61">
            <wp:extent cx="3627435" cy="2898476"/>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677632" cy="2938586"/>
                    </a:xfrm>
                    <a:prstGeom prst="rect">
                      <a:avLst/>
                    </a:prstGeom>
                    <a:noFill/>
                    <a:ln>
                      <a:noFill/>
                    </a:ln>
                  </pic:spPr>
                </pic:pic>
              </a:graphicData>
            </a:graphic>
          </wp:inline>
        </w:drawing>
      </w:r>
    </w:p>
    <w:p w:rsidR="00707D60" w:rsidRDefault="00707D60" w:rsidP="00707D60">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5.1. Коробкова діаграма індексу резистентності нормальної ниркової паренхіми та НКР до та після селективної емболізації ниркової артерії в залежності від об’єму інтраопераційної крововтрати</w:t>
      </w:r>
    </w:p>
    <w:p w:rsidR="00707D60" w:rsidRDefault="00707D60" w:rsidP="00707D60">
      <w:pPr>
        <w:spacing w:line="360" w:lineRule="auto"/>
        <w:ind w:firstLine="708"/>
        <w:jc w:val="center"/>
        <w:rPr>
          <w:rFonts w:ascii="Times New Roman" w:hAnsi="Times New Roman" w:cs="Times New Roman"/>
          <w:sz w:val="28"/>
          <w:szCs w:val="28"/>
        </w:rPr>
      </w:pPr>
    </w:p>
    <w:p w:rsidR="00707D60" w:rsidRDefault="00707D60" w:rsidP="00707D6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 в підгрупі хворих із об’ємом ОІК </w:t>
      </w:r>
      <w:r w:rsidRPr="009E6C7E">
        <w:rPr>
          <w:rFonts w:ascii="Times New Roman" w:hAnsi="Times New Roman" w:cs="Times New Roman"/>
          <w:sz w:val="28"/>
          <w:szCs w:val="28"/>
          <w:lang w:val="ru-RU"/>
        </w:rPr>
        <w:t>&lt;</w:t>
      </w:r>
      <w:r>
        <w:rPr>
          <w:rFonts w:ascii="Times New Roman" w:hAnsi="Times New Roman" w:cs="Times New Roman"/>
          <w:sz w:val="28"/>
          <w:szCs w:val="28"/>
        </w:rPr>
        <w:t>250</w:t>
      </w:r>
      <w:r w:rsidRPr="0093264F">
        <w:rPr>
          <w:rFonts w:ascii="Times New Roman" w:hAnsi="Times New Roman" w:cs="Times New Roman"/>
          <w:sz w:val="28"/>
          <w:szCs w:val="28"/>
        </w:rPr>
        <w:t xml:space="preserve"> мл</w:t>
      </w:r>
      <w:r>
        <w:rPr>
          <w:rFonts w:ascii="Times New Roman" w:hAnsi="Times New Roman" w:cs="Times New Roman"/>
          <w:sz w:val="28"/>
          <w:szCs w:val="28"/>
        </w:rPr>
        <w:t>, середнє значення індексу резистентності після СЕНА достовірно зростало з 0,</w:t>
      </w:r>
      <w:r w:rsidRPr="009E6C7E">
        <w:rPr>
          <w:rFonts w:ascii="Times New Roman" w:hAnsi="Times New Roman" w:cs="Times New Roman"/>
          <w:sz w:val="28"/>
          <w:szCs w:val="28"/>
          <w:lang w:val="ru-RU"/>
        </w:rPr>
        <w:t>62</w:t>
      </w:r>
      <w:r>
        <w:rPr>
          <w:rFonts w:ascii="Times New Roman" w:hAnsi="Times New Roman" w:cs="Times New Roman"/>
          <w:sz w:val="28"/>
          <w:szCs w:val="28"/>
        </w:rPr>
        <w:t>±</w:t>
      </w:r>
      <w:r w:rsidRPr="009E6C7E">
        <w:rPr>
          <w:rFonts w:ascii="Times New Roman" w:hAnsi="Times New Roman" w:cs="Times New Roman"/>
          <w:sz w:val="28"/>
          <w:szCs w:val="28"/>
          <w:lang w:val="ru-RU"/>
        </w:rPr>
        <w:t>0,02</w:t>
      </w:r>
      <w:r>
        <w:rPr>
          <w:rFonts w:ascii="Times New Roman" w:hAnsi="Times New Roman" w:cs="Times New Roman"/>
          <w:sz w:val="28"/>
          <w:szCs w:val="28"/>
        </w:rPr>
        <w:t xml:space="preserve"> до 0,86±0,04 (</w:t>
      </w:r>
      <w:r w:rsidRPr="009E6C7E">
        <w:rPr>
          <w:rFonts w:ascii="Times New Roman" w:hAnsi="Times New Roman" w:cs="Times New Roman"/>
          <w:sz w:val="28"/>
          <w:szCs w:val="28"/>
          <w:lang w:val="ru-RU"/>
        </w:rPr>
        <w:t>&lt;</w:t>
      </w:r>
      <w:r>
        <w:rPr>
          <w:rFonts w:ascii="Times New Roman" w:hAnsi="Times New Roman" w:cs="Times New Roman"/>
          <w:sz w:val="28"/>
          <w:szCs w:val="28"/>
        </w:rPr>
        <w:t>0,001), різниця між ними становила ↑38,71%. У підгрупі із ОІК 250-</w:t>
      </w:r>
      <w:r w:rsidRPr="0093264F">
        <w:rPr>
          <w:rFonts w:ascii="Times New Roman" w:hAnsi="Times New Roman" w:cs="Times New Roman"/>
          <w:sz w:val="28"/>
          <w:szCs w:val="28"/>
        </w:rPr>
        <w:t>500 мл</w:t>
      </w:r>
      <w:r>
        <w:rPr>
          <w:rFonts w:ascii="Times New Roman" w:hAnsi="Times New Roman" w:cs="Times New Roman"/>
          <w:sz w:val="28"/>
          <w:szCs w:val="28"/>
        </w:rPr>
        <w:t xml:space="preserve">, середнє значення ІР після емболізації також зростало з 0,62±0,02 до 0,75±0,05, що становило ↑20,97%. На противагу цьому, у підгрупі із інтраопераційною крововтратою </w:t>
      </w:r>
      <w:r w:rsidRPr="009E6C7E">
        <w:rPr>
          <w:rFonts w:ascii="Times New Roman" w:hAnsi="Times New Roman" w:cs="Times New Roman"/>
          <w:sz w:val="28"/>
          <w:szCs w:val="28"/>
          <w:lang w:val="ru-RU"/>
        </w:rPr>
        <w:t>&gt;</w:t>
      </w:r>
      <w:r>
        <w:rPr>
          <w:rFonts w:ascii="Times New Roman" w:hAnsi="Times New Roman" w:cs="Times New Roman"/>
          <w:sz w:val="28"/>
          <w:szCs w:val="28"/>
        </w:rPr>
        <w:t xml:space="preserve">500 мл, середнє значення ІР після виконання СЕНА зазнавало найменшої зміни і зростало з 0,62±0,01 до 0,64±0,04 (3,24%), при цьому така різниця не була статистично достовірною (р=0,841), що може бути пояснено недостатньо повною емболізацією. До виконання СЕНА, середні значення ІР в підгрупах із пізнішим об’ємом ОІК </w:t>
      </w:r>
      <w:r w:rsidRPr="009E6C7E">
        <w:rPr>
          <w:rFonts w:ascii="Times New Roman" w:hAnsi="Times New Roman" w:cs="Times New Roman"/>
          <w:sz w:val="28"/>
          <w:szCs w:val="28"/>
          <w:lang w:val="ru-RU"/>
        </w:rPr>
        <w:t>&lt;</w:t>
      </w:r>
      <w:r>
        <w:rPr>
          <w:rFonts w:ascii="Times New Roman" w:hAnsi="Times New Roman" w:cs="Times New Roman"/>
          <w:sz w:val="28"/>
          <w:szCs w:val="28"/>
        </w:rPr>
        <w:t>250</w:t>
      </w:r>
      <w:r w:rsidRPr="0093264F">
        <w:rPr>
          <w:rFonts w:ascii="Times New Roman" w:hAnsi="Times New Roman" w:cs="Times New Roman"/>
          <w:sz w:val="28"/>
          <w:szCs w:val="28"/>
        </w:rPr>
        <w:t xml:space="preserve"> мл</w:t>
      </w:r>
      <w:r>
        <w:rPr>
          <w:rFonts w:ascii="Times New Roman" w:hAnsi="Times New Roman" w:cs="Times New Roman"/>
          <w:sz w:val="28"/>
          <w:szCs w:val="28"/>
        </w:rPr>
        <w:t>, 250-</w:t>
      </w:r>
      <w:r w:rsidRPr="0093264F">
        <w:rPr>
          <w:rFonts w:ascii="Times New Roman" w:hAnsi="Times New Roman" w:cs="Times New Roman"/>
          <w:sz w:val="28"/>
          <w:szCs w:val="28"/>
        </w:rPr>
        <w:t>500 мл</w:t>
      </w:r>
      <w:r>
        <w:rPr>
          <w:rFonts w:ascii="Times New Roman" w:hAnsi="Times New Roman" w:cs="Times New Roman"/>
          <w:sz w:val="28"/>
          <w:szCs w:val="28"/>
        </w:rPr>
        <w:t xml:space="preserve"> та </w:t>
      </w:r>
      <w:r w:rsidRPr="009E6C7E">
        <w:rPr>
          <w:rFonts w:ascii="Times New Roman" w:hAnsi="Times New Roman" w:cs="Times New Roman"/>
          <w:sz w:val="28"/>
          <w:szCs w:val="28"/>
          <w:lang w:val="ru-RU"/>
        </w:rPr>
        <w:t>&gt;</w:t>
      </w:r>
      <w:r>
        <w:rPr>
          <w:rFonts w:ascii="Times New Roman" w:hAnsi="Times New Roman" w:cs="Times New Roman"/>
          <w:sz w:val="28"/>
          <w:szCs w:val="28"/>
        </w:rPr>
        <w:t xml:space="preserve">500 мл </w:t>
      </w:r>
      <w:r>
        <w:rPr>
          <w:rFonts w:ascii="Times New Roman" w:hAnsi="Times New Roman" w:cs="Times New Roman"/>
          <w:sz w:val="28"/>
          <w:szCs w:val="28"/>
        </w:rPr>
        <w:lastRenderedPageBreak/>
        <w:t>статистично достовірно між собою не відрізнялись (</w:t>
      </w:r>
      <w:r w:rsidRPr="009E6C7E">
        <w:rPr>
          <w:rFonts w:ascii="Times New Roman" w:hAnsi="Times New Roman" w:cs="Times New Roman"/>
          <w:sz w:val="28"/>
          <w:szCs w:val="28"/>
          <w:lang w:val="ru-RU"/>
        </w:rPr>
        <w:t>р&gt;</w:t>
      </w:r>
      <w:r>
        <w:rPr>
          <w:rFonts w:ascii="Times New Roman" w:hAnsi="Times New Roman" w:cs="Times New Roman"/>
          <w:sz w:val="28"/>
          <w:szCs w:val="28"/>
        </w:rPr>
        <w:t>0,05). Водночас, ми спостерігали достовірну різницю у середніх значеннях даного показника після проведеної СЕНА між всіма підгрупами: І і ІІ (</w:t>
      </w:r>
      <w:r w:rsidRPr="009E6C7E">
        <w:rPr>
          <w:rFonts w:ascii="Times New Roman" w:hAnsi="Times New Roman" w:cs="Times New Roman"/>
          <w:sz w:val="28"/>
          <w:szCs w:val="28"/>
        </w:rPr>
        <w:t>&lt;</w:t>
      </w:r>
      <w:r>
        <w:rPr>
          <w:rFonts w:ascii="Times New Roman" w:hAnsi="Times New Roman" w:cs="Times New Roman"/>
          <w:sz w:val="28"/>
          <w:szCs w:val="28"/>
        </w:rPr>
        <w:t>0,016), І і ІІІ (</w:t>
      </w:r>
      <w:r w:rsidRPr="009E6C7E">
        <w:rPr>
          <w:rFonts w:ascii="Times New Roman" w:hAnsi="Times New Roman" w:cs="Times New Roman"/>
          <w:sz w:val="28"/>
          <w:szCs w:val="28"/>
        </w:rPr>
        <w:t>&lt;</w:t>
      </w:r>
      <w:r>
        <w:rPr>
          <w:rFonts w:ascii="Times New Roman" w:hAnsi="Times New Roman" w:cs="Times New Roman"/>
          <w:sz w:val="28"/>
          <w:szCs w:val="28"/>
        </w:rPr>
        <w:t>0,001), ІІ і ІІІ (0,014), таблиця 5.1.</w:t>
      </w:r>
    </w:p>
    <w:p w:rsidR="00707D60" w:rsidRDefault="00707D60" w:rsidP="00707D60">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5.1</w:t>
      </w:r>
    </w:p>
    <w:p w:rsidR="00707D60" w:rsidRPr="00E50B34" w:rsidRDefault="00707D60" w:rsidP="00707D60">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Середні значення індексу резистентності нормальної ниркової паренхіми та НКР до та після селективної емболізації ниркової артерії в залежності від об’єму інтраопераційної крововтрати</w:t>
      </w:r>
    </w:p>
    <w:tbl>
      <w:tblPr>
        <w:tblStyle w:val="TableGrid"/>
        <w:tblW w:w="0" w:type="auto"/>
        <w:tblLook w:val="04A0" w:firstRow="1" w:lastRow="0" w:firstColumn="1" w:lastColumn="0" w:noHBand="0" w:noVBand="1"/>
      </w:tblPr>
      <w:tblGrid>
        <w:gridCol w:w="3823"/>
        <w:gridCol w:w="567"/>
        <w:gridCol w:w="1984"/>
        <w:gridCol w:w="1907"/>
        <w:gridCol w:w="1063"/>
      </w:tblGrid>
      <w:tr w:rsidR="00707D60" w:rsidTr="001F0C51">
        <w:trPr>
          <w:trHeight w:val="759"/>
        </w:trPr>
        <w:tc>
          <w:tcPr>
            <w:tcW w:w="3823" w:type="dxa"/>
            <w:vAlign w:val="center"/>
          </w:tcPr>
          <w:p w:rsidR="00707D60" w:rsidRPr="00273C85" w:rsidRDefault="00707D60" w:rsidP="001F0C51">
            <w:pPr>
              <w:jc w:val="center"/>
              <w:rPr>
                <w:rFonts w:ascii="Times New Roman" w:hAnsi="Times New Roman" w:cs="Times New Roman"/>
                <w:b/>
                <w:sz w:val="28"/>
                <w:szCs w:val="28"/>
              </w:rPr>
            </w:pPr>
            <w:r w:rsidRPr="00273C85">
              <w:rPr>
                <w:rFonts w:ascii="Times New Roman" w:hAnsi="Times New Roman" w:cs="Times New Roman"/>
                <w:b/>
                <w:sz w:val="28"/>
                <w:szCs w:val="28"/>
              </w:rPr>
              <w:t>Група/підгрупа</w:t>
            </w:r>
          </w:p>
        </w:tc>
        <w:tc>
          <w:tcPr>
            <w:tcW w:w="567" w:type="dxa"/>
            <w:vAlign w:val="center"/>
          </w:tcPr>
          <w:p w:rsidR="00707D60" w:rsidRPr="000867A3" w:rsidRDefault="00707D60" w:rsidP="001F0C51">
            <w:pPr>
              <w:jc w:val="center"/>
              <w:rPr>
                <w:rFonts w:ascii="Times New Roman" w:hAnsi="Times New Roman" w:cs="Times New Roman"/>
                <w:b/>
                <w:sz w:val="28"/>
                <w:szCs w:val="28"/>
                <w:lang w:val="en-US"/>
              </w:rPr>
            </w:pPr>
            <w:r>
              <w:rPr>
                <w:rFonts w:ascii="Times New Roman" w:hAnsi="Times New Roman" w:cs="Times New Roman"/>
                <w:b/>
                <w:sz w:val="28"/>
                <w:szCs w:val="28"/>
                <w:lang w:val="en-US"/>
              </w:rPr>
              <w:t>N</w:t>
            </w:r>
          </w:p>
        </w:tc>
        <w:tc>
          <w:tcPr>
            <w:tcW w:w="3891" w:type="dxa"/>
            <w:gridSpan w:val="2"/>
            <w:vAlign w:val="center"/>
          </w:tcPr>
          <w:p w:rsidR="00707D60" w:rsidRPr="00273C85" w:rsidRDefault="00707D60" w:rsidP="001F0C51">
            <w:pPr>
              <w:jc w:val="center"/>
              <w:rPr>
                <w:rFonts w:ascii="Times New Roman" w:hAnsi="Times New Roman" w:cs="Times New Roman"/>
                <w:b/>
                <w:sz w:val="28"/>
                <w:szCs w:val="28"/>
              </w:rPr>
            </w:pPr>
            <w:r>
              <w:rPr>
                <w:rFonts w:ascii="Times New Roman" w:hAnsi="Times New Roman" w:cs="Times New Roman"/>
                <w:b/>
                <w:sz w:val="28"/>
                <w:szCs w:val="28"/>
              </w:rPr>
              <w:t>Середнє і</w:t>
            </w:r>
            <w:r w:rsidRPr="00273C85">
              <w:rPr>
                <w:rFonts w:ascii="Times New Roman" w:hAnsi="Times New Roman" w:cs="Times New Roman"/>
                <w:b/>
                <w:sz w:val="28"/>
                <w:szCs w:val="28"/>
              </w:rPr>
              <w:t>ндекс</w:t>
            </w:r>
            <w:r>
              <w:rPr>
                <w:rFonts w:ascii="Times New Roman" w:hAnsi="Times New Roman" w:cs="Times New Roman"/>
                <w:b/>
                <w:sz w:val="28"/>
                <w:szCs w:val="28"/>
              </w:rPr>
              <w:t>у</w:t>
            </w:r>
            <w:r w:rsidRPr="00273C85">
              <w:rPr>
                <w:rFonts w:ascii="Times New Roman" w:hAnsi="Times New Roman" w:cs="Times New Roman"/>
                <w:b/>
                <w:sz w:val="28"/>
                <w:szCs w:val="28"/>
              </w:rPr>
              <w:t xml:space="preserve"> резистентності±СВ</w:t>
            </w:r>
          </w:p>
        </w:tc>
        <w:tc>
          <w:tcPr>
            <w:tcW w:w="1063" w:type="dxa"/>
            <w:vAlign w:val="center"/>
          </w:tcPr>
          <w:p w:rsidR="00707D60" w:rsidRPr="008F243F" w:rsidRDefault="00707D60" w:rsidP="001F0C51">
            <w:pPr>
              <w:jc w:val="center"/>
              <w:rPr>
                <w:rFonts w:ascii="Times New Roman" w:hAnsi="Times New Roman" w:cs="Times New Roman"/>
                <w:b/>
                <w:i/>
                <w:sz w:val="28"/>
                <w:szCs w:val="28"/>
              </w:rPr>
            </w:pPr>
            <w:r w:rsidRPr="008F243F">
              <w:rPr>
                <w:rFonts w:ascii="Times New Roman" w:hAnsi="Times New Roman" w:cs="Times New Roman"/>
                <w:b/>
                <w:i/>
                <w:sz w:val="28"/>
                <w:szCs w:val="28"/>
              </w:rPr>
              <w:t>р</w:t>
            </w:r>
          </w:p>
        </w:tc>
      </w:tr>
      <w:tr w:rsidR="00707D60" w:rsidTr="001F0C51">
        <w:tc>
          <w:tcPr>
            <w:tcW w:w="3823" w:type="dxa"/>
          </w:tcPr>
          <w:p w:rsidR="00707D60" w:rsidRPr="00273C85" w:rsidRDefault="00707D60" w:rsidP="001F0C51">
            <w:pPr>
              <w:rPr>
                <w:rFonts w:ascii="Times New Roman" w:hAnsi="Times New Roman" w:cs="Times New Roman"/>
                <w:sz w:val="28"/>
                <w:szCs w:val="28"/>
              </w:rPr>
            </w:pPr>
            <w:r>
              <w:rPr>
                <w:rFonts w:ascii="Times New Roman" w:hAnsi="Times New Roman" w:cs="Times New Roman"/>
                <w:sz w:val="28"/>
                <w:szCs w:val="28"/>
              </w:rPr>
              <w:t>Контроль</w:t>
            </w:r>
          </w:p>
        </w:tc>
        <w:tc>
          <w:tcPr>
            <w:tcW w:w="567" w:type="dxa"/>
          </w:tcPr>
          <w:p w:rsidR="00707D60" w:rsidRPr="000867A3"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20</w:t>
            </w:r>
          </w:p>
        </w:tc>
        <w:tc>
          <w:tcPr>
            <w:tcW w:w="3891" w:type="dxa"/>
            <w:gridSpan w:val="2"/>
          </w:tcPr>
          <w:p w:rsidR="00707D60" w:rsidRPr="00273C85" w:rsidRDefault="00707D60" w:rsidP="001F0C51">
            <w:pPr>
              <w:jc w:val="center"/>
              <w:rPr>
                <w:rFonts w:ascii="Times New Roman" w:hAnsi="Times New Roman" w:cs="Times New Roman"/>
                <w:sz w:val="28"/>
                <w:szCs w:val="28"/>
              </w:rPr>
            </w:pPr>
            <w:r>
              <w:rPr>
                <w:rFonts w:ascii="Times New Roman" w:hAnsi="Times New Roman" w:cs="Times New Roman"/>
                <w:sz w:val="28"/>
                <w:szCs w:val="28"/>
              </w:rPr>
              <w:t>0,58±0,01</w:t>
            </w:r>
          </w:p>
        </w:tc>
        <w:tc>
          <w:tcPr>
            <w:tcW w:w="1063" w:type="dxa"/>
          </w:tcPr>
          <w:p w:rsidR="00707D60" w:rsidRPr="00273C85"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r>
      <w:tr w:rsidR="00707D60" w:rsidTr="001F0C51">
        <w:tc>
          <w:tcPr>
            <w:tcW w:w="3823" w:type="dxa"/>
            <w:vMerge w:val="restart"/>
            <w:vAlign w:val="bottom"/>
          </w:tcPr>
          <w:p w:rsidR="00707D60" w:rsidRDefault="00707D60" w:rsidP="001F0C51">
            <w:pPr>
              <w:rPr>
                <w:rFonts w:ascii="Times New Roman" w:hAnsi="Times New Roman" w:cs="Times New Roman"/>
                <w:sz w:val="28"/>
                <w:szCs w:val="28"/>
              </w:rPr>
            </w:pPr>
            <w:r>
              <w:rPr>
                <w:rFonts w:ascii="Times New Roman" w:hAnsi="Times New Roman" w:cs="Times New Roman"/>
                <w:sz w:val="28"/>
                <w:szCs w:val="28"/>
              </w:rPr>
              <w:t>НКР</w:t>
            </w:r>
          </w:p>
        </w:tc>
        <w:tc>
          <w:tcPr>
            <w:tcW w:w="567" w:type="dxa"/>
            <w:vMerge w:val="restart"/>
            <w:vAlign w:val="bottom"/>
          </w:tcPr>
          <w:p w:rsidR="00707D60"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33</w:t>
            </w:r>
          </w:p>
        </w:tc>
        <w:tc>
          <w:tcPr>
            <w:tcW w:w="1984" w:type="dxa"/>
          </w:tcPr>
          <w:p w:rsidR="00707D60" w:rsidRPr="00273C85" w:rsidRDefault="00707D60" w:rsidP="001F0C51">
            <w:pPr>
              <w:jc w:val="center"/>
              <w:rPr>
                <w:rFonts w:ascii="Times New Roman" w:hAnsi="Times New Roman" w:cs="Times New Roman"/>
                <w:b/>
                <w:sz w:val="28"/>
                <w:szCs w:val="28"/>
              </w:rPr>
            </w:pPr>
            <w:r w:rsidRPr="00273C85">
              <w:rPr>
                <w:rFonts w:ascii="Times New Roman" w:hAnsi="Times New Roman" w:cs="Times New Roman"/>
                <w:b/>
                <w:sz w:val="28"/>
                <w:szCs w:val="28"/>
              </w:rPr>
              <w:t>До СЕНА</w:t>
            </w:r>
          </w:p>
        </w:tc>
        <w:tc>
          <w:tcPr>
            <w:tcW w:w="1907" w:type="dxa"/>
          </w:tcPr>
          <w:p w:rsidR="00707D60" w:rsidRPr="00273C85" w:rsidRDefault="00707D60" w:rsidP="001F0C51">
            <w:pPr>
              <w:jc w:val="center"/>
              <w:rPr>
                <w:rFonts w:ascii="Times New Roman" w:hAnsi="Times New Roman" w:cs="Times New Roman"/>
                <w:b/>
                <w:sz w:val="28"/>
                <w:szCs w:val="28"/>
              </w:rPr>
            </w:pPr>
            <w:r w:rsidRPr="00273C85">
              <w:rPr>
                <w:rFonts w:ascii="Times New Roman" w:hAnsi="Times New Roman" w:cs="Times New Roman"/>
                <w:b/>
                <w:sz w:val="28"/>
                <w:szCs w:val="28"/>
              </w:rPr>
              <w:t>Після СЕНА</w:t>
            </w:r>
          </w:p>
        </w:tc>
        <w:tc>
          <w:tcPr>
            <w:tcW w:w="1063" w:type="dxa"/>
            <w:vMerge w:val="restart"/>
            <w:vAlign w:val="bottom"/>
          </w:tcPr>
          <w:p w:rsidR="00707D60" w:rsidRDefault="00707D60" w:rsidP="001F0C51">
            <w:pPr>
              <w:jc w:val="center"/>
              <w:rPr>
                <w:rFonts w:ascii="Times New Roman" w:hAnsi="Times New Roman" w:cs="Times New Roman"/>
                <w:sz w:val="28"/>
                <w:szCs w:val="28"/>
              </w:rPr>
            </w:pPr>
            <w:r>
              <w:rPr>
                <w:rFonts w:ascii="Times New Roman" w:hAnsi="Times New Roman" w:cs="Times New Roman"/>
                <w:sz w:val="28"/>
                <w:szCs w:val="28"/>
                <w:lang w:val="en-US"/>
              </w:rPr>
              <w:t>&lt;</w:t>
            </w:r>
            <w:r>
              <w:rPr>
                <w:rFonts w:ascii="Times New Roman" w:hAnsi="Times New Roman" w:cs="Times New Roman"/>
                <w:sz w:val="28"/>
                <w:szCs w:val="28"/>
              </w:rPr>
              <w:t>0,001</w:t>
            </w:r>
          </w:p>
        </w:tc>
      </w:tr>
      <w:tr w:rsidR="00707D60" w:rsidTr="001F0C51">
        <w:tc>
          <w:tcPr>
            <w:tcW w:w="3823" w:type="dxa"/>
            <w:vMerge/>
          </w:tcPr>
          <w:p w:rsidR="00707D60" w:rsidRPr="00273C85" w:rsidRDefault="00707D60" w:rsidP="001F0C51">
            <w:pPr>
              <w:rPr>
                <w:rFonts w:ascii="Times New Roman" w:hAnsi="Times New Roman" w:cs="Times New Roman"/>
                <w:sz w:val="28"/>
                <w:szCs w:val="28"/>
              </w:rPr>
            </w:pPr>
          </w:p>
        </w:tc>
        <w:tc>
          <w:tcPr>
            <w:tcW w:w="567" w:type="dxa"/>
            <w:vMerge/>
          </w:tcPr>
          <w:p w:rsidR="00707D60" w:rsidRPr="000867A3" w:rsidRDefault="00707D60" w:rsidP="001F0C51">
            <w:pPr>
              <w:jc w:val="center"/>
              <w:rPr>
                <w:rFonts w:ascii="Times New Roman" w:hAnsi="Times New Roman" w:cs="Times New Roman"/>
                <w:sz w:val="28"/>
                <w:szCs w:val="28"/>
                <w:lang w:val="en-US"/>
              </w:rPr>
            </w:pPr>
          </w:p>
        </w:tc>
        <w:tc>
          <w:tcPr>
            <w:tcW w:w="1984" w:type="dxa"/>
          </w:tcPr>
          <w:p w:rsidR="00707D60" w:rsidRPr="008F243F"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rPr>
              <w:t>0,61±0,02</w:t>
            </w:r>
          </w:p>
        </w:tc>
        <w:tc>
          <w:tcPr>
            <w:tcW w:w="1907" w:type="dxa"/>
          </w:tcPr>
          <w:p w:rsidR="00707D60" w:rsidRPr="008F243F" w:rsidRDefault="00707D60" w:rsidP="001F0C51">
            <w:pPr>
              <w:jc w:val="center"/>
              <w:rPr>
                <w:rFonts w:ascii="Times New Roman" w:hAnsi="Times New Roman" w:cs="Times New Roman"/>
                <w:sz w:val="28"/>
                <w:szCs w:val="28"/>
              </w:rPr>
            </w:pPr>
            <w:r>
              <w:rPr>
                <w:rFonts w:ascii="Times New Roman" w:hAnsi="Times New Roman" w:cs="Times New Roman"/>
                <w:sz w:val="28"/>
                <w:szCs w:val="28"/>
              </w:rPr>
              <w:t>0,74±0,10</w:t>
            </w:r>
          </w:p>
        </w:tc>
        <w:tc>
          <w:tcPr>
            <w:tcW w:w="1063" w:type="dxa"/>
            <w:vMerge/>
          </w:tcPr>
          <w:p w:rsidR="00707D60" w:rsidRPr="000867A3" w:rsidRDefault="00707D60" w:rsidP="001F0C51">
            <w:pPr>
              <w:jc w:val="center"/>
              <w:rPr>
                <w:rFonts w:ascii="Times New Roman" w:hAnsi="Times New Roman" w:cs="Times New Roman"/>
                <w:sz w:val="28"/>
                <w:szCs w:val="28"/>
              </w:rPr>
            </w:pPr>
          </w:p>
        </w:tc>
      </w:tr>
      <w:tr w:rsidR="00707D60" w:rsidTr="001F0C51">
        <w:tc>
          <w:tcPr>
            <w:tcW w:w="3823" w:type="dxa"/>
          </w:tcPr>
          <w:p w:rsidR="00707D60" w:rsidRPr="00B6769F" w:rsidRDefault="00707D60" w:rsidP="001F0C51">
            <w:pPr>
              <w:rPr>
                <w:rFonts w:ascii="Times New Roman" w:hAnsi="Times New Roman" w:cs="Times New Roman"/>
                <w:sz w:val="28"/>
                <w:szCs w:val="28"/>
              </w:rPr>
            </w:pPr>
            <w:r>
              <w:rPr>
                <w:rFonts w:ascii="Times New Roman" w:hAnsi="Times New Roman" w:cs="Times New Roman"/>
                <w:sz w:val="28"/>
                <w:szCs w:val="28"/>
              </w:rPr>
              <w:t xml:space="preserve">І, крововтрата </w:t>
            </w:r>
            <w:r>
              <w:rPr>
                <w:rFonts w:ascii="Times New Roman" w:hAnsi="Times New Roman" w:cs="Times New Roman"/>
                <w:sz w:val="28"/>
                <w:szCs w:val="28"/>
                <w:lang w:val="en-US"/>
              </w:rPr>
              <w:t>&lt;</w:t>
            </w:r>
            <w:r>
              <w:rPr>
                <w:rFonts w:ascii="Times New Roman" w:hAnsi="Times New Roman" w:cs="Times New Roman"/>
                <w:sz w:val="28"/>
                <w:szCs w:val="28"/>
              </w:rPr>
              <w:t>250</w:t>
            </w:r>
            <w:r w:rsidRPr="0093264F">
              <w:rPr>
                <w:rFonts w:ascii="Times New Roman" w:hAnsi="Times New Roman" w:cs="Times New Roman"/>
                <w:sz w:val="28"/>
                <w:szCs w:val="28"/>
              </w:rPr>
              <w:t xml:space="preserve"> мл</w:t>
            </w:r>
          </w:p>
        </w:tc>
        <w:tc>
          <w:tcPr>
            <w:tcW w:w="567" w:type="dxa"/>
          </w:tcPr>
          <w:p w:rsidR="00707D60" w:rsidRPr="000867A3"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c>
          <w:tcPr>
            <w:tcW w:w="1984" w:type="dxa"/>
          </w:tcPr>
          <w:p w:rsidR="00707D60" w:rsidRPr="009601DE" w:rsidRDefault="00707D60" w:rsidP="001F0C51">
            <w:pPr>
              <w:jc w:val="center"/>
              <w:rPr>
                <w:rFonts w:ascii="Times New Roman" w:hAnsi="Times New Roman" w:cs="Times New Roman"/>
                <w:sz w:val="28"/>
                <w:szCs w:val="28"/>
              </w:rPr>
            </w:pPr>
            <w:r>
              <w:rPr>
                <w:rFonts w:ascii="Times New Roman" w:hAnsi="Times New Roman" w:cs="Times New Roman"/>
                <w:sz w:val="28"/>
                <w:szCs w:val="28"/>
              </w:rPr>
              <w:t>0,</w:t>
            </w:r>
            <w:r>
              <w:rPr>
                <w:rFonts w:ascii="Times New Roman" w:hAnsi="Times New Roman" w:cs="Times New Roman"/>
                <w:sz w:val="28"/>
                <w:szCs w:val="28"/>
                <w:lang w:val="en-US"/>
              </w:rPr>
              <w:t>62</w:t>
            </w:r>
            <w:r>
              <w:rPr>
                <w:rFonts w:ascii="Times New Roman" w:hAnsi="Times New Roman" w:cs="Times New Roman"/>
                <w:sz w:val="28"/>
                <w:szCs w:val="28"/>
              </w:rPr>
              <w:t>±</w:t>
            </w:r>
            <w:r>
              <w:rPr>
                <w:rFonts w:ascii="Times New Roman" w:hAnsi="Times New Roman" w:cs="Times New Roman"/>
                <w:sz w:val="28"/>
                <w:szCs w:val="28"/>
                <w:lang w:val="en-US"/>
              </w:rPr>
              <w:t>0,02</w:t>
            </w:r>
          </w:p>
        </w:tc>
        <w:tc>
          <w:tcPr>
            <w:tcW w:w="1907" w:type="dxa"/>
          </w:tcPr>
          <w:p w:rsidR="00707D60" w:rsidRPr="009601DE" w:rsidRDefault="00707D60" w:rsidP="001F0C51">
            <w:pPr>
              <w:jc w:val="center"/>
              <w:rPr>
                <w:rFonts w:ascii="Times New Roman" w:hAnsi="Times New Roman" w:cs="Times New Roman"/>
                <w:sz w:val="28"/>
                <w:szCs w:val="28"/>
              </w:rPr>
            </w:pPr>
            <w:r>
              <w:rPr>
                <w:rFonts w:ascii="Times New Roman" w:hAnsi="Times New Roman" w:cs="Times New Roman"/>
                <w:sz w:val="28"/>
                <w:szCs w:val="28"/>
              </w:rPr>
              <w:t>0,86±0,04</w:t>
            </w:r>
          </w:p>
        </w:tc>
        <w:tc>
          <w:tcPr>
            <w:tcW w:w="1063"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&lt;</w:t>
            </w:r>
            <w:r>
              <w:rPr>
                <w:rFonts w:ascii="Times New Roman" w:hAnsi="Times New Roman" w:cs="Times New Roman"/>
                <w:sz w:val="28"/>
                <w:szCs w:val="28"/>
              </w:rPr>
              <w:t>0,001</w:t>
            </w:r>
          </w:p>
        </w:tc>
      </w:tr>
      <w:tr w:rsidR="00707D60" w:rsidTr="001F0C51">
        <w:tc>
          <w:tcPr>
            <w:tcW w:w="3823" w:type="dxa"/>
          </w:tcPr>
          <w:p w:rsidR="00707D60" w:rsidRPr="00B6769F" w:rsidRDefault="00707D60" w:rsidP="001F0C51">
            <w:pPr>
              <w:rPr>
                <w:rFonts w:ascii="Times New Roman" w:hAnsi="Times New Roman" w:cs="Times New Roman"/>
                <w:sz w:val="28"/>
                <w:szCs w:val="28"/>
              </w:rPr>
            </w:pPr>
            <w:r>
              <w:rPr>
                <w:rFonts w:ascii="Times New Roman" w:hAnsi="Times New Roman" w:cs="Times New Roman"/>
                <w:sz w:val="28"/>
                <w:szCs w:val="28"/>
              </w:rPr>
              <w:t>ІІ, крововтрата 250-</w:t>
            </w:r>
            <w:r w:rsidRPr="0093264F">
              <w:rPr>
                <w:rFonts w:ascii="Times New Roman" w:hAnsi="Times New Roman" w:cs="Times New Roman"/>
                <w:sz w:val="28"/>
                <w:szCs w:val="28"/>
              </w:rPr>
              <w:t>500 мл</w:t>
            </w:r>
          </w:p>
        </w:tc>
        <w:tc>
          <w:tcPr>
            <w:tcW w:w="567"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14</w:t>
            </w:r>
          </w:p>
        </w:tc>
        <w:tc>
          <w:tcPr>
            <w:tcW w:w="1984" w:type="dxa"/>
          </w:tcPr>
          <w:p w:rsidR="00707D60" w:rsidRPr="009601DE" w:rsidRDefault="00707D60" w:rsidP="001F0C51">
            <w:pPr>
              <w:jc w:val="center"/>
              <w:rPr>
                <w:rFonts w:ascii="Times New Roman" w:hAnsi="Times New Roman" w:cs="Times New Roman"/>
                <w:sz w:val="28"/>
                <w:szCs w:val="28"/>
              </w:rPr>
            </w:pPr>
            <w:r>
              <w:rPr>
                <w:rFonts w:ascii="Times New Roman" w:hAnsi="Times New Roman" w:cs="Times New Roman"/>
                <w:sz w:val="28"/>
                <w:szCs w:val="28"/>
              </w:rPr>
              <w:t>0,62±0,02</w:t>
            </w:r>
          </w:p>
        </w:tc>
        <w:tc>
          <w:tcPr>
            <w:tcW w:w="1907" w:type="dxa"/>
          </w:tcPr>
          <w:p w:rsidR="00707D60" w:rsidRPr="009601DE" w:rsidRDefault="00707D60" w:rsidP="001F0C51">
            <w:pPr>
              <w:jc w:val="center"/>
              <w:rPr>
                <w:rFonts w:ascii="Times New Roman" w:hAnsi="Times New Roman" w:cs="Times New Roman"/>
                <w:sz w:val="28"/>
                <w:szCs w:val="28"/>
              </w:rPr>
            </w:pPr>
            <w:r>
              <w:rPr>
                <w:rFonts w:ascii="Times New Roman" w:hAnsi="Times New Roman" w:cs="Times New Roman"/>
                <w:sz w:val="28"/>
                <w:szCs w:val="28"/>
              </w:rPr>
              <w:t>0,75±0,05</w:t>
            </w:r>
          </w:p>
        </w:tc>
        <w:tc>
          <w:tcPr>
            <w:tcW w:w="1063"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&lt;</w:t>
            </w:r>
            <w:r>
              <w:rPr>
                <w:rFonts w:ascii="Times New Roman" w:hAnsi="Times New Roman" w:cs="Times New Roman"/>
                <w:sz w:val="28"/>
                <w:szCs w:val="28"/>
              </w:rPr>
              <w:t>0,001</w:t>
            </w:r>
          </w:p>
        </w:tc>
      </w:tr>
      <w:tr w:rsidR="00707D60" w:rsidTr="001F0C51">
        <w:tc>
          <w:tcPr>
            <w:tcW w:w="3823" w:type="dxa"/>
          </w:tcPr>
          <w:p w:rsidR="00707D60" w:rsidRPr="00273C85" w:rsidRDefault="00707D60" w:rsidP="001F0C51">
            <w:pPr>
              <w:rPr>
                <w:rFonts w:ascii="Times New Roman" w:hAnsi="Times New Roman" w:cs="Times New Roman"/>
                <w:sz w:val="28"/>
                <w:szCs w:val="28"/>
              </w:rPr>
            </w:pPr>
            <w:r>
              <w:rPr>
                <w:rFonts w:ascii="Times New Roman" w:hAnsi="Times New Roman" w:cs="Times New Roman"/>
                <w:sz w:val="28"/>
                <w:szCs w:val="28"/>
              </w:rPr>
              <w:t xml:space="preserve">ІІІ, крововтрата </w:t>
            </w:r>
            <w:r>
              <w:rPr>
                <w:rFonts w:ascii="Times New Roman" w:hAnsi="Times New Roman" w:cs="Times New Roman"/>
                <w:sz w:val="28"/>
                <w:szCs w:val="28"/>
                <w:lang w:val="en-US"/>
              </w:rPr>
              <w:t>&gt;</w:t>
            </w:r>
            <w:r>
              <w:rPr>
                <w:rFonts w:ascii="Times New Roman" w:hAnsi="Times New Roman" w:cs="Times New Roman"/>
                <w:sz w:val="28"/>
                <w:szCs w:val="28"/>
              </w:rPr>
              <w:t>500 мл</w:t>
            </w:r>
          </w:p>
        </w:tc>
        <w:tc>
          <w:tcPr>
            <w:tcW w:w="567"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10</w:t>
            </w:r>
          </w:p>
        </w:tc>
        <w:tc>
          <w:tcPr>
            <w:tcW w:w="1984" w:type="dxa"/>
          </w:tcPr>
          <w:p w:rsidR="00707D60" w:rsidRPr="009601DE" w:rsidRDefault="00707D60" w:rsidP="001F0C51">
            <w:pPr>
              <w:jc w:val="center"/>
              <w:rPr>
                <w:rFonts w:ascii="Times New Roman" w:hAnsi="Times New Roman" w:cs="Times New Roman"/>
                <w:sz w:val="28"/>
                <w:szCs w:val="28"/>
              </w:rPr>
            </w:pPr>
            <w:r>
              <w:rPr>
                <w:rFonts w:ascii="Times New Roman" w:hAnsi="Times New Roman" w:cs="Times New Roman"/>
                <w:sz w:val="28"/>
                <w:szCs w:val="28"/>
              </w:rPr>
              <w:t>0,62±0,01</w:t>
            </w:r>
          </w:p>
        </w:tc>
        <w:tc>
          <w:tcPr>
            <w:tcW w:w="1907" w:type="dxa"/>
          </w:tcPr>
          <w:p w:rsidR="00707D60" w:rsidRPr="009601DE" w:rsidRDefault="00707D60" w:rsidP="001F0C51">
            <w:pPr>
              <w:jc w:val="center"/>
              <w:rPr>
                <w:rFonts w:ascii="Times New Roman" w:hAnsi="Times New Roman" w:cs="Times New Roman"/>
                <w:sz w:val="28"/>
                <w:szCs w:val="28"/>
              </w:rPr>
            </w:pPr>
            <w:r>
              <w:rPr>
                <w:rFonts w:ascii="Times New Roman" w:hAnsi="Times New Roman" w:cs="Times New Roman"/>
                <w:sz w:val="28"/>
                <w:szCs w:val="28"/>
              </w:rPr>
              <w:t>0,64±0,04</w:t>
            </w:r>
          </w:p>
        </w:tc>
        <w:tc>
          <w:tcPr>
            <w:tcW w:w="1063" w:type="dxa"/>
          </w:tcPr>
          <w:p w:rsidR="00707D60" w:rsidRPr="00E50B34" w:rsidRDefault="00707D60" w:rsidP="001F0C51">
            <w:pPr>
              <w:jc w:val="center"/>
              <w:rPr>
                <w:rFonts w:ascii="Times New Roman" w:hAnsi="Times New Roman" w:cs="Times New Roman"/>
                <w:sz w:val="28"/>
                <w:szCs w:val="28"/>
              </w:rPr>
            </w:pPr>
            <w:r>
              <w:rPr>
                <w:rFonts w:ascii="Times New Roman" w:hAnsi="Times New Roman" w:cs="Times New Roman"/>
                <w:sz w:val="28"/>
                <w:szCs w:val="28"/>
              </w:rPr>
              <w:t>0,841</w:t>
            </w:r>
          </w:p>
        </w:tc>
      </w:tr>
      <w:tr w:rsidR="00707D60" w:rsidTr="001F0C51">
        <w:tc>
          <w:tcPr>
            <w:tcW w:w="3823" w:type="dxa"/>
          </w:tcPr>
          <w:p w:rsidR="00707D60" w:rsidRPr="009601DE" w:rsidRDefault="00707D60" w:rsidP="001F0C51">
            <w:pPr>
              <w:jc w:val="center"/>
              <w:rPr>
                <w:rFonts w:ascii="Times New Roman" w:hAnsi="Times New Roman" w:cs="Times New Roman"/>
                <w:sz w:val="28"/>
                <w:szCs w:val="28"/>
                <w:vertAlign w:val="subscript"/>
              </w:rPr>
            </w:pPr>
            <w:r w:rsidRPr="008F243F">
              <w:rPr>
                <w:rFonts w:ascii="Times New Roman" w:hAnsi="Times New Roman" w:cs="Times New Roman"/>
                <w:b/>
                <w:i/>
                <w:sz w:val="28"/>
                <w:szCs w:val="28"/>
              </w:rPr>
              <w:t>р</w:t>
            </w:r>
            <w:r>
              <w:rPr>
                <w:rFonts w:ascii="Times New Roman" w:hAnsi="Times New Roman" w:cs="Times New Roman"/>
                <w:b/>
                <w:i/>
                <w:sz w:val="28"/>
                <w:szCs w:val="28"/>
                <w:vertAlign w:val="subscript"/>
              </w:rPr>
              <w:t>1,2</w:t>
            </w:r>
          </w:p>
        </w:tc>
        <w:tc>
          <w:tcPr>
            <w:tcW w:w="567" w:type="dxa"/>
          </w:tcPr>
          <w:p w:rsidR="00707D60" w:rsidRPr="00DF0E0D"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&lt;</w:t>
            </w:r>
            <w:r>
              <w:rPr>
                <w:rFonts w:ascii="Times New Roman" w:hAnsi="Times New Roman" w:cs="Times New Roman"/>
                <w:sz w:val="28"/>
                <w:szCs w:val="28"/>
              </w:rPr>
              <w:t>0,001</w:t>
            </w:r>
          </w:p>
        </w:tc>
        <w:tc>
          <w:tcPr>
            <w:tcW w:w="1907"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&lt;</w:t>
            </w:r>
            <w:r>
              <w:rPr>
                <w:rFonts w:ascii="Times New Roman" w:hAnsi="Times New Roman" w:cs="Times New Roman"/>
                <w:sz w:val="28"/>
                <w:szCs w:val="28"/>
              </w:rPr>
              <w:t>0,001</w:t>
            </w:r>
          </w:p>
        </w:tc>
        <w:tc>
          <w:tcPr>
            <w:tcW w:w="1063" w:type="dxa"/>
          </w:tcPr>
          <w:p w:rsidR="00707D60" w:rsidRPr="00DF0E0D"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r>
      <w:tr w:rsidR="00707D60" w:rsidTr="001F0C51">
        <w:tc>
          <w:tcPr>
            <w:tcW w:w="3823" w:type="dxa"/>
          </w:tcPr>
          <w:p w:rsidR="00707D60" w:rsidRDefault="00707D60" w:rsidP="001F0C51">
            <w:pPr>
              <w:jc w:val="center"/>
              <w:rPr>
                <w:rFonts w:ascii="Times New Roman" w:hAnsi="Times New Roman" w:cs="Times New Roman"/>
                <w:sz w:val="28"/>
                <w:szCs w:val="28"/>
              </w:rPr>
            </w:pPr>
            <w:r w:rsidRPr="008F243F">
              <w:rPr>
                <w:rFonts w:ascii="Times New Roman" w:hAnsi="Times New Roman" w:cs="Times New Roman"/>
                <w:b/>
                <w:i/>
                <w:sz w:val="28"/>
                <w:szCs w:val="28"/>
              </w:rPr>
              <w:t>р</w:t>
            </w:r>
            <w:r>
              <w:rPr>
                <w:rFonts w:ascii="Times New Roman" w:hAnsi="Times New Roman" w:cs="Times New Roman"/>
                <w:b/>
                <w:i/>
                <w:sz w:val="28"/>
                <w:szCs w:val="28"/>
                <w:vertAlign w:val="subscript"/>
              </w:rPr>
              <w:t>3,4</w:t>
            </w:r>
          </w:p>
        </w:tc>
        <w:tc>
          <w:tcPr>
            <w:tcW w:w="567" w:type="dxa"/>
          </w:tcPr>
          <w:p w:rsidR="00707D60" w:rsidRPr="00DF0E0D"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707D60" w:rsidRPr="00E50B34" w:rsidRDefault="00707D60" w:rsidP="001F0C51">
            <w:pPr>
              <w:jc w:val="center"/>
              <w:rPr>
                <w:rFonts w:ascii="Times New Roman" w:hAnsi="Times New Roman" w:cs="Times New Roman"/>
                <w:sz w:val="28"/>
                <w:szCs w:val="28"/>
              </w:rPr>
            </w:pPr>
            <w:r>
              <w:rPr>
                <w:rFonts w:ascii="Times New Roman" w:hAnsi="Times New Roman" w:cs="Times New Roman"/>
                <w:sz w:val="28"/>
                <w:szCs w:val="28"/>
              </w:rPr>
              <w:t>0,988</w:t>
            </w:r>
          </w:p>
        </w:tc>
        <w:tc>
          <w:tcPr>
            <w:tcW w:w="1907"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rPr>
              <w:t>0,016</w:t>
            </w:r>
          </w:p>
        </w:tc>
        <w:tc>
          <w:tcPr>
            <w:tcW w:w="1063" w:type="dxa"/>
          </w:tcPr>
          <w:p w:rsidR="00707D60" w:rsidRPr="00DF0E0D"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r>
      <w:tr w:rsidR="00707D60" w:rsidTr="001F0C51">
        <w:tc>
          <w:tcPr>
            <w:tcW w:w="3823" w:type="dxa"/>
          </w:tcPr>
          <w:p w:rsidR="00707D60" w:rsidRDefault="00707D60" w:rsidP="001F0C51">
            <w:pPr>
              <w:jc w:val="center"/>
              <w:rPr>
                <w:rFonts w:ascii="Times New Roman" w:hAnsi="Times New Roman" w:cs="Times New Roman"/>
                <w:sz w:val="28"/>
                <w:szCs w:val="28"/>
              </w:rPr>
            </w:pPr>
            <w:r w:rsidRPr="008F243F">
              <w:rPr>
                <w:rFonts w:ascii="Times New Roman" w:hAnsi="Times New Roman" w:cs="Times New Roman"/>
                <w:b/>
                <w:i/>
                <w:sz w:val="28"/>
                <w:szCs w:val="28"/>
              </w:rPr>
              <w:t>р</w:t>
            </w:r>
            <w:r>
              <w:rPr>
                <w:rFonts w:ascii="Times New Roman" w:hAnsi="Times New Roman" w:cs="Times New Roman"/>
                <w:b/>
                <w:i/>
                <w:sz w:val="28"/>
                <w:szCs w:val="28"/>
                <w:vertAlign w:val="subscript"/>
              </w:rPr>
              <w:t>3,5</w:t>
            </w:r>
          </w:p>
        </w:tc>
        <w:tc>
          <w:tcPr>
            <w:tcW w:w="567" w:type="dxa"/>
          </w:tcPr>
          <w:p w:rsidR="00707D60" w:rsidRPr="00DF0E0D"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707D60" w:rsidRPr="00E50B34" w:rsidRDefault="00707D60" w:rsidP="001F0C51">
            <w:pPr>
              <w:jc w:val="center"/>
              <w:rPr>
                <w:rFonts w:ascii="Times New Roman" w:hAnsi="Times New Roman" w:cs="Times New Roman"/>
                <w:sz w:val="28"/>
                <w:szCs w:val="28"/>
              </w:rPr>
            </w:pPr>
            <w:r>
              <w:rPr>
                <w:rFonts w:ascii="Times New Roman" w:hAnsi="Times New Roman" w:cs="Times New Roman"/>
                <w:sz w:val="28"/>
                <w:szCs w:val="28"/>
              </w:rPr>
              <w:t>0,939</w:t>
            </w:r>
          </w:p>
        </w:tc>
        <w:tc>
          <w:tcPr>
            <w:tcW w:w="1907"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&lt;</w:t>
            </w:r>
            <w:r>
              <w:rPr>
                <w:rFonts w:ascii="Times New Roman" w:hAnsi="Times New Roman" w:cs="Times New Roman"/>
                <w:sz w:val="28"/>
                <w:szCs w:val="28"/>
              </w:rPr>
              <w:t>0,001</w:t>
            </w:r>
          </w:p>
        </w:tc>
        <w:tc>
          <w:tcPr>
            <w:tcW w:w="1063" w:type="dxa"/>
          </w:tcPr>
          <w:p w:rsidR="00707D60" w:rsidRPr="00DF0E0D"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r>
      <w:tr w:rsidR="00707D60" w:rsidTr="001F0C51">
        <w:tc>
          <w:tcPr>
            <w:tcW w:w="3823" w:type="dxa"/>
          </w:tcPr>
          <w:p w:rsidR="00707D60" w:rsidRPr="008F243F" w:rsidRDefault="00707D60" w:rsidP="001F0C51">
            <w:pPr>
              <w:jc w:val="center"/>
              <w:rPr>
                <w:rFonts w:ascii="Times New Roman" w:hAnsi="Times New Roman" w:cs="Times New Roman"/>
                <w:b/>
                <w:i/>
                <w:sz w:val="28"/>
                <w:szCs w:val="28"/>
              </w:rPr>
            </w:pPr>
            <w:r w:rsidRPr="008F243F">
              <w:rPr>
                <w:rFonts w:ascii="Times New Roman" w:hAnsi="Times New Roman" w:cs="Times New Roman"/>
                <w:b/>
                <w:i/>
                <w:sz w:val="28"/>
                <w:szCs w:val="28"/>
              </w:rPr>
              <w:t>р</w:t>
            </w:r>
            <w:r>
              <w:rPr>
                <w:rFonts w:ascii="Times New Roman" w:hAnsi="Times New Roman" w:cs="Times New Roman"/>
                <w:b/>
                <w:i/>
                <w:sz w:val="28"/>
                <w:szCs w:val="28"/>
                <w:vertAlign w:val="subscript"/>
              </w:rPr>
              <w:t>4,5</w:t>
            </w:r>
          </w:p>
        </w:tc>
        <w:tc>
          <w:tcPr>
            <w:tcW w:w="567" w:type="dxa"/>
          </w:tcPr>
          <w:p w:rsidR="00707D60" w:rsidRPr="00DF0E0D"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707D60" w:rsidRPr="00E50B34" w:rsidRDefault="00707D60" w:rsidP="001F0C51">
            <w:pPr>
              <w:jc w:val="center"/>
              <w:rPr>
                <w:rFonts w:ascii="Times New Roman" w:hAnsi="Times New Roman" w:cs="Times New Roman"/>
                <w:sz w:val="28"/>
                <w:szCs w:val="28"/>
              </w:rPr>
            </w:pPr>
            <w:r>
              <w:rPr>
                <w:rFonts w:ascii="Times New Roman" w:hAnsi="Times New Roman" w:cs="Times New Roman"/>
                <w:sz w:val="28"/>
                <w:szCs w:val="28"/>
              </w:rPr>
              <w:t>0,976</w:t>
            </w:r>
          </w:p>
        </w:tc>
        <w:tc>
          <w:tcPr>
            <w:tcW w:w="1907" w:type="dxa"/>
          </w:tcPr>
          <w:p w:rsidR="00707D60" w:rsidRPr="00273C85" w:rsidRDefault="00707D60" w:rsidP="001F0C51">
            <w:pPr>
              <w:jc w:val="center"/>
              <w:rPr>
                <w:rFonts w:ascii="Times New Roman" w:hAnsi="Times New Roman" w:cs="Times New Roman"/>
                <w:sz w:val="28"/>
                <w:szCs w:val="28"/>
                <w:lang w:val="en-US"/>
              </w:rPr>
            </w:pPr>
            <w:r>
              <w:rPr>
                <w:rFonts w:ascii="Times New Roman" w:hAnsi="Times New Roman" w:cs="Times New Roman"/>
                <w:sz w:val="28"/>
                <w:szCs w:val="28"/>
              </w:rPr>
              <w:t>0,014</w:t>
            </w:r>
          </w:p>
        </w:tc>
        <w:tc>
          <w:tcPr>
            <w:tcW w:w="1063" w:type="dxa"/>
          </w:tcPr>
          <w:p w:rsidR="00707D60" w:rsidRPr="00DF0E0D" w:rsidRDefault="00707D60" w:rsidP="001F0C51">
            <w:pPr>
              <w:jc w:val="center"/>
              <w:rPr>
                <w:rFonts w:ascii="Times New Roman" w:hAnsi="Times New Roman" w:cs="Times New Roman"/>
                <w:sz w:val="28"/>
                <w:szCs w:val="28"/>
              </w:rPr>
            </w:pPr>
            <w:r>
              <w:rPr>
                <w:rFonts w:ascii="Times New Roman" w:hAnsi="Times New Roman" w:cs="Times New Roman"/>
                <w:sz w:val="28"/>
                <w:szCs w:val="28"/>
              </w:rPr>
              <w:t>-</w:t>
            </w:r>
          </w:p>
        </w:tc>
      </w:tr>
    </w:tbl>
    <w:p w:rsidR="00707D60" w:rsidRPr="00273C85" w:rsidRDefault="00707D60" w:rsidP="00707D60">
      <w:pPr>
        <w:spacing w:line="360" w:lineRule="auto"/>
        <w:jc w:val="both"/>
        <w:rPr>
          <w:rFonts w:ascii="Times New Roman" w:hAnsi="Times New Roman" w:cs="Times New Roman"/>
          <w:sz w:val="28"/>
          <w:szCs w:val="28"/>
        </w:rPr>
      </w:pPr>
      <w:r>
        <w:rPr>
          <w:rFonts w:ascii="Times New Roman" w:hAnsi="Times New Roman" w:cs="Times New Roman"/>
          <w:sz w:val="28"/>
          <w:szCs w:val="28"/>
        </w:rPr>
        <w:t>Умовні позначення: СЕНА – селективна емболізація ниркової артерії, СВ – стандартне відхилення</w:t>
      </w:r>
    </w:p>
    <w:p w:rsidR="00707D60" w:rsidRPr="005E4A2D" w:rsidRDefault="00707D60" w:rsidP="00707D6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Внаслідок проведеного кореляційного аналізу розмірів пухлини та об’єму інтраопераційної крововтрати, коефіцієнт кореляції Пірсона складав 0,647 (</w:t>
      </w:r>
      <w:r>
        <w:rPr>
          <w:rFonts w:ascii="Times New Roman" w:hAnsi="Times New Roman" w:cs="Times New Roman"/>
          <w:sz w:val="28"/>
          <w:szCs w:val="28"/>
          <w:lang w:val="en-US"/>
        </w:rPr>
        <w:t>p</w:t>
      </w:r>
      <w:r w:rsidRPr="009E6C7E">
        <w:rPr>
          <w:rFonts w:ascii="Times New Roman" w:hAnsi="Times New Roman" w:cs="Times New Roman"/>
          <w:sz w:val="28"/>
          <w:szCs w:val="28"/>
        </w:rPr>
        <w:t>&lt;</w:t>
      </w:r>
      <w:r>
        <w:rPr>
          <w:rFonts w:ascii="Times New Roman" w:hAnsi="Times New Roman" w:cs="Times New Roman"/>
          <w:sz w:val="28"/>
          <w:szCs w:val="28"/>
        </w:rPr>
        <w:t>0,012), що свідчило про наявність прямого, помірно вираженого взаємозв’язку, що є логічним. При кореляційному аналізі індексу резистентності пухлини після проведеної емболізації та об’єму ОІК,  коефіцієнт кореляції становив -0,811 (р</w:t>
      </w:r>
      <w:r w:rsidRPr="009E6C7E">
        <w:rPr>
          <w:rFonts w:ascii="Times New Roman" w:hAnsi="Times New Roman" w:cs="Times New Roman"/>
          <w:sz w:val="28"/>
          <w:szCs w:val="28"/>
        </w:rPr>
        <w:t>&lt;</w:t>
      </w:r>
      <w:r>
        <w:rPr>
          <w:rFonts w:ascii="Times New Roman" w:hAnsi="Times New Roman" w:cs="Times New Roman"/>
          <w:sz w:val="28"/>
          <w:szCs w:val="28"/>
        </w:rPr>
        <w:t>0,001), що було відображенням сильного зворотного зв’язку (рисунок 5.2).</w:t>
      </w:r>
    </w:p>
    <w:p w:rsidR="00707D60" w:rsidRDefault="00707D60" w:rsidP="00707D60">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74FD75FA" wp14:editId="3AA3EB6F">
            <wp:extent cx="3397345" cy="2714625"/>
            <wp:effectExtent l="0" t="0" r="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416640" cy="2730042"/>
                    </a:xfrm>
                    <a:prstGeom prst="rect">
                      <a:avLst/>
                    </a:prstGeom>
                    <a:noFill/>
                    <a:ln>
                      <a:noFill/>
                    </a:ln>
                  </pic:spPr>
                </pic:pic>
              </a:graphicData>
            </a:graphic>
          </wp:inline>
        </w:drawing>
      </w:r>
    </w:p>
    <w:p w:rsidR="00707D60" w:rsidRDefault="00707D60" w:rsidP="00707D60">
      <w:pPr>
        <w:autoSpaceDE w:val="0"/>
        <w:autoSpaceDN w:val="0"/>
        <w:adjustRightInd w:val="0"/>
        <w:spacing w:after="0" w:line="360" w:lineRule="auto"/>
        <w:jc w:val="center"/>
        <w:rPr>
          <w:rFonts w:ascii="Times New Roman" w:hAnsi="Times New Roman" w:cs="Times New Roman"/>
          <w:sz w:val="28"/>
          <w:szCs w:val="28"/>
        </w:rPr>
      </w:pPr>
      <w:r w:rsidRPr="004922C6">
        <w:rPr>
          <w:rFonts w:ascii="Times New Roman" w:hAnsi="Times New Roman" w:cs="Times New Roman"/>
          <w:sz w:val="28"/>
          <w:szCs w:val="28"/>
        </w:rPr>
        <w:t>Рис</w:t>
      </w:r>
      <w:r>
        <w:rPr>
          <w:rFonts w:ascii="Times New Roman" w:hAnsi="Times New Roman" w:cs="Times New Roman"/>
          <w:sz w:val="28"/>
          <w:szCs w:val="28"/>
        </w:rPr>
        <w:t xml:space="preserve"> 5.2</w:t>
      </w:r>
      <w:r w:rsidRPr="004922C6">
        <w:rPr>
          <w:rFonts w:ascii="Times New Roman" w:hAnsi="Times New Roman" w:cs="Times New Roman"/>
          <w:sz w:val="28"/>
          <w:szCs w:val="28"/>
        </w:rPr>
        <w:t xml:space="preserve">. Графік кореляції індексу резистентності пухлини після проведеної </w:t>
      </w:r>
      <w:r>
        <w:rPr>
          <w:rFonts w:ascii="Times New Roman" w:hAnsi="Times New Roman" w:cs="Times New Roman"/>
          <w:sz w:val="28"/>
          <w:szCs w:val="28"/>
        </w:rPr>
        <w:t>селективної емболізації ниркової артерії</w:t>
      </w:r>
      <w:r w:rsidRPr="004922C6">
        <w:rPr>
          <w:rFonts w:ascii="Times New Roman" w:hAnsi="Times New Roman" w:cs="Times New Roman"/>
          <w:sz w:val="28"/>
          <w:szCs w:val="28"/>
        </w:rPr>
        <w:t xml:space="preserve"> та об’єму </w:t>
      </w:r>
      <w:r>
        <w:rPr>
          <w:rFonts w:ascii="Times New Roman" w:hAnsi="Times New Roman" w:cs="Times New Roman"/>
          <w:sz w:val="28"/>
          <w:szCs w:val="28"/>
        </w:rPr>
        <w:t>оціночної інтраопераційної крововтрати</w:t>
      </w:r>
    </w:p>
    <w:p w:rsidR="00707D60" w:rsidRDefault="00707D60" w:rsidP="00707D60">
      <w:pPr>
        <w:autoSpaceDE w:val="0"/>
        <w:autoSpaceDN w:val="0"/>
        <w:adjustRightInd w:val="0"/>
        <w:spacing w:after="0" w:line="360" w:lineRule="auto"/>
        <w:jc w:val="both"/>
        <w:rPr>
          <w:rFonts w:ascii="Times New Roman" w:hAnsi="Times New Roman" w:cs="Times New Roman"/>
          <w:sz w:val="28"/>
          <w:szCs w:val="28"/>
        </w:rPr>
      </w:pPr>
    </w:p>
    <w:p w:rsidR="00707D60" w:rsidRPr="009E6C7E" w:rsidRDefault="00707D60" w:rsidP="002C4B85">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даними </w:t>
      </w:r>
      <w:r>
        <w:rPr>
          <w:rFonts w:ascii="Times New Roman" w:hAnsi="Times New Roman" w:cs="Times New Roman"/>
          <w:sz w:val="28"/>
          <w:szCs w:val="28"/>
          <w:lang w:val="en-US"/>
        </w:rPr>
        <w:t>ROC</w:t>
      </w:r>
      <w:r>
        <w:rPr>
          <w:rFonts w:ascii="Times New Roman" w:hAnsi="Times New Roman" w:cs="Times New Roman"/>
          <w:sz w:val="28"/>
          <w:szCs w:val="28"/>
        </w:rPr>
        <w:t xml:space="preserve">-аналізу, при застосуванні індексу резистентності, чутливість та специфічність у диференціації хворих після виконаної  СЕНА та із крововтратою </w:t>
      </w:r>
      <w:r w:rsidRPr="009E6C7E">
        <w:rPr>
          <w:rFonts w:ascii="Times New Roman" w:hAnsi="Times New Roman" w:cs="Times New Roman"/>
          <w:sz w:val="28"/>
          <w:szCs w:val="28"/>
        </w:rPr>
        <w:t>&gt;</w:t>
      </w:r>
      <w:r>
        <w:rPr>
          <w:rFonts w:ascii="Times New Roman" w:hAnsi="Times New Roman" w:cs="Times New Roman"/>
          <w:sz w:val="28"/>
          <w:szCs w:val="28"/>
        </w:rPr>
        <w:t xml:space="preserve">500 мл від решти хворих із НКР після емболізації та меншою крововтратою, становили відповідно </w:t>
      </w:r>
      <w:r w:rsidRPr="00273C85">
        <w:rPr>
          <w:rFonts w:ascii="Times New Roman" w:hAnsi="Times New Roman" w:cs="Times New Roman"/>
          <w:sz w:val="28"/>
          <w:szCs w:val="28"/>
        </w:rPr>
        <w:t xml:space="preserve">100% </w:t>
      </w:r>
      <w:r>
        <w:rPr>
          <w:rFonts w:ascii="Times New Roman" w:hAnsi="Times New Roman" w:cs="Times New Roman"/>
          <w:sz w:val="28"/>
          <w:szCs w:val="28"/>
        </w:rPr>
        <w:t xml:space="preserve">та </w:t>
      </w:r>
      <w:r w:rsidRPr="00273C85">
        <w:rPr>
          <w:rFonts w:ascii="Times New Roman" w:hAnsi="Times New Roman" w:cs="Times New Roman"/>
          <w:sz w:val="28"/>
          <w:szCs w:val="28"/>
        </w:rPr>
        <w:t>87,0%</w:t>
      </w:r>
      <w:r>
        <w:rPr>
          <w:rFonts w:ascii="Times New Roman" w:hAnsi="Times New Roman" w:cs="Times New Roman"/>
          <w:sz w:val="28"/>
          <w:szCs w:val="28"/>
        </w:rPr>
        <w:t xml:space="preserve"> при</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AUC</w:t>
      </w:r>
      <w:r>
        <w:rPr>
          <w:rFonts w:ascii="Times New Roman" w:hAnsi="Times New Roman" w:cs="Times New Roman"/>
          <w:sz w:val="28"/>
          <w:szCs w:val="28"/>
        </w:rPr>
        <w:t>=</w:t>
      </w:r>
      <w:r w:rsidRPr="009E6C7E">
        <w:rPr>
          <w:rFonts w:ascii="Times New Roman" w:hAnsi="Times New Roman" w:cs="Times New Roman"/>
          <w:sz w:val="28"/>
          <w:szCs w:val="28"/>
        </w:rPr>
        <w:t>0,965</w:t>
      </w:r>
      <w:r w:rsidRPr="00273C85">
        <w:rPr>
          <w:rFonts w:ascii="Times New Roman" w:hAnsi="Times New Roman" w:cs="Times New Roman"/>
          <w:sz w:val="28"/>
          <w:szCs w:val="28"/>
        </w:rPr>
        <w:t xml:space="preserve"> (95% ДІ=0,911-0,998, р</w:t>
      </w:r>
      <w:r w:rsidRPr="009E6C7E">
        <w:rPr>
          <w:rFonts w:ascii="Times New Roman" w:hAnsi="Times New Roman" w:cs="Times New Roman"/>
          <w:sz w:val="28"/>
          <w:szCs w:val="28"/>
        </w:rPr>
        <w:t>&lt;</w:t>
      </w:r>
      <w:r w:rsidRPr="00273C85">
        <w:rPr>
          <w:rFonts w:ascii="Times New Roman" w:hAnsi="Times New Roman" w:cs="Times New Roman"/>
          <w:sz w:val="28"/>
          <w:szCs w:val="28"/>
        </w:rPr>
        <w:t>0,001)</w:t>
      </w:r>
      <w:r>
        <w:rPr>
          <w:rFonts w:ascii="Times New Roman" w:hAnsi="Times New Roman" w:cs="Times New Roman"/>
          <w:sz w:val="28"/>
          <w:szCs w:val="28"/>
        </w:rPr>
        <w:t xml:space="preserve"> та пороговому значенні </w:t>
      </w:r>
      <w:r w:rsidRPr="009E6C7E">
        <w:rPr>
          <w:rFonts w:ascii="Times New Roman" w:hAnsi="Times New Roman" w:cs="Times New Roman"/>
          <w:sz w:val="28"/>
          <w:szCs w:val="28"/>
        </w:rPr>
        <w:t>0</w:t>
      </w:r>
      <w:r>
        <w:rPr>
          <w:rFonts w:ascii="Times New Roman" w:hAnsi="Times New Roman" w:cs="Times New Roman"/>
          <w:sz w:val="28"/>
          <w:szCs w:val="28"/>
        </w:rPr>
        <w:t>,71 (рисунок 5.3).</w:t>
      </w:r>
    </w:p>
    <w:p w:rsidR="00707D60" w:rsidRDefault="00707D60" w:rsidP="00707D60">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3D8BE5A7" wp14:editId="3AF619D3">
            <wp:extent cx="2745277" cy="2686050"/>
            <wp:effectExtent l="0" t="0" r="0"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l="10044" r="8291"/>
                    <a:stretch/>
                  </pic:blipFill>
                  <pic:spPr bwMode="auto">
                    <a:xfrm>
                      <a:off x="0" y="0"/>
                      <a:ext cx="2785358" cy="2725266"/>
                    </a:xfrm>
                    <a:prstGeom prst="rect">
                      <a:avLst/>
                    </a:prstGeom>
                    <a:noFill/>
                    <a:ln>
                      <a:noFill/>
                    </a:ln>
                    <a:extLst>
                      <a:ext uri="{53640926-AAD7-44D8-BBD7-CCE9431645EC}">
                        <a14:shadowObscured xmlns:a14="http://schemas.microsoft.com/office/drawing/2010/main"/>
                      </a:ext>
                    </a:extLst>
                  </pic:spPr>
                </pic:pic>
              </a:graphicData>
            </a:graphic>
          </wp:inline>
        </w:drawing>
      </w:r>
    </w:p>
    <w:p w:rsidR="00707D60" w:rsidRDefault="00707D60" w:rsidP="00707D60">
      <w:pPr>
        <w:autoSpaceDE w:val="0"/>
        <w:autoSpaceDN w:val="0"/>
        <w:adjustRightInd w:val="0"/>
        <w:spacing w:after="0" w:line="240" w:lineRule="auto"/>
        <w:jc w:val="center"/>
        <w:rPr>
          <w:rFonts w:ascii="Times New Roman" w:hAnsi="Times New Roman" w:cs="Times New Roman"/>
          <w:sz w:val="24"/>
          <w:szCs w:val="24"/>
        </w:rPr>
      </w:pPr>
    </w:p>
    <w:p w:rsidR="00707D60" w:rsidRPr="002C4B85" w:rsidRDefault="00707D60" w:rsidP="002C4B85">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5.3. </w:t>
      </w:r>
      <w:r>
        <w:rPr>
          <w:rFonts w:ascii="Times New Roman" w:hAnsi="Times New Roman" w:cs="Times New Roman"/>
          <w:sz w:val="28"/>
          <w:szCs w:val="28"/>
          <w:lang w:val="en-US"/>
        </w:rPr>
        <w:t>ROC</w:t>
      </w:r>
      <w:r>
        <w:rPr>
          <w:rFonts w:ascii="Times New Roman" w:hAnsi="Times New Roman" w:cs="Times New Roman"/>
          <w:sz w:val="28"/>
          <w:szCs w:val="28"/>
        </w:rPr>
        <w:t>-крива застосування індексу резистентності</w:t>
      </w:r>
      <w:r w:rsidRPr="006A244A">
        <w:rPr>
          <w:rFonts w:ascii="Times New Roman" w:hAnsi="Times New Roman" w:cs="Times New Roman"/>
          <w:sz w:val="28"/>
          <w:szCs w:val="28"/>
        </w:rPr>
        <w:t xml:space="preserve"> </w:t>
      </w:r>
      <w:r>
        <w:rPr>
          <w:rFonts w:ascii="Times New Roman" w:hAnsi="Times New Roman" w:cs="Times New Roman"/>
          <w:sz w:val="28"/>
          <w:szCs w:val="28"/>
        </w:rPr>
        <w:t xml:space="preserve">для диференціації хворих після виконаної СЕНА та із крововтратою </w:t>
      </w:r>
      <w:r>
        <w:rPr>
          <w:rFonts w:ascii="Times New Roman" w:hAnsi="Times New Roman" w:cs="Times New Roman"/>
          <w:sz w:val="28"/>
          <w:szCs w:val="28"/>
          <w:lang w:val="en-US"/>
        </w:rPr>
        <w:t>&gt;</w:t>
      </w:r>
      <w:r>
        <w:rPr>
          <w:rFonts w:ascii="Times New Roman" w:hAnsi="Times New Roman" w:cs="Times New Roman"/>
          <w:sz w:val="28"/>
          <w:szCs w:val="28"/>
        </w:rPr>
        <w:t xml:space="preserve">500 мл від хворих із НКР після емболізації та крововтратою </w:t>
      </w:r>
      <w:r>
        <w:rPr>
          <w:rFonts w:ascii="Times New Roman" w:hAnsi="Times New Roman" w:cs="Times New Roman"/>
          <w:sz w:val="28"/>
          <w:szCs w:val="28"/>
          <w:lang w:val="en-US"/>
        </w:rPr>
        <w:t>&lt;</w:t>
      </w:r>
      <w:r>
        <w:rPr>
          <w:rFonts w:ascii="Times New Roman" w:hAnsi="Times New Roman" w:cs="Times New Roman"/>
          <w:sz w:val="28"/>
          <w:szCs w:val="28"/>
        </w:rPr>
        <w:t>500 мл</w:t>
      </w:r>
    </w:p>
    <w:p w:rsidR="002C4B85" w:rsidRDefault="002C4B85" w:rsidP="007504C3">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14:anchorId="463049D6" wp14:editId="458D7B5F">
            <wp:extent cx="3181350" cy="3515303"/>
            <wp:effectExtent l="0" t="0" r="0" b="9525"/>
            <wp:docPr id="211" name="Рисунок 211" descr="0115125709Композитный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0115125709Композитный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189345" cy="3524137"/>
                    </a:xfrm>
                    <a:prstGeom prst="rect">
                      <a:avLst/>
                    </a:prstGeom>
                    <a:noFill/>
                    <a:ln>
                      <a:noFill/>
                    </a:ln>
                  </pic:spPr>
                </pic:pic>
              </a:graphicData>
            </a:graphic>
          </wp:inline>
        </w:drawing>
      </w:r>
    </w:p>
    <w:p w:rsidR="002C4B85" w:rsidRDefault="002C4B85" w:rsidP="007504C3">
      <w:pPr>
        <w:spacing w:line="360" w:lineRule="auto"/>
        <w:jc w:val="both"/>
        <w:rPr>
          <w:rFonts w:ascii="Times New Roman" w:hAnsi="Times New Roman" w:cs="Times New Roman"/>
          <w:sz w:val="28"/>
          <w:szCs w:val="28"/>
        </w:rPr>
      </w:pPr>
      <w:r>
        <w:rPr>
          <w:rFonts w:ascii="Times New Roman" w:hAnsi="Times New Roman" w:cs="Times New Roman"/>
          <w:sz w:val="28"/>
          <w:szCs w:val="28"/>
        </w:rPr>
        <w:t>Рис. 5.4. УЗД-допплерограма хворого П., 69 р., НКР верхнього та середнього сегментів правої нирки розміром 8,34х7,84х6,56 см, підвищеної васкуляризації, до виконання СЕНА. ОЗ над ділянкою пухлини, індекс резистентності=0,62 (після СЕНА індекс резистентності становив 0,87). Під час виконання нефректомії об’єм інтраопераційної крововтрати – 415 мл (ІІ підгрупа).</w:t>
      </w:r>
    </w:p>
    <w:p w:rsidR="002C4B85" w:rsidRPr="002C4B85" w:rsidRDefault="002C4B85" w:rsidP="002C4B85">
      <w:pPr>
        <w:spacing w:line="360" w:lineRule="auto"/>
        <w:ind w:firstLine="708"/>
        <w:jc w:val="center"/>
        <w:rPr>
          <w:rFonts w:ascii="Times New Roman" w:hAnsi="Times New Roman" w:cs="Times New Roman"/>
          <w:sz w:val="28"/>
          <w:szCs w:val="28"/>
        </w:rPr>
      </w:pPr>
    </w:p>
    <w:p w:rsidR="00707D60" w:rsidRPr="002C4B85" w:rsidRDefault="00707D60" w:rsidP="002C4B8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Підсумовуючи отримані нами дані можна стверджувати, що  індекс резистентності виміряний за допомогою допплер-УЗД в тканинах пухлини до та після селективної емболізації ниркових артерій проведеної у якості підготовки до нефректомії у хворих із НКР, відображує ступінь зміни реноваскулярної резистентності під дією даної інтервенції. У хворих із підвищенням даного показника </w:t>
      </w:r>
      <w:r w:rsidRPr="009E6C7E">
        <w:rPr>
          <w:rFonts w:ascii="Times New Roman" w:hAnsi="Times New Roman" w:cs="Times New Roman"/>
          <w:sz w:val="28"/>
          <w:szCs w:val="28"/>
        </w:rPr>
        <w:t>&lt;</w:t>
      </w:r>
      <w:r>
        <w:rPr>
          <w:rFonts w:ascii="Times New Roman" w:hAnsi="Times New Roman" w:cs="Times New Roman"/>
          <w:sz w:val="28"/>
          <w:szCs w:val="28"/>
        </w:rPr>
        <w:t>20,97% у порівнянні з вихідним значенням, є високий ризик значної інтраопераці</w:t>
      </w:r>
      <w:r w:rsidR="00A94CFD">
        <w:rPr>
          <w:rFonts w:ascii="Times New Roman" w:hAnsi="Times New Roman" w:cs="Times New Roman"/>
          <w:sz w:val="28"/>
          <w:szCs w:val="28"/>
        </w:rPr>
        <w:t>й</w:t>
      </w:r>
      <w:r>
        <w:rPr>
          <w:rFonts w:ascii="Times New Roman" w:hAnsi="Times New Roman" w:cs="Times New Roman"/>
          <w:sz w:val="28"/>
          <w:szCs w:val="28"/>
        </w:rPr>
        <w:t xml:space="preserve">ної </w:t>
      </w:r>
      <w:r w:rsidR="00A94CFD">
        <w:rPr>
          <w:rFonts w:ascii="Times New Roman" w:hAnsi="Times New Roman" w:cs="Times New Roman"/>
          <w:sz w:val="28"/>
          <w:szCs w:val="28"/>
        </w:rPr>
        <w:t>крововтрати</w:t>
      </w:r>
      <w:r>
        <w:rPr>
          <w:rFonts w:ascii="Times New Roman" w:hAnsi="Times New Roman" w:cs="Times New Roman"/>
          <w:sz w:val="28"/>
          <w:szCs w:val="28"/>
        </w:rPr>
        <w:t xml:space="preserve"> (понад 500 мл), яка потенційно вимагатиме застосування інфузійної терапії. При цьому, нижчі показники ІР після виконаної емболізації були пов’язані сильним корелятивним зв’язком із більшим об’ємом інтраопераційної крововтрати (що </w:t>
      </w:r>
      <w:r>
        <w:rPr>
          <w:rFonts w:ascii="Times New Roman" w:hAnsi="Times New Roman" w:cs="Times New Roman"/>
          <w:sz w:val="28"/>
          <w:szCs w:val="28"/>
        </w:rPr>
        <w:lastRenderedPageBreak/>
        <w:t>свідчило про субтотальну емболізацію). Таким чином індекс резистентності може бути використаний у якості променевого біомаркеру передбачення ефективності проведеної селективної емболізації ниркових артерій у хворих з НКР у яких планується хірургічне лікування, для оптимізації підготовки такої категорії пацієнтів до операції з точки зору вибору хірургічної тактики (або навіть відмова від нього чи відтермінування), передбачення ризику виникнення суттєвої інтраопераційної кровотечі та об’єму інфузійної терапії, а також визначення показів до повторної емболізації, одним з яких може бути відсутність зміни показнику ІР після першої інтервенції.</w:t>
      </w:r>
    </w:p>
    <w:p w:rsidR="00707D60" w:rsidRDefault="00996609" w:rsidP="00707D60">
      <w:pPr>
        <w:spacing w:line="360" w:lineRule="auto"/>
        <w:jc w:val="center"/>
        <w:rPr>
          <w:rFonts w:ascii="Times New Roman" w:hAnsi="Times New Roman" w:cs="Times New Roman"/>
          <w:sz w:val="28"/>
          <w:szCs w:val="28"/>
        </w:rPr>
      </w:pPr>
      <w:r w:rsidRPr="00BD402B">
        <w:rPr>
          <w:rFonts w:ascii="Times New Roman" w:hAnsi="Times New Roman" w:cs="Times New Roman"/>
          <w:noProof/>
          <w:sz w:val="28"/>
          <w:szCs w:val="28"/>
          <w:lang w:val="en-US"/>
        </w:rPr>
        <mc:AlternateContent>
          <mc:Choice Requires="wps">
            <w:drawing>
              <wp:anchor distT="0" distB="0" distL="114300" distR="114300" simplePos="0" relativeHeight="251762688" behindDoc="0" locked="0" layoutInCell="1" allowOverlap="1" wp14:anchorId="0E498B8C" wp14:editId="367B2FCF">
                <wp:simplePos x="0" y="0"/>
                <wp:positionH relativeFrom="margin">
                  <wp:posOffset>720725</wp:posOffset>
                </wp:positionH>
                <wp:positionV relativeFrom="paragraph">
                  <wp:posOffset>2113915</wp:posOffset>
                </wp:positionV>
                <wp:extent cx="5939790" cy="466725"/>
                <wp:effectExtent l="0" t="0" r="0" b="9525"/>
                <wp:wrapNone/>
                <wp:docPr id="200" name="Надпись 200"/>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D402B" w:rsidRDefault="007B5A1D" w:rsidP="00707D60">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402B">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498B8C" id="Надпись 200" o:spid="_x0000_s1093" type="#_x0000_t202" style="position:absolute;left:0;text-align:left;margin-left:56.75pt;margin-top:166.45pt;width:467.7pt;height:36.75pt;z-index:25176268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" filled="f" stroked="f">
                <v:textbox>
                  <w:txbxContent>
                    <w:p w:rsidR="007B5A1D" w:rsidRPr="00BD402B" w:rsidRDefault="007B5A1D" w:rsidP="00707D60">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402B">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margin"/>
              </v:shape>
            </w:pict>
          </mc:Fallback>
        </mc:AlternateContent>
      </w:r>
      <w:r w:rsidRPr="00BD402B">
        <w:rPr>
          <w:rFonts w:ascii="Times New Roman" w:hAnsi="Times New Roman" w:cs="Times New Roman"/>
          <w:noProof/>
          <w:sz w:val="28"/>
          <w:szCs w:val="28"/>
          <w:lang w:val="en-US"/>
        </w:rPr>
        <mc:AlternateContent>
          <mc:Choice Requires="wps">
            <w:drawing>
              <wp:anchor distT="0" distB="0" distL="114300" distR="114300" simplePos="0" relativeHeight="251763712" behindDoc="0" locked="0" layoutInCell="1" allowOverlap="1" wp14:anchorId="2EE5E9A6" wp14:editId="454149CA">
                <wp:simplePos x="0" y="0"/>
                <wp:positionH relativeFrom="margin">
                  <wp:posOffset>3110865</wp:posOffset>
                </wp:positionH>
                <wp:positionV relativeFrom="paragraph">
                  <wp:posOffset>2113915</wp:posOffset>
                </wp:positionV>
                <wp:extent cx="5939790" cy="466725"/>
                <wp:effectExtent l="0" t="0" r="0" b="9525"/>
                <wp:wrapNone/>
                <wp:docPr id="201" name="Надпись 201"/>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D402B" w:rsidRDefault="007B5A1D" w:rsidP="00707D60">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402B">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EE5E9A6" id="Надпись 201" o:spid="_x0000_s1094" type="#_x0000_t202" style="position:absolute;left:0;text-align:left;margin-left:244.95pt;margin-top:166.45pt;width:467.7pt;height:36.75pt;z-index:25176371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" filled="f" stroked="f">
                <v:textbox>
                  <w:txbxContent>
                    <w:p w:rsidR="007B5A1D" w:rsidRPr="00BD402B" w:rsidRDefault="007B5A1D" w:rsidP="00707D60">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402B">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Г</w:t>
                      </w:r>
                    </w:p>
                  </w:txbxContent>
                </v:textbox>
                <w10:wrap anchorx="margin"/>
              </v:shape>
            </w:pict>
          </mc:Fallback>
        </mc:AlternateContent>
      </w:r>
      <w:r w:rsidRPr="00BD402B">
        <w:rPr>
          <w:rFonts w:ascii="Times New Roman" w:hAnsi="Times New Roman" w:cs="Times New Roman"/>
          <w:noProof/>
          <w:sz w:val="28"/>
          <w:szCs w:val="28"/>
          <w:lang w:val="en-US"/>
        </w:rPr>
        <mc:AlternateContent>
          <mc:Choice Requires="wps">
            <w:drawing>
              <wp:anchor distT="0" distB="0" distL="114300" distR="114300" simplePos="0" relativeHeight="251760640" behindDoc="0" locked="0" layoutInCell="1" allowOverlap="1" wp14:anchorId="3E52B589" wp14:editId="060B1ABF">
                <wp:simplePos x="0" y="0"/>
                <wp:positionH relativeFrom="margin">
                  <wp:posOffset>635000</wp:posOffset>
                </wp:positionH>
                <wp:positionV relativeFrom="paragraph">
                  <wp:posOffset>8890</wp:posOffset>
                </wp:positionV>
                <wp:extent cx="5939790" cy="466725"/>
                <wp:effectExtent l="0" t="0" r="0" b="9525"/>
                <wp:wrapNone/>
                <wp:docPr id="203" name="Надпись 203"/>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D402B" w:rsidRDefault="007B5A1D" w:rsidP="00707D60">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402B">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52B589" id="Надпись 203" o:spid="_x0000_s1095" type="#_x0000_t202" style="position:absolute;left:0;text-align:left;margin-left:50pt;margin-top:.7pt;width:467.7pt;height:36.75pt;z-index:25176064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" filled="f" stroked="f">
                <v:textbox>
                  <w:txbxContent>
                    <w:p w:rsidR="007B5A1D" w:rsidRPr="00BD402B" w:rsidRDefault="007B5A1D" w:rsidP="00707D60">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402B">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margin"/>
              </v:shape>
            </w:pict>
          </mc:Fallback>
        </mc:AlternateContent>
      </w:r>
      <w:r w:rsidR="00707D60" w:rsidRPr="00BD402B">
        <w:rPr>
          <w:rFonts w:ascii="Times New Roman" w:hAnsi="Times New Roman" w:cs="Times New Roman"/>
          <w:noProof/>
          <w:sz w:val="28"/>
          <w:szCs w:val="28"/>
          <w:lang w:val="en-US"/>
        </w:rPr>
        <mc:AlternateContent>
          <mc:Choice Requires="wps">
            <w:drawing>
              <wp:anchor distT="0" distB="0" distL="114300" distR="114300" simplePos="0" relativeHeight="251761664" behindDoc="0" locked="0" layoutInCell="1" allowOverlap="1" wp14:anchorId="74B8A4F8" wp14:editId="6A9DAF15">
                <wp:simplePos x="0" y="0"/>
                <wp:positionH relativeFrom="margin">
                  <wp:posOffset>3025140</wp:posOffset>
                </wp:positionH>
                <wp:positionV relativeFrom="paragraph">
                  <wp:posOffset>8890</wp:posOffset>
                </wp:positionV>
                <wp:extent cx="5939790" cy="466725"/>
                <wp:effectExtent l="0" t="0" r="0" b="9525"/>
                <wp:wrapNone/>
                <wp:docPr id="202" name="Надпись 202"/>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D402B" w:rsidRDefault="007B5A1D" w:rsidP="00707D60">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402B">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B8A4F8" id="Надпись 202" o:spid="_x0000_s1096" type="#_x0000_t202" style="position:absolute;left:0;text-align:left;margin-left:238.2pt;margin-top:.7pt;width:467.7pt;height:36.75pt;z-index:25176166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" filled="f" stroked="f">
                <v:textbox>
                  <w:txbxContent>
                    <w:p w:rsidR="007B5A1D" w:rsidRPr="00BD402B" w:rsidRDefault="007B5A1D" w:rsidP="00707D60">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402B">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margin"/>
              </v:shape>
            </w:pict>
          </mc:Fallback>
        </mc:AlternateContent>
      </w:r>
      <w:r w:rsidR="00707D60">
        <w:rPr>
          <w:rFonts w:ascii="Times New Roman" w:hAnsi="Times New Roman" w:cs="Times New Roman"/>
          <w:noProof/>
          <w:sz w:val="28"/>
          <w:szCs w:val="28"/>
          <w:lang w:val="en-US"/>
        </w:rPr>
        <w:drawing>
          <wp:inline distT="0" distB="0" distL="0" distR="0" wp14:anchorId="730DB9EC" wp14:editId="70A276D6">
            <wp:extent cx="2320407" cy="2052000"/>
            <wp:effectExtent l="0" t="0" r="3810" b="5715"/>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jp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320407" cy="2052000"/>
                    </a:xfrm>
                    <a:prstGeom prst="rect">
                      <a:avLst/>
                    </a:prstGeom>
                  </pic:spPr>
                </pic:pic>
              </a:graphicData>
            </a:graphic>
          </wp:inline>
        </w:drawing>
      </w:r>
      <w:r w:rsidR="00707D60">
        <w:rPr>
          <w:rFonts w:ascii="Times New Roman" w:hAnsi="Times New Roman" w:cs="Times New Roman"/>
          <w:noProof/>
          <w:sz w:val="28"/>
          <w:szCs w:val="28"/>
          <w:lang w:val="en-US"/>
        </w:rPr>
        <w:drawing>
          <wp:inline distT="0" distB="0" distL="0" distR="0" wp14:anchorId="23B5E35C" wp14:editId="13DFFE64">
            <wp:extent cx="2320407" cy="2052000"/>
            <wp:effectExtent l="0" t="0" r="3810" b="5715"/>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jp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320407" cy="2052000"/>
                    </a:xfrm>
                    <a:prstGeom prst="rect">
                      <a:avLst/>
                    </a:prstGeom>
                  </pic:spPr>
                </pic:pic>
              </a:graphicData>
            </a:graphic>
          </wp:inline>
        </w:drawing>
      </w:r>
      <w:r w:rsidR="00707D60">
        <w:rPr>
          <w:rFonts w:ascii="Times New Roman" w:hAnsi="Times New Roman" w:cs="Times New Roman"/>
          <w:noProof/>
          <w:sz w:val="28"/>
          <w:szCs w:val="28"/>
          <w:lang w:val="en-US"/>
        </w:rPr>
        <w:drawing>
          <wp:inline distT="0" distB="0" distL="0" distR="0" wp14:anchorId="132EFE20" wp14:editId="0CD7C328">
            <wp:extent cx="2320406" cy="2052000"/>
            <wp:effectExtent l="0" t="0" r="3810" b="5715"/>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jp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2320406" cy="2052000"/>
                    </a:xfrm>
                    <a:prstGeom prst="rect">
                      <a:avLst/>
                    </a:prstGeom>
                  </pic:spPr>
                </pic:pic>
              </a:graphicData>
            </a:graphic>
          </wp:inline>
        </w:drawing>
      </w:r>
      <w:r w:rsidR="00707D60">
        <w:rPr>
          <w:rFonts w:ascii="Times New Roman" w:hAnsi="Times New Roman" w:cs="Times New Roman"/>
          <w:noProof/>
          <w:sz w:val="28"/>
          <w:szCs w:val="28"/>
          <w:lang w:val="en-US"/>
        </w:rPr>
        <w:drawing>
          <wp:inline distT="0" distB="0" distL="0" distR="0" wp14:anchorId="4C668B7B" wp14:editId="1501BF22">
            <wp:extent cx="2320407" cy="2052000"/>
            <wp:effectExtent l="0" t="0" r="3810" b="5715"/>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320407" cy="2052000"/>
                    </a:xfrm>
                    <a:prstGeom prst="rect">
                      <a:avLst/>
                    </a:prstGeom>
                  </pic:spPr>
                </pic:pic>
              </a:graphicData>
            </a:graphic>
          </wp:inline>
        </w:drawing>
      </w:r>
    </w:p>
    <w:p w:rsidR="00730325" w:rsidRPr="00996609" w:rsidRDefault="00707D60" w:rsidP="007504C3">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Рис. 5.5. Той же хворий. А: МРТ до СЕНА, осьова проекція в режимі 2D </w:t>
      </w:r>
      <w:r>
        <w:rPr>
          <w:rFonts w:ascii="Times New Roman" w:hAnsi="Times New Roman" w:cs="Times New Roman"/>
          <w:sz w:val="28"/>
          <w:szCs w:val="28"/>
          <w:lang w:val="en-US"/>
        </w:rPr>
        <w:t>Fiesta</w:t>
      </w:r>
      <w:r w:rsidRPr="009E6C7E">
        <w:rPr>
          <w:rFonts w:ascii="Times New Roman" w:hAnsi="Times New Roman" w:cs="Times New Roman"/>
          <w:sz w:val="28"/>
          <w:szCs w:val="28"/>
          <w:lang w:val="ru-RU"/>
        </w:rPr>
        <w:t xml:space="preserve"> </w:t>
      </w:r>
      <w:r>
        <w:rPr>
          <w:rFonts w:ascii="Times New Roman" w:hAnsi="Times New Roman" w:cs="Times New Roman"/>
          <w:sz w:val="28"/>
          <w:szCs w:val="28"/>
          <w:lang w:val="en-US"/>
        </w:rPr>
        <w:t>FatSat</w:t>
      </w:r>
      <w:r>
        <w:rPr>
          <w:rFonts w:ascii="Times New Roman" w:hAnsi="Times New Roman" w:cs="Times New Roman"/>
          <w:sz w:val="28"/>
          <w:szCs w:val="28"/>
        </w:rPr>
        <w:t>, пухлина представлена ділянкою гетерогенного сигналу; Б: мультифазна КТ до СЕНА, осьова проекція, кортико-медулярна фаза, високоваскуляризована пухлина представлена ділянкою гетерогенного сигналу, значно накопичує контраст, не інвазує тканини печінки; В: флюорограма в процесі виконання СЕНА, візуалізація судин пухлини; Г: флюорограма після встановлення спіралей для емболізації</w:t>
      </w:r>
    </w:p>
    <w:p w:rsidR="00730325" w:rsidRPr="00C82EC0" w:rsidRDefault="00730325" w:rsidP="004A5849">
      <w:pPr>
        <w:spacing w:line="360" w:lineRule="auto"/>
        <w:contextualSpacing/>
        <w:jc w:val="both"/>
        <w:rPr>
          <w:rFonts w:ascii="Times New Roman" w:hAnsi="Times New Roman" w:cs="Times New Roman"/>
          <w:b/>
          <w:sz w:val="28"/>
          <w:szCs w:val="28"/>
        </w:rPr>
      </w:pPr>
      <w:r w:rsidRPr="00C82EC0">
        <w:rPr>
          <w:rFonts w:ascii="Times New Roman" w:hAnsi="Times New Roman" w:cs="Times New Roman"/>
          <w:b/>
          <w:sz w:val="28"/>
          <w:szCs w:val="28"/>
        </w:rPr>
        <w:lastRenderedPageBreak/>
        <w:t>5.2. Діагностика локального рецидиву після оперативного лікування НКР</w:t>
      </w:r>
    </w:p>
    <w:p w:rsidR="00730325" w:rsidRDefault="00730325" w:rsidP="00730325"/>
    <w:p w:rsidR="00730325" w:rsidRDefault="00730325" w:rsidP="00730325">
      <w:pPr>
        <w:spacing w:line="360" w:lineRule="auto"/>
        <w:jc w:val="both"/>
        <w:rPr>
          <w:rFonts w:ascii="Times New Roman" w:hAnsi="Times New Roman" w:cs="Times New Roman"/>
          <w:sz w:val="28"/>
          <w:szCs w:val="28"/>
        </w:rPr>
      </w:pPr>
      <w:r>
        <w:tab/>
      </w:r>
      <w:r>
        <w:rPr>
          <w:rFonts w:ascii="Times New Roman" w:hAnsi="Times New Roman" w:cs="Times New Roman"/>
          <w:sz w:val="28"/>
          <w:szCs w:val="28"/>
        </w:rPr>
        <w:t xml:space="preserve">Метою роботи було вивчити ефективність застосування променевих біомаркерів на основі МРТ для діагностики локального рецидиву НКР після парціальної нефректомії. </w:t>
      </w:r>
      <w:r w:rsidRPr="00452C2D">
        <w:rPr>
          <w:rFonts w:ascii="Times New Roman" w:hAnsi="Times New Roman" w:cs="Times New Roman"/>
          <w:sz w:val="28"/>
          <w:szCs w:val="28"/>
          <w:shd w:val="clear" w:color="auto" w:fill="FFFFFF"/>
        </w:rPr>
        <w:t xml:space="preserve">Робота виконувалась на базі клінік кафедри урології та кафедри радіології </w:t>
      </w:r>
      <w:r w:rsidRPr="00452C2D">
        <w:rPr>
          <w:rFonts w:ascii="Times New Roman CYR" w:hAnsi="Times New Roman CYR" w:cs="Times New Roman"/>
          <w:sz w:val="28"/>
          <w:szCs w:val="28"/>
        </w:rPr>
        <w:t>Львівського національного медичного універ</w:t>
      </w:r>
      <w:r>
        <w:rPr>
          <w:rFonts w:ascii="Times New Roman CYR" w:hAnsi="Times New Roman CYR" w:cs="Times New Roman"/>
          <w:sz w:val="28"/>
          <w:szCs w:val="28"/>
        </w:rPr>
        <w:t>ситету імені Данила Галицького</w:t>
      </w:r>
      <w:r>
        <w:rPr>
          <w:rFonts w:ascii="Times New Roman" w:hAnsi="Times New Roman" w:cs="Times New Roman"/>
          <w:sz w:val="28"/>
          <w:szCs w:val="28"/>
        </w:rPr>
        <w:t xml:space="preserve">, </w:t>
      </w:r>
      <w:r w:rsidRPr="00452C2D">
        <w:rPr>
          <w:rFonts w:ascii="Times New Roman" w:hAnsi="Times New Roman" w:cs="Times New Roman"/>
          <w:sz w:val="28"/>
          <w:szCs w:val="28"/>
        </w:rPr>
        <w:t>відділу променевої діагностики Шпиталю Швєнтей Родзіни</w:t>
      </w:r>
      <w:r>
        <w:rPr>
          <w:rFonts w:ascii="Times New Roman" w:hAnsi="Times New Roman" w:cs="Times New Roman"/>
          <w:sz w:val="28"/>
          <w:szCs w:val="28"/>
        </w:rPr>
        <w:t xml:space="preserve">, </w:t>
      </w:r>
      <w:r w:rsidRPr="00452C2D">
        <w:rPr>
          <w:rFonts w:ascii="Times New Roman" w:hAnsi="Times New Roman" w:cs="Times New Roman"/>
          <w:sz w:val="28"/>
          <w:szCs w:val="28"/>
        </w:rPr>
        <w:t>м. Ж</w:t>
      </w:r>
      <w:r>
        <w:rPr>
          <w:rFonts w:ascii="Times New Roman" w:hAnsi="Times New Roman" w:cs="Times New Roman"/>
          <w:sz w:val="28"/>
          <w:szCs w:val="28"/>
        </w:rPr>
        <w:t>ешів, Польща,</w:t>
      </w:r>
      <w:r w:rsidRPr="00452C2D">
        <w:rPr>
          <w:rFonts w:ascii="Times New Roman" w:hAnsi="Times New Roman" w:cs="Times New Roman"/>
          <w:sz w:val="28"/>
          <w:szCs w:val="28"/>
        </w:rPr>
        <w:t xml:space="preserve"> відділення променевої діагностики Клінічного воєводського шпиталю ім. Св. Ядвігі Крульовей, м. Ж</w:t>
      </w:r>
      <w:r>
        <w:rPr>
          <w:rFonts w:ascii="Times New Roman" w:hAnsi="Times New Roman" w:cs="Times New Roman"/>
          <w:sz w:val="28"/>
          <w:szCs w:val="28"/>
        </w:rPr>
        <w:t>ешів, Польща та клініки урології Вроцлавського медичного університету, м. Вроцлав, Польща, впродовж 2013-2018</w:t>
      </w:r>
      <w:r w:rsidRPr="00452C2D">
        <w:rPr>
          <w:rFonts w:ascii="Times New Roman" w:hAnsi="Times New Roman" w:cs="Times New Roman"/>
          <w:sz w:val="28"/>
          <w:szCs w:val="28"/>
        </w:rPr>
        <w:t xml:space="preserve"> років.</w:t>
      </w:r>
    </w:p>
    <w:p w:rsidR="00730325" w:rsidRDefault="00730325" w:rsidP="009004B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9E6C7E">
        <w:rPr>
          <w:rFonts w:ascii="Times New Roman" w:hAnsi="Times New Roman" w:cs="Times New Roman"/>
          <w:sz w:val="28"/>
          <w:szCs w:val="28"/>
        </w:rPr>
        <w:t xml:space="preserve">У </w:t>
      </w:r>
      <w:r>
        <w:rPr>
          <w:rFonts w:ascii="Times New Roman" w:hAnsi="Times New Roman" w:cs="Times New Roman"/>
          <w:sz w:val="28"/>
          <w:szCs w:val="28"/>
        </w:rPr>
        <w:t xml:space="preserve">дослідження відбирались хворі, яким було виконано парціальну нефректомію з приводу солідного НКР (у всіх випадках його було патоморфологічно верифіковано), та у яких, згідно даних МРТ з включеною в нею додатково послідовністю дифузійно-зважених зображень із </w:t>
      </w:r>
      <w:r>
        <w:rPr>
          <w:rFonts w:ascii="Times New Roman" w:eastAsiaTheme="minorEastAsia" w:hAnsi="Times New Roman" w:cs="Times New Roman"/>
          <w:sz w:val="28"/>
          <w:szCs w:val="28"/>
          <w:lang w:val="en-US"/>
        </w:rPr>
        <w:t>b</w:t>
      </w:r>
      <w:r w:rsidRPr="00807530">
        <w:rPr>
          <w:rFonts w:ascii="Times New Roman" w:eastAsiaTheme="minorEastAsia" w:hAnsi="Times New Roman" w:cs="Times New Roman"/>
          <w:sz w:val="28"/>
          <w:szCs w:val="28"/>
        </w:rPr>
        <w:t>-</w:t>
      </w:r>
      <w:r>
        <w:rPr>
          <w:rFonts w:ascii="Times New Roman" w:hAnsi="Times New Roman" w:cs="Times New Roman"/>
          <w:sz w:val="28"/>
          <w:szCs w:val="28"/>
        </w:rPr>
        <w:t xml:space="preserve">значенням </w:t>
      </w:r>
      <w:r w:rsidRPr="00807530">
        <w:rPr>
          <w:rFonts w:ascii="Times New Roman" w:eastAsiaTheme="minorEastAsia" w:hAnsi="Times New Roman" w:cs="Times New Roman"/>
          <w:sz w:val="28"/>
          <w:szCs w:val="28"/>
        </w:rPr>
        <w:t xml:space="preserve">= </w:t>
      </w:r>
      <w:r>
        <w:rPr>
          <w:rFonts w:ascii="Times New Roman" w:hAnsi="Times New Roman" w:cs="Times New Roman"/>
          <w:sz w:val="28"/>
          <w:szCs w:val="28"/>
        </w:rPr>
        <w:t>0 та</w:t>
      </w:r>
      <w:r w:rsidRPr="00807530">
        <w:rPr>
          <w:rFonts w:ascii="Times New Roman" w:hAnsi="Times New Roman" w:cs="Times New Roman"/>
          <w:sz w:val="28"/>
          <w:szCs w:val="28"/>
        </w:rPr>
        <w:t xml:space="preserve"> 8</w:t>
      </w:r>
      <w:r w:rsidRPr="00807530">
        <w:rPr>
          <w:rFonts w:ascii="Times New Roman" w:eastAsiaTheme="minorEastAsia" w:hAnsi="Times New Roman" w:cs="Times New Roman"/>
          <w:sz w:val="28"/>
          <w:szCs w:val="28"/>
        </w:rPr>
        <w:t xml:space="preserve">00 </w:t>
      </w:r>
      <w:r w:rsidRPr="00807530">
        <w:rPr>
          <w:rFonts w:ascii="Times New Roman" w:hAnsi="Times New Roman" w:cs="Times New Roman"/>
          <w:sz w:val="28"/>
          <w:szCs w:val="28"/>
        </w:rPr>
        <w:t>с</w:t>
      </w:r>
      <w:r>
        <w:rPr>
          <w:rFonts w:ascii="Times New Roman" w:hAnsi="Times New Roman" w:cs="Times New Roman"/>
          <w:sz w:val="28"/>
          <w:szCs w:val="28"/>
        </w:rPr>
        <w:t>ек</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мм</w:t>
      </w:r>
      <w:r w:rsidRPr="00807530">
        <w:rPr>
          <w:rFonts w:ascii="Times New Roman" w:eastAsiaTheme="minorEastAsia" w:hAnsi="Times New Roman" w:cs="Times New Roman"/>
          <w:sz w:val="28"/>
          <w:szCs w:val="28"/>
          <w:vertAlign w:val="superscript"/>
        </w:rPr>
        <w:t>2</w:t>
      </w:r>
      <w:r>
        <w:rPr>
          <w:rFonts w:ascii="Times New Roman" w:eastAsiaTheme="minorEastAsia" w:hAnsi="Times New Roman" w:cs="Times New Roman"/>
          <w:sz w:val="28"/>
          <w:szCs w:val="28"/>
        </w:rPr>
        <w:t>,</w:t>
      </w:r>
      <w:r>
        <w:rPr>
          <w:rFonts w:ascii="Times New Roman" w:hAnsi="Times New Roman" w:cs="Times New Roman"/>
          <w:sz w:val="28"/>
          <w:szCs w:val="28"/>
        </w:rPr>
        <w:t xml:space="preserve"> у віддаленому післяопераційному періоді (≥6 місяців</w:t>
      </w:r>
      <w:r w:rsidRPr="009E6C7E">
        <w:rPr>
          <w:rFonts w:ascii="Times New Roman" w:hAnsi="Times New Roman" w:cs="Times New Roman"/>
          <w:sz w:val="28"/>
          <w:szCs w:val="28"/>
        </w:rPr>
        <w:t xml:space="preserve"> </w:t>
      </w:r>
      <w:r>
        <w:rPr>
          <w:rFonts w:ascii="Times New Roman" w:hAnsi="Times New Roman" w:cs="Times New Roman"/>
          <w:sz w:val="28"/>
          <w:szCs w:val="28"/>
        </w:rPr>
        <w:t>після оперативн</w:t>
      </w:r>
      <w:r w:rsidR="009004BE">
        <w:rPr>
          <w:rFonts w:ascii="Times New Roman" w:hAnsi="Times New Roman" w:cs="Times New Roman"/>
          <w:sz w:val="28"/>
          <w:szCs w:val="28"/>
        </w:rPr>
        <w:t xml:space="preserve">ого лікування) спостерігались: </w:t>
      </w:r>
      <w:r>
        <w:rPr>
          <w:rFonts w:ascii="Times New Roman" w:hAnsi="Times New Roman" w:cs="Times New Roman"/>
          <w:sz w:val="28"/>
          <w:szCs w:val="28"/>
        </w:rPr>
        <w:t>а) ознаки відновлення злоякісного процесу (підвищення накопичення контрастних речових в зоні післяопераційного дефекту нирки або іншої ділянки її паренхіми тощо);</w:t>
      </w:r>
      <w:r w:rsidR="009004BE">
        <w:rPr>
          <w:rFonts w:ascii="Times New Roman" w:hAnsi="Times New Roman" w:cs="Times New Roman"/>
          <w:sz w:val="28"/>
          <w:szCs w:val="28"/>
        </w:rPr>
        <w:t xml:space="preserve"> </w:t>
      </w:r>
      <w:r>
        <w:rPr>
          <w:rFonts w:ascii="Times New Roman" w:hAnsi="Times New Roman" w:cs="Times New Roman"/>
          <w:sz w:val="28"/>
          <w:szCs w:val="28"/>
        </w:rPr>
        <w:t>б) відсутність ознак локального відновлення пухлинного росту в ділянці післяопераційного дефекту паренхіми нирки (або наявність ознак післяопераційного фіброзу) впродовж ≥1 року після проведення хірургічного лікування, за умови наявності мінімум двох МРТ-обстежень із проміжком ≥6  місяців</w:t>
      </w:r>
      <w:r w:rsidRPr="009E6C7E">
        <w:rPr>
          <w:rFonts w:ascii="Times New Roman" w:hAnsi="Times New Roman" w:cs="Times New Roman"/>
          <w:sz w:val="28"/>
          <w:szCs w:val="28"/>
        </w:rPr>
        <w:t xml:space="preserve"> (</w:t>
      </w:r>
      <w:r>
        <w:rPr>
          <w:rFonts w:ascii="Times New Roman" w:hAnsi="Times New Roman" w:cs="Times New Roman"/>
          <w:sz w:val="28"/>
          <w:szCs w:val="28"/>
        </w:rPr>
        <w:t>аналізувались дані передостаннього обстеження).</w:t>
      </w:r>
    </w:p>
    <w:p w:rsidR="00730325" w:rsidRDefault="00730325" w:rsidP="00730325">
      <w:pPr>
        <w:spacing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Таким чином у дослідження увійшло 39 хворих, (25 чоловіків і 14 жінок), середній вік складав - </w:t>
      </w:r>
      <w:r>
        <w:rPr>
          <w:rFonts w:ascii="Times New Roman" w:hAnsi="Times New Roman" w:cs="Times New Roman"/>
          <w:sz w:val="28"/>
          <w:szCs w:val="28"/>
          <w:shd w:val="clear" w:color="auto" w:fill="FFFFFF"/>
        </w:rPr>
        <w:t>61,24±5,87 р.</w:t>
      </w:r>
      <w:r>
        <w:rPr>
          <w:rFonts w:ascii="Times New Roman" w:hAnsi="Times New Roman" w:cs="Times New Roman"/>
          <w:sz w:val="28"/>
          <w:szCs w:val="28"/>
        </w:rPr>
        <w:t xml:space="preserve"> Згідно післяопераційних патоморфологічних діагнозів, отриманих після первинного хірургічного лікування, розмір пухлини варіював від 2,89 до 7,28 см у найбільшому вимірі, середній розмір становив – 4,56±1,63 см. Згідно класифікації </w:t>
      </w:r>
      <w:r>
        <w:rPr>
          <w:rFonts w:ascii="Times New Roman" w:hAnsi="Times New Roman" w:cs="Times New Roman"/>
          <w:sz w:val="28"/>
          <w:szCs w:val="28"/>
          <w:lang w:val="en-US"/>
        </w:rPr>
        <w:t>TNM</w:t>
      </w:r>
      <w:r>
        <w:rPr>
          <w:rFonts w:ascii="Times New Roman" w:hAnsi="Times New Roman" w:cs="Times New Roman"/>
          <w:sz w:val="28"/>
          <w:szCs w:val="28"/>
        </w:rPr>
        <w:t xml:space="preserve"> був </w:t>
      </w:r>
      <w:r>
        <w:rPr>
          <w:rFonts w:ascii="Times New Roman" w:hAnsi="Times New Roman" w:cs="Times New Roman"/>
          <w:sz w:val="28"/>
          <w:szCs w:val="28"/>
        </w:rPr>
        <w:lastRenderedPageBreak/>
        <w:t xml:space="preserve">наступний розподіл – </w:t>
      </w:r>
      <w:r>
        <w:rPr>
          <w:rFonts w:ascii="Times New Roman" w:hAnsi="Times New Roman" w:cs="Times New Roman"/>
          <w:sz w:val="28"/>
          <w:szCs w:val="28"/>
          <w:lang w:val="en-US"/>
        </w:rPr>
        <w:t>pT</w:t>
      </w:r>
      <w:r w:rsidRPr="009E6C7E">
        <w:rPr>
          <w:rFonts w:ascii="Times New Roman" w:hAnsi="Times New Roman" w:cs="Times New Roman"/>
          <w:sz w:val="28"/>
          <w:szCs w:val="28"/>
        </w:rPr>
        <w:t>1</w:t>
      </w:r>
      <w:r>
        <w:rPr>
          <w:rFonts w:ascii="Times New Roman" w:hAnsi="Times New Roman" w:cs="Times New Roman"/>
          <w:sz w:val="28"/>
          <w:szCs w:val="28"/>
          <w:lang w:val="en-US"/>
        </w:rPr>
        <w:t>aN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 – 25 (64,10%)</w:t>
      </w:r>
      <w:r>
        <w:rPr>
          <w:rFonts w:ascii="Times New Roman" w:hAnsi="Times New Roman" w:cs="Times New Roman"/>
          <w:sz w:val="28"/>
          <w:szCs w:val="28"/>
        </w:rPr>
        <w:t xml:space="preserve"> хворих,</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pT</w:t>
      </w:r>
      <w:r w:rsidRPr="009E6C7E">
        <w:rPr>
          <w:rFonts w:ascii="Times New Roman" w:hAnsi="Times New Roman" w:cs="Times New Roman"/>
          <w:sz w:val="28"/>
          <w:szCs w:val="28"/>
        </w:rPr>
        <w:t>1</w:t>
      </w:r>
      <w:r>
        <w:rPr>
          <w:rFonts w:ascii="Times New Roman" w:hAnsi="Times New Roman" w:cs="Times New Roman"/>
          <w:sz w:val="28"/>
          <w:szCs w:val="28"/>
          <w:lang w:val="en-US"/>
        </w:rPr>
        <w:t>bN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 9 (23,08%) пацієнтів та</w:t>
      </w:r>
      <w:r w:rsidRPr="009E6C7E">
        <w:rPr>
          <w:rFonts w:ascii="Times New Roman" w:hAnsi="Times New Roman" w:cs="Times New Roman"/>
          <w:sz w:val="28"/>
          <w:szCs w:val="28"/>
        </w:rPr>
        <w:t xml:space="preserve"> </w:t>
      </w:r>
      <w:r>
        <w:rPr>
          <w:rFonts w:ascii="Times New Roman" w:hAnsi="Times New Roman" w:cs="Times New Roman"/>
          <w:sz w:val="28"/>
          <w:szCs w:val="28"/>
          <w:lang w:val="en-US"/>
        </w:rPr>
        <w:t>pT</w:t>
      </w:r>
      <w:r w:rsidRPr="009E6C7E">
        <w:rPr>
          <w:rFonts w:ascii="Times New Roman" w:hAnsi="Times New Roman" w:cs="Times New Roman"/>
          <w:sz w:val="28"/>
          <w:szCs w:val="28"/>
        </w:rPr>
        <w:t>2</w:t>
      </w:r>
      <w:r>
        <w:rPr>
          <w:rFonts w:ascii="Times New Roman" w:hAnsi="Times New Roman" w:cs="Times New Roman"/>
          <w:sz w:val="28"/>
          <w:szCs w:val="28"/>
          <w:lang w:val="en-US"/>
        </w:rPr>
        <w:t>aN</w:t>
      </w:r>
      <w:r w:rsidRPr="009E6C7E">
        <w:rPr>
          <w:rFonts w:ascii="Times New Roman" w:hAnsi="Times New Roman" w:cs="Times New Roman"/>
          <w:sz w:val="28"/>
          <w:szCs w:val="28"/>
        </w:rPr>
        <w:t>0</w:t>
      </w:r>
      <w:r>
        <w:rPr>
          <w:rFonts w:ascii="Times New Roman" w:hAnsi="Times New Roman" w:cs="Times New Roman"/>
          <w:sz w:val="28"/>
          <w:szCs w:val="28"/>
          <w:lang w:val="en-US"/>
        </w:rPr>
        <w:t>M</w:t>
      </w:r>
      <w:r w:rsidRPr="009E6C7E">
        <w:rPr>
          <w:rFonts w:ascii="Times New Roman" w:hAnsi="Times New Roman" w:cs="Times New Roman"/>
          <w:sz w:val="28"/>
          <w:szCs w:val="28"/>
        </w:rPr>
        <w:t>0</w:t>
      </w:r>
      <w:r>
        <w:rPr>
          <w:rFonts w:ascii="Times New Roman" w:hAnsi="Times New Roman" w:cs="Times New Roman"/>
          <w:sz w:val="28"/>
          <w:szCs w:val="28"/>
        </w:rPr>
        <w:t xml:space="preserve"> – 5 (12,82%) випадків. За гістологічним підтипом розрізняли – 28 (71,79%) хворих із скНКР, 6 (15,38%) пацієнтів з пНКР та 4 (10,26%) з пНКР. Серед конвенційного НКР у 16 (57,14%) було виявлено низький ступінь за </w:t>
      </w:r>
      <w:r>
        <w:rPr>
          <w:rFonts w:ascii="Times New Roman" w:hAnsi="Times New Roman" w:cs="Times New Roman"/>
          <w:sz w:val="28"/>
          <w:szCs w:val="28"/>
          <w:lang w:val="en-US"/>
        </w:rPr>
        <w:t>Fuhrman</w:t>
      </w:r>
      <w:r>
        <w:rPr>
          <w:rFonts w:ascii="Times New Roman" w:hAnsi="Times New Roman" w:cs="Times New Roman"/>
          <w:sz w:val="28"/>
          <w:szCs w:val="28"/>
        </w:rPr>
        <w:t xml:space="preserve">, а у 12 (42,86%) – високий. При пНКР низький ступінь за </w:t>
      </w:r>
      <w:r>
        <w:rPr>
          <w:rFonts w:ascii="Times New Roman" w:hAnsi="Times New Roman" w:cs="Times New Roman"/>
          <w:sz w:val="28"/>
          <w:szCs w:val="28"/>
          <w:lang w:val="en-US"/>
        </w:rPr>
        <w:t>Fuhrman</w:t>
      </w:r>
      <w:r>
        <w:rPr>
          <w:rFonts w:ascii="Times New Roman" w:hAnsi="Times New Roman" w:cs="Times New Roman"/>
          <w:sz w:val="28"/>
          <w:szCs w:val="28"/>
        </w:rPr>
        <w:t xml:space="preserve"> спостерігався у 4 (66,67%) хворих, а високий – у 2 (33,33%).  </w:t>
      </w:r>
      <w:r>
        <w:rPr>
          <w:rFonts w:ascii="Times New Roman" w:hAnsi="Times New Roman" w:cs="Times New Roman"/>
          <w:sz w:val="28"/>
          <w:szCs w:val="28"/>
          <w:shd w:val="clear" w:color="auto" w:fill="FFFFFF"/>
        </w:rPr>
        <w:t>Хворі із локальним рецидивом склали основну групу (</w:t>
      </w:r>
      <w:r>
        <w:rPr>
          <w:rFonts w:ascii="Times New Roman" w:hAnsi="Times New Roman" w:cs="Times New Roman"/>
          <w:sz w:val="28"/>
          <w:szCs w:val="28"/>
          <w:shd w:val="clear" w:color="auto" w:fill="FFFFFF"/>
          <w:lang w:val="en-US"/>
        </w:rPr>
        <w:t>n</w:t>
      </w:r>
      <w:r w:rsidRPr="009E6C7E">
        <w:rPr>
          <w:rFonts w:ascii="Times New Roman" w:hAnsi="Times New Roman" w:cs="Times New Roman"/>
          <w:sz w:val="28"/>
          <w:szCs w:val="28"/>
          <w:shd w:val="clear" w:color="auto" w:fill="FFFFFF"/>
          <w:lang w:val="ru-RU"/>
        </w:rPr>
        <w:t>=14)</w:t>
      </w:r>
      <w:r>
        <w:rPr>
          <w:rFonts w:ascii="Times New Roman" w:hAnsi="Times New Roman" w:cs="Times New Roman"/>
          <w:sz w:val="28"/>
          <w:szCs w:val="28"/>
          <w:shd w:val="clear" w:color="auto" w:fill="FFFFFF"/>
        </w:rPr>
        <w:t>, пацієнти без ознак рецидиву НКР увійшли до групи порівняння</w:t>
      </w:r>
      <w:r w:rsidRPr="009E6C7E">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n=25). В дослідження не включались хворі із віддаленим метастатичним ураженням внаслідок НКР,  неоперабельними випадками, двостороннім ураженням нирок, вираженою нирковою недостатністю та інфекційно-запальними захворюваннями сечовивідних шляхів.</w:t>
      </w:r>
      <w:r w:rsidRPr="00F2270A">
        <w:rPr>
          <w:rFonts w:ascii="Times New Roman" w:hAnsi="Times New Roman" w:cs="Times New Roman"/>
          <w:sz w:val="28"/>
          <w:szCs w:val="28"/>
          <w:shd w:val="clear" w:color="auto" w:fill="FFFFFF"/>
        </w:rPr>
        <w:t xml:space="preserve"> </w:t>
      </w:r>
    </w:p>
    <w:p w:rsidR="00730325" w:rsidRPr="005F7A32" w:rsidRDefault="00730325" w:rsidP="0073032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У всіх випадках проводилась реєстрація значень вимірюваного коефіцієнта дифузії, розміщуючи ОЗ над ділянкою післяопераційного рубця нирки, або ділянки паренхіми, де підозрювалось відновлення пухлинного процесу, а також над регіоном неураженої паренхіми. Інтенсивність сигналу дифузійно зважених зображень не вимірювалась, оскільки виходячи із отриманих нами раніше даних, не була інформативною при диференціації НКР. ДЗЗ застосовувались у якості анатомічного орієнтиру і джерелом для побудов ВКД-карт. У якості референтних значень ВКД (нормальної ниркової паренхіми) використовували дані здорових волонтерів, отримані нами при діагностиці малих ниркових новоутворень (контрольна група), </w:t>
      </w:r>
      <w:r>
        <w:rPr>
          <w:rFonts w:ascii="Times New Roman" w:hAnsi="Times New Roman" w:cs="Times New Roman"/>
          <w:sz w:val="28"/>
          <w:szCs w:val="28"/>
          <w:shd w:val="clear" w:color="auto" w:fill="FFFFFF"/>
          <w:lang w:val="en-US"/>
        </w:rPr>
        <w:t>n</w:t>
      </w:r>
      <w:r>
        <w:rPr>
          <w:rFonts w:ascii="Times New Roman" w:hAnsi="Times New Roman" w:cs="Times New Roman"/>
          <w:sz w:val="28"/>
          <w:szCs w:val="28"/>
          <w:shd w:val="clear" w:color="auto" w:fill="FFFFFF"/>
        </w:rPr>
        <w:t>=30.</w:t>
      </w:r>
      <w:r w:rsidRPr="005F7A32">
        <w:rPr>
          <w:rFonts w:ascii="Times New Roman" w:hAnsi="Times New Roman" w:cs="Times New Roman"/>
          <w:sz w:val="28"/>
          <w:szCs w:val="28"/>
        </w:rPr>
        <w:t xml:space="preserve"> </w:t>
      </w:r>
    </w:p>
    <w:p w:rsidR="00730325" w:rsidRDefault="00730325" w:rsidP="00730325">
      <w:pPr>
        <w:spacing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У всіх хворих із променевими та клінічними ознаками локального рецидивування НКР було проведене хірургічне лікування в залежності від розміру новоутворення, </w:t>
      </w:r>
      <w:r w:rsidR="00B02037">
        <w:rPr>
          <w:rFonts w:ascii="Times New Roman" w:hAnsi="Times New Roman" w:cs="Times New Roman"/>
          <w:sz w:val="28"/>
          <w:szCs w:val="28"/>
          <w:shd w:val="clear" w:color="auto" w:fill="FFFFFF"/>
        </w:rPr>
        <w:t>ступеня</w:t>
      </w:r>
      <w:r>
        <w:rPr>
          <w:rFonts w:ascii="Times New Roman" w:hAnsi="Times New Roman" w:cs="Times New Roman"/>
          <w:sz w:val="28"/>
          <w:szCs w:val="28"/>
          <w:shd w:val="clear" w:color="auto" w:fill="FFFFFF"/>
        </w:rPr>
        <w:t xml:space="preserve"> його поширеності та локалізації: резекція нирки з пухлиною у 10 (71,43%) хворих, радикальна нефректомія – у 4 (28,57%) пацієнтів. У всіх випадках було підтверджено діагноз НКР відповідного до первинної пухлини гістологічного підтипу, у 92,86% високого </w:t>
      </w:r>
      <w:r w:rsidR="00B02037">
        <w:rPr>
          <w:rFonts w:ascii="Times New Roman" w:hAnsi="Times New Roman" w:cs="Times New Roman"/>
          <w:sz w:val="28"/>
          <w:szCs w:val="28"/>
          <w:shd w:val="clear" w:color="auto" w:fill="FFFFFF"/>
        </w:rPr>
        <w:t>ступеня</w:t>
      </w:r>
      <w:r>
        <w:rPr>
          <w:rFonts w:ascii="Times New Roman" w:hAnsi="Times New Roman" w:cs="Times New Roman"/>
          <w:sz w:val="28"/>
          <w:szCs w:val="28"/>
          <w:shd w:val="clear" w:color="auto" w:fill="FFFFFF"/>
        </w:rPr>
        <w:t xml:space="preserve"> за </w:t>
      </w:r>
      <w:r>
        <w:rPr>
          <w:rFonts w:ascii="Times New Roman" w:hAnsi="Times New Roman" w:cs="Times New Roman"/>
          <w:sz w:val="28"/>
          <w:szCs w:val="28"/>
          <w:shd w:val="clear" w:color="auto" w:fill="FFFFFF"/>
          <w:lang w:val="en-US"/>
        </w:rPr>
        <w:t>Fuhrman</w:t>
      </w:r>
      <w:r>
        <w:rPr>
          <w:rFonts w:ascii="Times New Roman" w:hAnsi="Times New Roman" w:cs="Times New Roman"/>
          <w:sz w:val="28"/>
          <w:szCs w:val="28"/>
          <w:shd w:val="clear" w:color="auto" w:fill="FFFFFF"/>
        </w:rPr>
        <w:t xml:space="preserve"> та лише у 7,14% – низького. Середній розмір </w:t>
      </w:r>
      <w:r>
        <w:rPr>
          <w:rFonts w:ascii="Times New Roman" w:hAnsi="Times New Roman" w:cs="Times New Roman"/>
          <w:sz w:val="28"/>
          <w:szCs w:val="28"/>
          <w:shd w:val="clear" w:color="auto" w:fill="FFFFFF"/>
        </w:rPr>
        <w:lastRenderedPageBreak/>
        <w:t>новоутворення складав 2,21±0,67 см. У 3 (75,0%) випадках з 4, коли була виконана радикальна нефректомія, за даними патоморфологічного аналізу в реґіонарних лімфовузлах було знайдено метастази НКР, а у 1 (25,0%)</w:t>
      </w:r>
      <w:r w:rsidRPr="009E6C7E">
        <w:rPr>
          <w:rFonts w:ascii="Times New Roman" w:hAnsi="Times New Roman" w:cs="Times New Roman"/>
          <w:sz w:val="28"/>
          <w:szCs w:val="28"/>
          <w:shd w:val="clear" w:color="auto" w:fill="FFFFFF"/>
          <w:lang w:val="ru-RU"/>
        </w:rPr>
        <w:t xml:space="preserve"> </w:t>
      </w:r>
      <w:r w:rsidRPr="00733053">
        <w:rPr>
          <w:rFonts w:ascii="Times New Roman" w:hAnsi="Times New Roman" w:cs="Times New Roman"/>
          <w:sz w:val="28"/>
          <w:szCs w:val="28"/>
          <w:shd w:val="clear" w:color="auto" w:fill="FFFFFF"/>
        </w:rPr>
        <w:t>випадку</w:t>
      </w:r>
      <w:r>
        <w:rPr>
          <w:rFonts w:ascii="Times New Roman" w:hAnsi="Times New Roman" w:cs="Times New Roman"/>
          <w:sz w:val="28"/>
          <w:szCs w:val="28"/>
          <w:shd w:val="clear" w:color="auto" w:fill="FFFFFF"/>
        </w:rPr>
        <w:t xml:space="preserve"> – поширення пухлинного тромбу в ниркову вену (</w:t>
      </w:r>
      <w:r>
        <w:rPr>
          <w:rFonts w:ascii="Times New Roman" w:hAnsi="Times New Roman" w:cs="Times New Roman"/>
          <w:sz w:val="28"/>
          <w:szCs w:val="28"/>
          <w:shd w:val="clear" w:color="auto" w:fill="FFFFFF"/>
          <w:lang w:val="en-US"/>
        </w:rPr>
        <w:t>p</w:t>
      </w:r>
      <w:r>
        <w:rPr>
          <w:rFonts w:ascii="Times New Roman" w:hAnsi="Times New Roman" w:cs="Times New Roman"/>
          <w:sz w:val="28"/>
          <w:szCs w:val="28"/>
          <w:shd w:val="clear" w:color="auto" w:fill="FFFFFF"/>
        </w:rPr>
        <w:t xml:space="preserve">Т3а). </w:t>
      </w:r>
    </w:p>
    <w:p w:rsidR="00730325" w:rsidRPr="00B21086" w:rsidRDefault="00730325" w:rsidP="00730325">
      <w:pPr>
        <w:spacing w:line="360" w:lineRule="auto"/>
        <w:ind w:firstLine="708"/>
        <w:jc w:val="both"/>
        <w:rPr>
          <w:rFonts w:ascii="Times New Roman" w:hAnsi="Times New Roman"/>
          <w:sz w:val="28"/>
          <w:szCs w:val="28"/>
        </w:rPr>
      </w:pPr>
      <w:r>
        <w:rPr>
          <w:rFonts w:ascii="Times New Roman" w:hAnsi="Times New Roman"/>
          <w:sz w:val="28"/>
          <w:szCs w:val="28"/>
        </w:rPr>
        <w:t>На дифузійно-зважених зображеннях, як ділянки із локальним рецидивуванням НКР, так і фіброзними змінами, мали гіперінтенсивний по відношенню до нормальної паренхіми сигнал, що допомагало ідентифікації патологічних змін та розміщення над ними ОЗ.</w:t>
      </w:r>
    </w:p>
    <w:p w:rsidR="00730325" w:rsidRPr="008B52DB" w:rsidRDefault="00730325" w:rsidP="00730325">
      <w:pPr>
        <w:spacing w:line="360" w:lineRule="auto"/>
        <w:ind w:firstLine="708"/>
        <w:jc w:val="both"/>
        <w:rPr>
          <w:rFonts w:ascii="Times New Roman" w:hAnsi="Times New Roman"/>
          <w:sz w:val="28"/>
          <w:szCs w:val="28"/>
        </w:rPr>
      </w:pPr>
      <w:r>
        <w:rPr>
          <w:rFonts w:ascii="Times New Roman" w:hAnsi="Times New Roman" w:cs="Times New Roman"/>
          <w:sz w:val="28"/>
          <w:szCs w:val="28"/>
          <w:shd w:val="clear" w:color="auto" w:fill="FFFFFF"/>
        </w:rPr>
        <w:t xml:space="preserve">В результаті проведених вимірювань ми отримали достовірну різницю у середніх значеннях ВКД в основній, порівняння та контрольній групах, вони становили відповідно </w:t>
      </w:r>
      <w:r>
        <w:rPr>
          <w:rFonts w:ascii="Times New Roman" w:hAnsi="Times New Roman"/>
          <w:sz w:val="28"/>
          <w:szCs w:val="28"/>
        </w:rPr>
        <w:t>1,64</w:t>
      </w:r>
      <w:r>
        <w:rPr>
          <w:rFonts w:ascii="Times New Roman" w:hAnsi="Times New Roman" w:cs="Times New Roman"/>
          <w:sz w:val="28"/>
          <w:szCs w:val="28"/>
        </w:rPr>
        <w:t>±</w:t>
      </w:r>
      <w:r>
        <w:rPr>
          <w:rFonts w:ascii="Times New Roman" w:hAnsi="Times New Roman"/>
          <w:sz w:val="28"/>
          <w:szCs w:val="28"/>
        </w:rPr>
        <w:t>0,15</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1,02</w:t>
      </w:r>
      <w:r>
        <w:rPr>
          <w:rFonts w:ascii="Times New Roman" w:hAnsi="Times New Roman" w:cs="Times New Roman"/>
          <w:sz w:val="28"/>
          <w:szCs w:val="28"/>
        </w:rPr>
        <w:t>±</w:t>
      </w:r>
      <w:r>
        <w:rPr>
          <w:rFonts w:ascii="Times New Roman" w:hAnsi="Times New Roman"/>
          <w:sz w:val="28"/>
          <w:szCs w:val="28"/>
        </w:rPr>
        <w:t>0,26</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та </w:t>
      </w:r>
      <w:r w:rsidRPr="00F41670">
        <w:rPr>
          <w:rFonts w:ascii="Times New Roman" w:hAnsi="Times New Roman"/>
          <w:sz w:val="28"/>
          <w:szCs w:val="28"/>
        </w:rPr>
        <w:t>2,58</w:t>
      </w:r>
      <w:r>
        <w:rPr>
          <w:rFonts w:ascii="Times New Roman" w:hAnsi="Times New Roman" w:cs="Times New Roman"/>
          <w:sz w:val="28"/>
          <w:szCs w:val="28"/>
        </w:rPr>
        <w:t>±</w:t>
      </w:r>
      <w:r w:rsidRPr="00F41670">
        <w:rPr>
          <w:rFonts w:ascii="Times New Roman" w:hAnsi="Times New Roman"/>
          <w:sz w:val="28"/>
          <w:szCs w:val="28"/>
        </w:rPr>
        <w:t>0,05</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(р</w:t>
      </w:r>
      <w:r w:rsidRPr="009E6C7E">
        <w:rPr>
          <w:rFonts w:ascii="Times New Roman" w:hAnsi="Times New Roman"/>
          <w:sz w:val="28"/>
          <w:szCs w:val="28"/>
          <w:lang w:val="ru-RU"/>
        </w:rPr>
        <w:t>&lt;</w:t>
      </w:r>
      <w:r w:rsidR="007504C3">
        <w:rPr>
          <w:rFonts w:ascii="Times New Roman" w:hAnsi="Times New Roman"/>
          <w:sz w:val="28"/>
          <w:szCs w:val="28"/>
        </w:rPr>
        <w:t>0,001), таблиця 5.2.</w:t>
      </w:r>
      <w:r>
        <w:rPr>
          <w:rFonts w:ascii="Times New Roman" w:hAnsi="Times New Roman"/>
          <w:sz w:val="28"/>
          <w:szCs w:val="28"/>
        </w:rPr>
        <w:t xml:space="preserve"> </w:t>
      </w:r>
    </w:p>
    <w:p w:rsidR="00730325" w:rsidRPr="00F41670" w:rsidRDefault="00730325" w:rsidP="00730325">
      <w:pPr>
        <w:spacing w:line="360" w:lineRule="auto"/>
        <w:jc w:val="right"/>
        <w:rPr>
          <w:rFonts w:ascii="Times New Roman" w:hAnsi="Times New Roman"/>
          <w:sz w:val="28"/>
          <w:szCs w:val="28"/>
        </w:rPr>
      </w:pPr>
      <w:r w:rsidRPr="00F41670">
        <w:rPr>
          <w:rFonts w:ascii="Times New Roman" w:hAnsi="Times New Roman"/>
          <w:sz w:val="28"/>
          <w:szCs w:val="28"/>
        </w:rPr>
        <w:t>Таблиця 5.2</w:t>
      </w:r>
    </w:p>
    <w:p w:rsidR="00730325" w:rsidRPr="00F41670" w:rsidRDefault="00730325" w:rsidP="00730325">
      <w:pPr>
        <w:spacing w:line="360" w:lineRule="auto"/>
        <w:jc w:val="center"/>
        <w:rPr>
          <w:rFonts w:ascii="Times New Roman" w:hAnsi="Times New Roman"/>
          <w:sz w:val="28"/>
          <w:szCs w:val="28"/>
        </w:rPr>
      </w:pPr>
      <w:r w:rsidRPr="00F41670">
        <w:rPr>
          <w:rFonts w:ascii="Times New Roman" w:hAnsi="Times New Roman"/>
          <w:sz w:val="28"/>
          <w:szCs w:val="28"/>
        </w:rPr>
        <w:t xml:space="preserve">Детальна статистична характеристика вимірюваного коефіцієнта дифузії </w:t>
      </w:r>
      <w:r>
        <w:rPr>
          <w:rFonts w:ascii="Times New Roman" w:hAnsi="Times New Roman"/>
          <w:sz w:val="28"/>
          <w:szCs w:val="28"/>
        </w:rPr>
        <w:t>в досліджуваних групах</w:t>
      </w:r>
    </w:p>
    <w:tbl>
      <w:tblPr>
        <w:tblStyle w:val="TableGrid"/>
        <w:tblW w:w="9493" w:type="dxa"/>
        <w:tblLayout w:type="fixed"/>
        <w:tblLook w:val="04A0" w:firstRow="1" w:lastRow="0" w:firstColumn="1" w:lastColumn="0" w:noHBand="0" w:noVBand="1"/>
      </w:tblPr>
      <w:tblGrid>
        <w:gridCol w:w="1746"/>
        <w:gridCol w:w="1317"/>
        <w:gridCol w:w="908"/>
        <w:gridCol w:w="1336"/>
        <w:gridCol w:w="1111"/>
        <w:gridCol w:w="1136"/>
        <w:gridCol w:w="890"/>
        <w:gridCol w:w="1049"/>
      </w:tblGrid>
      <w:tr w:rsidR="00730325" w:rsidRPr="00F41670" w:rsidTr="001F0C51">
        <w:tc>
          <w:tcPr>
            <w:tcW w:w="1746" w:type="dxa"/>
            <w:vMerge w:val="restart"/>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Група</w:t>
            </w:r>
          </w:p>
        </w:tc>
        <w:tc>
          <w:tcPr>
            <w:tcW w:w="1317" w:type="dxa"/>
            <w:vMerge w:val="restart"/>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Середнє,</w:t>
            </w:r>
          </w:p>
          <w:p w:rsidR="00730325" w:rsidRPr="00F41670" w:rsidRDefault="00730325" w:rsidP="001F0C51">
            <w:pPr>
              <w:jc w:val="center"/>
              <w:rPr>
                <w:rFonts w:ascii="Times New Roman" w:hAnsi="Times New Roman"/>
                <w:b/>
                <w:sz w:val="28"/>
                <w:szCs w:val="28"/>
              </w:rPr>
            </w:pPr>
            <w:r w:rsidRPr="00F41670">
              <w:rPr>
                <w:rFonts w:ascii="Times New Roman" w:hAnsi="Times New Roman" w:cs="Times New Roman"/>
                <w:b/>
                <w:sz w:val="28"/>
                <w:szCs w:val="28"/>
              </w:rPr>
              <w:t>×</w:t>
            </w:r>
            <w:r w:rsidRPr="00F41670">
              <w:rPr>
                <w:rFonts w:ascii="Times New Roman" w:hAnsi="Times New Roman"/>
                <w:b/>
                <w:sz w:val="28"/>
                <w:szCs w:val="28"/>
              </w:rPr>
              <w:t>10</w:t>
            </w:r>
            <w:r w:rsidRPr="00F41670">
              <w:rPr>
                <w:rFonts w:ascii="Times New Roman" w:hAnsi="Times New Roman"/>
                <w:b/>
                <w:sz w:val="28"/>
                <w:szCs w:val="28"/>
                <w:vertAlign w:val="superscript"/>
              </w:rPr>
              <w:t>-3</w:t>
            </w:r>
            <w:r w:rsidRPr="00F41670">
              <w:rPr>
                <w:rFonts w:ascii="Times New Roman" w:hAnsi="Times New Roman"/>
                <w:b/>
                <w:sz w:val="28"/>
                <w:szCs w:val="28"/>
              </w:rPr>
              <w:t xml:space="preserve"> мм</w:t>
            </w:r>
            <w:r w:rsidRPr="00F41670">
              <w:rPr>
                <w:rFonts w:ascii="Times New Roman" w:hAnsi="Times New Roman"/>
                <w:b/>
                <w:sz w:val="28"/>
                <w:szCs w:val="28"/>
                <w:vertAlign w:val="superscript"/>
              </w:rPr>
              <w:t>2</w:t>
            </w:r>
            <w:r w:rsidRPr="00F41670">
              <w:rPr>
                <w:rFonts w:ascii="Times New Roman" w:hAnsi="Times New Roman"/>
                <w:b/>
                <w:sz w:val="28"/>
                <w:szCs w:val="28"/>
              </w:rPr>
              <w:t>/с</w:t>
            </w:r>
          </w:p>
        </w:tc>
        <w:tc>
          <w:tcPr>
            <w:tcW w:w="908" w:type="dxa"/>
            <w:vMerge w:val="restart"/>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СВ,</w:t>
            </w:r>
          </w:p>
          <w:p w:rsidR="00730325" w:rsidRPr="00F41670" w:rsidRDefault="00730325" w:rsidP="001F0C51">
            <w:pPr>
              <w:jc w:val="center"/>
              <w:rPr>
                <w:rFonts w:ascii="Times New Roman" w:hAnsi="Times New Roman"/>
                <w:b/>
                <w:sz w:val="28"/>
                <w:szCs w:val="28"/>
              </w:rPr>
            </w:pPr>
            <w:r w:rsidRPr="00F41670">
              <w:rPr>
                <w:rFonts w:ascii="Times New Roman" w:hAnsi="Times New Roman" w:cs="Times New Roman"/>
                <w:b/>
                <w:sz w:val="28"/>
                <w:szCs w:val="28"/>
              </w:rPr>
              <w:t>×</w:t>
            </w:r>
            <w:r w:rsidRPr="00F41670">
              <w:rPr>
                <w:rFonts w:ascii="Times New Roman" w:hAnsi="Times New Roman"/>
                <w:b/>
                <w:sz w:val="28"/>
                <w:szCs w:val="28"/>
              </w:rPr>
              <w:t>10</w:t>
            </w:r>
            <w:r w:rsidRPr="00F41670">
              <w:rPr>
                <w:rFonts w:ascii="Times New Roman" w:hAnsi="Times New Roman"/>
                <w:b/>
                <w:sz w:val="28"/>
                <w:szCs w:val="28"/>
                <w:vertAlign w:val="superscript"/>
              </w:rPr>
              <w:t>-3</w:t>
            </w:r>
            <w:r w:rsidRPr="00F41670">
              <w:rPr>
                <w:rFonts w:ascii="Times New Roman" w:hAnsi="Times New Roman"/>
                <w:b/>
                <w:sz w:val="28"/>
                <w:szCs w:val="28"/>
              </w:rPr>
              <w:t xml:space="preserve"> мм</w:t>
            </w:r>
            <w:r w:rsidRPr="00F41670">
              <w:rPr>
                <w:rFonts w:ascii="Times New Roman" w:hAnsi="Times New Roman"/>
                <w:b/>
                <w:sz w:val="28"/>
                <w:szCs w:val="28"/>
                <w:vertAlign w:val="superscript"/>
              </w:rPr>
              <w:t>2</w:t>
            </w:r>
            <w:r w:rsidRPr="00F41670">
              <w:rPr>
                <w:rFonts w:ascii="Times New Roman" w:hAnsi="Times New Roman"/>
                <w:b/>
                <w:sz w:val="28"/>
                <w:szCs w:val="28"/>
              </w:rPr>
              <w:t>/с</w:t>
            </w:r>
          </w:p>
        </w:tc>
        <w:tc>
          <w:tcPr>
            <w:tcW w:w="1336" w:type="dxa"/>
            <w:vMerge w:val="restart"/>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Медіана,</w:t>
            </w:r>
          </w:p>
          <w:p w:rsidR="00730325" w:rsidRPr="00F41670" w:rsidRDefault="00730325" w:rsidP="001F0C51">
            <w:pPr>
              <w:jc w:val="center"/>
              <w:rPr>
                <w:rFonts w:ascii="Times New Roman" w:hAnsi="Times New Roman"/>
                <w:b/>
                <w:sz w:val="28"/>
                <w:szCs w:val="28"/>
              </w:rPr>
            </w:pPr>
            <w:r w:rsidRPr="00F41670">
              <w:rPr>
                <w:rFonts w:ascii="Times New Roman" w:hAnsi="Times New Roman" w:cs="Times New Roman"/>
                <w:b/>
                <w:sz w:val="28"/>
                <w:szCs w:val="28"/>
              </w:rPr>
              <w:t>×</w:t>
            </w:r>
            <w:r w:rsidRPr="00F41670">
              <w:rPr>
                <w:rFonts w:ascii="Times New Roman" w:hAnsi="Times New Roman"/>
                <w:b/>
                <w:sz w:val="28"/>
                <w:szCs w:val="28"/>
              </w:rPr>
              <w:t>10</w:t>
            </w:r>
            <w:r w:rsidRPr="00F41670">
              <w:rPr>
                <w:rFonts w:ascii="Times New Roman" w:hAnsi="Times New Roman"/>
                <w:b/>
                <w:sz w:val="28"/>
                <w:szCs w:val="28"/>
                <w:vertAlign w:val="superscript"/>
              </w:rPr>
              <w:t>-3</w:t>
            </w:r>
            <w:r w:rsidRPr="00F41670">
              <w:rPr>
                <w:rFonts w:ascii="Times New Roman" w:hAnsi="Times New Roman"/>
                <w:b/>
                <w:sz w:val="28"/>
                <w:szCs w:val="28"/>
              </w:rPr>
              <w:t xml:space="preserve"> мм</w:t>
            </w:r>
            <w:r w:rsidRPr="00F41670">
              <w:rPr>
                <w:rFonts w:ascii="Times New Roman" w:hAnsi="Times New Roman"/>
                <w:b/>
                <w:sz w:val="28"/>
                <w:szCs w:val="28"/>
                <w:vertAlign w:val="superscript"/>
              </w:rPr>
              <w:t>2</w:t>
            </w:r>
            <w:r w:rsidRPr="00F41670">
              <w:rPr>
                <w:rFonts w:ascii="Times New Roman" w:hAnsi="Times New Roman"/>
                <w:b/>
                <w:sz w:val="28"/>
                <w:szCs w:val="28"/>
              </w:rPr>
              <w:t>/с</w:t>
            </w:r>
          </w:p>
        </w:tc>
        <w:tc>
          <w:tcPr>
            <w:tcW w:w="2247" w:type="dxa"/>
            <w:gridSpan w:val="2"/>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95% ДІ,</w:t>
            </w:r>
            <w:r w:rsidRPr="00F41670">
              <w:rPr>
                <w:rFonts w:ascii="Times New Roman" w:hAnsi="Times New Roman" w:cs="Times New Roman"/>
                <w:b/>
                <w:sz w:val="28"/>
                <w:szCs w:val="28"/>
              </w:rPr>
              <w:t xml:space="preserve"> ×</w:t>
            </w:r>
            <w:r w:rsidRPr="00F41670">
              <w:rPr>
                <w:rFonts w:ascii="Times New Roman" w:hAnsi="Times New Roman"/>
                <w:b/>
                <w:sz w:val="28"/>
                <w:szCs w:val="28"/>
              </w:rPr>
              <w:t>10</w:t>
            </w:r>
            <w:r w:rsidRPr="00F41670">
              <w:rPr>
                <w:rFonts w:ascii="Times New Roman" w:hAnsi="Times New Roman"/>
                <w:b/>
                <w:sz w:val="28"/>
                <w:szCs w:val="28"/>
                <w:vertAlign w:val="superscript"/>
              </w:rPr>
              <w:t>-3</w:t>
            </w:r>
            <w:r w:rsidRPr="00F41670">
              <w:rPr>
                <w:rFonts w:ascii="Times New Roman" w:hAnsi="Times New Roman"/>
                <w:b/>
                <w:sz w:val="28"/>
                <w:szCs w:val="28"/>
              </w:rPr>
              <w:t xml:space="preserve"> мм</w:t>
            </w:r>
            <w:r w:rsidRPr="00F41670">
              <w:rPr>
                <w:rFonts w:ascii="Times New Roman" w:hAnsi="Times New Roman"/>
                <w:b/>
                <w:sz w:val="28"/>
                <w:szCs w:val="28"/>
                <w:vertAlign w:val="superscript"/>
              </w:rPr>
              <w:t>2</w:t>
            </w:r>
            <w:r w:rsidRPr="00F41670">
              <w:rPr>
                <w:rFonts w:ascii="Times New Roman" w:hAnsi="Times New Roman"/>
                <w:b/>
                <w:sz w:val="28"/>
                <w:szCs w:val="28"/>
              </w:rPr>
              <w:t>/с</w:t>
            </w:r>
          </w:p>
        </w:tc>
        <w:tc>
          <w:tcPr>
            <w:tcW w:w="890" w:type="dxa"/>
            <w:vMerge w:val="restart"/>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Мін.,</w:t>
            </w:r>
          </w:p>
          <w:p w:rsidR="00730325" w:rsidRPr="00F41670" w:rsidRDefault="00730325" w:rsidP="001F0C51">
            <w:pPr>
              <w:jc w:val="center"/>
              <w:rPr>
                <w:rFonts w:ascii="Times New Roman" w:hAnsi="Times New Roman"/>
                <w:b/>
                <w:sz w:val="28"/>
                <w:szCs w:val="28"/>
              </w:rPr>
            </w:pPr>
            <w:r w:rsidRPr="00F41670">
              <w:rPr>
                <w:rFonts w:ascii="Times New Roman" w:hAnsi="Times New Roman" w:cs="Times New Roman"/>
                <w:b/>
                <w:sz w:val="28"/>
                <w:szCs w:val="28"/>
              </w:rPr>
              <w:t>×</w:t>
            </w:r>
            <w:r w:rsidRPr="00F41670">
              <w:rPr>
                <w:rFonts w:ascii="Times New Roman" w:hAnsi="Times New Roman"/>
                <w:b/>
                <w:sz w:val="28"/>
                <w:szCs w:val="28"/>
              </w:rPr>
              <w:t>10</w:t>
            </w:r>
            <w:r w:rsidRPr="00F41670">
              <w:rPr>
                <w:rFonts w:ascii="Times New Roman" w:hAnsi="Times New Roman"/>
                <w:b/>
                <w:sz w:val="28"/>
                <w:szCs w:val="28"/>
                <w:vertAlign w:val="superscript"/>
              </w:rPr>
              <w:t>-3</w:t>
            </w:r>
            <w:r w:rsidRPr="00F41670">
              <w:rPr>
                <w:rFonts w:ascii="Times New Roman" w:hAnsi="Times New Roman"/>
                <w:b/>
                <w:sz w:val="28"/>
                <w:szCs w:val="28"/>
              </w:rPr>
              <w:t xml:space="preserve"> мм</w:t>
            </w:r>
            <w:r w:rsidRPr="00F41670">
              <w:rPr>
                <w:rFonts w:ascii="Times New Roman" w:hAnsi="Times New Roman"/>
                <w:b/>
                <w:sz w:val="28"/>
                <w:szCs w:val="28"/>
                <w:vertAlign w:val="superscript"/>
              </w:rPr>
              <w:t>2</w:t>
            </w:r>
            <w:r w:rsidRPr="00F41670">
              <w:rPr>
                <w:rFonts w:ascii="Times New Roman" w:hAnsi="Times New Roman"/>
                <w:b/>
                <w:sz w:val="28"/>
                <w:szCs w:val="28"/>
              </w:rPr>
              <w:t>/с</w:t>
            </w:r>
          </w:p>
        </w:tc>
        <w:tc>
          <w:tcPr>
            <w:tcW w:w="1049" w:type="dxa"/>
            <w:vMerge w:val="restart"/>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Макс.,</w:t>
            </w:r>
          </w:p>
          <w:p w:rsidR="00730325" w:rsidRPr="00F41670" w:rsidRDefault="00730325" w:rsidP="001F0C51">
            <w:pPr>
              <w:jc w:val="center"/>
              <w:rPr>
                <w:rFonts w:ascii="Times New Roman" w:hAnsi="Times New Roman"/>
                <w:b/>
                <w:sz w:val="28"/>
                <w:szCs w:val="28"/>
              </w:rPr>
            </w:pPr>
            <w:r w:rsidRPr="00F41670">
              <w:rPr>
                <w:rFonts w:ascii="Times New Roman" w:hAnsi="Times New Roman" w:cs="Times New Roman"/>
                <w:b/>
                <w:sz w:val="28"/>
                <w:szCs w:val="28"/>
              </w:rPr>
              <w:t>×</w:t>
            </w:r>
            <w:r w:rsidRPr="00F41670">
              <w:rPr>
                <w:rFonts w:ascii="Times New Roman" w:hAnsi="Times New Roman"/>
                <w:b/>
                <w:sz w:val="28"/>
                <w:szCs w:val="28"/>
              </w:rPr>
              <w:t>10</w:t>
            </w:r>
            <w:r w:rsidRPr="00F41670">
              <w:rPr>
                <w:rFonts w:ascii="Times New Roman" w:hAnsi="Times New Roman"/>
                <w:b/>
                <w:sz w:val="28"/>
                <w:szCs w:val="28"/>
                <w:vertAlign w:val="superscript"/>
              </w:rPr>
              <w:t>-3</w:t>
            </w:r>
            <w:r w:rsidRPr="00F41670">
              <w:rPr>
                <w:rFonts w:ascii="Times New Roman" w:hAnsi="Times New Roman"/>
                <w:b/>
                <w:sz w:val="28"/>
                <w:szCs w:val="28"/>
              </w:rPr>
              <w:t xml:space="preserve"> мм</w:t>
            </w:r>
            <w:r w:rsidRPr="00F41670">
              <w:rPr>
                <w:rFonts w:ascii="Times New Roman" w:hAnsi="Times New Roman"/>
                <w:b/>
                <w:sz w:val="28"/>
                <w:szCs w:val="28"/>
                <w:vertAlign w:val="superscript"/>
              </w:rPr>
              <w:t>2</w:t>
            </w:r>
            <w:r w:rsidRPr="00F41670">
              <w:rPr>
                <w:rFonts w:ascii="Times New Roman" w:hAnsi="Times New Roman"/>
                <w:b/>
                <w:sz w:val="28"/>
                <w:szCs w:val="28"/>
              </w:rPr>
              <w:t>/с</w:t>
            </w:r>
          </w:p>
        </w:tc>
      </w:tr>
      <w:tr w:rsidR="00730325" w:rsidRPr="00F41670" w:rsidTr="001F0C51">
        <w:tc>
          <w:tcPr>
            <w:tcW w:w="1746" w:type="dxa"/>
            <w:vMerge/>
          </w:tcPr>
          <w:p w:rsidR="00730325" w:rsidRPr="00F41670" w:rsidRDefault="00730325" w:rsidP="001F0C51">
            <w:pPr>
              <w:jc w:val="center"/>
              <w:rPr>
                <w:rFonts w:ascii="Times New Roman" w:hAnsi="Times New Roman"/>
                <w:b/>
                <w:sz w:val="28"/>
                <w:szCs w:val="28"/>
              </w:rPr>
            </w:pPr>
          </w:p>
        </w:tc>
        <w:tc>
          <w:tcPr>
            <w:tcW w:w="1317" w:type="dxa"/>
            <w:vMerge/>
          </w:tcPr>
          <w:p w:rsidR="00730325" w:rsidRPr="00F41670" w:rsidRDefault="00730325" w:rsidP="001F0C51">
            <w:pPr>
              <w:jc w:val="center"/>
              <w:rPr>
                <w:rFonts w:ascii="Times New Roman" w:hAnsi="Times New Roman"/>
                <w:b/>
                <w:sz w:val="28"/>
                <w:szCs w:val="28"/>
              </w:rPr>
            </w:pPr>
          </w:p>
        </w:tc>
        <w:tc>
          <w:tcPr>
            <w:tcW w:w="908" w:type="dxa"/>
            <w:vMerge/>
          </w:tcPr>
          <w:p w:rsidR="00730325" w:rsidRPr="00F41670" w:rsidRDefault="00730325" w:rsidP="001F0C51">
            <w:pPr>
              <w:jc w:val="center"/>
              <w:rPr>
                <w:rFonts w:ascii="Times New Roman" w:hAnsi="Times New Roman"/>
                <w:b/>
                <w:sz w:val="28"/>
                <w:szCs w:val="28"/>
              </w:rPr>
            </w:pPr>
          </w:p>
        </w:tc>
        <w:tc>
          <w:tcPr>
            <w:tcW w:w="1336" w:type="dxa"/>
            <w:vMerge/>
          </w:tcPr>
          <w:p w:rsidR="00730325" w:rsidRPr="00F41670" w:rsidRDefault="00730325" w:rsidP="001F0C51">
            <w:pPr>
              <w:jc w:val="center"/>
              <w:rPr>
                <w:rFonts w:ascii="Times New Roman" w:hAnsi="Times New Roman"/>
                <w:b/>
                <w:sz w:val="28"/>
                <w:szCs w:val="28"/>
              </w:rPr>
            </w:pPr>
          </w:p>
        </w:tc>
        <w:tc>
          <w:tcPr>
            <w:tcW w:w="1111" w:type="dxa"/>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Нижня</w:t>
            </w:r>
          </w:p>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межа</w:t>
            </w:r>
          </w:p>
        </w:tc>
        <w:tc>
          <w:tcPr>
            <w:tcW w:w="1136" w:type="dxa"/>
          </w:tcPr>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Верхня</w:t>
            </w:r>
          </w:p>
          <w:p w:rsidR="00730325" w:rsidRPr="00F41670" w:rsidRDefault="00730325" w:rsidP="001F0C51">
            <w:pPr>
              <w:jc w:val="center"/>
              <w:rPr>
                <w:rFonts w:ascii="Times New Roman" w:hAnsi="Times New Roman"/>
                <w:b/>
                <w:sz w:val="28"/>
                <w:szCs w:val="28"/>
              </w:rPr>
            </w:pPr>
            <w:r w:rsidRPr="00F41670">
              <w:rPr>
                <w:rFonts w:ascii="Times New Roman" w:hAnsi="Times New Roman"/>
                <w:b/>
                <w:sz w:val="28"/>
                <w:szCs w:val="28"/>
              </w:rPr>
              <w:t>межа</w:t>
            </w:r>
          </w:p>
        </w:tc>
        <w:tc>
          <w:tcPr>
            <w:tcW w:w="890" w:type="dxa"/>
            <w:vMerge/>
          </w:tcPr>
          <w:p w:rsidR="00730325" w:rsidRPr="00F41670" w:rsidRDefault="00730325" w:rsidP="001F0C51">
            <w:pPr>
              <w:jc w:val="center"/>
              <w:rPr>
                <w:rFonts w:ascii="Times New Roman" w:hAnsi="Times New Roman"/>
                <w:b/>
                <w:sz w:val="28"/>
                <w:szCs w:val="28"/>
              </w:rPr>
            </w:pPr>
          </w:p>
        </w:tc>
        <w:tc>
          <w:tcPr>
            <w:tcW w:w="1049" w:type="dxa"/>
            <w:vMerge/>
          </w:tcPr>
          <w:p w:rsidR="00730325" w:rsidRPr="00F41670" w:rsidRDefault="00730325" w:rsidP="001F0C51">
            <w:pPr>
              <w:jc w:val="center"/>
              <w:rPr>
                <w:rFonts w:ascii="Times New Roman" w:hAnsi="Times New Roman"/>
                <w:b/>
                <w:sz w:val="28"/>
                <w:szCs w:val="28"/>
              </w:rPr>
            </w:pPr>
          </w:p>
        </w:tc>
      </w:tr>
      <w:tr w:rsidR="00730325" w:rsidRPr="00F41670" w:rsidTr="001F0C51">
        <w:tc>
          <w:tcPr>
            <w:tcW w:w="1746" w:type="dxa"/>
          </w:tcPr>
          <w:p w:rsidR="00730325" w:rsidRPr="00F41670" w:rsidRDefault="00730325" w:rsidP="001F0C51">
            <w:pPr>
              <w:rPr>
                <w:rFonts w:ascii="Times New Roman" w:hAnsi="Times New Roman"/>
                <w:b/>
                <w:sz w:val="28"/>
                <w:szCs w:val="28"/>
              </w:rPr>
            </w:pPr>
            <w:r>
              <w:rPr>
                <w:rFonts w:ascii="Times New Roman" w:hAnsi="Times New Roman"/>
                <w:b/>
                <w:sz w:val="28"/>
                <w:szCs w:val="28"/>
              </w:rPr>
              <w:t xml:space="preserve">Основна, (локальний рецидив </w:t>
            </w:r>
            <w:r w:rsidRPr="00F41670">
              <w:rPr>
                <w:rFonts w:ascii="Times New Roman" w:hAnsi="Times New Roman"/>
                <w:b/>
                <w:sz w:val="28"/>
                <w:szCs w:val="28"/>
              </w:rPr>
              <w:t>НКР</w:t>
            </w:r>
            <w:r>
              <w:rPr>
                <w:rFonts w:ascii="Times New Roman" w:hAnsi="Times New Roman"/>
                <w:b/>
                <w:sz w:val="28"/>
                <w:szCs w:val="28"/>
              </w:rPr>
              <w:t>)</w:t>
            </w:r>
            <w:r w:rsidRPr="00F41670">
              <w:rPr>
                <w:rFonts w:ascii="Times New Roman" w:hAnsi="Times New Roman"/>
                <w:b/>
                <w:sz w:val="28"/>
                <w:szCs w:val="28"/>
              </w:rPr>
              <w:t xml:space="preserve">, </w:t>
            </w:r>
            <w:r>
              <w:rPr>
                <w:rFonts w:ascii="Times New Roman" w:hAnsi="Times New Roman" w:cs="Times New Roman"/>
                <w:b/>
                <w:sz w:val="28"/>
                <w:szCs w:val="28"/>
              </w:rPr>
              <w:t>n=14</w:t>
            </w:r>
          </w:p>
        </w:tc>
        <w:tc>
          <w:tcPr>
            <w:tcW w:w="1317"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1,64</w:t>
            </w:r>
          </w:p>
        </w:tc>
        <w:tc>
          <w:tcPr>
            <w:tcW w:w="908"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0,15</w:t>
            </w:r>
          </w:p>
        </w:tc>
        <w:tc>
          <w:tcPr>
            <w:tcW w:w="1336"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1,68</w:t>
            </w:r>
          </w:p>
        </w:tc>
        <w:tc>
          <w:tcPr>
            <w:tcW w:w="1111"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1,56</w:t>
            </w:r>
          </w:p>
        </w:tc>
        <w:tc>
          <w:tcPr>
            <w:tcW w:w="1136"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1,73</w:t>
            </w:r>
          </w:p>
        </w:tc>
        <w:tc>
          <w:tcPr>
            <w:tcW w:w="890"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1,31</w:t>
            </w:r>
          </w:p>
        </w:tc>
        <w:tc>
          <w:tcPr>
            <w:tcW w:w="1049"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1,98</w:t>
            </w:r>
          </w:p>
        </w:tc>
      </w:tr>
      <w:tr w:rsidR="00730325" w:rsidRPr="00F41670" w:rsidTr="001F0C51">
        <w:tc>
          <w:tcPr>
            <w:tcW w:w="1746" w:type="dxa"/>
          </w:tcPr>
          <w:p w:rsidR="00730325" w:rsidRPr="00F41670" w:rsidRDefault="00730325" w:rsidP="001F0C51">
            <w:pPr>
              <w:rPr>
                <w:rFonts w:ascii="Times New Roman" w:hAnsi="Times New Roman" w:cs="Times New Roman"/>
                <w:b/>
                <w:sz w:val="28"/>
                <w:szCs w:val="28"/>
              </w:rPr>
            </w:pPr>
            <w:r>
              <w:rPr>
                <w:rFonts w:ascii="Times New Roman" w:hAnsi="Times New Roman" w:cs="Times New Roman"/>
                <w:b/>
                <w:sz w:val="28"/>
                <w:szCs w:val="28"/>
              </w:rPr>
              <w:t xml:space="preserve">Порівняння (відсутність ознак рецидиву), </w:t>
            </w:r>
            <w:r>
              <w:rPr>
                <w:rFonts w:ascii="Times New Roman" w:hAnsi="Times New Roman" w:cs="Times New Roman"/>
                <w:b/>
                <w:sz w:val="28"/>
                <w:szCs w:val="28"/>
                <w:lang w:val="en-US"/>
              </w:rPr>
              <w:t>n</w:t>
            </w:r>
            <w:r>
              <w:rPr>
                <w:rFonts w:ascii="Times New Roman" w:hAnsi="Times New Roman" w:cs="Times New Roman"/>
                <w:b/>
                <w:sz w:val="28"/>
                <w:szCs w:val="28"/>
              </w:rPr>
              <w:t>=25</w:t>
            </w:r>
          </w:p>
        </w:tc>
        <w:tc>
          <w:tcPr>
            <w:tcW w:w="1317"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1,02</w:t>
            </w:r>
          </w:p>
        </w:tc>
        <w:tc>
          <w:tcPr>
            <w:tcW w:w="908"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0,26</w:t>
            </w:r>
          </w:p>
        </w:tc>
        <w:tc>
          <w:tcPr>
            <w:tcW w:w="1336"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0,95</w:t>
            </w:r>
          </w:p>
        </w:tc>
        <w:tc>
          <w:tcPr>
            <w:tcW w:w="1111"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0,91</w:t>
            </w:r>
          </w:p>
        </w:tc>
        <w:tc>
          <w:tcPr>
            <w:tcW w:w="1136"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1,13</w:t>
            </w:r>
          </w:p>
        </w:tc>
        <w:tc>
          <w:tcPr>
            <w:tcW w:w="890"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0,74</w:t>
            </w:r>
          </w:p>
        </w:tc>
        <w:tc>
          <w:tcPr>
            <w:tcW w:w="1049" w:type="dxa"/>
          </w:tcPr>
          <w:p w:rsidR="00730325" w:rsidRPr="00F41670" w:rsidRDefault="00730325" w:rsidP="001F0C51">
            <w:pPr>
              <w:jc w:val="center"/>
              <w:rPr>
                <w:rFonts w:ascii="Times New Roman" w:hAnsi="Times New Roman"/>
                <w:sz w:val="28"/>
                <w:szCs w:val="28"/>
              </w:rPr>
            </w:pPr>
            <w:r>
              <w:rPr>
                <w:rFonts w:ascii="Times New Roman" w:hAnsi="Times New Roman"/>
                <w:sz w:val="28"/>
                <w:szCs w:val="28"/>
              </w:rPr>
              <w:t>1,55</w:t>
            </w:r>
          </w:p>
        </w:tc>
      </w:tr>
      <w:tr w:rsidR="00730325" w:rsidRPr="00F41670" w:rsidTr="001F0C51">
        <w:tc>
          <w:tcPr>
            <w:tcW w:w="1746" w:type="dxa"/>
          </w:tcPr>
          <w:p w:rsidR="00730325" w:rsidRPr="00F41670" w:rsidRDefault="00730325" w:rsidP="001F0C51">
            <w:pPr>
              <w:rPr>
                <w:rFonts w:ascii="Times New Roman" w:hAnsi="Times New Roman"/>
                <w:b/>
                <w:sz w:val="28"/>
                <w:szCs w:val="28"/>
              </w:rPr>
            </w:pPr>
            <w:r w:rsidRPr="00F41670">
              <w:rPr>
                <w:rFonts w:ascii="Times New Roman" w:hAnsi="Times New Roman"/>
                <w:b/>
                <w:sz w:val="28"/>
                <w:szCs w:val="28"/>
              </w:rPr>
              <w:t xml:space="preserve">Контроль, </w:t>
            </w:r>
            <w:r w:rsidRPr="00F41670">
              <w:rPr>
                <w:rFonts w:ascii="Times New Roman" w:hAnsi="Times New Roman" w:cs="Times New Roman"/>
                <w:b/>
                <w:sz w:val="28"/>
                <w:szCs w:val="28"/>
              </w:rPr>
              <w:t>n=30</w:t>
            </w:r>
          </w:p>
        </w:tc>
        <w:tc>
          <w:tcPr>
            <w:tcW w:w="1317"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2,58</w:t>
            </w:r>
          </w:p>
        </w:tc>
        <w:tc>
          <w:tcPr>
            <w:tcW w:w="908"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0,05</w:t>
            </w:r>
          </w:p>
        </w:tc>
        <w:tc>
          <w:tcPr>
            <w:tcW w:w="1336"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2,59</w:t>
            </w:r>
          </w:p>
        </w:tc>
        <w:tc>
          <w:tcPr>
            <w:tcW w:w="1111"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2,56</w:t>
            </w:r>
          </w:p>
        </w:tc>
        <w:tc>
          <w:tcPr>
            <w:tcW w:w="1136"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2,60</w:t>
            </w:r>
          </w:p>
        </w:tc>
        <w:tc>
          <w:tcPr>
            <w:tcW w:w="890"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2,48</w:t>
            </w:r>
          </w:p>
        </w:tc>
        <w:tc>
          <w:tcPr>
            <w:tcW w:w="1049"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2,68</w:t>
            </w:r>
          </w:p>
        </w:tc>
      </w:tr>
      <w:tr w:rsidR="00730325" w:rsidRPr="00F41670" w:rsidTr="001F0C51">
        <w:tc>
          <w:tcPr>
            <w:tcW w:w="1746" w:type="dxa"/>
          </w:tcPr>
          <w:p w:rsidR="00730325" w:rsidRPr="00F41670" w:rsidRDefault="00730325" w:rsidP="001F0C51">
            <w:pPr>
              <w:jc w:val="center"/>
              <w:rPr>
                <w:rFonts w:ascii="Times New Roman" w:hAnsi="Times New Roman"/>
                <w:b/>
                <w:i/>
                <w:sz w:val="28"/>
                <w:szCs w:val="28"/>
                <w:vertAlign w:val="subscript"/>
              </w:rPr>
            </w:pPr>
            <w:r w:rsidRPr="00F41670">
              <w:rPr>
                <w:rFonts w:ascii="Times New Roman" w:hAnsi="Times New Roman"/>
                <w:b/>
                <w:i/>
                <w:sz w:val="28"/>
                <w:szCs w:val="28"/>
              </w:rPr>
              <w:t>р</w:t>
            </w:r>
            <w:r w:rsidRPr="00F41670">
              <w:rPr>
                <w:rFonts w:ascii="Times New Roman" w:hAnsi="Times New Roman"/>
                <w:b/>
                <w:i/>
                <w:sz w:val="28"/>
                <w:szCs w:val="28"/>
                <w:vertAlign w:val="subscript"/>
              </w:rPr>
              <w:t>1,2</w:t>
            </w:r>
          </w:p>
        </w:tc>
        <w:tc>
          <w:tcPr>
            <w:tcW w:w="1317" w:type="dxa"/>
          </w:tcPr>
          <w:p w:rsidR="00730325" w:rsidRPr="005F7A32" w:rsidRDefault="00730325" w:rsidP="001F0C51">
            <w:pPr>
              <w:jc w:val="center"/>
              <w:rPr>
                <w:rFonts w:ascii="Times New Roman" w:hAnsi="Times New Roman"/>
                <w:sz w:val="28"/>
                <w:szCs w:val="28"/>
              </w:rPr>
            </w:pPr>
            <w:r>
              <w:rPr>
                <w:rFonts w:ascii="Times New Roman" w:hAnsi="Times New Roman"/>
                <w:sz w:val="28"/>
                <w:szCs w:val="28"/>
                <w:lang w:val="en-US"/>
              </w:rPr>
              <w:t>&lt;</w:t>
            </w:r>
            <w:r>
              <w:rPr>
                <w:rFonts w:ascii="Times New Roman" w:hAnsi="Times New Roman"/>
                <w:sz w:val="28"/>
                <w:szCs w:val="28"/>
              </w:rPr>
              <w:t>0,001</w:t>
            </w:r>
          </w:p>
        </w:tc>
        <w:tc>
          <w:tcPr>
            <w:tcW w:w="908"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336"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111"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136"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890"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049"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r>
      <w:tr w:rsidR="00730325" w:rsidRPr="00F41670" w:rsidTr="001F0C51">
        <w:tc>
          <w:tcPr>
            <w:tcW w:w="1746" w:type="dxa"/>
          </w:tcPr>
          <w:p w:rsidR="00730325" w:rsidRPr="00F41670" w:rsidRDefault="00730325" w:rsidP="001F0C51">
            <w:pPr>
              <w:jc w:val="center"/>
              <w:rPr>
                <w:rFonts w:ascii="Times New Roman" w:hAnsi="Times New Roman"/>
                <w:sz w:val="28"/>
                <w:szCs w:val="28"/>
              </w:rPr>
            </w:pPr>
            <w:r w:rsidRPr="00F41670">
              <w:rPr>
                <w:rFonts w:ascii="Times New Roman" w:hAnsi="Times New Roman"/>
                <w:b/>
                <w:i/>
                <w:sz w:val="28"/>
                <w:szCs w:val="28"/>
              </w:rPr>
              <w:t>р</w:t>
            </w:r>
            <w:r w:rsidRPr="00F41670">
              <w:rPr>
                <w:rFonts w:ascii="Times New Roman" w:hAnsi="Times New Roman"/>
                <w:b/>
                <w:i/>
                <w:sz w:val="28"/>
                <w:szCs w:val="28"/>
                <w:vertAlign w:val="subscript"/>
              </w:rPr>
              <w:t>1,3</w:t>
            </w:r>
          </w:p>
        </w:tc>
        <w:tc>
          <w:tcPr>
            <w:tcW w:w="1317" w:type="dxa"/>
          </w:tcPr>
          <w:p w:rsidR="00730325" w:rsidRDefault="00730325" w:rsidP="001F0C51">
            <w:pPr>
              <w:jc w:val="center"/>
            </w:pPr>
            <w:r w:rsidRPr="00BA544F">
              <w:rPr>
                <w:rFonts w:ascii="Times New Roman" w:hAnsi="Times New Roman"/>
                <w:sz w:val="28"/>
                <w:szCs w:val="28"/>
                <w:lang w:val="en-US"/>
              </w:rPr>
              <w:t>&lt;</w:t>
            </w:r>
            <w:r w:rsidRPr="00BA544F">
              <w:rPr>
                <w:rFonts w:ascii="Times New Roman" w:hAnsi="Times New Roman"/>
                <w:sz w:val="28"/>
                <w:szCs w:val="28"/>
              </w:rPr>
              <w:t>0,001</w:t>
            </w:r>
          </w:p>
        </w:tc>
        <w:tc>
          <w:tcPr>
            <w:tcW w:w="908"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336"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111"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136"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890"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049"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r>
      <w:tr w:rsidR="00730325" w:rsidRPr="00F41670" w:rsidTr="001F0C51">
        <w:tc>
          <w:tcPr>
            <w:tcW w:w="1746" w:type="dxa"/>
          </w:tcPr>
          <w:p w:rsidR="00730325" w:rsidRPr="00F41670" w:rsidRDefault="00730325" w:rsidP="001F0C51">
            <w:pPr>
              <w:jc w:val="center"/>
              <w:rPr>
                <w:rFonts w:ascii="Times New Roman" w:hAnsi="Times New Roman"/>
                <w:sz w:val="28"/>
                <w:szCs w:val="28"/>
              </w:rPr>
            </w:pPr>
            <w:r w:rsidRPr="00F41670">
              <w:rPr>
                <w:rFonts w:ascii="Times New Roman" w:hAnsi="Times New Roman"/>
                <w:b/>
                <w:i/>
                <w:sz w:val="28"/>
                <w:szCs w:val="28"/>
              </w:rPr>
              <w:t>р</w:t>
            </w:r>
            <w:r w:rsidRPr="00F41670">
              <w:rPr>
                <w:rFonts w:ascii="Times New Roman" w:hAnsi="Times New Roman"/>
                <w:b/>
                <w:i/>
                <w:sz w:val="28"/>
                <w:szCs w:val="28"/>
                <w:vertAlign w:val="subscript"/>
              </w:rPr>
              <w:t>2,3</w:t>
            </w:r>
          </w:p>
        </w:tc>
        <w:tc>
          <w:tcPr>
            <w:tcW w:w="1317" w:type="dxa"/>
          </w:tcPr>
          <w:p w:rsidR="00730325" w:rsidRDefault="00730325" w:rsidP="001F0C51">
            <w:pPr>
              <w:jc w:val="center"/>
            </w:pPr>
            <w:r w:rsidRPr="00BA544F">
              <w:rPr>
                <w:rFonts w:ascii="Times New Roman" w:hAnsi="Times New Roman"/>
                <w:sz w:val="28"/>
                <w:szCs w:val="28"/>
                <w:lang w:val="en-US"/>
              </w:rPr>
              <w:t>&lt;</w:t>
            </w:r>
            <w:r w:rsidRPr="00BA544F">
              <w:rPr>
                <w:rFonts w:ascii="Times New Roman" w:hAnsi="Times New Roman"/>
                <w:sz w:val="28"/>
                <w:szCs w:val="28"/>
              </w:rPr>
              <w:t>0,001</w:t>
            </w:r>
          </w:p>
        </w:tc>
        <w:tc>
          <w:tcPr>
            <w:tcW w:w="908"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336"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111"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136"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890"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c>
          <w:tcPr>
            <w:tcW w:w="1049" w:type="dxa"/>
          </w:tcPr>
          <w:p w:rsidR="00730325" w:rsidRPr="00F41670" w:rsidRDefault="00730325" w:rsidP="001F0C51">
            <w:pPr>
              <w:jc w:val="center"/>
              <w:rPr>
                <w:rFonts w:ascii="Times New Roman" w:hAnsi="Times New Roman"/>
                <w:sz w:val="28"/>
                <w:szCs w:val="28"/>
              </w:rPr>
            </w:pPr>
            <w:r w:rsidRPr="00F41670">
              <w:rPr>
                <w:rFonts w:ascii="Times New Roman" w:hAnsi="Times New Roman"/>
                <w:sz w:val="28"/>
                <w:szCs w:val="28"/>
              </w:rPr>
              <w:t>-</w:t>
            </w:r>
          </w:p>
        </w:tc>
      </w:tr>
    </w:tbl>
    <w:p w:rsidR="00730325" w:rsidRDefault="00730325" w:rsidP="00730325">
      <w:pPr>
        <w:spacing w:line="360" w:lineRule="auto"/>
        <w:jc w:val="both"/>
        <w:rPr>
          <w:rFonts w:ascii="Times New Roman" w:hAnsi="Times New Roman"/>
          <w:sz w:val="28"/>
          <w:szCs w:val="28"/>
        </w:rPr>
      </w:pPr>
      <w:r w:rsidRPr="00F41670">
        <w:rPr>
          <w:rFonts w:ascii="Times New Roman" w:hAnsi="Times New Roman"/>
          <w:sz w:val="28"/>
          <w:szCs w:val="28"/>
        </w:rPr>
        <w:t>Умовні позначення: СВ – стандартне відхилення, ДІ – довірчий інтервал</w:t>
      </w:r>
    </w:p>
    <w:p w:rsidR="00730325" w:rsidRDefault="007504C3" w:rsidP="007504C3">
      <w:pPr>
        <w:spacing w:line="360" w:lineRule="auto"/>
        <w:ind w:firstLine="708"/>
        <w:jc w:val="both"/>
        <w:rPr>
          <w:rFonts w:ascii="Times New Roman" w:hAnsi="Times New Roman" w:cs="Times New Roman"/>
          <w:sz w:val="28"/>
          <w:szCs w:val="28"/>
        </w:rPr>
      </w:pPr>
      <w:r>
        <w:rPr>
          <w:rFonts w:ascii="Times New Roman" w:hAnsi="Times New Roman"/>
          <w:sz w:val="28"/>
          <w:szCs w:val="28"/>
        </w:rPr>
        <w:lastRenderedPageBreak/>
        <w:t>В групі із локальним рецидивом НКР, показник ВКД знаходився в межах, які були отримані нами раніше у випадку первинного НКР: від 1,31 до 1,98</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це є логічним спостереженням і свідчить про правильність запропонованої методики. Водночас, у групі порівняння, отриманий діапазон значень ВКД (0,74-1,55</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був значно нижчим, як у порівнянні із групою із локальним рецидивом НКР, так і нормальною нирковою паренхімою  і відображав суттєве обмеження дифузії в ділянці післяопераційного дефекту нирки. Такі дані ми пояснюємо розвитком в цій зоні тканинного фіброзу, наслідком чого є рестрикція дифузії, викликана зниження </w:t>
      </w:r>
      <w:r w:rsidR="00B02037">
        <w:rPr>
          <w:rFonts w:ascii="Times New Roman" w:hAnsi="Times New Roman"/>
          <w:sz w:val="28"/>
          <w:szCs w:val="28"/>
        </w:rPr>
        <w:t>ступеня</w:t>
      </w:r>
      <w:r>
        <w:rPr>
          <w:rFonts w:ascii="Times New Roman" w:hAnsi="Times New Roman"/>
          <w:sz w:val="28"/>
          <w:szCs w:val="28"/>
        </w:rPr>
        <w:t xml:space="preserve"> мікроваскуляризації.</w:t>
      </w:r>
    </w:p>
    <w:p w:rsidR="00730325" w:rsidRPr="009C11DB" w:rsidRDefault="00730325" w:rsidP="00730325">
      <w:pPr>
        <w:spacing w:line="360" w:lineRule="auto"/>
        <w:jc w:val="both"/>
        <w:rPr>
          <w:rFonts w:ascii="Times New Roman" w:hAnsi="Times New Roman"/>
          <w:sz w:val="28"/>
          <w:szCs w:val="28"/>
        </w:rPr>
      </w:pPr>
      <w:r>
        <w:rPr>
          <w:rFonts w:ascii="Times New Roman" w:hAnsi="Times New Roman" w:cs="Times New Roman"/>
          <w:sz w:val="28"/>
          <w:szCs w:val="28"/>
        </w:rPr>
        <w:tab/>
        <w:t>Показовим є те, що в той час, як середні значення ВКД при конвенційному, папілярному та хромофобному гістологічних підтипах НКР у групі з локальним рецидивом становили відповідно 1,72±0,10</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1,61</w:t>
      </w:r>
      <w:r>
        <w:rPr>
          <w:rFonts w:ascii="Times New Roman" w:hAnsi="Times New Roman" w:cs="Times New Roman"/>
          <w:sz w:val="28"/>
          <w:szCs w:val="28"/>
        </w:rPr>
        <w:t>±</w:t>
      </w:r>
      <w:r>
        <w:rPr>
          <w:rFonts w:ascii="Times New Roman" w:hAnsi="Times New Roman"/>
          <w:sz w:val="28"/>
          <w:szCs w:val="28"/>
        </w:rPr>
        <w:t>0,03</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та 1,39</w:t>
      </w:r>
      <w:r>
        <w:rPr>
          <w:rFonts w:ascii="Times New Roman" w:hAnsi="Times New Roman" w:cs="Times New Roman"/>
          <w:sz w:val="28"/>
          <w:szCs w:val="28"/>
        </w:rPr>
        <w:t>±</w:t>
      </w:r>
      <w:r>
        <w:rPr>
          <w:rFonts w:ascii="Times New Roman" w:hAnsi="Times New Roman"/>
          <w:sz w:val="28"/>
          <w:szCs w:val="28"/>
        </w:rPr>
        <w:t>0,11</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і в цьому дещо відрізнялись від показників отриманих при діагностиці первинної пухлини, діапазони їх значень цілком відповідали один одному, як при ЛР, так і вперше виявленому НКР. </w:t>
      </w:r>
    </w:p>
    <w:p w:rsidR="00730325" w:rsidRDefault="00730325" w:rsidP="00730325">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892F212" wp14:editId="685D99BC">
            <wp:extent cx="3671517" cy="2933700"/>
            <wp:effectExtent l="0" t="0" r="5715"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707493" cy="2962446"/>
                    </a:xfrm>
                    <a:prstGeom prst="rect">
                      <a:avLst/>
                    </a:prstGeom>
                    <a:noFill/>
                    <a:ln>
                      <a:noFill/>
                    </a:ln>
                  </pic:spPr>
                </pic:pic>
              </a:graphicData>
            </a:graphic>
          </wp:inline>
        </w:drawing>
      </w:r>
    </w:p>
    <w:p w:rsidR="00730325" w:rsidRPr="009004BE" w:rsidRDefault="00CB4995" w:rsidP="009004BE">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5.6</w:t>
      </w:r>
      <w:r w:rsidR="00730325">
        <w:rPr>
          <w:rFonts w:ascii="Times New Roman" w:hAnsi="Times New Roman" w:cs="Times New Roman"/>
          <w:sz w:val="28"/>
          <w:szCs w:val="28"/>
        </w:rPr>
        <w:t>. Коробкова діаграма вимірюваного коефіцієнта дифузії у хворих із локальним рецидивом НКР, фібротичними післяопераційними змінами операційного дефекту нирки та нормальної ниркової паренхіми</w:t>
      </w:r>
    </w:p>
    <w:p w:rsidR="00730325" w:rsidRPr="00A73E43" w:rsidRDefault="00730325" w:rsidP="00730325">
      <w:pPr>
        <w:spacing w:line="360" w:lineRule="auto"/>
        <w:ind w:firstLine="708"/>
        <w:jc w:val="both"/>
        <w:rPr>
          <w:rFonts w:ascii="Times New Roman" w:hAnsi="Times New Roman"/>
          <w:sz w:val="28"/>
          <w:szCs w:val="28"/>
        </w:rPr>
      </w:pPr>
      <w:r>
        <w:rPr>
          <w:rFonts w:ascii="Times New Roman" w:hAnsi="Times New Roman"/>
          <w:sz w:val="28"/>
          <w:szCs w:val="28"/>
        </w:rPr>
        <w:lastRenderedPageBreak/>
        <w:t xml:space="preserve">В нашому дослідженні у 13 (92,86%) з 14 випадків локального рецидиву НКР ми спостерігали високий ступінь пухлини за </w:t>
      </w:r>
      <w:r>
        <w:rPr>
          <w:rFonts w:ascii="Times New Roman" w:hAnsi="Times New Roman"/>
          <w:sz w:val="28"/>
          <w:szCs w:val="28"/>
          <w:lang w:val="en-US"/>
        </w:rPr>
        <w:t>Fuhrman</w:t>
      </w:r>
      <w:r>
        <w:rPr>
          <w:rFonts w:ascii="Times New Roman" w:hAnsi="Times New Roman"/>
          <w:sz w:val="28"/>
          <w:szCs w:val="28"/>
        </w:rPr>
        <w:t>. При цьому, середнє значення ВКД конвенційного (</w:t>
      </w:r>
      <w:r>
        <w:rPr>
          <w:rFonts w:ascii="Times New Roman" w:hAnsi="Times New Roman"/>
          <w:sz w:val="28"/>
          <w:szCs w:val="28"/>
          <w:lang w:val="en-US"/>
        </w:rPr>
        <w:t>n</w:t>
      </w:r>
      <w:r w:rsidRPr="009E6C7E">
        <w:rPr>
          <w:rFonts w:ascii="Times New Roman" w:hAnsi="Times New Roman"/>
          <w:sz w:val="28"/>
          <w:szCs w:val="28"/>
          <w:lang w:val="ru-RU"/>
        </w:rPr>
        <w:t>=7)</w:t>
      </w:r>
      <w:r>
        <w:rPr>
          <w:rFonts w:ascii="Times New Roman" w:hAnsi="Times New Roman"/>
          <w:sz w:val="28"/>
          <w:szCs w:val="28"/>
        </w:rPr>
        <w:t xml:space="preserve"> та папілярного</w:t>
      </w:r>
      <w:r w:rsidRPr="009E6C7E">
        <w:rPr>
          <w:rFonts w:ascii="Times New Roman" w:hAnsi="Times New Roman"/>
          <w:sz w:val="28"/>
          <w:szCs w:val="28"/>
          <w:lang w:val="ru-RU"/>
        </w:rPr>
        <w:t xml:space="preserve"> </w:t>
      </w:r>
      <w:r>
        <w:rPr>
          <w:rFonts w:ascii="Times New Roman" w:hAnsi="Times New Roman"/>
          <w:sz w:val="28"/>
          <w:szCs w:val="28"/>
        </w:rPr>
        <w:t>(</w:t>
      </w:r>
      <w:r>
        <w:rPr>
          <w:rFonts w:ascii="Times New Roman" w:hAnsi="Times New Roman"/>
          <w:sz w:val="28"/>
          <w:szCs w:val="28"/>
          <w:lang w:val="en-US"/>
        </w:rPr>
        <w:t>n</w:t>
      </w:r>
      <w:r w:rsidRPr="009E6C7E">
        <w:rPr>
          <w:rFonts w:ascii="Times New Roman" w:hAnsi="Times New Roman"/>
          <w:sz w:val="28"/>
          <w:szCs w:val="28"/>
          <w:lang w:val="ru-RU"/>
        </w:rPr>
        <w:t>=4)</w:t>
      </w:r>
      <w:r>
        <w:rPr>
          <w:rFonts w:ascii="Times New Roman" w:hAnsi="Times New Roman"/>
          <w:sz w:val="28"/>
          <w:szCs w:val="28"/>
        </w:rPr>
        <w:t xml:space="preserve"> підтипів НКР високого </w:t>
      </w:r>
      <w:r w:rsidR="00B02037">
        <w:rPr>
          <w:rFonts w:ascii="Times New Roman" w:hAnsi="Times New Roman"/>
          <w:sz w:val="28"/>
          <w:szCs w:val="28"/>
        </w:rPr>
        <w:t>ступеня</w:t>
      </w:r>
      <w:r>
        <w:rPr>
          <w:rFonts w:ascii="Times New Roman" w:hAnsi="Times New Roman"/>
          <w:sz w:val="28"/>
          <w:szCs w:val="28"/>
        </w:rPr>
        <w:t xml:space="preserve"> становили відповідно 1,68</w:t>
      </w:r>
      <w:r>
        <w:rPr>
          <w:rFonts w:ascii="Times New Roman" w:hAnsi="Times New Roman" w:cs="Times New Roman"/>
          <w:sz w:val="28"/>
          <w:szCs w:val="28"/>
        </w:rPr>
        <w:t>±</w:t>
      </w:r>
      <w:r>
        <w:rPr>
          <w:rFonts w:ascii="Times New Roman" w:hAnsi="Times New Roman"/>
          <w:sz w:val="28"/>
          <w:szCs w:val="28"/>
        </w:rPr>
        <w:t>0,01</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та 1,61</w:t>
      </w:r>
      <w:r>
        <w:rPr>
          <w:rFonts w:ascii="Times New Roman" w:hAnsi="Times New Roman" w:cs="Times New Roman"/>
          <w:sz w:val="28"/>
          <w:szCs w:val="28"/>
        </w:rPr>
        <w:t>±</w:t>
      </w:r>
      <w:r>
        <w:rPr>
          <w:rFonts w:ascii="Times New Roman" w:hAnsi="Times New Roman"/>
          <w:sz w:val="28"/>
          <w:szCs w:val="28"/>
        </w:rPr>
        <w:t>0,03</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що також було наближеним до значень вперше виявленого НКР.</w:t>
      </w:r>
    </w:p>
    <w:p w:rsidR="00730325" w:rsidRDefault="00730325" w:rsidP="00730325">
      <w:pPr>
        <w:spacing w:line="360" w:lineRule="auto"/>
        <w:ind w:firstLine="708"/>
        <w:jc w:val="both"/>
        <w:rPr>
          <w:rFonts w:ascii="Times New Roman" w:hAnsi="Times New Roman"/>
          <w:sz w:val="28"/>
          <w:szCs w:val="28"/>
        </w:rPr>
      </w:pPr>
      <w:r>
        <w:rPr>
          <w:rFonts w:ascii="Times New Roman" w:hAnsi="Times New Roman"/>
          <w:sz w:val="28"/>
          <w:szCs w:val="28"/>
        </w:rPr>
        <w:t xml:space="preserve">Висвітлені вище дані свідчать, що про те, що показники вимірюваного коефіцієнта дифузії при локальному рецидиві НКР знаходяться в діапазоні вперше виявленої пухлини, що є зрозумілим, оскільки при прогресії даного захворювання зміна гістологічного підтипу новоутворення зазвичай не спостерігається, а найчастіше додатково виникають саркоматоїдна або/та рабдоїдна диференціація, що є поганим прогностичним фактором. Водночас, в нашому дослідженні таких змін ми не зустрічали. </w:t>
      </w:r>
    </w:p>
    <w:p w:rsidR="00730325" w:rsidRPr="00C769E0" w:rsidRDefault="00730325" w:rsidP="00730325">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sz w:val="28"/>
          <w:szCs w:val="28"/>
        </w:rPr>
        <w:t xml:space="preserve">При </w:t>
      </w:r>
      <w:r>
        <w:rPr>
          <w:rFonts w:ascii="Times New Roman" w:hAnsi="Times New Roman"/>
          <w:sz w:val="28"/>
          <w:szCs w:val="28"/>
          <w:lang w:val="en-US"/>
        </w:rPr>
        <w:t>ROC</w:t>
      </w:r>
      <w:r w:rsidRPr="009E6C7E">
        <w:rPr>
          <w:rFonts w:ascii="Times New Roman" w:hAnsi="Times New Roman"/>
          <w:sz w:val="28"/>
          <w:szCs w:val="28"/>
          <w:lang w:val="ru-RU"/>
        </w:rPr>
        <w:t>-</w:t>
      </w:r>
      <w:r>
        <w:rPr>
          <w:rFonts w:ascii="Times New Roman" w:hAnsi="Times New Roman"/>
          <w:sz w:val="28"/>
          <w:szCs w:val="28"/>
        </w:rPr>
        <w:t>аналізі</w:t>
      </w:r>
      <w:r w:rsidRPr="009E6C7E">
        <w:rPr>
          <w:rFonts w:ascii="Times New Roman" w:hAnsi="Times New Roman"/>
          <w:sz w:val="28"/>
          <w:szCs w:val="28"/>
          <w:lang w:val="ru-RU"/>
        </w:rPr>
        <w:t xml:space="preserve"> </w:t>
      </w:r>
      <w:r>
        <w:rPr>
          <w:rFonts w:ascii="Times New Roman" w:hAnsi="Times New Roman"/>
          <w:sz w:val="28"/>
          <w:szCs w:val="28"/>
        </w:rPr>
        <w:t xml:space="preserve">застосування ВКД з пороговою величиною </w:t>
      </w:r>
      <w:r w:rsidRPr="00832C03">
        <w:rPr>
          <w:rFonts w:ascii="Times New Roman" w:hAnsi="Times New Roman" w:cs="Times New Roman"/>
          <w:sz w:val="28"/>
          <w:szCs w:val="28"/>
        </w:rPr>
        <w:t>1,28×</w:t>
      </w:r>
      <w:r w:rsidRPr="00832C03">
        <w:rPr>
          <w:rFonts w:ascii="Times New Roman" w:hAnsi="Times New Roman"/>
          <w:sz w:val="28"/>
          <w:szCs w:val="28"/>
        </w:rPr>
        <w:t>10</w:t>
      </w:r>
      <w:r w:rsidRPr="00832C03">
        <w:rPr>
          <w:rFonts w:ascii="Times New Roman" w:hAnsi="Times New Roman"/>
          <w:sz w:val="28"/>
          <w:szCs w:val="28"/>
          <w:vertAlign w:val="superscript"/>
        </w:rPr>
        <w:t>-3</w:t>
      </w:r>
      <w:r w:rsidRPr="00832C03">
        <w:rPr>
          <w:rFonts w:ascii="Times New Roman" w:hAnsi="Times New Roman"/>
          <w:sz w:val="28"/>
          <w:szCs w:val="28"/>
        </w:rPr>
        <w:t xml:space="preserve"> мм</w:t>
      </w:r>
      <w:r w:rsidRPr="00832C03">
        <w:rPr>
          <w:rFonts w:ascii="Times New Roman" w:hAnsi="Times New Roman"/>
          <w:sz w:val="28"/>
          <w:szCs w:val="28"/>
          <w:vertAlign w:val="superscript"/>
        </w:rPr>
        <w:t>2</w:t>
      </w:r>
      <w:r w:rsidRPr="00832C03">
        <w:rPr>
          <w:rFonts w:ascii="Times New Roman" w:hAnsi="Times New Roman"/>
          <w:sz w:val="28"/>
          <w:szCs w:val="28"/>
        </w:rPr>
        <w:t>/с</w:t>
      </w:r>
      <w:r w:rsidRPr="00832C03">
        <w:rPr>
          <w:rFonts w:ascii="Times New Roman" w:hAnsi="Times New Roman" w:cs="Times New Roman"/>
          <w:sz w:val="28"/>
          <w:szCs w:val="28"/>
        </w:rPr>
        <w:t xml:space="preserve">  </w:t>
      </w:r>
      <w:r>
        <w:rPr>
          <w:rFonts w:ascii="Times New Roman" w:hAnsi="Times New Roman" w:cs="Times New Roman"/>
          <w:sz w:val="28"/>
          <w:szCs w:val="28"/>
        </w:rPr>
        <w:t>дозволяло диференціювати локальний рецидив НКР від фібротичних післяопераційних змін паренхіми нирки із</w:t>
      </w:r>
      <w:r w:rsidRPr="00832C03">
        <w:rPr>
          <w:rFonts w:ascii="Times New Roman" w:hAnsi="Times New Roman" w:cs="Times New Roman"/>
          <w:sz w:val="28"/>
          <w:szCs w:val="28"/>
        </w:rPr>
        <w:t xml:space="preserve"> 100%</w:t>
      </w:r>
      <w:r>
        <w:rPr>
          <w:rFonts w:ascii="Times New Roman" w:hAnsi="Times New Roman" w:cs="Times New Roman"/>
          <w:sz w:val="28"/>
          <w:szCs w:val="28"/>
        </w:rPr>
        <w:t xml:space="preserve"> чутливістю, </w:t>
      </w:r>
      <w:r w:rsidRPr="00832C03">
        <w:rPr>
          <w:rFonts w:ascii="Times New Roman" w:hAnsi="Times New Roman" w:cs="Times New Roman"/>
          <w:sz w:val="28"/>
          <w:szCs w:val="28"/>
        </w:rPr>
        <w:t>80%</w:t>
      </w:r>
      <w:r>
        <w:rPr>
          <w:rFonts w:ascii="Times New Roman" w:hAnsi="Times New Roman" w:cs="Times New Roman"/>
          <w:sz w:val="28"/>
          <w:szCs w:val="28"/>
        </w:rPr>
        <w:t xml:space="preserve"> специфічністю та високою точністю: </w:t>
      </w:r>
      <w:r>
        <w:rPr>
          <w:rFonts w:ascii="Times New Roman" w:hAnsi="Times New Roman" w:cs="Times New Roman"/>
          <w:sz w:val="28"/>
          <w:szCs w:val="28"/>
          <w:lang w:val="en-US"/>
        </w:rPr>
        <w:t>AUC</w:t>
      </w:r>
      <w:r w:rsidRPr="009E6C7E">
        <w:rPr>
          <w:rFonts w:ascii="Times New Roman" w:hAnsi="Times New Roman" w:cs="Times New Roman"/>
          <w:sz w:val="28"/>
          <w:szCs w:val="28"/>
        </w:rPr>
        <w:t>=</w:t>
      </w:r>
      <w:r w:rsidRPr="00832C03">
        <w:rPr>
          <w:rFonts w:ascii="Times New Roman" w:hAnsi="Times New Roman" w:cs="Times New Roman"/>
          <w:sz w:val="28"/>
          <w:szCs w:val="28"/>
        </w:rPr>
        <w:t>0,980 (95% ДІ</w:t>
      </w:r>
      <w:r w:rsidRPr="009E6C7E">
        <w:rPr>
          <w:rFonts w:ascii="Times New Roman" w:hAnsi="Times New Roman" w:cs="Times New Roman"/>
          <w:sz w:val="28"/>
          <w:szCs w:val="28"/>
        </w:rPr>
        <w:t>=0</w:t>
      </w:r>
      <w:r w:rsidRPr="00832C03">
        <w:rPr>
          <w:rFonts w:ascii="Times New Roman" w:hAnsi="Times New Roman" w:cs="Times New Roman"/>
          <w:sz w:val="28"/>
          <w:szCs w:val="28"/>
        </w:rPr>
        <w:t xml:space="preserve">,945-0,998, </w:t>
      </w:r>
      <w:r w:rsidRPr="009E6C7E">
        <w:rPr>
          <w:rFonts w:ascii="Times New Roman" w:hAnsi="Times New Roman" w:cs="Times New Roman"/>
          <w:sz w:val="28"/>
          <w:szCs w:val="28"/>
        </w:rPr>
        <w:t>р&lt;</w:t>
      </w:r>
      <w:r w:rsidRPr="00832C03">
        <w:rPr>
          <w:rFonts w:ascii="Times New Roman" w:hAnsi="Times New Roman" w:cs="Times New Roman"/>
          <w:sz w:val="28"/>
          <w:szCs w:val="28"/>
        </w:rPr>
        <w:t>0,001)</w:t>
      </w:r>
      <w:r w:rsidR="00CB4995">
        <w:rPr>
          <w:rFonts w:ascii="Times New Roman" w:hAnsi="Times New Roman" w:cs="Times New Roman"/>
          <w:sz w:val="28"/>
          <w:szCs w:val="28"/>
        </w:rPr>
        <w:t>, рисунок 5.7</w:t>
      </w:r>
      <w:r>
        <w:rPr>
          <w:rFonts w:ascii="Times New Roman" w:hAnsi="Times New Roman" w:cs="Times New Roman"/>
          <w:sz w:val="28"/>
          <w:szCs w:val="28"/>
        </w:rPr>
        <w:t>.</w:t>
      </w:r>
    </w:p>
    <w:p w:rsidR="00730325" w:rsidRDefault="00730325" w:rsidP="00730325">
      <w:pPr>
        <w:autoSpaceDE w:val="0"/>
        <w:autoSpaceDN w:val="0"/>
        <w:adjustRightInd w:val="0"/>
        <w:spacing w:after="0" w:line="400" w:lineRule="atLeast"/>
        <w:rPr>
          <w:rFonts w:ascii="Times New Roman" w:hAnsi="Times New Roman" w:cs="Times New Roman"/>
          <w:sz w:val="24"/>
          <w:szCs w:val="24"/>
        </w:rPr>
      </w:pPr>
    </w:p>
    <w:p w:rsidR="00730325" w:rsidRDefault="00730325" w:rsidP="00730325">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9DF9FDB" wp14:editId="4304773D">
            <wp:extent cx="2804969" cy="2771775"/>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l="9888" r="9251"/>
                    <a:stretch/>
                  </pic:blipFill>
                  <pic:spPr bwMode="auto">
                    <a:xfrm>
                      <a:off x="0" y="0"/>
                      <a:ext cx="2824600" cy="2791174"/>
                    </a:xfrm>
                    <a:prstGeom prst="rect">
                      <a:avLst/>
                    </a:prstGeom>
                    <a:noFill/>
                    <a:ln>
                      <a:noFill/>
                    </a:ln>
                    <a:extLst>
                      <a:ext uri="{53640926-AAD7-44D8-BBD7-CCE9431645EC}">
                        <a14:shadowObscured xmlns:a14="http://schemas.microsoft.com/office/drawing/2010/main"/>
                      </a:ext>
                    </a:extLst>
                  </pic:spPr>
                </pic:pic>
              </a:graphicData>
            </a:graphic>
          </wp:inline>
        </w:drawing>
      </w:r>
    </w:p>
    <w:p w:rsidR="00730325" w:rsidRDefault="00730325" w:rsidP="00730325">
      <w:pPr>
        <w:autoSpaceDE w:val="0"/>
        <w:autoSpaceDN w:val="0"/>
        <w:adjustRightInd w:val="0"/>
        <w:spacing w:after="0" w:line="240" w:lineRule="auto"/>
        <w:jc w:val="center"/>
        <w:rPr>
          <w:rFonts w:ascii="Times New Roman" w:hAnsi="Times New Roman" w:cs="Times New Roman"/>
          <w:sz w:val="24"/>
          <w:szCs w:val="24"/>
        </w:rPr>
      </w:pPr>
    </w:p>
    <w:p w:rsidR="00730325" w:rsidRDefault="00CB4995" w:rsidP="007504C3">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5.7</w:t>
      </w:r>
      <w:r w:rsidR="00730325">
        <w:rPr>
          <w:rFonts w:ascii="Times New Roman" w:hAnsi="Times New Roman" w:cs="Times New Roman"/>
          <w:sz w:val="28"/>
          <w:szCs w:val="28"/>
        </w:rPr>
        <w:t xml:space="preserve">. </w:t>
      </w:r>
      <w:r w:rsidR="00730325">
        <w:rPr>
          <w:rFonts w:ascii="Times New Roman" w:hAnsi="Times New Roman" w:cs="Times New Roman"/>
          <w:sz w:val="28"/>
          <w:szCs w:val="28"/>
          <w:lang w:val="en-US"/>
        </w:rPr>
        <w:t>ROC</w:t>
      </w:r>
      <w:r w:rsidR="00730325">
        <w:rPr>
          <w:rFonts w:ascii="Times New Roman" w:hAnsi="Times New Roman" w:cs="Times New Roman"/>
          <w:sz w:val="28"/>
          <w:szCs w:val="28"/>
        </w:rPr>
        <w:t xml:space="preserve">-криві </w:t>
      </w:r>
      <w:r w:rsidR="00730325">
        <w:rPr>
          <w:rFonts w:ascii="Times New Roman" w:hAnsi="Times New Roman"/>
          <w:sz w:val="28"/>
          <w:szCs w:val="28"/>
        </w:rPr>
        <w:t xml:space="preserve">застосування ВКД для диференціації </w:t>
      </w:r>
      <w:r w:rsidR="00730325">
        <w:rPr>
          <w:rFonts w:ascii="Times New Roman" w:hAnsi="Times New Roman" w:cs="Times New Roman"/>
          <w:sz w:val="28"/>
          <w:szCs w:val="28"/>
        </w:rPr>
        <w:t>рецидиву НКР від фібротичних післяопераційних змін паренхіми нирки</w:t>
      </w:r>
    </w:p>
    <w:p w:rsidR="00730325" w:rsidRDefault="00730325" w:rsidP="0073032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4"/>
          <w:szCs w:val="24"/>
        </w:rPr>
        <w:lastRenderedPageBreak/>
        <w:tab/>
      </w:r>
      <w:r w:rsidRPr="00C769E0">
        <w:rPr>
          <w:rFonts w:ascii="Times New Roman" w:hAnsi="Times New Roman" w:cs="Times New Roman"/>
          <w:sz w:val="28"/>
          <w:szCs w:val="28"/>
        </w:rPr>
        <w:t xml:space="preserve">Таким чином, </w:t>
      </w:r>
      <w:r>
        <w:rPr>
          <w:rFonts w:ascii="Times New Roman" w:hAnsi="Times New Roman" w:cs="Times New Roman"/>
          <w:sz w:val="28"/>
          <w:szCs w:val="28"/>
        </w:rPr>
        <w:t>можна стверджувати, що застосування вимірюваного коефіцієнта дифузії дифузійно-зважених зображень може ефективно та з високою точністю застосовуватись як променевий біомаркер для діагностики локального рецидиву НКР за умови його локалізації в товщі ниркової паренхіми.</w:t>
      </w:r>
    </w:p>
    <w:p w:rsidR="00730325" w:rsidRPr="00D71A2A" w:rsidRDefault="00730325" w:rsidP="0073032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14:anchorId="1D5F4178" wp14:editId="6A5F580E">
            <wp:extent cx="5939790" cy="3148330"/>
            <wp:effectExtent l="0" t="0" r="3810"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a:blip r:embed="rId101">
                      <a:extLst>
                        <a:ext uri="{28A0092B-C50C-407E-A947-70E740481C1C}">
                          <a14:useLocalDpi xmlns:a14="http://schemas.microsoft.com/office/drawing/2010/main" val="0"/>
                        </a:ext>
                      </a:extLst>
                    </a:blip>
                    <a:stretch>
                      <a:fillRect/>
                    </a:stretch>
                  </pic:blipFill>
                  <pic:spPr>
                    <a:xfrm>
                      <a:off x="0" y="0"/>
                      <a:ext cx="5939790" cy="3148330"/>
                    </a:xfrm>
                    <a:prstGeom prst="rect">
                      <a:avLst/>
                    </a:prstGeom>
                  </pic:spPr>
                </pic:pic>
              </a:graphicData>
            </a:graphic>
          </wp:inline>
        </w:drawing>
      </w:r>
    </w:p>
    <w:p w:rsidR="00730325" w:rsidRPr="00360A48" w:rsidRDefault="00CB4995" w:rsidP="0073032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Рис 5.8</w:t>
      </w:r>
      <w:r w:rsidR="00730325">
        <w:rPr>
          <w:rFonts w:ascii="Times New Roman" w:hAnsi="Times New Roman" w:cs="Times New Roman"/>
          <w:sz w:val="28"/>
          <w:szCs w:val="28"/>
        </w:rPr>
        <w:t>. МРТ-дані хворої С., 61 р., стан після парціальної нефректомії внаслідок світлоклітинного НКР нижнього полюсу лівої нирки, стадії рТ1а</w:t>
      </w:r>
      <w:r w:rsidR="00730325">
        <w:rPr>
          <w:rFonts w:ascii="Times New Roman" w:hAnsi="Times New Roman" w:cs="Times New Roman"/>
          <w:sz w:val="28"/>
          <w:szCs w:val="28"/>
          <w:lang w:val="en-US"/>
        </w:rPr>
        <w:t>N</w:t>
      </w:r>
      <w:r w:rsidR="00730325" w:rsidRPr="009E6C7E">
        <w:rPr>
          <w:rFonts w:ascii="Times New Roman" w:hAnsi="Times New Roman" w:cs="Times New Roman"/>
          <w:sz w:val="28"/>
          <w:szCs w:val="28"/>
        </w:rPr>
        <w:t>0</w:t>
      </w:r>
      <w:r w:rsidR="00730325">
        <w:rPr>
          <w:rFonts w:ascii="Times New Roman" w:hAnsi="Times New Roman" w:cs="Times New Roman"/>
          <w:sz w:val="28"/>
          <w:szCs w:val="28"/>
          <w:lang w:val="en-US"/>
        </w:rPr>
        <w:t>M</w:t>
      </w:r>
      <w:r w:rsidR="00730325" w:rsidRPr="009E6C7E">
        <w:rPr>
          <w:rFonts w:ascii="Times New Roman" w:hAnsi="Times New Roman" w:cs="Times New Roman"/>
          <w:sz w:val="28"/>
          <w:szCs w:val="28"/>
        </w:rPr>
        <w:t>0</w:t>
      </w:r>
      <w:r w:rsidR="00730325">
        <w:rPr>
          <w:rFonts w:ascii="Times New Roman" w:hAnsi="Times New Roman" w:cs="Times New Roman"/>
          <w:sz w:val="28"/>
          <w:szCs w:val="28"/>
        </w:rPr>
        <w:t xml:space="preserve">, ІІІ ступінь за </w:t>
      </w:r>
      <w:r w:rsidR="00730325">
        <w:rPr>
          <w:rFonts w:ascii="Times New Roman" w:hAnsi="Times New Roman" w:cs="Times New Roman"/>
          <w:sz w:val="28"/>
          <w:szCs w:val="28"/>
          <w:lang w:val="en-US"/>
        </w:rPr>
        <w:t>Fuhrman</w:t>
      </w:r>
      <w:r w:rsidR="00730325">
        <w:rPr>
          <w:rFonts w:ascii="Times New Roman" w:hAnsi="Times New Roman" w:cs="Times New Roman"/>
          <w:sz w:val="28"/>
          <w:szCs w:val="28"/>
        </w:rPr>
        <w:t xml:space="preserve"> (стрілки), осьова проекція. В ділянці післяопераційного </w:t>
      </w:r>
      <w:r w:rsidR="002A5FC3">
        <w:rPr>
          <w:rFonts w:ascii="Times New Roman" w:hAnsi="Times New Roman" w:cs="Times New Roman"/>
          <w:sz w:val="28"/>
          <w:szCs w:val="28"/>
        </w:rPr>
        <w:t>дефекту нирки</w:t>
      </w:r>
      <w:r w:rsidR="00730325">
        <w:rPr>
          <w:rFonts w:ascii="Times New Roman" w:hAnsi="Times New Roman" w:cs="Times New Roman"/>
          <w:sz w:val="28"/>
          <w:szCs w:val="28"/>
        </w:rPr>
        <w:t xml:space="preserve"> спостерігалось підвищене накопичення контрасту. А: Т2-ЗЗ в режимі </w:t>
      </w:r>
      <w:r w:rsidR="00730325">
        <w:rPr>
          <w:rFonts w:ascii="Times New Roman" w:hAnsi="Times New Roman" w:cs="Times New Roman"/>
          <w:sz w:val="28"/>
          <w:szCs w:val="28"/>
          <w:lang w:val="en-US"/>
        </w:rPr>
        <w:t>FRFSE</w:t>
      </w:r>
      <w:r w:rsidR="00730325">
        <w:rPr>
          <w:rFonts w:ascii="Times New Roman" w:hAnsi="Times New Roman" w:cs="Times New Roman"/>
          <w:sz w:val="28"/>
          <w:szCs w:val="28"/>
        </w:rPr>
        <w:t xml:space="preserve">; Б: Подвійне ехо режимі </w:t>
      </w:r>
      <w:r w:rsidR="00730325">
        <w:rPr>
          <w:rFonts w:ascii="Times New Roman" w:hAnsi="Times New Roman" w:cs="Times New Roman"/>
          <w:sz w:val="28"/>
          <w:szCs w:val="28"/>
          <w:lang w:val="en-US"/>
        </w:rPr>
        <w:t>FSPGR</w:t>
      </w:r>
      <w:r w:rsidR="00730325">
        <w:rPr>
          <w:rFonts w:ascii="Times New Roman" w:hAnsi="Times New Roman" w:cs="Times New Roman"/>
          <w:sz w:val="28"/>
          <w:szCs w:val="28"/>
        </w:rPr>
        <w:t xml:space="preserve">; В: Т2-ЗЗ в режимі </w:t>
      </w:r>
      <w:r w:rsidR="00730325">
        <w:rPr>
          <w:rFonts w:ascii="Times New Roman" w:hAnsi="Times New Roman" w:cs="Times New Roman"/>
          <w:sz w:val="28"/>
          <w:szCs w:val="28"/>
          <w:lang w:val="en-US"/>
        </w:rPr>
        <w:t>FRFSE</w:t>
      </w:r>
      <w:r w:rsidR="00730325">
        <w:rPr>
          <w:rFonts w:ascii="Times New Roman" w:hAnsi="Times New Roman" w:cs="Times New Roman"/>
          <w:sz w:val="28"/>
          <w:szCs w:val="28"/>
        </w:rPr>
        <w:t xml:space="preserve">; Г: Т1-ЗЗ в режимі </w:t>
      </w:r>
      <w:r w:rsidR="00730325">
        <w:rPr>
          <w:rFonts w:ascii="Times New Roman" w:hAnsi="Times New Roman" w:cs="Times New Roman"/>
          <w:sz w:val="28"/>
          <w:szCs w:val="28"/>
          <w:lang w:val="en-US"/>
        </w:rPr>
        <w:t>FSPGR</w:t>
      </w:r>
      <w:r w:rsidR="00730325">
        <w:rPr>
          <w:rFonts w:ascii="Times New Roman" w:hAnsi="Times New Roman" w:cs="Times New Roman"/>
          <w:sz w:val="28"/>
          <w:szCs w:val="28"/>
        </w:rPr>
        <w:t xml:space="preserve">; Д: дифузійно-зважене зображення, в ділянці п/о рубця паренхіми нирки ділянка гіперінтенсивності; Ж: ВКД-карта, значення ВКД над ділянкою п/о </w:t>
      </w:r>
      <w:r w:rsidR="002A5FC3">
        <w:rPr>
          <w:rFonts w:ascii="Times New Roman" w:hAnsi="Times New Roman" w:cs="Times New Roman"/>
          <w:sz w:val="28"/>
          <w:szCs w:val="28"/>
        </w:rPr>
        <w:t>дефекту нирки</w:t>
      </w:r>
      <w:r w:rsidR="00730325">
        <w:rPr>
          <w:rFonts w:ascii="Times New Roman" w:hAnsi="Times New Roman" w:cs="Times New Roman"/>
          <w:sz w:val="28"/>
          <w:szCs w:val="28"/>
        </w:rPr>
        <w:t xml:space="preserve"> = </w:t>
      </w:r>
      <w:r w:rsidR="00730325">
        <w:rPr>
          <w:rFonts w:ascii="Times New Roman" w:hAnsi="Times New Roman"/>
          <w:sz w:val="28"/>
          <w:szCs w:val="28"/>
        </w:rPr>
        <w:t>1,67</w:t>
      </w:r>
      <w:r w:rsidR="00730325" w:rsidRPr="00E7795E">
        <w:rPr>
          <w:rFonts w:ascii="Times New Roman" w:hAnsi="Times New Roman" w:cs="Times New Roman"/>
          <w:sz w:val="28"/>
          <w:szCs w:val="28"/>
        </w:rPr>
        <w:t>×</w:t>
      </w:r>
      <w:r w:rsidR="00730325" w:rsidRPr="00E7795E">
        <w:rPr>
          <w:rFonts w:ascii="Times New Roman" w:hAnsi="Times New Roman"/>
          <w:sz w:val="28"/>
          <w:szCs w:val="28"/>
        </w:rPr>
        <w:t>10</w:t>
      </w:r>
      <w:r w:rsidR="00730325" w:rsidRPr="00E7795E">
        <w:rPr>
          <w:rFonts w:ascii="Times New Roman" w:hAnsi="Times New Roman"/>
          <w:sz w:val="28"/>
          <w:szCs w:val="28"/>
          <w:vertAlign w:val="superscript"/>
        </w:rPr>
        <w:t>-3</w:t>
      </w:r>
      <w:r w:rsidR="00730325" w:rsidRPr="00E7795E">
        <w:rPr>
          <w:rFonts w:ascii="Times New Roman" w:hAnsi="Times New Roman"/>
          <w:sz w:val="28"/>
          <w:szCs w:val="28"/>
        </w:rPr>
        <w:t xml:space="preserve"> мм</w:t>
      </w:r>
      <w:r w:rsidR="00730325" w:rsidRPr="00E7795E">
        <w:rPr>
          <w:rFonts w:ascii="Times New Roman" w:hAnsi="Times New Roman"/>
          <w:sz w:val="28"/>
          <w:szCs w:val="28"/>
          <w:vertAlign w:val="superscript"/>
        </w:rPr>
        <w:t>2</w:t>
      </w:r>
      <w:r w:rsidR="00730325" w:rsidRPr="00E7795E">
        <w:rPr>
          <w:rFonts w:ascii="Times New Roman" w:hAnsi="Times New Roman"/>
          <w:sz w:val="28"/>
          <w:szCs w:val="28"/>
        </w:rPr>
        <w:t>/с</w:t>
      </w:r>
      <w:r w:rsidR="00730325">
        <w:rPr>
          <w:rFonts w:ascii="Times New Roman" w:hAnsi="Times New Roman"/>
          <w:sz w:val="28"/>
          <w:szCs w:val="28"/>
        </w:rPr>
        <w:t xml:space="preserve">. Патоморфологічний діагноз після повторної резекції нирки: рецидивуючий конвенційний НКР </w:t>
      </w:r>
      <w:r w:rsidR="00730325">
        <w:rPr>
          <w:rFonts w:ascii="Times New Roman" w:hAnsi="Times New Roman" w:cs="Times New Roman"/>
          <w:sz w:val="28"/>
          <w:szCs w:val="28"/>
        </w:rPr>
        <w:t>рТ1а</w:t>
      </w:r>
      <w:r w:rsidR="00730325">
        <w:rPr>
          <w:rFonts w:ascii="Times New Roman" w:hAnsi="Times New Roman" w:cs="Times New Roman"/>
          <w:sz w:val="28"/>
          <w:szCs w:val="28"/>
          <w:lang w:val="en-US"/>
        </w:rPr>
        <w:t>N</w:t>
      </w:r>
      <w:r w:rsidR="00730325" w:rsidRPr="009E6C7E">
        <w:rPr>
          <w:rFonts w:ascii="Times New Roman" w:hAnsi="Times New Roman" w:cs="Times New Roman"/>
          <w:sz w:val="28"/>
          <w:szCs w:val="28"/>
        </w:rPr>
        <w:t>0</w:t>
      </w:r>
      <w:r w:rsidR="00730325">
        <w:rPr>
          <w:rFonts w:ascii="Times New Roman" w:hAnsi="Times New Roman" w:cs="Times New Roman"/>
          <w:sz w:val="28"/>
          <w:szCs w:val="28"/>
          <w:lang w:val="en-US"/>
        </w:rPr>
        <w:t>M</w:t>
      </w:r>
      <w:r w:rsidR="00730325" w:rsidRPr="009E6C7E">
        <w:rPr>
          <w:rFonts w:ascii="Times New Roman" w:hAnsi="Times New Roman" w:cs="Times New Roman"/>
          <w:sz w:val="28"/>
          <w:szCs w:val="28"/>
        </w:rPr>
        <w:t>0</w:t>
      </w:r>
      <w:r w:rsidR="00730325">
        <w:rPr>
          <w:rFonts w:ascii="Times New Roman" w:hAnsi="Times New Roman" w:cs="Times New Roman"/>
          <w:sz w:val="28"/>
          <w:szCs w:val="28"/>
        </w:rPr>
        <w:t xml:space="preserve">, ІІІ ступінь за </w:t>
      </w:r>
      <w:r w:rsidR="00730325">
        <w:rPr>
          <w:rFonts w:ascii="Times New Roman" w:hAnsi="Times New Roman" w:cs="Times New Roman"/>
          <w:sz w:val="28"/>
          <w:szCs w:val="28"/>
          <w:lang w:val="en-US"/>
        </w:rPr>
        <w:t>Fuhrman</w:t>
      </w:r>
      <w:r w:rsidR="00730325">
        <w:rPr>
          <w:rFonts w:ascii="Times New Roman" w:hAnsi="Times New Roman" w:cs="Times New Roman"/>
          <w:sz w:val="28"/>
          <w:szCs w:val="28"/>
        </w:rPr>
        <w:t>.</w:t>
      </w:r>
    </w:p>
    <w:p w:rsidR="00730325" w:rsidRPr="00C769E0" w:rsidRDefault="00730325" w:rsidP="00730325">
      <w:pPr>
        <w:autoSpaceDE w:val="0"/>
        <w:autoSpaceDN w:val="0"/>
        <w:adjustRightInd w:val="0"/>
        <w:spacing w:after="0" w:line="360" w:lineRule="auto"/>
        <w:jc w:val="both"/>
        <w:rPr>
          <w:rFonts w:ascii="Times New Roman" w:hAnsi="Times New Roman" w:cs="Times New Roman"/>
          <w:sz w:val="28"/>
          <w:szCs w:val="28"/>
        </w:rPr>
      </w:pPr>
    </w:p>
    <w:p w:rsidR="00730325" w:rsidRDefault="00730325" w:rsidP="00ED0862">
      <w:pPr>
        <w:pStyle w:val="Standard"/>
        <w:autoSpaceDE w:val="0"/>
        <w:spacing w:line="360" w:lineRule="auto"/>
        <w:jc w:val="both"/>
        <w:rPr>
          <w:rFonts w:cs="Times New Roman"/>
          <w:sz w:val="28"/>
          <w:szCs w:val="28"/>
        </w:rPr>
      </w:pPr>
    </w:p>
    <w:p w:rsidR="00730325" w:rsidRDefault="00730325" w:rsidP="00ED0862">
      <w:pPr>
        <w:pStyle w:val="Standard"/>
        <w:autoSpaceDE w:val="0"/>
        <w:spacing w:line="360" w:lineRule="auto"/>
        <w:jc w:val="both"/>
        <w:rPr>
          <w:rFonts w:cs="Times New Roman"/>
          <w:sz w:val="28"/>
          <w:szCs w:val="28"/>
        </w:rPr>
      </w:pPr>
    </w:p>
    <w:p w:rsidR="00730325" w:rsidRDefault="00730325" w:rsidP="00ED0862">
      <w:pPr>
        <w:pStyle w:val="Standard"/>
        <w:autoSpaceDE w:val="0"/>
        <w:spacing w:line="360" w:lineRule="auto"/>
        <w:jc w:val="both"/>
        <w:rPr>
          <w:rFonts w:cs="Times New Roman"/>
          <w:sz w:val="28"/>
          <w:szCs w:val="28"/>
        </w:rPr>
      </w:pPr>
    </w:p>
    <w:p w:rsidR="003735EA" w:rsidRPr="000B25D6" w:rsidRDefault="003735EA" w:rsidP="003735EA">
      <w:pPr>
        <w:spacing w:line="360" w:lineRule="auto"/>
        <w:jc w:val="both"/>
        <w:rPr>
          <w:rFonts w:ascii="Times New Roman" w:hAnsi="Times New Roman" w:cs="Times New Roman"/>
          <w:b/>
          <w:sz w:val="28"/>
          <w:szCs w:val="28"/>
        </w:rPr>
      </w:pPr>
      <w:r w:rsidRPr="009E6C7E">
        <w:rPr>
          <w:rFonts w:ascii="Times New Roman" w:hAnsi="Times New Roman" w:cs="Times New Roman"/>
          <w:b/>
          <w:sz w:val="28"/>
          <w:szCs w:val="28"/>
        </w:rPr>
        <w:lastRenderedPageBreak/>
        <w:t xml:space="preserve">5.3. </w:t>
      </w:r>
      <w:r w:rsidRPr="000B25D6">
        <w:rPr>
          <w:rFonts w:ascii="Times New Roman" w:hAnsi="Times New Roman" w:cs="Times New Roman"/>
          <w:b/>
          <w:sz w:val="28"/>
          <w:szCs w:val="28"/>
        </w:rPr>
        <w:t xml:space="preserve">Оцінка ранньої </w:t>
      </w:r>
      <w:r w:rsidR="00582BAD">
        <w:rPr>
          <w:rFonts w:ascii="Times New Roman" w:hAnsi="Times New Roman" w:cs="Times New Roman"/>
          <w:b/>
          <w:sz w:val="28"/>
          <w:szCs w:val="28"/>
        </w:rPr>
        <w:t>тканинної</w:t>
      </w:r>
      <w:r w:rsidRPr="000B25D6">
        <w:rPr>
          <w:rFonts w:ascii="Times New Roman" w:hAnsi="Times New Roman" w:cs="Times New Roman"/>
          <w:b/>
          <w:sz w:val="28"/>
          <w:szCs w:val="28"/>
        </w:rPr>
        <w:t xml:space="preserve"> відповіді при </w:t>
      </w:r>
      <w:r w:rsidR="00582BAD">
        <w:rPr>
          <w:rFonts w:ascii="Times New Roman" w:hAnsi="Times New Roman" w:cs="Times New Roman"/>
          <w:b/>
          <w:sz w:val="28"/>
          <w:szCs w:val="28"/>
        </w:rPr>
        <w:t>медикаментозній</w:t>
      </w:r>
      <w:r w:rsidRPr="000B25D6">
        <w:rPr>
          <w:rFonts w:ascii="Times New Roman" w:hAnsi="Times New Roman" w:cs="Times New Roman"/>
          <w:b/>
          <w:sz w:val="28"/>
          <w:szCs w:val="28"/>
        </w:rPr>
        <w:t xml:space="preserve"> терапії розповсюдженого НКР</w:t>
      </w:r>
    </w:p>
    <w:p w:rsidR="003735EA" w:rsidRDefault="003735EA" w:rsidP="003735EA">
      <w:pPr>
        <w:spacing w:line="360" w:lineRule="auto"/>
        <w:rPr>
          <w:rFonts w:ascii="Times New Roman" w:hAnsi="Times New Roman" w:cs="Times New Roman"/>
          <w:sz w:val="28"/>
          <w:szCs w:val="28"/>
        </w:rPr>
      </w:pPr>
    </w:p>
    <w:p w:rsidR="003735EA" w:rsidRPr="005415E5" w:rsidRDefault="003735EA" w:rsidP="003735EA">
      <w:pPr>
        <w:spacing w:line="360" w:lineRule="auto"/>
        <w:jc w:val="both"/>
        <w:rPr>
          <w:rFonts w:ascii="Times New Roman" w:hAnsi="Times New Roman" w:cs="Times New Roman"/>
          <w:color w:val="000000"/>
          <w:sz w:val="28"/>
          <w:szCs w:val="28"/>
          <w:shd w:val="clear" w:color="auto" w:fill="FFFFFF"/>
        </w:rPr>
      </w:pPr>
      <w:r w:rsidRPr="009E6C7E">
        <w:rPr>
          <w:rFonts w:ascii="Times New Roman" w:hAnsi="Times New Roman" w:cs="Times New Roman"/>
          <w:sz w:val="28"/>
          <w:szCs w:val="28"/>
        </w:rPr>
        <w:tab/>
      </w:r>
      <w:r>
        <w:rPr>
          <w:rFonts w:ascii="Times New Roman" w:hAnsi="Times New Roman" w:cs="Times New Roman"/>
          <w:color w:val="000000"/>
          <w:sz w:val="28"/>
          <w:szCs w:val="28"/>
          <w:shd w:val="clear" w:color="auto" w:fill="FFFFFF"/>
        </w:rPr>
        <w:t>Метою роботи було проаналізувати ефективність застосування вимірюваного коефіцієнта дифузії</w:t>
      </w:r>
      <w:r w:rsidRPr="009E6C7E">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(ВКД) дифузійно-зважених зображень МРТ у оцінці ранньої терапевтичної відповіді при системній терапії хворих із розповсюдженим НКР. Кінцевою точкою дослідження було визначено час до прогресії</w:t>
      </w:r>
      <w:r w:rsidRPr="009E6C7E">
        <w:rPr>
          <w:rFonts w:ascii="Times New Roman" w:hAnsi="Times New Roman" w:cs="Times New Roman"/>
          <w:color w:val="000000"/>
          <w:sz w:val="28"/>
          <w:szCs w:val="28"/>
          <w:shd w:val="clear" w:color="auto" w:fill="FFFFFF"/>
        </w:rPr>
        <w:t xml:space="preserve"> – </w:t>
      </w:r>
      <w:r>
        <w:rPr>
          <w:rFonts w:ascii="Times New Roman" w:hAnsi="Times New Roman" w:cs="Times New Roman"/>
          <w:sz w:val="28"/>
          <w:lang w:val="en-US"/>
        </w:rPr>
        <w:t>time</w:t>
      </w:r>
      <w:r w:rsidRPr="009E6C7E">
        <w:rPr>
          <w:rFonts w:ascii="Times New Roman" w:hAnsi="Times New Roman" w:cs="Times New Roman"/>
          <w:sz w:val="28"/>
        </w:rPr>
        <w:t xml:space="preserve"> </w:t>
      </w:r>
      <w:r>
        <w:rPr>
          <w:rFonts w:ascii="Times New Roman" w:hAnsi="Times New Roman" w:cs="Times New Roman"/>
          <w:sz w:val="28"/>
          <w:lang w:val="en-US"/>
        </w:rPr>
        <w:t>to</w:t>
      </w:r>
      <w:r w:rsidRPr="009E6C7E">
        <w:rPr>
          <w:rFonts w:ascii="Times New Roman" w:hAnsi="Times New Roman" w:cs="Times New Roman"/>
          <w:sz w:val="28"/>
        </w:rPr>
        <w:t xml:space="preserve"> </w:t>
      </w:r>
      <w:r>
        <w:rPr>
          <w:rFonts w:ascii="Times New Roman" w:hAnsi="Times New Roman" w:cs="Times New Roman"/>
          <w:sz w:val="28"/>
          <w:lang w:val="en-US"/>
        </w:rPr>
        <w:t>progression</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TTP</w:t>
      </w:r>
      <w:r w:rsidRPr="009E6C7E">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захворювання.</w:t>
      </w:r>
    </w:p>
    <w:p w:rsidR="003735EA" w:rsidRPr="001C191C" w:rsidRDefault="003735EA" w:rsidP="003735EA">
      <w:pPr>
        <w:spacing w:line="360" w:lineRule="auto"/>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ab/>
      </w:r>
      <w:r w:rsidRPr="00452C2D">
        <w:rPr>
          <w:rFonts w:ascii="Times New Roman" w:hAnsi="Times New Roman" w:cs="Times New Roman"/>
          <w:sz w:val="28"/>
          <w:szCs w:val="28"/>
          <w:shd w:val="clear" w:color="auto" w:fill="FFFFFF"/>
        </w:rPr>
        <w:t xml:space="preserve">Робота виконувалась на базі клінік кафедри урології та кафедри радіології </w:t>
      </w:r>
      <w:r w:rsidRPr="00452C2D">
        <w:rPr>
          <w:rFonts w:ascii="Times New Roman CYR" w:hAnsi="Times New Roman CYR" w:cs="Times New Roman"/>
          <w:sz w:val="28"/>
          <w:szCs w:val="28"/>
        </w:rPr>
        <w:t>Львівського національного медичного універ</w:t>
      </w:r>
      <w:r>
        <w:rPr>
          <w:rFonts w:ascii="Times New Roman CYR" w:hAnsi="Times New Roman CYR" w:cs="Times New Roman"/>
          <w:sz w:val="28"/>
          <w:szCs w:val="28"/>
        </w:rPr>
        <w:t>ситету імені Данила Галицького</w:t>
      </w:r>
      <w:r>
        <w:rPr>
          <w:rFonts w:ascii="Times New Roman" w:hAnsi="Times New Roman" w:cs="Times New Roman"/>
          <w:sz w:val="28"/>
          <w:szCs w:val="28"/>
        </w:rPr>
        <w:t xml:space="preserve">, відділення урології Львівського державного онкологічного регіонального лікувально-діагностичного центру, </w:t>
      </w:r>
      <w:r w:rsidRPr="00452C2D">
        <w:rPr>
          <w:rFonts w:ascii="Times New Roman" w:hAnsi="Times New Roman" w:cs="Times New Roman"/>
          <w:sz w:val="28"/>
          <w:szCs w:val="28"/>
        </w:rPr>
        <w:t>відділу променевої діагностики Шпиталю Швєнтей Родзіни</w:t>
      </w:r>
      <w:r>
        <w:rPr>
          <w:rFonts w:ascii="Times New Roman" w:hAnsi="Times New Roman" w:cs="Times New Roman"/>
          <w:sz w:val="28"/>
          <w:szCs w:val="28"/>
        </w:rPr>
        <w:t xml:space="preserve">, </w:t>
      </w:r>
      <w:r w:rsidRPr="00452C2D">
        <w:rPr>
          <w:rFonts w:ascii="Times New Roman" w:hAnsi="Times New Roman" w:cs="Times New Roman"/>
          <w:sz w:val="28"/>
          <w:szCs w:val="28"/>
        </w:rPr>
        <w:t>м. Ж</w:t>
      </w:r>
      <w:r>
        <w:rPr>
          <w:rFonts w:ascii="Times New Roman" w:hAnsi="Times New Roman" w:cs="Times New Roman"/>
          <w:sz w:val="28"/>
          <w:szCs w:val="28"/>
        </w:rPr>
        <w:t>ешів, Польща,</w:t>
      </w:r>
      <w:r w:rsidRPr="00452C2D">
        <w:rPr>
          <w:rFonts w:ascii="Times New Roman" w:hAnsi="Times New Roman" w:cs="Times New Roman"/>
          <w:sz w:val="28"/>
          <w:szCs w:val="28"/>
        </w:rPr>
        <w:t xml:space="preserve"> відділення променевої діагностики Клінічного воєводського шпиталю ім. Св. Ядвігі Крульовей, м. Ж</w:t>
      </w:r>
      <w:r>
        <w:rPr>
          <w:rFonts w:ascii="Times New Roman" w:hAnsi="Times New Roman" w:cs="Times New Roman"/>
          <w:sz w:val="28"/>
          <w:szCs w:val="28"/>
        </w:rPr>
        <w:t>ешів, Польща та клініки урології Вроцлавського медичного університету, м. Вроцлав, Польща, впродовж 2013-2018</w:t>
      </w:r>
      <w:r w:rsidRPr="00452C2D">
        <w:rPr>
          <w:rFonts w:ascii="Times New Roman" w:hAnsi="Times New Roman" w:cs="Times New Roman"/>
          <w:sz w:val="28"/>
          <w:szCs w:val="28"/>
        </w:rPr>
        <w:t xml:space="preserve"> років.</w:t>
      </w:r>
    </w:p>
    <w:p w:rsidR="003735EA" w:rsidRPr="007E33D6" w:rsidRDefault="003735EA" w:rsidP="003735EA">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Критеріями включення в дослідження були: </w:t>
      </w:r>
      <w:r w:rsidRPr="007E33D6">
        <w:rPr>
          <w:rFonts w:ascii="Times New Roman" w:hAnsi="Times New Roman" w:cs="Times New Roman"/>
          <w:color w:val="000000"/>
          <w:sz w:val="28"/>
          <w:szCs w:val="28"/>
          <w:shd w:val="clear" w:color="auto" w:fill="FFFFFF"/>
        </w:rPr>
        <w:t>дорослий вік хворих із НКР;</w:t>
      </w:r>
      <w:r>
        <w:rPr>
          <w:rFonts w:ascii="Times New Roman" w:hAnsi="Times New Roman" w:cs="Times New Roman"/>
          <w:color w:val="000000"/>
          <w:sz w:val="28"/>
          <w:szCs w:val="28"/>
          <w:shd w:val="clear" w:color="auto" w:fill="FFFFFF"/>
        </w:rPr>
        <w:t xml:space="preserve"> </w:t>
      </w:r>
      <w:r w:rsidRPr="007E33D6">
        <w:rPr>
          <w:rFonts w:ascii="Times New Roman" w:hAnsi="Times New Roman" w:cs="Times New Roman"/>
          <w:color w:val="000000"/>
          <w:sz w:val="28"/>
          <w:szCs w:val="28"/>
          <w:shd w:val="clear" w:color="auto" w:fill="FFFFFF"/>
        </w:rPr>
        <w:t>гістологічно підтверджений світлоклітинний підтип НКР (за даними ЧПБ чи післяопераційних патоморфологічних заключень); наявність показів до системної терапії НКР згідно рекомендацій Європейської асоціації урології  та за умов неоперабельної пухлини нирки (при наявності місцевих/віддалених метастазів);</w:t>
      </w:r>
      <w:r>
        <w:rPr>
          <w:rFonts w:ascii="Times New Roman" w:hAnsi="Times New Roman" w:cs="Times New Roman"/>
          <w:color w:val="000000"/>
          <w:sz w:val="28"/>
          <w:szCs w:val="28"/>
          <w:shd w:val="clear" w:color="auto" w:fill="FFFFFF"/>
        </w:rPr>
        <w:t xml:space="preserve"> </w:t>
      </w:r>
      <w:r w:rsidRPr="007E33D6">
        <w:rPr>
          <w:rFonts w:ascii="Times New Roman" w:hAnsi="Times New Roman" w:cs="Times New Roman"/>
          <w:color w:val="000000"/>
          <w:sz w:val="28"/>
          <w:szCs w:val="28"/>
          <w:shd w:val="clear" w:color="auto" w:fill="FFFFFF"/>
        </w:rPr>
        <w:t>застосування системної терапії мНКР вперше.</w:t>
      </w:r>
      <w:r>
        <w:rPr>
          <w:rFonts w:ascii="Times New Roman" w:hAnsi="Times New Roman" w:cs="Times New Roman"/>
          <w:color w:val="000000"/>
          <w:sz w:val="28"/>
          <w:szCs w:val="28"/>
          <w:shd w:val="clear" w:color="auto" w:fill="FFFFFF"/>
        </w:rPr>
        <w:t xml:space="preserve"> </w:t>
      </w:r>
      <w:r w:rsidRPr="007E33D6">
        <w:rPr>
          <w:rFonts w:ascii="Times New Roman" w:hAnsi="Times New Roman" w:cs="Times New Roman"/>
          <w:color w:val="000000"/>
          <w:sz w:val="28"/>
          <w:szCs w:val="28"/>
          <w:shd w:val="clear" w:color="auto" w:fill="FFFFFF"/>
        </w:rPr>
        <w:t xml:space="preserve">У дослідження входили як хворі, яким раніше нефректомія не проводилась у </w:t>
      </w:r>
      <w:r>
        <w:rPr>
          <w:rFonts w:ascii="Times New Roman" w:hAnsi="Times New Roman" w:cs="Times New Roman"/>
          <w:color w:val="000000"/>
          <w:sz w:val="28"/>
          <w:szCs w:val="28"/>
          <w:shd w:val="clear" w:color="auto" w:fill="FFFFFF"/>
        </w:rPr>
        <w:t>з</w:t>
      </w:r>
      <w:r w:rsidRPr="007E33D6">
        <w:rPr>
          <w:rFonts w:ascii="Times New Roman" w:hAnsi="Times New Roman" w:cs="Times New Roman"/>
          <w:color w:val="000000"/>
          <w:sz w:val="28"/>
          <w:szCs w:val="28"/>
          <w:shd w:val="clear" w:color="auto" w:fill="FFFFFF"/>
        </w:rPr>
        <w:t xml:space="preserve">в’язку із виявленням </w:t>
      </w:r>
      <w:r>
        <w:rPr>
          <w:rFonts w:ascii="Times New Roman" w:hAnsi="Times New Roman" w:cs="Times New Roman"/>
          <w:color w:val="000000"/>
          <w:sz w:val="28"/>
          <w:szCs w:val="28"/>
          <w:shd w:val="clear" w:color="auto" w:fill="FFFFFF"/>
        </w:rPr>
        <w:t xml:space="preserve">неоперабельної </w:t>
      </w:r>
      <w:r w:rsidRPr="007E33D6">
        <w:rPr>
          <w:rFonts w:ascii="Times New Roman" w:hAnsi="Times New Roman" w:cs="Times New Roman"/>
          <w:color w:val="000000"/>
          <w:sz w:val="28"/>
          <w:szCs w:val="28"/>
          <w:shd w:val="clear" w:color="auto" w:fill="FFFFFF"/>
        </w:rPr>
        <w:t>пухлини на пізній стадії, так і з локальним неоперабельним рецидивом НКР після парціальної нефректомії. Таким чином</w:t>
      </w:r>
      <w:r>
        <w:rPr>
          <w:rFonts w:ascii="Times New Roman" w:hAnsi="Times New Roman" w:cs="Times New Roman"/>
          <w:color w:val="000000"/>
          <w:sz w:val="28"/>
          <w:szCs w:val="28"/>
          <w:shd w:val="clear" w:color="auto" w:fill="FFFFFF"/>
        </w:rPr>
        <w:t>,</w:t>
      </w:r>
      <w:r w:rsidRPr="007E33D6">
        <w:rPr>
          <w:rFonts w:ascii="Times New Roman" w:hAnsi="Times New Roman" w:cs="Times New Roman"/>
          <w:color w:val="000000"/>
          <w:sz w:val="28"/>
          <w:szCs w:val="28"/>
          <w:shd w:val="clear" w:color="auto" w:fill="FFFFFF"/>
        </w:rPr>
        <w:t xml:space="preserve"> у дослідження увійшло 32 хворих із розповсюдженим НКР, які склали основну групу (21 чоловік та 11 жінок, віком від 59 до 72 р., середній вік – 65,23±4,85 р.). </w:t>
      </w:r>
    </w:p>
    <w:p w:rsidR="003735EA" w:rsidRPr="009E6C7E" w:rsidRDefault="003735EA" w:rsidP="003735EA">
      <w:pPr>
        <w:spacing w:line="360" w:lineRule="auto"/>
        <w:ind w:firstLine="708"/>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rPr>
        <w:lastRenderedPageBreak/>
        <w:t xml:space="preserve">Пацієнти були стратифіковані у відповідну групу ризику згідно шкали </w:t>
      </w:r>
      <w:r w:rsidRPr="007E33D6">
        <w:rPr>
          <w:rFonts w:ascii="Times New Roman" w:hAnsi="Times New Roman" w:cs="Times New Roman"/>
          <w:color w:val="000000"/>
          <w:sz w:val="28"/>
          <w:szCs w:val="28"/>
          <w:shd w:val="clear" w:color="auto" w:fill="FFFFFF"/>
        </w:rPr>
        <w:t>Heng</w:t>
      </w:r>
      <w:r>
        <w:rPr>
          <w:rFonts w:ascii="Times New Roman" w:hAnsi="Times New Roman" w:cs="Times New Roman"/>
          <w:color w:val="000000"/>
          <w:sz w:val="28"/>
          <w:szCs w:val="28"/>
          <w:shd w:val="clear" w:color="auto" w:fill="FFFFFF"/>
        </w:rPr>
        <w:t xml:space="preserve"> (модель </w:t>
      </w:r>
      <w:r w:rsidRPr="007E33D6">
        <w:rPr>
          <w:rFonts w:ascii="Times New Roman" w:hAnsi="Times New Roman" w:cs="Times New Roman"/>
          <w:color w:val="000000"/>
          <w:sz w:val="28"/>
          <w:szCs w:val="28"/>
          <w:shd w:val="clear" w:color="auto" w:fill="FFFFFF"/>
        </w:rPr>
        <w:t>International Metastatic Renal Cell Carcinoma Database Consortium</w:t>
      </w:r>
      <w:r>
        <w:rPr>
          <w:rFonts w:ascii="Times New Roman" w:hAnsi="Times New Roman" w:cs="Times New Roman"/>
          <w:color w:val="000000"/>
          <w:sz w:val="28"/>
          <w:szCs w:val="28"/>
          <w:shd w:val="clear" w:color="auto" w:fill="FFFFFF"/>
        </w:rPr>
        <w:t xml:space="preserve">, </w:t>
      </w:r>
      <w:r w:rsidRPr="007E33D6">
        <w:rPr>
          <w:rFonts w:ascii="Times New Roman" w:hAnsi="Times New Roman" w:cs="Times New Roman"/>
          <w:color w:val="000000"/>
          <w:sz w:val="28"/>
          <w:szCs w:val="28"/>
          <w:shd w:val="clear" w:color="auto" w:fill="FFFFFF"/>
        </w:rPr>
        <w:t>IMDC</w:t>
      </w:r>
      <w:r>
        <w:rPr>
          <w:rFonts w:ascii="Times New Roman" w:hAnsi="Times New Roman" w:cs="Times New Roman"/>
          <w:color w:val="000000"/>
          <w:sz w:val="28"/>
          <w:szCs w:val="28"/>
          <w:shd w:val="clear" w:color="auto" w:fill="FFFFFF"/>
        </w:rPr>
        <w:t>)</w:t>
      </w:r>
      <w:r w:rsidRPr="007E33D6">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яка є рекомендованою </w:t>
      </w:r>
      <w:r>
        <w:rPr>
          <w:rFonts w:ascii="Times New Roman" w:hAnsi="Times New Roman" w:cs="Times New Roman"/>
          <w:color w:val="000000"/>
          <w:sz w:val="28"/>
          <w:szCs w:val="28"/>
          <w:shd w:val="clear" w:color="auto" w:fill="FFFFFF"/>
          <w:lang w:val="en-US"/>
        </w:rPr>
        <w:t>EAU</w:t>
      </w:r>
      <w:r w:rsidRPr="009E6C7E">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rPr>
        <w:t xml:space="preserve">для прогнозування виживання при мНКР та доступної за посиланням: </w:t>
      </w:r>
      <w:hyperlink r:id="rId102" w:history="1">
        <w:r w:rsidRPr="00D655A7">
          <w:rPr>
            <w:rStyle w:val="Hyperlink"/>
            <w:rFonts w:ascii="Times New Roman" w:hAnsi="Times New Roman" w:cs="Times New Roman"/>
            <w:sz w:val="28"/>
            <w:szCs w:val="28"/>
            <w:shd w:val="clear" w:color="auto" w:fill="FFFFFF"/>
          </w:rPr>
          <w:t>https://goo.gl/mhuJNo</w:t>
        </w:r>
      </w:hyperlink>
      <w:r>
        <w:rPr>
          <w:rFonts w:ascii="Times New Roman" w:hAnsi="Times New Roman" w:cs="Times New Roman"/>
          <w:color w:val="000000"/>
          <w:sz w:val="28"/>
          <w:szCs w:val="28"/>
          <w:shd w:val="clear" w:color="auto" w:fill="FFFFFF"/>
        </w:rPr>
        <w:t xml:space="preserve">. Оцінювання включало такі параметри: менш, ніж 1 рік з часу постановки діагнозу до початку системної терапії; оцінка загального стану за шкалою </w:t>
      </w:r>
      <w:r w:rsidRPr="00C752B3">
        <w:rPr>
          <w:rFonts w:ascii="Times New Roman" w:hAnsi="Times New Roman" w:cs="Times New Roman"/>
          <w:color w:val="000000"/>
          <w:sz w:val="28"/>
          <w:szCs w:val="28"/>
          <w:shd w:val="clear" w:color="auto" w:fill="FFFFFF"/>
        </w:rPr>
        <w:t>Karnofsky</w:t>
      </w:r>
      <w:r w:rsidRPr="00C752B3">
        <w:t xml:space="preserve"> </w:t>
      </w:r>
      <w:r w:rsidRPr="00C752B3">
        <w:rPr>
          <w:rFonts w:ascii="Times New Roman" w:hAnsi="Times New Roman" w:cs="Times New Roman"/>
          <w:color w:val="000000"/>
          <w:sz w:val="28"/>
          <w:szCs w:val="28"/>
          <w:shd w:val="clear" w:color="auto" w:fill="FFFFFF"/>
        </w:rPr>
        <w:t>&lt;80%</w:t>
      </w:r>
      <w:r>
        <w:rPr>
          <w:rFonts w:ascii="Times New Roman" w:hAnsi="Times New Roman" w:cs="Times New Roman"/>
          <w:color w:val="000000"/>
          <w:sz w:val="28"/>
          <w:szCs w:val="28"/>
          <w:shd w:val="clear" w:color="auto" w:fill="FFFFFF"/>
        </w:rPr>
        <w:t xml:space="preserve">; рівень гемоглобіну нижчий за норму (120 г/л); рівень кальцію вищий за норму (8,5-10,2 мг/дл); </w:t>
      </w:r>
      <w:r w:rsidRPr="00C752B3">
        <w:rPr>
          <w:rFonts w:ascii="Times New Roman" w:hAnsi="Times New Roman" w:cs="Times New Roman"/>
          <w:color w:val="000000"/>
          <w:sz w:val="28"/>
          <w:szCs w:val="28"/>
          <w:shd w:val="clear" w:color="auto" w:fill="FFFFFF"/>
        </w:rPr>
        <w:t xml:space="preserve">рівень нейтрофілів </w:t>
      </w:r>
      <w:r>
        <w:rPr>
          <w:rFonts w:ascii="Times New Roman" w:hAnsi="Times New Roman" w:cs="Times New Roman"/>
          <w:color w:val="000000"/>
          <w:sz w:val="28"/>
          <w:szCs w:val="28"/>
          <w:shd w:val="clear" w:color="auto" w:fill="FFFFFF"/>
        </w:rPr>
        <w:t>вищий за норму (2,0–7,0×10⁹/л); рівень тромбоцитів вищий за норму (150-400×10⁹/л). Згідно такої оцінки усі хворі належали до групи із проміжним прогнозом, що передбачало наявність у хворого 1 чи 2 з 6 згаданих  факторів (прогнозован</w:t>
      </w:r>
      <w:r w:rsidR="000F1EFC">
        <w:rPr>
          <w:rFonts w:ascii="Times New Roman" w:hAnsi="Times New Roman" w:cs="Times New Roman"/>
          <w:color w:val="000000"/>
          <w:sz w:val="28"/>
          <w:szCs w:val="28"/>
          <w:shd w:val="clear" w:color="auto" w:fill="FFFFFF"/>
        </w:rPr>
        <w:t>а медіана виживання – 22,5 місяців</w:t>
      </w:r>
      <w:r>
        <w:rPr>
          <w:rFonts w:ascii="Times New Roman" w:hAnsi="Times New Roman" w:cs="Times New Roman"/>
          <w:color w:val="000000"/>
          <w:sz w:val="28"/>
          <w:szCs w:val="28"/>
          <w:shd w:val="clear" w:color="auto" w:fill="FFFFFF"/>
        </w:rPr>
        <w:t>).</w:t>
      </w:r>
    </w:p>
    <w:p w:rsidR="003735EA" w:rsidRDefault="003735EA" w:rsidP="003735EA">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rPr>
        <w:t xml:space="preserve">Усім хворим із конвенційним мНКР, у якості першої лінії терапії призначався пазопаніб (Вотрієнт, </w:t>
      </w:r>
      <w:r w:rsidRPr="003E10D3">
        <w:rPr>
          <w:rFonts w:ascii="Times New Roman" w:hAnsi="Times New Roman" w:cs="Times New Roman"/>
          <w:sz w:val="28"/>
        </w:rPr>
        <w:t>Глаксо Оперейшнс ЮК Лтд, Великобританія</w:t>
      </w:r>
      <w:r>
        <w:rPr>
          <w:rFonts w:ascii="Times New Roman" w:hAnsi="Times New Roman" w:cs="Times New Roman"/>
          <w:sz w:val="28"/>
        </w:rPr>
        <w:t xml:space="preserve">) у дозуванні 800 мг перорально 1 раз на добу до прогресування захворювання або до розвитку неприйнятної токсичності, за 1 годину до їди, або 2 години після неї; в окремих випадках доза препарату модифікувалась із кроком 200 мг для забезпечення оптимального нагляду над побічними реакціями, але не перевищувала 800 мг/добу. У випадку прогресування захворювання переходили на інший інгібітор тирозинкінази згідно рекомендацій </w:t>
      </w:r>
      <w:r>
        <w:rPr>
          <w:rFonts w:ascii="Times New Roman" w:hAnsi="Times New Roman" w:cs="Times New Roman"/>
          <w:sz w:val="28"/>
          <w:lang w:val="en-US"/>
        </w:rPr>
        <w:t>EAU</w:t>
      </w:r>
      <w:r>
        <w:rPr>
          <w:rFonts w:ascii="Times New Roman" w:hAnsi="Times New Roman" w:cs="Times New Roman"/>
          <w:sz w:val="28"/>
        </w:rPr>
        <w:t xml:space="preserve">. </w:t>
      </w:r>
    </w:p>
    <w:p w:rsidR="003735EA" w:rsidRDefault="003735EA" w:rsidP="003735EA">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У якості базового (за 0-5 днів до початку системної терапії) та контрольного через 1 місяць (в середньому 1,10±0,25 місяців) обстежень </w:t>
      </w:r>
      <w:r>
        <w:rPr>
          <w:rFonts w:ascii="Times New Roman" w:hAnsi="Times New Roman" w:cs="Times New Roman"/>
          <w:color w:val="000000"/>
          <w:sz w:val="28"/>
          <w:szCs w:val="28"/>
          <w:shd w:val="clear" w:color="auto" w:fill="FFFFFF"/>
        </w:rPr>
        <w:t>усім хворим проводили МРТ із контрастним посиленням та із</w:t>
      </w:r>
      <w:r>
        <w:rPr>
          <w:rFonts w:ascii="Times New Roman" w:hAnsi="Times New Roman" w:cs="Times New Roman"/>
          <w:sz w:val="28"/>
          <w:szCs w:val="28"/>
        </w:rPr>
        <w:t xml:space="preserve"> включеною додатково до стандартного протоколу сканування черевної порожнини, послідовністю дифузійно-зважених зображень із </w:t>
      </w:r>
      <w:r>
        <w:rPr>
          <w:rFonts w:ascii="Times New Roman" w:eastAsiaTheme="minorEastAsia" w:hAnsi="Times New Roman" w:cs="Times New Roman"/>
          <w:sz w:val="28"/>
          <w:szCs w:val="28"/>
          <w:lang w:val="en-US"/>
        </w:rPr>
        <w:t>b</w:t>
      </w:r>
      <w:r w:rsidRPr="00807530">
        <w:rPr>
          <w:rFonts w:ascii="Times New Roman" w:eastAsiaTheme="minorEastAsia" w:hAnsi="Times New Roman" w:cs="Times New Roman"/>
          <w:sz w:val="28"/>
          <w:szCs w:val="28"/>
        </w:rPr>
        <w:t>-</w:t>
      </w:r>
      <w:r>
        <w:rPr>
          <w:rFonts w:ascii="Times New Roman" w:hAnsi="Times New Roman" w:cs="Times New Roman"/>
          <w:sz w:val="28"/>
          <w:szCs w:val="28"/>
        </w:rPr>
        <w:t xml:space="preserve">значенням </w:t>
      </w:r>
      <w:r w:rsidRPr="00807530">
        <w:rPr>
          <w:rFonts w:ascii="Times New Roman" w:eastAsiaTheme="minorEastAsia" w:hAnsi="Times New Roman" w:cs="Times New Roman"/>
          <w:sz w:val="28"/>
          <w:szCs w:val="28"/>
        </w:rPr>
        <w:t xml:space="preserve">= </w:t>
      </w:r>
      <w:r>
        <w:rPr>
          <w:rFonts w:ascii="Times New Roman" w:hAnsi="Times New Roman" w:cs="Times New Roman"/>
          <w:sz w:val="28"/>
          <w:szCs w:val="28"/>
        </w:rPr>
        <w:t>0 та</w:t>
      </w:r>
      <w:r w:rsidRPr="00807530">
        <w:rPr>
          <w:rFonts w:ascii="Times New Roman" w:hAnsi="Times New Roman" w:cs="Times New Roman"/>
          <w:sz w:val="28"/>
          <w:szCs w:val="28"/>
        </w:rPr>
        <w:t xml:space="preserve"> 8</w:t>
      </w:r>
      <w:r w:rsidRPr="00807530">
        <w:rPr>
          <w:rFonts w:ascii="Times New Roman" w:eastAsiaTheme="minorEastAsia" w:hAnsi="Times New Roman" w:cs="Times New Roman"/>
          <w:sz w:val="28"/>
          <w:szCs w:val="28"/>
        </w:rPr>
        <w:t xml:space="preserve">00 </w:t>
      </w:r>
      <w:r w:rsidRPr="00807530">
        <w:rPr>
          <w:rFonts w:ascii="Times New Roman" w:hAnsi="Times New Roman" w:cs="Times New Roman"/>
          <w:sz w:val="28"/>
          <w:szCs w:val="28"/>
        </w:rPr>
        <w:t>с</w:t>
      </w:r>
      <w:r>
        <w:rPr>
          <w:rFonts w:ascii="Times New Roman" w:hAnsi="Times New Roman" w:cs="Times New Roman"/>
          <w:sz w:val="28"/>
          <w:szCs w:val="28"/>
        </w:rPr>
        <w:t>ек</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мм</w:t>
      </w:r>
      <w:r w:rsidRPr="00807530">
        <w:rPr>
          <w:rFonts w:ascii="Times New Roman" w:eastAsiaTheme="minorEastAsia" w:hAnsi="Times New Roman" w:cs="Times New Roman"/>
          <w:sz w:val="28"/>
          <w:szCs w:val="28"/>
          <w:vertAlign w:val="superscript"/>
        </w:rPr>
        <w:t>2</w:t>
      </w:r>
      <w:r>
        <w:rPr>
          <w:rFonts w:ascii="Times New Roman" w:eastAsiaTheme="minorEastAsia" w:hAnsi="Times New Roman" w:cs="Times New Roman"/>
          <w:sz w:val="28"/>
          <w:szCs w:val="28"/>
        </w:rPr>
        <w:t xml:space="preserve">. </w:t>
      </w:r>
      <w:r>
        <w:rPr>
          <w:rFonts w:ascii="Times New Roman" w:hAnsi="Times New Roman" w:cs="Times New Roman"/>
          <w:sz w:val="28"/>
          <w:szCs w:val="28"/>
          <w:shd w:val="clear" w:color="auto" w:fill="FFFFFF"/>
        </w:rPr>
        <w:t xml:space="preserve">У віх випадках проводилась реєстрація значень вимірюваного коефіцієнта дифузії розміщуючи ОЗ над ділянкою пухлини, оминаючи ділянки некрозу та кістозних компонентів. ДЗЗ застосовувались у якості анатомічного </w:t>
      </w:r>
      <w:r>
        <w:rPr>
          <w:rFonts w:ascii="Times New Roman" w:hAnsi="Times New Roman" w:cs="Times New Roman"/>
          <w:sz w:val="28"/>
          <w:szCs w:val="28"/>
          <w:shd w:val="clear" w:color="auto" w:fill="FFFFFF"/>
        </w:rPr>
        <w:lastRenderedPageBreak/>
        <w:t xml:space="preserve">орієнтиру і джерелом для побудов ВКД-карт. У якості референтних значень ВКД (нормальної ниркової паренхіми) використовували дані здорових волонтерів, отримані нами при діагностиці малих ниркових новоутворень (контрольна група), </w:t>
      </w:r>
      <w:r>
        <w:rPr>
          <w:rFonts w:ascii="Times New Roman" w:hAnsi="Times New Roman" w:cs="Times New Roman"/>
          <w:sz w:val="28"/>
          <w:szCs w:val="28"/>
          <w:shd w:val="clear" w:color="auto" w:fill="FFFFFF"/>
          <w:lang w:val="en-US"/>
        </w:rPr>
        <w:t>n</w:t>
      </w:r>
      <w:r>
        <w:rPr>
          <w:rFonts w:ascii="Times New Roman" w:hAnsi="Times New Roman" w:cs="Times New Roman"/>
          <w:sz w:val="28"/>
          <w:szCs w:val="28"/>
          <w:shd w:val="clear" w:color="auto" w:fill="FFFFFF"/>
        </w:rPr>
        <w:t>=30.</w:t>
      </w:r>
      <w:r w:rsidRPr="005F7A32">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eastAsiaTheme="minorEastAsia" w:hAnsi="Times New Roman" w:cs="Times New Roman"/>
          <w:sz w:val="28"/>
          <w:szCs w:val="28"/>
        </w:rPr>
        <w:t xml:space="preserve">В подальшому моніторинг перебігу захворювання проводили на основі КТ чи МРТ обстежень із контрастуванням з періодичністю 2-6 місяців (третє сканування проводилось через 2 місяці після першого контрольного обстеження, а наступні – в залежності від </w:t>
      </w:r>
      <w:r w:rsidR="00B02037">
        <w:rPr>
          <w:rFonts w:ascii="Times New Roman" w:eastAsiaTheme="minorEastAsia" w:hAnsi="Times New Roman" w:cs="Times New Roman"/>
          <w:sz w:val="28"/>
          <w:szCs w:val="28"/>
        </w:rPr>
        <w:t>ступеня</w:t>
      </w:r>
      <w:r>
        <w:rPr>
          <w:rFonts w:ascii="Times New Roman" w:eastAsiaTheme="minorEastAsia" w:hAnsi="Times New Roman" w:cs="Times New Roman"/>
          <w:sz w:val="28"/>
          <w:szCs w:val="28"/>
        </w:rPr>
        <w:t xml:space="preserve"> терапевтичної відповіді). </w:t>
      </w:r>
    </w:p>
    <w:p w:rsidR="003735EA" w:rsidRPr="00C75F25" w:rsidRDefault="003735EA" w:rsidP="003735EA">
      <w:pPr>
        <w:spacing w:line="360" w:lineRule="auto"/>
        <w:ind w:firstLine="709"/>
        <w:jc w:val="both"/>
        <w:rPr>
          <w:rFonts w:ascii="Times New Roman" w:hAnsi="Times New Roman" w:cs="Times New Roman"/>
          <w:sz w:val="28"/>
          <w:szCs w:val="28"/>
        </w:rPr>
      </w:pPr>
      <w:r>
        <w:rPr>
          <w:rFonts w:ascii="Times New Roman" w:eastAsiaTheme="minorEastAsia" w:hAnsi="Times New Roman" w:cs="Times New Roman"/>
          <w:sz w:val="28"/>
          <w:szCs w:val="28"/>
        </w:rPr>
        <w:t xml:space="preserve">Для оцінки терапевтичної відповіді застосовували критерії </w:t>
      </w:r>
      <w:r w:rsidRPr="00AB1823">
        <w:rPr>
          <w:rFonts w:ascii="Times New Roman" w:hAnsi="Times New Roman" w:cs="Times New Roman"/>
          <w:color w:val="000000"/>
          <w:sz w:val="28"/>
          <w:szCs w:val="28"/>
          <w:shd w:val="clear" w:color="auto" w:fill="FFFFFF"/>
        </w:rPr>
        <w:t>RECIST</w:t>
      </w:r>
      <w:r>
        <w:rPr>
          <w:rFonts w:ascii="Times New Roman" w:hAnsi="Times New Roman" w:cs="Times New Roman"/>
          <w:color w:val="000000"/>
          <w:sz w:val="28"/>
          <w:szCs w:val="28"/>
          <w:shd w:val="clear" w:color="auto" w:fill="FFFFFF"/>
        </w:rPr>
        <w:t xml:space="preserve"> 1.1, згідно яких, повна відповідь (ПВ) – зникнення усіх пухлин; часткова відповідь (ЧВ) – зменшення суми найдовшого діаметру всіх пухлин щонайменше на 30% у порівнянні із початковою величиною;  стабілізація захворювання (СЗ) – відсутність зменшення найдовшого діаметру для кваліфікації як ЧВ, або відсутність його збільшення для  кваліфікації, як прогресивне захворювання (ПЗ); ПЗ – збільшення найдовшого діаметру всіх пухлин щонайменше на 20% від найменшої величини, зареєстрованої від початку лікування, або поява ≥1 нових пухлинних вогнищ. Середня тривалість прийому</w:t>
      </w:r>
      <w:r w:rsidRPr="009E6C7E">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sz w:val="28"/>
        </w:rPr>
        <w:t>пазопанібу складала</w:t>
      </w:r>
      <w:r w:rsidRPr="009E6C7E">
        <w:rPr>
          <w:rFonts w:ascii="Times New Roman" w:hAnsi="Times New Roman" w:cs="Times New Roman"/>
          <w:sz w:val="28"/>
          <w:lang w:val="ru-RU"/>
        </w:rPr>
        <w:t xml:space="preserve"> 7</w:t>
      </w:r>
      <w:r>
        <w:rPr>
          <w:rFonts w:ascii="Times New Roman" w:hAnsi="Times New Roman" w:cs="Times New Roman"/>
          <w:sz w:val="28"/>
        </w:rPr>
        <w:t xml:space="preserve">,5±3,45 місяців, середня тривалість спостереження – 11,85±4,34 місяців. </w:t>
      </w:r>
    </w:p>
    <w:p w:rsidR="003735EA" w:rsidRPr="0016237A" w:rsidRDefault="003735EA" w:rsidP="003735EA">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Згідно класифікації TNM розподіл був наступний: </w:t>
      </w:r>
      <w:r>
        <w:rPr>
          <w:rFonts w:ascii="Times New Roman" w:hAnsi="Times New Roman" w:cs="Times New Roman"/>
          <w:sz w:val="28"/>
          <w:lang w:val="en-US"/>
        </w:rPr>
        <w:t>T</w:t>
      </w:r>
      <w:r w:rsidRPr="009E6C7E">
        <w:rPr>
          <w:rFonts w:ascii="Times New Roman" w:hAnsi="Times New Roman" w:cs="Times New Roman"/>
          <w:sz w:val="28"/>
        </w:rPr>
        <w:t>2</w:t>
      </w:r>
      <w:r>
        <w:rPr>
          <w:rFonts w:ascii="Times New Roman" w:hAnsi="Times New Roman" w:cs="Times New Roman"/>
          <w:sz w:val="28"/>
          <w:lang w:val="en-US"/>
        </w:rPr>
        <w:t>bN</w:t>
      </w:r>
      <w:r w:rsidRPr="009E6C7E">
        <w:rPr>
          <w:rFonts w:ascii="Times New Roman" w:hAnsi="Times New Roman" w:cs="Times New Roman"/>
          <w:sz w:val="28"/>
        </w:rPr>
        <w:t>1</w:t>
      </w:r>
      <w:r>
        <w:rPr>
          <w:rFonts w:ascii="Times New Roman" w:hAnsi="Times New Roman" w:cs="Times New Roman"/>
          <w:sz w:val="28"/>
          <w:lang w:val="en-US"/>
        </w:rPr>
        <w:t>M</w:t>
      </w:r>
      <w:r w:rsidRPr="009E6C7E">
        <w:rPr>
          <w:rFonts w:ascii="Times New Roman" w:hAnsi="Times New Roman" w:cs="Times New Roman"/>
          <w:sz w:val="28"/>
        </w:rPr>
        <w:t>0</w:t>
      </w:r>
      <w:r>
        <w:rPr>
          <w:rFonts w:ascii="Times New Roman" w:hAnsi="Times New Roman" w:cs="Times New Roman"/>
          <w:sz w:val="28"/>
        </w:rPr>
        <w:t xml:space="preserve"> – 4 (12,5%) пацієнти, </w:t>
      </w:r>
      <w:r>
        <w:rPr>
          <w:rFonts w:ascii="Times New Roman" w:hAnsi="Times New Roman" w:cs="Times New Roman"/>
          <w:sz w:val="28"/>
          <w:lang w:val="en-US"/>
        </w:rPr>
        <w:t>T</w:t>
      </w:r>
      <w:r w:rsidRPr="009E6C7E">
        <w:rPr>
          <w:rFonts w:ascii="Times New Roman" w:hAnsi="Times New Roman" w:cs="Times New Roman"/>
          <w:sz w:val="28"/>
        </w:rPr>
        <w:t>3</w:t>
      </w:r>
      <w:r>
        <w:rPr>
          <w:rFonts w:ascii="Times New Roman" w:hAnsi="Times New Roman" w:cs="Times New Roman"/>
          <w:sz w:val="28"/>
          <w:lang w:val="en-US"/>
        </w:rPr>
        <w:t>aN</w:t>
      </w:r>
      <w:r w:rsidRPr="009E6C7E">
        <w:rPr>
          <w:rFonts w:ascii="Times New Roman" w:hAnsi="Times New Roman" w:cs="Times New Roman"/>
          <w:sz w:val="28"/>
        </w:rPr>
        <w:t>0</w:t>
      </w:r>
      <w:r>
        <w:rPr>
          <w:rFonts w:ascii="Times New Roman" w:hAnsi="Times New Roman" w:cs="Times New Roman"/>
          <w:sz w:val="28"/>
          <w:lang w:val="en-US"/>
        </w:rPr>
        <w:t>M</w:t>
      </w:r>
      <w:r w:rsidRPr="009E6C7E">
        <w:rPr>
          <w:rFonts w:ascii="Times New Roman" w:hAnsi="Times New Roman" w:cs="Times New Roman"/>
          <w:sz w:val="28"/>
        </w:rPr>
        <w:t>0</w:t>
      </w:r>
      <w:r>
        <w:rPr>
          <w:rFonts w:ascii="Times New Roman" w:hAnsi="Times New Roman" w:cs="Times New Roman"/>
          <w:sz w:val="28"/>
        </w:rPr>
        <w:t xml:space="preserve"> – 5 </w:t>
      </w:r>
      <w:r w:rsidRPr="009E6C7E">
        <w:rPr>
          <w:rFonts w:ascii="Times New Roman" w:hAnsi="Times New Roman" w:cs="Times New Roman"/>
          <w:sz w:val="28"/>
        </w:rPr>
        <w:t>(1</w:t>
      </w:r>
      <w:r>
        <w:rPr>
          <w:rFonts w:ascii="Times New Roman" w:hAnsi="Times New Roman" w:cs="Times New Roman"/>
          <w:sz w:val="28"/>
        </w:rPr>
        <w:t>5</w:t>
      </w:r>
      <w:r w:rsidRPr="009E6C7E">
        <w:rPr>
          <w:rFonts w:ascii="Times New Roman" w:hAnsi="Times New Roman" w:cs="Times New Roman"/>
          <w:sz w:val="28"/>
        </w:rPr>
        <w:t>,63%)</w:t>
      </w:r>
      <w:r>
        <w:rPr>
          <w:rFonts w:ascii="Times New Roman" w:hAnsi="Times New Roman" w:cs="Times New Roman"/>
          <w:sz w:val="28"/>
        </w:rPr>
        <w:t xml:space="preserve"> хворих, </w:t>
      </w:r>
      <w:r>
        <w:rPr>
          <w:rFonts w:ascii="Times New Roman" w:hAnsi="Times New Roman" w:cs="Times New Roman"/>
          <w:sz w:val="28"/>
          <w:lang w:val="en-US"/>
        </w:rPr>
        <w:t>T</w:t>
      </w:r>
      <w:r w:rsidRPr="009E6C7E">
        <w:rPr>
          <w:rFonts w:ascii="Times New Roman" w:hAnsi="Times New Roman" w:cs="Times New Roman"/>
          <w:sz w:val="28"/>
        </w:rPr>
        <w:t>3</w:t>
      </w:r>
      <w:r>
        <w:rPr>
          <w:rFonts w:ascii="Times New Roman" w:hAnsi="Times New Roman" w:cs="Times New Roman"/>
          <w:sz w:val="28"/>
          <w:lang w:val="en-US"/>
        </w:rPr>
        <w:t>aN</w:t>
      </w:r>
      <w:r w:rsidRPr="009E6C7E">
        <w:rPr>
          <w:rFonts w:ascii="Times New Roman" w:hAnsi="Times New Roman" w:cs="Times New Roman"/>
          <w:sz w:val="28"/>
        </w:rPr>
        <w:t>1</w:t>
      </w:r>
      <w:r>
        <w:rPr>
          <w:rFonts w:ascii="Times New Roman" w:hAnsi="Times New Roman" w:cs="Times New Roman"/>
          <w:sz w:val="28"/>
          <w:lang w:val="en-US"/>
        </w:rPr>
        <w:t>M</w:t>
      </w:r>
      <w:r w:rsidRPr="009E6C7E">
        <w:rPr>
          <w:rFonts w:ascii="Times New Roman" w:hAnsi="Times New Roman" w:cs="Times New Roman"/>
          <w:sz w:val="28"/>
        </w:rPr>
        <w:t>0</w:t>
      </w:r>
      <w:r>
        <w:rPr>
          <w:rFonts w:ascii="Times New Roman" w:hAnsi="Times New Roman" w:cs="Times New Roman"/>
          <w:sz w:val="28"/>
        </w:rPr>
        <w:t xml:space="preserve"> – 3 (9,38</w:t>
      </w:r>
      <w:r w:rsidRPr="009E6C7E">
        <w:rPr>
          <w:rFonts w:ascii="Times New Roman" w:hAnsi="Times New Roman" w:cs="Times New Roman"/>
          <w:sz w:val="28"/>
        </w:rPr>
        <w:t>%</w:t>
      </w:r>
      <w:r>
        <w:rPr>
          <w:rFonts w:ascii="Times New Roman" w:hAnsi="Times New Roman" w:cs="Times New Roman"/>
          <w:sz w:val="28"/>
        </w:rPr>
        <w:t xml:space="preserve">) випадки, </w:t>
      </w:r>
      <w:r>
        <w:rPr>
          <w:rFonts w:ascii="Times New Roman" w:hAnsi="Times New Roman" w:cs="Times New Roman"/>
          <w:sz w:val="28"/>
          <w:lang w:val="en-US"/>
        </w:rPr>
        <w:t>T</w:t>
      </w:r>
      <w:r w:rsidRPr="009E6C7E">
        <w:rPr>
          <w:rFonts w:ascii="Times New Roman" w:hAnsi="Times New Roman" w:cs="Times New Roman"/>
          <w:sz w:val="28"/>
        </w:rPr>
        <w:t>3</w:t>
      </w:r>
      <w:r>
        <w:rPr>
          <w:rFonts w:ascii="Times New Roman" w:hAnsi="Times New Roman" w:cs="Times New Roman"/>
          <w:sz w:val="28"/>
          <w:lang w:val="en-US"/>
        </w:rPr>
        <w:t>aN</w:t>
      </w:r>
      <w:r w:rsidRPr="009E6C7E">
        <w:rPr>
          <w:rFonts w:ascii="Times New Roman" w:hAnsi="Times New Roman" w:cs="Times New Roman"/>
          <w:sz w:val="28"/>
        </w:rPr>
        <w:t>0</w:t>
      </w:r>
      <w:r>
        <w:rPr>
          <w:rFonts w:ascii="Times New Roman" w:hAnsi="Times New Roman" w:cs="Times New Roman"/>
          <w:sz w:val="28"/>
          <w:lang w:val="en-US"/>
        </w:rPr>
        <w:t>M</w:t>
      </w:r>
      <w:r w:rsidRPr="009E6C7E">
        <w:rPr>
          <w:rFonts w:ascii="Times New Roman" w:hAnsi="Times New Roman" w:cs="Times New Roman"/>
          <w:sz w:val="28"/>
        </w:rPr>
        <w:t>1</w:t>
      </w:r>
      <w:r>
        <w:rPr>
          <w:rFonts w:ascii="Times New Roman" w:hAnsi="Times New Roman" w:cs="Times New Roman"/>
          <w:sz w:val="28"/>
        </w:rPr>
        <w:t xml:space="preserve"> – 3 (9,38</w:t>
      </w:r>
      <w:r w:rsidRPr="009E6C7E">
        <w:rPr>
          <w:rFonts w:ascii="Times New Roman" w:hAnsi="Times New Roman" w:cs="Times New Roman"/>
          <w:sz w:val="28"/>
        </w:rPr>
        <w:t>%</w:t>
      </w:r>
      <w:r>
        <w:rPr>
          <w:rFonts w:ascii="Times New Roman" w:hAnsi="Times New Roman" w:cs="Times New Roman"/>
          <w:sz w:val="28"/>
        </w:rPr>
        <w:t xml:space="preserve">) хворі, </w:t>
      </w:r>
      <w:r>
        <w:rPr>
          <w:rFonts w:ascii="Times New Roman" w:hAnsi="Times New Roman" w:cs="Times New Roman"/>
          <w:sz w:val="28"/>
          <w:lang w:val="en-US"/>
        </w:rPr>
        <w:t>T</w:t>
      </w:r>
      <w:r w:rsidRPr="009E6C7E">
        <w:rPr>
          <w:rFonts w:ascii="Times New Roman" w:hAnsi="Times New Roman" w:cs="Times New Roman"/>
          <w:sz w:val="28"/>
        </w:rPr>
        <w:t>3</w:t>
      </w:r>
      <w:r>
        <w:rPr>
          <w:rFonts w:ascii="Times New Roman" w:hAnsi="Times New Roman" w:cs="Times New Roman"/>
          <w:sz w:val="28"/>
          <w:lang w:val="en-US"/>
        </w:rPr>
        <w:t>aN</w:t>
      </w:r>
      <w:r w:rsidRPr="009E6C7E">
        <w:rPr>
          <w:rFonts w:ascii="Times New Roman" w:hAnsi="Times New Roman" w:cs="Times New Roman"/>
          <w:sz w:val="28"/>
        </w:rPr>
        <w:t>1</w:t>
      </w:r>
      <w:r>
        <w:rPr>
          <w:rFonts w:ascii="Times New Roman" w:hAnsi="Times New Roman" w:cs="Times New Roman"/>
          <w:sz w:val="28"/>
          <w:lang w:val="en-US"/>
        </w:rPr>
        <w:t>M</w:t>
      </w:r>
      <w:r w:rsidRPr="009E6C7E">
        <w:rPr>
          <w:rFonts w:ascii="Times New Roman" w:hAnsi="Times New Roman" w:cs="Times New Roman"/>
          <w:sz w:val="28"/>
        </w:rPr>
        <w:t>1</w:t>
      </w:r>
      <w:r>
        <w:rPr>
          <w:rFonts w:ascii="Times New Roman" w:hAnsi="Times New Roman" w:cs="Times New Roman"/>
          <w:sz w:val="28"/>
        </w:rPr>
        <w:t xml:space="preserve"> </w:t>
      </w:r>
      <w:r w:rsidRPr="009E6C7E">
        <w:rPr>
          <w:rFonts w:ascii="Times New Roman" w:hAnsi="Times New Roman" w:cs="Times New Roman"/>
          <w:sz w:val="28"/>
        </w:rPr>
        <w:t>– 3 (</w:t>
      </w:r>
      <w:r>
        <w:rPr>
          <w:rFonts w:ascii="Times New Roman" w:hAnsi="Times New Roman" w:cs="Times New Roman"/>
          <w:sz w:val="28"/>
        </w:rPr>
        <w:t>9,38</w:t>
      </w:r>
      <w:r w:rsidRPr="009E6C7E">
        <w:rPr>
          <w:rFonts w:ascii="Times New Roman" w:hAnsi="Times New Roman" w:cs="Times New Roman"/>
          <w:sz w:val="28"/>
        </w:rPr>
        <w:t>%</w:t>
      </w:r>
      <w:r>
        <w:rPr>
          <w:rFonts w:ascii="Times New Roman" w:hAnsi="Times New Roman" w:cs="Times New Roman"/>
          <w:sz w:val="28"/>
        </w:rPr>
        <w:t xml:space="preserve">) пацієнти, </w:t>
      </w:r>
      <w:r>
        <w:rPr>
          <w:rFonts w:ascii="Times New Roman" w:hAnsi="Times New Roman" w:cs="Times New Roman"/>
          <w:sz w:val="28"/>
          <w:lang w:val="en-US"/>
        </w:rPr>
        <w:t>T</w:t>
      </w:r>
      <w:r w:rsidRPr="009E6C7E">
        <w:rPr>
          <w:rFonts w:ascii="Times New Roman" w:hAnsi="Times New Roman" w:cs="Times New Roman"/>
          <w:sz w:val="28"/>
        </w:rPr>
        <w:t>3</w:t>
      </w:r>
      <w:r>
        <w:rPr>
          <w:rFonts w:ascii="Times New Roman" w:hAnsi="Times New Roman" w:cs="Times New Roman"/>
          <w:sz w:val="28"/>
          <w:lang w:val="en-US"/>
        </w:rPr>
        <w:t>bN</w:t>
      </w:r>
      <w:r w:rsidRPr="009E6C7E">
        <w:rPr>
          <w:rFonts w:ascii="Times New Roman" w:hAnsi="Times New Roman" w:cs="Times New Roman"/>
          <w:sz w:val="28"/>
        </w:rPr>
        <w:t>1</w:t>
      </w:r>
      <w:r>
        <w:rPr>
          <w:rFonts w:ascii="Times New Roman" w:hAnsi="Times New Roman" w:cs="Times New Roman"/>
          <w:sz w:val="28"/>
          <w:lang w:val="en-US"/>
        </w:rPr>
        <w:t>M</w:t>
      </w:r>
      <w:r w:rsidRPr="009E6C7E">
        <w:rPr>
          <w:rFonts w:ascii="Times New Roman" w:hAnsi="Times New Roman" w:cs="Times New Roman"/>
          <w:sz w:val="28"/>
        </w:rPr>
        <w:t>0 – 2 (</w:t>
      </w:r>
      <w:r>
        <w:rPr>
          <w:rFonts w:ascii="Times New Roman" w:hAnsi="Times New Roman" w:cs="Times New Roman"/>
          <w:sz w:val="28"/>
        </w:rPr>
        <w:t xml:space="preserve">6,25%) випадки, </w:t>
      </w:r>
      <w:r>
        <w:rPr>
          <w:rFonts w:ascii="Times New Roman" w:hAnsi="Times New Roman" w:cs="Times New Roman"/>
          <w:sz w:val="28"/>
          <w:lang w:val="en-US"/>
        </w:rPr>
        <w:t>T</w:t>
      </w:r>
      <w:r w:rsidRPr="009E6C7E">
        <w:rPr>
          <w:rFonts w:ascii="Times New Roman" w:hAnsi="Times New Roman" w:cs="Times New Roman"/>
          <w:sz w:val="28"/>
        </w:rPr>
        <w:t>3</w:t>
      </w:r>
      <w:r>
        <w:rPr>
          <w:rFonts w:ascii="Times New Roman" w:hAnsi="Times New Roman" w:cs="Times New Roman"/>
          <w:sz w:val="28"/>
          <w:lang w:val="en-US"/>
        </w:rPr>
        <w:t>bN</w:t>
      </w:r>
      <w:r w:rsidRPr="009E6C7E">
        <w:rPr>
          <w:rFonts w:ascii="Times New Roman" w:hAnsi="Times New Roman" w:cs="Times New Roman"/>
          <w:sz w:val="28"/>
        </w:rPr>
        <w:t>1</w:t>
      </w:r>
      <w:r>
        <w:rPr>
          <w:rFonts w:ascii="Times New Roman" w:hAnsi="Times New Roman" w:cs="Times New Roman"/>
          <w:sz w:val="28"/>
          <w:lang w:val="en-US"/>
        </w:rPr>
        <w:t>M</w:t>
      </w:r>
      <w:r w:rsidRPr="009E6C7E">
        <w:rPr>
          <w:rFonts w:ascii="Times New Roman" w:hAnsi="Times New Roman" w:cs="Times New Roman"/>
          <w:sz w:val="28"/>
        </w:rPr>
        <w:t>1 – 2 (</w:t>
      </w:r>
      <w:r>
        <w:rPr>
          <w:rFonts w:ascii="Times New Roman" w:hAnsi="Times New Roman" w:cs="Times New Roman"/>
          <w:sz w:val="28"/>
        </w:rPr>
        <w:t xml:space="preserve">6,25%) хворі, </w:t>
      </w:r>
      <w:r>
        <w:rPr>
          <w:rFonts w:ascii="Times New Roman" w:hAnsi="Times New Roman" w:cs="Times New Roman"/>
          <w:sz w:val="28"/>
          <w:lang w:val="en-US"/>
        </w:rPr>
        <w:t>T</w:t>
      </w:r>
      <w:r w:rsidRPr="009E6C7E">
        <w:rPr>
          <w:rFonts w:ascii="Times New Roman" w:hAnsi="Times New Roman" w:cs="Times New Roman"/>
          <w:sz w:val="28"/>
        </w:rPr>
        <w:t>4</w:t>
      </w:r>
      <w:r>
        <w:rPr>
          <w:rFonts w:ascii="Times New Roman" w:hAnsi="Times New Roman" w:cs="Times New Roman"/>
          <w:sz w:val="28"/>
          <w:lang w:val="en-US"/>
        </w:rPr>
        <w:t>N</w:t>
      </w:r>
      <w:r w:rsidRPr="009E6C7E">
        <w:rPr>
          <w:rFonts w:ascii="Times New Roman" w:hAnsi="Times New Roman" w:cs="Times New Roman"/>
          <w:sz w:val="28"/>
        </w:rPr>
        <w:t>0</w:t>
      </w:r>
      <w:r>
        <w:rPr>
          <w:rFonts w:ascii="Times New Roman" w:hAnsi="Times New Roman" w:cs="Times New Roman"/>
          <w:sz w:val="28"/>
          <w:lang w:val="en-US"/>
        </w:rPr>
        <w:t>M</w:t>
      </w:r>
      <w:r w:rsidRPr="009E6C7E">
        <w:rPr>
          <w:rFonts w:ascii="Times New Roman" w:hAnsi="Times New Roman" w:cs="Times New Roman"/>
          <w:sz w:val="28"/>
        </w:rPr>
        <w:t>0 – 5 (1</w:t>
      </w:r>
      <w:r>
        <w:rPr>
          <w:rFonts w:ascii="Times New Roman" w:hAnsi="Times New Roman" w:cs="Times New Roman"/>
          <w:sz w:val="28"/>
        </w:rPr>
        <w:t>5</w:t>
      </w:r>
      <w:r w:rsidRPr="009E6C7E">
        <w:rPr>
          <w:rFonts w:ascii="Times New Roman" w:hAnsi="Times New Roman" w:cs="Times New Roman"/>
          <w:sz w:val="28"/>
        </w:rPr>
        <w:t>,63%)</w:t>
      </w:r>
      <w:r>
        <w:rPr>
          <w:rFonts w:ascii="Times New Roman" w:hAnsi="Times New Roman" w:cs="Times New Roman"/>
          <w:sz w:val="28"/>
        </w:rPr>
        <w:t xml:space="preserve"> пацієнтів, </w:t>
      </w:r>
      <w:r>
        <w:rPr>
          <w:rFonts w:ascii="Times New Roman" w:hAnsi="Times New Roman" w:cs="Times New Roman"/>
          <w:sz w:val="28"/>
          <w:lang w:val="en-US"/>
        </w:rPr>
        <w:t>T</w:t>
      </w:r>
      <w:r w:rsidRPr="009E6C7E">
        <w:rPr>
          <w:rFonts w:ascii="Times New Roman" w:hAnsi="Times New Roman" w:cs="Times New Roman"/>
          <w:sz w:val="28"/>
        </w:rPr>
        <w:t>4</w:t>
      </w:r>
      <w:r>
        <w:rPr>
          <w:rFonts w:ascii="Times New Roman" w:hAnsi="Times New Roman" w:cs="Times New Roman"/>
          <w:sz w:val="28"/>
          <w:lang w:val="en-US"/>
        </w:rPr>
        <w:t>N</w:t>
      </w:r>
      <w:r w:rsidRPr="009E6C7E">
        <w:rPr>
          <w:rFonts w:ascii="Times New Roman" w:hAnsi="Times New Roman" w:cs="Times New Roman"/>
          <w:sz w:val="28"/>
        </w:rPr>
        <w:t>1</w:t>
      </w:r>
      <w:r>
        <w:rPr>
          <w:rFonts w:ascii="Times New Roman" w:hAnsi="Times New Roman" w:cs="Times New Roman"/>
          <w:sz w:val="28"/>
          <w:lang w:val="en-US"/>
        </w:rPr>
        <w:t>M</w:t>
      </w:r>
      <w:r w:rsidRPr="009E6C7E">
        <w:rPr>
          <w:rFonts w:ascii="Times New Roman" w:hAnsi="Times New Roman" w:cs="Times New Roman"/>
          <w:sz w:val="28"/>
        </w:rPr>
        <w:t>0</w:t>
      </w:r>
      <w:r>
        <w:rPr>
          <w:rFonts w:ascii="Times New Roman" w:hAnsi="Times New Roman" w:cs="Times New Roman"/>
          <w:sz w:val="28"/>
        </w:rPr>
        <w:t xml:space="preserve"> – 3 (9,38</w:t>
      </w:r>
      <w:r w:rsidRPr="009E6C7E">
        <w:rPr>
          <w:rFonts w:ascii="Times New Roman" w:hAnsi="Times New Roman" w:cs="Times New Roman"/>
          <w:sz w:val="28"/>
        </w:rPr>
        <w:t>%</w:t>
      </w:r>
      <w:r>
        <w:rPr>
          <w:rFonts w:ascii="Times New Roman" w:hAnsi="Times New Roman" w:cs="Times New Roman"/>
          <w:sz w:val="28"/>
        </w:rPr>
        <w:t xml:space="preserve">) випадки, </w:t>
      </w:r>
      <w:r>
        <w:rPr>
          <w:rFonts w:ascii="Times New Roman" w:hAnsi="Times New Roman" w:cs="Times New Roman"/>
          <w:sz w:val="28"/>
          <w:lang w:val="en-US"/>
        </w:rPr>
        <w:t>T</w:t>
      </w:r>
      <w:r w:rsidRPr="009E6C7E">
        <w:rPr>
          <w:rFonts w:ascii="Times New Roman" w:hAnsi="Times New Roman" w:cs="Times New Roman"/>
          <w:sz w:val="28"/>
        </w:rPr>
        <w:t>4</w:t>
      </w:r>
      <w:r>
        <w:rPr>
          <w:rFonts w:ascii="Times New Roman" w:hAnsi="Times New Roman" w:cs="Times New Roman"/>
          <w:sz w:val="28"/>
          <w:lang w:val="en-US"/>
        </w:rPr>
        <w:t>N</w:t>
      </w:r>
      <w:r w:rsidRPr="009E6C7E">
        <w:rPr>
          <w:rFonts w:ascii="Times New Roman" w:hAnsi="Times New Roman" w:cs="Times New Roman"/>
          <w:sz w:val="28"/>
        </w:rPr>
        <w:t>1</w:t>
      </w:r>
      <w:r>
        <w:rPr>
          <w:rFonts w:ascii="Times New Roman" w:hAnsi="Times New Roman" w:cs="Times New Roman"/>
          <w:sz w:val="28"/>
          <w:lang w:val="en-US"/>
        </w:rPr>
        <w:t>M</w:t>
      </w:r>
      <w:r w:rsidRPr="009E6C7E">
        <w:rPr>
          <w:rFonts w:ascii="Times New Roman" w:hAnsi="Times New Roman" w:cs="Times New Roman"/>
          <w:sz w:val="28"/>
        </w:rPr>
        <w:t>1</w:t>
      </w:r>
      <w:r>
        <w:rPr>
          <w:rFonts w:ascii="Times New Roman" w:hAnsi="Times New Roman" w:cs="Times New Roman"/>
          <w:sz w:val="28"/>
        </w:rPr>
        <w:t xml:space="preserve"> – 2 (6,25</w:t>
      </w:r>
      <w:r w:rsidRPr="009E6C7E">
        <w:rPr>
          <w:rFonts w:ascii="Times New Roman" w:hAnsi="Times New Roman" w:cs="Times New Roman"/>
          <w:sz w:val="28"/>
        </w:rPr>
        <w:t>%</w:t>
      </w:r>
      <w:r>
        <w:rPr>
          <w:rFonts w:ascii="Times New Roman" w:hAnsi="Times New Roman" w:cs="Times New Roman"/>
          <w:sz w:val="28"/>
        </w:rPr>
        <w:t xml:space="preserve">) хворих. У 4 (12,50%) випадках було діагностовано ІІ ступінь НКР за </w:t>
      </w:r>
      <w:r>
        <w:rPr>
          <w:rFonts w:ascii="Times New Roman" w:hAnsi="Times New Roman" w:cs="Times New Roman"/>
          <w:sz w:val="28"/>
          <w:lang w:val="en-US"/>
        </w:rPr>
        <w:t>Fuhrman</w:t>
      </w:r>
      <w:r>
        <w:rPr>
          <w:rFonts w:ascii="Times New Roman" w:hAnsi="Times New Roman" w:cs="Times New Roman"/>
          <w:sz w:val="28"/>
        </w:rPr>
        <w:t xml:space="preserve">, у 23 (71,88%) хворих – ІІІ ступінь, та у 5 (15,63%) – </w:t>
      </w:r>
      <w:r>
        <w:rPr>
          <w:rFonts w:ascii="Times New Roman" w:hAnsi="Times New Roman" w:cs="Times New Roman"/>
          <w:sz w:val="28"/>
          <w:lang w:val="en-US"/>
        </w:rPr>
        <w:t>IV</w:t>
      </w:r>
      <w:r>
        <w:rPr>
          <w:rFonts w:ascii="Times New Roman" w:hAnsi="Times New Roman" w:cs="Times New Roman"/>
          <w:sz w:val="28"/>
        </w:rPr>
        <w:t xml:space="preserve"> ступінь ядерної атипії. </w:t>
      </w:r>
    </w:p>
    <w:p w:rsidR="003735EA" w:rsidRPr="00523E4E" w:rsidRDefault="003735EA" w:rsidP="003735EA">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rPr>
        <w:t xml:space="preserve">Впродовж усього періоду спостереження згідно критеріїв </w:t>
      </w:r>
      <w:r>
        <w:rPr>
          <w:rFonts w:ascii="Times New Roman" w:hAnsi="Times New Roman" w:cs="Times New Roman"/>
          <w:sz w:val="28"/>
          <w:lang w:val="en-US"/>
        </w:rPr>
        <w:t>RECIST</w:t>
      </w:r>
      <w:r w:rsidRPr="009E6C7E">
        <w:rPr>
          <w:rFonts w:ascii="Times New Roman" w:hAnsi="Times New Roman" w:cs="Times New Roman"/>
          <w:sz w:val="28"/>
          <w:lang w:val="ru-RU"/>
        </w:rPr>
        <w:t xml:space="preserve"> </w:t>
      </w:r>
      <w:r>
        <w:rPr>
          <w:rFonts w:ascii="Times New Roman" w:hAnsi="Times New Roman" w:cs="Times New Roman"/>
          <w:sz w:val="28"/>
        </w:rPr>
        <w:t xml:space="preserve">у жодного хворого не спостерігалось повної відповіді на терапію із застосуванням пазопанібу. Водночас, у 12 (37,50%) хворих була констатована </w:t>
      </w:r>
      <w:r>
        <w:rPr>
          <w:rFonts w:ascii="Times New Roman" w:hAnsi="Times New Roman" w:cs="Times New Roman"/>
          <w:color w:val="000000"/>
          <w:sz w:val="28"/>
          <w:szCs w:val="28"/>
          <w:shd w:val="clear" w:color="auto" w:fill="FFFFFF"/>
        </w:rPr>
        <w:t xml:space="preserve">часткова відповідь, у 10 (31,25%) – стабілізація захворювання та у 10 (31,25%) </w:t>
      </w:r>
      <w:r>
        <w:rPr>
          <w:rFonts w:ascii="Times New Roman" w:hAnsi="Times New Roman" w:cs="Times New Roman"/>
          <w:color w:val="000000"/>
          <w:sz w:val="28"/>
          <w:szCs w:val="28"/>
          <w:shd w:val="clear" w:color="auto" w:fill="FFFFFF"/>
        </w:rPr>
        <w:lastRenderedPageBreak/>
        <w:t>– прогрес захворювання. Середній час до прогресу захворювання в підгрупах з ЧВ, СЗ та ПЗ складав відповідно 10,33±2,06 місяців (95% ДІ=9,05-11,61),  7,40±2,50 місяців (95% ДІ=5,61-9,19) та 4,20±1,99 місяців (95% ДІ=2,78-5,62). При порівнянні цих показників між собою було отримано достовірну різницю: ЧВ та СЗ (р=0,010), ЧВ та ПЗ (р</w:t>
      </w:r>
      <w:r w:rsidRPr="009E6C7E">
        <w:rPr>
          <w:rFonts w:ascii="Times New Roman" w:hAnsi="Times New Roman" w:cs="Times New Roman"/>
          <w:color w:val="000000"/>
          <w:sz w:val="28"/>
          <w:szCs w:val="28"/>
          <w:shd w:val="clear" w:color="auto" w:fill="FFFFFF"/>
        </w:rPr>
        <w:t>&lt;</w:t>
      </w:r>
      <w:r>
        <w:rPr>
          <w:rFonts w:ascii="Times New Roman" w:hAnsi="Times New Roman" w:cs="Times New Roman"/>
          <w:color w:val="000000"/>
          <w:sz w:val="28"/>
          <w:szCs w:val="28"/>
          <w:shd w:val="clear" w:color="auto" w:fill="FFFFFF"/>
        </w:rPr>
        <w:t>0,001), СЗ та ПЗ (р=0,007). Нами були проаналізована динаміка показників розміру та вимірюваного коефіцієнта дифузії основної пухлини під впливом системного лікування, отримані результати наводимо нижче.</w:t>
      </w:r>
    </w:p>
    <w:p w:rsidR="003735EA" w:rsidRDefault="003735EA" w:rsidP="003735EA">
      <w:pPr>
        <w:spacing w:line="360" w:lineRule="auto"/>
        <w:ind w:firstLine="708"/>
        <w:jc w:val="both"/>
        <w:rPr>
          <w:rFonts w:ascii="Times New Roman" w:hAnsi="Times New Roman" w:cs="Times New Roman"/>
          <w:sz w:val="28"/>
        </w:rPr>
      </w:pPr>
      <w:r>
        <w:rPr>
          <w:rFonts w:ascii="Times New Roman" w:hAnsi="Times New Roman" w:cs="Times New Roman"/>
          <w:sz w:val="28"/>
        </w:rPr>
        <w:t xml:space="preserve">В основній групі за даними МРТ до початку лікування вихідний середній розмір первинної пухлини у хворих з НКР складав </w:t>
      </w:r>
      <w:r w:rsidRPr="009E6C7E">
        <w:rPr>
          <w:rFonts w:ascii="Times New Roman" w:hAnsi="Times New Roman" w:cs="Times New Roman"/>
          <w:sz w:val="28"/>
          <w:lang w:val="ru-RU"/>
        </w:rPr>
        <w:t>8,96±</w:t>
      </w:r>
      <w:r>
        <w:rPr>
          <w:rFonts w:ascii="Times New Roman" w:hAnsi="Times New Roman" w:cs="Times New Roman"/>
          <w:sz w:val="28"/>
        </w:rPr>
        <w:t>1,03</w:t>
      </w:r>
      <w:r w:rsidRPr="009E6C7E">
        <w:rPr>
          <w:rFonts w:ascii="Times New Roman" w:hAnsi="Times New Roman" w:cs="Times New Roman"/>
          <w:sz w:val="28"/>
          <w:lang w:val="ru-RU"/>
        </w:rPr>
        <w:t xml:space="preserve"> </w:t>
      </w:r>
      <w:r>
        <w:rPr>
          <w:rFonts w:ascii="Times New Roman" w:hAnsi="Times New Roman" w:cs="Times New Roman"/>
          <w:sz w:val="28"/>
        </w:rPr>
        <w:t>см у найбільшому діаметрі (від 7,34 до 11,56 см). Через 1 місяць при проведенні контрольного обстеження ми спостерігали незначну зміну середнього розміру новоутворення до 8,11</w:t>
      </w:r>
      <w:r w:rsidRPr="009E6C7E">
        <w:rPr>
          <w:rFonts w:ascii="Times New Roman" w:hAnsi="Times New Roman" w:cs="Times New Roman"/>
          <w:sz w:val="28"/>
          <w:lang w:val="ru-RU"/>
        </w:rPr>
        <w:t>±</w:t>
      </w:r>
      <w:r>
        <w:rPr>
          <w:rFonts w:ascii="Times New Roman" w:hAnsi="Times New Roman" w:cs="Times New Roman"/>
          <w:sz w:val="28"/>
        </w:rPr>
        <w:t>1,09 см, проте, така різниця у порівнянні з початковою величиною не була достовірною (р</w:t>
      </w:r>
      <w:r w:rsidRPr="009E6C7E">
        <w:rPr>
          <w:rFonts w:ascii="Times New Roman" w:hAnsi="Times New Roman" w:cs="Times New Roman"/>
          <w:sz w:val="28"/>
          <w:lang w:val="ru-RU"/>
        </w:rPr>
        <w:t>&gt;</w:t>
      </w:r>
      <w:r>
        <w:rPr>
          <w:rFonts w:ascii="Times New Roman" w:hAnsi="Times New Roman" w:cs="Times New Roman"/>
          <w:sz w:val="28"/>
        </w:rPr>
        <w:t>0,05). У хворих із ЧВ, СЗ та ПЗ до початку лікування середній розмір НКР складав відповідно 8,81±1,08 см, 9,16±1,08 см та 8,95±0,09 см, а різниця між даними показниками не була суттєвою (р</w:t>
      </w:r>
      <w:r w:rsidRPr="009E6C7E">
        <w:rPr>
          <w:rFonts w:ascii="Times New Roman" w:hAnsi="Times New Roman" w:cs="Times New Roman"/>
          <w:sz w:val="28"/>
        </w:rPr>
        <w:t>&gt;</w:t>
      </w:r>
      <w:r>
        <w:rPr>
          <w:rFonts w:ascii="Times New Roman" w:hAnsi="Times New Roman" w:cs="Times New Roman"/>
          <w:sz w:val="28"/>
        </w:rPr>
        <w:t>0,05). Через 1 місяць після початку лікування середні показники розміру первинної пухлини у підгрупах хворих із ЧВ, СЗ та ПЗ складали відповідно 8,70±1,02 см, 9,18±1,09 см та 9,24±1,18 см, статистичної різниці між цими показниками також не спостерігалось (р</w:t>
      </w:r>
      <w:r w:rsidRPr="009E6C7E">
        <w:rPr>
          <w:rFonts w:ascii="Times New Roman" w:hAnsi="Times New Roman" w:cs="Times New Roman"/>
          <w:sz w:val="28"/>
        </w:rPr>
        <w:t>&gt;</w:t>
      </w:r>
      <w:r>
        <w:rPr>
          <w:rFonts w:ascii="Times New Roman" w:hAnsi="Times New Roman" w:cs="Times New Roman"/>
          <w:sz w:val="28"/>
        </w:rPr>
        <w:t>0,05). Крім цього, при порівнянні середніх значень розміру НКР до початку лікування та через 1 місяць після його початку, у кожній підгрупі окремо,  нами достовірних відмінностей отримано не було  (р</w:t>
      </w:r>
      <w:r w:rsidRPr="009E6C7E">
        <w:rPr>
          <w:rFonts w:ascii="Times New Roman" w:hAnsi="Times New Roman" w:cs="Times New Roman"/>
          <w:sz w:val="28"/>
        </w:rPr>
        <w:t>&gt;</w:t>
      </w:r>
      <w:r>
        <w:rPr>
          <w:rFonts w:ascii="Times New Roman" w:hAnsi="Times New Roman" w:cs="Times New Roman"/>
          <w:sz w:val="28"/>
        </w:rPr>
        <w:t xml:space="preserve">0,05). Такі дані свідчать про те, що показник розміру первинної пухлини не відображає ранні зміни в тканинах НКР, що відбуваються під впливом системної терапії із застосуванням вказаного інгібітору тирозинкінази. </w:t>
      </w:r>
    </w:p>
    <w:p w:rsidR="003735EA" w:rsidRDefault="003735EA" w:rsidP="003735EA">
      <w:pPr>
        <w:spacing w:line="360" w:lineRule="auto"/>
        <w:ind w:firstLine="708"/>
        <w:jc w:val="both"/>
        <w:rPr>
          <w:rFonts w:ascii="Times New Roman" w:hAnsi="Times New Roman"/>
          <w:sz w:val="28"/>
          <w:szCs w:val="28"/>
        </w:rPr>
      </w:pPr>
      <w:r>
        <w:rPr>
          <w:rFonts w:ascii="Times New Roman" w:hAnsi="Times New Roman" w:cs="Times New Roman"/>
          <w:sz w:val="28"/>
        </w:rPr>
        <w:t xml:space="preserve">Вихідне середнє значення вимірюваного коефіцієнта дифузії первинного пухлинного вогнища в основній групі становило </w:t>
      </w:r>
      <w:r>
        <w:rPr>
          <w:rFonts w:ascii="Times New Roman" w:hAnsi="Times New Roman" w:cs="Times New Roman"/>
          <w:sz w:val="28"/>
          <w:szCs w:val="28"/>
        </w:rPr>
        <w:t>1,72±0,06</w:t>
      </w:r>
      <w:r w:rsidRPr="00D6751D">
        <w:rPr>
          <w:rFonts w:ascii="Times New Roman" w:hAnsi="Times New Roman" w:cs="Times New Roman"/>
          <w:sz w:val="28"/>
          <w:szCs w:val="28"/>
        </w:rPr>
        <w:t>×</w:t>
      </w:r>
      <w:r w:rsidRPr="00D6751D">
        <w:rPr>
          <w:rFonts w:ascii="Times New Roman" w:hAnsi="Times New Roman"/>
          <w:sz w:val="28"/>
          <w:szCs w:val="28"/>
        </w:rPr>
        <w:t>10</w:t>
      </w:r>
      <w:r w:rsidRPr="00D6751D">
        <w:rPr>
          <w:rFonts w:ascii="Times New Roman" w:hAnsi="Times New Roman"/>
          <w:sz w:val="28"/>
          <w:szCs w:val="28"/>
          <w:vertAlign w:val="superscript"/>
        </w:rPr>
        <w:t>-3</w:t>
      </w:r>
      <w:r w:rsidRPr="00D6751D">
        <w:rPr>
          <w:rFonts w:ascii="Times New Roman" w:hAnsi="Times New Roman"/>
          <w:sz w:val="28"/>
          <w:szCs w:val="28"/>
        </w:rPr>
        <w:t xml:space="preserve"> мм</w:t>
      </w:r>
      <w:r w:rsidRPr="00D6751D">
        <w:rPr>
          <w:rFonts w:ascii="Times New Roman" w:hAnsi="Times New Roman"/>
          <w:sz w:val="28"/>
          <w:szCs w:val="28"/>
          <w:vertAlign w:val="superscript"/>
        </w:rPr>
        <w:t>2</w:t>
      </w:r>
      <w:r w:rsidRPr="00D6751D">
        <w:rPr>
          <w:rFonts w:ascii="Times New Roman" w:hAnsi="Times New Roman"/>
          <w:sz w:val="28"/>
          <w:szCs w:val="28"/>
        </w:rPr>
        <w:t>/с</w:t>
      </w:r>
      <w:r>
        <w:rPr>
          <w:rFonts w:ascii="Times New Roman" w:hAnsi="Times New Roman"/>
          <w:sz w:val="28"/>
          <w:szCs w:val="28"/>
        </w:rPr>
        <w:t xml:space="preserve">, а через 1 місяць після початку лікування – </w:t>
      </w:r>
      <w:r>
        <w:rPr>
          <w:rFonts w:ascii="Times New Roman" w:hAnsi="Times New Roman" w:cs="Times New Roman"/>
          <w:sz w:val="28"/>
          <w:szCs w:val="28"/>
        </w:rPr>
        <w:t>1,56±0,22</w:t>
      </w:r>
      <w:r w:rsidRPr="00D6751D">
        <w:rPr>
          <w:rFonts w:ascii="Times New Roman" w:hAnsi="Times New Roman" w:cs="Times New Roman"/>
          <w:sz w:val="28"/>
          <w:szCs w:val="28"/>
        </w:rPr>
        <w:t>×</w:t>
      </w:r>
      <w:r w:rsidRPr="00D6751D">
        <w:rPr>
          <w:rFonts w:ascii="Times New Roman" w:hAnsi="Times New Roman"/>
          <w:sz w:val="28"/>
          <w:szCs w:val="28"/>
        </w:rPr>
        <w:t>10</w:t>
      </w:r>
      <w:r w:rsidRPr="00D6751D">
        <w:rPr>
          <w:rFonts w:ascii="Times New Roman" w:hAnsi="Times New Roman"/>
          <w:sz w:val="28"/>
          <w:szCs w:val="28"/>
          <w:vertAlign w:val="superscript"/>
        </w:rPr>
        <w:t>-3</w:t>
      </w:r>
      <w:r w:rsidRPr="00D6751D">
        <w:rPr>
          <w:rFonts w:ascii="Times New Roman" w:hAnsi="Times New Roman"/>
          <w:sz w:val="28"/>
          <w:szCs w:val="28"/>
        </w:rPr>
        <w:t xml:space="preserve"> мм</w:t>
      </w:r>
      <w:r w:rsidRPr="00D6751D">
        <w:rPr>
          <w:rFonts w:ascii="Times New Roman" w:hAnsi="Times New Roman"/>
          <w:sz w:val="28"/>
          <w:szCs w:val="28"/>
          <w:vertAlign w:val="superscript"/>
        </w:rPr>
        <w:t>2</w:t>
      </w:r>
      <w:r w:rsidRPr="00D6751D">
        <w:rPr>
          <w:rFonts w:ascii="Times New Roman" w:hAnsi="Times New Roman"/>
          <w:sz w:val="28"/>
          <w:szCs w:val="28"/>
        </w:rPr>
        <w:t>/с</w:t>
      </w:r>
      <w:r>
        <w:rPr>
          <w:rFonts w:ascii="Times New Roman" w:hAnsi="Times New Roman"/>
          <w:sz w:val="28"/>
          <w:szCs w:val="28"/>
        </w:rPr>
        <w:t xml:space="preserve"> (р=</w:t>
      </w:r>
      <w:r>
        <w:rPr>
          <w:rFonts w:ascii="Times New Roman" w:hAnsi="Times New Roman" w:cs="Times New Roman"/>
          <w:sz w:val="28"/>
          <w:szCs w:val="28"/>
        </w:rPr>
        <w:t xml:space="preserve">0,05). У хворих із НКР та різними ступенями терапевтичної відповіді до початку </w:t>
      </w:r>
      <w:r>
        <w:rPr>
          <w:rFonts w:ascii="Times New Roman" w:hAnsi="Times New Roman" w:cs="Times New Roman"/>
          <w:sz w:val="28"/>
          <w:szCs w:val="28"/>
        </w:rPr>
        <w:lastRenderedPageBreak/>
        <w:t>лікування середні значення ВКД суттєво не відрізнялись між собою (р</w:t>
      </w:r>
      <w:r w:rsidRPr="009E6C7E">
        <w:rPr>
          <w:rFonts w:ascii="Times New Roman" w:hAnsi="Times New Roman" w:cs="Times New Roman"/>
          <w:sz w:val="28"/>
          <w:szCs w:val="28"/>
        </w:rPr>
        <w:t>&gt;</w:t>
      </w:r>
      <w:r>
        <w:rPr>
          <w:rFonts w:ascii="Times New Roman" w:hAnsi="Times New Roman" w:cs="Times New Roman"/>
          <w:sz w:val="28"/>
          <w:szCs w:val="28"/>
        </w:rPr>
        <w:t>0,05). На противагу цьому, ми отримали достовірну різницю у цих показниках через 1 місяць після початку лікування у названих підгрупах: при ЧВ середній ВКД складав 1,36±0,16</w:t>
      </w:r>
      <w:r w:rsidRPr="00D6751D">
        <w:rPr>
          <w:rFonts w:ascii="Times New Roman" w:hAnsi="Times New Roman" w:cs="Times New Roman"/>
          <w:sz w:val="28"/>
          <w:szCs w:val="28"/>
        </w:rPr>
        <w:t>×</w:t>
      </w:r>
      <w:r w:rsidRPr="00D6751D">
        <w:rPr>
          <w:rFonts w:ascii="Times New Roman" w:hAnsi="Times New Roman"/>
          <w:sz w:val="28"/>
          <w:szCs w:val="28"/>
        </w:rPr>
        <w:t>10</w:t>
      </w:r>
      <w:r w:rsidRPr="00D6751D">
        <w:rPr>
          <w:rFonts w:ascii="Times New Roman" w:hAnsi="Times New Roman"/>
          <w:sz w:val="28"/>
          <w:szCs w:val="28"/>
          <w:vertAlign w:val="superscript"/>
        </w:rPr>
        <w:t>-3</w:t>
      </w:r>
      <w:r w:rsidRPr="00D6751D">
        <w:rPr>
          <w:rFonts w:ascii="Times New Roman" w:hAnsi="Times New Roman"/>
          <w:sz w:val="28"/>
          <w:szCs w:val="28"/>
        </w:rPr>
        <w:t xml:space="preserve"> мм</w:t>
      </w:r>
      <w:r w:rsidRPr="00D6751D">
        <w:rPr>
          <w:rFonts w:ascii="Times New Roman" w:hAnsi="Times New Roman"/>
          <w:sz w:val="28"/>
          <w:szCs w:val="28"/>
          <w:vertAlign w:val="superscript"/>
        </w:rPr>
        <w:t>2</w:t>
      </w:r>
      <w:r w:rsidRPr="00D6751D">
        <w:rPr>
          <w:rFonts w:ascii="Times New Roman" w:hAnsi="Times New Roman"/>
          <w:sz w:val="28"/>
          <w:szCs w:val="28"/>
        </w:rPr>
        <w:t>/с</w:t>
      </w:r>
      <w:r>
        <w:rPr>
          <w:rFonts w:ascii="Times New Roman" w:hAnsi="Times New Roman"/>
          <w:sz w:val="28"/>
          <w:szCs w:val="28"/>
        </w:rPr>
        <w:t xml:space="preserve">, при СЗ – </w:t>
      </w:r>
      <w:r>
        <w:rPr>
          <w:rFonts w:ascii="Times New Roman" w:hAnsi="Times New Roman" w:cs="Times New Roman"/>
          <w:sz w:val="28"/>
          <w:szCs w:val="28"/>
        </w:rPr>
        <w:t>1,57±0,12</w:t>
      </w:r>
      <w:r w:rsidRPr="00D6751D">
        <w:rPr>
          <w:rFonts w:ascii="Times New Roman" w:hAnsi="Times New Roman" w:cs="Times New Roman"/>
          <w:sz w:val="28"/>
          <w:szCs w:val="28"/>
        </w:rPr>
        <w:t>×</w:t>
      </w:r>
      <w:r w:rsidRPr="00D6751D">
        <w:rPr>
          <w:rFonts w:ascii="Times New Roman" w:hAnsi="Times New Roman"/>
          <w:sz w:val="28"/>
          <w:szCs w:val="28"/>
        </w:rPr>
        <w:t>10</w:t>
      </w:r>
      <w:r w:rsidRPr="00D6751D">
        <w:rPr>
          <w:rFonts w:ascii="Times New Roman" w:hAnsi="Times New Roman"/>
          <w:sz w:val="28"/>
          <w:szCs w:val="28"/>
          <w:vertAlign w:val="superscript"/>
        </w:rPr>
        <w:t>-3</w:t>
      </w:r>
      <w:r w:rsidRPr="00D6751D">
        <w:rPr>
          <w:rFonts w:ascii="Times New Roman" w:hAnsi="Times New Roman"/>
          <w:sz w:val="28"/>
          <w:szCs w:val="28"/>
        </w:rPr>
        <w:t xml:space="preserve"> мм</w:t>
      </w:r>
      <w:r w:rsidRPr="00D6751D">
        <w:rPr>
          <w:rFonts w:ascii="Times New Roman" w:hAnsi="Times New Roman"/>
          <w:sz w:val="28"/>
          <w:szCs w:val="28"/>
          <w:vertAlign w:val="superscript"/>
        </w:rPr>
        <w:t>2</w:t>
      </w:r>
      <w:r w:rsidRPr="00D6751D">
        <w:rPr>
          <w:rFonts w:ascii="Times New Roman" w:hAnsi="Times New Roman"/>
          <w:sz w:val="28"/>
          <w:szCs w:val="28"/>
        </w:rPr>
        <w:t>/с</w:t>
      </w:r>
      <w:r>
        <w:rPr>
          <w:rFonts w:ascii="Times New Roman" w:hAnsi="Times New Roman"/>
          <w:sz w:val="28"/>
          <w:szCs w:val="28"/>
        </w:rPr>
        <w:t xml:space="preserve"> та при ПЗ – </w:t>
      </w:r>
      <w:r>
        <w:rPr>
          <w:rFonts w:ascii="Times New Roman" w:hAnsi="Times New Roman" w:cs="Times New Roman"/>
          <w:sz w:val="28"/>
          <w:szCs w:val="28"/>
        </w:rPr>
        <w:t>1,77±0,06</w:t>
      </w:r>
      <w:r w:rsidRPr="00D6751D">
        <w:rPr>
          <w:rFonts w:ascii="Times New Roman" w:hAnsi="Times New Roman" w:cs="Times New Roman"/>
          <w:sz w:val="28"/>
          <w:szCs w:val="28"/>
        </w:rPr>
        <w:t>×</w:t>
      </w:r>
      <w:r w:rsidRPr="00D6751D">
        <w:rPr>
          <w:rFonts w:ascii="Times New Roman" w:hAnsi="Times New Roman"/>
          <w:sz w:val="28"/>
          <w:szCs w:val="28"/>
        </w:rPr>
        <w:t>10</w:t>
      </w:r>
      <w:r w:rsidRPr="00D6751D">
        <w:rPr>
          <w:rFonts w:ascii="Times New Roman" w:hAnsi="Times New Roman"/>
          <w:sz w:val="28"/>
          <w:szCs w:val="28"/>
          <w:vertAlign w:val="superscript"/>
        </w:rPr>
        <w:t>-3</w:t>
      </w:r>
      <w:r w:rsidRPr="00D6751D">
        <w:rPr>
          <w:rFonts w:ascii="Times New Roman" w:hAnsi="Times New Roman"/>
          <w:sz w:val="28"/>
          <w:szCs w:val="28"/>
        </w:rPr>
        <w:t xml:space="preserve"> мм</w:t>
      </w:r>
      <w:r w:rsidRPr="00D6751D">
        <w:rPr>
          <w:rFonts w:ascii="Times New Roman" w:hAnsi="Times New Roman"/>
          <w:sz w:val="28"/>
          <w:szCs w:val="28"/>
          <w:vertAlign w:val="superscript"/>
        </w:rPr>
        <w:t>2</w:t>
      </w:r>
      <w:r>
        <w:rPr>
          <w:rFonts w:ascii="Times New Roman" w:hAnsi="Times New Roman"/>
          <w:sz w:val="28"/>
          <w:szCs w:val="28"/>
        </w:rPr>
        <w:t xml:space="preserve">/с. При порівнянні вихідних середніх значень ВКД із середніми значеннями цього параметру через 1 місяць після початку лікування, у підгрупі із частковою відповіддю ми спостерігали зниження даного показника в середньому на </w:t>
      </w:r>
      <w:r>
        <w:rPr>
          <w:rFonts w:ascii="Times New Roman" w:hAnsi="Times New Roman" w:cs="Times New Roman"/>
          <w:sz w:val="28"/>
          <w:szCs w:val="28"/>
        </w:rPr>
        <w:t>↓</w:t>
      </w:r>
      <w:r>
        <w:rPr>
          <w:rFonts w:ascii="Times New Roman" w:hAnsi="Times New Roman"/>
          <w:sz w:val="28"/>
          <w:szCs w:val="28"/>
        </w:rPr>
        <w:t>19,11</w:t>
      </w:r>
      <w:r>
        <w:rPr>
          <w:rFonts w:ascii="Times New Roman" w:hAnsi="Times New Roman" w:cs="Times New Roman"/>
          <w:sz w:val="28"/>
          <w:szCs w:val="28"/>
        </w:rPr>
        <w:t>±</w:t>
      </w:r>
      <w:r>
        <w:rPr>
          <w:rFonts w:ascii="Times New Roman" w:hAnsi="Times New Roman"/>
          <w:sz w:val="28"/>
          <w:szCs w:val="28"/>
        </w:rPr>
        <w:t xml:space="preserve">10,64% (95% ДІ=12,35-25,87); у групі із стабілізацією захворювання – зниження в середньому на </w:t>
      </w:r>
      <w:r>
        <w:rPr>
          <w:rFonts w:ascii="Times New Roman" w:hAnsi="Times New Roman" w:cs="Times New Roman"/>
          <w:sz w:val="28"/>
          <w:szCs w:val="28"/>
        </w:rPr>
        <w:t>↓</w:t>
      </w:r>
      <w:r>
        <w:rPr>
          <w:rFonts w:ascii="Times New Roman" w:hAnsi="Times New Roman"/>
          <w:sz w:val="28"/>
          <w:szCs w:val="28"/>
        </w:rPr>
        <w:t>7,66</w:t>
      </w:r>
      <w:r>
        <w:rPr>
          <w:rFonts w:ascii="Times New Roman" w:hAnsi="Times New Roman" w:cs="Times New Roman"/>
          <w:sz w:val="28"/>
          <w:szCs w:val="28"/>
        </w:rPr>
        <w:t>±</w:t>
      </w:r>
      <w:r>
        <w:rPr>
          <w:rFonts w:ascii="Times New Roman" w:hAnsi="Times New Roman"/>
          <w:sz w:val="28"/>
          <w:szCs w:val="28"/>
        </w:rPr>
        <w:t xml:space="preserve">6,72% (95% ДІ=2,86-12,47); а у групі із прогресом захворювання навпаки, зростання в середньому на </w:t>
      </w:r>
      <w:r>
        <w:rPr>
          <w:rFonts w:ascii="Times New Roman" w:hAnsi="Times New Roman" w:cs="Times New Roman"/>
          <w:sz w:val="28"/>
          <w:szCs w:val="28"/>
        </w:rPr>
        <w:t>↑</w:t>
      </w:r>
      <w:r>
        <w:rPr>
          <w:rFonts w:ascii="Times New Roman" w:hAnsi="Times New Roman"/>
          <w:sz w:val="28"/>
          <w:szCs w:val="28"/>
        </w:rPr>
        <w:t>1,11</w:t>
      </w:r>
      <w:r>
        <w:rPr>
          <w:rFonts w:ascii="Times New Roman" w:hAnsi="Times New Roman" w:cs="Times New Roman"/>
          <w:sz w:val="28"/>
          <w:szCs w:val="28"/>
        </w:rPr>
        <w:t>±</w:t>
      </w:r>
      <w:r>
        <w:rPr>
          <w:rFonts w:ascii="Times New Roman" w:hAnsi="Times New Roman"/>
          <w:sz w:val="28"/>
          <w:szCs w:val="28"/>
        </w:rPr>
        <w:t>2,46% (95% ДІ=-0,64-2,67), при цьому різниця між підгрупами була статистично достовірною (р</w:t>
      </w:r>
      <w:r>
        <w:rPr>
          <w:rFonts w:ascii="Times New Roman" w:hAnsi="Times New Roman"/>
          <w:sz w:val="28"/>
          <w:szCs w:val="28"/>
          <w:lang w:val="en-US"/>
        </w:rPr>
        <w:t>&lt;</w:t>
      </w:r>
      <w:r>
        <w:rPr>
          <w:rFonts w:ascii="Times New Roman" w:hAnsi="Times New Roman"/>
          <w:sz w:val="28"/>
          <w:szCs w:val="28"/>
        </w:rPr>
        <w:t xml:space="preserve">0,001). </w:t>
      </w:r>
    </w:p>
    <w:p w:rsidR="003735EA" w:rsidRDefault="003735EA" w:rsidP="003735EA">
      <w:pPr>
        <w:spacing w:line="360" w:lineRule="auto"/>
        <w:jc w:val="center"/>
        <w:rPr>
          <w:rFonts w:ascii="Times New Roman" w:hAnsi="Times New Roman"/>
          <w:sz w:val="28"/>
          <w:szCs w:val="28"/>
        </w:rPr>
      </w:pPr>
      <w:r>
        <w:rPr>
          <w:rFonts w:ascii="Times New Roman" w:hAnsi="Times New Roman" w:cs="Times New Roman"/>
          <w:noProof/>
          <w:sz w:val="24"/>
          <w:szCs w:val="24"/>
          <w:lang w:val="en-US"/>
        </w:rPr>
        <w:drawing>
          <wp:inline distT="0" distB="0" distL="0" distR="0" wp14:anchorId="2AF7695B" wp14:editId="709197B4">
            <wp:extent cx="4328420" cy="3381375"/>
            <wp:effectExtent l="0" t="0" r="0" b="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03">
                      <a:extLst>
                        <a:ext uri="{28A0092B-C50C-407E-A947-70E740481C1C}">
                          <a14:useLocalDpi xmlns:a14="http://schemas.microsoft.com/office/drawing/2010/main" val="0"/>
                        </a:ext>
                      </a:extLst>
                    </a:blip>
                    <a:srcRect b="2233"/>
                    <a:stretch/>
                  </pic:blipFill>
                  <pic:spPr bwMode="auto">
                    <a:xfrm>
                      <a:off x="0" y="0"/>
                      <a:ext cx="4344795" cy="3394167"/>
                    </a:xfrm>
                    <a:prstGeom prst="rect">
                      <a:avLst/>
                    </a:prstGeom>
                    <a:noFill/>
                    <a:ln>
                      <a:noFill/>
                    </a:ln>
                    <a:extLst>
                      <a:ext uri="{53640926-AAD7-44D8-BBD7-CCE9431645EC}">
                        <a14:shadowObscured xmlns:a14="http://schemas.microsoft.com/office/drawing/2010/main"/>
                      </a:ext>
                    </a:extLst>
                  </pic:spPr>
                </pic:pic>
              </a:graphicData>
            </a:graphic>
          </wp:inline>
        </w:drawing>
      </w:r>
    </w:p>
    <w:p w:rsidR="003735EA" w:rsidRPr="00EB1AA0" w:rsidRDefault="00CB4995" w:rsidP="003735EA">
      <w:pPr>
        <w:spacing w:line="360" w:lineRule="auto"/>
        <w:jc w:val="center"/>
        <w:rPr>
          <w:rFonts w:ascii="Times New Roman" w:hAnsi="Times New Roman"/>
          <w:sz w:val="28"/>
          <w:szCs w:val="28"/>
        </w:rPr>
      </w:pPr>
      <w:r>
        <w:rPr>
          <w:rFonts w:ascii="Times New Roman" w:hAnsi="Times New Roman" w:cs="Times New Roman"/>
          <w:sz w:val="28"/>
          <w:szCs w:val="28"/>
        </w:rPr>
        <w:t>Рис. 5.9</w:t>
      </w:r>
      <w:r w:rsidR="003735EA" w:rsidRPr="000F77EF">
        <w:rPr>
          <w:rFonts w:ascii="Times New Roman" w:hAnsi="Times New Roman" w:cs="Times New Roman"/>
          <w:sz w:val="28"/>
          <w:szCs w:val="28"/>
        </w:rPr>
        <w:t>.</w:t>
      </w:r>
      <w:r w:rsidR="003735EA" w:rsidRPr="000F77EF">
        <w:rPr>
          <w:rFonts w:ascii="Times New Roman" w:hAnsi="Times New Roman"/>
          <w:sz w:val="28"/>
          <w:szCs w:val="28"/>
        </w:rPr>
        <w:t xml:space="preserve"> </w:t>
      </w:r>
      <w:r w:rsidR="003735EA">
        <w:rPr>
          <w:rFonts w:ascii="Times New Roman" w:hAnsi="Times New Roman"/>
          <w:sz w:val="28"/>
          <w:szCs w:val="28"/>
        </w:rPr>
        <w:t>Коробкова діаграма вимірюваного коефіцієнта дифузії у хворих із розповсюдженим НКР до та 1 місяць після лікування пазопанібом</w:t>
      </w:r>
    </w:p>
    <w:p w:rsidR="003735EA" w:rsidRDefault="003735EA" w:rsidP="003735EA">
      <w:pPr>
        <w:spacing w:line="360" w:lineRule="auto"/>
        <w:jc w:val="both"/>
        <w:rPr>
          <w:rFonts w:ascii="Times New Roman" w:hAnsi="Times New Roman"/>
          <w:sz w:val="28"/>
          <w:szCs w:val="28"/>
        </w:rPr>
      </w:pPr>
    </w:p>
    <w:p w:rsidR="003735EA" w:rsidRDefault="003735EA" w:rsidP="003735EA">
      <w:pPr>
        <w:spacing w:line="360" w:lineRule="auto"/>
        <w:ind w:firstLine="708"/>
        <w:jc w:val="both"/>
        <w:rPr>
          <w:rFonts w:ascii="Times New Roman" w:hAnsi="Times New Roman"/>
          <w:sz w:val="28"/>
          <w:szCs w:val="28"/>
        </w:rPr>
      </w:pPr>
      <w:r>
        <w:rPr>
          <w:rFonts w:ascii="Times New Roman" w:hAnsi="Times New Roman"/>
          <w:sz w:val="28"/>
          <w:szCs w:val="28"/>
        </w:rPr>
        <w:t xml:space="preserve">Такі дані ми пояснюємо принципом дії пазопанібу, який є </w:t>
      </w:r>
      <w:r w:rsidRPr="00731803">
        <w:rPr>
          <w:rFonts w:ascii="Times New Roman" w:hAnsi="Times New Roman"/>
          <w:sz w:val="28"/>
          <w:szCs w:val="28"/>
        </w:rPr>
        <w:t>багатомішеневим інгібітором тирозинкінази рецепторів</w:t>
      </w:r>
      <w:r>
        <w:rPr>
          <w:rFonts w:ascii="Times New Roman" w:hAnsi="Times New Roman"/>
          <w:sz w:val="28"/>
          <w:szCs w:val="28"/>
        </w:rPr>
        <w:t xml:space="preserve"> фактору росту </w:t>
      </w:r>
      <w:r>
        <w:rPr>
          <w:rFonts w:ascii="Times New Roman" w:hAnsi="Times New Roman"/>
          <w:sz w:val="28"/>
          <w:szCs w:val="28"/>
        </w:rPr>
        <w:lastRenderedPageBreak/>
        <w:t>ендотелію судин VEGFR</w:t>
      </w:r>
      <w:r w:rsidRPr="00731803">
        <w:rPr>
          <w:rFonts w:ascii="Times New Roman" w:hAnsi="Times New Roman"/>
          <w:sz w:val="28"/>
          <w:szCs w:val="28"/>
        </w:rPr>
        <w:t>-1, -2 і -3, рецепторів</w:t>
      </w:r>
      <w:r>
        <w:rPr>
          <w:rFonts w:ascii="Times New Roman" w:hAnsi="Times New Roman"/>
          <w:sz w:val="28"/>
          <w:szCs w:val="28"/>
        </w:rPr>
        <w:t xml:space="preserve"> тромбоцитарного фактору росту PDGFR</w:t>
      </w:r>
      <w:r w:rsidRPr="00731803">
        <w:rPr>
          <w:rFonts w:ascii="Times New Roman" w:hAnsi="Times New Roman"/>
          <w:sz w:val="28"/>
          <w:szCs w:val="28"/>
        </w:rPr>
        <w:t>-α</w:t>
      </w:r>
      <w:r>
        <w:rPr>
          <w:rFonts w:ascii="Times New Roman" w:hAnsi="Times New Roman"/>
          <w:sz w:val="28"/>
          <w:szCs w:val="28"/>
        </w:rPr>
        <w:t xml:space="preserve"> і -β та рецептора фактору стовбурових клітин c-KIT</w:t>
      </w:r>
      <w:r w:rsidRPr="00731803">
        <w:rPr>
          <w:rFonts w:ascii="Times New Roman" w:hAnsi="Times New Roman"/>
          <w:sz w:val="28"/>
          <w:szCs w:val="28"/>
        </w:rPr>
        <w:t>,</w:t>
      </w:r>
      <w:r>
        <w:rPr>
          <w:rFonts w:ascii="Times New Roman" w:hAnsi="Times New Roman"/>
          <w:sz w:val="28"/>
          <w:szCs w:val="28"/>
        </w:rPr>
        <w:t xml:space="preserve"> і полягає у пригніченні ангіогенезу в тканинах НКР, а також здатності пухлини до проліферації, метастазування та зниженні виживаності пухлинних клітин. Оскільки показник ВКД напряму пов'язаний з ступенем кровопостачанням пухлини, то зрозумілим є його зниження внаслідок пригнічення ангіогенезу в тканинах НКР під дією пазопанібу, що спостерігається вже в перший місяць після початку лікування. Водночас, при стабілізації захворювання ми спостерігали суттєво менше зниження показників ВКД, що було пов’язано з не настільки вираженою терапевтичною відповіддю. На відміну від цього, при відсутності терапевтичної відповіді, наслідком чого є прогресування захворювання, пригнічення ангіогенезу в тканинах пухлини спостерігатись не буде (а навпаки, такий процес буде мати місце), що знаходило відображення у зростанні значень ВКД, або їх незмінності (таблиця 5.3). </w:t>
      </w:r>
    </w:p>
    <w:p w:rsidR="003735EA" w:rsidRDefault="003735EA" w:rsidP="003735EA">
      <w:pPr>
        <w:spacing w:line="360" w:lineRule="auto"/>
        <w:jc w:val="right"/>
        <w:rPr>
          <w:rFonts w:ascii="Times New Roman" w:hAnsi="Times New Roman"/>
          <w:sz w:val="28"/>
          <w:szCs w:val="28"/>
        </w:rPr>
      </w:pPr>
      <w:r w:rsidRPr="00F41670">
        <w:rPr>
          <w:rFonts w:ascii="Times New Roman" w:hAnsi="Times New Roman"/>
          <w:sz w:val="28"/>
          <w:szCs w:val="28"/>
        </w:rPr>
        <w:t>Табл</w:t>
      </w:r>
      <w:r>
        <w:rPr>
          <w:rFonts w:ascii="Times New Roman" w:hAnsi="Times New Roman"/>
          <w:sz w:val="28"/>
          <w:szCs w:val="28"/>
        </w:rPr>
        <w:t>иця 5.3</w:t>
      </w:r>
    </w:p>
    <w:p w:rsidR="003735EA" w:rsidRPr="00EB1AA0" w:rsidRDefault="003735EA" w:rsidP="003735EA">
      <w:pPr>
        <w:spacing w:line="360" w:lineRule="auto"/>
        <w:jc w:val="center"/>
        <w:rPr>
          <w:rFonts w:ascii="Times New Roman" w:hAnsi="Times New Roman"/>
          <w:sz w:val="28"/>
          <w:szCs w:val="28"/>
        </w:rPr>
      </w:pPr>
      <w:r>
        <w:rPr>
          <w:rFonts w:ascii="Times New Roman" w:hAnsi="Times New Roman"/>
          <w:sz w:val="28"/>
          <w:szCs w:val="28"/>
        </w:rPr>
        <w:t>Середні значення вимірюваного коефіцієнта дифузії у хворих із розповсюдженим НКР до, та через 1 місяць після лікування пазопанібом</w:t>
      </w:r>
    </w:p>
    <w:tbl>
      <w:tblPr>
        <w:tblStyle w:val="TableGrid"/>
        <w:tblW w:w="0" w:type="auto"/>
        <w:tblLook w:val="04A0" w:firstRow="1" w:lastRow="0" w:firstColumn="1" w:lastColumn="0" w:noHBand="0" w:noVBand="1"/>
      </w:tblPr>
      <w:tblGrid>
        <w:gridCol w:w="3823"/>
        <w:gridCol w:w="567"/>
        <w:gridCol w:w="1984"/>
        <w:gridCol w:w="1907"/>
        <w:gridCol w:w="1063"/>
      </w:tblGrid>
      <w:tr w:rsidR="003735EA" w:rsidTr="001F0C51">
        <w:trPr>
          <w:trHeight w:val="759"/>
        </w:trPr>
        <w:tc>
          <w:tcPr>
            <w:tcW w:w="3823" w:type="dxa"/>
            <w:vAlign w:val="center"/>
          </w:tcPr>
          <w:p w:rsidR="003735EA" w:rsidRPr="00273C85" w:rsidRDefault="003735EA" w:rsidP="001F0C51">
            <w:pPr>
              <w:jc w:val="center"/>
              <w:rPr>
                <w:rFonts w:ascii="Times New Roman" w:hAnsi="Times New Roman" w:cs="Times New Roman"/>
                <w:b/>
                <w:sz w:val="28"/>
                <w:szCs w:val="28"/>
              </w:rPr>
            </w:pPr>
            <w:r w:rsidRPr="00273C85">
              <w:rPr>
                <w:rFonts w:ascii="Times New Roman" w:hAnsi="Times New Roman" w:cs="Times New Roman"/>
                <w:b/>
                <w:sz w:val="28"/>
                <w:szCs w:val="28"/>
              </w:rPr>
              <w:t>Група/підгрупа</w:t>
            </w:r>
          </w:p>
        </w:tc>
        <w:tc>
          <w:tcPr>
            <w:tcW w:w="567" w:type="dxa"/>
            <w:vAlign w:val="center"/>
          </w:tcPr>
          <w:p w:rsidR="003735EA" w:rsidRPr="000867A3" w:rsidRDefault="003735EA" w:rsidP="001F0C51">
            <w:pPr>
              <w:jc w:val="center"/>
              <w:rPr>
                <w:rFonts w:ascii="Times New Roman" w:hAnsi="Times New Roman" w:cs="Times New Roman"/>
                <w:b/>
                <w:sz w:val="28"/>
                <w:szCs w:val="28"/>
                <w:lang w:val="en-US"/>
              </w:rPr>
            </w:pPr>
            <w:r>
              <w:rPr>
                <w:rFonts w:ascii="Times New Roman" w:hAnsi="Times New Roman" w:cs="Times New Roman"/>
                <w:b/>
                <w:sz w:val="28"/>
                <w:szCs w:val="28"/>
                <w:lang w:val="en-US"/>
              </w:rPr>
              <w:t>N</w:t>
            </w:r>
          </w:p>
        </w:tc>
        <w:tc>
          <w:tcPr>
            <w:tcW w:w="3891" w:type="dxa"/>
            <w:gridSpan w:val="2"/>
            <w:vAlign w:val="center"/>
          </w:tcPr>
          <w:p w:rsidR="003735EA" w:rsidRDefault="003735EA" w:rsidP="001F0C51">
            <w:pPr>
              <w:jc w:val="center"/>
              <w:rPr>
                <w:rFonts w:ascii="Times New Roman" w:hAnsi="Times New Roman" w:cs="Times New Roman"/>
                <w:b/>
                <w:sz w:val="28"/>
                <w:szCs w:val="28"/>
              </w:rPr>
            </w:pPr>
            <w:r>
              <w:rPr>
                <w:rFonts w:ascii="Times New Roman" w:hAnsi="Times New Roman" w:cs="Times New Roman"/>
                <w:b/>
                <w:sz w:val="28"/>
                <w:szCs w:val="28"/>
              </w:rPr>
              <w:t>Середнє ВКД</w:t>
            </w:r>
            <w:r w:rsidRPr="00273C85">
              <w:rPr>
                <w:rFonts w:ascii="Times New Roman" w:hAnsi="Times New Roman" w:cs="Times New Roman"/>
                <w:b/>
                <w:sz w:val="28"/>
                <w:szCs w:val="28"/>
              </w:rPr>
              <w:t>±СВ</w:t>
            </w:r>
            <w:r>
              <w:rPr>
                <w:rFonts w:ascii="Times New Roman" w:hAnsi="Times New Roman" w:cs="Times New Roman"/>
                <w:b/>
                <w:sz w:val="28"/>
                <w:szCs w:val="28"/>
              </w:rPr>
              <w:t xml:space="preserve">, </w:t>
            </w:r>
          </w:p>
          <w:p w:rsidR="003735EA" w:rsidRPr="00273C85" w:rsidRDefault="003735EA" w:rsidP="001F0C51">
            <w:pPr>
              <w:jc w:val="center"/>
              <w:rPr>
                <w:rFonts w:ascii="Times New Roman" w:hAnsi="Times New Roman" w:cs="Times New Roman"/>
                <w:b/>
                <w:sz w:val="28"/>
                <w:szCs w:val="28"/>
              </w:rPr>
            </w:pPr>
            <w:r w:rsidRPr="00F41670">
              <w:rPr>
                <w:rFonts w:ascii="Times New Roman" w:hAnsi="Times New Roman" w:cs="Times New Roman"/>
                <w:b/>
                <w:sz w:val="28"/>
                <w:szCs w:val="28"/>
              </w:rPr>
              <w:t>×</w:t>
            </w:r>
            <w:r w:rsidRPr="00F41670">
              <w:rPr>
                <w:rFonts w:ascii="Times New Roman" w:hAnsi="Times New Roman"/>
                <w:b/>
                <w:sz w:val="28"/>
                <w:szCs w:val="28"/>
              </w:rPr>
              <w:t>10</w:t>
            </w:r>
            <w:r w:rsidRPr="00F41670">
              <w:rPr>
                <w:rFonts w:ascii="Times New Roman" w:hAnsi="Times New Roman"/>
                <w:b/>
                <w:sz w:val="28"/>
                <w:szCs w:val="28"/>
                <w:vertAlign w:val="superscript"/>
              </w:rPr>
              <w:t>-3</w:t>
            </w:r>
            <w:r w:rsidRPr="00F41670">
              <w:rPr>
                <w:rFonts w:ascii="Times New Roman" w:hAnsi="Times New Roman"/>
                <w:b/>
                <w:sz w:val="28"/>
                <w:szCs w:val="28"/>
              </w:rPr>
              <w:t xml:space="preserve"> мм</w:t>
            </w:r>
            <w:r w:rsidRPr="00F41670">
              <w:rPr>
                <w:rFonts w:ascii="Times New Roman" w:hAnsi="Times New Roman"/>
                <w:b/>
                <w:sz w:val="28"/>
                <w:szCs w:val="28"/>
                <w:vertAlign w:val="superscript"/>
              </w:rPr>
              <w:t>2</w:t>
            </w:r>
            <w:r w:rsidRPr="00F41670">
              <w:rPr>
                <w:rFonts w:ascii="Times New Roman" w:hAnsi="Times New Roman"/>
                <w:b/>
                <w:sz w:val="28"/>
                <w:szCs w:val="28"/>
              </w:rPr>
              <w:t>/с</w:t>
            </w:r>
          </w:p>
        </w:tc>
        <w:tc>
          <w:tcPr>
            <w:tcW w:w="1063" w:type="dxa"/>
            <w:vAlign w:val="center"/>
          </w:tcPr>
          <w:p w:rsidR="003735EA" w:rsidRPr="008F243F" w:rsidRDefault="003735EA" w:rsidP="001F0C51">
            <w:pPr>
              <w:jc w:val="center"/>
              <w:rPr>
                <w:rFonts w:ascii="Times New Roman" w:hAnsi="Times New Roman" w:cs="Times New Roman"/>
                <w:b/>
                <w:i/>
                <w:sz w:val="28"/>
                <w:szCs w:val="28"/>
              </w:rPr>
            </w:pPr>
            <w:r w:rsidRPr="008F243F">
              <w:rPr>
                <w:rFonts w:ascii="Times New Roman" w:hAnsi="Times New Roman" w:cs="Times New Roman"/>
                <w:b/>
                <w:i/>
                <w:sz w:val="28"/>
                <w:szCs w:val="28"/>
              </w:rPr>
              <w:t>р</w:t>
            </w:r>
          </w:p>
        </w:tc>
      </w:tr>
      <w:tr w:rsidR="003735EA" w:rsidTr="001F0C51">
        <w:tc>
          <w:tcPr>
            <w:tcW w:w="3823" w:type="dxa"/>
          </w:tcPr>
          <w:p w:rsidR="003735EA" w:rsidRPr="00273C85" w:rsidRDefault="003735EA" w:rsidP="001F0C51">
            <w:pPr>
              <w:rPr>
                <w:rFonts w:ascii="Times New Roman" w:hAnsi="Times New Roman" w:cs="Times New Roman"/>
                <w:sz w:val="28"/>
                <w:szCs w:val="28"/>
              </w:rPr>
            </w:pPr>
            <w:r>
              <w:rPr>
                <w:rFonts w:ascii="Times New Roman" w:hAnsi="Times New Roman" w:cs="Times New Roman"/>
                <w:sz w:val="28"/>
                <w:szCs w:val="28"/>
              </w:rPr>
              <w:t>Контроль</w:t>
            </w:r>
          </w:p>
        </w:tc>
        <w:tc>
          <w:tcPr>
            <w:tcW w:w="567" w:type="dxa"/>
          </w:tcPr>
          <w:p w:rsidR="003735EA" w:rsidRPr="0098775B" w:rsidRDefault="003735EA" w:rsidP="001F0C51">
            <w:pPr>
              <w:jc w:val="center"/>
              <w:rPr>
                <w:rFonts w:ascii="Times New Roman" w:hAnsi="Times New Roman" w:cs="Times New Roman"/>
                <w:sz w:val="28"/>
                <w:szCs w:val="28"/>
              </w:rPr>
            </w:pPr>
            <w:r>
              <w:rPr>
                <w:rFonts w:ascii="Times New Roman" w:hAnsi="Times New Roman" w:cs="Times New Roman"/>
                <w:sz w:val="28"/>
                <w:szCs w:val="28"/>
              </w:rPr>
              <w:t>30</w:t>
            </w:r>
          </w:p>
        </w:tc>
        <w:tc>
          <w:tcPr>
            <w:tcW w:w="3891" w:type="dxa"/>
            <w:gridSpan w:val="2"/>
          </w:tcPr>
          <w:p w:rsidR="003735EA" w:rsidRPr="00273C85" w:rsidRDefault="003735EA" w:rsidP="001F0C51">
            <w:pPr>
              <w:jc w:val="center"/>
              <w:rPr>
                <w:rFonts w:ascii="Times New Roman" w:hAnsi="Times New Roman" w:cs="Times New Roman"/>
                <w:sz w:val="28"/>
                <w:szCs w:val="28"/>
              </w:rPr>
            </w:pPr>
            <w:r w:rsidRPr="00F41670">
              <w:rPr>
                <w:rFonts w:ascii="Times New Roman" w:hAnsi="Times New Roman"/>
                <w:sz w:val="28"/>
                <w:szCs w:val="28"/>
              </w:rPr>
              <w:t>2,58</w:t>
            </w:r>
            <w:r>
              <w:rPr>
                <w:rFonts w:ascii="Times New Roman" w:hAnsi="Times New Roman" w:cs="Times New Roman"/>
                <w:sz w:val="28"/>
                <w:szCs w:val="28"/>
              </w:rPr>
              <w:t>±</w:t>
            </w:r>
            <w:r w:rsidRPr="00F41670">
              <w:rPr>
                <w:rFonts w:ascii="Times New Roman" w:hAnsi="Times New Roman"/>
                <w:sz w:val="28"/>
                <w:szCs w:val="28"/>
              </w:rPr>
              <w:t>0,05</w:t>
            </w:r>
          </w:p>
        </w:tc>
        <w:tc>
          <w:tcPr>
            <w:tcW w:w="1063" w:type="dxa"/>
          </w:tcPr>
          <w:p w:rsidR="003735EA" w:rsidRPr="00273C85"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r>
      <w:tr w:rsidR="003735EA" w:rsidTr="001F0C51">
        <w:tc>
          <w:tcPr>
            <w:tcW w:w="3823" w:type="dxa"/>
            <w:vMerge w:val="restart"/>
            <w:vAlign w:val="bottom"/>
          </w:tcPr>
          <w:p w:rsidR="003735EA" w:rsidRDefault="003735EA" w:rsidP="001F0C51">
            <w:pPr>
              <w:rPr>
                <w:rFonts w:ascii="Times New Roman" w:hAnsi="Times New Roman" w:cs="Times New Roman"/>
                <w:sz w:val="28"/>
                <w:szCs w:val="28"/>
              </w:rPr>
            </w:pPr>
            <w:r>
              <w:rPr>
                <w:rFonts w:ascii="Times New Roman" w:hAnsi="Times New Roman" w:cs="Times New Roman"/>
                <w:sz w:val="28"/>
                <w:szCs w:val="28"/>
              </w:rPr>
              <w:t>НКР</w:t>
            </w:r>
          </w:p>
        </w:tc>
        <w:tc>
          <w:tcPr>
            <w:tcW w:w="567" w:type="dxa"/>
            <w:vMerge w:val="restart"/>
            <w:vAlign w:val="bottom"/>
          </w:tcPr>
          <w:p w:rsidR="003735EA" w:rsidRPr="0098775B" w:rsidRDefault="003735EA" w:rsidP="001F0C51">
            <w:pPr>
              <w:jc w:val="center"/>
              <w:rPr>
                <w:rFonts w:ascii="Times New Roman" w:hAnsi="Times New Roman" w:cs="Times New Roman"/>
                <w:sz w:val="28"/>
                <w:szCs w:val="28"/>
              </w:rPr>
            </w:pPr>
            <w:r>
              <w:rPr>
                <w:rFonts w:ascii="Times New Roman" w:hAnsi="Times New Roman" w:cs="Times New Roman"/>
                <w:sz w:val="28"/>
                <w:szCs w:val="28"/>
              </w:rPr>
              <w:t>32</w:t>
            </w:r>
          </w:p>
        </w:tc>
        <w:tc>
          <w:tcPr>
            <w:tcW w:w="1984" w:type="dxa"/>
          </w:tcPr>
          <w:p w:rsidR="003735EA" w:rsidRPr="00273C85" w:rsidRDefault="003735EA" w:rsidP="001F0C51">
            <w:pPr>
              <w:jc w:val="center"/>
              <w:rPr>
                <w:rFonts w:ascii="Times New Roman" w:hAnsi="Times New Roman" w:cs="Times New Roman"/>
                <w:b/>
                <w:sz w:val="28"/>
                <w:szCs w:val="28"/>
              </w:rPr>
            </w:pPr>
            <w:r>
              <w:rPr>
                <w:rFonts w:ascii="Times New Roman" w:hAnsi="Times New Roman" w:cs="Times New Roman"/>
                <w:b/>
                <w:sz w:val="28"/>
                <w:szCs w:val="28"/>
              </w:rPr>
              <w:t>Вихідний</w:t>
            </w:r>
          </w:p>
        </w:tc>
        <w:tc>
          <w:tcPr>
            <w:tcW w:w="1907" w:type="dxa"/>
          </w:tcPr>
          <w:p w:rsidR="003735EA" w:rsidRPr="00273C85" w:rsidRDefault="003735EA" w:rsidP="001F0C51">
            <w:pPr>
              <w:jc w:val="center"/>
              <w:rPr>
                <w:rFonts w:ascii="Times New Roman" w:hAnsi="Times New Roman" w:cs="Times New Roman"/>
                <w:b/>
                <w:sz w:val="28"/>
                <w:szCs w:val="28"/>
              </w:rPr>
            </w:pPr>
            <w:r>
              <w:rPr>
                <w:rFonts w:ascii="Times New Roman" w:hAnsi="Times New Roman" w:cs="Times New Roman"/>
                <w:b/>
                <w:sz w:val="28"/>
                <w:szCs w:val="28"/>
              </w:rPr>
              <w:t>Через 1 міс.</w:t>
            </w:r>
          </w:p>
        </w:tc>
        <w:tc>
          <w:tcPr>
            <w:tcW w:w="1063" w:type="dxa"/>
            <w:vMerge w:val="restart"/>
            <w:vAlign w:val="bottom"/>
          </w:tcPr>
          <w:p w:rsidR="003735EA" w:rsidRDefault="003735EA" w:rsidP="001F0C51">
            <w:pPr>
              <w:jc w:val="center"/>
              <w:rPr>
                <w:rFonts w:ascii="Times New Roman" w:hAnsi="Times New Roman" w:cs="Times New Roman"/>
                <w:sz w:val="28"/>
                <w:szCs w:val="28"/>
              </w:rPr>
            </w:pPr>
            <w:r>
              <w:rPr>
                <w:rFonts w:ascii="Times New Roman" w:hAnsi="Times New Roman" w:cs="Times New Roman"/>
                <w:sz w:val="28"/>
                <w:szCs w:val="28"/>
              </w:rPr>
              <w:t>0,05</w:t>
            </w:r>
          </w:p>
        </w:tc>
      </w:tr>
      <w:tr w:rsidR="003735EA" w:rsidTr="001F0C51">
        <w:tc>
          <w:tcPr>
            <w:tcW w:w="3823" w:type="dxa"/>
            <w:vMerge/>
          </w:tcPr>
          <w:p w:rsidR="003735EA" w:rsidRPr="00273C85" w:rsidRDefault="003735EA" w:rsidP="001F0C51">
            <w:pPr>
              <w:rPr>
                <w:rFonts w:ascii="Times New Roman" w:hAnsi="Times New Roman" w:cs="Times New Roman"/>
                <w:sz w:val="28"/>
                <w:szCs w:val="28"/>
              </w:rPr>
            </w:pPr>
          </w:p>
        </w:tc>
        <w:tc>
          <w:tcPr>
            <w:tcW w:w="567" w:type="dxa"/>
            <w:vMerge/>
          </w:tcPr>
          <w:p w:rsidR="003735EA" w:rsidRPr="000867A3" w:rsidRDefault="003735EA" w:rsidP="001F0C51">
            <w:pPr>
              <w:jc w:val="center"/>
              <w:rPr>
                <w:rFonts w:ascii="Times New Roman" w:hAnsi="Times New Roman" w:cs="Times New Roman"/>
                <w:sz w:val="28"/>
                <w:szCs w:val="28"/>
                <w:lang w:val="en-US"/>
              </w:rPr>
            </w:pPr>
          </w:p>
        </w:tc>
        <w:tc>
          <w:tcPr>
            <w:tcW w:w="1984" w:type="dxa"/>
          </w:tcPr>
          <w:p w:rsidR="003735EA" w:rsidRPr="00EB1AA0" w:rsidRDefault="003735EA" w:rsidP="001F0C51">
            <w:pPr>
              <w:jc w:val="center"/>
              <w:rPr>
                <w:rFonts w:ascii="Times New Roman" w:hAnsi="Times New Roman" w:cs="Times New Roman"/>
                <w:sz w:val="28"/>
                <w:szCs w:val="28"/>
              </w:rPr>
            </w:pPr>
            <w:r>
              <w:rPr>
                <w:rFonts w:ascii="Times New Roman" w:hAnsi="Times New Roman" w:cs="Times New Roman"/>
                <w:sz w:val="28"/>
                <w:szCs w:val="28"/>
              </w:rPr>
              <w:t>1,72±0,06</w:t>
            </w:r>
          </w:p>
        </w:tc>
        <w:tc>
          <w:tcPr>
            <w:tcW w:w="1907" w:type="dxa"/>
          </w:tcPr>
          <w:p w:rsidR="003735EA" w:rsidRPr="008F243F" w:rsidRDefault="003735EA" w:rsidP="001F0C51">
            <w:pPr>
              <w:jc w:val="center"/>
              <w:rPr>
                <w:rFonts w:ascii="Times New Roman" w:hAnsi="Times New Roman" w:cs="Times New Roman"/>
                <w:sz w:val="28"/>
                <w:szCs w:val="28"/>
              </w:rPr>
            </w:pPr>
            <w:r>
              <w:rPr>
                <w:rFonts w:ascii="Times New Roman" w:hAnsi="Times New Roman" w:cs="Times New Roman"/>
                <w:sz w:val="28"/>
                <w:szCs w:val="28"/>
              </w:rPr>
              <w:t>1,56±0,22</w:t>
            </w:r>
          </w:p>
        </w:tc>
        <w:tc>
          <w:tcPr>
            <w:tcW w:w="1063" w:type="dxa"/>
            <w:vMerge/>
          </w:tcPr>
          <w:p w:rsidR="003735EA" w:rsidRPr="000867A3" w:rsidRDefault="003735EA" w:rsidP="001F0C51">
            <w:pPr>
              <w:jc w:val="center"/>
              <w:rPr>
                <w:rFonts w:ascii="Times New Roman" w:hAnsi="Times New Roman" w:cs="Times New Roman"/>
                <w:sz w:val="28"/>
                <w:szCs w:val="28"/>
              </w:rPr>
            </w:pPr>
          </w:p>
        </w:tc>
      </w:tr>
      <w:tr w:rsidR="003735EA" w:rsidTr="001F0C51">
        <w:tc>
          <w:tcPr>
            <w:tcW w:w="3823" w:type="dxa"/>
          </w:tcPr>
          <w:p w:rsidR="003735EA" w:rsidRPr="00B6769F" w:rsidRDefault="003735EA" w:rsidP="001F0C51">
            <w:pPr>
              <w:rPr>
                <w:rFonts w:ascii="Times New Roman" w:hAnsi="Times New Roman" w:cs="Times New Roman"/>
                <w:sz w:val="28"/>
                <w:szCs w:val="28"/>
              </w:rPr>
            </w:pPr>
            <w:r>
              <w:rPr>
                <w:rFonts w:ascii="Times New Roman" w:hAnsi="Times New Roman" w:cs="Times New Roman"/>
                <w:color w:val="000000"/>
                <w:sz w:val="28"/>
                <w:szCs w:val="28"/>
                <w:shd w:val="clear" w:color="auto" w:fill="FFFFFF"/>
              </w:rPr>
              <w:t>Часткова відповідь</w:t>
            </w:r>
          </w:p>
        </w:tc>
        <w:tc>
          <w:tcPr>
            <w:tcW w:w="567" w:type="dxa"/>
          </w:tcPr>
          <w:p w:rsidR="003735EA" w:rsidRPr="006A0922" w:rsidRDefault="003735EA" w:rsidP="001F0C51">
            <w:pPr>
              <w:jc w:val="center"/>
              <w:rPr>
                <w:rFonts w:ascii="Times New Roman" w:hAnsi="Times New Roman" w:cs="Times New Roman"/>
                <w:sz w:val="28"/>
                <w:szCs w:val="28"/>
              </w:rPr>
            </w:pPr>
            <w:r>
              <w:rPr>
                <w:rFonts w:ascii="Times New Roman" w:hAnsi="Times New Roman" w:cs="Times New Roman"/>
                <w:sz w:val="28"/>
                <w:szCs w:val="28"/>
              </w:rPr>
              <w:t>12</w:t>
            </w:r>
          </w:p>
        </w:tc>
        <w:tc>
          <w:tcPr>
            <w:tcW w:w="1984" w:type="dxa"/>
          </w:tcPr>
          <w:p w:rsidR="003735EA" w:rsidRPr="009601DE" w:rsidRDefault="003735EA" w:rsidP="001F0C51">
            <w:pPr>
              <w:jc w:val="center"/>
              <w:rPr>
                <w:rFonts w:ascii="Times New Roman" w:hAnsi="Times New Roman" w:cs="Times New Roman"/>
                <w:sz w:val="28"/>
                <w:szCs w:val="28"/>
              </w:rPr>
            </w:pPr>
            <w:r>
              <w:rPr>
                <w:rFonts w:ascii="Times New Roman" w:hAnsi="Times New Roman" w:cs="Times New Roman"/>
                <w:sz w:val="28"/>
                <w:szCs w:val="28"/>
              </w:rPr>
              <w:t>1,68±0,09</w:t>
            </w:r>
          </w:p>
        </w:tc>
        <w:tc>
          <w:tcPr>
            <w:tcW w:w="1907" w:type="dxa"/>
          </w:tcPr>
          <w:p w:rsidR="003735EA" w:rsidRPr="009601DE" w:rsidRDefault="003735EA" w:rsidP="001F0C51">
            <w:pPr>
              <w:jc w:val="center"/>
              <w:rPr>
                <w:rFonts w:ascii="Times New Roman" w:hAnsi="Times New Roman" w:cs="Times New Roman"/>
                <w:sz w:val="28"/>
                <w:szCs w:val="28"/>
              </w:rPr>
            </w:pPr>
            <w:r>
              <w:rPr>
                <w:rFonts w:ascii="Times New Roman" w:hAnsi="Times New Roman" w:cs="Times New Roman"/>
                <w:sz w:val="28"/>
                <w:szCs w:val="28"/>
              </w:rPr>
              <w:t>1,36±0,16</w:t>
            </w:r>
          </w:p>
        </w:tc>
        <w:tc>
          <w:tcPr>
            <w:tcW w:w="1063" w:type="dxa"/>
          </w:tcPr>
          <w:p w:rsidR="003735EA" w:rsidRPr="00273C85" w:rsidRDefault="003735EA"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&lt;</w:t>
            </w:r>
            <w:r>
              <w:rPr>
                <w:rFonts w:ascii="Times New Roman" w:hAnsi="Times New Roman" w:cs="Times New Roman"/>
                <w:sz w:val="28"/>
                <w:szCs w:val="28"/>
              </w:rPr>
              <w:t>0,001</w:t>
            </w:r>
          </w:p>
        </w:tc>
      </w:tr>
      <w:tr w:rsidR="003735EA" w:rsidTr="001F0C51">
        <w:tc>
          <w:tcPr>
            <w:tcW w:w="3823" w:type="dxa"/>
          </w:tcPr>
          <w:p w:rsidR="003735EA" w:rsidRPr="00B6769F" w:rsidRDefault="003735EA" w:rsidP="001F0C51">
            <w:pPr>
              <w:rPr>
                <w:rFonts w:ascii="Times New Roman" w:hAnsi="Times New Roman" w:cs="Times New Roman"/>
                <w:sz w:val="28"/>
                <w:szCs w:val="28"/>
              </w:rPr>
            </w:pPr>
            <w:r>
              <w:rPr>
                <w:rFonts w:ascii="Times New Roman" w:hAnsi="Times New Roman" w:cs="Times New Roman"/>
                <w:color w:val="000000"/>
                <w:sz w:val="28"/>
                <w:szCs w:val="28"/>
                <w:shd w:val="clear" w:color="auto" w:fill="FFFFFF"/>
              </w:rPr>
              <w:t>Стабілізація захворювання</w:t>
            </w:r>
          </w:p>
        </w:tc>
        <w:tc>
          <w:tcPr>
            <w:tcW w:w="567" w:type="dxa"/>
          </w:tcPr>
          <w:p w:rsidR="003735EA" w:rsidRPr="006A0922" w:rsidRDefault="003735EA" w:rsidP="001F0C51">
            <w:pPr>
              <w:jc w:val="center"/>
              <w:rPr>
                <w:rFonts w:ascii="Times New Roman" w:hAnsi="Times New Roman" w:cs="Times New Roman"/>
                <w:sz w:val="28"/>
                <w:szCs w:val="28"/>
              </w:rPr>
            </w:pPr>
            <w:r>
              <w:rPr>
                <w:rFonts w:ascii="Times New Roman" w:hAnsi="Times New Roman" w:cs="Times New Roman"/>
                <w:sz w:val="28"/>
                <w:szCs w:val="28"/>
              </w:rPr>
              <w:t>10</w:t>
            </w:r>
          </w:p>
        </w:tc>
        <w:tc>
          <w:tcPr>
            <w:tcW w:w="1984" w:type="dxa"/>
          </w:tcPr>
          <w:p w:rsidR="003735EA" w:rsidRPr="009601DE" w:rsidRDefault="003735EA" w:rsidP="001F0C51">
            <w:pPr>
              <w:jc w:val="center"/>
              <w:rPr>
                <w:rFonts w:ascii="Times New Roman" w:hAnsi="Times New Roman" w:cs="Times New Roman"/>
                <w:sz w:val="28"/>
                <w:szCs w:val="28"/>
              </w:rPr>
            </w:pPr>
            <w:r>
              <w:rPr>
                <w:rFonts w:ascii="Times New Roman" w:hAnsi="Times New Roman" w:cs="Times New Roman"/>
                <w:sz w:val="28"/>
                <w:szCs w:val="28"/>
              </w:rPr>
              <w:t>1,70±0,02</w:t>
            </w:r>
          </w:p>
        </w:tc>
        <w:tc>
          <w:tcPr>
            <w:tcW w:w="1907" w:type="dxa"/>
          </w:tcPr>
          <w:p w:rsidR="003735EA" w:rsidRPr="009601DE" w:rsidRDefault="003735EA" w:rsidP="001F0C51">
            <w:pPr>
              <w:jc w:val="center"/>
              <w:rPr>
                <w:rFonts w:ascii="Times New Roman" w:hAnsi="Times New Roman" w:cs="Times New Roman"/>
                <w:sz w:val="28"/>
                <w:szCs w:val="28"/>
              </w:rPr>
            </w:pPr>
            <w:r>
              <w:rPr>
                <w:rFonts w:ascii="Times New Roman" w:hAnsi="Times New Roman" w:cs="Times New Roman"/>
                <w:sz w:val="28"/>
                <w:szCs w:val="28"/>
              </w:rPr>
              <w:t>1,57±0,12</w:t>
            </w:r>
          </w:p>
        </w:tc>
        <w:tc>
          <w:tcPr>
            <w:tcW w:w="1063" w:type="dxa"/>
          </w:tcPr>
          <w:p w:rsidR="003735EA" w:rsidRPr="00EB1AA0" w:rsidRDefault="003735EA" w:rsidP="001F0C51">
            <w:pPr>
              <w:jc w:val="center"/>
              <w:rPr>
                <w:rFonts w:ascii="Times New Roman" w:hAnsi="Times New Roman" w:cs="Times New Roman"/>
                <w:sz w:val="28"/>
                <w:szCs w:val="28"/>
              </w:rPr>
            </w:pPr>
            <w:r>
              <w:rPr>
                <w:rFonts w:ascii="Times New Roman" w:hAnsi="Times New Roman" w:cs="Times New Roman"/>
                <w:sz w:val="28"/>
                <w:szCs w:val="28"/>
              </w:rPr>
              <w:t>0,009</w:t>
            </w:r>
          </w:p>
        </w:tc>
      </w:tr>
      <w:tr w:rsidR="003735EA" w:rsidTr="001F0C51">
        <w:tc>
          <w:tcPr>
            <w:tcW w:w="3823" w:type="dxa"/>
          </w:tcPr>
          <w:p w:rsidR="003735EA" w:rsidRPr="00273C85" w:rsidRDefault="003735EA" w:rsidP="001F0C51">
            <w:pPr>
              <w:rPr>
                <w:rFonts w:ascii="Times New Roman" w:hAnsi="Times New Roman" w:cs="Times New Roman"/>
                <w:sz w:val="28"/>
                <w:szCs w:val="28"/>
              </w:rPr>
            </w:pPr>
            <w:r>
              <w:rPr>
                <w:rFonts w:ascii="Times New Roman" w:hAnsi="Times New Roman" w:cs="Times New Roman"/>
                <w:color w:val="000000"/>
                <w:sz w:val="28"/>
                <w:szCs w:val="28"/>
                <w:shd w:val="clear" w:color="auto" w:fill="FFFFFF"/>
              </w:rPr>
              <w:t>Прогресивне захворювання</w:t>
            </w:r>
          </w:p>
        </w:tc>
        <w:tc>
          <w:tcPr>
            <w:tcW w:w="567" w:type="dxa"/>
          </w:tcPr>
          <w:p w:rsidR="003735EA" w:rsidRPr="006A0922" w:rsidRDefault="003735EA" w:rsidP="001F0C51">
            <w:pPr>
              <w:jc w:val="center"/>
              <w:rPr>
                <w:rFonts w:ascii="Times New Roman" w:hAnsi="Times New Roman" w:cs="Times New Roman"/>
                <w:sz w:val="28"/>
                <w:szCs w:val="28"/>
              </w:rPr>
            </w:pPr>
            <w:r>
              <w:rPr>
                <w:rFonts w:ascii="Times New Roman" w:hAnsi="Times New Roman" w:cs="Times New Roman"/>
                <w:sz w:val="28"/>
                <w:szCs w:val="28"/>
              </w:rPr>
              <w:t>10</w:t>
            </w:r>
          </w:p>
        </w:tc>
        <w:tc>
          <w:tcPr>
            <w:tcW w:w="1984" w:type="dxa"/>
          </w:tcPr>
          <w:p w:rsidR="003735EA" w:rsidRPr="009601DE" w:rsidRDefault="003735EA" w:rsidP="001F0C51">
            <w:pPr>
              <w:jc w:val="center"/>
              <w:rPr>
                <w:rFonts w:ascii="Times New Roman" w:hAnsi="Times New Roman" w:cs="Times New Roman"/>
                <w:sz w:val="28"/>
                <w:szCs w:val="28"/>
              </w:rPr>
            </w:pPr>
            <w:r>
              <w:rPr>
                <w:rFonts w:ascii="Times New Roman" w:hAnsi="Times New Roman" w:cs="Times New Roman"/>
                <w:sz w:val="28"/>
                <w:szCs w:val="28"/>
              </w:rPr>
              <w:t>1,77±0,08</w:t>
            </w:r>
          </w:p>
        </w:tc>
        <w:tc>
          <w:tcPr>
            <w:tcW w:w="1907" w:type="dxa"/>
          </w:tcPr>
          <w:p w:rsidR="003735EA" w:rsidRPr="009601DE" w:rsidRDefault="003735EA" w:rsidP="001F0C51">
            <w:pPr>
              <w:jc w:val="center"/>
              <w:rPr>
                <w:rFonts w:ascii="Times New Roman" w:hAnsi="Times New Roman" w:cs="Times New Roman"/>
                <w:sz w:val="28"/>
                <w:szCs w:val="28"/>
              </w:rPr>
            </w:pPr>
            <w:r>
              <w:rPr>
                <w:rFonts w:ascii="Times New Roman" w:hAnsi="Times New Roman" w:cs="Times New Roman"/>
                <w:sz w:val="28"/>
                <w:szCs w:val="28"/>
              </w:rPr>
              <w:t>1,77±0,06</w:t>
            </w:r>
          </w:p>
        </w:tc>
        <w:tc>
          <w:tcPr>
            <w:tcW w:w="1063" w:type="dxa"/>
          </w:tcPr>
          <w:p w:rsidR="003735EA" w:rsidRPr="00E50B34" w:rsidRDefault="003735EA" w:rsidP="001F0C51">
            <w:pPr>
              <w:jc w:val="center"/>
              <w:rPr>
                <w:rFonts w:ascii="Times New Roman" w:hAnsi="Times New Roman" w:cs="Times New Roman"/>
                <w:sz w:val="28"/>
                <w:szCs w:val="28"/>
              </w:rPr>
            </w:pPr>
            <w:r>
              <w:rPr>
                <w:rFonts w:ascii="Times New Roman" w:hAnsi="Times New Roman" w:cs="Times New Roman"/>
                <w:sz w:val="28"/>
                <w:szCs w:val="28"/>
              </w:rPr>
              <w:t>0,340</w:t>
            </w:r>
          </w:p>
        </w:tc>
      </w:tr>
      <w:tr w:rsidR="003735EA" w:rsidTr="001F0C51">
        <w:tc>
          <w:tcPr>
            <w:tcW w:w="3823" w:type="dxa"/>
          </w:tcPr>
          <w:p w:rsidR="003735EA" w:rsidRPr="009601DE" w:rsidRDefault="003735EA" w:rsidP="001F0C51">
            <w:pPr>
              <w:jc w:val="center"/>
              <w:rPr>
                <w:rFonts w:ascii="Times New Roman" w:hAnsi="Times New Roman" w:cs="Times New Roman"/>
                <w:sz w:val="28"/>
                <w:szCs w:val="28"/>
                <w:vertAlign w:val="subscript"/>
              </w:rPr>
            </w:pPr>
            <w:r w:rsidRPr="008F243F">
              <w:rPr>
                <w:rFonts w:ascii="Times New Roman" w:hAnsi="Times New Roman" w:cs="Times New Roman"/>
                <w:b/>
                <w:i/>
                <w:sz w:val="28"/>
                <w:szCs w:val="28"/>
              </w:rPr>
              <w:t>р</w:t>
            </w:r>
            <w:r>
              <w:rPr>
                <w:rFonts w:ascii="Times New Roman" w:hAnsi="Times New Roman" w:cs="Times New Roman"/>
                <w:b/>
                <w:i/>
                <w:sz w:val="28"/>
                <w:szCs w:val="28"/>
                <w:vertAlign w:val="subscript"/>
              </w:rPr>
              <w:t>1,2</w:t>
            </w:r>
          </w:p>
        </w:tc>
        <w:tc>
          <w:tcPr>
            <w:tcW w:w="567" w:type="dxa"/>
          </w:tcPr>
          <w:p w:rsidR="003735EA" w:rsidRPr="00DF0E0D"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3735EA" w:rsidRPr="00EB1AA0" w:rsidRDefault="003735EA" w:rsidP="001F0C51">
            <w:pPr>
              <w:jc w:val="center"/>
              <w:rPr>
                <w:rFonts w:ascii="Times New Roman" w:hAnsi="Times New Roman" w:cs="Times New Roman"/>
                <w:sz w:val="28"/>
                <w:szCs w:val="28"/>
              </w:rPr>
            </w:pPr>
            <w:r>
              <w:rPr>
                <w:rFonts w:ascii="Times New Roman" w:hAnsi="Times New Roman" w:cs="Times New Roman"/>
                <w:sz w:val="28"/>
                <w:szCs w:val="28"/>
                <w:lang w:val="en-US"/>
              </w:rPr>
              <w:t>&lt;</w:t>
            </w:r>
            <w:r>
              <w:rPr>
                <w:rFonts w:ascii="Times New Roman" w:hAnsi="Times New Roman" w:cs="Times New Roman"/>
                <w:sz w:val="28"/>
                <w:szCs w:val="28"/>
              </w:rPr>
              <w:t>0,001</w:t>
            </w:r>
          </w:p>
        </w:tc>
        <w:tc>
          <w:tcPr>
            <w:tcW w:w="1907" w:type="dxa"/>
          </w:tcPr>
          <w:p w:rsidR="003735EA" w:rsidRPr="00273C85" w:rsidRDefault="003735EA"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&lt;</w:t>
            </w:r>
            <w:r>
              <w:rPr>
                <w:rFonts w:ascii="Times New Roman" w:hAnsi="Times New Roman" w:cs="Times New Roman"/>
                <w:sz w:val="28"/>
                <w:szCs w:val="28"/>
              </w:rPr>
              <w:t>0,001</w:t>
            </w:r>
          </w:p>
        </w:tc>
        <w:tc>
          <w:tcPr>
            <w:tcW w:w="1063" w:type="dxa"/>
          </w:tcPr>
          <w:p w:rsidR="003735EA" w:rsidRPr="00DF0E0D"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r>
      <w:tr w:rsidR="003735EA" w:rsidTr="001F0C51">
        <w:tc>
          <w:tcPr>
            <w:tcW w:w="3823" w:type="dxa"/>
          </w:tcPr>
          <w:p w:rsidR="003735EA" w:rsidRDefault="003735EA" w:rsidP="001F0C51">
            <w:pPr>
              <w:jc w:val="center"/>
              <w:rPr>
                <w:rFonts w:ascii="Times New Roman" w:hAnsi="Times New Roman" w:cs="Times New Roman"/>
                <w:sz w:val="28"/>
                <w:szCs w:val="28"/>
              </w:rPr>
            </w:pPr>
            <w:r w:rsidRPr="008F243F">
              <w:rPr>
                <w:rFonts w:ascii="Times New Roman" w:hAnsi="Times New Roman" w:cs="Times New Roman"/>
                <w:b/>
                <w:i/>
                <w:sz w:val="28"/>
                <w:szCs w:val="28"/>
              </w:rPr>
              <w:t>р</w:t>
            </w:r>
            <w:r>
              <w:rPr>
                <w:rFonts w:ascii="Times New Roman" w:hAnsi="Times New Roman" w:cs="Times New Roman"/>
                <w:b/>
                <w:i/>
                <w:sz w:val="28"/>
                <w:szCs w:val="28"/>
                <w:vertAlign w:val="subscript"/>
              </w:rPr>
              <w:t>3,4</w:t>
            </w:r>
          </w:p>
        </w:tc>
        <w:tc>
          <w:tcPr>
            <w:tcW w:w="567" w:type="dxa"/>
          </w:tcPr>
          <w:p w:rsidR="003735EA" w:rsidRPr="00DF0E0D"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3735EA" w:rsidRPr="00E50B34" w:rsidRDefault="003735EA" w:rsidP="001F0C51">
            <w:pPr>
              <w:jc w:val="center"/>
              <w:rPr>
                <w:rFonts w:ascii="Times New Roman" w:hAnsi="Times New Roman" w:cs="Times New Roman"/>
                <w:sz w:val="28"/>
                <w:szCs w:val="28"/>
              </w:rPr>
            </w:pPr>
            <w:r>
              <w:rPr>
                <w:rFonts w:ascii="Times New Roman" w:hAnsi="Times New Roman" w:cs="Times New Roman"/>
                <w:sz w:val="28"/>
                <w:szCs w:val="28"/>
              </w:rPr>
              <w:t>0,633</w:t>
            </w:r>
          </w:p>
        </w:tc>
        <w:tc>
          <w:tcPr>
            <w:tcW w:w="1907" w:type="dxa"/>
          </w:tcPr>
          <w:p w:rsidR="003735EA" w:rsidRPr="00C90321" w:rsidRDefault="003735EA" w:rsidP="001F0C51">
            <w:pPr>
              <w:jc w:val="center"/>
              <w:rPr>
                <w:rFonts w:ascii="Times New Roman" w:hAnsi="Times New Roman" w:cs="Times New Roman"/>
                <w:sz w:val="28"/>
                <w:szCs w:val="28"/>
              </w:rPr>
            </w:pPr>
            <w:r>
              <w:rPr>
                <w:rFonts w:ascii="Times New Roman" w:hAnsi="Times New Roman" w:cs="Times New Roman"/>
                <w:sz w:val="28"/>
                <w:szCs w:val="28"/>
              </w:rPr>
              <w:t>0,001</w:t>
            </w:r>
          </w:p>
        </w:tc>
        <w:tc>
          <w:tcPr>
            <w:tcW w:w="1063" w:type="dxa"/>
          </w:tcPr>
          <w:p w:rsidR="003735EA" w:rsidRPr="00DF0E0D"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r>
      <w:tr w:rsidR="003735EA" w:rsidTr="001F0C51">
        <w:tc>
          <w:tcPr>
            <w:tcW w:w="3823" w:type="dxa"/>
          </w:tcPr>
          <w:p w:rsidR="003735EA" w:rsidRDefault="003735EA" w:rsidP="001F0C51">
            <w:pPr>
              <w:jc w:val="center"/>
              <w:rPr>
                <w:rFonts w:ascii="Times New Roman" w:hAnsi="Times New Roman" w:cs="Times New Roman"/>
                <w:sz w:val="28"/>
                <w:szCs w:val="28"/>
              </w:rPr>
            </w:pPr>
            <w:r w:rsidRPr="008F243F">
              <w:rPr>
                <w:rFonts w:ascii="Times New Roman" w:hAnsi="Times New Roman" w:cs="Times New Roman"/>
                <w:b/>
                <w:i/>
                <w:sz w:val="28"/>
                <w:szCs w:val="28"/>
              </w:rPr>
              <w:t>р</w:t>
            </w:r>
            <w:r>
              <w:rPr>
                <w:rFonts w:ascii="Times New Roman" w:hAnsi="Times New Roman" w:cs="Times New Roman"/>
                <w:b/>
                <w:i/>
                <w:sz w:val="28"/>
                <w:szCs w:val="28"/>
                <w:vertAlign w:val="subscript"/>
              </w:rPr>
              <w:t>3,5</w:t>
            </w:r>
          </w:p>
        </w:tc>
        <w:tc>
          <w:tcPr>
            <w:tcW w:w="567" w:type="dxa"/>
          </w:tcPr>
          <w:p w:rsidR="003735EA" w:rsidRPr="00DF0E0D"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3735EA" w:rsidRPr="00E50B34" w:rsidRDefault="003735EA" w:rsidP="001F0C51">
            <w:pPr>
              <w:jc w:val="center"/>
              <w:rPr>
                <w:rFonts w:ascii="Times New Roman" w:hAnsi="Times New Roman" w:cs="Times New Roman"/>
                <w:sz w:val="28"/>
                <w:szCs w:val="28"/>
              </w:rPr>
            </w:pPr>
            <w:r>
              <w:rPr>
                <w:rFonts w:ascii="Times New Roman" w:hAnsi="Times New Roman" w:cs="Times New Roman"/>
                <w:sz w:val="28"/>
                <w:szCs w:val="28"/>
              </w:rPr>
              <w:t>0,072</w:t>
            </w:r>
          </w:p>
        </w:tc>
        <w:tc>
          <w:tcPr>
            <w:tcW w:w="1907" w:type="dxa"/>
          </w:tcPr>
          <w:p w:rsidR="003735EA" w:rsidRPr="00273C85" w:rsidRDefault="003735EA" w:rsidP="001F0C51">
            <w:pPr>
              <w:jc w:val="center"/>
              <w:rPr>
                <w:rFonts w:ascii="Times New Roman" w:hAnsi="Times New Roman" w:cs="Times New Roman"/>
                <w:sz w:val="28"/>
                <w:szCs w:val="28"/>
                <w:lang w:val="en-US"/>
              </w:rPr>
            </w:pPr>
            <w:r>
              <w:rPr>
                <w:rFonts w:ascii="Times New Roman" w:hAnsi="Times New Roman" w:cs="Times New Roman"/>
                <w:sz w:val="28"/>
                <w:szCs w:val="28"/>
                <w:lang w:val="en-US"/>
              </w:rPr>
              <w:t>&lt;</w:t>
            </w:r>
            <w:r>
              <w:rPr>
                <w:rFonts w:ascii="Times New Roman" w:hAnsi="Times New Roman" w:cs="Times New Roman"/>
                <w:sz w:val="28"/>
                <w:szCs w:val="28"/>
              </w:rPr>
              <w:t>0,001</w:t>
            </w:r>
          </w:p>
        </w:tc>
        <w:tc>
          <w:tcPr>
            <w:tcW w:w="1063" w:type="dxa"/>
          </w:tcPr>
          <w:p w:rsidR="003735EA" w:rsidRPr="00DF0E0D"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r>
      <w:tr w:rsidR="003735EA" w:rsidTr="001F0C51">
        <w:tc>
          <w:tcPr>
            <w:tcW w:w="3823" w:type="dxa"/>
          </w:tcPr>
          <w:p w:rsidR="003735EA" w:rsidRPr="008F243F" w:rsidRDefault="003735EA" w:rsidP="001F0C51">
            <w:pPr>
              <w:jc w:val="center"/>
              <w:rPr>
                <w:rFonts w:ascii="Times New Roman" w:hAnsi="Times New Roman" w:cs="Times New Roman"/>
                <w:b/>
                <w:i/>
                <w:sz w:val="28"/>
                <w:szCs w:val="28"/>
              </w:rPr>
            </w:pPr>
            <w:r w:rsidRPr="008F243F">
              <w:rPr>
                <w:rFonts w:ascii="Times New Roman" w:hAnsi="Times New Roman" w:cs="Times New Roman"/>
                <w:b/>
                <w:i/>
                <w:sz w:val="28"/>
                <w:szCs w:val="28"/>
              </w:rPr>
              <w:t>р</w:t>
            </w:r>
            <w:r>
              <w:rPr>
                <w:rFonts w:ascii="Times New Roman" w:hAnsi="Times New Roman" w:cs="Times New Roman"/>
                <w:b/>
                <w:i/>
                <w:sz w:val="28"/>
                <w:szCs w:val="28"/>
                <w:vertAlign w:val="subscript"/>
              </w:rPr>
              <w:t>4,5</w:t>
            </w:r>
          </w:p>
        </w:tc>
        <w:tc>
          <w:tcPr>
            <w:tcW w:w="567" w:type="dxa"/>
          </w:tcPr>
          <w:p w:rsidR="003735EA" w:rsidRPr="00DF0E0D"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c>
          <w:tcPr>
            <w:tcW w:w="1984" w:type="dxa"/>
          </w:tcPr>
          <w:p w:rsidR="003735EA" w:rsidRPr="00E50B34" w:rsidRDefault="003735EA" w:rsidP="001F0C51">
            <w:pPr>
              <w:jc w:val="center"/>
              <w:rPr>
                <w:rFonts w:ascii="Times New Roman" w:hAnsi="Times New Roman" w:cs="Times New Roman"/>
                <w:sz w:val="28"/>
                <w:szCs w:val="28"/>
              </w:rPr>
            </w:pPr>
            <w:r>
              <w:rPr>
                <w:rFonts w:ascii="Times New Roman" w:hAnsi="Times New Roman" w:cs="Times New Roman"/>
                <w:sz w:val="28"/>
                <w:szCs w:val="28"/>
              </w:rPr>
              <w:t>0,051</w:t>
            </w:r>
          </w:p>
        </w:tc>
        <w:tc>
          <w:tcPr>
            <w:tcW w:w="1907" w:type="dxa"/>
          </w:tcPr>
          <w:p w:rsidR="003735EA" w:rsidRPr="00C90321" w:rsidRDefault="003735EA" w:rsidP="001F0C51">
            <w:pPr>
              <w:jc w:val="center"/>
              <w:rPr>
                <w:rFonts w:ascii="Times New Roman" w:hAnsi="Times New Roman" w:cs="Times New Roman"/>
                <w:sz w:val="28"/>
                <w:szCs w:val="28"/>
              </w:rPr>
            </w:pPr>
            <w:r>
              <w:rPr>
                <w:rFonts w:ascii="Times New Roman" w:hAnsi="Times New Roman" w:cs="Times New Roman"/>
                <w:sz w:val="28"/>
                <w:szCs w:val="28"/>
              </w:rPr>
              <w:t>0,002</w:t>
            </w:r>
          </w:p>
        </w:tc>
        <w:tc>
          <w:tcPr>
            <w:tcW w:w="1063" w:type="dxa"/>
          </w:tcPr>
          <w:p w:rsidR="003735EA" w:rsidRPr="00DF0E0D" w:rsidRDefault="003735EA" w:rsidP="001F0C51">
            <w:pPr>
              <w:jc w:val="center"/>
              <w:rPr>
                <w:rFonts w:ascii="Times New Roman" w:hAnsi="Times New Roman" w:cs="Times New Roman"/>
                <w:sz w:val="28"/>
                <w:szCs w:val="28"/>
              </w:rPr>
            </w:pPr>
            <w:r>
              <w:rPr>
                <w:rFonts w:ascii="Times New Roman" w:hAnsi="Times New Roman" w:cs="Times New Roman"/>
                <w:sz w:val="28"/>
                <w:szCs w:val="28"/>
              </w:rPr>
              <w:t>-</w:t>
            </w:r>
          </w:p>
        </w:tc>
      </w:tr>
    </w:tbl>
    <w:p w:rsidR="003735EA" w:rsidRPr="00273C85" w:rsidRDefault="003735EA" w:rsidP="003735EA">
      <w:pPr>
        <w:spacing w:line="360" w:lineRule="auto"/>
        <w:jc w:val="both"/>
        <w:rPr>
          <w:rFonts w:ascii="Times New Roman" w:hAnsi="Times New Roman" w:cs="Times New Roman"/>
          <w:sz w:val="28"/>
          <w:szCs w:val="28"/>
        </w:rPr>
      </w:pPr>
      <w:r>
        <w:rPr>
          <w:rFonts w:ascii="Times New Roman" w:hAnsi="Times New Roman" w:cs="Times New Roman"/>
          <w:sz w:val="28"/>
          <w:szCs w:val="28"/>
        </w:rPr>
        <w:t>Умовні позначення: ВКД – вимірюваний коефіцієнт дифузії, СВ – стандартне відхилення</w:t>
      </w:r>
    </w:p>
    <w:p w:rsidR="003735EA" w:rsidRDefault="003735EA" w:rsidP="003735EA">
      <w:pPr>
        <w:autoSpaceDE w:val="0"/>
        <w:autoSpaceDN w:val="0"/>
        <w:adjustRightInd w:val="0"/>
        <w:spacing w:after="0" w:line="240" w:lineRule="auto"/>
        <w:rPr>
          <w:rFonts w:ascii="Times New Roman" w:hAnsi="Times New Roman" w:cs="Times New Roman"/>
          <w:sz w:val="24"/>
          <w:szCs w:val="24"/>
        </w:rPr>
      </w:pPr>
    </w:p>
    <w:p w:rsidR="003735EA" w:rsidRDefault="003735EA" w:rsidP="003735EA">
      <w:pPr>
        <w:autoSpaceDE w:val="0"/>
        <w:autoSpaceDN w:val="0"/>
        <w:adjustRightInd w:val="0"/>
        <w:spacing w:after="0" w:line="360" w:lineRule="auto"/>
        <w:jc w:val="both"/>
        <w:rPr>
          <w:rFonts w:ascii="Times New Roman" w:hAnsi="Times New Roman"/>
          <w:sz w:val="28"/>
          <w:szCs w:val="28"/>
        </w:rPr>
      </w:pPr>
      <w:r>
        <w:rPr>
          <w:rFonts w:ascii="Times New Roman" w:hAnsi="Times New Roman" w:cs="Times New Roman"/>
          <w:sz w:val="24"/>
          <w:szCs w:val="24"/>
        </w:rPr>
        <w:lastRenderedPageBreak/>
        <w:tab/>
      </w:r>
      <w:r>
        <w:rPr>
          <w:rFonts w:ascii="Times New Roman" w:hAnsi="Times New Roman" w:cs="Times New Roman"/>
          <w:sz w:val="28"/>
          <w:szCs w:val="28"/>
        </w:rPr>
        <w:t>У частини хворих для подальшого контролю через 3 місяці після початку лікування було виконано МРТ із послідовністю ДЗЗ (у решти виконувалось КТ), а саме: у 5 хворих підгрупи із ЧВ, у 4 пацієнтів підгрупи із СЗ та у 4 випадках ПЗ. Цікавим є те, що у групі з частковою відповіддю середнє значення ВКД зростало до 2,03±0,05</w:t>
      </w:r>
      <w:r w:rsidRPr="00D6751D">
        <w:rPr>
          <w:rFonts w:ascii="Times New Roman" w:hAnsi="Times New Roman" w:cs="Times New Roman"/>
          <w:sz w:val="28"/>
          <w:szCs w:val="28"/>
        </w:rPr>
        <w:t>×</w:t>
      </w:r>
      <w:r w:rsidRPr="00D6751D">
        <w:rPr>
          <w:rFonts w:ascii="Times New Roman" w:hAnsi="Times New Roman"/>
          <w:sz w:val="28"/>
          <w:szCs w:val="28"/>
        </w:rPr>
        <w:t>10</w:t>
      </w:r>
      <w:r w:rsidRPr="00D6751D">
        <w:rPr>
          <w:rFonts w:ascii="Times New Roman" w:hAnsi="Times New Roman"/>
          <w:sz w:val="28"/>
          <w:szCs w:val="28"/>
          <w:vertAlign w:val="superscript"/>
        </w:rPr>
        <w:t>-3</w:t>
      </w:r>
      <w:r w:rsidRPr="00D6751D">
        <w:rPr>
          <w:rFonts w:ascii="Times New Roman" w:hAnsi="Times New Roman"/>
          <w:sz w:val="28"/>
          <w:szCs w:val="28"/>
        </w:rPr>
        <w:t xml:space="preserve"> мм</w:t>
      </w:r>
      <w:r w:rsidRPr="00D6751D">
        <w:rPr>
          <w:rFonts w:ascii="Times New Roman" w:hAnsi="Times New Roman"/>
          <w:sz w:val="28"/>
          <w:szCs w:val="28"/>
          <w:vertAlign w:val="superscript"/>
        </w:rPr>
        <w:t>2</w:t>
      </w:r>
      <w:r w:rsidRPr="00D6751D">
        <w:rPr>
          <w:rFonts w:ascii="Times New Roman" w:hAnsi="Times New Roman"/>
          <w:sz w:val="28"/>
          <w:szCs w:val="28"/>
        </w:rPr>
        <w:t>/с</w:t>
      </w:r>
      <w:r>
        <w:rPr>
          <w:rFonts w:ascii="Times New Roman" w:hAnsi="Times New Roman"/>
          <w:sz w:val="28"/>
          <w:szCs w:val="28"/>
        </w:rPr>
        <w:t>, що може бути пояснене зменшенням клітинної щільності внаслідок розвитку некротичних змін в тканинах пухлини під дією системної терапії. У підгрупі із стабілізацією захворювання середній показник також дещо зростав, але у меншій мірі і становив 1,52</w:t>
      </w:r>
      <w:r>
        <w:rPr>
          <w:rFonts w:ascii="Times New Roman" w:hAnsi="Times New Roman" w:cs="Times New Roman"/>
          <w:sz w:val="28"/>
          <w:szCs w:val="28"/>
        </w:rPr>
        <w:t>±</w:t>
      </w:r>
      <w:r>
        <w:rPr>
          <w:rFonts w:ascii="Times New Roman" w:hAnsi="Times New Roman"/>
          <w:sz w:val="28"/>
          <w:szCs w:val="28"/>
        </w:rPr>
        <w:t>0,06</w:t>
      </w:r>
      <w:r w:rsidRPr="00D6751D">
        <w:rPr>
          <w:rFonts w:ascii="Times New Roman" w:hAnsi="Times New Roman" w:cs="Times New Roman"/>
          <w:sz w:val="28"/>
          <w:szCs w:val="28"/>
        </w:rPr>
        <w:t>×</w:t>
      </w:r>
      <w:r w:rsidRPr="00D6751D">
        <w:rPr>
          <w:rFonts w:ascii="Times New Roman" w:hAnsi="Times New Roman"/>
          <w:sz w:val="28"/>
          <w:szCs w:val="28"/>
        </w:rPr>
        <w:t>10</w:t>
      </w:r>
      <w:r w:rsidRPr="00D6751D">
        <w:rPr>
          <w:rFonts w:ascii="Times New Roman" w:hAnsi="Times New Roman"/>
          <w:sz w:val="28"/>
          <w:szCs w:val="28"/>
          <w:vertAlign w:val="superscript"/>
        </w:rPr>
        <w:t>-3</w:t>
      </w:r>
      <w:r w:rsidRPr="00D6751D">
        <w:rPr>
          <w:rFonts w:ascii="Times New Roman" w:hAnsi="Times New Roman"/>
          <w:sz w:val="28"/>
          <w:szCs w:val="28"/>
        </w:rPr>
        <w:t xml:space="preserve"> мм</w:t>
      </w:r>
      <w:r w:rsidRPr="00D6751D">
        <w:rPr>
          <w:rFonts w:ascii="Times New Roman" w:hAnsi="Times New Roman"/>
          <w:sz w:val="28"/>
          <w:szCs w:val="28"/>
          <w:vertAlign w:val="superscript"/>
        </w:rPr>
        <w:t>2</w:t>
      </w:r>
      <w:r w:rsidRPr="00D6751D">
        <w:rPr>
          <w:rFonts w:ascii="Times New Roman" w:hAnsi="Times New Roman"/>
          <w:sz w:val="28"/>
          <w:szCs w:val="28"/>
        </w:rPr>
        <w:t>/с</w:t>
      </w:r>
      <w:r>
        <w:rPr>
          <w:rFonts w:ascii="Times New Roman" w:hAnsi="Times New Roman"/>
          <w:sz w:val="28"/>
          <w:szCs w:val="28"/>
        </w:rPr>
        <w:t>. У підгрупі із прогресом захворювання середнє ВКД складало 1,78</w:t>
      </w:r>
      <w:r>
        <w:rPr>
          <w:rFonts w:ascii="Times New Roman" w:hAnsi="Times New Roman" w:cs="Times New Roman"/>
          <w:sz w:val="28"/>
          <w:szCs w:val="28"/>
        </w:rPr>
        <w:t>±0,07</w:t>
      </w:r>
      <w:r w:rsidRPr="00D6751D">
        <w:rPr>
          <w:rFonts w:ascii="Times New Roman" w:hAnsi="Times New Roman" w:cs="Times New Roman"/>
          <w:sz w:val="28"/>
          <w:szCs w:val="28"/>
        </w:rPr>
        <w:t>×</w:t>
      </w:r>
      <w:r w:rsidRPr="00D6751D">
        <w:rPr>
          <w:rFonts w:ascii="Times New Roman" w:hAnsi="Times New Roman"/>
          <w:sz w:val="28"/>
          <w:szCs w:val="28"/>
        </w:rPr>
        <w:t>10</w:t>
      </w:r>
      <w:r w:rsidRPr="00D6751D">
        <w:rPr>
          <w:rFonts w:ascii="Times New Roman" w:hAnsi="Times New Roman"/>
          <w:sz w:val="28"/>
          <w:szCs w:val="28"/>
          <w:vertAlign w:val="superscript"/>
        </w:rPr>
        <w:t>-3</w:t>
      </w:r>
      <w:r w:rsidRPr="00D6751D">
        <w:rPr>
          <w:rFonts w:ascii="Times New Roman" w:hAnsi="Times New Roman"/>
          <w:sz w:val="28"/>
          <w:szCs w:val="28"/>
        </w:rPr>
        <w:t xml:space="preserve"> мм</w:t>
      </w:r>
      <w:r w:rsidRPr="00D6751D">
        <w:rPr>
          <w:rFonts w:ascii="Times New Roman" w:hAnsi="Times New Roman"/>
          <w:sz w:val="28"/>
          <w:szCs w:val="28"/>
          <w:vertAlign w:val="superscript"/>
        </w:rPr>
        <w:t>2</w:t>
      </w:r>
      <w:r w:rsidRPr="00D6751D">
        <w:rPr>
          <w:rFonts w:ascii="Times New Roman" w:hAnsi="Times New Roman"/>
          <w:sz w:val="28"/>
          <w:szCs w:val="28"/>
        </w:rPr>
        <w:t>/с</w:t>
      </w:r>
      <w:r>
        <w:rPr>
          <w:rFonts w:ascii="Times New Roman" w:hAnsi="Times New Roman"/>
          <w:sz w:val="28"/>
          <w:szCs w:val="28"/>
        </w:rPr>
        <w:t xml:space="preserve"> і майже не відрізнялось від вихідних значень.</w:t>
      </w:r>
    </w:p>
    <w:p w:rsidR="003735EA" w:rsidRPr="00A66730" w:rsidRDefault="003735EA" w:rsidP="007504C3">
      <w:pPr>
        <w:autoSpaceDE w:val="0"/>
        <w:autoSpaceDN w:val="0"/>
        <w:adjustRightInd w:val="0"/>
        <w:spacing w:after="0" w:line="360" w:lineRule="auto"/>
        <w:ind w:firstLine="708"/>
        <w:jc w:val="both"/>
        <w:rPr>
          <w:rFonts w:ascii="Times New Roman" w:hAnsi="Times New Roman" w:cs="Times New Roman"/>
          <w:sz w:val="28"/>
          <w:szCs w:val="28"/>
        </w:rPr>
      </w:pPr>
      <w:r w:rsidRPr="00A66730">
        <w:rPr>
          <w:rFonts w:ascii="Times New Roman" w:hAnsi="Times New Roman" w:cs="Times New Roman"/>
          <w:sz w:val="28"/>
          <w:szCs w:val="28"/>
        </w:rPr>
        <w:t>Нами було проаналізовано кореляційний зв’язок між</w:t>
      </w:r>
      <w:r>
        <w:rPr>
          <w:rFonts w:ascii="Times New Roman" w:hAnsi="Times New Roman" w:cs="Times New Roman"/>
          <w:sz w:val="28"/>
          <w:szCs w:val="28"/>
        </w:rPr>
        <w:t xml:space="preserve"> часом до прогресу та відсотком зміни значення ВКД через 1 місяць після початку лікування пазопанібом у порівнянні із вихідною величиною. Ми отримали прямий взаємозв’язок між цими показниками, коефіцієнт Пірсона становив 0,673 (р</w:t>
      </w:r>
      <w:r w:rsidRPr="009E6C7E">
        <w:rPr>
          <w:rFonts w:ascii="Times New Roman" w:hAnsi="Times New Roman" w:cs="Times New Roman"/>
          <w:sz w:val="28"/>
          <w:szCs w:val="28"/>
          <w:lang w:val="ru-RU"/>
        </w:rPr>
        <w:t>&lt;</w:t>
      </w:r>
      <w:r w:rsidR="00CB4995">
        <w:rPr>
          <w:rFonts w:ascii="Times New Roman" w:hAnsi="Times New Roman" w:cs="Times New Roman"/>
          <w:sz w:val="28"/>
          <w:szCs w:val="28"/>
        </w:rPr>
        <w:t>0,001), рисунок 5.10</w:t>
      </w:r>
      <w:r w:rsidR="007504C3">
        <w:rPr>
          <w:rFonts w:ascii="Times New Roman" w:hAnsi="Times New Roman" w:cs="Times New Roman"/>
          <w:sz w:val="28"/>
          <w:szCs w:val="28"/>
        </w:rPr>
        <w:t>.</w:t>
      </w:r>
    </w:p>
    <w:p w:rsidR="003735EA" w:rsidRDefault="003735EA" w:rsidP="003735EA">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1C75D7D1" wp14:editId="6FE5377A">
            <wp:extent cx="3818860" cy="3057525"/>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843794" cy="3077488"/>
                    </a:xfrm>
                    <a:prstGeom prst="rect">
                      <a:avLst/>
                    </a:prstGeom>
                    <a:noFill/>
                    <a:ln>
                      <a:noFill/>
                    </a:ln>
                  </pic:spPr>
                </pic:pic>
              </a:graphicData>
            </a:graphic>
          </wp:inline>
        </w:drawing>
      </w:r>
    </w:p>
    <w:p w:rsidR="003735EA" w:rsidRDefault="003735EA" w:rsidP="003735EA">
      <w:pPr>
        <w:autoSpaceDE w:val="0"/>
        <w:autoSpaceDN w:val="0"/>
        <w:adjustRightInd w:val="0"/>
        <w:spacing w:after="0" w:line="240" w:lineRule="auto"/>
        <w:rPr>
          <w:rFonts w:ascii="Times New Roman" w:hAnsi="Times New Roman" w:cs="Times New Roman"/>
          <w:sz w:val="24"/>
          <w:szCs w:val="24"/>
        </w:rPr>
      </w:pPr>
    </w:p>
    <w:p w:rsidR="003735EA" w:rsidRDefault="00CB4995" w:rsidP="007504C3">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5.10</w:t>
      </w:r>
      <w:r w:rsidR="003735EA">
        <w:rPr>
          <w:rFonts w:ascii="Times New Roman" w:hAnsi="Times New Roman" w:cs="Times New Roman"/>
          <w:sz w:val="28"/>
          <w:szCs w:val="28"/>
        </w:rPr>
        <w:t>. Графік кореляції часу до прогресу та відсотком зміни значення ВКД через 1 місяць після початку лікування пазопанібом у порівнянні із вихідною величиною</w:t>
      </w:r>
    </w:p>
    <w:p w:rsidR="003735EA" w:rsidRDefault="003735EA" w:rsidP="003735EA">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Проводячи </w:t>
      </w:r>
      <w:r>
        <w:rPr>
          <w:rFonts w:ascii="Times New Roman" w:hAnsi="Times New Roman" w:cs="Times New Roman"/>
          <w:sz w:val="28"/>
          <w:szCs w:val="28"/>
          <w:lang w:val="en-US"/>
        </w:rPr>
        <w:t>ROC</w:t>
      </w:r>
      <w:r>
        <w:rPr>
          <w:rFonts w:ascii="Times New Roman" w:hAnsi="Times New Roman" w:cs="Times New Roman"/>
          <w:sz w:val="28"/>
          <w:szCs w:val="28"/>
        </w:rPr>
        <w:softHyphen/>
        <w:t xml:space="preserve">-аналіз ми виявили, що застосування порогового значення зниження показника ВКД через 1 місяць після початку лікування пазопанібом у порівнянні із вихідною величиною на 1,73%, для диференціації хворих із прогресом захворювання та без, дозволило отримати показники чутливості та специфічності відповідно 100% та </w:t>
      </w:r>
      <w:r w:rsidRPr="009E6C7E">
        <w:rPr>
          <w:rFonts w:ascii="Times New Roman" w:hAnsi="Times New Roman" w:cs="Times New Roman"/>
          <w:sz w:val="28"/>
          <w:szCs w:val="28"/>
        </w:rPr>
        <w:t>81</w:t>
      </w:r>
      <w:r>
        <w:rPr>
          <w:rFonts w:ascii="Times New Roman" w:hAnsi="Times New Roman" w:cs="Times New Roman"/>
          <w:sz w:val="28"/>
          <w:szCs w:val="28"/>
        </w:rPr>
        <w:t xml:space="preserve">,8% при високій точності методу – </w:t>
      </w:r>
      <w:r>
        <w:rPr>
          <w:rFonts w:ascii="Times New Roman" w:hAnsi="Times New Roman" w:cs="Times New Roman"/>
          <w:sz w:val="28"/>
          <w:szCs w:val="28"/>
          <w:lang w:val="en-US"/>
        </w:rPr>
        <w:t>AUC</w:t>
      </w:r>
      <w:r>
        <w:rPr>
          <w:rFonts w:ascii="Times New Roman" w:hAnsi="Times New Roman" w:cs="Times New Roman"/>
          <w:sz w:val="28"/>
          <w:szCs w:val="28"/>
        </w:rPr>
        <w:t>=</w:t>
      </w:r>
      <w:r w:rsidRPr="009E6C7E">
        <w:rPr>
          <w:rFonts w:ascii="Times New Roman" w:hAnsi="Times New Roman" w:cs="Times New Roman"/>
          <w:sz w:val="28"/>
          <w:szCs w:val="28"/>
        </w:rPr>
        <w:t>0</w:t>
      </w:r>
      <w:r>
        <w:rPr>
          <w:rFonts w:ascii="Times New Roman" w:hAnsi="Times New Roman" w:cs="Times New Roman"/>
          <w:sz w:val="28"/>
          <w:szCs w:val="28"/>
        </w:rPr>
        <w:t>,927 (95% ДІ=0,835-0,998, р</w:t>
      </w:r>
      <w:r w:rsidRPr="009E6C7E">
        <w:rPr>
          <w:rFonts w:ascii="Times New Roman" w:hAnsi="Times New Roman" w:cs="Times New Roman"/>
          <w:sz w:val="28"/>
          <w:szCs w:val="28"/>
        </w:rPr>
        <w:t>&lt;</w:t>
      </w:r>
      <w:r>
        <w:rPr>
          <w:rFonts w:ascii="Times New Roman" w:hAnsi="Times New Roman" w:cs="Times New Roman"/>
          <w:sz w:val="28"/>
          <w:szCs w:val="28"/>
        </w:rPr>
        <w:t xml:space="preserve">0,001). </w:t>
      </w:r>
      <w:r>
        <w:rPr>
          <w:rFonts w:ascii="Times New Roman" w:hAnsi="Times New Roman" w:cs="Times New Roman"/>
          <w:sz w:val="28"/>
          <w:szCs w:val="28"/>
          <w:lang w:val="en-US"/>
        </w:rPr>
        <w:t>ROC</w:t>
      </w:r>
      <w:r>
        <w:rPr>
          <w:rFonts w:ascii="Times New Roman" w:hAnsi="Times New Roman" w:cs="Times New Roman"/>
          <w:sz w:val="28"/>
          <w:szCs w:val="28"/>
        </w:rPr>
        <w:t>-криві та криві виживаності Каплана-Маєра побудовані в процесі даного анал</w:t>
      </w:r>
      <w:r w:rsidR="00CB4995">
        <w:rPr>
          <w:rFonts w:ascii="Times New Roman" w:hAnsi="Times New Roman" w:cs="Times New Roman"/>
          <w:sz w:val="28"/>
          <w:szCs w:val="28"/>
        </w:rPr>
        <w:t>ізу представлені на рисунку 5.11</w:t>
      </w:r>
      <w:r>
        <w:rPr>
          <w:rFonts w:ascii="Times New Roman" w:hAnsi="Times New Roman" w:cs="Times New Roman"/>
          <w:sz w:val="28"/>
          <w:szCs w:val="28"/>
        </w:rPr>
        <w:t>.</w:t>
      </w:r>
    </w:p>
    <w:p w:rsidR="003735EA" w:rsidRPr="002233CC" w:rsidRDefault="003735EA" w:rsidP="003735EA">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w:t>
      </w:r>
    </w:p>
    <w:p w:rsidR="003735EA" w:rsidRDefault="003735EA" w:rsidP="003735EA">
      <w:pPr>
        <w:autoSpaceDE w:val="0"/>
        <w:autoSpaceDN w:val="0"/>
        <w:adjustRightInd w:val="0"/>
        <w:spacing w:after="0" w:line="240" w:lineRule="auto"/>
        <w:ind w:left="-284"/>
        <w:jc w:val="center"/>
        <w:rPr>
          <w:rFonts w:ascii="Times New Roman" w:hAnsi="Times New Roman" w:cs="Times New Roman"/>
          <w:sz w:val="24"/>
          <w:szCs w:val="24"/>
        </w:rPr>
      </w:pPr>
      <w:r w:rsidRPr="003D11AD">
        <w:rPr>
          <w:rFonts w:ascii="Times New Roman" w:hAnsi="Times New Roman" w:cs="Times New Roman"/>
          <w:noProof/>
          <w:sz w:val="24"/>
          <w:szCs w:val="24"/>
          <w:lang w:val="en-US"/>
        </w:rPr>
        <mc:AlternateContent>
          <mc:Choice Requires="wps">
            <w:drawing>
              <wp:anchor distT="0" distB="0" distL="114300" distR="114300" simplePos="0" relativeHeight="251765760" behindDoc="0" locked="0" layoutInCell="1" allowOverlap="1" wp14:anchorId="478E3942" wp14:editId="36376F38">
                <wp:simplePos x="0" y="0"/>
                <wp:positionH relativeFrom="margin">
                  <wp:posOffset>2009775</wp:posOffset>
                </wp:positionH>
                <wp:positionV relativeFrom="paragraph">
                  <wp:posOffset>1892935</wp:posOffset>
                </wp:positionV>
                <wp:extent cx="5939790" cy="466725"/>
                <wp:effectExtent l="0" t="0" r="0" b="9525"/>
                <wp:wrapNone/>
                <wp:docPr id="215" name="Надпись 215"/>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D402B" w:rsidRDefault="007B5A1D" w:rsidP="003735EA">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78E3942" id="Надпись 215" o:spid="_x0000_s1097" type="#_x0000_t202" style="position:absolute;left:0;text-align:left;margin-left:158.25pt;margin-top:149.05pt;width:467.7pt;height:36.75pt;z-index:25176576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" filled="f" stroked="f">
                <v:textbox>
                  <w:txbxContent>
                    <w:p w:rsidR="007B5A1D" w:rsidRPr="00BD402B" w:rsidRDefault="007B5A1D" w:rsidP="003735EA">
                      <w:pPr>
                        <w:jc w:val="cente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margin"/>
              </v:shape>
            </w:pict>
          </mc:Fallback>
        </mc:AlternateContent>
      </w:r>
      <w:r w:rsidRPr="003D11AD">
        <w:rPr>
          <w:rFonts w:ascii="Times New Roman" w:hAnsi="Times New Roman" w:cs="Times New Roman"/>
          <w:noProof/>
          <w:sz w:val="24"/>
          <w:szCs w:val="24"/>
          <w:lang w:val="en-US"/>
        </w:rPr>
        <mc:AlternateContent>
          <mc:Choice Requires="wps">
            <w:drawing>
              <wp:anchor distT="0" distB="0" distL="114300" distR="114300" simplePos="0" relativeHeight="251766784" behindDoc="0" locked="0" layoutInCell="1" allowOverlap="1" wp14:anchorId="07B293CF" wp14:editId="68DD2538">
                <wp:simplePos x="0" y="0"/>
                <wp:positionH relativeFrom="margin">
                  <wp:posOffset>4749165</wp:posOffset>
                </wp:positionH>
                <wp:positionV relativeFrom="paragraph">
                  <wp:posOffset>1892935</wp:posOffset>
                </wp:positionV>
                <wp:extent cx="5939790" cy="466725"/>
                <wp:effectExtent l="0" t="0" r="0" b="9525"/>
                <wp:wrapNone/>
                <wp:docPr id="216" name="Надпись 216"/>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BD402B" w:rsidRDefault="007B5A1D" w:rsidP="003735EA">
                            <w:pP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7B293CF" id="Надпись 216" o:spid="_x0000_s1098" type="#_x0000_t202" style="position:absolute;left:0;text-align:left;margin-left:373.95pt;margin-top:149.05pt;width:467.7pt;height:36.75pt;z-index:25176678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" filled="f" stroked="f">
                <v:textbox>
                  <w:txbxContent>
                    <w:p w:rsidR="007B5A1D" w:rsidRPr="00BD402B" w:rsidRDefault="007B5A1D" w:rsidP="003735EA">
                      <w:pP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000000" w:themeColor="text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margin"/>
              </v:shape>
            </w:pict>
          </mc:Fallback>
        </mc:AlternateContent>
      </w:r>
      <w:r>
        <w:rPr>
          <w:rFonts w:ascii="Times New Roman" w:hAnsi="Times New Roman" w:cs="Times New Roman"/>
          <w:noProof/>
          <w:sz w:val="24"/>
          <w:szCs w:val="24"/>
          <w:lang w:val="en-US"/>
        </w:rPr>
        <w:drawing>
          <wp:inline distT="0" distB="0" distL="0" distR="0" wp14:anchorId="06E9B7F4" wp14:editId="4F42C09D">
            <wp:extent cx="2732336" cy="2700000"/>
            <wp:effectExtent l="0" t="0" r="0" b="571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l="11004" r="8134"/>
                    <a:stretch/>
                  </pic:blipFill>
                  <pic:spPr bwMode="auto">
                    <a:xfrm>
                      <a:off x="0" y="0"/>
                      <a:ext cx="2732336" cy="27000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4"/>
          <w:szCs w:val="24"/>
          <w:lang w:val="en-US"/>
        </w:rPr>
        <w:drawing>
          <wp:inline distT="0" distB="0" distL="0" distR="0" wp14:anchorId="4EE430FC" wp14:editId="2338073E">
            <wp:extent cx="3372311" cy="2700000"/>
            <wp:effectExtent l="0" t="0" r="0" b="5715"/>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372311" cy="2700000"/>
                    </a:xfrm>
                    <a:prstGeom prst="rect">
                      <a:avLst/>
                    </a:prstGeom>
                    <a:noFill/>
                    <a:ln>
                      <a:noFill/>
                    </a:ln>
                  </pic:spPr>
                </pic:pic>
              </a:graphicData>
            </a:graphic>
          </wp:inline>
        </w:drawing>
      </w:r>
    </w:p>
    <w:p w:rsidR="003735EA" w:rsidRDefault="003735EA" w:rsidP="003735EA">
      <w:pPr>
        <w:autoSpaceDE w:val="0"/>
        <w:autoSpaceDN w:val="0"/>
        <w:adjustRightInd w:val="0"/>
        <w:spacing w:after="0" w:line="240" w:lineRule="auto"/>
        <w:rPr>
          <w:rFonts w:ascii="Times New Roman" w:hAnsi="Times New Roman" w:cs="Times New Roman"/>
          <w:sz w:val="24"/>
          <w:szCs w:val="24"/>
        </w:rPr>
      </w:pPr>
    </w:p>
    <w:p w:rsidR="003735EA" w:rsidRDefault="00CB4995" w:rsidP="003735EA">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5.11</w:t>
      </w:r>
      <w:r w:rsidR="003735EA" w:rsidRPr="002233CC">
        <w:rPr>
          <w:rFonts w:ascii="Times New Roman" w:hAnsi="Times New Roman" w:cs="Times New Roman"/>
          <w:sz w:val="28"/>
          <w:szCs w:val="28"/>
        </w:rPr>
        <w:t>.</w:t>
      </w:r>
      <w:r w:rsidR="003735EA">
        <w:rPr>
          <w:rFonts w:ascii="Times New Roman" w:hAnsi="Times New Roman" w:cs="Times New Roman"/>
          <w:sz w:val="28"/>
          <w:szCs w:val="28"/>
        </w:rPr>
        <w:t xml:space="preserve"> А: </w:t>
      </w:r>
      <w:r w:rsidR="003735EA">
        <w:rPr>
          <w:rFonts w:ascii="Times New Roman" w:hAnsi="Times New Roman" w:cs="Times New Roman"/>
          <w:sz w:val="28"/>
          <w:szCs w:val="28"/>
          <w:lang w:val="en-US"/>
        </w:rPr>
        <w:t>ROC</w:t>
      </w:r>
      <w:r w:rsidR="003735EA">
        <w:rPr>
          <w:rFonts w:ascii="Times New Roman" w:hAnsi="Times New Roman" w:cs="Times New Roman"/>
          <w:sz w:val="28"/>
          <w:szCs w:val="28"/>
        </w:rPr>
        <w:t>-криві застосування порогового значення зниження показника ВКД через 1 місяць після початку лікування пазопанібом у порівнянні із вихідною величиною,</w:t>
      </w:r>
      <w:r w:rsidR="003735EA" w:rsidRPr="002233CC">
        <w:rPr>
          <w:rFonts w:ascii="Times New Roman" w:hAnsi="Times New Roman" w:cs="Times New Roman"/>
          <w:sz w:val="28"/>
          <w:szCs w:val="28"/>
        </w:rPr>
        <w:t xml:space="preserve"> </w:t>
      </w:r>
      <w:r w:rsidR="003735EA">
        <w:rPr>
          <w:rFonts w:ascii="Times New Roman" w:hAnsi="Times New Roman" w:cs="Times New Roman"/>
          <w:sz w:val="28"/>
          <w:szCs w:val="28"/>
        </w:rPr>
        <w:t>для диференціації хворих із прогресом захворювання та без; Б: криві виживаності Каплана-Маєра (</w:t>
      </w:r>
      <w:r w:rsidR="003735EA" w:rsidRPr="009E6C7E">
        <w:rPr>
          <w:rFonts w:ascii="Times New Roman" w:hAnsi="Times New Roman" w:cs="Times New Roman"/>
          <w:sz w:val="28"/>
          <w:szCs w:val="28"/>
        </w:rPr>
        <w:t>р&lt;</w:t>
      </w:r>
      <w:r w:rsidR="003735EA">
        <w:rPr>
          <w:rFonts w:ascii="Times New Roman" w:hAnsi="Times New Roman" w:cs="Times New Roman"/>
          <w:sz w:val="28"/>
          <w:szCs w:val="28"/>
        </w:rPr>
        <w:t>0,001).</w:t>
      </w:r>
    </w:p>
    <w:p w:rsidR="003735EA" w:rsidRDefault="003735EA" w:rsidP="003735EA">
      <w:pPr>
        <w:autoSpaceDE w:val="0"/>
        <w:autoSpaceDN w:val="0"/>
        <w:adjustRightInd w:val="0"/>
        <w:spacing w:after="0" w:line="360" w:lineRule="auto"/>
        <w:jc w:val="center"/>
        <w:rPr>
          <w:rFonts w:ascii="Times New Roman" w:hAnsi="Times New Roman" w:cs="Times New Roman"/>
          <w:sz w:val="28"/>
          <w:szCs w:val="28"/>
        </w:rPr>
      </w:pPr>
    </w:p>
    <w:p w:rsidR="003735EA" w:rsidRDefault="003735EA" w:rsidP="009B794D">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 випливає з отриманих даних, показник вимірюваного коефіцієнта дифузії, на відміну від розміру первинної пухлини, об’єктивно відображає ранні зміни, які мають місце в тканинах розповсюдженого конвенційного НКР під впливом системного лікування інгібітором тирозинкінази, пазопанібом. Таким чином можна стверджувати, що ВКД може бути застосований у якості променевого біомаркеру для оцінки ранньої терапевтичної відповіді (через 1 </w:t>
      </w:r>
      <w:r>
        <w:rPr>
          <w:rFonts w:ascii="Times New Roman" w:hAnsi="Times New Roman" w:cs="Times New Roman"/>
          <w:sz w:val="28"/>
          <w:szCs w:val="28"/>
        </w:rPr>
        <w:lastRenderedPageBreak/>
        <w:t xml:space="preserve">місяць після початку лікування пазопанібом) хворих із світлоклітинним розповсюдженим НКР та передбачення ефективності системної терапії, що є важливим для можливості уникнення високовартісного лікування із потенційними важкими ускладненнями у разі його неефективності у даній категорії хворих. Також ми рекомендуємо включити ВКД у критерії </w:t>
      </w:r>
      <w:r>
        <w:rPr>
          <w:rFonts w:ascii="Times New Roman" w:hAnsi="Times New Roman" w:cs="Times New Roman"/>
          <w:sz w:val="28"/>
          <w:szCs w:val="28"/>
          <w:lang w:val="en-US"/>
        </w:rPr>
        <w:t>RECIST</w:t>
      </w:r>
      <w:r w:rsidRPr="009E6C7E">
        <w:rPr>
          <w:rFonts w:ascii="Times New Roman" w:hAnsi="Times New Roman" w:cs="Times New Roman"/>
          <w:sz w:val="28"/>
          <w:szCs w:val="28"/>
        </w:rPr>
        <w:t xml:space="preserve"> </w:t>
      </w:r>
      <w:r>
        <w:rPr>
          <w:rFonts w:ascii="Times New Roman" w:hAnsi="Times New Roman" w:cs="Times New Roman"/>
          <w:sz w:val="28"/>
          <w:szCs w:val="28"/>
        </w:rPr>
        <w:t>для підвищення їх точності у оцінці терапевтичної відпові</w:t>
      </w:r>
      <w:r w:rsidR="009B794D">
        <w:rPr>
          <w:rFonts w:ascii="Times New Roman" w:hAnsi="Times New Roman" w:cs="Times New Roman"/>
          <w:sz w:val="28"/>
          <w:szCs w:val="28"/>
        </w:rPr>
        <w:t xml:space="preserve">ді при системній </w:t>
      </w:r>
      <w:r w:rsidR="009B794D" w:rsidRPr="007901C1">
        <w:rPr>
          <w:rFonts w:ascii="Times New Roman" w:hAnsi="Times New Roman" w:cs="Times New Roman"/>
          <w:noProof/>
          <w:sz w:val="28"/>
          <w:szCs w:val="28"/>
          <w:lang w:val="en-US"/>
        </w:rPr>
        <mc:AlternateContent>
          <mc:Choice Requires="wps">
            <w:drawing>
              <wp:anchor distT="0" distB="0" distL="114300" distR="114300" simplePos="0" relativeHeight="251767808" behindDoc="0" locked="0" layoutInCell="1" allowOverlap="1" wp14:anchorId="13B1F8FE" wp14:editId="2DA9F287">
                <wp:simplePos x="0" y="0"/>
                <wp:positionH relativeFrom="margin">
                  <wp:posOffset>272415</wp:posOffset>
                </wp:positionH>
                <wp:positionV relativeFrom="paragraph">
                  <wp:posOffset>550545</wp:posOffset>
                </wp:positionV>
                <wp:extent cx="5939790" cy="466725"/>
                <wp:effectExtent l="0" t="0" r="0" b="9525"/>
                <wp:wrapNone/>
                <wp:docPr id="222" name="Надпись 222"/>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7901C1" w:rsidRDefault="007B5A1D" w:rsidP="003735EA">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901C1">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B1F8FE" id="Надпись 222" o:spid="_x0000_s1099" type="#_x0000_t202" style="position:absolute;left:0;text-align:left;margin-left:21.45pt;margin-top:43.35pt;width:467.7pt;height:36.75pt;z-index:251767808;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" filled="f" stroked="f">
                <v:textbox>
                  <w:txbxContent>
                    <w:p w:rsidR="007B5A1D" w:rsidRPr="007901C1" w:rsidRDefault="007B5A1D" w:rsidP="003735EA">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901C1">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А</w:t>
                      </w:r>
                    </w:p>
                  </w:txbxContent>
                </v:textbox>
                <w10:wrap anchorx="margin"/>
              </v:shape>
            </w:pict>
          </mc:Fallback>
        </mc:AlternateContent>
      </w:r>
      <w:r w:rsidR="009B794D" w:rsidRPr="007901C1">
        <w:rPr>
          <w:rFonts w:ascii="Times New Roman" w:hAnsi="Times New Roman" w:cs="Times New Roman"/>
          <w:noProof/>
          <w:sz w:val="28"/>
          <w:szCs w:val="28"/>
          <w:lang w:val="en-US"/>
        </w:rPr>
        <mc:AlternateContent>
          <mc:Choice Requires="wps">
            <w:drawing>
              <wp:anchor distT="0" distB="0" distL="114300" distR="114300" simplePos="0" relativeHeight="251770880" behindDoc="0" locked="0" layoutInCell="1" allowOverlap="1" wp14:anchorId="60C29105" wp14:editId="23425172">
                <wp:simplePos x="0" y="0"/>
                <wp:positionH relativeFrom="margin">
                  <wp:posOffset>3044190</wp:posOffset>
                </wp:positionH>
                <wp:positionV relativeFrom="paragraph">
                  <wp:posOffset>2070100</wp:posOffset>
                </wp:positionV>
                <wp:extent cx="5939790" cy="466725"/>
                <wp:effectExtent l="0" t="0" r="0" b="9525"/>
                <wp:wrapNone/>
                <wp:docPr id="219" name="Надпись 219"/>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7901C1" w:rsidRDefault="007B5A1D" w:rsidP="003735EA">
                            <w:pPr>
                              <w:rPr>
                                <w:b/>
                                <w:noProof/>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7901C1">
                              <w:rPr>
                                <w:b/>
                                <w:noProof/>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Г</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0C29105" id="Надпись 219" o:spid="_x0000_s1100" type="#_x0000_t202" style="position:absolute;left:0;text-align:left;margin-left:239.7pt;margin-top:163pt;width:467.7pt;height:36.75pt;z-index:251770880;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" filled="f" stroked="f">
                <v:textbox>
                  <w:txbxContent>
                    <w:p w:rsidR="007B5A1D" w:rsidRPr="007901C1" w:rsidRDefault="007B5A1D" w:rsidP="003735EA">
                      <w:pPr>
                        <w:rPr>
                          <w:b/>
                          <w:noProof/>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7901C1">
                        <w:rPr>
                          <w:b/>
                          <w:noProof/>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Г</w:t>
                      </w:r>
                    </w:p>
                  </w:txbxContent>
                </v:textbox>
                <w10:wrap anchorx="margin"/>
              </v:shape>
            </w:pict>
          </mc:Fallback>
        </mc:AlternateContent>
      </w:r>
      <w:r w:rsidR="009B794D" w:rsidRPr="007901C1">
        <w:rPr>
          <w:rFonts w:ascii="Times New Roman" w:hAnsi="Times New Roman" w:cs="Times New Roman"/>
          <w:noProof/>
          <w:sz w:val="28"/>
          <w:szCs w:val="28"/>
          <w:lang w:val="en-US"/>
        </w:rPr>
        <mc:AlternateContent>
          <mc:Choice Requires="wps">
            <w:drawing>
              <wp:anchor distT="0" distB="0" distL="114300" distR="114300" simplePos="0" relativeHeight="251768832" behindDoc="0" locked="0" layoutInCell="1" allowOverlap="1" wp14:anchorId="10932FAA" wp14:editId="79983F55">
                <wp:simplePos x="0" y="0"/>
                <wp:positionH relativeFrom="margin">
                  <wp:posOffset>3040380</wp:posOffset>
                </wp:positionH>
                <wp:positionV relativeFrom="paragraph">
                  <wp:posOffset>550545</wp:posOffset>
                </wp:positionV>
                <wp:extent cx="5939790" cy="466725"/>
                <wp:effectExtent l="0" t="0" r="0" b="9525"/>
                <wp:wrapNone/>
                <wp:docPr id="221" name="Надпись 221"/>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7901C1" w:rsidRDefault="007B5A1D" w:rsidP="003735EA">
                            <w:pP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901C1">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0932FAA" id="Надпись 221" o:spid="_x0000_s1101" type="#_x0000_t202" style="position:absolute;left:0;text-align:left;margin-left:239.4pt;margin-top:43.35pt;width:467.7pt;height:36.75pt;z-index:251768832;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" filled="f" stroked="f">
                <v:textbox>
                  <w:txbxContent>
                    <w:p w:rsidR="007B5A1D" w:rsidRPr="007901C1" w:rsidRDefault="007B5A1D" w:rsidP="003735EA">
                      <w:pP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901C1">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Б</w:t>
                      </w:r>
                    </w:p>
                  </w:txbxContent>
                </v:textbox>
                <w10:wrap anchorx="margin"/>
              </v:shape>
            </w:pict>
          </mc:Fallback>
        </mc:AlternateContent>
      </w:r>
      <w:r w:rsidR="009B794D">
        <w:rPr>
          <w:rFonts w:ascii="Times New Roman" w:hAnsi="Times New Roman" w:cs="Times New Roman"/>
          <w:sz w:val="28"/>
          <w:szCs w:val="28"/>
        </w:rPr>
        <w:t>терапії скНКР.</w:t>
      </w:r>
    </w:p>
    <w:p w:rsidR="007504C3" w:rsidRDefault="007504C3" w:rsidP="009B794D">
      <w:pPr>
        <w:autoSpaceDE w:val="0"/>
        <w:autoSpaceDN w:val="0"/>
        <w:adjustRightInd w:val="0"/>
        <w:spacing w:after="0" w:line="360" w:lineRule="auto"/>
        <w:ind w:firstLine="708"/>
        <w:jc w:val="both"/>
        <w:rPr>
          <w:rFonts w:ascii="Times New Roman" w:hAnsi="Times New Roman" w:cs="Times New Roman"/>
          <w:sz w:val="28"/>
          <w:szCs w:val="28"/>
        </w:rPr>
      </w:pPr>
    </w:p>
    <w:p w:rsidR="003735EA" w:rsidRDefault="009B794D" w:rsidP="009B794D">
      <w:pPr>
        <w:autoSpaceDE w:val="0"/>
        <w:autoSpaceDN w:val="0"/>
        <w:adjustRightInd w:val="0"/>
        <w:spacing w:after="0" w:line="360" w:lineRule="auto"/>
        <w:jc w:val="center"/>
        <w:rPr>
          <w:rFonts w:ascii="Times New Roman" w:hAnsi="Times New Roman" w:cs="Times New Roman"/>
          <w:sz w:val="28"/>
          <w:szCs w:val="28"/>
        </w:rPr>
      </w:pPr>
      <w:r w:rsidRPr="007901C1">
        <w:rPr>
          <w:rFonts w:ascii="Times New Roman" w:hAnsi="Times New Roman" w:cs="Times New Roman"/>
          <w:noProof/>
          <w:sz w:val="28"/>
          <w:szCs w:val="28"/>
          <w:lang w:val="en-US"/>
        </w:rPr>
        <mc:AlternateContent>
          <mc:Choice Requires="wps">
            <w:drawing>
              <wp:anchor distT="0" distB="0" distL="114300" distR="114300" simplePos="0" relativeHeight="251771904" behindDoc="0" locked="0" layoutInCell="1" allowOverlap="1" wp14:anchorId="4510FA14" wp14:editId="3756BAFE">
                <wp:simplePos x="0" y="0"/>
                <wp:positionH relativeFrom="margin">
                  <wp:posOffset>276225</wp:posOffset>
                </wp:positionH>
                <wp:positionV relativeFrom="paragraph">
                  <wp:posOffset>2894965</wp:posOffset>
                </wp:positionV>
                <wp:extent cx="5939790" cy="466725"/>
                <wp:effectExtent l="0" t="0" r="0" b="9525"/>
                <wp:wrapNone/>
                <wp:docPr id="218" name="Надпись 218"/>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7901C1" w:rsidRDefault="007B5A1D" w:rsidP="003735EA">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510FA14" id="Надпись 218" o:spid="_x0000_s1102" type="#_x0000_t202" style="position:absolute;left:0;text-align:left;margin-left:21.75pt;margin-top:227.95pt;width:467.7pt;height:36.75pt;z-index:251771904;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" filled="f" stroked="f">
                <v:textbox>
                  <w:txbxContent>
                    <w:p w:rsidR="007B5A1D" w:rsidRPr="007901C1" w:rsidRDefault="007B5A1D" w:rsidP="003735EA">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Д</w:t>
                      </w:r>
                    </w:p>
                  </w:txbxContent>
                </v:textbox>
                <w10:wrap anchorx="margin"/>
              </v:shape>
            </w:pict>
          </mc:Fallback>
        </mc:AlternateContent>
      </w:r>
      <w:r w:rsidRPr="007901C1">
        <w:rPr>
          <w:rFonts w:ascii="Times New Roman" w:hAnsi="Times New Roman" w:cs="Times New Roman"/>
          <w:noProof/>
          <w:sz w:val="28"/>
          <w:szCs w:val="28"/>
          <w:lang w:val="en-US"/>
        </w:rPr>
        <mc:AlternateContent>
          <mc:Choice Requires="wps">
            <w:drawing>
              <wp:anchor distT="0" distB="0" distL="114300" distR="114300" simplePos="0" relativeHeight="251772928" behindDoc="0" locked="0" layoutInCell="1" allowOverlap="1" wp14:anchorId="423B5A15" wp14:editId="79FB9F08">
                <wp:simplePos x="0" y="0"/>
                <wp:positionH relativeFrom="margin">
                  <wp:posOffset>3044190</wp:posOffset>
                </wp:positionH>
                <wp:positionV relativeFrom="paragraph">
                  <wp:posOffset>2894965</wp:posOffset>
                </wp:positionV>
                <wp:extent cx="5939790" cy="466725"/>
                <wp:effectExtent l="0" t="0" r="0" b="9525"/>
                <wp:wrapNone/>
                <wp:docPr id="217" name="Надпись 217"/>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7901C1" w:rsidRDefault="007B5A1D" w:rsidP="003735EA">
                            <w:pPr>
                              <w:rPr>
                                <w:b/>
                                <w:noProof/>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7901C1">
                              <w:rPr>
                                <w:b/>
                                <w:noProof/>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Ж</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3B5A15" id="Надпись 217" o:spid="_x0000_s1103" type="#_x0000_t202" style="position:absolute;left:0;text-align:left;margin-left:239.7pt;margin-top:227.95pt;width:467.7pt;height:36.75pt;z-index:251772928;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" filled="f" stroked="f">
                <v:textbox>
                  <w:txbxContent>
                    <w:p w:rsidR="007B5A1D" w:rsidRPr="007901C1" w:rsidRDefault="007B5A1D" w:rsidP="003735EA">
                      <w:pPr>
                        <w:rPr>
                          <w:b/>
                          <w:noProof/>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7901C1">
                        <w:rPr>
                          <w:b/>
                          <w:noProof/>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Ж</w:t>
                      </w:r>
                    </w:p>
                  </w:txbxContent>
                </v:textbox>
                <w10:wrap anchorx="margin"/>
              </v:shape>
            </w:pict>
          </mc:Fallback>
        </mc:AlternateContent>
      </w:r>
      <w:r w:rsidRPr="007901C1">
        <w:rPr>
          <w:rFonts w:ascii="Times New Roman" w:hAnsi="Times New Roman" w:cs="Times New Roman"/>
          <w:noProof/>
          <w:sz w:val="28"/>
          <w:szCs w:val="28"/>
          <w:lang w:val="en-US"/>
        </w:rPr>
        <mc:AlternateContent>
          <mc:Choice Requires="wps">
            <w:drawing>
              <wp:anchor distT="0" distB="0" distL="114300" distR="114300" simplePos="0" relativeHeight="251769856" behindDoc="0" locked="0" layoutInCell="1" allowOverlap="1" wp14:anchorId="39A44F5E" wp14:editId="6F85A3A9">
                <wp:simplePos x="0" y="0"/>
                <wp:positionH relativeFrom="margin">
                  <wp:posOffset>276225</wp:posOffset>
                </wp:positionH>
                <wp:positionV relativeFrom="paragraph">
                  <wp:posOffset>1456690</wp:posOffset>
                </wp:positionV>
                <wp:extent cx="5939790" cy="466725"/>
                <wp:effectExtent l="0" t="0" r="0" b="9525"/>
                <wp:wrapNone/>
                <wp:docPr id="220" name="Надпись 220"/>
                <wp:cNvGraphicFramePr/>
                <a:graphic xmlns:a="http://schemas.openxmlformats.org/drawingml/2006/main">
                  <a:graphicData uri="http://schemas.microsoft.com/office/word/2010/wordprocessingShape">
                    <wps:wsp>
                      <wps:cNvSpPr txBox="1"/>
                      <wps:spPr>
                        <a:xfrm>
                          <a:off x="0" y="0"/>
                          <a:ext cx="5939790" cy="466725"/>
                        </a:xfrm>
                        <a:prstGeom prst="rect">
                          <a:avLst/>
                        </a:prstGeom>
                        <a:noFill/>
                        <a:ln>
                          <a:noFill/>
                        </a:ln>
                      </wps:spPr>
                      <wps:txbx>
                        <w:txbxContent>
                          <w:p w:rsidR="007B5A1D" w:rsidRPr="007901C1" w:rsidRDefault="007B5A1D" w:rsidP="003735EA">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9A44F5E" id="Надпись 220" o:spid="_x0000_s1104" type="#_x0000_t202" style="position:absolute;left:0;text-align:left;margin-left:21.75pt;margin-top:114.7pt;width:467.7pt;height:36.75pt;z-index:251769856;visibility:visible;mso-wrap-style:non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" filled="f" stroked="f">
                <v:textbox>
                  <w:txbxContent>
                    <w:p w:rsidR="007B5A1D" w:rsidRPr="007901C1" w:rsidRDefault="007B5A1D" w:rsidP="003735EA">
                      <w:pPr>
                        <w:jc w:val="cente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48"/>
                          <w:szCs w:val="4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txbxContent>
                </v:textbox>
                <w10:wrap anchorx="margin"/>
              </v:shape>
            </w:pict>
          </mc:Fallback>
        </mc:AlternateContent>
      </w:r>
      <w:r w:rsidR="003735EA">
        <w:rPr>
          <w:rFonts w:ascii="Times New Roman" w:hAnsi="Times New Roman" w:cs="Times New Roman"/>
          <w:noProof/>
          <w:sz w:val="28"/>
          <w:szCs w:val="28"/>
          <w:lang w:val="en-US"/>
        </w:rPr>
        <w:drawing>
          <wp:inline distT="0" distB="0" distL="0" distR="0" wp14:anchorId="1E95BE14" wp14:editId="71A9C002">
            <wp:extent cx="5340302" cy="4248150"/>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titled-1.jpg"/>
                    <pic:cNvPicPr/>
                  </pic:nvPicPr>
                  <pic:blipFill>
                    <a:blip r:embed="rId107">
                      <a:extLst>
                        <a:ext uri="{28A0092B-C50C-407E-A947-70E740481C1C}">
                          <a14:useLocalDpi xmlns:a14="http://schemas.microsoft.com/office/drawing/2010/main" val="0"/>
                        </a:ext>
                      </a:extLst>
                    </a:blip>
                    <a:stretch>
                      <a:fillRect/>
                    </a:stretch>
                  </pic:blipFill>
                  <pic:spPr>
                    <a:xfrm>
                      <a:off x="0" y="0"/>
                      <a:ext cx="5357834" cy="4262096"/>
                    </a:xfrm>
                    <a:prstGeom prst="rect">
                      <a:avLst/>
                    </a:prstGeom>
                  </pic:spPr>
                </pic:pic>
              </a:graphicData>
            </a:graphic>
          </wp:inline>
        </w:drawing>
      </w:r>
    </w:p>
    <w:p w:rsidR="00F60E8A" w:rsidRPr="009B794D" w:rsidRDefault="00CB4995" w:rsidP="007504C3">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Рис. 5.12</w:t>
      </w:r>
      <w:r w:rsidR="003735EA">
        <w:rPr>
          <w:rFonts w:ascii="Times New Roman" w:hAnsi="Times New Roman" w:cs="Times New Roman"/>
          <w:sz w:val="28"/>
          <w:szCs w:val="28"/>
        </w:rPr>
        <w:t>. МРТ-дані хворого М., 71 р., світлоклітинний НКР середнього сегменту правої нирки, Т3а</w:t>
      </w:r>
      <w:r w:rsidR="003735EA">
        <w:rPr>
          <w:rFonts w:ascii="Times New Roman" w:hAnsi="Times New Roman" w:cs="Times New Roman"/>
          <w:sz w:val="28"/>
          <w:szCs w:val="28"/>
          <w:lang w:val="en-US"/>
        </w:rPr>
        <w:t>N</w:t>
      </w:r>
      <w:r w:rsidR="003735EA" w:rsidRPr="009E6C7E">
        <w:rPr>
          <w:rFonts w:ascii="Times New Roman" w:hAnsi="Times New Roman" w:cs="Times New Roman"/>
          <w:sz w:val="28"/>
          <w:szCs w:val="28"/>
        </w:rPr>
        <w:t>0</w:t>
      </w:r>
      <w:r w:rsidR="003735EA">
        <w:rPr>
          <w:rFonts w:ascii="Times New Roman" w:hAnsi="Times New Roman" w:cs="Times New Roman"/>
          <w:sz w:val="28"/>
          <w:szCs w:val="28"/>
          <w:lang w:val="en-US"/>
        </w:rPr>
        <w:t>M</w:t>
      </w:r>
      <w:r w:rsidR="003735EA" w:rsidRPr="009E6C7E">
        <w:rPr>
          <w:rFonts w:ascii="Times New Roman" w:hAnsi="Times New Roman" w:cs="Times New Roman"/>
          <w:sz w:val="28"/>
          <w:szCs w:val="28"/>
        </w:rPr>
        <w:t>0</w:t>
      </w:r>
      <w:r w:rsidR="003735EA">
        <w:rPr>
          <w:rFonts w:ascii="Times New Roman" w:hAnsi="Times New Roman" w:cs="Times New Roman"/>
          <w:sz w:val="28"/>
          <w:szCs w:val="28"/>
        </w:rPr>
        <w:t xml:space="preserve">, ІІІ ступінь за </w:t>
      </w:r>
      <w:r w:rsidR="003735EA">
        <w:rPr>
          <w:rFonts w:ascii="Times New Roman" w:hAnsi="Times New Roman" w:cs="Times New Roman"/>
          <w:sz w:val="28"/>
          <w:szCs w:val="28"/>
          <w:lang w:val="en-US"/>
        </w:rPr>
        <w:t>Fuhrman</w:t>
      </w:r>
      <w:r w:rsidR="003735EA">
        <w:rPr>
          <w:rFonts w:ascii="Times New Roman" w:hAnsi="Times New Roman" w:cs="Times New Roman"/>
          <w:sz w:val="28"/>
          <w:szCs w:val="28"/>
        </w:rPr>
        <w:t xml:space="preserve"> (стрілки). А: корональне Т2-ЗЗ в режимі </w:t>
      </w:r>
      <w:r w:rsidR="003735EA">
        <w:rPr>
          <w:rFonts w:ascii="Times New Roman" w:hAnsi="Times New Roman" w:cs="Times New Roman"/>
          <w:sz w:val="28"/>
          <w:szCs w:val="28"/>
          <w:lang w:val="en-US"/>
        </w:rPr>
        <w:t>SSFSE</w:t>
      </w:r>
      <w:r w:rsidR="003735EA">
        <w:rPr>
          <w:rFonts w:ascii="Times New Roman" w:hAnsi="Times New Roman" w:cs="Times New Roman"/>
          <w:sz w:val="28"/>
          <w:szCs w:val="28"/>
        </w:rPr>
        <w:t xml:space="preserve">, новоутвір </w:t>
      </w:r>
      <w:r w:rsidR="003735EA">
        <w:rPr>
          <w:rFonts w:ascii="Times New Roman" w:eastAsia="Arial CYR" w:hAnsi="Times New Roman" w:cs="Times New Roman"/>
          <w:sz w:val="28"/>
          <w:szCs w:val="28"/>
        </w:rPr>
        <w:t>гіперінтенсивний</w:t>
      </w:r>
      <w:r w:rsidR="003735EA" w:rsidRPr="003D5C08">
        <w:rPr>
          <w:rFonts w:ascii="Times New Roman" w:eastAsia="Arial CYR" w:hAnsi="Times New Roman" w:cs="Times New Roman"/>
          <w:sz w:val="28"/>
          <w:szCs w:val="28"/>
        </w:rPr>
        <w:t xml:space="preserve"> по відношенню до тканин</w:t>
      </w:r>
      <w:r w:rsidR="003735EA">
        <w:rPr>
          <w:rFonts w:ascii="Times New Roman" w:eastAsia="Arial CYR" w:hAnsi="Times New Roman" w:cs="Times New Roman"/>
          <w:sz w:val="28"/>
          <w:szCs w:val="28"/>
        </w:rPr>
        <w:t xml:space="preserve">и нирки, </w:t>
      </w:r>
      <w:r w:rsidR="003735EA" w:rsidRPr="003D5C08">
        <w:rPr>
          <w:rFonts w:ascii="Times New Roman" w:eastAsia="Arial CYR" w:hAnsi="Times New Roman" w:cs="Times New Roman"/>
          <w:sz w:val="28"/>
          <w:szCs w:val="28"/>
        </w:rPr>
        <w:t xml:space="preserve">поширюється в ниркову миску, прилежить до тканини печінки, переконливих даних про  інвазію  </w:t>
      </w:r>
      <w:r w:rsidR="003735EA">
        <w:rPr>
          <w:rFonts w:ascii="Times New Roman" w:eastAsia="Arial CYR" w:hAnsi="Times New Roman" w:cs="Times New Roman"/>
          <w:sz w:val="28"/>
          <w:szCs w:val="28"/>
        </w:rPr>
        <w:t>її та</w:t>
      </w:r>
      <w:r w:rsidR="003735EA" w:rsidRPr="003D5C08">
        <w:rPr>
          <w:rFonts w:ascii="Times New Roman" w:eastAsia="Arial CYR" w:hAnsi="Times New Roman" w:cs="Times New Roman"/>
          <w:sz w:val="28"/>
          <w:szCs w:val="28"/>
        </w:rPr>
        <w:t xml:space="preserve"> м’язів</w:t>
      </w:r>
      <w:r w:rsidR="003735EA">
        <w:rPr>
          <w:rFonts w:ascii="Times New Roman" w:eastAsia="Arial CYR" w:hAnsi="Times New Roman" w:cs="Times New Roman"/>
          <w:sz w:val="28"/>
          <w:szCs w:val="28"/>
        </w:rPr>
        <w:t xml:space="preserve"> черевної стінки не виявлено; Б: </w:t>
      </w:r>
      <w:r w:rsidR="003735EA" w:rsidRPr="00FE5B38">
        <w:rPr>
          <w:rFonts w:ascii="Times New Roman" w:eastAsia="Arial CYR" w:hAnsi="Times New Roman" w:cs="Times New Roman"/>
          <w:sz w:val="28"/>
          <w:szCs w:val="28"/>
        </w:rPr>
        <w:t xml:space="preserve">осьове Т1-ЗЗ в режимі </w:t>
      </w:r>
      <w:r w:rsidR="003735EA" w:rsidRPr="00FE5B38">
        <w:rPr>
          <w:rFonts w:ascii="Times New Roman" w:eastAsia="Arial CYR" w:hAnsi="Times New Roman" w:cs="Times New Roman"/>
          <w:sz w:val="28"/>
          <w:szCs w:val="28"/>
          <w:lang w:val="en-US"/>
        </w:rPr>
        <w:t>LAVA</w:t>
      </w:r>
      <w:r w:rsidR="003735EA" w:rsidRPr="00FE5B38">
        <w:rPr>
          <w:rFonts w:ascii="Times New Roman" w:eastAsia="Arial CYR" w:hAnsi="Times New Roman" w:cs="Times New Roman"/>
          <w:sz w:val="28"/>
          <w:szCs w:val="28"/>
        </w:rPr>
        <w:t xml:space="preserve"> із контрастуванням, екскреторна фаза, пухлина гіпоінтенсивна по відношенню до тканини нирки, визначається неоднорідне накопичення контрастної речовини тканиною утвору з </w:t>
      </w:r>
      <w:r w:rsidR="003735EA" w:rsidRPr="00FE5B38">
        <w:rPr>
          <w:rFonts w:ascii="Times New Roman" w:eastAsia="Arial CYR" w:hAnsi="Times New Roman" w:cs="Times New Roman"/>
          <w:sz w:val="28"/>
          <w:szCs w:val="28"/>
        </w:rPr>
        <w:lastRenderedPageBreak/>
        <w:t>візуалізацією кистовидних зон дегенерації розташованих центрально, ознак інвазії в  праву ниркову вену (д</w:t>
      </w:r>
      <w:r w:rsidR="003735EA">
        <w:rPr>
          <w:rFonts w:ascii="Times New Roman" w:eastAsia="Arial CYR" w:hAnsi="Times New Roman" w:cs="Times New Roman"/>
          <w:sz w:val="28"/>
          <w:szCs w:val="28"/>
        </w:rPr>
        <w:t xml:space="preserve">ефектів наповнення) не виявлено; В: осьове ДЗЗ за 1 день до лікування пазопанібом, </w:t>
      </w:r>
      <w:r w:rsidR="003735EA">
        <w:rPr>
          <w:rFonts w:ascii="Times New Roman" w:hAnsi="Times New Roman" w:cs="Times New Roman"/>
          <w:sz w:val="28"/>
          <w:szCs w:val="28"/>
        </w:rPr>
        <w:t xml:space="preserve">розмір пухлини – </w:t>
      </w:r>
      <w:r w:rsidR="003735EA" w:rsidRPr="003D5C08">
        <w:rPr>
          <w:rFonts w:ascii="Times New Roman" w:eastAsia="Arial CYR" w:hAnsi="Times New Roman" w:cs="Times New Roman"/>
          <w:sz w:val="28"/>
          <w:szCs w:val="28"/>
        </w:rPr>
        <w:t>110х96</w:t>
      </w:r>
      <w:r w:rsidR="003735EA">
        <w:rPr>
          <w:rFonts w:ascii="Times New Roman" w:eastAsia="Arial CYR" w:hAnsi="Times New Roman" w:cs="Times New Roman"/>
          <w:sz w:val="28"/>
          <w:szCs w:val="28"/>
        </w:rPr>
        <w:t xml:space="preserve">х97 мм, </w:t>
      </w:r>
      <w:r w:rsidR="003735EA" w:rsidRPr="003D5C08">
        <w:rPr>
          <w:rFonts w:ascii="Times New Roman" w:eastAsia="Arial CYR" w:hAnsi="Times New Roman" w:cs="Times New Roman"/>
          <w:sz w:val="28"/>
          <w:szCs w:val="28"/>
        </w:rPr>
        <w:t>в проекції тканини утвору визнач</w:t>
      </w:r>
      <w:r w:rsidR="003735EA">
        <w:rPr>
          <w:rFonts w:ascii="Times New Roman" w:eastAsia="Arial CYR" w:hAnsi="Times New Roman" w:cs="Times New Roman"/>
          <w:sz w:val="28"/>
          <w:szCs w:val="28"/>
        </w:rPr>
        <w:t>ається обмеження дифузії</w:t>
      </w:r>
      <w:r w:rsidR="003735EA" w:rsidRPr="003D5C08">
        <w:rPr>
          <w:rFonts w:ascii="Times New Roman" w:eastAsia="Arial CYR" w:hAnsi="Times New Roman" w:cs="Times New Roman"/>
          <w:sz w:val="28"/>
          <w:szCs w:val="28"/>
        </w:rPr>
        <w:t xml:space="preserve"> </w:t>
      </w:r>
      <w:r w:rsidR="003735EA">
        <w:rPr>
          <w:rFonts w:ascii="Times New Roman" w:eastAsia="Arial CYR" w:hAnsi="Times New Roman" w:cs="Times New Roman"/>
          <w:sz w:val="28"/>
          <w:szCs w:val="28"/>
        </w:rPr>
        <w:t>(</w:t>
      </w:r>
      <w:r w:rsidR="003735EA" w:rsidRPr="003D5C08">
        <w:rPr>
          <w:rFonts w:ascii="Times New Roman" w:eastAsia="Arial CYR" w:hAnsi="Times New Roman" w:cs="Times New Roman"/>
          <w:sz w:val="28"/>
          <w:szCs w:val="28"/>
        </w:rPr>
        <w:t>підвищений  сигнал</w:t>
      </w:r>
      <w:r w:rsidR="003735EA">
        <w:rPr>
          <w:rFonts w:ascii="Times New Roman" w:eastAsia="Arial CYR" w:hAnsi="Times New Roman" w:cs="Times New Roman"/>
          <w:sz w:val="28"/>
          <w:szCs w:val="28"/>
        </w:rPr>
        <w:t>); Г: ВКД-карта за 1 день до лікування пазопанібом, ВКД над ділянкою пухлини (оминаючи ділянки некрозу та кістозних компонентів) – 1,71</w:t>
      </w:r>
      <w:r w:rsidR="003735EA" w:rsidRPr="00D6751D">
        <w:rPr>
          <w:rFonts w:ascii="Times New Roman" w:hAnsi="Times New Roman" w:cs="Times New Roman"/>
          <w:sz w:val="28"/>
          <w:szCs w:val="28"/>
        </w:rPr>
        <w:t>×</w:t>
      </w:r>
      <w:r w:rsidR="003735EA" w:rsidRPr="00D6751D">
        <w:rPr>
          <w:rFonts w:ascii="Times New Roman" w:hAnsi="Times New Roman"/>
          <w:sz w:val="28"/>
          <w:szCs w:val="28"/>
        </w:rPr>
        <w:t>10</w:t>
      </w:r>
      <w:r w:rsidR="003735EA" w:rsidRPr="00D6751D">
        <w:rPr>
          <w:rFonts w:ascii="Times New Roman" w:hAnsi="Times New Roman"/>
          <w:sz w:val="28"/>
          <w:szCs w:val="28"/>
          <w:vertAlign w:val="superscript"/>
        </w:rPr>
        <w:t>-3</w:t>
      </w:r>
      <w:r w:rsidR="003735EA" w:rsidRPr="00D6751D">
        <w:rPr>
          <w:rFonts w:ascii="Times New Roman" w:hAnsi="Times New Roman"/>
          <w:sz w:val="28"/>
          <w:szCs w:val="28"/>
        </w:rPr>
        <w:t xml:space="preserve"> мм</w:t>
      </w:r>
      <w:r w:rsidR="003735EA" w:rsidRPr="00D6751D">
        <w:rPr>
          <w:rFonts w:ascii="Times New Roman" w:hAnsi="Times New Roman"/>
          <w:sz w:val="28"/>
          <w:szCs w:val="28"/>
          <w:vertAlign w:val="superscript"/>
        </w:rPr>
        <w:t>2</w:t>
      </w:r>
      <w:r w:rsidR="003735EA" w:rsidRPr="00D6751D">
        <w:rPr>
          <w:rFonts w:ascii="Times New Roman" w:hAnsi="Times New Roman"/>
          <w:sz w:val="28"/>
          <w:szCs w:val="28"/>
        </w:rPr>
        <w:t>/с</w:t>
      </w:r>
      <w:r w:rsidR="003735EA">
        <w:rPr>
          <w:rFonts w:ascii="Times New Roman" w:hAnsi="Times New Roman"/>
          <w:sz w:val="28"/>
          <w:szCs w:val="28"/>
        </w:rPr>
        <w:t xml:space="preserve">; Д: осьове ДЗЗ 1 місяць після початку лікування, </w:t>
      </w:r>
      <w:r w:rsidR="003735EA">
        <w:rPr>
          <w:rFonts w:ascii="Times New Roman" w:hAnsi="Times New Roman" w:cs="Times New Roman"/>
          <w:sz w:val="28"/>
          <w:szCs w:val="28"/>
        </w:rPr>
        <w:t xml:space="preserve">розмір пухлини – </w:t>
      </w:r>
      <w:r w:rsidR="003735EA">
        <w:rPr>
          <w:rFonts w:ascii="Times New Roman" w:eastAsia="Arial CYR" w:hAnsi="Times New Roman" w:cs="Times New Roman"/>
          <w:sz w:val="28"/>
          <w:szCs w:val="28"/>
        </w:rPr>
        <w:t>110х95х96 мм,</w:t>
      </w:r>
      <w:r w:rsidR="003735EA">
        <w:rPr>
          <w:rFonts w:ascii="Times New Roman" w:hAnsi="Times New Roman"/>
          <w:sz w:val="28"/>
          <w:szCs w:val="28"/>
        </w:rPr>
        <w:t xml:space="preserve"> новоутвір характеризується обмеженням дифузії; </w:t>
      </w:r>
      <w:r w:rsidR="003735EA">
        <w:rPr>
          <w:rFonts w:ascii="Times New Roman" w:hAnsi="Times New Roman" w:cs="Times New Roman"/>
          <w:sz w:val="28"/>
          <w:szCs w:val="28"/>
        </w:rPr>
        <w:t xml:space="preserve">Ж: ВКД-карта </w:t>
      </w:r>
      <w:r w:rsidR="003735EA">
        <w:rPr>
          <w:rFonts w:ascii="Times New Roman" w:hAnsi="Times New Roman"/>
          <w:sz w:val="28"/>
          <w:szCs w:val="28"/>
        </w:rPr>
        <w:t xml:space="preserve">1 місяць після початку </w:t>
      </w:r>
      <w:r w:rsidR="00CD4EE5">
        <w:rPr>
          <w:rFonts w:ascii="Times New Roman" w:hAnsi="Times New Roman"/>
          <w:sz w:val="28"/>
          <w:szCs w:val="28"/>
        </w:rPr>
        <w:t>лікування, ВКД над пухлиною=1,51</w:t>
      </w:r>
      <w:r w:rsidR="003735EA" w:rsidRPr="00D6751D">
        <w:rPr>
          <w:rFonts w:ascii="Times New Roman" w:hAnsi="Times New Roman" w:cs="Times New Roman"/>
          <w:sz w:val="28"/>
          <w:szCs w:val="28"/>
        </w:rPr>
        <w:t>×</w:t>
      </w:r>
      <w:r w:rsidR="003735EA" w:rsidRPr="00D6751D">
        <w:rPr>
          <w:rFonts w:ascii="Times New Roman" w:hAnsi="Times New Roman"/>
          <w:sz w:val="28"/>
          <w:szCs w:val="28"/>
        </w:rPr>
        <w:t>10</w:t>
      </w:r>
      <w:r w:rsidR="003735EA" w:rsidRPr="00D6751D">
        <w:rPr>
          <w:rFonts w:ascii="Times New Roman" w:hAnsi="Times New Roman"/>
          <w:sz w:val="28"/>
          <w:szCs w:val="28"/>
          <w:vertAlign w:val="superscript"/>
        </w:rPr>
        <w:t>-3</w:t>
      </w:r>
      <w:r w:rsidR="003735EA" w:rsidRPr="00D6751D">
        <w:rPr>
          <w:rFonts w:ascii="Times New Roman" w:hAnsi="Times New Roman"/>
          <w:sz w:val="28"/>
          <w:szCs w:val="28"/>
        </w:rPr>
        <w:t xml:space="preserve"> мм</w:t>
      </w:r>
      <w:r w:rsidR="003735EA" w:rsidRPr="00D6751D">
        <w:rPr>
          <w:rFonts w:ascii="Times New Roman" w:hAnsi="Times New Roman"/>
          <w:sz w:val="28"/>
          <w:szCs w:val="28"/>
          <w:vertAlign w:val="superscript"/>
        </w:rPr>
        <w:t>2</w:t>
      </w:r>
      <w:r w:rsidR="003735EA" w:rsidRPr="00D6751D">
        <w:rPr>
          <w:rFonts w:ascii="Times New Roman" w:hAnsi="Times New Roman"/>
          <w:sz w:val="28"/>
          <w:szCs w:val="28"/>
        </w:rPr>
        <w:t>/с</w:t>
      </w:r>
      <w:r w:rsidR="003735EA">
        <w:rPr>
          <w:rFonts w:ascii="Times New Roman" w:hAnsi="Times New Roman"/>
          <w:sz w:val="28"/>
          <w:szCs w:val="28"/>
        </w:rPr>
        <w:t>; У хворого констатована стабілізація захворювання протягом 11 місяців.</w:t>
      </w: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9004BE" w:rsidRDefault="009004BE" w:rsidP="00F60E8A">
      <w:pPr>
        <w:spacing w:line="360" w:lineRule="auto"/>
        <w:rPr>
          <w:rFonts w:ascii="Times New Roman" w:hAnsi="Times New Roman" w:cs="Times New Roman"/>
          <w:b/>
          <w:sz w:val="28"/>
          <w:szCs w:val="28"/>
        </w:rPr>
      </w:pPr>
    </w:p>
    <w:p w:rsidR="00F60E8A" w:rsidRPr="008357D6" w:rsidRDefault="00F60E8A" w:rsidP="00F60E8A">
      <w:pPr>
        <w:spacing w:line="360" w:lineRule="auto"/>
        <w:rPr>
          <w:rFonts w:ascii="Times New Roman" w:hAnsi="Times New Roman" w:cs="Times New Roman"/>
          <w:b/>
          <w:sz w:val="28"/>
          <w:szCs w:val="28"/>
        </w:rPr>
      </w:pPr>
      <w:r w:rsidRPr="008357D6">
        <w:rPr>
          <w:rFonts w:ascii="Times New Roman" w:hAnsi="Times New Roman" w:cs="Times New Roman"/>
          <w:b/>
          <w:sz w:val="28"/>
          <w:szCs w:val="28"/>
        </w:rPr>
        <w:lastRenderedPageBreak/>
        <w:t>РОЗДІЛ 6. ЗАСТОСУВАННЯ ТКАНИННОЇ ЕКСПРЕСІЇ МІКРОРНК-15А У ПРОГНОЗУВАННІ ВИЖИВАНОСТІ ХВОРИХ ІЗ НИРКОВО-КЛІТИННИМ РАКОМ</w:t>
      </w:r>
    </w:p>
    <w:p w:rsidR="00F60E8A" w:rsidRPr="008357D6" w:rsidRDefault="00F60E8A" w:rsidP="00F60E8A">
      <w:pPr>
        <w:spacing w:line="360" w:lineRule="auto"/>
        <w:rPr>
          <w:rFonts w:ascii="Times New Roman" w:hAnsi="Times New Roman" w:cs="Times New Roman"/>
          <w:sz w:val="28"/>
          <w:szCs w:val="28"/>
        </w:rPr>
      </w:pPr>
    </w:p>
    <w:p w:rsidR="00F60E8A" w:rsidRPr="008357D6" w:rsidRDefault="00F60E8A" w:rsidP="00F60E8A">
      <w:pPr>
        <w:spacing w:line="360" w:lineRule="auto"/>
        <w:jc w:val="both"/>
        <w:rPr>
          <w:rFonts w:ascii="Times New Roman" w:hAnsi="Times New Roman" w:cs="Times New Roman"/>
          <w:sz w:val="28"/>
          <w:szCs w:val="28"/>
        </w:rPr>
      </w:pPr>
      <w:r w:rsidRPr="008357D6">
        <w:rPr>
          <w:rFonts w:ascii="Times New Roman" w:hAnsi="Times New Roman" w:cs="Times New Roman"/>
          <w:sz w:val="28"/>
          <w:szCs w:val="28"/>
        </w:rPr>
        <w:tab/>
        <w:t xml:space="preserve">Враховуючи отримані нами дані про достовірно вищу експресію міРНК-15а в сечі хворих на НКР у порівнянні із експресією при доброякісних пухлинах нирок та у здорових осіб, що потенційно свідчило про туморо-промоутрену роль даної молекулярної сполуки, для підтвердження цієї гіпотези нами було проведене вивчення раково-специфічного виживання (cancer specific survival, CSS) у хворих із НКР та різною експресію міРНК-15а. </w:t>
      </w:r>
      <w:r w:rsidRPr="008357D6">
        <w:rPr>
          <w:rFonts w:ascii="Times New Roman" w:hAnsi="Times New Roman" w:cs="Times New Roman"/>
          <w:color w:val="000000" w:themeColor="text1"/>
          <w:sz w:val="28"/>
          <w:szCs w:val="28"/>
        </w:rPr>
        <w:t xml:space="preserve">Крім цього, метою дослідження було встановити потенціал застосування </w:t>
      </w:r>
      <w:r w:rsidRPr="008357D6">
        <w:rPr>
          <w:rFonts w:ascii="Times New Roman" w:hAnsi="Times New Roman" w:cs="Times New Roman"/>
          <w:sz w:val="28"/>
          <w:szCs w:val="28"/>
        </w:rPr>
        <w:t>експресії мікроРНК-15а визначеної в тканинах пухлини у якості прогностичного біомаркеру НКР.</w:t>
      </w:r>
    </w:p>
    <w:p w:rsidR="00F60E8A" w:rsidRDefault="00F60E8A" w:rsidP="00F60E8A">
      <w:pPr>
        <w:spacing w:after="0" w:line="360" w:lineRule="auto"/>
        <w:ind w:firstLine="708"/>
        <w:jc w:val="both"/>
        <w:rPr>
          <w:rFonts w:ascii="Times New Roman" w:hAnsi="Times New Roman" w:cs="Times New Roman"/>
          <w:sz w:val="28"/>
          <w:szCs w:val="28"/>
        </w:rPr>
      </w:pPr>
      <w:r w:rsidRPr="008357D6">
        <w:rPr>
          <w:rFonts w:ascii="Times New Roman" w:hAnsi="Times New Roman" w:cs="Times New Roman"/>
          <w:sz w:val="28"/>
          <w:szCs w:val="28"/>
        </w:rPr>
        <w:t>Ретроспективне дослідження проводилось на базі кафедрах урології та патологічної анатомії Львівського національного медичного університету ім. Данила Галицького, клініки урології Обласної клінічної лікарні м. Львова, Львівського державного онкологічного регіонального лікувально-діагностичного центру, ві</w:t>
      </w:r>
      <w:r>
        <w:rPr>
          <w:rFonts w:ascii="Times New Roman" w:hAnsi="Times New Roman" w:cs="Times New Roman"/>
          <w:sz w:val="28"/>
          <w:szCs w:val="28"/>
        </w:rPr>
        <w:t>дділення патологічної анатомії к</w:t>
      </w:r>
      <w:r w:rsidRPr="008357D6">
        <w:rPr>
          <w:rFonts w:ascii="Times New Roman" w:hAnsi="Times New Roman" w:cs="Times New Roman"/>
          <w:sz w:val="28"/>
          <w:szCs w:val="28"/>
        </w:rPr>
        <w:t xml:space="preserve">лінічної міської комунальної лікарні швидкої медичної допомоги м. Львова </w:t>
      </w:r>
      <w:r>
        <w:rPr>
          <w:rFonts w:ascii="Times New Roman" w:hAnsi="Times New Roman" w:cs="Times New Roman"/>
          <w:sz w:val="28"/>
          <w:szCs w:val="28"/>
        </w:rPr>
        <w:t>та в</w:t>
      </w:r>
      <w:r w:rsidRPr="008357D6">
        <w:rPr>
          <w:rFonts w:ascii="Times New Roman" w:hAnsi="Times New Roman" w:cs="Times New Roman"/>
          <w:sz w:val="28"/>
          <w:szCs w:val="28"/>
        </w:rPr>
        <w:t>ідділу загальної та молекулярної патофізіології</w:t>
      </w:r>
      <w:r w:rsidRPr="008357D6">
        <w:rPr>
          <w:rFonts w:ascii="Times New Roman" w:hAnsi="Times New Roman" w:cs="Times New Roman"/>
          <w:bCs/>
          <w:sz w:val="28"/>
          <w:szCs w:val="28"/>
        </w:rPr>
        <w:t xml:space="preserve"> Інституту фізіології ім. О.О. Богомольця НАН України </w:t>
      </w:r>
      <w:r w:rsidRPr="008357D6">
        <w:rPr>
          <w:rFonts w:ascii="Times New Roman" w:hAnsi="Times New Roman" w:cs="Times New Roman"/>
          <w:sz w:val="28"/>
          <w:szCs w:val="28"/>
        </w:rPr>
        <w:t xml:space="preserve">впродовж 2013-2018 рр. При підготовці до дослідження було проаналізовано архівні історії хворіб пацієнтів із світлоклітинним НКР, яким було проведено хірургічне лікування – парціальну чи радикальну нефректомію в період з 2008 по 2013 рр., з подальшим патоморфологічним аналізом: таким чином було виокремлено 75 випадків. Шляхом аналізу бази даних хворих було отримано дані про виживаність хворих та виключено випадки, коли причиною смерті хворого в віддаленому післяопераційному періоді не була прогресія НКР (всього таких випадків було </w:t>
      </w:r>
      <w:r w:rsidRPr="008357D6">
        <w:rPr>
          <w:rFonts w:ascii="Times New Roman" w:hAnsi="Times New Roman" w:cs="Times New Roman"/>
          <w:sz w:val="28"/>
          <w:szCs w:val="28"/>
        </w:rPr>
        <w:lastRenderedPageBreak/>
        <w:t>5 з 75). Кінцева кількість випадків включених у дослідження становила 64 хворих.</w:t>
      </w:r>
    </w:p>
    <w:p w:rsidR="00AD51AF" w:rsidRPr="008357D6" w:rsidRDefault="00AD51AF" w:rsidP="00AD51AF">
      <w:pPr>
        <w:spacing w:line="276" w:lineRule="auto"/>
        <w:jc w:val="right"/>
        <w:rPr>
          <w:rFonts w:ascii="Times New Roman" w:hAnsi="Times New Roman" w:cs="Times New Roman"/>
          <w:sz w:val="28"/>
          <w:szCs w:val="28"/>
        </w:rPr>
      </w:pPr>
      <w:r w:rsidRPr="008357D6">
        <w:rPr>
          <w:rFonts w:ascii="Times New Roman" w:hAnsi="Times New Roman" w:cs="Times New Roman"/>
          <w:sz w:val="28"/>
          <w:szCs w:val="28"/>
        </w:rPr>
        <w:t>Таблиця 6.1</w:t>
      </w:r>
    </w:p>
    <w:p w:rsidR="00AD51AF" w:rsidRPr="008357D6" w:rsidRDefault="00AD51AF" w:rsidP="00AD51AF">
      <w:pPr>
        <w:spacing w:line="276" w:lineRule="auto"/>
        <w:jc w:val="center"/>
        <w:rPr>
          <w:rFonts w:ascii="Times New Roman" w:hAnsi="Times New Roman" w:cs="Times New Roman"/>
          <w:sz w:val="28"/>
          <w:szCs w:val="28"/>
        </w:rPr>
      </w:pPr>
      <w:r w:rsidRPr="008357D6">
        <w:rPr>
          <w:rFonts w:ascii="Times New Roman" w:hAnsi="Times New Roman" w:cs="Times New Roman"/>
          <w:sz w:val="28"/>
          <w:szCs w:val="28"/>
        </w:rPr>
        <w:t xml:space="preserve">Детальна характеристика груп </w:t>
      </w:r>
      <w:r>
        <w:rPr>
          <w:rFonts w:ascii="Times New Roman" w:hAnsi="Times New Roman" w:cs="Times New Roman"/>
          <w:sz w:val="28"/>
          <w:szCs w:val="28"/>
        </w:rPr>
        <w:t>та підгруп хворих</w:t>
      </w:r>
    </w:p>
    <w:tbl>
      <w:tblPr>
        <w:tblStyle w:val="TableGrid"/>
        <w:tblW w:w="0" w:type="auto"/>
        <w:tblLook w:val="04A0" w:firstRow="1" w:lastRow="0" w:firstColumn="1" w:lastColumn="0" w:noHBand="0" w:noVBand="1"/>
      </w:tblPr>
      <w:tblGrid>
        <w:gridCol w:w="4711"/>
        <w:gridCol w:w="4633"/>
      </w:tblGrid>
      <w:tr w:rsidR="00AD51AF" w:rsidRPr="008357D6" w:rsidTr="00AF4B0A">
        <w:tc>
          <w:tcPr>
            <w:tcW w:w="4711" w:type="dxa"/>
          </w:tcPr>
          <w:p w:rsidR="00AD51AF" w:rsidRPr="008357D6" w:rsidRDefault="00AD51AF" w:rsidP="00AF4B0A">
            <w:pPr>
              <w:jc w:val="both"/>
              <w:rPr>
                <w:rFonts w:ascii="Times New Roman" w:hAnsi="Times New Roman" w:cs="Times New Roman"/>
                <w:b/>
                <w:sz w:val="28"/>
                <w:szCs w:val="28"/>
              </w:rPr>
            </w:pPr>
            <w:r w:rsidRPr="008357D6">
              <w:rPr>
                <w:rFonts w:ascii="Times New Roman" w:hAnsi="Times New Roman" w:cs="Times New Roman"/>
                <w:b/>
                <w:sz w:val="28"/>
                <w:szCs w:val="28"/>
              </w:rPr>
              <w:t>Характеристика</w:t>
            </w:r>
          </w:p>
        </w:tc>
        <w:tc>
          <w:tcPr>
            <w:tcW w:w="4633" w:type="dxa"/>
          </w:tcPr>
          <w:p w:rsidR="00AD51AF" w:rsidRPr="008357D6" w:rsidRDefault="00AD51AF" w:rsidP="00AF4B0A">
            <w:pPr>
              <w:jc w:val="both"/>
              <w:rPr>
                <w:rFonts w:ascii="Times New Roman" w:hAnsi="Times New Roman" w:cs="Times New Roman"/>
                <w:b/>
                <w:sz w:val="28"/>
                <w:szCs w:val="28"/>
              </w:rPr>
            </w:pPr>
            <w:r w:rsidRPr="008357D6">
              <w:rPr>
                <w:rFonts w:ascii="Times New Roman" w:hAnsi="Times New Roman" w:cs="Times New Roman"/>
                <w:b/>
                <w:sz w:val="28"/>
                <w:szCs w:val="28"/>
              </w:rPr>
              <w:t>Показник</w:t>
            </w:r>
          </w:p>
        </w:tc>
      </w:tr>
      <w:tr w:rsidR="00AD51AF" w:rsidRPr="008357D6" w:rsidTr="00AF4B0A">
        <w:tc>
          <w:tcPr>
            <w:tcW w:w="4711" w:type="dxa"/>
          </w:tcPr>
          <w:p w:rsidR="00AD51AF" w:rsidRPr="008357D6" w:rsidRDefault="00AD51AF" w:rsidP="00AF4B0A">
            <w:pPr>
              <w:jc w:val="both"/>
              <w:rPr>
                <w:rFonts w:ascii="Times New Roman" w:hAnsi="Times New Roman" w:cs="Times New Roman"/>
                <w:b/>
                <w:i/>
                <w:sz w:val="28"/>
                <w:szCs w:val="28"/>
              </w:rPr>
            </w:pPr>
            <w:r w:rsidRPr="008357D6">
              <w:rPr>
                <w:rFonts w:ascii="Times New Roman" w:hAnsi="Times New Roman" w:cs="Times New Roman"/>
                <w:b/>
                <w:i/>
                <w:sz w:val="28"/>
                <w:szCs w:val="28"/>
              </w:rPr>
              <w:t>Основна група</w:t>
            </w:r>
          </w:p>
        </w:tc>
        <w:tc>
          <w:tcPr>
            <w:tcW w:w="4633"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n=64</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Середній вік</w:t>
            </w:r>
          </w:p>
        </w:tc>
        <w:tc>
          <w:tcPr>
            <w:tcW w:w="4633"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61,2±6,33 роки</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Гендерний розподіл:</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Чоловіки</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Жінки</w:t>
            </w:r>
          </w:p>
        </w:tc>
        <w:tc>
          <w:tcPr>
            <w:tcW w:w="4633" w:type="dxa"/>
          </w:tcPr>
          <w:p w:rsidR="00AD51AF" w:rsidRPr="008357D6" w:rsidRDefault="00AD51AF" w:rsidP="00AF4B0A">
            <w:pPr>
              <w:jc w:val="both"/>
              <w:rPr>
                <w:rFonts w:ascii="Times New Roman" w:hAnsi="Times New Roman" w:cs="Times New Roman"/>
                <w:sz w:val="28"/>
                <w:szCs w:val="28"/>
              </w:rPr>
            </w:pP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n=37 (57,81%)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n=27 (42,19%) </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Сторона:</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Права</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Ліва</w:t>
            </w:r>
          </w:p>
        </w:tc>
        <w:tc>
          <w:tcPr>
            <w:tcW w:w="4633" w:type="dxa"/>
          </w:tcPr>
          <w:p w:rsidR="00AD51AF" w:rsidRPr="008357D6" w:rsidRDefault="00AD51AF" w:rsidP="00AF4B0A">
            <w:pPr>
              <w:jc w:val="both"/>
              <w:rPr>
                <w:rFonts w:ascii="Times New Roman" w:hAnsi="Times New Roman" w:cs="Times New Roman"/>
                <w:sz w:val="28"/>
                <w:szCs w:val="28"/>
              </w:rPr>
            </w:pP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n=30 (46,88%)</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n=34 (53,12%)</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Середній розмір пухлини</w:t>
            </w:r>
          </w:p>
        </w:tc>
        <w:tc>
          <w:tcPr>
            <w:tcW w:w="4633"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8,52±3,59 см</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Класифікація згідно TNM:</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T1aN0M0</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T1bN0M0</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T2aN0M0</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T2bN0M0</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T2bN1M0</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 xml:space="preserve">T3aN0M0  </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 xml:space="preserve">T3aN1M0  </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T3bN0M0</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Усього N-</w:t>
            </w:r>
          </w:p>
          <w:p w:rsidR="00AD51AF" w:rsidRPr="008357D6" w:rsidRDefault="00AD51AF" w:rsidP="00AF4B0A">
            <w:pPr>
              <w:jc w:val="both"/>
              <w:rPr>
                <w:rFonts w:ascii="Times New Roman" w:hAnsi="Times New Roman" w:cs="Times New Roman"/>
                <w:color w:val="000000"/>
                <w:sz w:val="28"/>
                <w:szCs w:val="28"/>
              </w:rPr>
            </w:pPr>
            <w:r w:rsidRPr="008357D6">
              <w:rPr>
                <w:rFonts w:ascii="Times New Roman" w:hAnsi="Times New Roman" w:cs="Times New Roman"/>
                <w:color w:val="000000"/>
                <w:sz w:val="28"/>
                <w:szCs w:val="28"/>
              </w:rPr>
              <w:t>Усього N+</w:t>
            </w:r>
          </w:p>
        </w:tc>
        <w:tc>
          <w:tcPr>
            <w:tcW w:w="4633" w:type="dxa"/>
          </w:tcPr>
          <w:p w:rsidR="00AD51AF" w:rsidRPr="008357D6" w:rsidRDefault="00AD51AF" w:rsidP="00AF4B0A">
            <w:pPr>
              <w:jc w:val="both"/>
              <w:rPr>
                <w:rFonts w:ascii="Times New Roman" w:hAnsi="Times New Roman" w:cs="Times New Roman"/>
                <w:sz w:val="28"/>
                <w:szCs w:val="28"/>
              </w:rPr>
            </w:pP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n=13 (20,31%)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n=10 (15,63%)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n=16 (25,0%)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n=8 (12,5%)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n=2 (3,13%)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n=9 (14,06%)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n=5 (7,81%)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n=1 (1,56%)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n=57 (89,06%)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n=7 (10,94%)  </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Ступінь диференціації за Furhman:</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Ступінь 1</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Ступінь 2</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Ступінь 3</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Ступінь 4</w:t>
            </w:r>
          </w:p>
        </w:tc>
        <w:tc>
          <w:tcPr>
            <w:tcW w:w="4633" w:type="dxa"/>
          </w:tcPr>
          <w:p w:rsidR="00AD51AF" w:rsidRPr="008357D6" w:rsidRDefault="00AD51AF" w:rsidP="00AF4B0A">
            <w:pPr>
              <w:jc w:val="both"/>
              <w:rPr>
                <w:rFonts w:ascii="Times New Roman" w:hAnsi="Times New Roman" w:cs="Times New Roman"/>
                <w:sz w:val="28"/>
                <w:szCs w:val="28"/>
              </w:rPr>
            </w:pP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n=15 (23,44%)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n=14 (21,88%)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n=22 (34,38%)</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n=13 (20,31%)</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Наявність некрозу пухлини</w:t>
            </w:r>
          </w:p>
        </w:tc>
        <w:tc>
          <w:tcPr>
            <w:tcW w:w="4633"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n=14 (21,88%)  </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Об’єм оперативного лікування:</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Парціальна нефректомія</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Радикальна нефректомія</w:t>
            </w:r>
          </w:p>
        </w:tc>
        <w:tc>
          <w:tcPr>
            <w:tcW w:w="4633" w:type="dxa"/>
          </w:tcPr>
          <w:p w:rsidR="00AD51AF" w:rsidRPr="008357D6" w:rsidRDefault="00AD51AF" w:rsidP="00AF4B0A">
            <w:pPr>
              <w:jc w:val="both"/>
              <w:rPr>
                <w:rFonts w:ascii="Times New Roman" w:hAnsi="Times New Roman" w:cs="Times New Roman"/>
                <w:sz w:val="28"/>
                <w:szCs w:val="28"/>
              </w:rPr>
            </w:pP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 =14 (21,88%)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n=50 (78,12%)  </w:t>
            </w:r>
          </w:p>
        </w:tc>
      </w:tr>
      <w:tr w:rsidR="00AD51AF" w:rsidRPr="008357D6" w:rsidTr="00AF4B0A">
        <w:tc>
          <w:tcPr>
            <w:tcW w:w="4711" w:type="dxa"/>
          </w:tcPr>
          <w:p w:rsidR="00AD51AF" w:rsidRPr="008357D6" w:rsidRDefault="00AD51AF" w:rsidP="00AF4B0A">
            <w:pPr>
              <w:jc w:val="both"/>
              <w:rPr>
                <w:rFonts w:ascii="Times New Roman" w:hAnsi="Times New Roman" w:cs="Times New Roman"/>
                <w:b/>
                <w:i/>
                <w:sz w:val="28"/>
                <w:szCs w:val="28"/>
              </w:rPr>
            </w:pPr>
            <w:r w:rsidRPr="008357D6">
              <w:rPr>
                <w:rFonts w:ascii="Times New Roman" w:hAnsi="Times New Roman" w:cs="Times New Roman"/>
                <w:b/>
                <w:i/>
                <w:sz w:val="28"/>
                <w:szCs w:val="28"/>
              </w:rPr>
              <w:t>Контрольна група</w:t>
            </w:r>
          </w:p>
        </w:tc>
        <w:tc>
          <w:tcPr>
            <w:tcW w:w="4633"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n=15</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Середній вік</w:t>
            </w:r>
          </w:p>
        </w:tc>
        <w:tc>
          <w:tcPr>
            <w:tcW w:w="4633"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56,1±6,79 роки</w:t>
            </w:r>
          </w:p>
        </w:tc>
      </w:tr>
      <w:tr w:rsidR="00AD51AF" w:rsidRPr="008357D6" w:rsidTr="00AF4B0A">
        <w:tc>
          <w:tcPr>
            <w:tcW w:w="4711" w:type="dxa"/>
          </w:tcPr>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Гендерний розподіл</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Чоловіки</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Жінки</w:t>
            </w:r>
          </w:p>
        </w:tc>
        <w:tc>
          <w:tcPr>
            <w:tcW w:w="4633" w:type="dxa"/>
          </w:tcPr>
          <w:p w:rsidR="00AD51AF" w:rsidRPr="008357D6" w:rsidRDefault="00AD51AF" w:rsidP="00AF4B0A">
            <w:pPr>
              <w:jc w:val="both"/>
              <w:rPr>
                <w:rFonts w:ascii="Times New Roman" w:hAnsi="Times New Roman" w:cs="Times New Roman"/>
                <w:sz w:val="28"/>
                <w:szCs w:val="28"/>
              </w:rPr>
            </w:pP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 xml:space="preserve">n=9 (60,0%) </w:t>
            </w:r>
          </w:p>
          <w:p w:rsidR="00AD51AF" w:rsidRPr="008357D6" w:rsidRDefault="00AD51AF" w:rsidP="00AF4B0A">
            <w:pPr>
              <w:jc w:val="both"/>
              <w:rPr>
                <w:rFonts w:ascii="Times New Roman" w:hAnsi="Times New Roman" w:cs="Times New Roman"/>
                <w:sz w:val="28"/>
                <w:szCs w:val="28"/>
              </w:rPr>
            </w:pPr>
            <w:r w:rsidRPr="008357D6">
              <w:rPr>
                <w:rFonts w:ascii="Times New Roman" w:hAnsi="Times New Roman" w:cs="Times New Roman"/>
                <w:sz w:val="28"/>
                <w:szCs w:val="28"/>
              </w:rPr>
              <w:t>n=6 (40,0%)</w:t>
            </w:r>
          </w:p>
        </w:tc>
      </w:tr>
    </w:tbl>
    <w:p w:rsidR="00AD51AF" w:rsidRPr="008357D6" w:rsidRDefault="00AD51AF" w:rsidP="00AD51AF">
      <w:pPr>
        <w:spacing w:line="360" w:lineRule="auto"/>
        <w:jc w:val="both"/>
        <w:rPr>
          <w:rFonts w:ascii="Times New Roman" w:hAnsi="Times New Roman" w:cs="Times New Roman"/>
          <w:sz w:val="28"/>
          <w:szCs w:val="28"/>
        </w:rPr>
      </w:pPr>
    </w:p>
    <w:p w:rsidR="00AD51AF" w:rsidRPr="008357D6" w:rsidRDefault="00AD51AF" w:rsidP="00F60E8A">
      <w:pPr>
        <w:spacing w:after="0" w:line="360" w:lineRule="auto"/>
        <w:ind w:firstLine="708"/>
        <w:jc w:val="both"/>
        <w:rPr>
          <w:rFonts w:ascii="Times New Roman" w:hAnsi="Times New Roman" w:cs="Times New Roman"/>
          <w:sz w:val="28"/>
          <w:szCs w:val="28"/>
        </w:rPr>
      </w:pPr>
    </w:p>
    <w:p w:rsidR="00F60E8A" w:rsidRPr="009004BE" w:rsidRDefault="00F60E8A" w:rsidP="009004BE">
      <w:pPr>
        <w:spacing w:after="0" w:line="360" w:lineRule="auto"/>
        <w:ind w:firstLine="708"/>
        <w:jc w:val="both"/>
        <w:rPr>
          <w:rFonts w:ascii="Times New Roman" w:hAnsi="Times New Roman" w:cs="Times New Roman"/>
          <w:sz w:val="28"/>
          <w:szCs w:val="28"/>
        </w:rPr>
      </w:pPr>
      <w:r w:rsidRPr="008357D6">
        <w:rPr>
          <w:rFonts w:ascii="Times New Roman" w:hAnsi="Times New Roman" w:cs="Times New Roman"/>
          <w:sz w:val="28"/>
          <w:szCs w:val="28"/>
        </w:rPr>
        <w:lastRenderedPageBreak/>
        <w:t>Для визначення експресії міРНК-15а в тканинах НКР з архіву було відібрано парафінові блоки із збереженими в них зразками тканин видаленого новоутворення.  Для контролю в 15 парафінових блоків було поміщено нормальну згідно даних посмертних патоморфологічних заключень ниркову паренхіму ретельно підібраних випадків: причиною смерті були гострі порушення мозкового кровообігу внаслідок інсульту, а за даними історій хворіб та даних патоморфологічного аналізу патології нирок у жодному випадку не спостерігалось; крім цього хворі були піді</w:t>
      </w:r>
      <w:r w:rsidR="009004BE">
        <w:rPr>
          <w:rFonts w:ascii="Times New Roman" w:hAnsi="Times New Roman" w:cs="Times New Roman"/>
          <w:sz w:val="28"/>
          <w:szCs w:val="28"/>
        </w:rPr>
        <w:t xml:space="preserve">брані по віку до випадків НКР. </w:t>
      </w:r>
      <w:r w:rsidRPr="008357D6">
        <w:rPr>
          <w:rFonts w:ascii="Times New Roman" w:hAnsi="Times New Roman" w:cs="Times New Roman"/>
          <w:sz w:val="28"/>
          <w:szCs w:val="28"/>
        </w:rPr>
        <w:t xml:space="preserve">У всіх випадках було здійснено визначення експресії </w:t>
      </w:r>
      <w:r w:rsidRPr="008357D6">
        <w:rPr>
          <w:rFonts w:ascii="Times New Roman" w:hAnsi="Times New Roman" w:cs="Times New Roman"/>
          <w:color w:val="000000" w:themeColor="text1"/>
          <w:sz w:val="28"/>
          <w:szCs w:val="28"/>
        </w:rPr>
        <w:t>miR-15а в тканинах пухлини (основна група) чи нормальної ниркової паренхіми (контрольна група).</w:t>
      </w:r>
      <w:r w:rsidRPr="008357D6">
        <w:rPr>
          <w:rFonts w:ascii="Times New Roman" w:hAnsi="Times New Roman" w:cs="Times New Roman"/>
          <w:color w:val="000000" w:themeColor="text1"/>
          <w:sz w:val="24"/>
          <w:szCs w:val="24"/>
        </w:rPr>
        <w:t xml:space="preserve"> </w:t>
      </w:r>
    </w:p>
    <w:p w:rsidR="00F60E8A" w:rsidRPr="008357D6" w:rsidRDefault="00F60E8A" w:rsidP="00F60E8A">
      <w:pPr>
        <w:autoSpaceDE w:val="0"/>
        <w:autoSpaceDN w:val="0"/>
        <w:adjustRightInd w:val="0"/>
        <w:spacing w:after="0" w:line="360" w:lineRule="auto"/>
        <w:ind w:firstLine="708"/>
        <w:jc w:val="both"/>
        <w:rPr>
          <w:rFonts w:ascii="Times New Roman" w:hAnsi="Times New Roman" w:cs="Times New Roman"/>
          <w:sz w:val="24"/>
          <w:szCs w:val="24"/>
        </w:rPr>
      </w:pPr>
      <w:r w:rsidRPr="008357D6">
        <w:rPr>
          <w:rFonts w:ascii="Times New Roman" w:hAnsi="Times New Roman" w:cs="Times New Roman"/>
          <w:sz w:val="28"/>
          <w:szCs w:val="28"/>
        </w:rPr>
        <w:t xml:space="preserve">Для оцінки різниці у експресії </w:t>
      </w:r>
      <w:r w:rsidRPr="008357D6">
        <w:rPr>
          <w:rFonts w:ascii="Times New Roman" w:hAnsi="Times New Roman" w:cs="Times New Roman"/>
          <w:color w:val="000000" w:themeColor="text1"/>
          <w:sz w:val="28"/>
          <w:szCs w:val="28"/>
        </w:rPr>
        <w:t xml:space="preserve">miR-15а в основній і контрольній групах застосовувався одно-факторний дисперсійний аналіз. Нормальність розподілу даних проводилась з використанням тесту Шапіро-Вілка </w:t>
      </w:r>
      <w:r w:rsidRPr="008357D6">
        <w:rPr>
          <w:rFonts w:ascii="Times New Roman" w:hAnsi="Times New Roman"/>
          <w:sz w:val="28"/>
          <w:szCs w:val="28"/>
          <w:lang w:eastAsia="uk-UA"/>
        </w:rPr>
        <w:t xml:space="preserve">(W=0.531, p=0.001). Оскільки W-статистика була значимою (p&lt;0,05), то гіпотеза, що розподіл даних є нормальний була відхилена та вірогідність відмінностей визначалась за допомогою непараметричного U тесту Мана-Вітні. </w:t>
      </w:r>
    </w:p>
    <w:p w:rsidR="00F60E8A" w:rsidRDefault="00F60E8A" w:rsidP="00F60E8A">
      <w:pPr>
        <w:spacing w:line="360" w:lineRule="auto"/>
        <w:ind w:firstLine="708"/>
        <w:jc w:val="both"/>
        <w:rPr>
          <w:rFonts w:ascii="Times New Roman" w:hAnsi="Times New Roman" w:cs="Times New Roman"/>
          <w:sz w:val="28"/>
          <w:szCs w:val="28"/>
        </w:rPr>
      </w:pPr>
      <w:r w:rsidRPr="008357D6">
        <w:rPr>
          <w:rFonts w:ascii="Times New Roman" w:hAnsi="Times New Roman" w:cs="Times New Roman"/>
          <w:sz w:val="28"/>
          <w:szCs w:val="28"/>
        </w:rPr>
        <w:t xml:space="preserve"> В результаті проведеного визначення експресії міРНК-15а в тканинах НКР та здорової ниркової паренхіми нами було отримано статистично достовірну різницю (p&lt;0,001) між середніми значеннями даного показника в основній та контрольній групі. При цьому, у хворих із НКР середнє значення експресії міРНК-15а було значно вищою ніж у осіб без ниркової патології: відповідно </w:t>
      </w:r>
      <w:r w:rsidRPr="008357D6">
        <w:rPr>
          <w:rFonts w:ascii="Times New Roman" w:hAnsi="Times New Roman" w:cs="Times New Roman"/>
          <w:sz w:val="28"/>
          <w:szCs w:val="28"/>
          <w:lang w:eastAsia="uk-UA"/>
        </w:rPr>
        <w:t>1,52</w:t>
      </w:r>
      <w:r w:rsidRPr="008357D6">
        <w:rPr>
          <w:rFonts w:ascii="Times New Roman" w:eastAsia="Times New Roman" w:hAnsi="Times New Roman" w:cs="Times New Roman"/>
          <w:sz w:val="28"/>
          <w:szCs w:val="28"/>
          <w:lang w:eastAsia="uk-UA"/>
        </w:rPr>
        <w:t xml:space="preserve">±2,62 УО проти </w:t>
      </w:r>
      <w:r w:rsidRPr="008357D6">
        <w:rPr>
          <w:rFonts w:ascii="Times New Roman" w:hAnsi="Times New Roman" w:cs="Times New Roman"/>
          <w:color w:val="000000"/>
          <w:sz w:val="28"/>
          <w:szCs w:val="28"/>
        </w:rPr>
        <w:t>4,84E-03</w:t>
      </w:r>
      <w:r w:rsidRPr="008357D6">
        <w:rPr>
          <w:rFonts w:ascii="Times New Roman" w:eastAsia="Times New Roman" w:hAnsi="Times New Roman" w:cs="Times New Roman"/>
          <w:sz w:val="28"/>
          <w:szCs w:val="28"/>
          <w:lang w:eastAsia="uk-UA"/>
        </w:rPr>
        <w:t>±</w:t>
      </w:r>
      <w:r w:rsidRPr="008357D6">
        <w:rPr>
          <w:rFonts w:ascii="Times New Roman" w:hAnsi="Times New Roman" w:cs="Times New Roman"/>
          <w:color w:val="000000"/>
          <w:sz w:val="28"/>
          <w:szCs w:val="28"/>
        </w:rPr>
        <w:t>3,11E-03 УО (р&lt;0,001)</w:t>
      </w:r>
      <w:r w:rsidRPr="008357D6">
        <w:rPr>
          <w:rFonts w:ascii="Times New Roman" w:hAnsi="Times New Roman" w:cs="Times New Roman"/>
          <w:sz w:val="28"/>
          <w:szCs w:val="28"/>
        </w:rPr>
        <w:t xml:space="preserve">. </w:t>
      </w:r>
      <w:r w:rsidRPr="008357D6">
        <w:rPr>
          <w:rFonts w:ascii="Times New Roman" w:hAnsi="Times New Roman" w:cs="Times New Roman"/>
          <w:color w:val="000000" w:themeColor="text1"/>
          <w:sz w:val="28"/>
          <w:szCs w:val="28"/>
        </w:rPr>
        <w:t xml:space="preserve">Ми спостерігали вищі рівні експресії міРНК-15а при вищих ступенях НКР за Fuhrman (пухлинах нижчої диференціації). Так при І ступені середнє значення експресії міРНК-15а становило </w:t>
      </w:r>
      <w:r w:rsidRPr="008357D6">
        <w:rPr>
          <w:rFonts w:ascii="Times New Roman" w:hAnsi="Times New Roman" w:cs="Times New Roman"/>
          <w:color w:val="000000"/>
          <w:sz w:val="28"/>
          <w:szCs w:val="28"/>
        </w:rPr>
        <w:t>0,02±0,01 УО, а при IV ступені - 4,57±3,19 УО, така різниця була статистично достовірною (р</w:t>
      </w:r>
      <w:r w:rsidRPr="008357D6">
        <w:rPr>
          <w:rFonts w:ascii="Times New Roman" w:hAnsi="Times New Roman" w:cs="Times New Roman"/>
          <w:sz w:val="28"/>
          <w:szCs w:val="28"/>
        </w:rPr>
        <w:t xml:space="preserve">&lt;0,001). </w:t>
      </w:r>
    </w:p>
    <w:p w:rsidR="00AD51AF" w:rsidRPr="00C36617" w:rsidRDefault="00F60E8A" w:rsidP="00C36617">
      <w:pPr>
        <w:spacing w:line="360" w:lineRule="auto"/>
        <w:ind w:firstLine="708"/>
        <w:jc w:val="both"/>
        <w:rPr>
          <w:rFonts w:ascii="Times New Roman" w:hAnsi="Times New Roman" w:cs="Times New Roman"/>
          <w:sz w:val="28"/>
          <w:szCs w:val="28"/>
        </w:rPr>
      </w:pPr>
      <w:r w:rsidRPr="008357D6">
        <w:rPr>
          <w:rFonts w:ascii="Times New Roman" w:hAnsi="Times New Roman" w:cs="Times New Roman"/>
          <w:sz w:val="28"/>
          <w:szCs w:val="28"/>
        </w:rPr>
        <w:t xml:space="preserve">Також ми отримали суттєву статистичну різницю між середніми значеннями даного показника в підгрупах із ступенями НКР за </w:t>
      </w:r>
      <w:r w:rsidRPr="008357D6">
        <w:rPr>
          <w:rFonts w:ascii="Times New Roman" w:hAnsi="Times New Roman" w:cs="Times New Roman"/>
          <w:color w:val="000000" w:themeColor="text1"/>
          <w:sz w:val="28"/>
          <w:szCs w:val="28"/>
        </w:rPr>
        <w:t>Fuhrman</w:t>
      </w:r>
      <w:r w:rsidRPr="008357D6">
        <w:rPr>
          <w:rFonts w:ascii="Times New Roman" w:hAnsi="Times New Roman" w:cs="Times New Roman"/>
          <w:sz w:val="28"/>
          <w:szCs w:val="28"/>
        </w:rPr>
        <w:t xml:space="preserve"> І і ІІІ </w:t>
      </w:r>
      <w:r w:rsidRPr="008357D6">
        <w:rPr>
          <w:rFonts w:ascii="Times New Roman" w:hAnsi="Times New Roman" w:cs="Times New Roman"/>
          <w:sz w:val="28"/>
          <w:szCs w:val="28"/>
        </w:rPr>
        <w:lastRenderedPageBreak/>
        <w:t>(р=</w:t>
      </w:r>
      <w:r w:rsidRPr="008357D6">
        <w:rPr>
          <w:rFonts w:ascii="Times New Roman" w:hAnsi="Times New Roman" w:cs="Times New Roman"/>
          <w:color w:val="000000" w:themeColor="text1"/>
          <w:sz w:val="28"/>
          <w:szCs w:val="28"/>
        </w:rPr>
        <w:t>0,010), ІІ і IV (р</w:t>
      </w:r>
      <w:r w:rsidRPr="008357D6">
        <w:rPr>
          <w:rFonts w:ascii="Times New Roman" w:hAnsi="Times New Roman" w:cs="Times New Roman"/>
          <w:sz w:val="28"/>
          <w:szCs w:val="28"/>
        </w:rPr>
        <w:t xml:space="preserve">&lt;0,001), та ІІІ і IV (р=0,007). Водночас, такої різниці не було </w:t>
      </w:r>
      <w:r>
        <w:rPr>
          <w:rFonts w:ascii="Times New Roman" w:hAnsi="Times New Roman" w:cs="Times New Roman"/>
          <w:sz w:val="28"/>
          <w:szCs w:val="28"/>
        </w:rPr>
        <w:t>між ступенями І і ІІ (р=</w:t>
      </w:r>
      <w:r w:rsidRPr="008357D6">
        <w:rPr>
          <w:rFonts w:ascii="Times New Roman" w:hAnsi="Times New Roman" w:cs="Times New Roman"/>
          <w:color w:val="000000" w:themeColor="text1"/>
          <w:sz w:val="28"/>
          <w:szCs w:val="28"/>
        </w:rPr>
        <w:t>0,293</w:t>
      </w:r>
      <w:r w:rsidR="00C36617">
        <w:rPr>
          <w:rFonts w:ascii="Times New Roman" w:hAnsi="Times New Roman" w:cs="Times New Roman"/>
          <w:color w:val="000000" w:themeColor="text1"/>
          <w:sz w:val="28"/>
          <w:szCs w:val="28"/>
        </w:rPr>
        <w:t xml:space="preserve">) та ІІ і ІІІ (р=0,067), </w:t>
      </w:r>
      <w:r w:rsidR="00C36617">
        <w:rPr>
          <w:rFonts w:ascii="Times New Roman" w:hAnsi="Times New Roman" w:cs="Times New Roman"/>
          <w:sz w:val="28"/>
          <w:szCs w:val="28"/>
        </w:rPr>
        <w:t>таблиця</w:t>
      </w:r>
      <w:r w:rsidR="00C36617" w:rsidRPr="008357D6">
        <w:rPr>
          <w:rFonts w:ascii="Times New Roman" w:hAnsi="Times New Roman" w:cs="Times New Roman"/>
          <w:sz w:val="28"/>
          <w:szCs w:val="28"/>
        </w:rPr>
        <w:t xml:space="preserve"> 6.2. </w:t>
      </w:r>
    </w:p>
    <w:p w:rsidR="00C36617" w:rsidRPr="008357D6" w:rsidRDefault="00C36617" w:rsidP="00C36617">
      <w:pPr>
        <w:spacing w:line="360" w:lineRule="auto"/>
        <w:jc w:val="right"/>
        <w:rPr>
          <w:rFonts w:ascii="Times New Roman" w:hAnsi="Times New Roman" w:cs="Times New Roman"/>
          <w:sz w:val="28"/>
          <w:szCs w:val="28"/>
        </w:rPr>
      </w:pPr>
      <w:r w:rsidRPr="008357D6">
        <w:rPr>
          <w:rFonts w:ascii="Times New Roman" w:hAnsi="Times New Roman" w:cs="Times New Roman"/>
          <w:sz w:val="28"/>
          <w:szCs w:val="28"/>
        </w:rPr>
        <w:t xml:space="preserve">Таблиця 6.2 </w:t>
      </w:r>
    </w:p>
    <w:p w:rsidR="00C36617" w:rsidRPr="008357D6" w:rsidRDefault="00C36617" w:rsidP="00C36617">
      <w:pPr>
        <w:spacing w:line="360" w:lineRule="auto"/>
        <w:jc w:val="center"/>
        <w:rPr>
          <w:rFonts w:ascii="Times New Roman" w:hAnsi="Times New Roman" w:cs="Times New Roman"/>
          <w:sz w:val="28"/>
          <w:szCs w:val="28"/>
        </w:rPr>
      </w:pPr>
      <w:r w:rsidRPr="008357D6">
        <w:rPr>
          <w:rFonts w:ascii="Times New Roman" w:hAnsi="Times New Roman" w:cs="Times New Roman"/>
          <w:sz w:val="28"/>
          <w:szCs w:val="28"/>
        </w:rPr>
        <w:t>Статистична характеристика показників тканинної експресії міРНК-15а в основній і контрольній групах та в підгрупах хворих</w:t>
      </w:r>
    </w:p>
    <w:tbl>
      <w:tblPr>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567"/>
        <w:gridCol w:w="1276"/>
        <w:gridCol w:w="1276"/>
        <w:gridCol w:w="1275"/>
        <w:gridCol w:w="1276"/>
        <w:gridCol w:w="1276"/>
      </w:tblGrid>
      <w:tr w:rsidR="00C36617" w:rsidRPr="008357D6" w:rsidTr="00AF4B0A">
        <w:trPr>
          <w:trHeight w:val="413"/>
        </w:trPr>
        <w:tc>
          <w:tcPr>
            <w:tcW w:w="2552" w:type="dxa"/>
            <w:vMerge w:val="restart"/>
            <w:shd w:val="clear" w:color="auto" w:fill="auto"/>
            <w:noWrap/>
            <w:vAlign w:val="center"/>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Група/</w:t>
            </w:r>
          </w:p>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підгрупа</w:t>
            </w:r>
          </w:p>
        </w:tc>
        <w:tc>
          <w:tcPr>
            <w:tcW w:w="6946" w:type="dxa"/>
            <w:gridSpan w:val="6"/>
            <w:shd w:val="clear" w:color="auto" w:fill="auto"/>
            <w:noWrap/>
            <w:vAlign w:val="center"/>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rPr>
              <w:t>Експресія міРНК-15а, УО</w:t>
            </w:r>
          </w:p>
        </w:tc>
      </w:tr>
      <w:tr w:rsidR="00C36617" w:rsidRPr="008357D6" w:rsidTr="00AF4B0A">
        <w:trPr>
          <w:trHeight w:val="413"/>
        </w:trPr>
        <w:tc>
          <w:tcPr>
            <w:tcW w:w="2552" w:type="dxa"/>
            <w:vMerge/>
            <w:shd w:val="clear" w:color="auto" w:fill="auto"/>
            <w:noWrap/>
            <w:vAlign w:val="center"/>
            <w:hideMark/>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p>
        </w:tc>
        <w:tc>
          <w:tcPr>
            <w:tcW w:w="567" w:type="dxa"/>
            <w:vMerge w:val="restart"/>
            <w:shd w:val="clear" w:color="auto" w:fill="auto"/>
            <w:noWrap/>
            <w:vAlign w:val="center"/>
            <w:hideMark/>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N</w:t>
            </w:r>
          </w:p>
        </w:tc>
        <w:tc>
          <w:tcPr>
            <w:tcW w:w="1276" w:type="dxa"/>
            <w:vMerge w:val="restart"/>
            <w:shd w:val="clear" w:color="auto" w:fill="auto"/>
            <w:noWrap/>
            <w:vAlign w:val="center"/>
            <w:hideMark/>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Середнє</w:t>
            </w:r>
          </w:p>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арифм.</w:t>
            </w:r>
          </w:p>
        </w:tc>
        <w:tc>
          <w:tcPr>
            <w:tcW w:w="1276" w:type="dxa"/>
            <w:vMerge w:val="restart"/>
            <w:shd w:val="clear" w:color="auto" w:fill="auto"/>
            <w:noWrap/>
            <w:vAlign w:val="center"/>
            <w:hideMark/>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Медіана</w:t>
            </w:r>
          </w:p>
        </w:tc>
        <w:tc>
          <w:tcPr>
            <w:tcW w:w="1275" w:type="dxa"/>
            <w:vMerge w:val="restart"/>
            <w:shd w:val="clear" w:color="auto" w:fill="auto"/>
            <w:noWrap/>
            <w:vAlign w:val="center"/>
            <w:hideMark/>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Станд. відх.</w:t>
            </w:r>
          </w:p>
        </w:tc>
        <w:tc>
          <w:tcPr>
            <w:tcW w:w="2552" w:type="dxa"/>
            <w:gridSpan w:val="2"/>
            <w:shd w:val="clear" w:color="auto" w:fill="auto"/>
            <w:noWrap/>
            <w:hideMark/>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95% довірчий інтервал (ДІ) для середнього арифметичного</w:t>
            </w:r>
          </w:p>
        </w:tc>
      </w:tr>
      <w:tr w:rsidR="00C36617" w:rsidRPr="008357D6" w:rsidTr="00AF4B0A">
        <w:trPr>
          <w:trHeight w:val="412"/>
        </w:trPr>
        <w:tc>
          <w:tcPr>
            <w:tcW w:w="2552" w:type="dxa"/>
            <w:vMerge/>
            <w:shd w:val="clear" w:color="auto" w:fill="auto"/>
            <w:noWrap/>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p>
        </w:tc>
        <w:tc>
          <w:tcPr>
            <w:tcW w:w="567" w:type="dxa"/>
            <w:vMerge/>
            <w:shd w:val="clear" w:color="auto" w:fill="auto"/>
            <w:noWrap/>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p>
        </w:tc>
        <w:tc>
          <w:tcPr>
            <w:tcW w:w="1276" w:type="dxa"/>
            <w:vMerge/>
            <w:shd w:val="clear" w:color="auto" w:fill="auto"/>
            <w:noWrap/>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p>
        </w:tc>
        <w:tc>
          <w:tcPr>
            <w:tcW w:w="1276" w:type="dxa"/>
            <w:vMerge/>
            <w:shd w:val="clear" w:color="auto" w:fill="auto"/>
            <w:noWrap/>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p>
        </w:tc>
        <w:tc>
          <w:tcPr>
            <w:tcW w:w="1275" w:type="dxa"/>
            <w:vMerge/>
            <w:shd w:val="clear" w:color="auto" w:fill="auto"/>
            <w:noWrap/>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p>
        </w:tc>
        <w:tc>
          <w:tcPr>
            <w:tcW w:w="1276" w:type="dxa"/>
            <w:shd w:val="clear" w:color="auto" w:fill="auto"/>
            <w:noWrap/>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Нижня межа</w:t>
            </w:r>
          </w:p>
        </w:tc>
        <w:tc>
          <w:tcPr>
            <w:tcW w:w="1276" w:type="dxa"/>
            <w:shd w:val="clear" w:color="auto" w:fill="auto"/>
            <w:noWrap/>
          </w:tcPr>
          <w:p w:rsidR="00C36617" w:rsidRPr="008357D6" w:rsidRDefault="00C36617" w:rsidP="00AF4B0A">
            <w:pPr>
              <w:pStyle w:val="NoSpacing"/>
              <w:spacing w:line="276" w:lineRule="auto"/>
              <w:jc w:val="center"/>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Верхня межа</w:t>
            </w:r>
          </w:p>
        </w:tc>
      </w:tr>
      <w:tr w:rsidR="00C36617" w:rsidRPr="008357D6" w:rsidTr="00AF4B0A">
        <w:trPr>
          <w:trHeight w:val="306"/>
        </w:trPr>
        <w:tc>
          <w:tcPr>
            <w:tcW w:w="2552" w:type="dxa"/>
            <w:shd w:val="clear" w:color="auto" w:fill="auto"/>
            <w:noWrap/>
            <w:hideMark/>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w:t>
            </w:r>
          </w:p>
        </w:tc>
        <w:tc>
          <w:tcPr>
            <w:tcW w:w="567" w:type="dxa"/>
            <w:shd w:val="clear" w:color="auto" w:fill="auto"/>
            <w:noWrap/>
            <w:hideMark/>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64</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1,52</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lang w:eastAsia="uk-UA"/>
              </w:rPr>
            </w:pPr>
            <w:r w:rsidRPr="008357D6">
              <w:rPr>
                <w:rFonts w:ascii="Times New Roman" w:hAnsi="Times New Roman" w:cs="Times New Roman"/>
                <w:color w:val="000000"/>
                <w:sz w:val="28"/>
                <w:szCs w:val="28"/>
                <w:lang w:eastAsia="uk-UA"/>
              </w:rPr>
              <w:t>0,10</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2,62</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0,86</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2,17</w:t>
            </w:r>
          </w:p>
        </w:tc>
      </w:tr>
      <w:tr w:rsidR="00C36617" w:rsidRPr="008357D6" w:rsidTr="00AF4B0A">
        <w:trPr>
          <w:trHeight w:val="267"/>
        </w:trPr>
        <w:tc>
          <w:tcPr>
            <w:tcW w:w="2552" w:type="dxa"/>
            <w:shd w:val="clear" w:color="auto" w:fill="auto"/>
            <w:noWrap/>
            <w:hideMark/>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Контроль</w:t>
            </w:r>
          </w:p>
        </w:tc>
        <w:tc>
          <w:tcPr>
            <w:tcW w:w="567" w:type="dxa"/>
            <w:shd w:val="clear" w:color="auto" w:fill="auto"/>
            <w:noWrap/>
            <w:hideMark/>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15</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4,53E-03</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4,84E-03</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3,11E-03</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2,80E-03</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6,25E-03</w:t>
            </w:r>
          </w:p>
        </w:tc>
      </w:tr>
      <w:tr w:rsidR="00C36617" w:rsidRPr="008357D6" w:rsidTr="00AF4B0A">
        <w:trPr>
          <w:trHeight w:val="300"/>
        </w:trPr>
        <w:tc>
          <w:tcPr>
            <w:tcW w:w="2552" w:type="dxa"/>
            <w:shd w:val="clear" w:color="auto" w:fill="auto"/>
            <w:noWrap/>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 без некрозу</w:t>
            </w:r>
          </w:p>
        </w:tc>
        <w:tc>
          <w:tcPr>
            <w:tcW w:w="567"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50</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0,82</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0,05</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1,85</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0,29</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1,34</w:t>
            </w:r>
          </w:p>
        </w:tc>
      </w:tr>
      <w:tr w:rsidR="00C36617" w:rsidRPr="008357D6" w:rsidTr="00AF4B0A">
        <w:trPr>
          <w:trHeight w:val="300"/>
        </w:trPr>
        <w:tc>
          <w:tcPr>
            <w:tcW w:w="2552" w:type="dxa"/>
            <w:shd w:val="clear" w:color="auto" w:fill="auto"/>
            <w:noWrap/>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 з некрозом</w:t>
            </w:r>
          </w:p>
        </w:tc>
        <w:tc>
          <w:tcPr>
            <w:tcW w:w="567"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14</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4,01</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4,77</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3,42</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2,03</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6,0</w:t>
            </w:r>
          </w:p>
        </w:tc>
      </w:tr>
      <w:tr w:rsidR="00C36617" w:rsidRPr="008357D6" w:rsidTr="00AF4B0A">
        <w:trPr>
          <w:trHeight w:val="151"/>
        </w:trPr>
        <w:tc>
          <w:tcPr>
            <w:tcW w:w="2552" w:type="dxa"/>
            <w:shd w:val="clear" w:color="auto" w:fill="auto"/>
            <w:noWrap/>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 (N-)</w:t>
            </w:r>
          </w:p>
        </w:tc>
        <w:tc>
          <w:tcPr>
            <w:tcW w:w="567"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57</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1,10</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0,06</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2,29</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0,49</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1,71</w:t>
            </w:r>
          </w:p>
        </w:tc>
      </w:tr>
      <w:tr w:rsidR="00C36617" w:rsidRPr="008357D6" w:rsidTr="00AF4B0A">
        <w:trPr>
          <w:trHeight w:val="229"/>
        </w:trPr>
        <w:tc>
          <w:tcPr>
            <w:tcW w:w="2552" w:type="dxa"/>
            <w:shd w:val="clear" w:color="auto" w:fill="auto"/>
            <w:noWrap/>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 (N+)</w:t>
            </w:r>
          </w:p>
        </w:tc>
        <w:tc>
          <w:tcPr>
            <w:tcW w:w="567"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7</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4,92</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4,17</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2,80</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2,33</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7,52</w:t>
            </w:r>
          </w:p>
        </w:tc>
      </w:tr>
      <w:tr w:rsidR="00C36617" w:rsidRPr="008357D6" w:rsidTr="00AF4B0A">
        <w:trPr>
          <w:trHeight w:val="300"/>
        </w:trPr>
        <w:tc>
          <w:tcPr>
            <w:tcW w:w="2552" w:type="dxa"/>
            <w:shd w:val="clear" w:color="auto" w:fill="auto"/>
            <w:noWrap/>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 ступінь І</w:t>
            </w:r>
          </w:p>
        </w:tc>
        <w:tc>
          <w:tcPr>
            <w:tcW w:w="567"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15</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0,02</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0,02</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0,01</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0,02</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0,03</w:t>
            </w:r>
          </w:p>
        </w:tc>
      </w:tr>
      <w:tr w:rsidR="00C36617" w:rsidRPr="008357D6" w:rsidTr="00AF4B0A">
        <w:trPr>
          <w:trHeight w:val="300"/>
        </w:trPr>
        <w:tc>
          <w:tcPr>
            <w:tcW w:w="2552" w:type="dxa"/>
            <w:shd w:val="clear" w:color="auto" w:fill="auto"/>
            <w:noWrap/>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 ступінь ІІ</w:t>
            </w:r>
          </w:p>
        </w:tc>
        <w:tc>
          <w:tcPr>
            <w:tcW w:w="567"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14</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0,35</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0,04</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1,13</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0,30</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1,0</w:t>
            </w:r>
          </w:p>
        </w:tc>
      </w:tr>
      <w:tr w:rsidR="00C36617" w:rsidRPr="008357D6" w:rsidTr="00AF4B0A">
        <w:trPr>
          <w:trHeight w:val="300"/>
        </w:trPr>
        <w:tc>
          <w:tcPr>
            <w:tcW w:w="2552" w:type="dxa"/>
            <w:shd w:val="clear" w:color="auto" w:fill="auto"/>
            <w:noWrap/>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 ступінь ІІІ</w:t>
            </w:r>
          </w:p>
        </w:tc>
        <w:tc>
          <w:tcPr>
            <w:tcW w:w="567"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22</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1,47</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0,15</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2,39</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0,41</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2,53</w:t>
            </w:r>
          </w:p>
        </w:tc>
      </w:tr>
      <w:tr w:rsidR="00C36617" w:rsidRPr="008357D6" w:rsidTr="00AF4B0A">
        <w:trPr>
          <w:trHeight w:val="300"/>
        </w:trPr>
        <w:tc>
          <w:tcPr>
            <w:tcW w:w="2552" w:type="dxa"/>
            <w:shd w:val="clear" w:color="auto" w:fill="auto"/>
            <w:noWrap/>
          </w:tcPr>
          <w:p w:rsidR="00C36617" w:rsidRPr="008357D6" w:rsidRDefault="00C36617" w:rsidP="00AF4B0A">
            <w:pPr>
              <w:pStyle w:val="NoSpacing"/>
              <w:spacing w:line="360" w:lineRule="auto"/>
              <w:rPr>
                <w:rFonts w:ascii="Times New Roman" w:hAnsi="Times New Roman" w:cs="Times New Roman"/>
                <w:b/>
                <w:sz w:val="28"/>
                <w:szCs w:val="28"/>
                <w:lang w:eastAsia="uk-UA"/>
              </w:rPr>
            </w:pPr>
            <w:r w:rsidRPr="008357D6">
              <w:rPr>
                <w:rFonts w:ascii="Times New Roman" w:hAnsi="Times New Roman" w:cs="Times New Roman"/>
                <w:b/>
                <w:sz w:val="28"/>
                <w:szCs w:val="28"/>
                <w:lang w:eastAsia="uk-UA"/>
              </w:rPr>
              <w:t>НКР ступінь ІV</w:t>
            </w:r>
          </w:p>
        </w:tc>
        <w:tc>
          <w:tcPr>
            <w:tcW w:w="567" w:type="dxa"/>
            <w:shd w:val="clear" w:color="auto" w:fill="auto"/>
            <w:noWrap/>
          </w:tcPr>
          <w:p w:rsidR="00C36617" w:rsidRPr="008357D6" w:rsidRDefault="00C36617" w:rsidP="00AF4B0A">
            <w:pPr>
              <w:pStyle w:val="NoSpacing"/>
              <w:spacing w:line="360" w:lineRule="auto"/>
              <w:rPr>
                <w:rFonts w:ascii="Times New Roman" w:hAnsi="Times New Roman" w:cs="Times New Roman"/>
                <w:sz w:val="28"/>
                <w:szCs w:val="28"/>
                <w:lang w:eastAsia="uk-UA"/>
              </w:rPr>
            </w:pPr>
            <w:r w:rsidRPr="008357D6">
              <w:rPr>
                <w:rFonts w:ascii="Times New Roman" w:hAnsi="Times New Roman" w:cs="Times New Roman"/>
                <w:sz w:val="28"/>
                <w:szCs w:val="28"/>
                <w:lang w:eastAsia="uk-UA"/>
              </w:rPr>
              <w:t>13</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4,57</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4,97</w:t>
            </w:r>
          </w:p>
        </w:tc>
        <w:tc>
          <w:tcPr>
            <w:tcW w:w="1275"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3,19</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2,64</w:t>
            </w:r>
          </w:p>
        </w:tc>
        <w:tc>
          <w:tcPr>
            <w:tcW w:w="1276" w:type="dxa"/>
            <w:shd w:val="clear" w:color="auto" w:fill="auto"/>
            <w:noWrap/>
          </w:tcPr>
          <w:p w:rsidR="00C36617" w:rsidRPr="008357D6" w:rsidRDefault="00C36617" w:rsidP="00AF4B0A">
            <w:pPr>
              <w:pStyle w:val="NoSpacing"/>
              <w:spacing w:line="360" w:lineRule="auto"/>
              <w:rPr>
                <w:rFonts w:ascii="Times New Roman" w:hAnsi="Times New Roman" w:cs="Times New Roman"/>
                <w:color w:val="000000"/>
                <w:sz w:val="28"/>
                <w:szCs w:val="28"/>
              </w:rPr>
            </w:pPr>
            <w:r w:rsidRPr="008357D6">
              <w:rPr>
                <w:rFonts w:ascii="Times New Roman" w:hAnsi="Times New Roman" w:cs="Times New Roman"/>
                <w:color w:val="000000"/>
                <w:sz w:val="28"/>
                <w:szCs w:val="28"/>
              </w:rPr>
              <w:t>6,50</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vertAlign w:val="subscript"/>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1,2</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sidRPr="008357D6">
              <w:rPr>
                <w:rFonts w:ascii="Times New Roman" w:hAnsi="Times New Roman" w:cs="Times New Roman"/>
                <w:sz w:val="28"/>
                <w:szCs w:val="28"/>
              </w:rPr>
              <w:t>&lt;0,001</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vertAlign w:val="subscript"/>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3,4</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sidRPr="008357D6">
              <w:rPr>
                <w:rFonts w:ascii="Times New Roman" w:hAnsi="Times New Roman" w:cs="Times New Roman"/>
                <w:sz w:val="28"/>
                <w:szCs w:val="28"/>
              </w:rPr>
              <w:t>&lt;0,001</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vertAlign w:val="subscript"/>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5,6</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sidRPr="008357D6">
              <w:rPr>
                <w:rFonts w:ascii="Times New Roman" w:hAnsi="Times New Roman" w:cs="Times New Roman"/>
                <w:sz w:val="28"/>
                <w:szCs w:val="28"/>
              </w:rPr>
              <w:t>&lt;0,013</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7,8</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sidRPr="008357D6">
              <w:rPr>
                <w:rFonts w:ascii="Times New Roman" w:hAnsi="Times New Roman" w:cs="Times New Roman"/>
                <w:color w:val="000000" w:themeColor="text1"/>
                <w:sz w:val="28"/>
                <w:szCs w:val="28"/>
              </w:rPr>
              <w:t>0,293</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7,9</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sidRPr="008357D6">
              <w:rPr>
                <w:rFonts w:ascii="Times New Roman" w:hAnsi="Times New Roman" w:cs="Times New Roman"/>
                <w:color w:val="000000" w:themeColor="text1"/>
                <w:sz w:val="28"/>
                <w:szCs w:val="28"/>
              </w:rPr>
              <w:t>0,010</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7,10</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sidRPr="008357D6">
              <w:rPr>
                <w:rFonts w:ascii="Times New Roman" w:hAnsi="Times New Roman" w:cs="Times New Roman"/>
                <w:sz w:val="28"/>
                <w:szCs w:val="28"/>
              </w:rPr>
              <w:t>&lt;0,001</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8,9</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Pr>
                <w:rFonts w:ascii="Times New Roman" w:hAnsi="Times New Roman" w:cs="Times New Roman"/>
                <w:color w:val="000000" w:themeColor="text1"/>
                <w:sz w:val="28"/>
                <w:szCs w:val="28"/>
              </w:rPr>
              <w:t>0,067</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8,10</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sidRPr="008357D6">
              <w:rPr>
                <w:rFonts w:ascii="Times New Roman" w:hAnsi="Times New Roman" w:cs="Times New Roman"/>
                <w:sz w:val="28"/>
                <w:szCs w:val="28"/>
              </w:rPr>
              <w:t>&lt;0,001</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r w:rsidR="00C36617" w:rsidRPr="008357D6" w:rsidTr="00AF4B0A">
        <w:trPr>
          <w:trHeight w:val="300"/>
        </w:trPr>
        <w:tc>
          <w:tcPr>
            <w:tcW w:w="2552"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b/>
                <w:i/>
                <w:sz w:val="28"/>
                <w:szCs w:val="28"/>
                <w:lang w:eastAsia="uk-UA"/>
              </w:rPr>
            </w:pPr>
            <w:r w:rsidRPr="008357D6">
              <w:rPr>
                <w:rFonts w:ascii="Times New Roman" w:hAnsi="Times New Roman" w:cs="Times New Roman"/>
                <w:b/>
                <w:i/>
                <w:sz w:val="28"/>
                <w:szCs w:val="28"/>
                <w:lang w:eastAsia="uk-UA"/>
              </w:rPr>
              <w:t>p</w:t>
            </w:r>
            <w:r w:rsidRPr="008357D6">
              <w:rPr>
                <w:rFonts w:ascii="Times New Roman" w:hAnsi="Times New Roman" w:cs="Times New Roman"/>
                <w:b/>
                <w:i/>
                <w:sz w:val="28"/>
                <w:szCs w:val="28"/>
                <w:vertAlign w:val="subscript"/>
                <w:lang w:eastAsia="uk-UA"/>
              </w:rPr>
              <w:t>9,10</w:t>
            </w:r>
          </w:p>
        </w:tc>
        <w:tc>
          <w:tcPr>
            <w:tcW w:w="567"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color w:val="000000"/>
                <w:sz w:val="28"/>
                <w:szCs w:val="28"/>
              </w:rPr>
            </w:pPr>
            <w:r w:rsidRPr="008357D6">
              <w:rPr>
                <w:rFonts w:ascii="Times New Roman" w:hAnsi="Times New Roman" w:cs="Times New Roman"/>
                <w:color w:val="000000" w:themeColor="text1"/>
                <w:sz w:val="28"/>
                <w:szCs w:val="28"/>
              </w:rPr>
              <w:t>0,007</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5"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c>
          <w:tcPr>
            <w:tcW w:w="1276" w:type="dxa"/>
            <w:shd w:val="clear" w:color="auto" w:fill="auto"/>
            <w:noWrap/>
          </w:tcPr>
          <w:p w:rsidR="00C36617" w:rsidRPr="008357D6" w:rsidRDefault="00C36617" w:rsidP="00C36617">
            <w:pPr>
              <w:pStyle w:val="NoSpacing"/>
              <w:spacing w:line="276" w:lineRule="auto"/>
              <w:jc w:val="center"/>
              <w:rPr>
                <w:rFonts w:ascii="Times New Roman" w:hAnsi="Times New Roman" w:cs="Times New Roman"/>
                <w:sz w:val="28"/>
                <w:szCs w:val="28"/>
                <w:lang w:eastAsia="uk-UA"/>
              </w:rPr>
            </w:pPr>
            <w:r w:rsidRPr="008357D6">
              <w:rPr>
                <w:rFonts w:ascii="Times New Roman" w:hAnsi="Times New Roman" w:cs="Times New Roman"/>
                <w:sz w:val="28"/>
                <w:szCs w:val="28"/>
                <w:lang w:eastAsia="uk-UA"/>
              </w:rPr>
              <w:t>-</w:t>
            </w:r>
          </w:p>
        </w:tc>
      </w:tr>
    </w:tbl>
    <w:p w:rsidR="00C36617" w:rsidRPr="00C36617" w:rsidRDefault="00C36617" w:rsidP="00C36617">
      <w:pPr>
        <w:spacing w:line="360" w:lineRule="auto"/>
        <w:jc w:val="both"/>
        <w:rPr>
          <w:rFonts w:ascii="Times New Roman" w:hAnsi="Times New Roman" w:cs="Times New Roman"/>
          <w:color w:val="000000" w:themeColor="text1"/>
          <w:sz w:val="28"/>
          <w:szCs w:val="28"/>
        </w:rPr>
      </w:pPr>
    </w:p>
    <w:p w:rsidR="00AD51AF" w:rsidRPr="00910AEA" w:rsidRDefault="00AD51AF" w:rsidP="00AD51AF">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648FBCF8" wp14:editId="795168F5">
            <wp:extent cx="3648075" cy="2914968"/>
            <wp:effectExtent l="0" t="0" r="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3657651" cy="2922620"/>
                    </a:xfrm>
                    <a:prstGeom prst="rect">
                      <a:avLst/>
                    </a:prstGeom>
                    <a:noFill/>
                    <a:ln>
                      <a:noFill/>
                    </a:ln>
                  </pic:spPr>
                </pic:pic>
              </a:graphicData>
            </a:graphic>
          </wp:inline>
        </w:drawing>
      </w:r>
    </w:p>
    <w:p w:rsidR="00AD51AF" w:rsidRDefault="00AD51AF" w:rsidP="00AD51AF">
      <w:pPr>
        <w:spacing w:line="276" w:lineRule="auto"/>
        <w:jc w:val="center"/>
        <w:rPr>
          <w:rFonts w:ascii="Times New Roman" w:hAnsi="Times New Roman" w:cs="Times New Roman"/>
          <w:sz w:val="28"/>
          <w:szCs w:val="28"/>
          <w:lang w:val="ru-RU"/>
        </w:rPr>
      </w:pPr>
      <w:r>
        <w:rPr>
          <w:rFonts w:ascii="Times New Roman" w:hAnsi="Times New Roman" w:cs="Times New Roman"/>
          <w:color w:val="000000" w:themeColor="text1"/>
          <w:sz w:val="28"/>
          <w:szCs w:val="28"/>
        </w:rPr>
        <w:t xml:space="preserve">Рис. 6.1. </w:t>
      </w:r>
      <w:r w:rsidRPr="002F3EF9">
        <w:rPr>
          <w:rFonts w:ascii="Times New Roman" w:hAnsi="Times New Roman" w:cs="Times New Roman"/>
          <w:sz w:val="28"/>
          <w:szCs w:val="28"/>
        </w:rPr>
        <w:t xml:space="preserve">Коробкова діаграма експресії міРНК-15а при НКР різного </w:t>
      </w:r>
      <w:r w:rsidR="00B02037">
        <w:rPr>
          <w:rFonts w:ascii="Times New Roman" w:hAnsi="Times New Roman" w:cs="Times New Roman"/>
          <w:sz w:val="28"/>
          <w:szCs w:val="28"/>
        </w:rPr>
        <w:t>ступеня</w:t>
      </w:r>
      <w:r w:rsidRPr="002F3EF9">
        <w:rPr>
          <w:rFonts w:ascii="Times New Roman" w:hAnsi="Times New Roman" w:cs="Times New Roman"/>
          <w:sz w:val="28"/>
          <w:szCs w:val="28"/>
        </w:rPr>
        <w:t xml:space="preserve"> ядерної атипії за Furhman</w:t>
      </w:r>
    </w:p>
    <w:p w:rsidR="00AD51AF" w:rsidRDefault="00AD51AF" w:rsidP="00F60E8A">
      <w:pPr>
        <w:spacing w:line="360" w:lineRule="auto"/>
        <w:ind w:firstLine="708"/>
        <w:jc w:val="both"/>
        <w:rPr>
          <w:rFonts w:ascii="Times New Roman" w:hAnsi="Times New Roman" w:cs="Times New Roman"/>
          <w:color w:val="000000" w:themeColor="text1"/>
          <w:sz w:val="28"/>
          <w:szCs w:val="28"/>
          <w:lang w:val="ru-RU"/>
        </w:rPr>
      </w:pPr>
    </w:p>
    <w:p w:rsidR="00F60E8A" w:rsidRPr="00C36617" w:rsidRDefault="00C36617" w:rsidP="00C36617">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цілому з отриманих даних випливає прямий зв'язок рівню експресії </w:t>
      </w:r>
      <w:r w:rsidRPr="008357D6">
        <w:rPr>
          <w:rFonts w:ascii="Times New Roman" w:hAnsi="Times New Roman" w:cs="Times New Roman"/>
          <w:color w:val="000000" w:themeColor="text1"/>
          <w:sz w:val="28"/>
          <w:szCs w:val="28"/>
        </w:rPr>
        <w:t>міРНК-15а</w:t>
      </w:r>
      <w:r>
        <w:rPr>
          <w:rFonts w:ascii="Times New Roman" w:hAnsi="Times New Roman" w:cs="Times New Roman"/>
          <w:color w:val="000000" w:themeColor="text1"/>
          <w:sz w:val="28"/>
          <w:szCs w:val="28"/>
        </w:rPr>
        <w:t xml:space="preserve"> із ступенем НКР за </w:t>
      </w:r>
      <w:r w:rsidRPr="008357D6">
        <w:rPr>
          <w:rFonts w:ascii="Times New Roman" w:hAnsi="Times New Roman" w:cs="Times New Roman"/>
          <w:color w:val="000000" w:themeColor="text1"/>
          <w:sz w:val="28"/>
          <w:szCs w:val="28"/>
        </w:rPr>
        <w:t>Fuhrman</w:t>
      </w:r>
      <w:r>
        <w:rPr>
          <w:rFonts w:ascii="Times New Roman" w:hAnsi="Times New Roman" w:cs="Times New Roman"/>
          <w:color w:val="000000" w:themeColor="text1"/>
          <w:sz w:val="28"/>
          <w:szCs w:val="28"/>
        </w:rPr>
        <w:t>,  підтвердженням чого слугував кореляційний коефіцієнт Пірсона=0,727 (</w:t>
      </w:r>
      <w:r>
        <w:rPr>
          <w:rFonts w:ascii="Times New Roman" w:hAnsi="Times New Roman" w:cs="Times New Roman"/>
          <w:color w:val="000000" w:themeColor="text1"/>
          <w:sz w:val="28"/>
          <w:szCs w:val="28"/>
          <w:lang w:val="en-US"/>
        </w:rPr>
        <w:t>p</w:t>
      </w:r>
      <w:r w:rsidRPr="009E6C7E">
        <w:rPr>
          <w:rFonts w:ascii="Times New Roman" w:hAnsi="Times New Roman" w:cs="Times New Roman"/>
          <w:color w:val="000000" w:themeColor="text1"/>
          <w:sz w:val="28"/>
          <w:szCs w:val="28"/>
        </w:rPr>
        <w:t>&lt;</w:t>
      </w:r>
      <w:r>
        <w:rPr>
          <w:rFonts w:ascii="Times New Roman" w:hAnsi="Times New Roman" w:cs="Times New Roman"/>
          <w:color w:val="000000" w:themeColor="text1"/>
          <w:sz w:val="28"/>
          <w:szCs w:val="28"/>
        </w:rPr>
        <w:t>0,001). Така тенденція цілком відповідає результатам дослідження експресії міР-15а у хворих з НКР.</w:t>
      </w:r>
    </w:p>
    <w:p w:rsidR="00F60E8A" w:rsidRPr="00E251CC" w:rsidRDefault="00F60E8A" w:rsidP="00F60E8A">
      <w:pPr>
        <w:spacing w:line="360" w:lineRule="auto"/>
        <w:ind w:firstLine="708"/>
        <w:jc w:val="both"/>
        <w:rPr>
          <w:rFonts w:ascii="Times New Roman" w:hAnsi="Times New Roman" w:cs="Times New Roman"/>
          <w:color w:val="000000" w:themeColor="text1"/>
          <w:sz w:val="28"/>
          <w:szCs w:val="28"/>
        </w:rPr>
      </w:pPr>
      <w:r w:rsidRPr="008357D6">
        <w:rPr>
          <w:rFonts w:ascii="Times New Roman" w:hAnsi="Times New Roman" w:cs="Times New Roman"/>
          <w:color w:val="000000" w:themeColor="text1"/>
          <w:sz w:val="28"/>
          <w:szCs w:val="28"/>
        </w:rPr>
        <w:t xml:space="preserve">Цікавим спостереженням було те, що середні значення експресії міРНК-15а в тканинах НКР при </w:t>
      </w:r>
      <w:r w:rsidRPr="008D1278">
        <w:rPr>
          <w:rFonts w:ascii="Times New Roman" w:hAnsi="Times New Roman" w:cs="Times New Roman"/>
          <w:color w:val="000000" w:themeColor="text1"/>
          <w:sz w:val="28"/>
          <w:szCs w:val="28"/>
        </w:rPr>
        <w:t xml:space="preserve">наявності некротичних змін в пухлині та при їх відсутності достовірно відрізнялись і становили відповідно </w:t>
      </w:r>
      <w:r w:rsidRPr="008357D6">
        <w:rPr>
          <w:rFonts w:ascii="Times New Roman" w:hAnsi="Times New Roman" w:cs="Times New Roman"/>
          <w:color w:val="000000"/>
          <w:sz w:val="28"/>
          <w:szCs w:val="28"/>
        </w:rPr>
        <w:t>4,01</w:t>
      </w:r>
      <w:r>
        <w:rPr>
          <w:rFonts w:ascii="Times New Roman" w:hAnsi="Times New Roman" w:cs="Times New Roman"/>
          <w:color w:val="000000"/>
          <w:sz w:val="28"/>
          <w:szCs w:val="28"/>
        </w:rPr>
        <w:t>±</w:t>
      </w:r>
      <w:r w:rsidRPr="008357D6">
        <w:rPr>
          <w:rFonts w:ascii="Times New Roman" w:hAnsi="Times New Roman" w:cs="Times New Roman"/>
          <w:color w:val="000000"/>
          <w:sz w:val="28"/>
          <w:szCs w:val="28"/>
        </w:rPr>
        <w:t>3,42</w:t>
      </w:r>
      <w:r>
        <w:rPr>
          <w:rFonts w:ascii="Times New Roman" w:hAnsi="Times New Roman" w:cs="Times New Roman"/>
          <w:color w:val="000000"/>
          <w:sz w:val="28"/>
          <w:szCs w:val="28"/>
        </w:rPr>
        <w:t xml:space="preserve"> УО та </w:t>
      </w:r>
      <w:r w:rsidRPr="008357D6">
        <w:rPr>
          <w:rFonts w:ascii="Times New Roman" w:hAnsi="Times New Roman" w:cs="Times New Roman"/>
          <w:color w:val="000000"/>
          <w:sz w:val="28"/>
          <w:szCs w:val="28"/>
        </w:rPr>
        <w:t>0,82</w:t>
      </w:r>
      <w:r>
        <w:rPr>
          <w:rFonts w:ascii="Times New Roman" w:hAnsi="Times New Roman" w:cs="Times New Roman"/>
          <w:color w:val="000000"/>
          <w:sz w:val="28"/>
          <w:szCs w:val="28"/>
        </w:rPr>
        <w:t>±</w:t>
      </w:r>
      <w:r w:rsidRPr="008357D6">
        <w:rPr>
          <w:rFonts w:ascii="Times New Roman" w:hAnsi="Times New Roman" w:cs="Times New Roman"/>
          <w:color w:val="000000"/>
          <w:sz w:val="28"/>
          <w:szCs w:val="28"/>
        </w:rPr>
        <w:t>1,85</w:t>
      </w:r>
      <w:r>
        <w:rPr>
          <w:rFonts w:ascii="Times New Roman" w:hAnsi="Times New Roman" w:cs="Times New Roman"/>
          <w:color w:val="000000"/>
          <w:sz w:val="28"/>
          <w:szCs w:val="28"/>
        </w:rPr>
        <w:t xml:space="preserve"> УО (р</w:t>
      </w:r>
      <w:r w:rsidRPr="008357D6">
        <w:rPr>
          <w:rFonts w:ascii="Times New Roman" w:hAnsi="Times New Roman" w:cs="Times New Roman"/>
          <w:sz w:val="28"/>
          <w:szCs w:val="28"/>
        </w:rPr>
        <w:t>&lt;0,001</w:t>
      </w:r>
      <w:r>
        <w:rPr>
          <w:rFonts w:ascii="Times New Roman" w:hAnsi="Times New Roman" w:cs="Times New Roman"/>
          <w:sz w:val="28"/>
          <w:szCs w:val="28"/>
        </w:rPr>
        <w:t xml:space="preserve">), як випливає з отриманих даних – </w:t>
      </w:r>
      <w:r w:rsidRPr="008D1278">
        <w:rPr>
          <w:rFonts w:ascii="Times New Roman" w:hAnsi="Times New Roman" w:cs="Times New Roman"/>
          <w:color w:val="000000" w:themeColor="text1"/>
          <w:sz w:val="28"/>
          <w:szCs w:val="28"/>
        </w:rPr>
        <w:t>некроз пухлини був асоційований із значно вищою експресією</w:t>
      </w:r>
      <w:r>
        <w:rPr>
          <w:rFonts w:ascii="Times New Roman" w:hAnsi="Times New Roman" w:cs="Times New Roman"/>
          <w:color w:val="000000" w:themeColor="text1"/>
          <w:sz w:val="28"/>
          <w:szCs w:val="28"/>
        </w:rPr>
        <w:t xml:space="preserve">. </w:t>
      </w:r>
      <w:r w:rsidRPr="008357D6">
        <w:rPr>
          <w:rFonts w:ascii="Times New Roman" w:hAnsi="Times New Roman" w:cs="Times New Roman"/>
          <w:color w:val="000000" w:themeColor="text1"/>
          <w:sz w:val="28"/>
          <w:szCs w:val="28"/>
        </w:rPr>
        <w:t xml:space="preserve">Крім цього, ми спостерігали статистично достовірну різницю між середніми значеннями </w:t>
      </w:r>
      <w:r w:rsidRPr="008357D6">
        <w:rPr>
          <w:rFonts w:ascii="Times New Roman" w:eastAsia="Times New Roman" w:hAnsi="Times New Roman" w:cs="Times New Roman"/>
          <w:sz w:val="28"/>
          <w:szCs w:val="28"/>
          <w:lang w:eastAsia="uk-UA"/>
        </w:rPr>
        <w:t xml:space="preserve">експресії </w:t>
      </w:r>
      <w:r w:rsidRPr="008357D6">
        <w:rPr>
          <w:rFonts w:ascii="Times New Roman" w:hAnsi="Times New Roman" w:cs="Times New Roman"/>
          <w:color w:val="000000" w:themeColor="text1"/>
          <w:sz w:val="28"/>
          <w:szCs w:val="28"/>
        </w:rPr>
        <w:t xml:space="preserve">міРНК-15 у хворих з та без поширення злоякісного процесу в реґіонарні лімфатичні вузли, при останньому варіанті рівні експресії були значно нижчими </w:t>
      </w:r>
      <w:r>
        <w:rPr>
          <w:rFonts w:ascii="Times New Roman" w:hAnsi="Times New Roman" w:cs="Times New Roman"/>
          <w:color w:val="000000" w:themeColor="text1"/>
          <w:sz w:val="28"/>
          <w:szCs w:val="28"/>
        </w:rPr>
        <w:t>і становили відповідно 4,92±2,80 УО та 1,10±2,29 УО</w:t>
      </w:r>
      <w:r w:rsidRPr="00E251CC">
        <w:rPr>
          <w:rFonts w:ascii="Times New Roman" w:hAnsi="Times New Roman" w:cs="Times New Roman"/>
          <w:color w:val="000000" w:themeColor="text1"/>
          <w:sz w:val="28"/>
          <w:szCs w:val="28"/>
        </w:rPr>
        <w:t xml:space="preserve"> </w:t>
      </w:r>
      <w:r w:rsidRPr="008357D6">
        <w:rPr>
          <w:rFonts w:ascii="Times New Roman" w:hAnsi="Times New Roman" w:cs="Times New Roman"/>
          <w:color w:val="000000" w:themeColor="text1"/>
          <w:sz w:val="28"/>
          <w:szCs w:val="28"/>
        </w:rPr>
        <w:t>(p&lt;0,</w:t>
      </w:r>
      <w:r>
        <w:rPr>
          <w:rFonts w:ascii="Times New Roman" w:hAnsi="Times New Roman" w:cs="Times New Roman"/>
          <w:color w:val="000000" w:themeColor="text1"/>
          <w:sz w:val="28"/>
          <w:szCs w:val="28"/>
        </w:rPr>
        <w:t>001</w:t>
      </w:r>
      <w:r w:rsidRPr="008357D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9004BE" w:rsidRDefault="00F60E8A" w:rsidP="00C36617">
      <w:pPr>
        <w:spacing w:line="360" w:lineRule="auto"/>
        <w:ind w:firstLine="708"/>
        <w:jc w:val="both"/>
        <w:rPr>
          <w:rFonts w:ascii="Times New Roman" w:hAnsi="Times New Roman" w:cs="Times New Roman"/>
          <w:color w:val="000000" w:themeColor="text1"/>
          <w:sz w:val="28"/>
          <w:szCs w:val="28"/>
        </w:rPr>
      </w:pPr>
      <w:r w:rsidRPr="008357D6">
        <w:rPr>
          <w:rFonts w:ascii="Times New Roman" w:hAnsi="Times New Roman" w:cs="Times New Roman"/>
          <w:sz w:val="28"/>
          <w:szCs w:val="28"/>
        </w:rPr>
        <w:t xml:space="preserve">При проведенні кореляційного аналізу було встановлено сильний позитивний взаємозв’язок між розміром пухлини у хворих із </w:t>
      </w:r>
      <w:r>
        <w:rPr>
          <w:rFonts w:ascii="Times New Roman" w:hAnsi="Times New Roman" w:cs="Times New Roman"/>
          <w:sz w:val="28"/>
          <w:szCs w:val="28"/>
        </w:rPr>
        <w:t>ск</w:t>
      </w:r>
      <w:r w:rsidRPr="008357D6">
        <w:rPr>
          <w:rFonts w:ascii="Times New Roman" w:hAnsi="Times New Roman" w:cs="Times New Roman"/>
          <w:sz w:val="28"/>
          <w:szCs w:val="28"/>
        </w:rPr>
        <w:t>НКР та рівнем експресії міРНК-15а, коефіцієнт кореляції Пірсона становив 0,724</w:t>
      </w:r>
      <w:r>
        <w:rPr>
          <w:rFonts w:ascii="Times New Roman" w:hAnsi="Times New Roman" w:cs="Times New Roman"/>
          <w:sz w:val="28"/>
          <w:szCs w:val="28"/>
        </w:rPr>
        <w:t xml:space="preserve"> (р</w:t>
      </w:r>
      <w:r w:rsidRPr="009E6C7E">
        <w:rPr>
          <w:rFonts w:ascii="Times New Roman" w:hAnsi="Times New Roman" w:cs="Times New Roman"/>
          <w:sz w:val="28"/>
          <w:szCs w:val="28"/>
        </w:rPr>
        <w:t>&lt;</w:t>
      </w:r>
      <w:r>
        <w:rPr>
          <w:rFonts w:ascii="Times New Roman" w:hAnsi="Times New Roman" w:cs="Times New Roman"/>
          <w:sz w:val="28"/>
          <w:szCs w:val="28"/>
        </w:rPr>
        <w:t>0,001)</w:t>
      </w:r>
      <w:r w:rsidRPr="008357D6">
        <w:rPr>
          <w:rFonts w:ascii="Times New Roman" w:hAnsi="Times New Roman" w:cs="Times New Roman"/>
          <w:sz w:val="28"/>
          <w:szCs w:val="28"/>
        </w:rPr>
        <w:t xml:space="preserve">. </w:t>
      </w:r>
      <w:r w:rsidRPr="008357D6">
        <w:rPr>
          <w:rFonts w:ascii="Times New Roman" w:hAnsi="Times New Roman" w:cs="Times New Roman"/>
          <w:color w:val="000000" w:themeColor="text1"/>
          <w:sz w:val="28"/>
          <w:szCs w:val="28"/>
        </w:rPr>
        <w:lastRenderedPageBreak/>
        <w:t>Графік кореляції розміру пухлини при НКР та експресії miR-15а у тканинах н</w:t>
      </w:r>
      <w:r>
        <w:rPr>
          <w:rFonts w:ascii="Times New Roman" w:hAnsi="Times New Roman" w:cs="Times New Roman"/>
          <w:color w:val="000000" w:themeColor="text1"/>
          <w:sz w:val="28"/>
          <w:szCs w:val="28"/>
        </w:rPr>
        <w:t xml:space="preserve">овоутвору зображено на рисунку </w:t>
      </w:r>
      <w:r w:rsidRPr="008357D6">
        <w:rPr>
          <w:rFonts w:ascii="Times New Roman" w:hAnsi="Times New Roman" w:cs="Times New Roman"/>
          <w:color w:val="000000" w:themeColor="text1"/>
          <w:sz w:val="28"/>
          <w:szCs w:val="28"/>
        </w:rPr>
        <w:t xml:space="preserve"> </w:t>
      </w:r>
      <w:r w:rsidR="009004BE">
        <w:rPr>
          <w:rFonts w:ascii="Times New Roman" w:hAnsi="Times New Roman" w:cs="Times New Roman"/>
          <w:color w:val="000000" w:themeColor="text1"/>
          <w:sz w:val="28"/>
          <w:szCs w:val="28"/>
        </w:rPr>
        <w:t>6.3.</w:t>
      </w:r>
    </w:p>
    <w:p w:rsidR="00F60E8A" w:rsidRDefault="00F60E8A" w:rsidP="00F60E8A">
      <w:pPr>
        <w:autoSpaceDE w:val="0"/>
        <w:autoSpaceDN w:val="0"/>
        <w:adjustRightInd w:val="0"/>
        <w:spacing w:after="0" w:line="276"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4C456E69" wp14:editId="1EA99085">
            <wp:extent cx="3599991" cy="2876550"/>
            <wp:effectExtent l="0" t="0" r="635"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3611120" cy="2885442"/>
                    </a:xfrm>
                    <a:prstGeom prst="rect">
                      <a:avLst/>
                    </a:prstGeom>
                    <a:noFill/>
                    <a:ln>
                      <a:noFill/>
                    </a:ln>
                  </pic:spPr>
                </pic:pic>
              </a:graphicData>
            </a:graphic>
          </wp:inline>
        </w:drawing>
      </w:r>
    </w:p>
    <w:p w:rsidR="00F60E8A" w:rsidRPr="00C71673" w:rsidRDefault="00F60E8A" w:rsidP="00F60E8A">
      <w:pPr>
        <w:spacing w:line="276" w:lineRule="auto"/>
        <w:jc w:val="center"/>
        <w:rPr>
          <w:rFonts w:ascii="Times New Roman" w:hAnsi="Times New Roman" w:cs="Times New Roman"/>
          <w:sz w:val="28"/>
          <w:szCs w:val="28"/>
          <w:lang w:val="ru-RU"/>
        </w:rPr>
      </w:pPr>
      <w:r>
        <w:rPr>
          <w:rFonts w:ascii="Times New Roman" w:hAnsi="Times New Roman" w:cs="Times New Roman"/>
          <w:color w:val="000000" w:themeColor="text1"/>
          <w:sz w:val="28"/>
          <w:szCs w:val="28"/>
        </w:rPr>
        <w:t xml:space="preserve">Рис. 6.2. </w:t>
      </w:r>
      <w:r w:rsidRPr="002F3EF9">
        <w:rPr>
          <w:rFonts w:ascii="Times New Roman" w:hAnsi="Times New Roman" w:cs="Times New Roman"/>
          <w:sz w:val="28"/>
          <w:szCs w:val="28"/>
        </w:rPr>
        <w:t xml:space="preserve">Коробкова діаграма експресії міРНК-15а при НКР </w:t>
      </w:r>
      <w:r>
        <w:rPr>
          <w:rFonts w:ascii="Times New Roman" w:hAnsi="Times New Roman" w:cs="Times New Roman"/>
          <w:sz w:val="28"/>
          <w:szCs w:val="28"/>
        </w:rPr>
        <w:t>з та без некрозу та з і без метастазування в реґіонарні лімфовузли</w:t>
      </w:r>
    </w:p>
    <w:p w:rsidR="00F60E8A" w:rsidRPr="008357D6" w:rsidRDefault="00F60E8A" w:rsidP="00F60E8A">
      <w:pPr>
        <w:spacing w:line="360" w:lineRule="auto"/>
        <w:jc w:val="both"/>
        <w:rPr>
          <w:rFonts w:ascii="Times New Roman" w:hAnsi="Times New Roman" w:cs="Times New Roman"/>
          <w:color w:val="000000" w:themeColor="text1"/>
          <w:sz w:val="28"/>
          <w:szCs w:val="28"/>
        </w:rPr>
      </w:pPr>
    </w:p>
    <w:p w:rsidR="00F60E8A" w:rsidRDefault="00F60E8A" w:rsidP="00F60E8A">
      <w:pPr>
        <w:spacing w:line="360" w:lineRule="auto"/>
        <w:jc w:val="center"/>
        <w:rPr>
          <w:rFonts w:ascii="Times New Roman" w:hAnsi="Times New Roman" w:cs="Times New Roman"/>
          <w:sz w:val="28"/>
          <w:szCs w:val="28"/>
        </w:rPr>
      </w:pPr>
      <w:r>
        <w:rPr>
          <w:rFonts w:ascii="Times New Roman" w:hAnsi="Times New Roman" w:cs="Times New Roman"/>
          <w:noProof/>
          <w:sz w:val="24"/>
          <w:szCs w:val="24"/>
          <w:lang w:val="en-US"/>
        </w:rPr>
        <w:drawing>
          <wp:inline distT="0" distB="0" distL="0" distR="0" wp14:anchorId="6A19FC5B" wp14:editId="01F31830">
            <wp:extent cx="3747358" cy="3000375"/>
            <wp:effectExtent l="0" t="0" r="5715"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778815" cy="3025561"/>
                    </a:xfrm>
                    <a:prstGeom prst="rect">
                      <a:avLst/>
                    </a:prstGeom>
                    <a:noFill/>
                    <a:ln>
                      <a:noFill/>
                    </a:ln>
                  </pic:spPr>
                </pic:pic>
              </a:graphicData>
            </a:graphic>
          </wp:inline>
        </w:drawing>
      </w:r>
    </w:p>
    <w:p w:rsidR="00F60E8A" w:rsidRPr="008357D6" w:rsidRDefault="00F60E8A" w:rsidP="00F60E8A">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6.3. </w:t>
      </w:r>
      <w:r w:rsidRPr="00DF0F8E">
        <w:rPr>
          <w:rFonts w:ascii="Times New Roman" w:hAnsi="Times New Roman" w:cs="Times New Roman"/>
          <w:color w:val="000000" w:themeColor="text1"/>
          <w:sz w:val="28"/>
          <w:szCs w:val="28"/>
        </w:rPr>
        <w:t xml:space="preserve">Графік кореляції розміру пухлини при НКР та експресії </w:t>
      </w:r>
      <w:r w:rsidRPr="00DF0F8E">
        <w:rPr>
          <w:rFonts w:ascii="Times New Roman" w:hAnsi="Times New Roman" w:cs="Times New Roman"/>
          <w:color w:val="000000" w:themeColor="text1"/>
          <w:sz w:val="28"/>
          <w:szCs w:val="28"/>
          <w:lang w:val="en-US"/>
        </w:rPr>
        <w:t>miR</w:t>
      </w:r>
      <w:r w:rsidRPr="00DF0F8E">
        <w:rPr>
          <w:rFonts w:ascii="Times New Roman" w:hAnsi="Times New Roman" w:cs="Times New Roman"/>
          <w:color w:val="000000" w:themeColor="text1"/>
          <w:sz w:val="28"/>
          <w:szCs w:val="28"/>
        </w:rPr>
        <w:t>-15а</w:t>
      </w:r>
      <w:r>
        <w:rPr>
          <w:rFonts w:ascii="Times New Roman" w:hAnsi="Times New Roman" w:cs="Times New Roman"/>
          <w:color w:val="000000" w:themeColor="text1"/>
          <w:sz w:val="28"/>
          <w:szCs w:val="28"/>
        </w:rPr>
        <w:t xml:space="preserve"> у тканинах НКР.</w:t>
      </w:r>
    </w:p>
    <w:p w:rsidR="00F60E8A" w:rsidRPr="009E6C7E" w:rsidRDefault="00F60E8A" w:rsidP="00F60E8A">
      <w:pPr>
        <w:spacing w:line="360" w:lineRule="auto"/>
        <w:jc w:val="both"/>
        <w:rPr>
          <w:rFonts w:ascii="Times New Roman" w:hAnsi="Times New Roman" w:cs="Times New Roman"/>
          <w:sz w:val="28"/>
          <w:szCs w:val="28"/>
          <w:lang w:val="ru-RU"/>
        </w:rPr>
      </w:pPr>
    </w:p>
    <w:p w:rsidR="00F60E8A" w:rsidRDefault="00F60E8A" w:rsidP="00F60E8A">
      <w:pPr>
        <w:autoSpaceDE w:val="0"/>
        <w:autoSpaceDN w:val="0"/>
        <w:adjustRightInd w:val="0"/>
        <w:spacing w:after="0" w:line="360" w:lineRule="auto"/>
        <w:ind w:firstLine="708"/>
        <w:jc w:val="both"/>
        <w:rPr>
          <w:rFonts w:ascii="Times New Roman" w:hAnsi="Times New Roman" w:cs="Times New Roman"/>
          <w:sz w:val="28"/>
          <w:szCs w:val="28"/>
        </w:rPr>
      </w:pPr>
      <w:r w:rsidRPr="008357D6">
        <w:rPr>
          <w:rFonts w:ascii="Times New Roman" w:hAnsi="Times New Roman" w:cs="Times New Roman"/>
          <w:sz w:val="28"/>
          <w:szCs w:val="28"/>
        </w:rPr>
        <w:lastRenderedPageBreak/>
        <w:t>В усіх випадках неметастатичного НКР (n=57) нами був здійснений розподіл хворих до однієї з груп ризику смерті від даного захворювання (низького, середнього чи високого) застосовуючи інтегровану систему стадіювання Університету Каліфорнії в Лос-Анджелес</w:t>
      </w:r>
      <w:r>
        <w:rPr>
          <w:rFonts w:ascii="Times New Roman" w:hAnsi="Times New Roman" w:cs="Times New Roman"/>
          <w:sz w:val="28"/>
          <w:szCs w:val="28"/>
        </w:rPr>
        <w:t>і</w:t>
      </w:r>
      <w:r w:rsidRPr="008357D6">
        <w:rPr>
          <w:rFonts w:ascii="Times New Roman" w:hAnsi="Times New Roman" w:cs="Times New Roman"/>
          <w:sz w:val="28"/>
          <w:szCs w:val="28"/>
        </w:rPr>
        <w:t xml:space="preserve"> (UCLA) – UISS для локалізованого захворювання, яка включає такі фактори, як Т-стадію за класифікацією ТNM, ступінь за Fuhrman та оцінку загального стану хворого за шкалою Eastern Cooperative Oncology Group (ECOG)</w:t>
      </w:r>
      <w:r>
        <w:rPr>
          <w:rFonts w:ascii="Times New Roman" w:hAnsi="Times New Roman" w:cs="Times New Roman"/>
          <w:sz w:val="28"/>
          <w:szCs w:val="28"/>
        </w:rPr>
        <w:t xml:space="preserve">, режим доступу до системи за посиланням: </w:t>
      </w:r>
      <w:hyperlink r:id="rId111" w:history="1">
        <w:r w:rsidRPr="007D44A1">
          <w:rPr>
            <w:rStyle w:val="Hyperlink"/>
            <w:rFonts w:ascii="Times New Roman" w:hAnsi="Times New Roman" w:cs="Times New Roman"/>
            <w:sz w:val="28"/>
            <w:szCs w:val="28"/>
          </w:rPr>
          <w:t>https://goo.gl/PjMJmN</w:t>
        </w:r>
      </w:hyperlink>
      <w:r>
        <w:rPr>
          <w:rFonts w:ascii="Times New Roman" w:hAnsi="Times New Roman" w:cs="Times New Roman"/>
          <w:sz w:val="28"/>
          <w:szCs w:val="28"/>
        </w:rPr>
        <w:t>.</w:t>
      </w:r>
      <w:r w:rsidRPr="008357D6">
        <w:rPr>
          <w:rFonts w:ascii="Times New Roman" w:hAnsi="Times New Roman" w:cs="Times New Roman"/>
          <w:sz w:val="28"/>
          <w:szCs w:val="28"/>
        </w:rPr>
        <w:t xml:space="preserve"> Згідно результатів такої оцінки усі хворі входили до групи із середнім ризиком смертності (5-ти річне CSS=80,4% ). Випадки НКР із поширенням в реґіонарні лімфатичні (n=7) також були оцінені за даною шкалою для метастатичного захворювання, всі вони належали до низького ризику (5-ти річне CSS=32,0%), дані тканинної експресії міР-15а у цих хворих були проаналізовані окремо.</w:t>
      </w:r>
    </w:p>
    <w:p w:rsidR="00F60E8A" w:rsidRPr="004A0CAA" w:rsidRDefault="00F60E8A" w:rsidP="00F60E8A">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 аналізі виживаності було виявлено, що 5-річне раково-специфічне виживання</w:t>
      </w:r>
      <w:r w:rsidRPr="00B550B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хворих із локальним НКР (середній ризик)</w:t>
      </w:r>
      <w:r w:rsidRPr="00B550B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складало 77,19%. Цей показник дещо відрізняється від </w:t>
      </w:r>
      <w:r>
        <w:rPr>
          <w:rFonts w:ascii="Times New Roman" w:hAnsi="Times New Roman" w:cs="Times New Roman"/>
          <w:color w:val="000000" w:themeColor="text1"/>
          <w:sz w:val="28"/>
          <w:szCs w:val="28"/>
          <w:lang w:val="en-US"/>
        </w:rPr>
        <w:t>CSS</w:t>
      </w:r>
      <w:r>
        <w:rPr>
          <w:rFonts w:ascii="Times New Roman" w:hAnsi="Times New Roman" w:cs="Times New Roman"/>
          <w:color w:val="000000" w:themeColor="text1"/>
          <w:sz w:val="28"/>
          <w:szCs w:val="28"/>
        </w:rPr>
        <w:t xml:space="preserve"> при середньому ризику згідно системи </w:t>
      </w:r>
      <w:r w:rsidRPr="008357D6">
        <w:rPr>
          <w:rFonts w:ascii="Times New Roman" w:hAnsi="Times New Roman" w:cs="Times New Roman"/>
          <w:sz w:val="28"/>
          <w:szCs w:val="28"/>
        </w:rPr>
        <w:t>UISS</w:t>
      </w:r>
      <w:r>
        <w:rPr>
          <w:rFonts w:ascii="Times New Roman" w:hAnsi="Times New Roman" w:cs="Times New Roman"/>
          <w:sz w:val="28"/>
          <w:szCs w:val="28"/>
        </w:rPr>
        <w:t xml:space="preserve"> (</w:t>
      </w:r>
      <w:r w:rsidRPr="008357D6">
        <w:rPr>
          <w:rFonts w:ascii="Times New Roman" w:hAnsi="Times New Roman" w:cs="Times New Roman"/>
          <w:sz w:val="28"/>
          <w:szCs w:val="28"/>
        </w:rPr>
        <w:t>80,4%</w:t>
      </w:r>
      <w:r>
        <w:rPr>
          <w:rFonts w:ascii="Times New Roman" w:hAnsi="Times New Roman" w:cs="Times New Roman"/>
          <w:sz w:val="28"/>
          <w:szCs w:val="28"/>
        </w:rPr>
        <w:t xml:space="preserve">), проте, враховуючи, що при зовнішній валідації даної системи С-індекс (індекс конкордатнтності) варіювався в межах 0,76-0,86 для неметастатичного НКР, наш результат цілком вкладається в ці рамки.  </w:t>
      </w:r>
    </w:p>
    <w:p w:rsidR="00F60E8A" w:rsidRPr="009B794D" w:rsidRDefault="00F60E8A" w:rsidP="009B794D">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Нами були порівняні середні значення експресії міР-15а в тканинах НКР у хворих, які станом на 5-й рік після нефректомії залишались живими</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n</w:t>
      </w:r>
      <w:r w:rsidRPr="009E6C7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44), та у таких, які померли внаслідок прогресії захворювання впродовж 5-річного періоду (</w:t>
      </w:r>
      <w:r>
        <w:rPr>
          <w:rFonts w:ascii="Times New Roman" w:hAnsi="Times New Roman" w:cs="Times New Roman"/>
          <w:color w:val="000000" w:themeColor="text1"/>
          <w:sz w:val="28"/>
          <w:szCs w:val="28"/>
          <w:lang w:val="en-US"/>
        </w:rPr>
        <w:t>n</w:t>
      </w:r>
      <w:r>
        <w:rPr>
          <w:rFonts w:ascii="Times New Roman" w:hAnsi="Times New Roman" w:cs="Times New Roman"/>
          <w:color w:val="000000" w:themeColor="text1"/>
          <w:sz w:val="28"/>
          <w:szCs w:val="28"/>
        </w:rPr>
        <w:t xml:space="preserve">=13), і які становили відповідно: </w:t>
      </w:r>
      <w:r w:rsidRPr="009E6C7E">
        <w:rPr>
          <w:rFonts w:ascii="Times New Roman" w:hAnsi="Times New Roman" w:cs="Times New Roman"/>
          <w:color w:val="000000" w:themeColor="text1"/>
          <w:sz w:val="28"/>
          <w:szCs w:val="28"/>
        </w:rPr>
        <w:t>0</w:t>
      </w:r>
      <w:r>
        <w:rPr>
          <w:rFonts w:ascii="Times New Roman" w:hAnsi="Times New Roman" w:cs="Times New Roman"/>
          <w:color w:val="000000" w:themeColor="text1"/>
          <w:sz w:val="28"/>
          <w:szCs w:val="28"/>
        </w:rPr>
        <w:t>,9</w:t>
      </w:r>
      <w:r w:rsidRPr="009E6C7E">
        <w:rPr>
          <w:rFonts w:ascii="Times New Roman" w:hAnsi="Times New Roman" w:cs="Times New Roman"/>
          <w:color w:val="000000" w:themeColor="text1"/>
          <w:sz w:val="28"/>
          <w:szCs w:val="28"/>
        </w:rPr>
        <w:t>2±2</w:t>
      </w:r>
      <w:r>
        <w:rPr>
          <w:rFonts w:ascii="Times New Roman" w:hAnsi="Times New Roman" w:cs="Times New Roman"/>
          <w:color w:val="000000" w:themeColor="text1"/>
          <w:sz w:val="28"/>
          <w:szCs w:val="28"/>
        </w:rPr>
        <w:t>,04 УО та 3,47</w:t>
      </w:r>
      <w:r w:rsidRPr="009E6C7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3,36 УО (р=0,013, </w:t>
      </w:r>
      <w:r>
        <w:rPr>
          <w:rFonts w:ascii="Times New Roman" w:hAnsi="Times New Roman" w:cs="Times New Roman"/>
          <w:color w:val="000000" w:themeColor="text1"/>
          <w:sz w:val="28"/>
          <w:szCs w:val="28"/>
          <w:lang w:val="en-US"/>
        </w:rPr>
        <w:t>t</w:t>
      </w:r>
      <w:r>
        <w:rPr>
          <w:rFonts w:ascii="Times New Roman" w:hAnsi="Times New Roman" w:cs="Times New Roman"/>
          <w:color w:val="000000" w:themeColor="text1"/>
          <w:sz w:val="28"/>
          <w:szCs w:val="28"/>
        </w:rPr>
        <w:t xml:space="preserve">=2,782). </w:t>
      </w:r>
      <w:r w:rsidRPr="00944FE9">
        <w:rPr>
          <w:rFonts w:ascii="Times New Roman" w:hAnsi="Times New Roman" w:cs="Times New Roman"/>
          <w:color w:val="000000" w:themeColor="text1"/>
          <w:sz w:val="28"/>
          <w:szCs w:val="28"/>
        </w:rPr>
        <w:t xml:space="preserve">Такі дані свідчили про </w:t>
      </w:r>
      <w:r>
        <w:rPr>
          <w:rFonts w:ascii="Times New Roman" w:hAnsi="Times New Roman" w:cs="Times New Roman"/>
          <w:color w:val="000000" w:themeColor="text1"/>
          <w:sz w:val="28"/>
          <w:szCs w:val="28"/>
        </w:rPr>
        <w:t>те, що хворі із НКР, які не прожили 5 років мали значну надекспресію міР-15а в тканинах пухлини. Було виявлено, що лише у 1 (7,69%) хворого з 13 померлих, експресія міР-15а була меншою за 0,</w:t>
      </w:r>
      <w:r w:rsidRPr="009E6C7E">
        <w:rPr>
          <w:rFonts w:ascii="Times New Roman" w:hAnsi="Times New Roman" w:cs="Times New Roman"/>
          <w:color w:val="000000" w:themeColor="text1"/>
          <w:sz w:val="28"/>
          <w:szCs w:val="28"/>
          <w:lang w:val="ru-RU"/>
        </w:rPr>
        <w:t>1</w:t>
      </w:r>
      <w:r>
        <w:rPr>
          <w:rFonts w:ascii="Times New Roman" w:hAnsi="Times New Roman" w:cs="Times New Roman"/>
          <w:color w:val="000000" w:themeColor="text1"/>
          <w:sz w:val="28"/>
          <w:szCs w:val="28"/>
        </w:rPr>
        <w:t xml:space="preserve">0 УО і становила 0,05 УО, а у  решти 12 (92,31%) – вона знаходилась в діапазоні від </w:t>
      </w:r>
      <w:r w:rsidRPr="009E6C7E">
        <w:rPr>
          <w:rFonts w:ascii="Times New Roman" w:hAnsi="Times New Roman" w:cs="Times New Roman"/>
          <w:color w:val="000000" w:themeColor="text1"/>
          <w:sz w:val="28"/>
          <w:szCs w:val="28"/>
          <w:lang w:val="ru-RU"/>
        </w:rPr>
        <w:t>0</w:t>
      </w:r>
      <w:r>
        <w:rPr>
          <w:rFonts w:ascii="Times New Roman" w:hAnsi="Times New Roman" w:cs="Times New Roman"/>
          <w:color w:val="000000" w:themeColor="text1"/>
          <w:sz w:val="28"/>
          <w:szCs w:val="28"/>
        </w:rPr>
        <w:t xml:space="preserve">,12 до 9,25 УО. Виходячи з цього нами було зроблене припущення про відмінності у раково-специфічному виживанні у хворих із </w:t>
      </w:r>
      <w:r>
        <w:rPr>
          <w:rFonts w:ascii="Times New Roman" w:hAnsi="Times New Roman" w:cs="Times New Roman"/>
          <w:color w:val="000000" w:themeColor="text1"/>
          <w:sz w:val="28"/>
          <w:szCs w:val="28"/>
        </w:rPr>
        <w:lastRenderedPageBreak/>
        <w:t xml:space="preserve">експресією міР-15а в тканинах НКР більше та менше 0,10 УО. З цією метою нами було проведено аналіз виживання та побудову кривих </w:t>
      </w:r>
      <w:r>
        <w:rPr>
          <w:rFonts w:ascii="Times New Roman" w:hAnsi="Times New Roman" w:cs="Times New Roman"/>
          <w:sz w:val="28"/>
          <w:szCs w:val="28"/>
        </w:rPr>
        <w:t>раково-специфічної виживаності Каплана-Маєра.</w:t>
      </w:r>
      <w:r>
        <w:rPr>
          <w:rFonts w:ascii="Times New Roman" w:hAnsi="Times New Roman" w:cs="Times New Roman"/>
          <w:color w:val="000000" w:themeColor="text1"/>
          <w:sz w:val="28"/>
          <w:szCs w:val="28"/>
        </w:rPr>
        <w:t xml:space="preserve"> В результаті ми, спостерігали відмінності у </w:t>
      </w:r>
      <w:r>
        <w:rPr>
          <w:rFonts w:ascii="Times New Roman" w:hAnsi="Times New Roman" w:cs="Times New Roman"/>
          <w:color w:val="000000" w:themeColor="text1"/>
          <w:sz w:val="28"/>
          <w:szCs w:val="28"/>
          <w:lang w:val="en-US"/>
        </w:rPr>
        <w:t>CSS</w:t>
      </w:r>
      <w:r w:rsidRPr="005413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хворих із різною експресією міРНК-15 в тканинах пухлини: у хворих із НКР та рівнем експресії ≤0,10 УО 5-річне </w:t>
      </w:r>
      <w:r>
        <w:rPr>
          <w:rFonts w:ascii="Times New Roman" w:hAnsi="Times New Roman" w:cs="Times New Roman"/>
          <w:color w:val="000000" w:themeColor="text1"/>
          <w:sz w:val="28"/>
          <w:szCs w:val="28"/>
          <w:lang w:val="en-US"/>
        </w:rPr>
        <w:t>CSS</w:t>
      </w:r>
      <w:r>
        <w:rPr>
          <w:rFonts w:ascii="Times New Roman" w:hAnsi="Times New Roman" w:cs="Times New Roman"/>
          <w:color w:val="000000" w:themeColor="text1"/>
          <w:sz w:val="28"/>
          <w:szCs w:val="28"/>
        </w:rPr>
        <w:t xml:space="preserve"> становило 92,31% а середня тривалість виживання складала 59,88</w:t>
      </w:r>
      <w:r w:rsidRPr="00B9264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0,12</w:t>
      </w:r>
      <w:r>
        <w:rPr>
          <w:rFonts w:ascii="Times New Roman" w:hAnsi="Times New Roman" w:cs="Times New Roman"/>
          <w:color w:val="000000" w:themeColor="text1"/>
          <w:sz w:val="28"/>
          <w:szCs w:val="28"/>
        </w:rPr>
        <w:t xml:space="preserve"> місяців, в той час коли 5-річне </w:t>
      </w:r>
      <w:r>
        <w:rPr>
          <w:rFonts w:ascii="Times New Roman" w:hAnsi="Times New Roman" w:cs="Times New Roman"/>
          <w:color w:val="000000" w:themeColor="text1"/>
          <w:sz w:val="28"/>
          <w:szCs w:val="28"/>
          <w:lang w:val="en-US"/>
        </w:rPr>
        <w:t>CSS</w:t>
      </w:r>
      <w:r>
        <w:rPr>
          <w:rFonts w:ascii="Times New Roman" w:hAnsi="Times New Roman" w:cs="Times New Roman"/>
          <w:color w:val="000000" w:themeColor="text1"/>
          <w:sz w:val="28"/>
          <w:szCs w:val="28"/>
        </w:rPr>
        <w:t xml:space="preserve"> у підгрупі пацієнтів із експресією міРНК-15 </w:t>
      </w:r>
      <w:r w:rsidRPr="00D81159">
        <w:rPr>
          <w:rFonts w:ascii="Times New Roman" w:hAnsi="Times New Roman" w:cs="Times New Roman"/>
          <w:color w:val="000000" w:themeColor="text1"/>
          <w:sz w:val="28"/>
          <w:szCs w:val="28"/>
        </w:rPr>
        <w:t>&gt;</w:t>
      </w:r>
      <w:r>
        <w:rPr>
          <w:rFonts w:ascii="Times New Roman" w:hAnsi="Times New Roman" w:cs="Times New Roman"/>
          <w:color w:val="000000" w:themeColor="text1"/>
          <w:sz w:val="28"/>
          <w:szCs w:val="28"/>
        </w:rPr>
        <w:t>0,10 УО</w:t>
      </w:r>
      <w:r w:rsidRPr="00D8115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значно відрізнялось і становило всього 54,8%, а середня тривалість виживання складала 49,74</w:t>
      </w:r>
      <w:r w:rsidRPr="00B9264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2,16 місяців (</w:t>
      </w:r>
      <w:r>
        <w:rPr>
          <w:rFonts w:ascii="Times New Roman" w:hAnsi="Times New Roman" w:cs="Times New Roman"/>
          <w:sz w:val="28"/>
          <w:szCs w:val="28"/>
          <w:lang w:val="en-US"/>
        </w:rPr>
        <w:t>p</w:t>
      </w:r>
      <w:r>
        <w:rPr>
          <w:rFonts w:ascii="Times New Roman" w:hAnsi="Times New Roman" w:cs="Times New Roman"/>
          <w:sz w:val="28"/>
          <w:szCs w:val="28"/>
        </w:rPr>
        <w:t>&lt;0,001), рисунок 6.4.</w:t>
      </w:r>
    </w:p>
    <w:p w:rsidR="00F60E8A" w:rsidRDefault="00892C8D" w:rsidP="00F60E8A">
      <w:pPr>
        <w:autoSpaceDE w:val="0"/>
        <w:autoSpaceDN w:val="0"/>
        <w:adjustRightInd w:val="0"/>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4"/>
          <w:szCs w:val="24"/>
          <w:lang w:val="en-US"/>
        </w:rPr>
        <w:drawing>
          <wp:inline distT="0" distB="0" distL="0" distR="0">
            <wp:extent cx="4352925" cy="34861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4352925" cy="3486150"/>
                    </a:xfrm>
                    <a:prstGeom prst="rect">
                      <a:avLst/>
                    </a:prstGeom>
                    <a:noFill/>
                    <a:ln>
                      <a:noFill/>
                    </a:ln>
                  </pic:spPr>
                </pic:pic>
              </a:graphicData>
            </a:graphic>
          </wp:inline>
        </w:drawing>
      </w:r>
    </w:p>
    <w:p w:rsidR="00F60E8A" w:rsidRDefault="00F60E8A" w:rsidP="00F60E8A">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6.4.</w:t>
      </w:r>
      <w:r w:rsidRPr="005140FA">
        <w:rPr>
          <w:rFonts w:ascii="Times New Roman" w:hAnsi="Times New Roman" w:cs="Times New Roman"/>
          <w:sz w:val="28"/>
          <w:szCs w:val="28"/>
        </w:rPr>
        <w:t xml:space="preserve"> </w:t>
      </w:r>
      <w:r>
        <w:rPr>
          <w:rFonts w:ascii="Times New Roman" w:hAnsi="Times New Roman" w:cs="Times New Roman"/>
          <w:sz w:val="28"/>
          <w:szCs w:val="28"/>
        </w:rPr>
        <w:t xml:space="preserve">Криві раково-специфічної виживаності Каплана-Маєра в підгрупах хворих із локалізованим НКР </w:t>
      </w:r>
      <w:r w:rsidRPr="00321EFD">
        <w:rPr>
          <w:rFonts w:ascii="Times New Roman" w:hAnsi="Times New Roman" w:cs="Times New Roman"/>
          <w:sz w:val="28"/>
          <w:szCs w:val="28"/>
        </w:rPr>
        <w:t>п</w:t>
      </w:r>
      <w:r>
        <w:rPr>
          <w:rFonts w:ascii="Times New Roman" w:hAnsi="Times New Roman" w:cs="Times New Roman"/>
          <w:sz w:val="28"/>
          <w:szCs w:val="28"/>
        </w:rPr>
        <w:t>ісля нефректомії та тканинною експресією міРНК-15а &lt;=0,10</w:t>
      </w:r>
      <w:r w:rsidRPr="005140FA">
        <w:rPr>
          <w:rFonts w:ascii="Times New Roman" w:hAnsi="Times New Roman" w:cs="Times New Roman"/>
          <w:sz w:val="28"/>
          <w:szCs w:val="28"/>
        </w:rPr>
        <w:t xml:space="preserve"> </w:t>
      </w:r>
      <w:r>
        <w:rPr>
          <w:rFonts w:ascii="Times New Roman" w:hAnsi="Times New Roman" w:cs="Times New Roman"/>
          <w:sz w:val="28"/>
          <w:szCs w:val="28"/>
        </w:rPr>
        <w:t xml:space="preserve">УО </w:t>
      </w:r>
      <w:r w:rsidRPr="005140FA">
        <w:rPr>
          <w:rFonts w:ascii="Times New Roman" w:hAnsi="Times New Roman" w:cs="Times New Roman"/>
          <w:sz w:val="28"/>
          <w:szCs w:val="28"/>
        </w:rPr>
        <w:t xml:space="preserve">та </w:t>
      </w:r>
      <w:r>
        <w:rPr>
          <w:rFonts w:ascii="Times New Roman" w:hAnsi="Times New Roman" w:cs="Times New Roman"/>
          <w:sz w:val="28"/>
          <w:szCs w:val="28"/>
        </w:rPr>
        <w:t>&gt;0,10</w:t>
      </w:r>
      <w:r w:rsidRPr="005140FA">
        <w:rPr>
          <w:rFonts w:ascii="Times New Roman" w:hAnsi="Times New Roman" w:cs="Times New Roman"/>
          <w:sz w:val="28"/>
          <w:szCs w:val="28"/>
        </w:rPr>
        <w:t xml:space="preserve"> </w:t>
      </w:r>
      <w:r>
        <w:rPr>
          <w:rFonts w:ascii="Times New Roman" w:hAnsi="Times New Roman" w:cs="Times New Roman"/>
          <w:sz w:val="28"/>
          <w:szCs w:val="28"/>
        </w:rPr>
        <w:t>УО</w:t>
      </w:r>
      <w:r w:rsidRPr="005140FA">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en-US"/>
        </w:rPr>
        <w:t>p</w:t>
      </w:r>
      <w:r>
        <w:rPr>
          <w:rFonts w:ascii="Times New Roman" w:hAnsi="Times New Roman" w:cs="Times New Roman"/>
          <w:sz w:val="28"/>
          <w:szCs w:val="28"/>
        </w:rPr>
        <w:t>&lt;0,001)</w:t>
      </w:r>
    </w:p>
    <w:p w:rsidR="00F60E8A" w:rsidRDefault="00F60E8A" w:rsidP="00F60E8A">
      <w:pPr>
        <w:autoSpaceDE w:val="0"/>
        <w:autoSpaceDN w:val="0"/>
        <w:adjustRightInd w:val="0"/>
        <w:spacing w:after="0" w:line="360" w:lineRule="auto"/>
        <w:ind w:firstLine="708"/>
        <w:jc w:val="both"/>
        <w:rPr>
          <w:rFonts w:ascii="Times New Roman" w:hAnsi="Times New Roman" w:cs="Times New Roman"/>
          <w:sz w:val="28"/>
          <w:szCs w:val="28"/>
        </w:rPr>
      </w:pPr>
    </w:p>
    <w:p w:rsidR="00F60E8A" w:rsidRDefault="00F60E8A" w:rsidP="00F60E8A">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Крім цього, ми провели кореляційний аналіз тривалості виживання та рівню міРНК-15а в тканинах НКР у хворих із значенням експресії &gt;0,10</w:t>
      </w:r>
      <w:r w:rsidRPr="005140FA">
        <w:rPr>
          <w:rFonts w:ascii="Times New Roman" w:hAnsi="Times New Roman" w:cs="Times New Roman"/>
          <w:sz w:val="28"/>
          <w:szCs w:val="28"/>
        </w:rPr>
        <w:t xml:space="preserve"> </w:t>
      </w:r>
      <w:r>
        <w:rPr>
          <w:rFonts w:ascii="Times New Roman" w:hAnsi="Times New Roman" w:cs="Times New Roman"/>
          <w:sz w:val="28"/>
          <w:szCs w:val="28"/>
        </w:rPr>
        <w:t>УО. Було отримано сильний обернений зв'язок між даними показниками, коефіцієнт кореляції Пірсона складав -0,805 (р</w:t>
      </w:r>
      <w:r w:rsidRPr="009E6C7E">
        <w:rPr>
          <w:rFonts w:ascii="Times New Roman" w:hAnsi="Times New Roman" w:cs="Times New Roman"/>
          <w:sz w:val="28"/>
          <w:szCs w:val="28"/>
          <w:lang w:val="ru-RU"/>
        </w:rPr>
        <w:t>&lt;</w:t>
      </w:r>
      <w:r>
        <w:rPr>
          <w:rFonts w:ascii="Times New Roman" w:hAnsi="Times New Roman" w:cs="Times New Roman"/>
          <w:sz w:val="28"/>
          <w:szCs w:val="28"/>
        </w:rPr>
        <w:t xml:space="preserve">0,001). </w:t>
      </w:r>
    </w:p>
    <w:p w:rsidR="00F60E8A" w:rsidRDefault="00F60E8A" w:rsidP="00F60E8A">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Значно вищі рівні експресії міР-15а в тканинах у порівнянні з сечею при ми пояснюємо значно вищою концентрацією даної молекулярної сполуки в тканинах. </w:t>
      </w:r>
    </w:p>
    <w:p w:rsidR="00F60E8A" w:rsidRPr="003A4144" w:rsidRDefault="00F60E8A" w:rsidP="00F60E8A">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Отримані дані свідчать, що</w:t>
      </w:r>
      <w:r>
        <w:rPr>
          <w:rFonts w:ascii="Times New Roman" w:hAnsi="Times New Roman" w:cs="Times New Roman"/>
          <w:color w:val="000000" w:themeColor="text1"/>
          <w:sz w:val="28"/>
          <w:szCs w:val="28"/>
        </w:rPr>
        <w:t xml:space="preserve"> як і при вивченні рівнів міРНК-15а в сечі, в тканинах НКР вона була суттєво надекспресована у порівнянні із нормальною нирковою паренхімою, що опосередковано підтверджує її роль у якості онко-промоутера (онкомір). На користь такого судження свідчить також прямий зв'язок між гіперекспресією даної молекулярної сполуки та розміром пухлини, ступенем ядерної атипії за </w:t>
      </w:r>
      <w:r>
        <w:rPr>
          <w:rFonts w:ascii="Times New Roman" w:hAnsi="Times New Roman" w:cs="Times New Roman"/>
          <w:color w:val="000000" w:themeColor="text1"/>
          <w:sz w:val="28"/>
          <w:szCs w:val="28"/>
          <w:lang w:val="en-US"/>
        </w:rPr>
        <w:t>Fuhrman</w:t>
      </w:r>
      <w:r>
        <w:rPr>
          <w:rFonts w:ascii="Times New Roman" w:hAnsi="Times New Roman" w:cs="Times New Roman"/>
          <w:color w:val="000000" w:themeColor="text1"/>
          <w:sz w:val="28"/>
          <w:szCs w:val="28"/>
        </w:rPr>
        <w:t xml:space="preserve">, а також наявністю некротичних змін в пухлині та поширенням її в реґіонарні лімфатичні вузли. Доведено, що при рівні експресії міРНК-15а в тканинах НКР </w:t>
      </w:r>
      <w:r>
        <w:rPr>
          <w:rFonts w:ascii="Times New Roman" w:hAnsi="Times New Roman" w:cs="Times New Roman"/>
          <w:sz w:val="28"/>
          <w:szCs w:val="28"/>
        </w:rPr>
        <w:t>&gt;0,10</w:t>
      </w:r>
      <w:r w:rsidRPr="005140FA">
        <w:rPr>
          <w:rFonts w:ascii="Times New Roman" w:hAnsi="Times New Roman" w:cs="Times New Roman"/>
          <w:sz w:val="28"/>
          <w:szCs w:val="28"/>
        </w:rPr>
        <w:t xml:space="preserve"> </w:t>
      </w:r>
      <w:r>
        <w:rPr>
          <w:rFonts w:ascii="Times New Roman" w:hAnsi="Times New Roman" w:cs="Times New Roman"/>
          <w:sz w:val="28"/>
          <w:szCs w:val="28"/>
        </w:rPr>
        <w:t>УО, раково-специфічна виживаність є суттєво коротшою у порівнянні з рівнями &lt;=0,10</w:t>
      </w:r>
      <w:r w:rsidRPr="005140FA">
        <w:rPr>
          <w:rFonts w:ascii="Times New Roman" w:hAnsi="Times New Roman" w:cs="Times New Roman"/>
          <w:sz w:val="28"/>
          <w:szCs w:val="28"/>
        </w:rPr>
        <w:t xml:space="preserve"> </w:t>
      </w:r>
      <w:r>
        <w:rPr>
          <w:rFonts w:ascii="Times New Roman" w:hAnsi="Times New Roman" w:cs="Times New Roman"/>
          <w:sz w:val="28"/>
          <w:szCs w:val="28"/>
        </w:rPr>
        <w:t xml:space="preserve">УО. Враховуючи наведене вище, а також наявність сильного оберненого корелятивного зв'язку між тривалістю виживання та рівнем експресії </w:t>
      </w:r>
      <w:r>
        <w:rPr>
          <w:rFonts w:ascii="Times New Roman" w:hAnsi="Times New Roman" w:cs="Times New Roman"/>
          <w:color w:val="000000" w:themeColor="text1"/>
          <w:sz w:val="28"/>
          <w:szCs w:val="28"/>
        </w:rPr>
        <w:t>міРНК-15а в тканинах пухлини, можна стверджувати, що дана молекулярна сполука може використання у якості прогностичного молекулярного біомаркеру НКР і має високий потенціал бути включеною в існуючі прогностичні системи, або використовуватись окремо.</w:t>
      </w:r>
    </w:p>
    <w:p w:rsidR="00F60E8A" w:rsidRPr="008357D6" w:rsidRDefault="00F60E8A" w:rsidP="00F60E8A">
      <w:pPr>
        <w:autoSpaceDE w:val="0"/>
        <w:autoSpaceDN w:val="0"/>
        <w:adjustRightInd w:val="0"/>
        <w:spacing w:after="0" w:line="360" w:lineRule="auto"/>
        <w:jc w:val="both"/>
        <w:rPr>
          <w:rFonts w:ascii="Times New Roman" w:hAnsi="Times New Roman" w:cs="Times New Roman"/>
          <w:sz w:val="28"/>
          <w:szCs w:val="28"/>
        </w:rPr>
      </w:pPr>
    </w:p>
    <w:p w:rsidR="00F60E8A" w:rsidRDefault="00F60E8A" w:rsidP="00F60E8A">
      <w:pPr>
        <w:spacing w:line="360" w:lineRule="auto"/>
        <w:rPr>
          <w:rFonts w:ascii="Times New Roman" w:hAnsi="Times New Roman" w:cs="Times New Roman"/>
          <w:sz w:val="28"/>
          <w:szCs w:val="28"/>
        </w:rPr>
      </w:pPr>
      <w:r>
        <w:rPr>
          <w:rFonts w:ascii="Times New Roman" w:hAnsi="Times New Roman" w:cs="Times New Roman"/>
          <w:sz w:val="28"/>
          <w:szCs w:val="28"/>
        </w:rPr>
        <w:tab/>
        <w:t xml:space="preserve"> </w:t>
      </w:r>
    </w:p>
    <w:p w:rsidR="0026445A" w:rsidRDefault="0026445A" w:rsidP="00F60E8A">
      <w:pPr>
        <w:spacing w:line="360" w:lineRule="auto"/>
        <w:rPr>
          <w:rFonts w:ascii="Times New Roman" w:hAnsi="Times New Roman" w:cs="Times New Roman"/>
          <w:sz w:val="28"/>
          <w:szCs w:val="28"/>
        </w:rPr>
      </w:pPr>
    </w:p>
    <w:p w:rsidR="0026445A" w:rsidRDefault="0026445A" w:rsidP="00F60E8A">
      <w:pPr>
        <w:spacing w:line="360" w:lineRule="auto"/>
        <w:rPr>
          <w:rFonts w:ascii="Times New Roman" w:hAnsi="Times New Roman" w:cs="Times New Roman"/>
          <w:sz w:val="28"/>
          <w:szCs w:val="28"/>
        </w:rPr>
      </w:pPr>
    </w:p>
    <w:p w:rsidR="0026445A" w:rsidRDefault="0026445A" w:rsidP="00F60E8A">
      <w:pPr>
        <w:spacing w:line="360" w:lineRule="auto"/>
        <w:rPr>
          <w:rFonts w:ascii="Times New Roman" w:hAnsi="Times New Roman" w:cs="Times New Roman"/>
          <w:sz w:val="28"/>
          <w:szCs w:val="28"/>
        </w:rPr>
      </w:pPr>
    </w:p>
    <w:p w:rsidR="0026445A" w:rsidRDefault="0026445A" w:rsidP="00F60E8A">
      <w:pPr>
        <w:spacing w:line="360" w:lineRule="auto"/>
        <w:rPr>
          <w:rFonts w:ascii="Times New Roman" w:hAnsi="Times New Roman" w:cs="Times New Roman"/>
          <w:sz w:val="28"/>
          <w:szCs w:val="28"/>
        </w:rPr>
      </w:pPr>
    </w:p>
    <w:p w:rsidR="009B794D" w:rsidRDefault="009B794D" w:rsidP="00F60E8A">
      <w:pPr>
        <w:spacing w:line="360" w:lineRule="auto"/>
        <w:rPr>
          <w:rFonts w:ascii="Times New Roman" w:hAnsi="Times New Roman" w:cs="Times New Roman"/>
          <w:sz w:val="28"/>
          <w:szCs w:val="28"/>
        </w:rPr>
      </w:pPr>
    </w:p>
    <w:p w:rsidR="009B794D" w:rsidRDefault="009B794D" w:rsidP="00F60E8A">
      <w:pPr>
        <w:spacing w:line="360" w:lineRule="auto"/>
        <w:rPr>
          <w:rFonts w:ascii="Times New Roman" w:hAnsi="Times New Roman" w:cs="Times New Roman"/>
          <w:sz w:val="28"/>
          <w:szCs w:val="28"/>
        </w:rPr>
      </w:pPr>
    </w:p>
    <w:p w:rsidR="0026445A" w:rsidRDefault="0026445A" w:rsidP="00F60E8A">
      <w:pPr>
        <w:spacing w:line="360" w:lineRule="auto"/>
        <w:rPr>
          <w:rFonts w:ascii="Times New Roman" w:hAnsi="Times New Roman" w:cs="Times New Roman"/>
          <w:sz w:val="28"/>
          <w:szCs w:val="28"/>
        </w:rPr>
      </w:pPr>
    </w:p>
    <w:p w:rsidR="0026445A" w:rsidRDefault="0026445A" w:rsidP="009B794D">
      <w:pPr>
        <w:spacing w:line="360" w:lineRule="auto"/>
        <w:contextualSpacing/>
        <w:jc w:val="both"/>
        <w:rPr>
          <w:rFonts w:ascii="Times New Roman" w:hAnsi="Times New Roman" w:cs="Times New Roman"/>
          <w:b/>
          <w:sz w:val="28"/>
          <w:szCs w:val="28"/>
        </w:rPr>
      </w:pPr>
      <w:r w:rsidRPr="00F23CED">
        <w:rPr>
          <w:rFonts w:ascii="Times New Roman" w:hAnsi="Times New Roman" w:cs="Times New Roman"/>
          <w:b/>
          <w:sz w:val="28"/>
          <w:szCs w:val="28"/>
        </w:rPr>
        <w:lastRenderedPageBreak/>
        <w:t>РОЗДІЛ 7. РАДІОГЕНЕТИЧНИЙ АНАЛІЗ ПРИ ПЕРСОНАЛІ</w:t>
      </w:r>
      <w:r w:rsidR="009B794D">
        <w:rPr>
          <w:rFonts w:ascii="Times New Roman" w:hAnsi="Times New Roman" w:cs="Times New Roman"/>
          <w:b/>
          <w:sz w:val="28"/>
          <w:szCs w:val="28"/>
        </w:rPr>
        <w:t>-</w:t>
      </w:r>
      <w:r w:rsidRPr="00F23CED">
        <w:rPr>
          <w:rFonts w:ascii="Times New Roman" w:hAnsi="Times New Roman" w:cs="Times New Roman"/>
          <w:b/>
          <w:sz w:val="28"/>
          <w:szCs w:val="28"/>
        </w:rPr>
        <w:t>ЗОВАНОМУ ПІДХОДІ ДО ВЕДЕННЯ ХВОРИХ ІЗ НИРКОВО-КЛІТИННИМ РАКОМ</w:t>
      </w:r>
    </w:p>
    <w:p w:rsidR="0026445A" w:rsidRDefault="0026445A" w:rsidP="0026445A">
      <w:pPr>
        <w:spacing w:line="360" w:lineRule="auto"/>
        <w:contextualSpacing/>
        <w:jc w:val="both"/>
        <w:rPr>
          <w:rFonts w:ascii="Times New Roman" w:hAnsi="Times New Roman" w:cs="Times New Roman"/>
          <w:b/>
          <w:sz w:val="28"/>
          <w:szCs w:val="28"/>
        </w:rPr>
      </w:pPr>
    </w:p>
    <w:p w:rsidR="0026445A" w:rsidRDefault="0026445A" w:rsidP="0026445A">
      <w:pPr>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sidRPr="00B026C6">
        <w:rPr>
          <w:rFonts w:ascii="Times New Roman" w:hAnsi="Times New Roman" w:cs="Times New Roman"/>
          <w:sz w:val="28"/>
          <w:szCs w:val="28"/>
        </w:rPr>
        <w:t>В останні роки, із</w:t>
      </w:r>
      <w:r>
        <w:rPr>
          <w:rFonts w:ascii="Times New Roman" w:hAnsi="Times New Roman" w:cs="Times New Roman"/>
          <w:sz w:val="28"/>
          <w:szCs w:val="28"/>
        </w:rPr>
        <w:t xml:space="preserve"> появою нових методів променевої та молекулярної діагностики інтерес дослідників привертає поєднання даних результатів цих досліджень для підвищення точності чи полегшення характеристики пухлини, її диференційної діагностики, стадіювання, прогнозування перебігу у порівнянні із класичним гістопатологічним підходом. Корім цього, особливий інтерес представляє вивчення асоціацій даних променевих і молекулярних досліджень та можливості практичного застосування таких зав’язків при пухлинних процесах. Такий новітній напрямок в медицині отримав від вчених назву «радіогеноміка» або «радіогенетика», та позиціонується, як компонент точної та персоналізованої медицини, яка являє собою</w:t>
      </w:r>
      <w:r w:rsidRPr="00160763">
        <w:rPr>
          <w:rFonts w:ascii="Times New Roman" w:hAnsi="Times New Roman" w:cs="Times New Roman"/>
          <w:sz w:val="28"/>
          <w:szCs w:val="28"/>
        </w:rPr>
        <w:t xml:space="preserve"> модель організації медичної допомоги, що базується на виборі діагностичних, лікувальних та профілактичних засобів, які були б оптимальними у даної особи з урахуванням її генетичних, фізіологічних, біохімічних, метаболічних чи ін</w:t>
      </w:r>
      <w:r>
        <w:rPr>
          <w:rFonts w:ascii="Times New Roman" w:hAnsi="Times New Roman" w:cs="Times New Roman"/>
          <w:sz w:val="28"/>
          <w:szCs w:val="28"/>
        </w:rPr>
        <w:t>ших індивідуальних особливостей та показників біомаркерів.</w:t>
      </w:r>
    </w:p>
    <w:p w:rsidR="0026445A" w:rsidRDefault="0026445A" w:rsidP="0026445A">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попередніх розділах нами було отримано дані, щодо високої прогностичної цінності тканинної експресії міРНК-15а у хворих із конвенційним НКР, а також зв'язок рівню експресії із наявністю некротичних змін пухлини, які такі можуть бути виявлені не лише патоморфологічно, але і радіологічно. У зв’язку з цим, нами була висунена гіпотеза про існування взаємозв’язків із іншими променевими ознаками НКР та рівнем експресії мікроРНК-15а. Метою дослідження було вивчення взаємозв’язків із променевими параметрами пухлини та тканинною експресією мікроРНК-15а у хворих із НКР та можливості передбачення рівню експресії за допомогою цих параметрів. Для цього нами ретроспективно було проаналізовано результати променевих обстежень пацієнтів із конвенційним НКР (за даними </w:t>
      </w:r>
      <w:r>
        <w:rPr>
          <w:rFonts w:ascii="Times New Roman" w:hAnsi="Times New Roman" w:cs="Times New Roman"/>
          <w:sz w:val="28"/>
          <w:szCs w:val="28"/>
        </w:rPr>
        <w:lastRenderedPageBreak/>
        <w:t>історій хворіб), у яких ми в попередній частині дослідження визначали тканинну експресію міРНК-15а (</w:t>
      </w:r>
      <w:r>
        <w:rPr>
          <w:rFonts w:ascii="Times New Roman" w:hAnsi="Times New Roman" w:cs="Times New Roman"/>
          <w:sz w:val="28"/>
          <w:szCs w:val="28"/>
          <w:lang w:val="en-US"/>
        </w:rPr>
        <w:t>n</w:t>
      </w:r>
      <w:r w:rsidRPr="009E6C7E">
        <w:rPr>
          <w:rFonts w:ascii="Times New Roman" w:hAnsi="Times New Roman" w:cs="Times New Roman"/>
          <w:sz w:val="28"/>
          <w:szCs w:val="28"/>
          <w:lang w:val="ru-RU"/>
        </w:rPr>
        <w:t>=</w:t>
      </w:r>
      <w:r>
        <w:rPr>
          <w:rFonts w:ascii="Times New Roman" w:hAnsi="Times New Roman" w:cs="Times New Roman"/>
          <w:sz w:val="28"/>
          <w:szCs w:val="28"/>
        </w:rPr>
        <w:t xml:space="preserve">64), на основі чого було проведено радіогеномний аналіз. Детальна характеристика хворих із НКР наведена у розділі 6 (таблиця 6.1). </w:t>
      </w:r>
    </w:p>
    <w:p w:rsidR="0026445A" w:rsidRPr="00EB1A83" w:rsidRDefault="0026445A" w:rsidP="0026445A">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Радіологічні параметри пухлини відбирались таким чином, щоб їх виявлення було можливим як за допомогою КТ, так і МРТ із контрастуванням, а також зустрічались із такою частотою, щоб можна було провести статистичний аналіз. Таким чином, нами були виділені шість наступних радіологічних критеріїв НКР: розмір, наявність кістозного компоненту, екзофітного росту </w:t>
      </w:r>
      <w:r w:rsidRPr="00186DC3">
        <w:rPr>
          <w:rFonts w:ascii="Times New Roman" w:hAnsi="Times New Roman" w:cs="Times New Roman"/>
          <w:sz w:val="28"/>
          <w:szCs w:val="28"/>
        </w:rPr>
        <w:t>≥50%</w:t>
      </w:r>
      <w:r>
        <w:rPr>
          <w:rFonts w:ascii="Times New Roman" w:hAnsi="Times New Roman" w:cs="Times New Roman"/>
          <w:sz w:val="28"/>
          <w:szCs w:val="28"/>
        </w:rPr>
        <w:t xml:space="preserve"> за межі контуру нирки, некрозу, макроскопічного жиру та нодулярного контрастного посилення. </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Крім цього, нами були співставлені дані радіологічних заключень та патоморфологічних досліджень для верифікації радіологічних ознак некрозу та макроскопічного жиру пухлини, у всіх випадках результати були конкордантними.</w:t>
      </w:r>
    </w:p>
    <w:p w:rsidR="0026445A" w:rsidRDefault="0026445A" w:rsidP="0026445A">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Статистичний аналіз виконувався за допомогою програмного забезпечення </w:t>
      </w:r>
      <w:r w:rsidRPr="000B549B">
        <w:rPr>
          <w:rFonts w:ascii="Times New Roman" w:hAnsi="Times New Roman" w:cs="Times New Roman"/>
          <w:sz w:val="28"/>
          <w:szCs w:val="28"/>
          <w:lang w:val="en-US"/>
        </w:rPr>
        <w:t>R</w:t>
      </w:r>
      <w:r w:rsidRPr="000B549B">
        <w:rPr>
          <w:rFonts w:ascii="Times New Roman" w:hAnsi="Times New Roman" w:cs="Times New Roman"/>
          <w:sz w:val="28"/>
          <w:szCs w:val="28"/>
        </w:rPr>
        <w:t xml:space="preserve"> (</w:t>
      </w:r>
      <w:hyperlink r:id="rId113" w:history="1">
        <w:r w:rsidRPr="009004BE">
          <w:rPr>
            <w:rStyle w:val="Hyperlink"/>
            <w:rFonts w:ascii="Times New Roman" w:hAnsi="Times New Roman" w:cs="Times New Roman"/>
            <w:sz w:val="28"/>
            <w:szCs w:val="28"/>
            <w:lang w:val="en-US"/>
          </w:rPr>
          <w:t>www</w:t>
        </w:r>
        <w:r w:rsidRPr="009004BE">
          <w:rPr>
            <w:rStyle w:val="Hyperlink"/>
            <w:rFonts w:ascii="Times New Roman" w:hAnsi="Times New Roman" w:cs="Times New Roman"/>
            <w:sz w:val="28"/>
            <w:szCs w:val="28"/>
            <w:lang w:val="ru-RU"/>
          </w:rPr>
          <w:t>.</w:t>
        </w:r>
        <w:r w:rsidRPr="009004BE">
          <w:rPr>
            <w:rStyle w:val="Hyperlink"/>
            <w:rFonts w:ascii="Times New Roman" w:hAnsi="Times New Roman" w:cs="Times New Roman"/>
            <w:sz w:val="28"/>
            <w:szCs w:val="28"/>
            <w:lang w:val="en-US"/>
          </w:rPr>
          <w:t>r</w:t>
        </w:r>
        <w:r w:rsidRPr="009004BE">
          <w:rPr>
            <w:rStyle w:val="Hyperlink"/>
            <w:rFonts w:ascii="Times New Roman" w:hAnsi="Times New Roman" w:cs="Times New Roman"/>
            <w:sz w:val="28"/>
            <w:szCs w:val="28"/>
            <w:lang w:val="ru-RU"/>
          </w:rPr>
          <w:t>-</w:t>
        </w:r>
        <w:r w:rsidRPr="009004BE">
          <w:rPr>
            <w:rStyle w:val="Hyperlink"/>
            <w:rFonts w:ascii="Times New Roman" w:hAnsi="Times New Roman" w:cs="Times New Roman"/>
            <w:sz w:val="28"/>
            <w:szCs w:val="28"/>
            <w:lang w:val="en-US"/>
          </w:rPr>
          <w:t>project</w:t>
        </w:r>
        <w:r w:rsidRPr="009004BE">
          <w:rPr>
            <w:rStyle w:val="Hyperlink"/>
            <w:rFonts w:ascii="Times New Roman" w:hAnsi="Times New Roman" w:cs="Times New Roman"/>
            <w:sz w:val="28"/>
            <w:szCs w:val="28"/>
            <w:lang w:val="ru-RU"/>
          </w:rPr>
          <w:t>.</w:t>
        </w:r>
        <w:r w:rsidRPr="009004BE">
          <w:rPr>
            <w:rStyle w:val="Hyperlink"/>
            <w:rFonts w:ascii="Times New Roman" w:hAnsi="Times New Roman" w:cs="Times New Roman"/>
            <w:sz w:val="28"/>
            <w:szCs w:val="28"/>
            <w:lang w:val="en-US"/>
          </w:rPr>
          <w:t>org</w:t>
        </w:r>
      </w:hyperlink>
      <w:r w:rsidRPr="009004BE">
        <w:rPr>
          <w:rFonts w:ascii="Times New Roman" w:hAnsi="Times New Roman" w:cs="Times New Roman"/>
          <w:sz w:val="28"/>
          <w:szCs w:val="28"/>
          <w:lang w:val="ru-RU"/>
        </w:rPr>
        <w:t>,</w:t>
      </w:r>
      <w:r w:rsidRPr="009E6C7E">
        <w:rPr>
          <w:rFonts w:ascii="Times New Roman" w:hAnsi="Times New Roman" w:cs="Times New Roman"/>
          <w:sz w:val="28"/>
          <w:szCs w:val="28"/>
          <w:lang w:val="ru-RU"/>
        </w:rPr>
        <w:t xml:space="preserve"> </w:t>
      </w:r>
      <w:r w:rsidRPr="000B549B">
        <w:rPr>
          <w:rFonts w:ascii="Times New Roman" w:hAnsi="Times New Roman" w:cs="Times New Roman"/>
          <w:sz w:val="28"/>
          <w:szCs w:val="28"/>
          <w:lang w:val="en-US"/>
        </w:rPr>
        <w:t>v</w:t>
      </w:r>
      <w:r w:rsidRPr="009E6C7E">
        <w:rPr>
          <w:rFonts w:ascii="Times New Roman" w:hAnsi="Times New Roman" w:cs="Times New Roman"/>
          <w:sz w:val="28"/>
          <w:szCs w:val="28"/>
          <w:lang w:val="ru-RU"/>
        </w:rPr>
        <w:t>. 3.3.2</w:t>
      </w:r>
      <w:r>
        <w:rPr>
          <w:rFonts w:ascii="Times New Roman" w:hAnsi="Times New Roman" w:cs="Times New Roman"/>
          <w:sz w:val="28"/>
          <w:szCs w:val="28"/>
        </w:rPr>
        <w:t xml:space="preserve">). Для визначення коефіцієнтів асоціації експресії міР-15а та радіологічними параметрами пухлини була побудована поліноміальна модель регресії. Точність моделі визначалась за допомогою методу Фішера  (скорегованого </w:t>
      </w:r>
      <w:r w:rsidRPr="000B549B">
        <w:rPr>
          <w:rFonts w:ascii="Times New Roman" w:hAnsi="Times New Roman" w:cs="Times New Roman"/>
          <w:sz w:val="28"/>
          <w:szCs w:val="28"/>
          <w:lang w:val="en-US"/>
        </w:rPr>
        <w:t>R</w:t>
      </w:r>
      <w:r w:rsidRPr="009E6C7E">
        <w:rPr>
          <w:rFonts w:ascii="Times New Roman" w:hAnsi="Times New Roman" w:cs="Times New Roman"/>
          <w:sz w:val="28"/>
          <w:szCs w:val="28"/>
          <w:vertAlign w:val="superscript"/>
          <w:lang w:val="ru-RU"/>
        </w:rPr>
        <w:t>2</w:t>
      </w:r>
      <w:r w:rsidRPr="000B549B">
        <w:rPr>
          <w:rFonts w:ascii="Times New Roman" w:hAnsi="Times New Roman" w:cs="Times New Roman"/>
          <w:sz w:val="28"/>
          <w:szCs w:val="28"/>
        </w:rPr>
        <w:t>)</w:t>
      </w:r>
      <w:r>
        <w:rPr>
          <w:rFonts w:ascii="Times New Roman" w:hAnsi="Times New Roman" w:cs="Times New Roman"/>
          <w:sz w:val="28"/>
          <w:szCs w:val="28"/>
        </w:rPr>
        <w:t>, результат вважався статистично достовірним при р</w:t>
      </w:r>
      <w:r w:rsidRPr="009E6C7E">
        <w:rPr>
          <w:rFonts w:ascii="Times New Roman" w:hAnsi="Times New Roman" w:cs="Times New Roman"/>
          <w:sz w:val="28"/>
          <w:szCs w:val="28"/>
          <w:lang w:val="ru-RU"/>
        </w:rPr>
        <w:t>&lt;</w:t>
      </w:r>
      <w:r>
        <w:rPr>
          <w:rFonts w:ascii="Times New Roman" w:hAnsi="Times New Roman" w:cs="Times New Roman"/>
          <w:sz w:val="28"/>
          <w:szCs w:val="28"/>
        </w:rPr>
        <w:t xml:space="preserve">0,05. </w:t>
      </w:r>
    </w:p>
    <w:p w:rsidR="0026445A" w:rsidRDefault="0026445A" w:rsidP="0026445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результаті проведеного аналізу було виявлено, що променеві ознаки кістозного компоненту пухлини, її екзофітного росту, некрозу, макроскопічного жиру та нодулярного контрастного посилення спостерігались відповідно у 29,69%, 23,44%, 32,81%, 20,31% та 37,5% хворих. При цьому, середні рівні експресії міРНК-15а при наявності кожної з ознак становили відповідно 0,35±1,02 УО, 0,34±1,09 УО, 4,01±3,42 УО, 0,29±0,87 та 2,91±3,24 УО. При відсутності вказаних ознак середня експресія міР-15а становила відповідно 2,01±2,93 УО, 1,88±2,85 УО, 0,82±1,85 У</w:t>
      </w:r>
      <w:r w:rsidR="009B794D">
        <w:rPr>
          <w:rFonts w:ascii="Times New Roman" w:hAnsi="Times New Roman" w:cs="Times New Roman"/>
          <w:sz w:val="28"/>
          <w:szCs w:val="28"/>
        </w:rPr>
        <w:t>О, 1,83±2,83 УО та 0,68±1,72 УО</w:t>
      </w:r>
      <w:r>
        <w:rPr>
          <w:rFonts w:ascii="Times New Roman" w:hAnsi="Times New Roman" w:cs="Times New Roman"/>
          <w:sz w:val="28"/>
          <w:szCs w:val="28"/>
        </w:rPr>
        <w:t xml:space="preserve"> </w:t>
      </w:r>
      <w:r w:rsidR="000F406C">
        <w:rPr>
          <w:rFonts w:ascii="Times New Roman" w:hAnsi="Times New Roman" w:cs="Times New Roman"/>
          <w:sz w:val="28"/>
          <w:szCs w:val="28"/>
        </w:rPr>
        <w:t>(рисунок 7.1</w:t>
      </w:r>
      <w:r w:rsidR="009B794D">
        <w:rPr>
          <w:rFonts w:ascii="Times New Roman" w:hAnsi="Times New Roman" w:cs="Times New Roman"/>
          <w:sz w:val="28"/>
          <w:szCs w:val="28"/>
        </w:rPr>
        <w:t>).</w:t>
      </w:r>
    </w:p>
    <w:p w:rsidR="0026445A" w:rsidRDefault="0026445A" w:rsidP="0026445A">
      <w:pPr>
        <w:spacing w:line="360" w:lineRule="auto"/>
        <w:jc w:val="both"/>
        <w:rPr>
          <w:rFonts w:ascii="Times New Roman" w:hAnsi="Times New Roman" w:cs="Times New Roman"/>
          <w:sz w:val="28"/>
          <w:szCs w:val="28"/>
        </w:rPr>
      </w:pPr>
      <w:r>
        <w:rPr>
          <w:noProof/>
          <w:lang w:val="en-US"/>
        </w:rPr>
        <w:lastRenderedPageBreak/>
        <w:drawing>
          <wp:inline distT="0" distB="0" distL="0" distR="0" wp14:anchorId="7C36ED61" wp14:editId="623DA73C">
            <wp:extent cx="6120765" cy="3943350"/>
            <wp:effectExtent l="0" t="0" r="13335" b="0"/>
            <wp:docPr id="233" name="Диаграмма 2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26445A" w:rsidRDefault="000F406C" w:rsidP="0026445A">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7.1</w:t>
      </w:r>
      <w:r w:rsidR="0026445A">
        <w:rPr>
          <w:rFonts w:ascii="Times New Roman" w:hAnsi="Times New Roman" w:cs="Times New Roman"/>
          <w:sz w:val="28"/>
          <w:szCs w:val="28"/>
        </w:rPr>
        <w:t>. Середні рівні експресії міР-15а (лінія, позначено стандартне відхилення) в залежності від присутності (+) чи відсутності (-) променевих ознак кістозного компоненту пухлини, її екзофітного росту, некрозу, макроскопічного жиру та нодулярного контрастного посилення (стовбці)</w:t>
      </w:r>
    </w:p>
    <w:p w:rsidR="00C36617" w:rsidRDefault="00C36617" w:rsidP="0026445A">
      <w:pPr>
        <w:spacing w:line="360" w:lineRule="auto"/>
        <w:jc w:val="center"/>
        <w:rPr>
          <w:rFonts w:ascii="Times New Roman" w:hAnsi="Times New Roman" w:cs="Times New Roman"/>
          <w:sz w:val="28"/>
          <w:szCs w:val="28"/>
        </w:rPr>
      </w:pPr>
    </w:p>
    <w:p w:rsidR="0026445A" w:rsidRDefault="009B794D" w:rsidP="009B794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найвищі рівні експресії міР-15а спостерігались при радіологічних ознаках некрозу пухлини, а найнижчі – при КТ- чи МРТ-ознаках макроскопічного жиру. При порівнянні середніх значень експресії міР-15а при наявності та відсутності ознаки, у всіх випадках було отримано статистично достовірну різницю (р</w:t>
      </w:r>
      <w:r w:rsidRPr="009E6C7E">
        <w:rPr>
          <w:rFonts w:ascii="Times New Roman" w:hAnsi="Times New Roman" w:cs="Times New Roman"/>
          <w:sz w:val="28"/>
          <w:szCs w:val="28"/>
        </w:rPr>
        <w:t>&lt;</w:t>
      </w:r>
      <w:r>
        <w:rPr>
          <w:rFonts w:ascii="Times New Roman" w:hAnsi="Times New Roman" w:cs="Times New Roman"/>
          <w:sz w:val="28"/>
          <w:szCs w:val="28"/>
        </w:rPr>
        <w:t>0,05).</w:t>
      </w:r>
    </w:p>
    <w:p w:rsidR="0026445A" w:rsidRPr="003A7C34" w:rsidRDefault="0026445A" w:rsidP="0026445A">
      <w:pPr>
        <w:spacing w:line="360" w:lineRule="auto"/>
        <w:jc w:val="both"/>
        <w:rPr>
          <w:rFonts w:ascii="Times New Roman" w:hAnsi="Times New Roman" w:cs="Times New Roman"/>
          <w:sz w:val="28"/>
          <w:szCs w:val="28"/>
        </w:rPr>
      </w:pPr>
      <w:r>
        <w:rPr>
          <w:rFonts w:ascii="Times New Roman" w:hAnsi="Times New Roman" w:cs="Times New Roman"/>
          <w:sz w:val="28"/>
          <w:szCs w:val="28"/>
        </w:rPr>
        <w:tab/>
        <w:t>В попередньому розділі</w:t>
      </w:r>
      <w:r w:rsidRPr="003A7C34">
        <w:rPr>
          <w:rFonts w:ascii="Times New Roman" w:hAnsi="Times New Roman" w:cs="Times New Roman"/>
          <w:sz w:val="28"/>
          <w:szCs w:val="28"/>
        </w:rPr>
        <w:t xml:space="preserve"> нами було </w:t>
      </w:r>
      <w:r>
        <w:rPr>
          <w:rFonts w:ascii="Times New Roman" w:hAnsi="Times New Roman" w:cs="Times New Roman"/>
          <w:sz w:val="28"/>
          <w:szCs w:val="28"/>
        </w:rPr>
        <w:t>виявлено</w:t>
      </w:r>
      <w:r w:rsidRPr="003A7C34">
        <w:rPr>
          <w:rFonts w:ascii="Times New Roman" w:hAnsi="Times New Roman" w:cs="Times New Roman"/>
          <w:sz w:val="28"/>
          <w:szCs w:val="28"/>
        </w:rPr>
        <w:t xml:space="preserve"> існування сильного позитивного взаємозв’язку між розміром пухлини у</w:t>
      </w:r>
      <w:r>
        <w:rPr>
          <w:rFonts w:ascii="Times New Roman" w:hAnsi="Times New Roman" w:cs="Times New Roman"/>
          <w:sz w:val="28"/>
          <w:szCs w:val="28"/>
        </w:rPr>
        <w:t xml:space="preserve"> найбільшому перерізі</w:t>
      </w:r>
      <w:r w:rsidRPr="003A7C34">
        <w:rPr>
          <w:rFonts w:ascii="Times New Roman" w:hAnsi="Times New Roman" w:cs="Times New Roman"/>
          <w:sz w:val="28"/>
          <w:szCs w:val="28"/>
        </w:rPr>
        <w:t xml:space="preserve"> хворих із </w:t>
      </w:r>
      <w:r>
        <w:rPr>
          <w:rFonts w:ascii="Times New Roman" w:hAnsi="Times New Roman" w:cs="Times New Roman"/>
          <w:sz w:val="28"/>
          <w:szCs w:val="28"/>
        </w:rPr>
        <w:t>ск</w:t>
      </w:r>
      <w:r w:rsidRPr="003A7C34">
        <w:rPr>
          <w:rFonts w:ascii="Times New Roman" w:hAnsi="Times New Roman" w:cs="Times New Roman"/>
          <w:sz w:val="28"/>
          <w:szCs w:val="28"/>
        </w:rPr>
        <w:t xml:space="preserve">НКР та рівнем експресії міРНК-15а, коефіцієнт кореляції Пірсона становив 0,724 (р&lt;0,001). </w:t>
      </w:r>
      <w:r>
        <w:rPr>
          <w:rFonts w:ascii="Times New Roman" w:hAnsi="Times New Roman" w:cs="Times New Roman"/>
          <w:sz w:val="28"/>
          <w:szCs w:val="28"/>
        </w:rPr>
        <w:t xml:space="preserve">Ці дані були доповнені тим, що при створенні нелінійної моделі регресії, розмір пухлини виступав найсильнішим </w:t>
      </w:r>
      <w:r>
        <w:rPr>
          <w:rFonts w:ascii="Times New Roman" w:hAnsi="Times New Roman" w:cs="Times New Roman"/>
          <w:sz w:val="28"/>
          <w:szCs w:val="28"/>
        </w:rPr>
        <w:lastRenderedPageBreak/>
        <w:t xml:space="preserve">предиктором експресії міР-15а у порівнянні із іншими променевими параметрами (ознаками), застосування виключно розміру для прогнозування тканинної експресії дозволяло отримати значення скорегованого </w:t>
      </w:r>
      <w:r w:rsidRPr="000B549B">
        <w:rPr>
          <w:rFonts w:ascii="Times New Roman" w:hAnsi="Times New Roman" w:cs="Times New Roman"/>
          <w:sz w:val="28"/>
          <w:szCs w:val="28"/>
          <w:lang w:val="en-US"/>
        </w:rPr>
        <w:t>R</w:t>
      </w:r>
      <w:r w:rsidRPr="009E6C7E">
        <w:rPr>
          <w:rFonts w:ascii="Times New Roman" w:hAnsi="Times New Roman" w:cs="Times New Roman"/>
          <w:sz w:val="28"/>
          <w:szCs w:val="28"/>
          <w:vertAlign w:val="superscript"/>
        </w:rPr>
        <w:t>2</w:t>
      </w:r>
      <w:r>
        <w:rPr>
          <w:rFonts w:ascii="Times New Roman" w:hAnsi="Times New Roman" w:cs="Times New Roman"/>
          <w:sz w:val="28"/>
          <w:szCs w:val="28"/>
        </w:rPr>
        <w:t xml:space="preserve"> – 0,8281 (р</w:t>
      </w:r>
      <w:r w:rsidRPr="009E6C7E">
        <w:rPr>
          <w:rFonts w:ascii="Times New Roman" w:hAnsi="Times New Roman" w:cs="Times New Roman"/>
          <w:sz w:val="28"/>
          <w:szCs w:val="28"/>
        </w:rPr>
        <w:t>&lt;0,001</w:t>
      </w:r>
      <w:r w:rsidRPr="003A7C34">
        <w:rPr>
          <w:rFonts w:ascii="Times New Roman" w:hAnsi="Times New Roman" w:cs="Times New Roman"/>
          <w:sz w:val="28"/>
          <w:szCs w:val="28"/>
        </w:rPr>
        <w:t xml:space="preserve">). Іншими словами, </w:t>
      </w:r>
      <w:r>
        <w:rPr>
          <w:rFonts w:ascii="Times New Roman" w:hAnsi="Times New Roman" w:cs="Times New Roman"/>
          <w:sz w:val="28"/>
          <w:szCs w:val="28"/>
        </w:rPr>
        <w:t>розмір скНКР пояснював 82,81% від всіх значень експресі</w:t>
      </w:r>
      <w:r w:rsidR="000F406C">
        <w:rPr>
          <w:rFonts w:ascii="Times New Roman" w:hAnsi="Times New Roman" w:cs="Times New Roman"/>
          <w:sz w:val="28"/>
          <w:szCs w:val="28"/>
        </w:rPr>
        <w:t>ї міР-15а (рисунок 7.2</w:t>
      </w:r>
      <w:r>
        <w:rPr>
          <w:rFonts w:ascii="Times New Roman" w:hAnsi="Times New Roman" w:cs="Times New Roman"/>
          <w:sz w:val="28"/>
          <w:szCs w:val="28"/>
        </w:rPr>
        <w:t>).</w:t>
      </w:r>
    </w:p>
    <w:p w:rsidR="0026445A" w:rsidRDefault="0026445A" w:rsidP="0026445A">
      <w:pPr>
        <w:spacing w:line="360" w:lineRule="auto"/>
        <w:jc w:val="center"/>
        <w:rPr>
          <w:rFonts w:ascii="Times New Roman" w:hAnsi="Times New Roman" w:cs="Times New Roman"/>
          <w:sz w:val="28"/>
          <w:szCs w:val="28"/>
        </w:rPr>
      </w:pPr>
      <w:r w:rsidRPr="007134B0">
        <w:rPr>
          <w:noProof/>
          <w:sz w:val="20"/>
          <w:szCs w:val="20"/>
          <w:lang w:val="en-US"/>
        </w:rPr>
        <w:drawing>
          <wp:inline distT="0" distB="0" distL="0" distR="0" wp14:anchorId="72459285" wp14:editId="7212DD78">
            <wp:extent cx="4923454" cy="3038475"/>
            <wp:effectExtent l="0" t="0" r="0" b="0"/>
            <wp:docPr id="2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965345" cy="3064327"/>
                    </a:xfrm>
                    <a:prstGeom prst="rect">
                      <a:avLst/>
                    </a:prstGeom>
                  </pic:spPr>
                </pic:pic>
              </a:graphicData>
            </a:graphic>
          </wp:inline>
        </w:drawing>
      </w:r>
    </w:p>
    <w:p w:rsidR="0026445A" w:rsidRDefault="000F406C" w:rsidP="0026445A">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7.2</w:t>
      </w:r>
      <w:r w:rsidR="0026445A">
        <w:rPr>
          <w:rFonts w:ascii="Times New Roman" w:hAnsi="Times New Roman" w:cs="Times New Roman"/>
          <w:sz w:val="28"/>
          <w:szCs w:val="28"/>
        </w:rPr>
        <w:t xml:space="preserve">. Графік нелінійної асоціації між </w:t>
      </w:r>
      <w:r w:rsidR="0026445A">
        <w:rPr>
          <w:rFonts w:ascii="Times New Roman" w:hAnsi="Times New Roman" w:cs="Times New Roman"/>
          <w:sz w:val="28"/>
          <w:szCs w:val="28"/>
          <w:lang w:val="en-US"/>
        </w:rPr>
        <w:t>log</w:t>
      </w:r>
      <w:r w:rsidR="0026445A" w:rsidRPr="009E6C7E">
        <w:rPr>
          <w:rFonts w:ascii="Times New Roman" w:hAnsi="Times New Roman" w:cs="Times New Roman"/>
          <w:sz w:val="28"/>
          <w:szCs w:val="28"/>
        </w:rPr>
        <w:t xml:space="preserve"> </w:t>
      </w:r>
      <w:r w:rsidR="0026445A">
        <w:rPr>
          <w:rFonts w:ascii="Times New Roman" w:hAnsi="Times New Roman" w:cs="Times New Roman"/>
          <w:sz w:val="28"/>
          <w:szCs w:val="28"/>
        </w:rPr>
        <w:t xml:space="preserve">експресії міР-15а та </w:t>
      </w:r>
      <w:r w:rsidR="0026445A">
        <w:rPr>
          <w:rFonts w:ascii="Times New Roman" w:hAnsi="Times New Roman" w:cs="Times New Roman"/>
          <w:sz w:val="28"/>
          <w:szCs w:val="28"/>
          <w:lang w:val="en-US"/>
        </w:rPr>
        <w:t>log</w:t>
      </w:r>
      <w:r w:rsidR="0026445A">
        <w:rPr>
          <w:rFonts w:ascii="Times New Roman" w:hAnsi="Times New Roman" w:cs="Times New Roman"/>
          <w:sz w:val="28"/>
          <w:szCs w:val="28"/>
        </w:rPr>
        <w:t xml:space="preserve"> розміру НКР (ступінь свободи=2)</w:t>
      </w:r>
    </w:p>
    <w:p w:rsidR="0026445A" w:rsidRDefault="0026445A" w:rsidP="0026445A">
      <w:pPr>
        <w:spacing w:line="360" w:lineRule="auto"/>
        <w:ind w:firstLine="708"/>
        <w:jc w:val="both"/>
        <w:rPr>
          <w:rFonts w:ascii="Times New Roman" w:hAnsi="Times New Roman" w:cs="Times New Roman"/>
          <w:sz w:val="28"/>
          <w:szCs w:val="28"/>
        </w:rPr>
      </w:pPr>
    </w:p>
    <w:p w:rsidR="0026445A" w:rsidRDefault="0026445A" w:rsidP="0026445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поєднанні розміру пухлини та набору вказаних променевих ознак для передбачення рівню тканинної експресії міР-15а, нами було отримані ще кращі результати: скорегований </w:t>
      </w:r>
      <w:r w:rsidRPr="000B549B">
        <w:rPr>
          <w:rFonts w:ascii="Times New Roman" w:hAnsi="Times New Roman" w:cs="Times New Roman"/>
          <w:sz w:val="28"/>
          <w:szCs w:val="28"/>
          <w:lang w:val="en-US"/>
        </w:rPr>
        <w:t>R</w:t>
      </w:r>
      <w:r w:rsidRPr="009E6C7E">
        <w:rPr>
          <w:rFonts w:ascii="Times New Roman" w:hAnsi="Times New Roman" w:cs="Times New Roman"/>
          <w:sz w:val="28"/>
          <w:szCs w:val="28"/>
          <w:vertAlign w:val="superscript"/>
        </w:rPr>
        <w:t>2</w:t>
      </w:r>
      <w:r>
        <w:rPr>
          <w:rFonts w:ascii="Times New Roman" w:hAnsi="Times New Roman" w:cs="Times New Roman"/>
          <w:sz w:val="28"/>
          <w:szCs w:val="28"/>
        </w:rPr>
        <w:t xml:space="preserve"> складав 0,8336 (р</w:t>
      </w:r>
      <w:r w:rsidRPr="009E6C7E">
        <w:rPr>
          <w:rFonts w:ascii="Times New Roman" w:hAnsi="Times New Roman" w:cs="Times New Roman"/>
          <w:sz w:val="28"/>
          <w:szCs w:val="28"/>
        </w:rPr>
        <w:t>&lt;0,001</w:t>
      </w:r>
      <w:r>
        <w:rPr>
          <w:rFonts w:ascii="Times New Roman" w:hAnsi="Times New Roman" w:cs="Times New Roman"/>
          <w:sz w:val="28"/>
          <w:szCs w:val="28"/>
        </w:rPr>
        <w:t xml:space="preserve">), тобто 83,36% значень експресії можна було пояснити за допомогою створеної поліноміальної моделі </w:t>
      </w:r>
      <w:r w:rsidRPr="009E6C7E">
        <w:rPr>
          <w:rFonts w:ascii="Times New Roman" w:hAnsi="Times New Roman" w:cs="Times New Roman"/>
          <w:sz w:val="28"/>
          <w:szCs w:val="28"/>
        </w:rPr>
        <w:t>(</w:t>
      </w:r>
      <w:r>
        <w:rPr>
          <w:rFonts w:ascii="Times New Roman" w:hAnsi="Times New Roman" w:cs="Times New Roman"/>
          <w:sz w:val="28"/>
          <w:szCs w:val="28"/>
        </w:rPr>
        <w:t>ступінь свободи</w:t>
      </w:r>
      <w:r w:rsidRPr="009E6C7E">
        <w:rPr>
          <w:rFonts w:ascii="Times New Roman" w:hAnsi="Times New Roman" w:cs="Times New Roman"/>
          <w:sz w:val="28"/>
          <w:szCs w:val="28"/>
        </w:rPr>
        <w:t>=2)</w:t>
      </w:r>
      <w:r>
        <w:rPr>
          <w:rFonts w:ascii="Times New Roman" w:hAnsi="Times New Roman" w:cs="Times New Roman"/>
          <w:sz w:val="28"/>
          <w:szCs w:val="28"/>
        </w:rPr>
        <w:t>, таблиця 7.1</w:t>
      </w:r>
    </w:p>
    <w:p w:rsidR="0026445A" w:rsidRDefault="0026445A" w:rsidP="0026445A">
      <w:pPr>
        <w:spacing w:line="360" w:lineRule="auto"/>
        <w:jc w:val="center"/>
        <w:rPr>
          <w:rFonts w:ascii="Times New Roman" w:hAnsi="Times New Roman" w:cs="Times New Roman"/>
          <w:sz w:val="28"/>
          <w:szCs w:val="28"/>
        </w:rPr>
      </w:pPr>
    </w:p>
    <w:p w:rsidR="00C36617" w:rsidRDefault="00C36617" w:rsidP="0026445A">
      <w:pPr>
        <w:spacing w:line="360" w:lineRule="auto"/>
        <w:jc w:val="right"/>
        <w:rPr>
          <w:rFonts w:ascii="Times New Roman" w:hAnsi="Times New Roman" w:cs="Times New Roman"/>
          <w:sz w:val="28"/>
          <w:szCs w:val="28"/>
        </w:rPr>
      </w:pPr>
    </w:p>
    <w:p w:rsidR="00C36617" w:rsidRDefault="00C36617" w:rsidP="0026445A">
      <w:pPr>
        <w:spacing w:line="360" w:lineRule="auto"/>
        <w:jc w:val="right"/>
        <w:rPr>
          <w:rFonts w:ascii="Times New Roman" w:hAnsi="Times New Roman" w:cs="Times New Roman"/>
          <w:sz w:val="28"/>
          <w:szCs w:val="28"/>
        </w:rPr>
      </w:pPr>
    </w:p>
    <w:p w:rsidR="00C36617" w:rsidRDefault="00C36617" w:rsidP="0026445A">
      <w:pPr>
        <w:spacing w:line="360" w:lineRule="auto"/>
        <w:jc w:val="right"/>
        <w:rPr>
          <w:rFonts w:ascii="Times New Roman" w:hAnsi="Times New Roman" w:cs="Times New Roman"/>
          <w:sz w:val="28"/>
          <w:szCs w:val="28"/>
        </w:rPr>
      </w:pPr>
    </w:p>
    <w:p w:rsidR="0026445A" w:rsidRDefault="0026445A" w:rsidP="0026445A">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7.1</w:t>
      </w:r>
    </w:p>
    <w:p w:rsidR="0026445A" w:rsidRDefault="0026445A" w:rsidP="0026445A">
      <w:pPr>
        <w:spacing w:line="360" w:lineRule="auto"/>
        <w:jc w:val="center"/>
        <w:rPr>
          <w:rFonts w:ascii="Times New Roman" w:hAnsi="Times New Roman" w:cs="Times New Roman"/>
          <w:sz w:val="28"/>
          <w:szCs w:val="28"/>
        </w:rPr>
      </w:pPr>
      <w:r>
        <w:rPr>
          <w:rFonts w:ascii="Times New Roman" w:hAnsi="Times New Roman" w:cs="Times New Roman"/>
          <w:sz w:val="28"/>
          <w:szCs w:val="28"/>
        </w:rPr>
        <w:t>Статистична характеристика коефіцієнтів поліноміальної моделі для передбачення тканинної експресії міРНК-15а на основі радіологічних характеристик НКР</w:t>
      </w:r>
    </w:p>
    <w:tbl>
      <w:tblPr>
        <w:tblStyle w:val="TableGrid"/>
        <w:tblW w:w="0" w:type="auto"/>
        <w:tblLook w:val="04A0" w:firstRow="1" w:lastRow="0" w:firstColumn="1" w:lastColumn="0" w:noHBand="0" w:noVBand="1"/>
      </w:tblPr>
      <w:tblGrid>
        <w:gridCol w:w="3099"/>
        <w:gridCol w:w="1741"/>
        <w:gridCol w:w="1734"/>
        <w:gridCol w:w="1283"/>
        <w:gridCol w:w="1487"/>
      </w:tblGrid>
      <w:tr w:rsidR="0026445A" w:rsidTr="001F0C51">
        <w:tc>
          <w:tcPr>
            <w:tcW w:w="3256" w:type="dxa"/>
          </w:tcPr>
          <w:p w:rsidR="0026445A" w:rsidRPr="002474FB" w:rsidRDefault="0026445A" w:rsidP="001F0C51">
            <w:pPr>
              <w:spacing w:line="276" w:lineRule="auto"/>
              <w:jc w:val="center"/>
              <w:rPr>
                <w:rFonts w:ascii="Times New Roman" w:hAnsi="Times New Roman" w:cs="Times New Roman"/>
                <w:b/>
                <w:sz w:val="28"/>
                <w:szCs w:val="28"/>
              </w:rPr>
            </w:pPr>
            <w:r>
              <w:rPr>
                <w:rFonts w:ascii="Times New Roman" w:hAnsi="Times New Roman" w:cs="Times New Roman"/>
                <w:b/>
                <w:sz w:val="28"/>
                <w:szCs w:val="28"/>
              </w:rPr>
              <w:t>Радіологічна х</w:t>
            </w:r>
            <w:r w:rsidRPr="002474FB">
              <w:rPr>
                <w:rFonts w:ascii="Times New Roman" w:hAnsi="Times New Roman" w:cs="Times New Roman"/>
                <w:b/>
                <w:sz w:val="28"/>
                <w:szCs w:val="28"/>
              </w:rPr>
              <w:t>арактеристика</w:t>
            </w:r>
            <w:r>
              <w:rPr>
                <w:rFonts w:ascii="Times New Roman" w:hAnsi="Times New Roman" w:cs="Times New Roman"/>
                <w:b/>
                <w:sz w:val="28"/>
                <w:szCs w:val="28"/>
              </w:rPr>
              <w:t xml:space="preserve"> пухлини</w:t>
            </w:r>
          </w:p>
        </w:tc>
        <w:tc>
          <w:tcPr>
            <w:tcW w:w="1746" w:type="dxa"/>
          </w:tcPr>
          <w:p w:rsidR="0026445A" w:rsidRPr="002474FB" w:rsidRDefault="0026445A" w:rsidP="001F0C51">
            <w:pPr>
              <w:spacing w:line="276" w:lineRule="auto"/>
              <w:jc w:val="center"/>
              <w:rPr>
                <w:rFonts w:ascii="Times New Roman" w:hAnsi="Times New Roman" w:cs="Times New Roman"/>
                <w:b/>
                <w:sz w:val="28"/>
                <w:szCs w:val="28"/>
              </w:rPr>
            </w:pPr>
            <w:r w:rsidRPr="002474FB">
              <w:rPr>
                <w:rFonts w:ascii="Times New Roman" w:hAnsi="Times New Roman" w:cs="Times New Roman"/>
                <w:b/>
                <w:sz w:val="28"/>
                <w:szCs w:val="28"/>
              </w:rPr>
              <w:t>Значення коефіцієнту</w:t>
            </w:r>
          </w:p>
        </w:tc>
        <w:tc>
          <w:tcPr>
            <w:tcW w:w="1734" w:type="dxa"/>
          </w:tcPr>
          <w:p w:rsidR="0026445A" w:rsidRPr="002474FB" w:rsidRDefault="0026445A" w:rsidP="001F0C51">
            <w:pPr>
              <w:spacing w:line="276" w:lineRule="auto"/>
              <w:jc w:val="center"/>
              <w:rPr>
                <w:rFonts w:ascii="Times New Roman" w:hAnsi="Times New Roman" w:cs="Times New Roman"/>
                <w:b/>
                <w:sz w:val="28"/>
                <w:szCs w:val="28"/>
              </w:rPr>
            </w:pPr>
            <w:r w:rsidRPr="002474FB">
              <w:rPr>
                <w:rFonts w:ascii="Times New Roman" w:hAnsi="Times New Roman" w:cs="Times New Roman"/>
                <w:b/>
                <w:sz w:val="28"/>
                <w:szCs w:val="28"/>
              </w:rPr>
              <w:t>Стандартна помилка</w:t>
            </w:r>
          </w:p>
        </w:tc>
        <w:tc>
          <w:tcPr>
            <w:tcW w:w="1365" w:type="dxa"/>
          </w:tcPr>
          <w:p w:rsidR="0026445A" w:rsidRPr="002474FB" w:rsidRDefault="0026445A" w:rsidP="001F0C51">
            <w:pPr>
              <w:spacing w:line="276" w:lineRule="auto"/>
              <w:jc w:val="center"/>
              <w:rPr>
                <w:rFonts w:ascii="Times New Roman" w:hAnsi="Times New Roman" w:cs="Times New Roman"/>
                <w:b/>
                <w:i/>
                <w:sz w:val="28"/>
                <w:szCs w:val="28"/>
                <w:lang w:val="en-US"/>
              </w:rPr>
            </w:pPr>
            <w:r w:rsidRPr="002474FB">
              <w:rPr>
                <w:rFonts w:ascii="Times New Roman" w:hAnsi="Times New Roman" w:cs="Times New Roman"/>
                <w:b/>
                <w:i/>
                <w:sz w:val="28"/>
                <w:szCs w:val="28"/>
                <w:lang w:val="en-US"/>
              </w:rPr>
              <w:t>t</w:t>
            </w:r>
          </w:p>
        </w:tc>
        <w:tc>
          <w:tcPr>
            <w:tcW w:w="1528" w:type="dxa"/>
          </w:tcPr>
          <w:p w:rsidR="0026445A" w:rsidRPr="002474FB" w:rsidRDefault="0026445A" w:rsidP="001F0C51">
            <w:pPr>
              <w:spacing w:line="276" w:lineRule="auto"/>
              <w:jc w:val="center"/>
              <w:rPr>
                <w:rFonts w:ascii="Times New Roman" w:hAnsi="Times New Roman" w:cs="Times New Roman"/>
                <w:b/>
                <w:i/>
                <w:sz w:val="28"/>
                <w:szCs w:val="28"/>
              </w:rPr>
            </w:pPr>
            <w:r w:rsidRPr="002474FB">
              <w:rPr>
                <w:rFonts w:ascii="Times New Roman" w:hAnsi="Times New Roman" w:cs="Times New Roman"/>
                <w:b/>
                <w:i/>
                <w:sz w:val="28"/>
                <w:szCs w:val="28"/>
                <w:lang w:val="en-US"/>
              </w:rPr>
              <w:t>Pr(&gt;|t|)</w:t>
            </w:r>
          </w:p>
        </w:tc>
      </w:tr>
      <w:tr w:rsidR="0026445A" w:rsidTr="001F0C51">
        <w:trPr>
          <w:trHeight w:val="721"/>
        </w:trPr>
        <w:tc>
          <w:tcPr>
            <w:tcW w:w="3256" w:type="dxa"/>
          </w:tcPr>
          <w:p w:rsidR="0026445A" w:rsidRPr="002474FB" w:rsidRDefault="0026445A" w:rsidP="001F0C51">
            <w:pPr>
              <w:spacing w:line="276" w:lineRule="auto"/>
              <w:rPr>
                <w:rFonts w:ascii="Times New Roman" w:hAnsi="Times New Roman" w:cs="Times New Roman"/>
                <w:sz w:val="28"/>
                <w:szCs w:val="28"/>
              </w:rPr>
            </w:pPr>
            <w:r w:rsidRPr="002474FB">
              <w:rPr>
                <w:rFonts w:ascii="Times New Roman" w:hAnsi="Times New Roman" w:cs="Times New Roman"/>
                <w:sz w:val="28"/>
                <w:szCs w:val="28"/>
              </w:rPr>
              <w:t>Константа</w:t>
            </w:r>
          </w:p>
        </w:tc>
        <w:tc>
          <w:tcPr>
            <w:tcW w:w="1746"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1.5798</w:t>
            </w:r>
          </w:p>
        </w:tc>
        <w:tc>
          <w:tcPr>
            <w:tcW w:w="1734"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1.9440</w:t>
            </w:r>
          </w:p>
        </w:tc>
        <w:tc>
          <w:tcPr>
            <w:tcW w:w="1365"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0.813</w:t>
            </w:r>
          </w:p>
        </w:tc>
        <w:tc>
          <w:tcPr>
            <w:tcW w:w="1528"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0.419852</w:t>
            </w:r>
          </w:p>
        </w:tc>
      </w:tr>
      <w:tr w:rsidR="0026445A" w:rsidTr="001F0C51">
        <w:tc>
          <w:tcPr>
            <w:tcW w:w="3256" w:type="dxa"/>
          </w:tcPr>
          <w:p w:rsidR="0026445A" w:rsidRPr="002474FB" w:rsidRDefault="0026445A" w:rsidP="001F0C51">
            <w:pPr>
              <w:spacing w:line="276" w:lineRule="auto"/>
              <w:rPr>
                <w:rFonts w:ascii="Times New Roman" w:hAnsi="Times New Roman" w:cs="Times New Roman"/>
                <w:sz w:val="28"/>
                <w:szCs w:val="28"/>
              </w:rPr>
            </w:pPr>
            <w:r w:rsidRPr="002474FB">
              <w:rPr>
                <w:rFonts w:ascii="Times New Roman" w:hAnsi="Times New Roman" w:cs="Times New Roman"/>
                <w:sz w:val="28"/>
                <w:szCs w:val="28"/>
                <w:lang w:val="en-US"/>
              </w:rPr>
              <w:t>Log</w:t>
            </w:r>
            <w:r w:rsidRPr="009E6C7E">
              <w:rPr>
                <w:rFonts w:ascii="Times New Roman" w:hAnsi="Times New Roman" w:cs="Times New Roman"/>
                <w:sz w:val="28"/>
                <w:szCs w:val="28"/>
                <w:lang w:val="ru-RU"/>
              </w:rPr>
              <w:t>(</w:t>
            </w:r>
            <w:r w:rsidRPr="002474FB">
              <w:rPr>
                <w:rFonts w:ascii="Times New Roman" w:hAnsi="Times New Roman" w:cs="Times New Roman"/>
                <w:sz w:val="28"/>
                <w:szCs w:val="28"/>
              </w:rPr>
              <w:t>розмір</w:t>
            </w:r>
            <w:r>
              <w:rPr>
                <w:rFonts w:ascii="Times New Roman" w:hAnsi="Times New Roman" w:cs="Times New Roman"/>
                <w:sz w:val="28"/>
                <w:szCs w:val="28"/>
              </w:rPr>
              <w:t xml:space="preserve"> пухлини</w:t>
            </w:r>
            <w:r w:rsidRPr="002474FB">
              <w:rPr>
                <w:rFonts w:ascii="Times New Roman" w:hAnsi="Times New Roman" w:cs="Times New Roman"/>
                <w:sz w:val="28"/>
                <w:szCs w:val="28"/>
              </w:rPr>
              <w:t>), ступінь свободи 1</w:t>
            </w:r>
          </w:p>
        </w:tc>
        <w:tc>
          <w:tcPr>
            <w:tcW w:w="1746"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-8.4927</w:t>
            </w:r>
          </w:p>
        </w:tc>
        <w:tc>
          <w:tcPr>
            <w:tcW w:w="1734"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2.1705</w:t>
            </w:r>
          </w:p>
        </w:tc>
        <w:tc>
          <w:tcPr>
            <w:tcW w:w="1365"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-3.913</w:t>
            </w:r>
          </w:p>
        </w:tc>
        <w:tc>
          <w:tcPr>
            <w:tcW w:w="1528"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0.000249</w:t>
            </w:r>
          </w:p>
        </w:tc>
      </w:tr>
      <w:tr w:rsidR="0026445A" w:rsidTr="001F0C51">
        <w:tc>
          <w:tcPr>
            <w:tcW w:w="3256" w:type="dxa"/>
          </w:tcPr>
          <w:p w:rsidR="0026445A" w:rsidRPr="002474FB" w:rsidRDefault="0026445A" w:rsidP="001F0C51">
            <w:pPr>
              <w:spacing w:line="276" w:lineRule="auto"/>
              <w:rPr>
                <w:rFonts w:ascii="Times New Roman" w:hAnsi="Times New Roman" w:cs="Times New Roman"/>
                <w:sz w:val="28"/>
                <w:szCs w:val="28"/>
              </w:rPr>
            </w:pPr>
            <w:r w:rsidRPr="002474FB">
              <w:rPr>
                <w:rFonts w:ascii="Times New Roman" w:hAnsi="Times New Roman" w:cs="Times New Roman"/>
                <w:sz w:val="28"/>
                <w:szCs w:val="28"/>
                <w:lang w:val="en-US"/>
              </w:rPr>
              <w:t>Log</w:t>
            </w:r>
            <w:r w:rsidRPr="009E6C7E">
              <w:rPr>
                <w:rFonts w:ascii="Times New Roman" w:hAnsi="Times New Roman" w:cs="Times New Roman"/>
                <w:sz w:val="28"/>
                <w:szCs w:val="28"/>
                <w:lang w:val="ru-RU"/>
              </w:rPr>
              <w:t>(</w:t>
            </w:r>
            <w:r w:rsidRPr="002474FB">
              <w:rPr>
                <w:rFonts w:ascii="Times New Roman" w:hAnsi="Times New Roman" w:cs="Times New Roman"/>
                <w:sz w:val="28"/>
                <w:szCs w:val="28"/>
              </w:rPr>
              <w:t>розмір</w:t>
            </w:r>
            <w:r>
              <w:rPr>
                <w:rFonts w:ascii="Times New Roman" w:hAnsi="Times New Roman" w:cs="Times New Roman"/>
                <w:sz w:val="28"/>
                <w:szCs w:val="28"/>
              </w:rPr>
              <w:t xml:space="preserve"> пухлини</w:t>
            </w:r>
            <w:r w:rsidRPr="002474FB">
              <w:rPr>
                <w:rFonts w:ascii="Times New Roman" w:hAnsi="Times New Roman" w:cs="Times New Roman"/>
                <w:sz w:val="28"/>
                <w:szCs w:val="28"/>
              </w:rPr>
              <w:t>), ступінь свободи 2</w:t>
            </w:r>
          </w:p>
        </w:tc>
        <w:tc>
          <w:tcPr>
            <w:tcW w:w="1746"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3.1016</w:t>
            </w:r>
          </w:p>
        </w:tc>
        <w:tc>
          <w:tcPr>
            <w:tcW w:w="1734"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0.5923</w:t>
            </w:r>
          </w:p>
        </w:tc>
        <w:tc>
          <w:tcPr>
            <w:tcW w:w="1365"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5.236</w:t>
            </w:r>
          </w:p>
        </w:tc>
        <w:tc>
          <w:tcPr>
            <w:tcW w:w="1528" w:type="dxa"/>
          </w:tcPr>
          <w:p w:rsidR="0026445A" w:rsidRPr="002474FB" w:rsidRDefault="0026445A" w:rsidP="001F0C51">
            <w:pPr>
              <w:spacing w:line="276" w:lineRule="auto"/>
              <w:jc w:val="center"/>
              <w:rPr>
                <w:rFonts w:ascii="Times New Roman" w:hAnsi="Times New Roman" w:cs="Times New Roman"/>
                <w:sz w:val="28"/>
                <w:szCs w:val="28"/>
              </w:rPr>
            </w:pPr>
            <w:r w:rsidRPr="002474FB">
              <w:rPr>
                <w:rFonts w:ascii="Times New Roman" w:hAnsi="Times New Roman" w:cs="Times New Roman"/>
                <w:sz w:val="28"/>
                <w:szCs w:val="28"/>
                <w:lang w:val="en-US"/>
              </w:rPr>
              <w:t>2.55e-06</w:t>
            </w:r>
          </w:p>
        </w:tc>
      </w:tr>
      <w:tr w:rsidR="0026445A" w:rsidTr="001F0C51">
        <w:tc>
          <w:tcPr>
            <w:tcW w:w="3256" w:type="dxa"/>
          </w:tcPr>
          <w:p w:rsidR="0026445A" w:rsidRPr="002474FB" w:rsidRDefault="0026445A" w:rsidP="001F0C51">
            <w:pPr>
              <w:spacing w:line="276" w:lineRule="auto"/>
              <w:rPr>
                <w:rFonts w:ascii="Times New Roman" w:hAnsi="Times New Roman" w:cs="Times New Roman"/>
                <w:sz w:val="28"/>
                <w:szCs w:val="28"/>
              </w:rPr>
            </w:pPr>
            <w:r>
              <w:rPr>
                <w:rFonts w:ascii="Times New Roman" w:hAnsi="Times New Roman" w:cs="Times New Roman"/>
                <w:sz w:val="28"/>
                <w:szCs w:val="28"/>
              </w:rPr>
              <w:t>Відсутність кістозного компоненту пухлини</w:t>
            </w:r>
          </w:p>
        </w:tc>
        <w:tc>
          <w:tcPr>
            <w:tcW w:w="1746"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0.3172     </w:t>
            </w:r>
          </w:p>
        </w:tc>
        <w:tc>
          <w:tcPr>
            <w:tcW w:w="1734" w:type="dxa"/>
          </w:tcPr>
          <w:p w:rsidR="0026445A" w:rsidRPr="00232C2C" w:rsidRDefault="0026445A" w:rsidP="001F0C51">
            <w:pPr>
              <w:spacing w:line="276" w:lineRule="auto"/>
              <w:jc w:val="center"/>
              <w:rPr>
                <w:rFonts w:ascii="Times New Roman" w:hAnsi="Times New Roman" w:cs="Times New Roman"/>
                <w:sz w:val="28"/>
                <w:szCs w:val="28"/>
                <w:lang w:val="en-US"/>
              </w:rPr>
            </w:pPr>
            <w:r w:rsidRPr="00232C2C">
              <w:rPr>
                <w:rFonts w:ascii="Times New Roman" w:hAnsi="Times New Roman" w:cs="Times New Roman"/>
                <w:sz w:val="28"/>
                <w:szCs w:val="28"/>
                <w:lang w:val="en-US"/>
              </w:rPr>
              <w:t xml:space="preserve">0.2688   </w:t>
            </w:r>
          </w:p>
        </w:tc>
        <w:tc>
          <w:tcPr>
            <w:tcW w:w="1365"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1.180</w:t>
            </w:r>
          </w:p>
        </w:tc>
        <w:tc>
          <w:tcPr>
            <w:tcW w:w="1528"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0.243005    </w:t>
            </w:r>
          </w:p>
        </w:tc>
      </w:tr>
      <w:tr w:rsidR="0026445A" w:rsidTr="001F0C51">
        <w:tc>
          <w:tcPr>
            <w:tcW w:w="3256" w:type="dxa"/>
          </w:tcPr>
          <w:p w:rsidR="0026445A" w:rsidRPr="002474FB" w:rsidRDefault="0026445A" w:rsidP="001F0C51">
            <w:pPr>
              <w:spacing w:line="276" w:lineRule="auto"/>
              <w:rPr>
                <w:rFonts w:ascii="Times New Roman" w:hAnsi="Times New Roman" w:cs="Times New Roman"/>
                <w:sz w:val="28"/>
                <w:szCs w:val="28"/>
              </w:rPr>
            </w:pPr>
            <w:r>
              <w:rPr>
                <w:rFonts w:ascii="Times New Roman" w:hAnsi="Times New Roman" w:cs="Times New Roman"/>
                <w:sz w:val="28"/>
                <w:szCs w:val="28"/>
              </w:rPr>
              <w:t>Наявність екзофітного росту НКР</w:t>
            </w:r>
            <w:r w:rsidRPr="00186DC3">
              <w:rPr>
                <w:rFonts w:ascii="Times New Roman" w:hAnsi="Times New Roman" w:cs="Times New Roman"/>
                <w:sz w:val="28"/>
                <w:szCs w:val="28"/>
              </w:rPr>
              <w:t>≥50%</w:t>
            </w:r>
            <w:r>
              <w:rPr>
                <w:rFonts w:ascii="Times New Roman" w:hAnsi="Times New Roman" w:cs="Times New Roman"/>
                <w:sz w:val="28"/>
                <w:szCs w:val="28"/>
              </w:rPr>
              <w:t xml:space="preserve"> за межі контуру нирки</w:t>
            </w:r>
          </w:p>
        </w:tc>
        <w:tc>
          <w:tcPr>
            <w:tcW w:w="1746"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-0.3382     </w:t>
            </w:r>
          </w:p>
        </w:tc>
        <w:tc>
          <w:tcPr>
            <w:tcW w:w="1734"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0.2849  </w:t>
            </w:r>
          </w:p>
        </w:tc>
        <w:tc>
          <w:tcPr>
            <w:tcW w:w="1365"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-1.187</w:t>
            </w:r>
          </w:p>
        </w:tc>
        <w:tc>
          <w:tcPr>
            <w:tcW w:w="1528"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0.240242    </w:t>
            </w:r>
          </w:p>
        </w:tc>
      </w:tr>
      <w:tr w:rsidR="0026445A" w:rsidTr="001F0C51">
        <w:tc>
          <w:tcPr>
            <w:tcW w:w="3256" w:type="dxa"/>
          </w:tcPr>
          <w:p w:rsidR="0026445A" w:rsidRPr="002474FB" w:rsidRDefault="0026445A" w:rsidP="001F0C51">
            <w:pPr>
              <w:spacing w:line="276" w:lineRule="auto"/>
              <w:rPr>
                <w:rFonts w:ascii="Times New Roman" w:hAnsi="Times New Roman" w:cs="Times New Roman"/>
                <w:sz w:val="28"/>
                <w:szCs w:val="28"/>
              </w:rPr>
            </w:pPr>
            <w:r>
              <w:rPr>
                <w:rFonts w:ascii="Times New Roman" w:hAnsi="Times New Roman" w:cs="Times New Roman"/>
                <w:sz w:val="28"/>
                <w:szCs w:val="28"/>
              </w:rPr>
              <w:t>Наявність некрозу пухлини</w:t>
            </w:r>
          </w:p>
        </w:tc>
        <w:tc>
          <w:tcPr>
            <w:tcW w:w="1746"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0.4085     </w:t>
            </w:r>
          </w:p>
        </w:tc>
        <w:tc>
          <w:tcPr>
            <w:tcW w:w="1734"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0.3242   </w:t>
            </w:r>
          </w:p>
        </w:tc>
        <w:tc>
          <w:tcPr>
            <w:tcW w:w="1365"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1.260</w:t>
            </w:r>
          </w:p>
        </w:tc>
        <w:tc>
          <w:tcPr>
            <w:tcW w:w="1528"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0.212925    </w:t>
            </w:r>
          </w:p>
        </w:tc>
      </w:tr>
      <w:tr w:rsidR="0026445A" w:rsidTr="001F0C51">
        <w:tc>
          <w:tcPr>
            <w:tcW w:w="3256" w:type="dxa"/>
          </w:tcPr>
          <w:p w:rsidR="0026445A" w:rsidRPr="002474FB" w:rsidRDefault="0026445A" w:rsidP="001F0C51">
            <w:pPr>
              <w:spacing w:line="276" w:lineRule="auto"/>
              <w:rPr>
                <w:rFonts w:ascii="Times New Roman" w:hAnsi="Times New Roman" w:cs="Times New Roman"/>
                <w:sz w:val="28"/>
                <w:szCs w:val="28"/>
              </w:rPr>
            </w:pPr>
            <w:r>
              <w:rPr>
                <w:rFonts w:ascii="Times New Roman" w:hAnsi="Times New Roman" w:cs="Times New Roman"/>
                <w:sz w:val="28"/>
                <w:szCs w:val="28"/>
              </w:rPr>
              <w:t>Наявність макроскопічного жиру</w:t>
            </w:r>
          </w:p>
        </w:tc>
        <w:tc>
          <w:tcPr>
            <w:tcW w:w="1746"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-0.2048     </w:t>
            </w:r>
          </w:p>
        </w:tc>
        <w:tc>
          <w:tcPr>
            <w:tcW w:w="1734"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0.3150  </w:t>
            </w:r>
          </w:p>
        </w:tc>
        <w:tc>
          <w:tcPr>
            <w:tcW w:w="1365"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-0.650</w:t>
            </w:r>
          </w:p>
        </w:tc>
        <w:tc>
          <w:tcPr>
            <w:tcW w:w="1528"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0.498233    </w:t>
            </w:r>
          </w:p>
        </w:tc>
      </w:tr>
      <w:tr w:rsidR="0026445A" w:rsidTr="001F0C51">
        <w:tc>
          <w:tcPr>
            <w:tcW w:w="3256" w:type="dxa"/>
          </w:tcPr>
          <w:p w:rsidR="0026445A" w:rsidRDefault="0026445A" w:rsidP="001F0C51">
            <w:pPr>
              <w:spacing w:line="276" w:lineRule="auto"/>
              <w:rPr>
                <w:rFonts w:ascii="Times New Roman" w:hAnsi="Times New Roman" w:cs="Times New Roman"/>
                <w:sz w:val="28"/>
                <w:szCs w:val="28"/>
              </w:rPr>
            </w:pPr>
            <w:r>
              <w:rPr>
                <w:rFonts w:ascii="Times New Roman" w:hAnsi="Times New Roman" w:cs="Times New Roman"/>
                <w:sz w:val="28"/>
                <w:szCs w:val="28"/>
              </w:rPr>
              <w:t>Наявність нодулярного контрастного посилення</w:t>
            </w:r>
          </w:p>
        </w:tc>
        <w:tc>
          <w:tcPr>
            <w:tcW w:w="1746"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0.3326     </w:t>
            </w:r>
          </w:p>
        </w:tc>
        <w:tc>
          <w:tcPr>
            <w:tcW w:w="1734"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0.2854   </w:t>
            </w:r>
          </w:p>
        </w:tc>
        <w:tc>
          <w:tcPr>
            <w:tcW w:w="1365"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1.165</w:t>
            </w:r>
          </w:p>
        </w:tc>
        <w:tc>
          <w:tcPr>
            <w:tcW w:w="1528" w:type="dxa"/>
          </w:tcPr>
          <w:p w:rsidR="0026445A" w:rsidRPr="00232C2C" w:rsidRDefault="0026445A" w:rsidP="001F0C51">
            <w:pPr>
              <w:spacing w:line="276" w:lineRule="auto"/>
              <w:jc w:val="center"/>
              <w:rPr>
                <w:rFonts w:ascii="Times New Roman" w:hAnsi="Times New Roman" w:cs="Times New Roman"/>
                <w:sz w:val="28"/>
                <w:szCs w:val="28"/>
              </w:rPr>
            </w:pPr>
            <w:r w:rsidRPr="00232C2C">
              <w:rPr>
                <w:rFonts w:ascii="Times New Roman" w:hAnsi="Times New Roman" w:cs="Times New Roman"/>
                <w:sz w:val="28"/>
                <w:szCs w:val="28"/>
                <w:lang w:val="en-US"/>
              </w:rPr>
              <w:t xml:space="preserve">0.248904    </w:t>
            </w:r>
          </w:p>
        </w:tc>
      </w:tr>
    </w:tbl>
    <w:p w:rsidR="0026445A" w:rsidRDefault="0026445A" w:rsidP="0026445A">
      <w:pPr>
        <w:spacing w:line="360" w:lineRule="auto"/>
        <w:ind w:firstLine="708"/>
        <w:jc w:val="both"/>
        <w:rPr>
          <w:rFonts w:ascii="Times New Roman" w:hAnsi="Times New Roman" w:cs="Times New Roman"/>
          <w:sz w:val="28"/>
          <w:szCs w:val="28"/>
        </w:rPr>
      </w:pPr>
    </w:p>
    <w:p w:rsidR="0026445A" w:rsidRDefault="0026445A" w:rsidP="009B794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основі отриманих даних було створено формулу розрахунку для передбачення тканинної експресії міРНК-15а на основі радіологічних характеристик НКР. Для проведення розрахунків, «розмір пухлини» у формулі необхідно замінити на числове значення розміру НКР у найбільшому перерізі (у см), а у випадку інших радіологічних параметрів пухлини потрібно замінити їх назву на значення 1 чи 0, в залежності від наявності чи відсутності ознаки (</w:t>
      </w:r>
      <w:r w:rsidR="009B794D">
        <w:rPr>
          <w:rFonts w:ascii="Times New Roman" w:hAnsi="Times New Roman" w:cs="Times New Roman"/>
          <w:sz w:val="28"/>
          <w:szCs w:val="28"/>
        </w:rPr>
        <w:t>вказано у дужках), формула 7.1.</w:t>
      </w:r>
    </w:p>
    <w:p w:rsidR="0026445A" w:rsidRDefault="0026445A" w:rsidP="0026445A">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ab/>
        <w:t>(7.1)</w:t>
      </w:r>
    </w:p>
    <w:p w:rsidR="0026445A" w:rsidRPr="009E6C7E" w:rsidRDefault="0026445A" w:rsidP="0026445A">
      <w:pPr>
        <w:spacing w:line="360" w:lineRule="auto"/>
        <w:jc w:val="both"/>
        <w:rPr>
          <w:rFonts w:ascii="Times New Roman" w:hAnsi="Times New Roman" w:cs="Times New Roman"/>
          <w:color w:val="000000" w:themeColor="text1"/>
          <w:sz w:val="28"/>
          <w:szCs w:val="28"/>
        </w:rPr>
      </w:pPr>
      <w:r w:rsidRPr="00226B99">
        <w:rPr>
          <w:rFonts w:ascii="Times New Roman" w:hAnsi="Times New Roman" w:cs="Times New Roman"/>
          <w:b/>
          <w:i/>
          <w:color w:val="000000" w:themeColor="text1"/>
          <w:sz w:val="28"/>
          <w:szCs w:val="28"/>
          <w:lang w:val="en-US"/>
        </w:rPr>
        <w:t>log</w:t>
      </w:r>
      <w:r w:rsidRPr="009E6C7E">
        <w:rPr>
          <w:rFonts w:ascii="Times New Roman" w:hAnsi="Times New Roman" w:cs="Times New Roman"/>
          <w:b/>
          <w:i/>
          <w:color w:val="000000" w:themeColor="text1"/>
          <w:sz w:val="28"/>
          <w:szCs w:val="28"/>
        </w:rPr>
        <w:t>(</w:t>
      </w:r>
      <w:r w:rsidRPr="00226B99">
        <w:rPr>
          <w:rFonts w:ascii="Times New Roman" w:hAnsi="Times New Roman" w:cs="Times New Roman"/>
          <w:b/>
          <w:i/>
          <w:color w:val="000000" w:themeColor="text1"/>
          <w:sz w:val="28"/>
          <w:szCs w:val="28"/>
        </w:rPr>
        <w:t>міР</w:t>
      </w:r>
      <w:r w:rsidRPr="009E6C7E">
        <w:rPr>
          <w:rFonts w:ascii="Times New Roman" w:hAnsi="Times New Roman" w:cs="Times New Roman"/>
          <w:b/>
          <w:i/>
          <w:color w:val="000000" w:themeColor="text1"/>
          <w:sz w:val="28"/>
          <w:szCs w:val="28"/>
        </w:rPr>
        <w:t>-15</w:t>
      </w:r>
      <w:r w:rsidRPr="00226B99">
        <w:rPr>
          <w:rFonts w:ascii="Times New Roman" w:hAnsi="Times New Roman" w:cs="Times New Roman"/>
          <w:b/>
          <w:i/>
          <w:color w:val="000000" w:themeColor="text1"/>
          <w:sz w:val="28"/>
          <w:szCs w:val="28"/>
          <w:lang w:val="en-US"/>
        </w:rPr>
        <w:t>a</w:t>
      </w:r>
      <w:r w:rsidRPr="009E6C7E">
        <w:rPr>
          <w:rFonts w:ascii="Times New Roman" w:hAnsi="Times New Roman" w:cs="Times New Roman"/>
          <w:b/>
          <w:i/>
          <w:color w:val="000000" w:themeColor="text1"/>
          <w:sz w:val="28"/>
          <w:szCs w:val="28"/>
        </w:rPr>
        <w:t>)</w:t>
      </w:r>
      <w:r w:rsidRPr="009E6C7E">
        <w:rPr>
          <w:rFonts w:ascii="Times New Roman" w:hAnsi="Times New Roman" w:cs="Times New Roman"/>
          <w:color w:val="000000" w:themeColor="text1"/>
          <w:sz w:val="28"/>
          <w:szCs w:val="28"/>
        </w:rPr>
        <w:t xml:space="preserve"> = 1,5798 – 8,4927 × </w:t>
      </w:r>
      <w:r w:rsidRPr="000C36C2">
        <w:rPr>
          <w:rFonts w:ascii="Times New Roman" w:hAnsi="Times New Roman" w:cs="Times New Roman"/>
          <w:i/>
          <w:color w:val="000000" w:themeColor="text1"/>
          <w:sz w:val="28"/>
          <w:szCs w:val="28"/>
          <w:lang w:val="en-US"/>
        </w:rPr>
        <w:t>log</w:t>
      </w:r>
      <w:r w:rsidRPr="009E6C7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розмір пухлини</w:t>
      </w:r>
      <w:r w:rsidRPr="009E6C7E">
        <w:rPr>
          <w:rFonts w:ascii="Times New Roman" w:hAnsi="Times New Roman" w:cs="Times New Roman"/>
          <w:color w:val="000000" w:themeColor="text1"/>
          <w:sz w:val="28"/>
          <w:szCs w:val="28"/>
        </w:rPr>
        <w:t xml:space="preserve">) + 8,4927 × </w:t>
      </w:r>
      <w:r w:rsidRPr="000C36C2">
        <w:rPr>
          <w:rFonts w:ascii="Times New Roman" w:hAnsi="Times New Roman" w:cs="Times New Roman"/>
          <w:i/>
          <w:color w:val="000000" w:themeColor="text1"/>
          <w:sz w:val="28"/>
          <w:szCs w:val="28"/>
          <w:lang w:val="en-US"/>
        </w:rPr>
        <w:t>log</w:t>
      </w:r>
      <w:r w:rsidRPr="009E6C7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розмір пухлини</w:t>
      </w:r>
      <w:r w:rsidRPr="009E6C7E">
        <w:rPr>
          <w:rFonts w:ascii="Times New Roman" w:hAnsi="Times New Roman" w:cs="Times New Roman"/>
          <w:color w:val="000000" w:themeColor="text1"/>
          <w:sz w:val="28"/>
          <w:szCs w:val="28"/>
        </w:rPr>
        <w:t>)</w:t>
      </w:r>
      <w:r w:rsidRPr="009E6C7E">
        <w:rPr>
          <w:rFonts w:ascii="Times New Roman" w:hAnsi="Times New Roman" w:cs="Times New Roman"/>
          <w:color w:val="000000" w:themeColor="text1"/>
          <w:sz w:val="28"/>
          <w:szCs w:val="28"/>
          <w:vertAlign w:val="superscript"/>
        </w:rPr>
        <w:t xml:space="preserve">2 </w:t>
      </w:r>
      <w:r w:rsidRPr="009E6C7E">
        <w:rPr>
          <w:rFonts w:ascii="Times New Roman" w:hAnsi="Times New Roman" w:cs="Times New Roman"/>
          <w:color w:val="000000" w:themeColor="text1"/>
          <w:sz w:val="28"/>
          <w:szCs w:val="28"/>
        </w:rPr>
        <w:t xml:space="preserve">+ 0,3172 × </w:t>
      </w:r>
      <w:r>
        <w:rPr>
          <w:rFonts w:ascii="Times New Roman" w:hAnsi="Times New Roman" w:cs="Times New Roman"/>
          <w:color w:val="000000" w:themeColor="text1"/>
          <w:sz w:val="28"/>
          <w:szCs w:val="28"/>
        </w:rPr>
        <w:t>кістозний компонент</w:t>
      </w:r>
      <w:r w:rsidRPr="009E6C7E">
        <w:rPr>
          <w:rFonts w:ascii="Times New Roman" w:hAnsi="Times New Roman" w:cs="Times New Roman"/>
          <w:color w:val="000000" w:themeColor="text1"/>
          <w:sz w:val="28"/>
          <w:szCs w:val="28"/>
        </w:rPr>
        <w:t xml:space="preserve"> (ні=1, так=0) – 0,3382 × </w:t>
      </w:r>
      <w:r>
        <w:rPr>
          <w:rFonts w:ascii="Times New Roman" w:hAnsi="Times New Roman" w:cs="Times New Roman"/>
          <w:color w:val="000000" w:themeColor="text1"/>
          <w:sz w:val="28"/>
          <w:szCs w:val="28"/>
        </w:rPr>
        <w:t>екзофітний ріст</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так</w:t>
      </w:r>
      <w:r w:rsidRPr="009E6C7E">
        <w:rPr>
          <w:rFonts w:ascii="Times New Roman" w:hAnsi="Times New Roman" w:cs="Times New Roman"/>
          <w:color w:val="000000" w:themeColor="text1"/>
          <w:sz w:val="28"/>
          <w:szCs w:val="28"/>
        </w:rPr>
        <w:t xml:space="preserve">=1, ні=0) + 0,4085 × </w:t>
      </w:r>
      <w:r>
        <w:rPr>
          <w:rFonts w:ascii="Times New Roman" w:hAnsi="Times New Roman" w:cs="Times New Roman"/>
          <w:color w:val="000000" w:themeColor="text1"/>
          <w:sz w:val="28"/>
          <w:szCs w:val="28"/>
        </w:rPr>
        <w:t>некроз</w:t>
      </w:r>
      <w:r w:rsidRPr="009E6C7E">
        <w:rPr>
          <w:rFonts w:ascii="Times New Roman" w:hAnsi="Times New Roman" w:cs="Times New Roman"/>
          <w:color w:val="000000" w:themeColor="text1"/>
          <w:sz w:val="28"/>
          <w:szCs w:val="28"/>
        </w:rPr>
        <w:t xml:space="preserve"> (так=1, ні=0) – 0,2048 × </w:t>
      </w:r>
      <w:r>
        <w:rPr>
          <w:rFonts w:ascii="Times New Roman" w:hAnsi="Times New Roman" w:cs="Times New Roman"/>
          <w:color w:val="000000" w:themeColor="text1"/>
          <w:sz w:val="28"/>
          <w:szCs w:val="28"/>
        </w:rPr>
        <w:t>макроскопічний жир</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так</w:t>
      </w:r>
      <w:r w:rsidRPr="009E6C7E">
        <w:rPr>
          <w:rFonts w:ascii="Times New Roman" w:hAnsi="Times New Roman" w:cs="Times New Roman"/>
          <w:color w:val="000000" w:themeColor="text1"/>
          <w:sz w:val="28"/>
          <w:szCs w:val="28"/>
        </w:rPr>
        <w:t xml:space="preserve">=1, </w:t>
      </w:r>
      <w:r>
        <w:rPr>
          <w:rFonts w:ascii="Times New Roman" w:hAnsi="Times New Roman" w:cs="Times New Roman"/>
          <w:color w:val="000000" w:themeColor="text1"/>
          <w:sz w:val="28"/>
          <w:szCs w:val="28"/>
        </w:rPr>
        <w:t>ні</w:t>
      </w:r>
      <w:r w:rsidRPr="009E6C7E">
        <w:rPr>
          <w:rFonts w:ascii="Times New Roman" w:hAnsi="Times New Roman" w:cs="Times New Roman"/>
          <w:color w:val="000000" w:themeColor="text1"/>
          <w:sz w:val="28"/>
          <w:szCs w:val="28"/>
        </w:rPr>
        <w:t xml:space="preserve">=0) + 0,3326 × </w:t>
      </w:r>
      <w:r>
        <w:rPr>
          <w:rFonts w:ascii="Times New Roman" w:hAnsi="Times New Roman" w:cs="Times New Roman"/>
          <w:color w:val="000000" w:themeColor="text1"/>
          <w:sz w:val="28"/>
          <w:szCs w:val="28"/>
        </w:rPr>
        <w:t>нодулярне посилення</w:t>
      </w:r>
      <w:r w:rsidRPr="009E6C7E">
        <w:rPr>
          <w:rFonts w:ascii="Times New Roman" w:hAnsi="Times New Roman" w:cs="Times New Roman"/>
          <w:color w:val="000000" w:themeColor="text1"/>
          <w:sz w:val="28"/>
          <w:szCs w:val="28"/>
        </w:rPr>
        <w:t xml:space="preserve"> (так=1, ні=0)</w:t>
      </w:r>
    </w:p>
    <w:p w:rsidR="00C36617" w:rsidRPr="00C36617" w:rsidRDefault="0026445A" w:rsidP="0026445A">
      <w:pPr>
        <w:spacing w:line="360" w:lineRule="auto"/>
        <w:jc w:val="both"/>
        <w:rPr>
          <w:rFonts w:ascii="Times New Roman" w:hAnsi="Times New Roman" w:cs="Times New Roman"/>
          <w:color w:val="000000" w:themeColor="text1"/>
          <w:sz w:val="28"/>
          <w:szCs w:val="28"/>
        </w:rPr>
      </w:pPr>
      <w:r w:rsidRPr="000C36C2">
        <w:rPr>
          <w:rFonts w:ascii="Times New Roman" w:hAnsi="Times New Roman" w:cs="Times New Roman"/>
          <w:sz w:val="28"/>
          <w:szCs w:val="28"/>
        </w:rPr>
        <w:t xml:space="preserve">Де </w:t>
      </w:r>
      <w:r w:rsidRPr="000C36C2">
        <w:rPr>
          <w:rFonts w:ascii="Times New Roman" w:hAnsi="Times New Roman" w:cs="Times New Roman"/>
          <w:i/>
          <w:color w:val="000000" w:themeColor="text1"/>
          <w:sz w:val="28"/>
          <w:szCs w:val="28"/>
        </w:rPr>
        <w:t>log(міР-15a)</w:t>
      </w:r>
      <w:r w:rsidRPr="000C36C2">
        <w:rPr>
          <w:rFonts w:ascii="Times New Roman" w:hAnsi="Times New Roman" w:cs="Times New Roman"/>
          <w:color w:val="000000" w:themeColor="text1"/>
          <w:sz w:val="28"/>
          <w:szCs w:val="28"/>
        </w:rPr>
        <w:t xml:space="preserve"> – логарифм експресії міРНК-15а</w:t>
      </w:r>
    </w:p>
    <w:p w:rsidR="00034E9D" w:rsidRDefault="0026445A" w:rsidP="009B794D">
      <w:pPr>
        <w:spacing w:line="360" w:lineRule="auto"/>
        <w:jc w:val="both"/>
        <w:rPr>
          <w:rFonts w:ascii="Times New Roman" w:hAnsi="Times New Roman" w:cs="Times New Roman"/>
          <w:sz w:val="28"/>
          <w:szCs w:val="28"/>
        </w:rPr>
      </w:pPr>
      <w:r>
        <w:rPr>
          <w:rFonts w:ascii="Times New Roman" w:hAnsi="Times New Roman" w:cs="Times New Roman"/>
          <w:sz w:val="28"/>
          <w:szCs w:val="28"/>
        </w:rPr>
        <w:tab/>
      </w:r>
    </w:p>
    <w:p w:rsidR="000645F1" w:rsidRDefault="0026445A" w:rsidP="00034E9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Підсумовуючи отримані дані, можна стверджувати, що радіогенетичний аналіз в нашому дослідженні дозволяв із високим ступенем статистичної значущості передбачати рівень тканинної експресії мікроРНК-15а застосовуючи шість радіологічних параметрів світлоклітинного НКР, які можуть бути визначені за допомогою КТ чи МРТ із контрастуванням: розмір, наявність кістозного компоненту, екзофітного росту </w:t>
      </w:r>
      <w:r w:rsidRPr="00186DC3">
        <w:rPr>
          <w:rFonts w:ascii="Times New Roman" w:hAnsi="Times New Roman" w:cs="Times New Roman"/>
          <w:sz w:val="28"/>
          <w:szCs w:val="28"/>
        </w:rPr>
        <w:t>≥50%</w:t>
      </w:r>
      <w:r>
        <w:rPr>
          <w:rFonts w:ascii="Times New Roman" w:hAnsi="Times New Roman" w:cs="Times New Roman"/>
          <w:sz w:val="28"/>
          <w:szCs w:val="28"/>
        </w:rPr>
        <w:t xml:space="preserve"> за межі контуру нирки, некрозу, макроскопічного жиру та нодулярного контрастного посилення. Отримані дані мають високу практичну цінність, оскільки дозволяють без застосування генетичних методів дослідження, які нерідко є недоступними в вітчизняних клінічних установах, неінвазійно та достатньо точно передбачати рівень тканинної експресії міР-15а, яка, як нами було доведено, має суттєве прогностичне значення при даній патології, а розроблена поліноміальна модель на основі вивчених променевих характеристик пухлини може слугувати сурогатом експресії міР-15а у якості прогностичного біомаркеру НКР. </w:t>
      </w:r>
    </w:p>
    <w:p w:rsidR="009004BE" w:rsidRDefault="009004BE" w:rsidP="000645F1">
      <w:pPr>
        <w:spacing w:line="360" w:lineRule="auto"/>
        <w:contextualSpacing/>
        <w:jc w:val="center"/>
        <w:rPr>
          <w:rFonts w:ascii="Times New Roman" w:hAnsi="Times New Roman" w:cs="Times New Roman"/>
          <w:b/>
          <w:sz w:val="28"/>
          <w:szCs w:val="28"/>
        </w:rPr>
      </w:pPr>
    </w:p>
    <w:p w:rsidR="009004BE" w:rsidRDefault="009004BE" w:rsidP="000645F1">
      <w:pPr>
        <w:spacing w:line="360" w:lineRule="auto"/>
        <w:contextualSpacing/>
        <w:jc w:val="center"/>
        <w:rPr>
          <w:rFonts w:ascii="Times New Roman" w:hAnsi="Times New Roman" w:cs="Times New Roman"/>
          <w:b/>
          <w:sz w:val="28"/>
          <w:szCs w:val="28"/>
        </w:rPr>
      </w:pPr>
    </w:p>
    <w:p w:rsidR="009004BE" w:rsidRDefault="009004BE" w:rsidP="000645F1">
      <w:pPr>
        <w:spacing w:line="360" w:lineRule="auto"/>
        <w:contextualSpacing/>
        <w:jc w:val="center"/>
        <w:rPr>
          <w:rFonts w:ascii="Times New Roman" w:hAnsi="Times New Roman" w:cs="Times New Roman"/>
          <w:b/>
          <w:sz w:val="28"/>
          <w:szCs w:val="28"/>
        </w:rPr>
      </w:pPr>
    </w:p>
    <w:p w:rsidR="009004BE" w:rsidRDefault="009004BE" w:rsidP="000645F1">
      <w:pPr>
        <w:spacing w:line="360" w:lineRule="auto"/>
        <w:contextualSpacing/>
        <w:jc w:val="center"/>
        <w:rPr>
          <w:rFonts w:ascii="Times New Roman" w:hAnsi="Times New Roman" w:cs="Times New Roman"/>
          <w:b/>
          <w:sz w:val="28"/>
          <w:szCs w:val="28"/>
        </w:rPr>
      </w:pPr>
    </w:p>
    <w:p w:rsidR="009004BE" w:rsidRDefault="009004BE" w:rsidP="000645F1">
      <w:pPr>
        <w:spacing w:line="360" w:lineRule="auto"/>
        <w:contextualSpacing/>
        <w:jc w:val="center"/>
        <w:rPr>
          <w:rFonts w:ascii="Times New Roman" w:hAnsi="Times New Roman" w:cs="Times New Roman"/>
          <w:b/>
          <w:sz w:val="28"/>
          <w:szCs w:val="28"/>
        </w:rPr>
      </w:pPr>
    </w:p>
    <w:p w:rsidR="009004BE" w:rsidRDefault="009004BE" w:rsidP="00C36617">
      <w:pPr>
        <w:spacing w:line="360" w:lineRule="auto"/>
        <w:contextualSpacing/>
        <w:rPr>
          <w:rFonts w:ascii="Times New Roman" w:hAnsi="Times New Roman" w:cs="Times New Roman"/>
          <w:b/>
          <w:sz w:val="28"/>
          <w:szCs w:val="28"/>
        </w:rPr>
      </w:pPr>
    </w:p>
    <w:p w:rsidR="000645F1" w:rsidRPr="00530653" w:rsidRDefault="000645F1" w:rsidP="000645F1">
      <w:pPr>
        <w:spacing w:line="360" w:lineRule="auto"/>
        <w:contextualSpacing/>
        <w:jc w:val="center"/>
        <w:rPr>
          <w:rFonts w:ascii="Times New Roman" w:hAnsi="Times New Roman" w:cs="Times New Roman"/>
          <w:b/>
          <w:sz w:val="28"/>
          <w:szCs w:val="28"/>
        </w:rPr>
      </w:pPr>
      <w:r w:rsidRPr="002D4CE6">
        <w:rPr>
          <w:rFonts w:ascii="Times New Roman" w:hAnsi="Times New Roman" w:cs="Times New Roman"/>
          <w:b/>
          <w:sz w:val="28"/>
          <w:szCs w:val="28"/>
        </w:rPr>
        <w:lastRenderedPageBreak/>
        <w:t>РОЗДІЛ 8.</w:t>
      </w:r>
      <w:r>
        <w:rPr>
          <w:rFonts w:ascii="Times New Roman" w:hAnsi="Times New Roman" w:cs="Times New Roman"/>
          <w:sz w:val="28"/>
          <w:szCs w:val="28"/>
        </w:rPr>
        <w:t xml:space="preserve"> </w:t>
      </w:r>
      <w:r w:rsidRPr="00530653">
        <w:rPr>
          <w:rFonts w:ascii="Times New Roman" w:hAnsi="Times New Roman" w:cs="Times New Roman"/>
          <w:b/>
          <w:sz w:val="28"/>
          <w:szCs w:val="28"/>
        </w:rPr>
        <w:t>АНАЛІЗ І УЗАГАЛЬНЕННЯ ОТРИМАНИХ РЕЗУЛЬТАТІВ</w:t>
      </w:r>
    </w:p>
    <w:p w:rsidR="000645F1" w:rsidRDefault="000645F1" w:rsidP="000645F1"/>
    <w:p w:rsidR="000645F1" w:rsidRPr="0044307F" w:rsidRDefault="000645F1" w:rsidP="000645F1">
      <w:pPr>
        <w:spacing w:line="360" w:lineRule="auto"/>
        <w:jc w:val="both"/>
        <w:rPr>
          <w:rFonts w:ascii="Times New Roman" w:hAnsi="Times New Roman" w:cs="Times New Roman"/>
          <w:sz w:val="28"/>
          <w:szCs w:val="28"/>
        </w:rPr>
      </w:pPr>
      <w:r>
        <w:tab/>
      </w:r>
      <w:r w:rsidRPr="00041B7D">
        <w:rPr>
          <w:rFonts w:ascii="Times New Roman" w:hAnsi="Times New Roman" w:cs="Times New Roman"/>
          <w:sz w:val="28"/>
          <w:szCs w:val="28"/>
        </w:rPr>
        <w:t xml:space="preserve">На сьогодні, </w:t>
      </w:r>
      <w:r>
        <w:rPr>
          <w:rFonts w:ascii="Times New Roman" w:hAnsi="Times New Roman" w:cs="Times New Roman"/>
          <w:sz w:val="28"/>
          <w:szCs w:val="28"/>
        </w:rPr>
        <w:t xml:space="preserve">не зважаючи на значний поступ у методах діагностики та лікування нирково-клітинного раку, захворюваність та смертність від цього недугу залишаються високими як в Україні, так і у всьому світі </w:t>
      </w:r>
      <w:r w:rsidRPr="009E6C7E">
        <w:rPr>
          <w:rFonts w:ascii="Times New Roman" w:hAnsi="Times New Roman" w:cs="Times New Roman"/>
          <w:sz w:val="28"/>
          <w:szCs w:val="28"/>
          <w:lang w:val="ru-RU"/>
        </w:rPr>
        <w:t>[</w:t>
      </w:r>
      <w:r w:rsidR="008E5336">
        <w:rPr>
          <w:rFonts w:ascii="Times New Roman" w:hAnsi="Times New Roman" w:cs="Times New Roman"/>
          <w:sz w:val="28"/>
          <w:szCs w:val="28"/>
        </w:rPr>
        <w:t>70, 269</w:t>
      </w:r>
      <w:r w:rsidRPr="009E6C7E">
        <w:rPr>
          <w:rFonts w:ascii="Times New Roman" w:hAnsi="Times New Roman" w:cs="Times New Roman"/>
          <w:sz w:val="28"/>
          <w:szCs w:val="28"/>
          <w:lang w:val="ru-RU"/>
        </w:rPr>
        <w:t>]</w:t>
      </w:r>
      <w:r>
        <w:rPr>
          <w:rFonts w:ascii="Times New Roman" w:hAnsi="Times New Roman" w:cs="Times New Roman"/>
          <w:sz w:val="28"/>
          <w:szCs w:val="28"/>
        </w:rPr>
        <w:t>. Більш того, НКР</w:t>
      </w:r>
      <w:r w:rsidRPr="00BF62DA">
        <w:rPr>
          <w:rFonts w:ascii="Times New Roman" w:hAnsi="Times New Roman" w:cs="Times New Roman"/>
          <w:sz w:val="28"/>
          <w:szCs w:val="28"/>
        </w:rPr>
        <w:t xml:space="preserve"> належить до 10-ти найбільш розповсюджених злоякісних пухлин</w:t>
      </w:r>
      <w:r>
        <w:rPr>
          <w:rFonts w:ascii="Times New Roman" w:hAnsi="Times New Roman" w:cs="Times New Roman"/>
          <w:sz w:val="28"/>
          <w:szCs w:val="28"/>
        </w:rPr>
        <w:t xml:space="preserve">, </w:t>
      </w:r>
      <w:r w:rsidRPr="00BF62DA">
        <w:rPr>
          <w:rFonts w:ascii="Times New Roman" w:hAnsi="Times New Roman" w:cs="Times New Roman"/>
          <w:sz w:val="28"/>
          <w:szCs w:val="28"/>
        </w:rPr>
        <w:t xml:space="preserve"> </w:t>
      </w:r>
      <w:r>
        <w:rPr>
          <w:rFonts w:ascii="Times New Roman" w:hAnsi="Times New Roman" w:cs="Times New Roman"/>
          <w:sz w:val="28"/>
          <w:szCs w:val="28"/>
        </w:rPr>
        <w:t>у світовому масштабі</w:t>
      </w:r>
      <w:r w:rsidRPr="00BF62DA">
        <w:rPr>
          <w:rFonts w:ascii="Times New Roman" w:hAnsi="Times New Roman" w:cs="Times New Roman"/>
          <w:sz w:val="28"/>
          <w:szCs w:val="28"/>
        </w:rPr>
        <w:t xml:space="preserve"> спостерігається стійке зростання показника захворюваності на НКР </w:t>
      </w:r>
      <w:r>
        <w:rPr>
          <w:rFonts w:ascii="Times New Roman" w:hAnsi="Times New Roman" w:cs="Times New Roman"/>
          <w:sz w:val="28"/>
          <w:szCs w:val="28"/>
        </w:rPr>
        <w:t xml:space="preserve">в середньому </w:t>
      </w:r>
      <w:r w:rsidRPr="00BF62DA">
        <w:rPr>
          <w:rFonts w:ascii="Times New Roman" w:hAnsi="Times New Roman" w:cs="Times New Roman"/>
          <w:sz w:val="28"/>
          <w:szCs w:val="28"/>
        </w:rPr>
        <w:t>2% щорічно</w:t>
      </w:r>
      <w:r>
        <w:rPr>
          <w:rFonts w:ascii="Times New Roman" w:hAnsi="Times New Roman" w:cs="Times New Roman"/>
          <w:sz w:val="28"/>
          <w:szCs w:val="28"/>
        </w:rPr>
        <w:t xml:space="preserve"> [</w:t>
      </w:r>
      <w:r w:rsidR="008E5336">
        <w:rPr>
          <w:rFonts w:ascii="Times New Roman" w:hAnsi="Times New Roman" w:cs="Times New Roman"/>
          <w:color w:val="000000" w:themeColor="text1"/>
          <w:sz w:val="28"/>
          <w:szCs w:val="28"/>
          <w:shd w:val="clear" w:color="auto" w:fill="FFFFFF"/>
        </w:rPr>
        <w:t>190</w:t>
      </w:r>
      <w:r w:rsidRPr="009E6C7E">
        <w:rPr>
          <w:rFonts w:ascii="Times New Roman" w:hAnsi="Times New Roman" w:cs="Times New Roman"/>
          <w:color w:val="000000" w:themeColor="text1"/>
          <w:sz w:val="28"/>
          <w:szCs w:val="28"/>
          <w:shd w:val="clear" w:color="auto" w:fill="FFFFFF"/>
        </w:rPr>
        <w:t>]</w:t>
      </w:r>
      <w:r>
        <w:rPr>
          <w:rFonts w:ascii="Times New Roman" w:hAnsi="Times New Roman" w:cs="Times New Roman"/>
          <w:sz w:val="28"/>
          <w:szCs w:val="28"/>
        </w:rPr>
        <w:t>.</w:t>
      </w:r>
      <w:r w:rsidRPr="00041B7D">
        <w:rPr>
          <w:rFonts w:ascii="Times New Roman" w:hAnsi="Times New Roman" w:cs="Times New Roman"/>
          <w:sz w:val="28"/>
          <w:szCs w:val="28"/>
        </w:rPr>
        <w:t xml:space="preserve"> </w:t>
      </w:r>
      <w:r>
        <w:rPr>
          <w:rFonts w:ascii="Times New Roman" w:hAnsi="Times New Roman" w:cs="Times New Roman"/>
          <w:sz w:val="28"/>
          <w:szCs w:val="28"/>
        </w:rPr>
        <w:t>В Україні кожного року вперше діагностується близько 55</w:t>
      </w:r>
      <w:r w:rsidRPr="00BF62DA">
        <w:rPr>
          <w:rFonts w:ascii="Times New Roman" w:hAnsi="Times New Roman" w:cs="Times New Roman"/>
          <w:sz w:val="28"/>
          <w:szCs w:val="28"/>
        </w:rPr>
        <w:t>00 випадків НКР</w:t>
      </w:r>
      <w:r>
        <w:rPr>
          <w:rFonts w:ascii="Times New Roman" w:hAnsi="Times New Roman" w:cs="Times New Roman"/>
          <w:sz w:val="28"/>
          <w:szCs w:val="28"/>
        </w:rPr>
        <w:t xml:space="preserve"> (3300 чоловіків і 22</w:t>
      </w:r>
      <w:r w:rsidRPr="00BF62DA">
        <w:rPr>
          <w:rFonts w:ascii="Times New Roman" w:hAnsi="Times New Roman" w:cs="Times New Roman"/>
          <w:sz w:val="28"/>
          <w:szCs w:val="28"/>
        </w:rPr>
        <w:t>00 жінок)</w:t>
      </w:r>
      <w:r>
        <w:rPr>
          <w:rFonts w:ascii="Times New Roman" w:hAnsi="Times New Roman" w:cs="Times New Roman"/>
          <w:sz w:val="28"/>
          <w:szCs w:val="28"/>
        </w:rPr>
        <w:t>, дане захворювання знаходиться на 7 місці у чоловіків (4,2%) та на 9 місці у жінок (2,7%) в загальній структурі контингентів хворих із злоякісними новоутвореннями</w:t>
      </w:r>
      <w:r w:rsidRPr="009E6C7E">
        <w:rPr>
          <w:rFonts w:ascii="Times New Roman" w:hAnsi="Times New Roman" w:cs="Times New Roman"/>
          <w:sz w:val="28"/>
          <w:szCs w:val="28"/>
        </w:rPr>
        <w:t xml:space="preserve"> [</w:t>
      </w:r>
      <w:r w:rsidR="008E5336">
        <w:rPr>
          <w:rFonts w:ascii="Times New Roman" w:hAnsi="Times New Roman" w:cs="Times New Roman"/>
          <w:sz w:val="28"/>
          <w:szCs w:val="28"/>
        </w:rPr>
        <w:t>70</w:t>
      </w:r>
      <w:r w:rsidRPr="009E6C7E">
        <w:rPr>
          <w:rFonts w:ascii="Times New Roman" w:hAnsi="Times New Roman" w:cs="Times New Roman"/>
          <w:sz w:val="28"/>
          <w:szCs w:val="28"/>
        </w:rPr>
        <w:t>]</w:t>
      </w:r>
      <w:r>
        <w:rPr>
          <w:rFonts w:ascii="Times New Roman" w:hAnsi="Times New Roman" w:cs="Times New Roman"/>
          <w:sz w:val="28"/>
          <w:szCs w:val="28"/>
        </w:rPr>
        <w:t xml:space="preserve">. В </w:t>
      </w:r>
      <w:r w:rsidRPr="0044307F">
        <w:rPr>
          <w:rFonts w:ascii="Times New Roman" w:hAnsi="Times New Roman" w:cs="Times New Roman"/>
          <w:sz w:val="28"/>
          <w:szCs w:val="28"/>
        </w:rPr>
        <w:t>Україні</w:t>
      </w:r>
      <w:r>
        <w:rPr>
          <w:rFonts w:ascii="Times New Roman" w:hAnsi="Times New Roman" w:cs="Times New Roman"/>
          <w:sz w:val="28"/>
          <w:szCs w:val="28"/>
        </w:rPr>
        <w:t>,</w:t>
      </w:r>
      <w:r w:rsidRPr="0044307F">
        <w:rPr>
          <w:rFonts w:ascii="Times New Roman" w:hAnsi="Times New Roman" w:cs="Times New Roman"/>
          <w:sz w:val="28"/>
          <w:szCs w:val="28"/>
        </w:rPr>
        <w:t xml:space="preserve"> за останнє десятиріччя  частка вперше виявленого НКР І-ІІ стадій зросла всього на 11% і не перевищує 57%, проте, у близько 23% хворих, дане захворювання виявляється на ІV стадії, при якій радикальне лікування вже не є ефективним.</w:t>
      </w:r>
      <w:r>
        <w:rPr>
          <w:rFonts w:ascii="Times New Roman" w:hAnsi="Times New Roman" w:cs="Times New Roman"/>
          <w:sz w:val="28"/>
          <w:szCs w:val="28"/>
        </w:rPr>
        <w:t xml:space="preserve"> Насамперед така ситуація є пов’язана із недосконалостями існуючих алгоритмів діагностики так лікування НКР та методами, що в них використовуються.</w:t>
      </w:r>
    </w:p>
    <w:p w:rsidR="000645F1" w:rsidRDefault="000645F1" w:rsidP="000645F1">
      <w:pPr>
        <w:spacing w:line="360" w:lineRule="auto"/>
        <w:ind w:firstLine="360"/>
        <w:jc w:val="both"/>
        <w:rPr>
          <w:rFonts w:ascii="Times New Roman" w:hAnsi="Times New Roman" w:cs="Times New Roman"/>
          <w:sz w:val="28"/>
          <w:szCs w:val="28"/>
        </w:rPr>
      </w:pPr>
      <w:r>
        <w:rPr>
          <w:rFonts w:ascii="Times New Roman" w:hAnsi="Times New Roman" w:cs="Times New Roman"/>
          <w:sz w:val="28"/>
          <w:szCs w:val="28"/>
        </w:rPr>
        <w:tab/>
        <w:t>О</w:t>
      </w:r>
      <w:r w:rsidRPr="003B35A1">
        <w:rPr>
          <w:rFonts w:ascii="Times New Roman" w:hAnsi="Times New Roman" w:cs="Times New Roman"/>
          <w:sz w:val="28"/>
          <w:szCs w:val="28"/>
        </w:rPr>
        <w:t xml:space="preserve">собливості перебігу </w:t>
      </w:r>
      <w:r>
        <w:rPr>
          <w:rFonts w:ascii="Times New Roman" w:hAnsi="Times New Roman" w:cs="Times New Roman"/>
          <w:sz w:val="28"/>
          <w:szCs w:val="28"/>
        </w:rPr>
        <w:t>НКР</w:t>
      </w:r>
      <w:r w:rsidRPr="003B35A1">
        <w:rPr>
          <w:rFonts w:ascii="Times New Roman" w:hAnsi="Times New Roman" w:cs="Times New Roman"/>
          <w:sz w:val="28"/>
          <w:szCs w:val="28"/>
        </w:rPr>
        <w:t xml:space="preserve">, ефективність хірургічного чи медикаментозного лікування, схильність до метастазування та тривалість виживання хворих </w:t>
      </w:r>
      <w:r>
        <w:rPr>
          <w:rFonts w:ascii="Times New Roman" w:hAnsi="Times New Roman" w:cs="Times New Roman"/>
          <w:sz w:val="28"/>
          <w:szCs w:val="28"/>
        </w:rPr>
        <w:t>залежать від низки</w:t>
      </w:r>
      <w:r w:rsidRPr="003B35A1">
        <w:rPr>
          <w:rFonts w:ascii="Times New Roman" w:hAnsi="Times New Roman" w:cs="Times New Roman"/>
          <w:sz w:val="28"/>
          <w:szCs w:val="28"/>
        </w:rPr>
        <w:t xml:space="preserve"> факторів, серед яких виділяють анатомічні, гістологічні, клінічні та молекулярні. </w:t>
      </w:r>
      <w:r>
        <w:rPr>
          <w:rFonts w:ascii="Times New Roman" w:hAnsi="Times New Roman" w:cs="Times New Roman"/>
          <w:sz w:val="28"/>
          <w:szCs w:val="28"/>
        </w:rPr>
        <w:t xml:space="preserve">Так, </w:t>
      </w:r>
      <w:r w:rsidRPr="003B35A1">
        <w:rPr>
          <w:rFonts w:ascii="Times New Roman" w:hAnsi="Times New Roman" w:cs="Times New Roman"/>
          <w:sz w:val="28"/>
          <w:szCs w:val="28"/>
        </w:rPr>
        <w:t>Keegan K.A</w:t>
      </w:r>
      <w:r>
        <w:rPr>
          <w:rFonts w:ascii="Times New Roman" w:hAnsi="Times New Roman" w:cs="Times New Roman"/>
          <w:sz w:val="28"/>
          <w:szCs w:val="28"/>
        </w:rPr>
        <w:t>. та рядом інших дослідників</w:t>
      </w:r>
      <w:r w:rsidRPr="003B35A1">
        <w:rPr>
          <w:rFonts w:ascii="Times New Roman" w:hAnsi="Times New Roman" w:cs="Times New Roman"/>
          <w:sz w:val="28"/>
          <w:szCs w:val="28"/>
        </w:rPr>
        <w:t xml:space="preserve"> </w:t>
      </w:r>
      <w:r>
        <w:rPr>
          <w:rFonts w:ascii="Times New Roman" w:hAnsi="Times New Roman" w:cs="Times New Roman"/>
          <w:sz w:val="28"/>
          <w:szCs w:val="28"/>
        </w:rPr>
        <w:t xml:space="preserve">було встановлено, </w:t>
      </w:r>
      <w:r w:rsidRPr="003B35A1">
        <w:rPr>
          <w:rFonts w:ascii="Times New Roman" w:hAnsi="Times New Roman" w:cs="Times New Roman"/>
          <w:sz w:val="28"/>
          <w:szCs w:val="28"/>
        </w:rPr>
        <w:t xml:space="preserve">що 5-річне канцер-специфічне виживання </w:t>
      </w:r>
      <w:r>
        <w:rPr>
          <w:rFonts w:ascii="Times New Roman" w:hAnsi="Times New Roman" w:cs="Times New Roman"/>
          <w:sz w:val="28"/>
          <w:szCs w:val="28"/>
        </w:rPr>
        <w:t xml:space="preserve">хворих із світлоклітинним, папілярним </w:t>
      </w:r>
      <w:r w:rsidRPr="003B35A1">
        <w:rPr>
          <w:rFonts w:ascii="Times New Roman" w:hAnsi="Times New Roman" w:cs="Times New Roman"/>
          <w:sz w:val="28"/>
          <w:szCs w:val="28"/>
        </w:rPr>
        <w:t xml:space="preserve">та </w:t>
      </w:r>
      <w:r>
        <w:rPr>
          <w:rFonts w:ascii="Times New Roman" w:hAnsi="Times New Roman" w:cs="Times New Roman"/>
          <w:sz w:val="28"/>
          <w:szCs w:val="28"/>
        </w:rPr>
        <w:t>хромофобним НКР (як найбільш поширеними гістологічними варіантами)</w:t>
      </w:r>
      <w:r w:rsidRPr="003B35A1">
        <w:rPr>
          <w:rFonts w:ascii="Times New Roman" w:hAnsi="Times New Roman" w:cs="Times New Roman"/>
          <w:sz w:val="28"/>
          <w:szCs w:val="28"/>
        </w:rPr>
        <w:t xml:space="preserve"> значно відрізняється і становить 71%, 91% та 88% відповідно, а, здатність до метастазування у скНКР є значно вищою у порівнянні з іншими підтипами раку нирки [</w:t>
      </w:r>
      <w:r w:rsidR="008E5336">
        <w:rPr>
          <w:rFonts w:ascii="Times New Roman" w:hAnsi="Times New Roman" w:cs="Times New Roman"/>
          <w:sz w:val="28"/>
          <w:szCs w:val="28"/>
        </w:rPr>
        <w:t>190, 224</w:t>
      </w:r>
      <w:r w:rsidRPr="003B35A1">
        <w:rPr>
          <w:rFonts w:ascii="Times New Roman" w:hAnsi="Times New Roman" w:cs="Times New Roman"/>
          <w:sz w:val="28"/>
          <w:szCs w:val="28"/>
        </w:rPr>
        <w:t>].</w:t>
      </w:r>
      <w:r>
        <w:rPr>
          <w:rFonts w:ascii="Times New Roman" w:hAnsi="Times New Roman" w:cs="Times New Roman"/>
          <w:sz w:val="28"/>
          <w:szCs w:val="28"/>
        </w:rPr>
        <w:t xml:space="preserve"> </w:t>
      </w:r>
      <w:r w:rsidRPr="003B35A1">
        <w:rPr>
          <w:rFonts w:ascii="Times New Roman" w:hAnsi="Times New Roman" w:cs="Times New Roman"/>
          <w:sz w:val="28"/>
          <w:szCs w:val="28"/>
        </w:rPr>
        <w:t>Leibovich</w:t>
      </w:r>
      <w:r>
        <w:rPr>
          <w:rFonts w:ascii="Times New Roman" w:hAnsi="Times New Roman" w:cs="Times New Roman"/>
          <w:sz w:val="28"/>
          <w:szCs w:val="28"/>
        </w:rPr>
        <w:t xml:space="preserve"> та колегами було доведено, що  ступінь</w:t>
      </w:r>
      <w:r w:rsidRPr="003B35A1">
        <w:rPr>
          <w:rFonts w:ascii="Times New Roman" w:hAnsi="Times New Roman" w:cs="Times New Roman"/>
          <w:sz w:val="28"/>
          <w:szCs w:val="28"/>
        </w:rPr>
        <w:t xml:space="preserve"> </w:t>
      </w:r>
      <w:r>
        <w:rPr>
          <w:rFonts w:ascii="Times New Roman" w:hAnsi="Times New Roman" w:cs="Times New Roman"/>
          <w:sz w:val="28"/>
          <w:szCs w:val="28"/>
        </w:rPr>
        <w:t>світлоклітинного та папілярного НКР</w:t>
      </w:r>
      <w:r w:rsidRPr="003B35A1">
        <w:rPr>
          <w:rFonts w:ascii="Times New Roman" w:hAnsi="Times New Roman" w:cs="Times New Roman"/>
          <w:sz w:val="28"/>
          <w:szCs w:val="28"/>
        </w:rPr>
        <w:t xml:space="preserve"> за Furhman </w:t>
      </w:r>
      <w:r>
        <w:rPr>
          <w:rFonts w:ascii="Times New Roman" w:hAnsi="Times New Roman" w:cs="Times New Roman"/>
          <w:sz w:val="28"/>
          <w:szCs w:val="28"/>
        </w:rPr>
        <w:t xml:space="preserve">також суттєво впливає на перебіг захворювання, його біологічну агресивність і відповідно виживання </w:t>
      </w:r>
      <w:r w:rsidRPr="003B35A1">
        <w:rPr>
          <w:rFonts w:ascii="Times New Roman" w:hAnsi="Times New Roman" w:cs="Times New Roman"/>
          <w:sz w:val="28"/>
          <w:szCs w:val="28"/>
        </w:rPr>
        <w:t xml:space="preserve"> [</w:t>
      </w:r>
      <w:r w:rsidR="008E5336">
        <w:rPr>
          <w:rFonts w:ascii="Times New Roman" w:hAnsi="Times New Roman" w:cs="Times New Roman"/>
          <w:sz w:val="28"/>
          <w:szCs w:val="28"/>
        </w:rPr>
        <w:t>249</w:t>
      </w:r>
      <w:r w:rsidRPr="003B35A1">
        <w:rPr>
          <w:rFonts w:ascii="Times New Roman" w:hAnsi="Times New Roman" w:cs="Times New Roman"/>
          <w:sz w:val="28"/>
          <w:szCs w:val="28"/>
        </w:rPr>
        <w:t>].</w:t>
      </w:r>
      <w:r>
        <w:rPr>
          <w:rFonts w:ascii="Times New Roman" w:hAnsi="Times New Roman" w:cs="Times New Roman"/>
          <w:sz w:val="28"/>
          <w:szCs w:val="28"/>
        </w:rPr>
        <w:t xml:space="preserve"> Відсутність інформації про  гістологічний підтип та ступінь диференціації НКР на </w:t>
      </w:r>
      <w:r>
        <w:rPr>
          <w:rFonts w:ascii="Times New Roman" w:hAnsi="Times New Roman" w:cs="Times New Roman"/>
          <w:sz w:val="28"/>
          <w:szCs w:val="28"/>
        </w:rPr>
        <w:lastRenderedPageBreak/>
        <w:t xml:space="preserve">доопераційному етапі, не дозволяє проводити індивідуалізоване планування лікування чи стратифікувати хворих для активного виживання. Висока частка неінформативних черезшкірних біопсій при НКР (за даними </w:t>
      </w:r>
      <w:r w:rsidRPr="00F1177C">
        <w:rPr>
          <w:rFonts w:ascii="Times New Roman" w:eastAsia="Times New Roman" w:hAnsi="Times New Roman" w:cs="Times New Roman"/>
          <w:color w:val="000000" w:themeColor="text1"/>
          <w:sz w:val="28"/>
          <w:szCs w:val="28"/>
          <w:lang w:val="en-US" w:eastAsia="uk-UA"/>
        </w:rPr>
        <w:t>Blute</w:t>
      </w:r>
      <w:r>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val="en-US" w:eastAsia="uk-UA"/>
        </w:rPr>
        <w:t>et</w:t>
      </w:r>
      <w:r w:rsidRPr="009E6C7E">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val="en-US" w:eastAsia="uk-UA"/>
        </w:rPr>
        <w:t>al</w:t>
      </w:r>
      <w:r w:rsidRPr="009E6C7E">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 xml:space="preserve">– </w:t>
      </w:r>
      <w:r>
        <w:rPr>
          <w:rFonts w:ascii="Times New Roman" w:hAnsi="Times New Roman" w:cs="Times New Roman"/>
          <w:sz w:val="28"/>
          <w:szCs w:val="28"/>
        </w:rPr>
        <w:t>до 40%) сприяє відмові від цього методу в багатьох вітчизняних клінічних установах [</w:t>
      </w:r>
      <w:r w:rsidR="008E5336">
        <w:rPr>
          <w:rFonts w:ascii="Times New Roman" w:eastAsia="Times New Roman" w:hAnsi="Times New Roman" w:cs="Times New Roman"/>
          <w:color w:val="000000" w:themeColor="text1"/>
          <w:sz w:val="28"/>
          <w:szCs w:val="28"/>
          <w:lang w:eastAsia="uk-UA"/>
        </w:rPr>
        <w:t>90</w:t>
      </w:r>
      <w:r w:rsidRPr="00060B5D">
        <w:rPr>
          <w:rFonts w:ascii="Times New Roman" w:hAnsi="Times New Roman" w:cs="Times New Roman"/>
          <w:sz w:val="28"/>
          <w:szCs w:val="28"/>
        </w:rPr>
        <w:t>]</w:t>
      </w:r>
      <w:r>
        <w:rPr>
          <w:rFonts w:ascii="Times New Roman" w:hAnsi="Times New Roman" w:cs="Times New Roman"/>
          <w:sz w:val="28"/>
          <w:szCs w:val="28"/>
        </w:rPr>
        <w:t>. Крім цього, існуючі методи діагностики все ще не дозволяють із достатньою точністю диференціювати НКР та доброякісні пухлини нирок, результатом чого є виконання нефректомії при відсутності злоякісного захворювання у 11-34% випадків [</w:t>
      </w:r>
      <w:r w:rsidR="008E5336">
        <w:rPr>
          <w:rFonts w:ascii="Times New Roman" w:eastAsia="Times New Roman" w:hAnsi="Times New Roman" w:cs="Times New Roman"/>
          <w:sz w:val="28"/>
          <w:szCs w:val="28"/>
          <w:lang w:eastAsia="uk-UA"/>
        </w:rPr>
        <w:t>150</w:t>
      </w:r>
      <w:r w:rsidRPr="00060B5D">
        <w:rPr>
          <w:rFonts w:ascii="Times New Roman" w:hAnsi="Times New Roman" w:cs="Times New Roman"/>
          <w:sz w:val="28"/>
          <w:szCs w:val="28"/>
        </w:rPr>
        <w:t>]</w:t>
      </w:r>
      <w:r>
        <w:rPr>
          <w:rFonts w:ascii="Times New Roman" w:hAnsi="Times New Roman" w:cs="Times New Roman"/>
          <w:sz w:val="28"/>
          <w:szCs w:val="28"/>
        </w:rPr>
        <w:t xml:space="preserve">. </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даними Європейської Асоціації Урології, на сьогодні, не існує біомаркерів, які б з достатньою точністю, неінвазійно та без променевого навантаження на хворого дозволяли б діагностувати НКР, визначати його гістологічний підтип, ступінь диференціації, як у випадках малих ниркових новоутворень, так і пухлин, розміром </w:t>
      </w:r>
      <w:r w:rsidRPr="009E6C7E">
        <w:rPr>
          <w:rFonts w:ascii="Times New Roman" w:hAnsi="Times New Roman" w:cs="Times New Roman"/>
          <w:sz w:val="28"/>
          <w:szCs w:val="28"/>
        </w:rPr>
        <w:t>&gt;</w:t>
      </w:r>
      <w:r>
        <w:rPr>
          <w:rFonts w:ascii="Times New Roman" w:hAnsi="Times New Roman" w:cs="Times New Roman"/>
          <w:sz w:val="28"/>
          <w:szCs w:val="28"/>
        </w:rPr>
        <w:t>4 см</w:t>
      </w:r>
      <w:r w:rsidR="008E5336">
        <w:rPr>
          <w:rFonts w:ascii="Times New Roman" w:hAnsi="Times New Roman" w:cs="Times New Roman"/>
          <w:sz w:val="28"/>
          <w:szCs w:val="28"/>
        </w:rPr>
        <w:t xml:space="preserve"> </w:t>
      </w:r>
      <w:r w:rsidR="008E5336" w:rsidRPr="009E6C7E">
        <w:rPr>
          <w:rFonts w:ascii="Times New Roman" w:hAnsi="Times New Roman" w:cs="Times New Roman"/>
          <w:sz w:val="28"/>
          <w:szCs w:val="28"/>
        </w:rPr>
        <w:t>[</w:t>
      </w:r>
      <w:r w:rsidR="008E5336">
        <w:rPr>
          <w:rFonts w:ascii="Times New Roman" w:hAnsi="Times New Roman" w:cs="Times New Roman"/>
          <w:sz w:val="28"/>
          <w:szCs w:val="28"/>
        </w:rPr>
        <w:t>269</w:t>
      </w:r>
      <w:r w:rsidR="008E5336" w:rsidRPr="009E6C7E">
        <w:rPr>
          <w:rFonts w:ascii="Times New Roman" w:hAnsi="Times New Roman" w:cs="Times New Roman"/>
          <w:sz w:val="28"/>
          <w:szCs w:val="28"/>
        </w:rPr>
        <w:t>]</w:t>
      </w:r>
      <w:r>
        <w:rPr>
          <w:rFonts w:ascii="Times New Roman" w:hAnsi="Times New Roman" w:cs="Times New Roman"/>
          <w:sz w:val="28"/>
          <w:szCs w:val="28"/>
        </w:rPr>
        <w:t xml:space="preserve">. Крім цього,  не існує біомаркерів, на основі яких би було можливим достовірно передбачати ефективність селективної емболізації ниркових артерій при НКР, виявляти локальний рецидив цього захворювання та оцінювати ранню терапевтичну відповідь при системній терапії розповсюдженого НКР. Також, жоден із вивчених прогностичних біомаркерів НКР не продемонстрував достатнього потенціалу для включення його в існуючі прогностичні моделі. Така ситуація спонукає до активного вивчення нових потенційних діагностичних та прогностичних біомаркерів НКР, а також та біомаркерів передбачення ефективності лікування даної патології. </w:t>
      </w:r>
    </w:p>
    <w:p w:rsidR="000645F1" w:rsidRDefault="000645F1" w:rsidP="006A74D3">
      <w:pPr>
        <w:spacing w:line="360" w:lineRule="auto"/>
        <w:ind w:firstLine="708"/>
        <w:jc w:val="both"/>
        <w:rPr>
          <w:rFonts w:ascii="Times New Roman" w:hAnsi="Times New Roman" w:cs="Times New Roman"/>
          <w:iCs/>
          <w:color w:val="000000"/>
          <w:sz w:val="28"/>
          <w:szCs w:val="28"/>
        </w:rPr>
      </w:pPr>
      <w:r>
        <w:rPr>
          <w:rFonts w:ascii="Times New Roman" w:hAnsi="Times New Roman" w:cs="Times New Roman"/>
          <w:sz w:val="28"/>
          <w:szCs w:val="28"/>
        </w:rPr>
        <w:t xml:space="preserve">У зв’язку з наведеними даними, метою нашого дослідження </w:t>
      </w:r>
      <w:r w:rsidR="006A74D3">
        <w:rPr>
          <w:rFonts w:ascii="Times New Roman" w:hAnsi="Times New Roman" w:cs="Times New Roman"/>
          <w:sz w:val="28"/>
          <w:szCs w:val="28"/>
        </w:rPr>
        <w:t>було</w:t>
      </w:r>
      <w:r>
        <w:rPr>
          <w:rFonts w:ascii="Times New Roman" w:hAnsi="Times New Roman" w:cs="Times New Roman"/>
          <w:sz w:val="28"/>
          <w:szCs w:val="28"/>
        </w:rPr>
        <w:t xml:space="preserve"> </w:t>
      </w:r>
      <w:r w:rsidR="005E1A24" w:rsidRPr="00FD6037">
        <w:rPr>
          <w:rFonts w:ascii="Times New Roman" w:hAnsi="Times New Roman" w:cs="Times New Roman"/>
          <w:iCs/>
          <w:color w:val="000000"/>
          <w:sz w:val="28"/>
          <w:szCs w:val="28"/>
        </w:rPr>
        <w:t>підвищення ефективності лікування</w:t>
      </w:r>
      <w:r w:rsidR="005E1A24" w:rsidRPr="00FD6037">
        <w:rPr>
          <w:rFonts w:ascii="Times New Roman" w:hAnsi="Times New Roman" w:cs="Times New Roman"/>
          <w:iCs/>
          <w:color w:val="000000"/>
        </w:rPr>
        <w:t xml:space="preserve"> </w:t>
      </w:r>
      <w:r w:rsidR="005E1A24" w:rsidRPr="00FD6037">
        <w:rPr>
          <w:rFonts w:ascii="Times New Roman" w:hAnsi="Times New Roman" w:cs="Times New Roman"/>
          <w:iCs/>
          <w:color w:val="000000"/>
          <w:sz w:val="28"/>
          <w:szCs w:val="28"/>
        </w:rPr>
        <w:t>хворих на</w:t>
      </w:r>
      <w:r w:rsidR="005E1A24" w:rsidRPr="00FD6037">
        <w:rPr>
          <w:rFonts w:ascii="Times New Roman" w:hAnsi="Times New Roman" w:cs="Times New Roman"/>
          <w:iCs/>
          <w:color w:val="000000"/>
        </w:rPr>
        <w:t xml:space="preserve"> </w:t>
      </w:r>
      <w:r w:rsidR="005E1A24" w:rsidRPr="00FD6037">
        <w:rPr>
          <w:rFonts w:ascii="Times New Roman" w:hAnsi="Times New Roman" w:cs="Times New Roman"/>
          <w:iCs/>
          <w:color w:val="000000"/>
          <w:sz w:val="28"/>
          <w:szCs w:val="28"/>
        </w:rPr>
        <w:t>нирково-клітинний рак шляхом застосування розроблених алгоритмів діагностики і лікування на основі</w:t>
      </w:r>
      <w:r w:rsidR="005B3FC2">
        <w:rPr>
          <w:rFonts w:ascii="Times New Roman" w:hAnsi="Times New Roman" w:cs="Times New Roman"/>
          <w:iCs/>
          <w:color w:val="000000"/>
          <w:sz w:val="28"/>
          <w:szCs w:val="28"/>
        </w:rPr>
        <w:t xml:space="preserve"> </w:t>
      </w:r>
      <w:r w:rsidR="005B3FC2" w:rsidRPr="003072C2">
        <w:rPr>
          <w:rFonts w:ascii="Times New Roman" w:hAnsi="Times New Roman" w:cs="Times New Roman"/>
          <w:iCs/>
          <w:color w:val="000000" w:themeColor="text1"/>
          <w:sz w:val="28"/>
          <w:szCs w:val="28"/>
        </w:rPr>
        <w:t>запропонованих</w:t>
      </w:r>
      <w:r w:rsidR="005E1A24" w:rsidRPr="00FD6037">
        <w:rPr>
          <w:rFonts w:ascii="Times New Roman" w:hAnsi="Times New Roman" w:cs="Times New Roman"/>
          <w:iCs/>
          <w:color w:val="000000"/>
          <w:sz w:val="28"/>
          <w:szCs w:val="28"/>
        </w:rPr>
        <w:t xml:space="preserve"> </w:t>
      </w:r>
      <w:r w:rsidR="005E1A24" w:rsidRPr="00DA2F3A">
        <w:rPr>
          <w:rFonts w:ascii="Times New Roman" w:hAnsi="Times New Roman" w:cs="Times New Roman"/>
          <w:iCs/>
          <w:color w:val="FF0000"/>
          <w:sz w:val="28"/>
          <w:szCs w:val="28"/>
        </w:rPr>
        <w:t xml:space="preserve"> </w:t>
      </w:r>
      <w:r w:rsidR="005E1A24" w:rsidRPr="00FD6037">
        <w:rPr>
          <w:rFonts w:ascii="Times New Roman" w:hAnsi="Times New Roman" w:cs="Times New Roman"/>
          <w:iCs/>
          <w:color w:val="000000"/>
          <w:sz w:val="28"/>
          <w:szCs w:val="28"/>
        </w:rPr>
        <w:t>променевих і молекулярних діагностичних, прогностичних біомаркерів.</w:t>
      </w:r>
    </w:p>
    <w:p w:rsidR="008E5336" w:rsidRDefault="008E5336" w:rsidP="005B3FC2">
      <w:pPr>
        <w:spacing w:line="360" w:lineRule="auto"/>
        <w:jc w:val="both"/>
        <w:rPr>
          <w:rFonts w:ascii="Times New Roman" w:hAnsi="Times New Roman" w:cs="Times New Roman"/>
          <w:sz w:val="28"/>
          <w:szCs w:val="28"/>
        </w:rPr>
      </w:pP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Нами були </w:t>
      </w:r>
      <w:r w:rsidR="00E95C7B">
        <w:rPr>
          <w:rFonts w:ascii="Times New Roman" w:hAnsi="Times New Roman" w:cs="Times New Roman"/>
          <w:sz w:val="28"/>
          <w:szCs w:val="28"/>
        </w:rPr>
        <w:t>поставлені</w:t>
      </w:r>
      <w:r>
        <w:rPr>
          <w:rFonts w:ascii="Times New Roman" w:hAnsi="Times New Roman" w:cs="Times New Roman"/>
          <w:sz w:val="28"/>
          <w:szCs w:val="28"/>
        </w:rPr>
        <w:t xml:space="preserve"> наступні завдання:</w:t>
      </w:r>
    </w:p>
    <w:p w:rsidR="00AC6827" w:rsidRPr="008254CE" w:rsidRDefault="00AC6827" w:rsidP="00AC6827">
      <w:pPr>
        <w:numPr>
          <w:ilvl w:val="0"/>
          <w:numId w:val="17"/>
        </w:numPr>
        <w:spacing w:after="200" w:line="360" w:lineRule="auto"/>
        <w:jc w:val="both"/>
        <w:rPr>
          <w:rFonts w:ascii="Times New Roman" w:hAnsi="Times New Roman"/>
          <w:sz w:val="28"/>
          <w:szCs w:val="28"/>
        </w:rPr>
      </w:pPr>
      <w:r w:rsidRPr="00360F22">
        <w:rPr>
          <w:rFonts w:ascii="Times New Roman" w:hAnsi="Times New Roman"/>
          <w:sz w:val="28"/>
          <w:szCs w:val="28"/>
        </w:rPr>
        <w:t xml:space="preserve">Провести пошук </w:t>
      </w:r>
      <w:r w:rsidRPr="00F13F65">
        <w:rPr>
          <w:rFonts w:ascii="Times New Roman" w:hAnsi="Times New Roman"/>
          <w:color w:val="000000"/>
          <w:sz w:val="28"/>
          <w:szCs w:val="28"/>
        </w:rPr>
        <w:t>нових променевих біомаркерів</w:t>
      </w:r>
      <w:r w:rsidRPr="00360F22">
        <w:rPr>
          <w:rFonts w:ascii="Times New Roman" w:hAnsi="Times New Roman"/>
          <w:sz w:val="28"/>
          <w:szCs w:val="28"/>
        </w:rPr>
        <w:t xml:space="preserve">, які дозволяють </w:t>
      </w:r>
      <w:r w:rsidRPr="00DA731F">
        <w:rPr>
          <w:rFonts w:ascii="Times New Roman" w:hAnsi="Times New Roman"/>
          <w:color w:val="000000"/>
          <w:sz w:val="28"/>
          <w:szCs w:val="28"/>
        </w:rPr>
        <w:t>із достатнім рівнем достовірності</w:t>
      </w:r>
      <w:r w:rsidRPr="00360F22">
        <w:rPr>
          <w:rFonts w:ascii="Times New Roman" w:hAnsi="Times New Roman"/>
          <w:sz w:val="28"/>
          <w:szCs w:val="28"/>
        </w:rPr>
        <w:t xml:space="preserve"> диференціювати НКР</w:t>
      </w:r>
      <w:r>
        <w:rPr>
          <w:rFonts w:ascii="Times New Roman" w:hAnsi="Times New Roman"/>
          <w:sz w:val="28"/>
          <w:szCs w:val="28"/>
        </w:rPr>
        <w:t>,</w:t>
      </w:r>
      <w:r w:rsidRPr="00360F22">
        <w:rPr>
          <w:rFonts w:ascii="Times New Roman" w:hAnsi="Times New Roman"/>
          <w:sz w:val="28"/>
          <w:szCs w:val="28"/>
        </w:rPr>
        <w:t xml:space="preserve"> </w:t>
      </w:r>
      <w:r>
        <w:rPr>
          <w:rFonts w:ascii="Times New Roman" w:hAnsi="Times New Roman"/>
          <w:sz w:val="28"/>
          <w:szCs w:val="28"/>
        </w:rPr>
        <w:t>визначати</w:t>
      </w:r>
      <w:r w:rsidRPr="00360F22">
        <w:rPr>
          <w:rFonts w:ascii="Times New Roman" w:hAnsi="Times New Roman"/>
          <w:sz w:val="28"/>
          <w:szCs w:val="28"/>
        </w:rPr>
        <w:t xml:space="preserve"> </w:t>
      </w:r>
      <w:r>
        <w:rPr>
          <w:rFonts w:ascii="Times New Roman" w:hAnsi="Times New Roman"/>
          <w:sz w:val="28"/>
          <w:szCs w:val="28"/>
        </w:rPr>
        <w:t>гістологічний підтип та ступінь ядерної атипії</w:t>
      </w:r>
      <w:r w:rsidRPr="00360F22">
        <w:rPr>
          <w:rFonts w:ascii="Times New Roman" w:hAnsi="Times New Roman"/>
          <w:sz w:val="28"/>
          <w:szCs w:val="28"/>
        </w:rPr>
        <w:t xml:space="preserve"> пухлини при малих ниркових новоутворах</w:t>
      </w:r>
      <w:r>
        <w:rPr>
          <w:rFonts w:ascii="Times New Roman" w:hAnsi="Times New Roman"/>
          <w:sz w:val="28"/>
          <w:szCs w:val="28"/>
        </w:rPr>
        <w:t xml:space="preserve"> </w:t>
      </w:r>
      <w:r w:rsidRPr="00F13F65">
        <w:rPr>
          <w:rFonts w:ascii="Times New Roman" w:hAnsi="Times New Roman"/>
          <w:color w:val="000000"/>
          <w:sz w:val="28"/>
          <w:szCs w:val="28"/>
        </w:rPr>
        <w:t>(Т1а)</w:t>
      </w:r>
      <w:r w:rsidRPr="00360F22">
        <w:rPr>
          <w:rFonts w:ascii="Times New Roman" w:hAnsi="Times New Roman"/>
          <w:sz w:val="28"/>
          <w:szCs w:val="28"/>
        </w:rPr>
        <w:t xml:space="preserve"> та зменшити рад</w:t>
      </w:r>
      <w:r>
        <w:rPr>
          <w:rFonts w:ascii="Times New Roman" w:hAnsi="Times New Roman"/>
          <w:sz w:val="28"/>
          <w:szCs w:val="28"/>
        </w:rPr>
        <w:t xml:space="preserve">іаційне навантаження на хворого. </w:t>
      </w:r>
      <w:r w:rsidRPr="008254CE">
        <w:rPr>
          <w:rFonts w:ascii="Times New Roman" w:hAnsi="Times New Roman"/>
          <w:sz w:val="28"/>
          <w:szCs w:val="28"/>
        </w:rPr>
        <w:t>Виконати аналогічні дослідження при нирково-клітинному раку розміром понад 4 см (≥Т1</w:t>
      </w:r>
      <w:r w:rsidRPr="008254CE">
        <w:rPr>
          <w:rFonts w:ascii="Times New Roman" w:hAnsi="Times New Roman"/>
          <w:sz w:val="28"/>
          <w:szCs w:val="28"/>
          <w:lang w:val="ru-RU"/>
        </w:rPr>
        <w:t>b</w:t>
      </w:r>
      <w:r w:rsidRPr="008254CE">
        <w:rPr>
          <w:rFonts w:ascii="Times New Roman" w:hAnsi="Times New Roman"/>
          <w:sz w:val="28"/>
          <w:szCs w:val="28"/>
        </w:rPr>
        <w:t>)</w:t>
      </w:r>
      <w:r>
        <w:rPr>
          <w:rFonts w:ascii="Times New Roman" w:hAnsi="Times New Roman"/>
          <w:sz w:val="28"/>
          <w:szCs w:val="28"/>
        </w:rPr>
        <w:t>.</w:t>
      </w:r>
    </w:p>
    <w:p w:rsidR="00AC6827" w:rsidRPr="00F13F65" w:rsidRDefault="00AC6827" w:rsidP="00AC6827">
      <w:pPr>
        <w:numPr>
          <w:ilvl w:val="0"/>
          <w:numId w:val="17"/>
        </w:numPr>
        <w:spacing w:after="200" w:line="360" w:lineRule="auto"/>
        <w:jc w:val="both"/>
        <w:rPr>
          <w:rFonts w:ascii="Times New Roman" w:hAnsi="Times New Roman"/>
          <w:color w:val="000000"/>
          <w:sz w:val="28"/>
          <w:szCs w:val="28"/>
        </w:rPr>
      </w:pPr>
      <w:r w:rsidRPr="00F13F65">
        <w:rPr>
          <w:rFonts w:ascii="Times New Roman" w:hAnsi="Times New Roman"/>
          <w:color w:val="000000"/>
          <w:sz w:val="28"/>
          <w:szCs w:val="28"/>
        </w:rPr>
        <w:t>Вивчити клінічну інформативність вмісту в сечі мікроРНК-15а  і тотальної РНК як  молекулярних біомаркерів для діагностики та моніторингу післяопераційного перебігу НКР;</w:t>
      </w:r>
    </w:p>
    <w:p w:rsidR="00AC6827" w:rsidRPr="00360F22" w:rsidRDefault="00AC6827" w:rsidP="00AC6827">
      <w:pPr>
        <w:numPr>
          <w:ilvl w:val="0"/>
          <w:numId w:val="17"/>
        </w:numPr>
        <w:spacing w:after="200" w:line="360" w:lineRule="auto"/>
        <w:jc w:val="both"/>
        <w:rPr>
          <w:rFonts w:ascii="Times New Roman" w:hAnsi="Times New Roman"/>
          <w:sz w:val="28"/>
          <w:szCs w:val="28"/>
        </w:rPr>
      </w:pPr>
      <w:r w:rsidRPr="00360F22">
        <w:rPr>
          <w:rFonts w:ascii="Times New Roman" w:hAnsi="Times New Roman"/>
          <w:sz w:val="28"/>
          <w:szCs w:val="28"/>
        </w:rPr>
        <w:t xml:space="preserve">Розробити критерії </w:t>
      </w:r>
      <w:r w:rsidRPr="00F13F65">
        <w:rPr>
          <w:rFonts w:ascii="Times New Roman" w:hAnsi="Times New Roman"/>
          <w:color w:val="000000"/>
          <w:sz w:val="28"/>
          <w:szCs w:val="28"/>
        </w:rPr>
        <w:t>прогнозування</w:t>
      </w:r>
      <w:r w:rsidRPr="00360F22">
        <w:rPr>
          <w:rFonts w:ascii="Times New Roman" w:hAnsi="Times New Roman"/>
          <w:sz w:val="28"/>
          <w:szCs w:val="28"/>
        </w:rPr>
        <w:t xml:space="preserve"> ефективності селективної емболізації ниркових артерій</w:t>
      </w:r>
      <w:r>
        <w:rPr>
          <w:rFonts w:ascii="Times New Roman" w:hAnsi="Times New Roman"/>
          <w:sz w:val="28"/>
          <w:szCs w:val="28"/>
        </w:rPr>
        <w:t>,</w:t>
      </w:r>
      <w:r w:rsidRPr="00360F22">
        <w:rPr>
          <w:rFonts w:ascii="Times New Roman" w:hAnsi="Times New Roman"/>
          <w:sz w:val="28"/>
          <w:szCs w:val="28"/>
        </w:rPr>
        <w:t xml:space="preserve"> </w:t>
      </w:r>
      <w:r w:rsidRPr="00F13F65">
        <w:rPr>
          <w:rFonts w:ascii="Times New Roman" w:hAnsi="Times New Roman"/>
          <w:color w:val="000000"/>
          <w:sz w:val="28"/>
          <w:szCs w:val="28"/>
        </w:rPr>
        <w:t>передуюч</w:t>
      </w:r>
      <w:r w:rsidRPr="00584A40">
        <w:rPr>
          <w:rFonts w:ascii="Times New Roman" w:hAnsi="Times New Roman"/>
          <w:color w:val="000000" w:themeColor="text1"/>
          <w:sz w:val="28"/>
          <w:szCs w:val="28"/>
        </w:rPr>
        <w:t>ої</w:t>
      </w:r>
      <w:r w:rsidRPr="00360F22">
        <w:rPr>
          <w:rFonts w:ascii="Times New Roman" w:hAnsi="Times New Roman"/>
          <w:sz w:val="28"/>
          <w:szCs w:val="28"/>
        </w:rPr>
        <w:t xml:space="preserve"> нефректомі</w:t>
      </w:r>
      <w:r w:rsidRPr="00F13F65">
        <w:rPr>
          <w:rFonts w:ascii="Times New Roman" w:hAnsi="Times New Roman"/>
          <w:color w:val="000000"/>
          <w:sz w:val="28"/>
          <w:szCs w:val="28"/>
        </w:rPr>
        <w:t>ї</w:t>
      </w:r>
      <w:r w:rsidRPr="00360F22">
        <w:rPr>
          <w:rFonts w:ascii="Times New Roman" w:hAnsi="Times New Roman"/>
          <w:sz w:val="28"/>
          <w:szCs w:val="28"/>
        </w:rPr>
        <w:t xml:space="preserve"> у хворих із НКР, </w:t>
      </w:r>
      <w:r w:rsidRPr="00F13F65">
        <w:rPr>
          <w:rFonts w:ascii="Times New Roman" w:hAnsi="Times New Roman"/>
          <w:color w:val="000000"/>
          <w:sz w:val="28"/>
          <w:szCs w:val="28"/>
        </w:rPr>
        <w:t>на основі променевих біомаркерів</w:t>
      </w:r>
      <w:r w:rsidRPr="00360F22">
        <w:rPr>
          <w:rFonts w:ascii="Times New Roman" w:hAnsi="Times New Roman"/>
          <w:sz w:val="28"/>
          <w:szCs w:val="28"/>
        </w:rPr>
        <w:t xml:space="preserve">; </w:t>
      </w:r>
    </w:p>
    <w:p w:rsidR="00AC6827" w:rsidRPr="00F13F65" w:rsidRDefault="00AC6827" w:rsidP="00AC6827">
      <w:pPr>
        <w:numPr>
          <w:ilvl w:val="0"/>
          <w:numId w:val="17"/>
        </w:numPr>
        <w:spacing w:after="200" w:line="360" w:lineRule="auto"/>
        <w:jc w:val="both"/>
        <w:rPr>
          <w:rFonts w:ascii="Times New Roman" w:hAnsi="Times New Roman"/>
          <w:color w:val="000000"/>
          <w:sz w:val="28"/>
          <w:szCs w:val="28"/>
        </w:rPr>
      </w:pPr>
      <w:r w:rsidRPr="00F13F65">
        <w:rPr>
          <w:rFonts w:ascii="Times New Roman" w:hAnsi="Times New Roman"/>
          <w:iCs/>
          <w:color w:val="000000"/>
          <w:sz w:val="28"/>
          <w:szCs w:val="28"/>
        </w:rPr>
        <w:t>Визначити</w:t>
      </w:r>
      <w:r w:rsidRPr="00F13F65">
        <w:rPr>
          <w:rFonts w:ascii="Times New Roman" w:hAnsi="Times New Roman"/>
          <w:color w:val="000000"/>
          <w:sz w:val="28"/>
          <w:szCs w:val="28"/>
        </w:rPr>
        <w:t xml:space="preserve"> </w:t>
      </w:r>
      <w:r w:rsidRPr="00F13F65">
        <w:rPr>
          <w:rFonts w:ascii="Times New Roman" w:hAnsi="Times New Roman"/>
          <w:iCs/>
          <w:color w:val="000000"/>
          <w:sz w:val="28"/>
          <w:szCs w:val="28"/>
        </w:rPr>
        <w:t>оптимальний об’єм методів  післяопераційного скринінгу  для раннього виявлення</w:t>
      </w:r>
      <w:r w:rsidRPr="00F13F65">
        <w:rPr>
          <w:rFonts w:ascii="Times New Roman" w:hAnsi="Times New Roman"/>
          <w:color w:val="000000"/>
          <w:sz w:val="28"/>
          <w:szCs w:val="28"/>
        </w:rPr>
        <w:t xml:space="preserve"> локального рецидиву НКР, </w:t>
      </w:r>
      <w:r w:rsidRPr="00F13F65">
        <w:rPr>
          <w:rFonts w:ascii="Times New Roman" w:hAnsi="Times New Roman"/>
          <w:iCs/>
          <w:color w:val="000000"/>
          <w:sz w:val="28"/>
          <w:szCs w:val="28"/>
        </w:rPr>
        <w:t>із  зменшенням променевого</w:t>
      </w:r>
      <w:r w:rsidRPr="00F13F65">
        <w:rPr>
          <w:rFonts w:ascii="Times New Roman" w:hAnsi="Times New Roman"/>
          <w:color w:val="000000"/>
          <w:sz w:val="28"/>
          <w:szCs w:val="28"/>
        </w:rPr>
        <w:t xml:space="preserve"> навантаження на пацієнта; </w:t>
      </w:r>
    </w:p>
    <w:p w:rsidR="00AC6827" w:rsidRPr="00F13F65" w:rsidRDefault="00AC6827" w:rsidP="00AC6827">
      <w:pPr>
        <w:numPr>
          <w:ilvl w:val="0"/>
          <w:numId w:val="17"/>
        </w:numPr>
        <w:spacing w:after="200" w:line="360" w:lineRule="auto"/>
        <w:jc w:val="both"/>
        <w:rPr>
          <w:rFonts w:ascii="Times New Roman" w:hAnsi="Times New Roman"/>
          <w:color w:val="000000"/>
          <w:sz w:val="28"/>
          <w:szCs w:val="28"/>
        </w:rPr>
      </w:pPr>
      <w:r w:rsidRPr="00F13F65">
        <w:rPr>
          <w:rFonts w:ascii="Times New Roman" w:hAnsi="Times New Roman"/>
          <w:color w:val="000000"/>
          <w:sz w:val="28"/>
          <w:szCs w:val="28"/>
        </w:rPr>
        <w:t xml:space="preserve">Вивчити діагностичну цінність променевих маркерів при визначенні </w:t>
      </w:r>
      <w:r w:rsidR="00B02037">
        <w:rPr>
          <w:rFonts w:ascii="Times New Roman" w:hAnsi="Times New Roman"/>
          <w:color w:val="000000"/>
          <w:sz w:val="28"/>
          <w:szCs w:val="28"/>
        </w:rPr>
        <w:t>ступеня</w:t>
      </w:r>
      <w:r w:rsidRPr="00F13F65">
        <w:rPr>
          <w:rFonts w:ascii="Times New Roman" w:hAnsi="Times New Roman"/>
          <w:color w:val="000000"/>
          <w:sz w:val="28"/>
          <w:szCs w:val="28"/>
        </w:rPr>
        <w:t xml:space="preserve"> ранньої тканинної відповіді при медикаментозній терапії розповсюдженого/метастатичного НКР;</w:t>
      </w:r>
    </w:p>
    <w:p w:rsidR="00AC6827" w:rsidRPr="00360F22" w:rsidRDefault="00AC6827" w:rsidP="00AC6827">
      <w:pPr>
        <w:numPr>
          <w:ilvl w:val="0"/>
          <w:numId w:val="17"/>
        </w:numPr>
        <w:spacing w:after="200" w:line="360" w:lineRule="auto"/>
        <w:jc w:val="both"/>
        <w:rPr>
          <w:rFonts w:ascii="Times New Roman" w:hAnsi="Times New Roman"/>
          <w:sz w:val="28"/>
          <w:szCs w:val="28"/>
        </w:rPr>
      </w:pPr>
      <w:r w:rsidRPr="00360F22">
        <w:rPr>
          <w:rFonts w:ascii="Times New Roman" w:hAnsi="Times New Roman"/>
          <w:sz w:val="28"/>
          <w:szCs w:val="28"/>
        </w:rPr>
        <w:t xml:space="preserve">Вивчити </w:t>
      </w:r>
      <w:r w:rsidRPr="00F13F65">
        <w:rPr>
          <w:rFonts w:ascii="Times New Roman" w:hAnsi="Times New Roman"/>
          <w:iCs/>
          <w:color w:val="000000"/>
          <w:sz w:val="28"/>
          <w:szCs w:val="28"/>
        </w:rPr>
        <w:t>зв'язок</w:t>
      </w:r>
      <w:r w:rsidRPr="00F13F65">
        <w:rPr>
          <w:rFonts w:ascii="Times New Roman" w:hAnsi="Times New Roman"/>
          <w:color w:val="000000"/>
          <w:sz w:val="28"/>
          <w:szCs w:val="28"/>
        </w:rPr>
        <w:t xml:space="preserve"> експресії мікроРНК-15а </w:t>
      </w:r>
      <w:r w:rsidRPr="00F13F65">
        <w:rPr>
          <w:rFonts w:ascii="Times New Roman" w:hAnsi="Times New Roman"/>
          <w:iCs/>
          <w:color w:val="000000"/>
          <w:sz w:val="28"/>
          <w:szCs w:val="28"/>
        </w:rPr>
        <w:t>із рівнем</w:t>
      </w:r>
      <w:r>
        <w:rPr>
          <w:rFonts w:ascii="Times New Roman" w:hAnsi="Times New Roman"/>
          <w:sz w:val="28"/>
          <w:szCs w:val="28"/>
        </w:rPr>
        <w:t xml:space="preserve"> </w:t>
      </w:r>
      <w:r w:rsidRPr="00360F22">
        <w:rPr>
          <w:rFonts w:ascii="Times New Roman" w:hAnsi="Times New Roman"/>
          <w:sz w:val="28"/>
          <w:szCs w:val="28"/>
        </w:rPr>
        <w:t xml:space="preserve">виживаності хворих </w:t>
      </w:r>
      <w:r w:rsidRPr="00584A40">
        <w:rPr>
          <w:rFonts w:ascii="Times New Roman" w:hAnsi="Times New Roman"/>
          <w:color w:val="000000" w:themeColor="text1"/>
          <w:sz w:val="28"/>
          <w:szCs w:val="28"/>
        </w:rPr>
        <w:t>на</w:t>
      </w:r>
      <w:r>
        <w:rPr>
          <w:rFonts w:ascii="Times New Roman" w:hAnsi="Times New Roman"/>
          <w:sz w:val="28"/>
          <w:szCs w:val="28"/>
        </w:rPr>
        <w:t xml:space="preserve"> </w:t>
      </w:r>
      <w:r w:rsidRPr="00360F22">
        <w:rPr>
          <w:rFonts w:ascii="Times New Roman" w:hAnsi="Times New Roman"/>
          <w:sz w:val="28"/>
          <w:szCs w:val="28"/>
        </w:rPr>
        <w:t>НКР;</w:t>
      </w:r>
    </w:p>
    <w:p w:rsidR="00AC6827" w:rsidRPr="00360F22" w:rsidRDefault="00AC6827" w:rsidP="00AC6827">
      <w:pPr>
        <w:numPr>
          <w:ilvl w:val="0"/>
          <w:numId w:val="17"/>
        </w:numPr>
        <w:spacing w:after="200" w:line="360" w:lineRule="auto"/>
        <w:jc w:val="both"/>
        <w:rPr>
          <w:rFonts w:ascii="Times New Roman" w:hAnsi="Times New Roman"/>
          <w:sz w:val="28"/>
          <w:szCs w:val="28"/>
        </w:rPr>
      </w:pPr>
      <w:r w:rsidRPr="00360F22">
        <w:rPr>
          <w:rFonts w:ascii="Times New Roman" w:hAnsi="Times New Roman"/>
          <w:sz w:val="28"/>
          <w:szCs w:val="28"/>
        </w:rPr>
        <w:t xml:space="preserve">Визначити роль </w:t>
      </w:r>
      <w:r>
        <w:rPr>
          <w:rFonts w:ascii="Times New Roman" w:hAnsi="Times New Roman"/>
          <w:sz w:val="28"/>
          <w:szCs w:val="28"/>
        </w:rPr>
        <w:t>радіо</w:t>
      </w:r>
      <w:r w:rsidRPr="00360F22">
        <w:rPr>
          <w:rFonts w:ascii="Times New Roman" w:hAnsi="Times New Roman"/>
          <w:sz w:val="28"/>
          <w:szCs w:val="28"/>
        </w:rPr>
        <w:t xml:space="preserve">генетичного аналізу </w:t>
      </w:r>
      <w:r w:rsidRPr="00F13F65">
        <w:rPr>
          <w:rFonts w:ascii="Times New Roman" w:hAnsi="Times New Roman"/>
          <w:color w:val="000000"/>
          <w:sz w:val="28"/>
          <w:szCs w:val="28"/>
        </w:rPr>
        <w:t xml:space="preserve">у індивідуалізованому підході до діагностики та лікування </w:t>
      </w:r>
      <w:r w:rsidRPr="00360F22">
        <w:rPr>
          <w:rFonts w:ascii="Times New Roman" w:hAnsi="Times New Roman"/>
          <w:sz w:val="28"/>
          <w:szCs w:val="28"/>
        </w:rPr>
        <w:t>НКР;</w:t>
      </w:r>
    </w:p>
    <w:p w:rsidR="00AC6827" w:rsidRPr="00360F22" w:rsidRDefault="00AC6827" w:rsidP="00AC6827">
      <w:pPr>
        <w:numPr>
          <w:ilvl w:val="0"/>
          <w:numId w:val="17"/>
        </w:numPr>
        <w:spacing w:after="200" w:line="360" w:lineRule="auto"/>
        <w:jc w:val="both"/>
        <w:rPr>
          <w:rFonts w:ascii="Times New Roman" w:hAnsi="Times New Roman"/>
          <w:sz w:val="28"/>
          <w:szCs w:val="28"/>
        </w:rPr>
      </w:pPr>
      <w:r w:rsidRPr="00360F22">
        <w:rPr>
          <w:rFonts w:ascii="Times New Roman" w:hAnsi="Times New Roman"/>
          <w:sz w:val="28"/>
          <w:szCs w:val="28"/>
        </w:rPr>
        <w:t xml:space="preserve">Розробити алгоритм діагностики та лікування хворих із НКР із застосуванням променевих та молекулярних </w:t>
      </w:r>
      <w:r w:rsidRPr="00F13F65">
        <w:rPr>
          <w:rFonts w:ascii="Times New Roman" w:hAnsi="Times New Roman"/>
          <w:color w:val="000000"/>
          <w:sz w:val="28"/>
          <w:szCs w:val="28"/>
        </w:rPr>
        <w:t>біомаркерів</w:t>
      </w:r>
      <w:r w:rsidRPr="00360F22">
        <w:rPr>
          <w:rFonts w:ascii="Times New Roman" w:hAnsi="Times New Roman"/>
          <w:sz w:val="28"/>
          <w:szCs w:val="28"/>
        </w:rPr>
        <w:t>.</w:t>
      </w:r>
    </w:p>
    <w:p w:rsidR="00AC6827" w:rsidRDefault="00AC6827" w:rsidP="000645F1">
      <w:pPr>
        <w:spacing w:line="360" w:lineRule="auto"/>
        <w:ind w:firstLine="708"/>
        <w:jc w:val="both"/>
        <w:rPr>
          <w:rFonts w:ascii="Times New Roman" w:hAnsi="Times New Roman" w:cs="Times New Roman"/>
          <w:sz w:val="28"/>
          <w:szCs w:val="28"/>
        </w:rPr>
      </w:pPr>
    </w:p>
    <w:p w:rsidR="000645F1" w:rsidRPr="00A55622" w:rsidRDefault="000645F1" w:rsidP="000645F1">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реалізації поставлених завдань, впродовж 2013-2018 рр. нами було проведено дослідження, яке виконувалось на базах </w:t>
      </w:r>
      <w:r w:rsidRPr="008C7B07">
        <w:rPr>
          <w:rFonts w:ascii="Times New Roman" w:hAnsi="Times New Roman" w:cs="Times New Roman"/>
          <w:sz w:val="28"/>
          <w:szCs w:val="28"/>
        </w:rPr>
        <w:t xml:space="preserve">кафедр урології, радіології та </w:t>
      </w:r>
      <w:r>
        <w:rPr>
          <w:rFonts w:ascii="Times New Roman" w:hAnsi="Times New Roman" w:cs="Times New Roman"/>
          <w:sz w:val="28"/>
          <w:szCs w:val="28"/>
        </w:rPr>
        <w:t>патологічної анатомії</w:t>
      </w:r>
      <w:r w:rsidRPr="008C7B07">
        <w:rPr>
          <w:rFonts w:ascii="Times New Roman" w:hAnsi="Times New Roman" w:cs="Times New Roman"/>
          <w:sz w:val="28"/>
          <w:szCs w:val="28"/>
        </w:rPr>
        <w:t xml:space="preserve"> Львівського національного медичного університету ім. Данила Галицького, </w:t>
      </w:r>
      <w:r w:rsidRPr="001B1465">
        <w:rPr>
          <w:rFonts w:ascii="Times New Roman" w:hAnsi="Times New Roman"/>
          <w:sz w:val="28"/>
          <w:szCs w:val="28"/>
        </w:rPr>
        <w:t>урол</w:t>
      </w:r>
      <w:r w:rsidRPr="00BC3E58">
        <w:rPr>
          <w:rFonts w:ascii="Times New Roman" w:hAnsi="Times New Roman"/>
          <w:sz w:val="28"/>
          <w:szCs w:val="28"/>
        </w:rPr>
        <w:t>огічного відділення</w:t>
      </w:r>
      <w:r>
        <w:rPr>
          <w:rFonts w:ascii="Times New Roman" w:hAnsi="Times New Roman"/>
          <w:sz w:val="28"/>
          <w:szCs w:val="28"/>
        </w:rPr>
        <w:t xml:space="preserve"> Львівської обласної клінічної лікарні,</w:t>
      </w:r>
      <w:r w:rsidRPr="00BC3E58">
        <w:rPr>
          <w:rFonts w:ascii="Times New Roman" w:hAnsi="Times New Roman"/>
          <w:sz w:val="28"/>
          <w:szCs w:val="28"/>
        </w:rPr>
        <w:t xml:space="preserve"> </w:t>
      </w:r>
      <w:r w:rsidRPr="008C7B07">
        <w:rPr>
          <w:rFonts w:ascii="Times New Roman" w:hAnsi="Times New Roman" w:cs="Times New Roman"/>
          <w:sz w:val="28"/>
          <w:szCs w:val="28"/>
        </w:rPr>
        <w:t>відд</w:t>
      </w:r>
      <w:r>
        <w:rPr>
          <w:rFonts w:ascii="Times New Roman" w:hAnsi="Times New Roman" w:cs="Times New Roman"/>
          <w:sz w:val="28"/>
          <w:szCs w:val="28"/>
        </w:rPr>
        <w:t>ілень урології та патологічної анатомії Клінічної міської комунальної лікарні</w:t>
      </w:r>
      <w:r w:rsidRPr="008C7B07">
        <w:rPr>
          <w:rFonts w:ascii="Times New Roman" w:hAnsi="Times New Roman" w:cs="Times New Roman"/>
          <w:sz w:val="28"/>
          <w:szCs w:val="28"/>
        </w:rPr>
        <w:t xml:space="preserve"> </w:t>
      </w:r>
      <w:r>
        <w:rPr>
          <w:rFonts w:ascii="Times New Roman" w:hAnsi="Times New Roman" w:cs="Times New Roman"/>
          <w:sz w:val="28"/>
          <w:szCs w:val="28"/>
        </w:rPr>
        <w:t>швидкої медичної допомоги м. Львова</w:t>
      </w:r>
      <w:r w:rsidRPr="008C7B07">
        <w:rPr>
          <w:rFonts w:ascii="Times New Roman" w:hAnsi="Times New Roman" w:cs="Times New Roman"/>
          <w:sz w:val="28"/>
          <w:szCs w:val="28"/>
        </w:rPr>
        <w:t xml:space="preserve">, </w:t>
      </w:r>
      <w:r>
        <w:rPr>
          <w:rFonts w:ascii="Times New Roman" w:hAnsi="Times New Roman" w:cs="Times New Roman"/>
          <w:sz w:val="28"/>
          <w:szCs w:val="28"/>
        </w:rPr>
        <w:t xml:space="preserve">відділення урології Львівського державного онкологічного регіонального лікувально-діагностичного центру, </w:t>
      </w:r>
      <w:r w:rsidRPr="008C7B07">
        <w:rPr>
          <w:rFonts w:ascii="Times New Roman" w:hAnsi="Times New Roman" w:cs="Times New Roman"/>
          <w:sz w:val="28"/>
          <w:szCs w:val="28"/>
        </w:rPr>
        <w:t>лабораторії молекулярно-генетичного аналізу відділу загальної та молекулярної патофізіології Інституту фізіології НАМН імені О.О.Богомольця, м. Київ, кабінетів МРТ та КТ медичног</w:t>
      </w:r>
      <w:r>
        <w:rPr>
          <w:rFonts w:ascii="Times New Roman" w:hAnsi="Times New Roman" w:cs="Times New Roman"/>
          <w:sz w:val="28"/>
          <w:szCs w:val="28"/>
        </w:rPr>
        <w:t xml:space="preserve">о центру «Євроклінік», м. Львів,  </w:t>
      </w:r>
      <w:r w:rsidRPr="00452C2D">
        <w:rPr>
          <w:rFonts w:ascii="Times New Roman" w:hAnsi="Times New Roman" w:cs="Times New Roman"/>
          <w:sz w:val="28"/>
          <w:szCs w:val="28"/>
        </w:rPr>
        <w:t>відділу променевої діагностики Шпиталю Швєнтей Родзіни</w:t>
      </w:r>
      <w:r>
        <w:rPr>
          <w:rFonts w:ascii="Times New Roman" w:hAnsi="Times New Roman" w:cs="Times New Roman"/>
          <w:sz w:val="28"/>
          <w:szCs w:val="28"/>
        </w:rPr>
        <w:t xml:space="preserve">, </w:t>
      </w:r>
      <w:r w:rsidRPr="00452C2D">
        <w:rPr>
          <w:rFonts w:ascii="Times New Roman" w:hAnsi="Times New Roman" w:cs="Times New Roman"/>
          <w:sz w:val="28"/>
          <w:szCs w:val="28"/>
        </w:rPr>
        <w:t>м. Ж</w:t>
      </w:r>
      <w:r>
        <w:rPr>
          <w:rFonts w:ascii="Times New Roman" w:hAnsi="Times New Roman" w:cs="Times New Roman"/>
          <w:sz w:val="28"/>
          <w:szCs w:val="28"/>
        </w:rPr>
        <w:t>ешів, Польща,</w:t>
      </w:r>
      <w:r w:rsidRPr="00452C2D">
        <w:rPr>
          <w:rFonts w:ascii="Times New Roman" w:hAnsi="Times New Roman" w:cs="Times New Roman"/>
          <w:sz w:val="28"/>
          <w:szCs w:val="28"/>
        </w:rPr>
        <w:t xml:space="preserve"> відділення променевої діагностики Клінічного воєводського шпиталю ім. Св. Ядвігі Крульовей, м. Ж</w:t>
      </w:r>
      <w:r>
        <w:rPr>
          <w:rFonts w:ascii="Times New Roman" w:hAnsi="Times New Roman" w:cs="Times New Roman"/>
          <w:sz w:val="28"/>
          <w:szCs w:val="28"/>
        </w:rPr>
        <w:t xml:space="preserve">ешів, Польща та клініки урології Вроцлавського медичного університету, м. Вроцлав, Польща, на основі обстеження, </w:t>
      </w:r>
      <w:r w:rsidRPr="009C0300">
        <w:rPr>
          <w:rFonts w:ascii="Times New Roman" w:hAnsi="Times New Roman" w:cs="Times New Roman"/>
          <w:sz w:val="28"/>
          <w:szCs w:val="28"/>
        </w:rPr>
        <w:t>лікування</w:t>
      </w:r>
      <w:r>
        <w:rPr>
          <w:rFonts w:ascii="Times New Roman" w:hAnsi="Times New Roman" w:cs="Times New Roman"/>
          <w:sz w:val="28"/>
          <w:szCs w:val="28"/>
        </w:rPr>
        <w:t xml:space="preserve"> та опрацювання архівних даних історій хворіб (архівні дані з 2008 по 2018 р.)</w:t>
      </w:r>
      <w:r w:rsidRPr="009C0300">
        <w:rPr>
          <w:rFonts w:ascii="Times New Roman" w:hAnsi="Times New Roman" w:cs="Times New Roman"/>
          <w:sz w:val="28"/>
          <w:szCs w:val="28"/>
        </w:rPr>
        <w:t xml:space="preserve"> </w:t>
      </w:r>
      <w:r>
        <w:rPr>
          <w:rFonts w:ascii="Times New Roman" w:hAnsi="Times New Roman" w:cs="Times New Roman"/>
          <w:sz w:val="28"/>
          <w:szCs w:val="28"/>
        </w:rPr>
        <w:t>423</w:t>
      </w:r>
      <w:r w:rsidRPr="009C0300">
        <w:rPr>
          <w:rFonts w:ascii="Times New Roman" w:hAnsi="Times New Roman" w:cs="Times New Roman"/>
          <w:sz w:val="28"/>
          <w:szCs w:val="28"/>
        </w:rPr>
        <w:t xml:space="preserve"> хворих з солідним НКР, </w:t>
      </w:r>
      <w:r>
        <w:rPr>
          <w:rFonts w:ascii="Times New Roman" w:hAnsi="Times New Roman" w:cs="Times New Roman"/>
          <w:sz w:val="28"/>
          <w:szCs w:val="28"/>
        </w:rPr>
        <w:t>45 пацієнтів із ПКК ниркової миски, 87</w:t>
      </w:r>
      <w:r w:rsidRPr="009C0300">
        <w:rPr>
          <w:rFonts w:ascii="Times New Roman" w:hAnsi="Times New Roman" w:cs="Times New Roman"/>
          <w:sz w:val="28"/>
          <w:szCs w:val="28"/>
        </w:rPr>
        <w:t xml:space="preserve"> з солідними доброякісними пухлинами нирок, </w:t>
      </w:r>
      <w:r>
        <w:rPr>
          <w:rFonts w:ascii="Times New Roman" w:hAnsi="Times New Roman" w:cs="Times New Roman"/>
          <w:sz w:val="28"/>
          <w:szCs w:val="28"/>
        </w:rPr>
        <w:t>142</w:t>
      </w:r>
      <w:r w:rsidRPr="009C0300">
        <w:rPr>
          <w:rFonts w:ascii="Times New Roman" w:hAnsi="Times New Roman" w:cs="Times New Roman"/>
          <w:sz w:val="28"/>
          <w:szCs w:val="28"/>
        </w:rPr>
        <w:t xml:space="preserve"> пацієнтів з кістозним НКР та </w:t>
      </w:r>
      <w:r>
        <w:rPr>
          <w:rFonts w:ascii="Times New Roman" w:hAnsi="Times New Roman" w:cs="Times New Roman"/>
          <w:sz w:val="28"/>
          <w:szCs w:val="28"/>
        </w:rPr>
        <w:t>166</w:t>
      </w:r>
      <w:r w:rsidRPr="009C0300">
        <w:rPr>
          <w:rFonts w:ascii="Times New Roman" w:hAnsi="Times New Roman" w:cs="Times New Roman"/>
          <w:sz w:val="28"/>
          <w:szCs w:val="28"/>
        </w:rPr>
        <w:t xml:space="preserve"> із доброякісними нирковими кістами, </w:t>
      </w:r>
      <w:r>
        <w:rPr>
          <w:rFonts w:ascii="Times New Roman" w:hAnsi="Times New Roman" w:cs="Times New Roman"/>
          <w:sz w:val="28"/>
          <w:szCs w:val="28"/>
        </w:rPr>
        <w:t xml:space="preserve">60 осіб без ниркової патології, </w:t>
      </w:r>
      <w:r w:rsidRPr="009C0300">
        <w:rPr>
          <w:rFonts w:ascii="Times New Roman" w:hAnsi="Times New Roman" w:cs="Times New Roman"/>
          <w:sz w:val="28"/>
          <w:szCs w:val="28"/>
        </w:rPr>
        <w:t xml:space="preserve">та крім цього, </w:t>
      </w:r>
      <w:r>
        <w:rPr>
          <w:rFonts w:ascii="Times New Roman" w:hAnsi="Times New Roman" w:cs="Times New Roman"/>
          <w:sz w:val="28"/>
          <w:szCs w:val="28"/>
        </w:rPr>
        <w:t>64</w:t>
      </w:r>
      <w:r w:rsidRPr="009C0300">
        <w:rPr>
          <w:rFonts w:ascii="Times New Roman" w:hAnsi="Times New Roman" w:cs="Times New Roman"/>
          <w:sz w:val="28"/>
          <w:szCs w:val="28"/>
        </w:rPr>
        <w:t xml:space="preserve"> парафінізованих тканинних зразків </w:t>
      </w:r>
      <w:r>
        <w:rPr>
          <w:rFonts w:ascii="Times New Roman" w:hAnsi="Times New Roman" w:cs="Times New Roman"/>
          <w:sz w:val="28"/>
          <w:szCs w:val="28"/>
        </w:rPr>
        <w:t>НКР</w:t>
      </w:r>
      <w:r w:rsidRPr="009C0300">
        <w:rPr>
          <w:rFonts w:ascii="Times New Roman" w:hAnsi="Times New Roman" w:cs="Times New Roman"/>
          <w:sz w:val="28"/>
          <w:szCs w:val="28"/>
        </w:rPr>
        <w:t xml:space="preserve"> та </w:t>
      </w:r>
      <w:r>
        <w:rPr>
          <w:rFonts w:ascii="Times New Roman" w:hAnsi="Times New Roman" w:cs="Times New Roman"/>
          <w:sz w:val="28"/>
          <w:szCs w:val="28"/>
        </w:rPr>
        <w:t xml:space="preserve">15 </w:t>
      </w:r>
      <w:r w:rsidRPr="009C0300">
        <w:rPr>
          <w:rFonts w:ascii="Times New Roman" w:hAnsi="Times New Roman" w:cs="Times New Roman"/>
          <w:sz w:val="28"/>
          <w:szCs w:val="28"/>
        </w:rPr>
        <w:t>неураженої ниркової паренхіми.</w:t>
      </w:r>
    </w:p>
    <w:p w:rsidR="000645F1" w:rsidRDefault="000645F1" w:rsidP="000645F1">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Дослідження було проведено у відповідності до загальноприйнятих світових і вітчизняних норм</w:t>
      </w:r>
      <w:r w:rsidRPr="00E2575E">
        <w:rPr>
          <w:rFonts w:ascii="Times New Roman" w:hAnsi="Times New Roman" w:cs="Times New Roman"/>
          <w:sz w:val="28"/>
          <w:szCs w:val="28"/>
        </w:rPr>
        <w:t xml:space="preserve"> здійснення досліджень у</w:t>
      </w:r>
      <w:r>
        <w:rPr>
          <w:rFonts w:ascii="Times New Roman" w:hAnsi="Times New Roman" w:cs="Times New Roman"/>
          <w:sz w:val="28"/>
          <w:szCs w:val="28"/>
        </w:rPr>
        <w:t xml:space="preserve"> галузі біології і медицини та дозволено комісією з питань етики </w:t>
      </w:r>
      <w:r w:rsidRPr="00D356DB">
        <w:rPr>
          <w:rFonts w:ascii="Times New Roman" w:hAnsi="Times New Roman" w:cs="Times New Roman"/>
          <w:sz w:val="28"/>
          <w:szCs w:val="28"/>
        </w:rPr>
        <w:t>Львівського національного медичного університету імені Данила Галицького</w:t>
      </w:r>
      <w:r>
        <w:rPr>
          <w:rFonts w:ascii="Times New Roman" w:hAnsi="Times New Roman" w:cs="Times New Roman"/>
          <w:sz w:val="28"/>
          <w:szCs w:val="28"/>
        </w:rPr>
        <w:t xml:space="preserve"> (протокол №5 від 25.05.2015 р.).</w:t>
      </w:r>
      <w:r w:rsidRPr="00E2575E">
        <w:rPr>
          <w:rFonts w:ascii="Times New Roman" w:hAnsi="Times New Roman" w:cs="Times New Roman"/>
          <w:sz w:val="28"/>
          <w:szCs w:val="28"/>
        </w:rPr>
        <w:t xml:space="preserve"> </w:t>
      </w:r>
      <w:r>
        <w:rPr>
          <w:rFonts w:ascii="Times New Roman" w:hAnsi="Times New Roman" w:cs="Times New Roman"/>
          <w:sz w:val="28"/>
        </w:rPr>
        <w:t xml:space="preserve">Діагностично-лікувальні заходи здійснювались </w:t>
      </w:r>
      <w:r w:rsidRPr="009B0604">
        <w:rPr>
          <w:rFonts w:ascii="Times New Roman" w:hAnsi="Times New Roman" w:cs="Times New Roman"/>
          <w:sz w:val="28"/>
          <w:szCs w:val="28"/>
        </w:rPr>
        <w:t>за уніфікованим клінічним протоколом Міністе</w:t>
      </w:r>
      <w:r>
        <w:rPr>
          <w:rFonts w:ascii="Times New Roman" w:hAnsi="Times New Roman" w:cs="Times New Roman"/>
          <w:sz w:val="28"/>
          <w:szCs w:val="28"/>
        </w:rPr>
        <w:t>рства охорони здоров’я України із раку нирки (2007 р., 2016 р.).</w:t>
      </w:r>
    </w:p>
    <w:p w:rsidR="000645F1" w:rsidRDefault="000645F1" w:rsidP="000645F1">
      <w:pPr>
        <w:spacing w:line="360" w:lineRule="auto"/>
        <w:ind w:firstLine="708"/>
        <w:jc w:val="both"/>
        <w:rPr>
          <w:rFonts w:ascii="Times New Roman" w:hAnsi="Times New Roman" w:cs="Times New Roman"/>
          <w:sz w:val="28"/>
          <w:szCs w:val="28"/>
        </w:rPr>
      </w:pPr>
      <w:r w:rsidRPr="00DB2303">
        <w:rPr>
          <w:rFonts w:ascii="Times New Roman" w:hAnsi="Times New Roman" w:cs="Times New Roman"/>
          <w:sz w:val="28"/>
          <w:szCs w:val="28"/>
        </w:rPr>
        <w:t xml:space="preserve">Для підвищення ефективності </w:t>
      </w:r>
      <w:r w:rsidRPr="00DB2303">
        <w:rPr>
          <w:rFonts w:ascii="Times New Roman" w:hAnsi="Times New Roman" w:cs="Times New Roman"/>
          <w:b/>
          <w:sz w:val="28"/>
          <w:szCs w:val="28"/>
        </w:rPr>
        <w:t xml:space="preserve">діагностики та диференціації НКР при </w:t>
      </w:r>
      <w:r>
        <w:rPr>
          <w:rFonts w:ascii="Times New Roman" w:hAnsi="Times New Roman" w:cs="Times New Roman"/>
          <w:b/>
          <w:sz w:val="28"/>
          <w:szCs w:val="28"/>
        </w:rPr>
        <w:t>малих ниркових новоутвора</w:t>
      </w:r>
      <w:r w:rsidRPr="00DB2303">
        <w:rPr>
          <w:rFonts w:ascii="Times New Roman" w:hAnsi="Times New Roman" w:cs="Times New Roman"/>
          <w:b/>
          <w:sz w:val="28"/>
          <w:szCs w:val="28"/>
        </w:rPr>
        <w:t>х</w:t>
      </w:r>
      <w:r>
        <w:rPr>
          <w:rFonts w:ascii="Times New Roman" w:hAnsi="Times New Roman" w:cs="Times New Roman"/>
          <w:b/>
          <w:sz w:val="28"/>
          <w:szCs w:val="28"/>
        </w:rPr>
        <w:t xml:space="preserve"> </w:t>
      </w:r>
      <w:r w:rsidRPr="00DB2303">
        <w:rPr>
          <w:rFonts w:ascii="Times New Roman" w:hAnsi="Times New Roman" w:cs="Times New Roman"/>
          <w:sz w:val="28"/>
          <w:szCs w:val="28"/>
        </w:rPr>
        <w:t xml:space="preserve">та зменшення радіаційного навантаження на хворого, нами проведено пошук нових діагностичних променевих </w:t>
      </w:r>
      <w:r w:rsidRPr="00DB2303">
        <w:rPr>
          <w:rFonts w:ascii="Times New Roman" w:hAnsi="Times New Roman" w:cs="Times New Roman"/>
          <w:sz w:val="28"/>
          <w:szCs w:val="28"/>
        </w:rPr>
        <w:lastRenderedPageBreak/>
        <w:t>біомаркерів.</w:t>
      </w:r>
      <w:r>
        <w:rPr>
          <w:rFonts w:ascii="Times New Roman" w:hAnsi="Times New Roman" w:cs="Times New Roman"/>
          <w:sz w:val="28"/>
          <w:szCs w:val="28"/>
        </w:rPr>
        <w:t xml:space="preserve"> </w:t>
      </w:r>
      <w:r w:rsidRPr="00DB2303">
        <w:rPr>
          <w:rFonts w:ascii="Times New Roman" w:hAnsi="Times New Roman" w:cs="Times New Roman"/>
          <w:sz w:val="28"/>
          <w:szCs w:val="28"/>
        </w:rPr>
        <w:t>В дослідження включатись лише випадки із верифікованими діагнозами за даними післяопераційних патоморфологічних заключень</w:t>
      </w:r>
      <w:r>
        <w:rPr>
          <w:rFonts w:ascii="Times New Roman" w:hAnsi="Times New Roman" w:cs="Times New Roman"/>
          <w:sz w:val="28"/>
          <w:szCs w:val="28"/>
        </w:rPr>
        <w:t xml:space="preserve"> (при солідних пухлинах, та кістах 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класів </w:t>
      </w:r>
      <w:r w:rsidRPr="009E6C7E">
        <w:rPr>
          <w:rFonts w:ascii="Times New Roman" w:hAnsi="Times New Roman" w:cs="Times New Roman"/>
          <w:sz w:val="28"/>
          <w:szCs w:val="28"/>
        </w:rPr>
        <w:t xml:space="preserve">ІІІ </w:t>
      </w:r>
      <w:r>
        <w:rPr>
          <w:rFonts w:ascii="Times New Roman" w:hAnsi="Times New Roman" w:cs="Times New Roman"/>
          <w:sz w:val="28"/>
          <w:szCs w:val="28"/>
        </w:rPr>
        <w:t xml:space="preserve">та </w:t>
      </w:r>
      <w:r>
        <w:rPr>
          <w:rFonts w:ascii="Times New Roman" w:hAnsi="Times New Roman" w:cs="Times New Roman"/>
          <w:sz w:val="28"/>
          <w:szCs w:val="28"/>
          <w:lang w:val="en-US"/>
        </w:rPr>
        <w:t>IV</w:t>
      </w:r>
      <w:r>
        <w:rPr>
          <w:rFonts w:ascii="Times New Roman" w:hAnsi="Times New Roman" w:cs="Times New Roman"/>
          <w:sz w:val="28"/>
          <w:szCs w:val="28"/>
        </w:rPr>
        <w:t>)</w:t>
      </w:r>
      <w:r w:rsidRPr="00DB2303">
        <w:rPr>
          <w:rFonts w:ascii="Times New Roman" w:hAnsi="Times New Roman" w:cs="Times New Roman"/>
          <w:sz w:val="28"/>
          <w:szCs w:val="28"/>
        </w:rPr>
        <w:t>, для цього нами були опрацьовані історії хворіб хворих із SRM та електронні бази із результатами КТ та МРТ досліджень.</w:t>
      </w:r>
    </w:p>
    <w:p w:rsidR="000645F1" w:rsidRPr="009C1DD1" w:rsidRDefault="000645F1" w:rsidP="00E71577">
      <w:pPr>
        <w:spacing w:line="360" w:lineRule="auto"/>
        <w:ind w:firstLine="708"/>
        <w:jc w:val="both"/>
        <w:rPr>
          <w:rFonts w:ascii="Times New Roman" w:hAnsi="Times New Roman" w:cs="Times New Roman"/>
          <w:i/>
          <w:iCs/>
          <w:sz w:val="28"/>
          <w:szCs w:val="28"/>
        </w:rPr>
      </w:pPr>
      <w:r>
        <w:rPr>
          <w:rFonts w:ascii="Times New Roman" w:hAnsi="Times New Roman" w:cs="Times New Roman"/>
          <w:sz w:val="28"/>
          <w:szCs w:val="28"/>
        </w:rPr>
        <w:t xml:space="preserve">З метою визначення ефективності застосування новітніх променевих біомаркерів на основі КТ та МРТ, у діагностиці та диференціації солідного  та кістозного НКР, а також у визначенні гістологічних підтипів та ступенів за </w:t>
      </w:r>
      <w:r>
        <w:rPr>
          <w:rFonts w:ascii="Times New Roman" w:hAnsi="Times New Roman" w:cs="Times New Roman"/>
          <w:sz w:val="28"/>
          <w:szCs w:val="28"/>
          <w:lang w:val="en-US"/>
        </w:rPr>
        <w:t>Fuhrman</w:t>
      </w:r>
      <w:r>
        <w:rPr>
          <w:rFonts w:ascii="Times New Roman" w:hAnsi="Times New Roman" w:cs="Times New Roman"/>
          <w:sz w:val="28"/>
          <w:szCs w:val="28"/>
        </w:rPr>
        <w:t xml:space="preserve"> даного злоякісного новоутвору, нами було проведення визначення, аналіз та співставлення з результатами патоморфологічних заключень, двох кількісних параметрів зображень мультифазної КТ – інтенсивності сигналу пухлини (ІС) та відношення променевої щільності пухлини (ВПЩ) до нормальної ниркової паренхіми (виміряних під час кожної з фаз), та двох параметрів МРТ – інтенсивності сигналу дифузійно-зважених зображень (ІС</w:t>
      </w:r>
      <w:r>
        <w:rPr>
          <w:rFonts w:ascii="Times New Roman" w:hAnsi="Times New Roman" w:cs="Times New Roman"/>
          <w:sz w:val="28"/>
          <w:szCs w:val="28"/>
          <w:vertAlign w:val="subscript"/>
        </w:rPr>
        <w:t>ДЗЗ</w:t>
      </w:r>
      <w:r w:rsidRPr="009E6C7E">
        <w:rPr>
          <w:rFonts w:ascii="Times New Roman" w:hAnsi="Times New Roman" w:cs="Times New Roman"/>
          <w:sz w:val="28"/>
          <w:szCs w:val="28"/>
        </w:rPr>
        <w:t>)</w:t>
      </w:r>
      <w:r>
        <w:rPr>
          <w:rFonts w:ascii="Times New Roman" w:hAnsi="Times New Roman" w:cs="Times New Roman"/>
          <w:sz w:val="28"/>
          <w:szCs w:val="28"/>
        </w:rPr>
        <w:t xml:space="preserve"> та вимірюваного коефіцієнта дифузії (ВКД). ДЗЗ були включені у якості додаткової послідовності до стандартного протоколу сканування черевної порожнини і виконувались при </w:t>
      </w:r>
      <w:r>
        <w:rPr>
          <w:rFonts w:ascii="Times New Roman" w:hAnsi="Times New Roman" w:cs="Times New Roman"/>
          <w:sz w:val="28"/>
          <w:szCs w:val="28"/>
          <w:lang w:val="en-US"/>
        </w:rPr>
        <w:t>b</w:t>
      </w:r>
      <w:r>
        <w:rPr>
          <w:rFonts w:ascii="Times New Roman" w:hAnsi="Times New Roman" w:cs="Times New Roman"/>
          <w:sz w:val="28"/>
          <w:szCs w:val="28"/>
        </w:rPr>
        <w:t xml:space="preserve">-значеннях 0 та 800 </w:t>
      </w:r>
      <w:r w:rsidRPr="00807530">
        <w:rPr>
          <w:rFonts w:ascii="Times New Roman" w:hAnsi="Times New Roman" w:cs="Times New Roman"/>
          <w:sz w:val="28"/>
          <w:szCs w:val="28"/>
        </w:rPr>
        <w:t>с</w:t>
      </w:r>
      <w:r>
        <w:rPr>
          <w:rFonts w:ascii="Times New Roman" w:hAnsi="Times New Roman" w:cs="Times New Roman"/>
          <w:sz w:val="28"/>
          <w:szCs w:val="28"/>
        </w:rPr>
        <w:t>ек</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мм</w:t>
      </w:r>
      <w:r w:rsidRPr="00807530">
        <w:rPr>
          <w:rFonts w:ascii="Times New Roman" w:eastAsiaTheme="minorEastAsia" w:hAnsi="Times New Roman" w:cs="Times New Roman"/>
          <w:sz w:val="28"/>
          <w:szCs w:val="28"/>
          <w:vertAlign w:val="superscript"/>
        </w:rPr>
        <w:t>2</w:t>
      </w:r>
      <w:r w:rsidR="00E71577">
        <w:rPr>
          <w:rFonts w:ascii="Times New Roman" w:eastAsiaTheme="minorEastAsia" w:hAnsi="Times New Roman" w:cs="Times New Roman"/>
          <w:sz w:val="28"/>
          <w:szCs w:val="28"/>
        </w:rPr>
        <w:t>.</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Pr="00DB2303">
        <w:rPr>
          <w:rFonts w:ascii="Times New Roman" w:hAnsi="Times New Roman" w:cs="Times New Roman"/>
          <w:sz w:val="28"/>
          <w:szCs w:val="28"/>
        </w:rPr>
        <w:t xml:space="preserve"> дослідження увійшло 232 пацієнтів із солідними SRM: 170 (73,28%) хворих із НКР, 19 (8,19%) з ПКК ниркової миски, 43 (18,53%) із доброякісними пухлинами нирок. Середній вік хворих складав 59,22±7,09 років (від 40 до 74 р.). Гендерний розподіл пацієнтів із SRM був наступний: 155 (66,81%) чоловіків та 77 (33,19%) жінок. Середній розмір новоутворення у хворих із НКР складав 3,17±0,54 см і був в межах від 2,0 см до 3,99 см; при ПКК ниркової миски середній розмір пухлини становив 2,92±0,61 см і коливався від 1,60 до 3,80 см; середній розмір доброякісних новоутворень нирок був 3,07±0,64 см, при мінімальному та максимальних розмірах відповідно 2,0 та 3,90 см. У всіх 170 хворих із НКР патомофрологічно було встановлено гістологічний підтип НКР на основі класифікації ВООЗ від 2016 р., згідно якої </w:t>
      </w:r>
      <w:r w:rsidRPr="00DB2303">
        <w:rPr>
          <w:rFonts w:ascii="Times New Roman" w:hAnsi="Times New Roman" w:cs="Times New Roman"/>
          <w:sz w:val="28"/>
          <w:szCs w:val="28"/>
        </w:rPr>
        <w:lastRenderedPageBreak/>
        <w:t xml:space="preserve">скНКР було виявлено у 109 (64,12%) хворих, пНКР – у 31 (18,24%) та хрНКР у 30 (17,65%). </w:t>
      </w:r>
    </w:p>
    <w:p w:rsidR="000645F1" w:rsidRDefault="000645F1" w:rsidP="000645F1">
      <w:pPr>
        <w:spacing w:line="360" w:lineRule="auto"/>
        <w:ind w:firstLine="708"/>
        <w:jc w:val="both"/>
        <w:rPr>
          <w:rFonts w:ascii="Times New Roman" w:hAnsi="Times New Roman" w:cs="Times New Roman"/>
          <w:sz w:val="28"/>
          <w:szCs w:val="28"/>
        </w:rPr>
      </w:pPr>
      <w:r w:rsidRPr="00DB2303">
        <w:rPr>
          <w:rFonts w:ascii="Times New Roman" w:hAnsi="Times New Roman" w:cs="Times New Roman"/>
          <w:sz w:val="28"/>
          <w:szCs w:val="28"/>
        </w:rPr>
        <w:t xml:space="preserve">Усі хворі із </w:t>
      </w:r>
      <w:r>
        <w:rPr>
          <w:rFonts w:ascii="Times New Roman" w:hAnsi="Times New Roman" w:cs="Times New Roman"/>
          <w:sz w:val="28"/>
          <w:szCs w:val="28"/>
        </w:rPr>
        <w:t xml:space="preserve">солідними </w:t>
      </w:r>
      <w:r w:rsidRPr="00DB2303">
        <w:rPr>
          <w:rFonts w:ascii="Times New Roman" w:hAnsi="Times New Roman" w:cs="Times New Roman"/>
          <w:sz w:val="28"/>
          <w:szCs w:val="28"/>
        </w:rPr>
        <w:t>SRM були розподілені на наступні групи: пацієнти з НКР (n=170) – основна група; хворі із ПКК ниркової миски (n=19) – група порівняння І; пацієнти із доброякісними пухлинами нирок (n=43) – група порівняння ІІ. У якості контрольної групи були використані референтні значення променевих біомаркерів</w:t>
      </w:r>
      <w:r>
        <w:rPr>
          <w:rFonts w:ascii="Times New Roman" w:hAnsi="Times New Roman" w:cs="Times New Roman"/>
          <w:sz w:val="28"/>
          <w:szCs w:val="28"/>
        </w:rPr>
        <w:t>,</w:t>
      </w:r>
      <w:r w:rsidRPr="00DB2303">
        <w:rPr>
          <w:rFonts w:ascii="Times New Roman" w:hAnsi="Times New Roman" w:cs="Times New Roman"/>
          <w:sz w:val="28"/>
          <w:szCs w:val="28"/>
        </w:rPr>
        <w:t xml:space="preserve"> </w:t>
      </w:r>
      <w:r>
        <w:rPr>
          <w:rFonts w:ascii="Times New Roman" w:hAnsi="Times New Roman" w:cs="Times New Roman"/>
          <w:sz w:val="28"/>
          <w:szCs w:val="28"/>
        </w:rPr>
        <w:t xml:space="preserve">отримані при обстеженні осіб без ниркової патології, </w:t>
      </w:r>
      <w:r w:rsidRPr="00DB2303">
        <w:rPr>
          <w:rFonts w:ascii="Times New Roman" w:hAnsi="Times New Roman" w:cs="Times New Roman"/>
          <w:sz w:val="28"/>
          <w:szCs w:val="28"/>
        </w:rPr>
        <w:t>в залежності від методу обстеження – КТ (n=30) чи МРТ (n=30).</w:t>
      </w:r>
      <w:r>
        <w:rPr>
          <w:rFonts w:ascii="Times New Roman" w:hAnsi="Times New Roman" w:cs="Times New Roman"/>
          <w:sz w:val="28"/>
          <w:szCs w:val="28"/>
        </w:rPr>
        <w:t xml:space="preserve"> </w:t>
      </w:r>
      <w:r w:rsidRPr="00DB2303">
        <w:rPr>
          <w:rFonts w:ascii="Times New Roman" w:hAnsi="Times New Roman" w:cs="Times New Roman"/>
          <w:sz w:val="28"/>
          <w:szCs w:val="28"/>
        </w:rPr>
        <w:t xml:space="preserve">Усім хворим проводилось крос-секційне обстеження черевної порожнини із контрастом: у110 (47,41%) </w:t>
      </w:r>
      <w:r>
        <w:rPr>
          <w:rFonts w:ascii="Times New Roman" w:hAnsi="Times New Roman" w:cs="Times New Roman"/>
          <w:sz w:val="28"/>
          <w:szCs w:val="28"/>
        </w:rPr>
        <w:t>ви</w:t>
      </w:r>
      <w:r w:rsidRPr="00DB2303">
        <w:rPr>
          <w:rFonts w:ascii="Times New Roman" w:hAnsi="Times New Roman" w:cs="Times New Roman"/>
          <w:sz w:val="28"/>
          <w:szCs w:val="28"/>
        </w:rPr>
        <w:t>падах проведено КТ та у 122 (52,59%) – МРТ.</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eastAsiaTheme="minorEastAsia" w:hAnsi="Times New Roman" w:cs="Times New Roman"/>
          <w:sz w:val="28"/>
          <w:szCs w:val="28"/>
        </w:rPr>
        <w:t xml:space="preserve">В результаті проведеного аналізу було з’ясовано, </w:t>
      </w:r>
      <w:r w:rsidRPr="00401A29">
        <w:rPr>
          <w:rFonts w:ascii="Times New Roman" w:hAnsi="Times New Roman"/>
          <w:sz w:val="28"/>
          <w:szCs w:val="28"/>
        </w:rPr>
        <w:t xml:space="preserve">що при диференціації </w:t>
      </w:r>
      <w:r>
        <w:rPr>
          <w:rFonts w:ascii="Times New Roman" w:hAnsi="Times New Roman"/>
          <w:sz w:val="28"/>
          <w:szCs w:val="28"/>
        </w:rPr>
        <w:t xml:space="preserve">солідного </w:t>
      </w:r>
      <w:r w:rsidRPr="00401A29">
        <w:rPr>
          <w:rFonts w:ascii="Times New Roman" w:hAnsi="Times New Roman"/>
          <w:sz w:val="28"/>
          <w:szCs w:val="28"/>
        </w:rPr>
        <w:t>НКР від інших SRM</w:t>
      </w:r>
      <w:r>
        <w:rPr>
          <w:rFonts w:ascii="Times New Roman" w:hAnsi="Times New Roman"/>
          <w:sz w:val="28"/>
          <w:szCs w:val="28"/>
        </w:rPr>
        <w:t xml:space="preserve"> </w:t>
      </w:r>
      <w:r w:rsidRPr="00E16820">
        <w:rPr>
          <w:rFonts w:ascii="Times New Roman" w:hAnsi="Times New Roman" w:cs="Times New Roman"/>
          <w:sz w:val="28"/>
          <w:szCs w:val="28"/>
        </w:rPr>
        <w:t>(включно із ПКК ниркової миски)</w:t>
      </w:r>
      <w:r w:rsidRPr="00401A29">
        <w:rPr>
          <w:rFonts w:ascii="Times New Roman" w:hAnsi="Times New Roman"/>
          <w:sz w:val="28"/>
          <w:szCs w:val="28"/>
        </w:rPr>
        <w:t xml:space="preserve">, серед досліджуваних потенційних променевих біомаркерів на основі КТ, найвищу ефективність мав параметр променевої щільності пухлини (інтенсивність сигналу) отриманий з КТ-зображень екскреторної фази при пороговому значенні </w:t>
      </w:r>
      <w:r w:rsidRPr="00401A29">
        <w:rPr>
          <w:rFonts w:ascii="Times New Roman" w:hAnsi="Times New Roman" w:cs="Times New Roman"/>
          <w:sz w:val="28"/>
          <w:szCs w:val="28"/>
        </w:rPr>
        <w:t>52,29 HU</w:t>
      </w:r>
      <w:r w:rsidRPr="00401A29">
        <w:rPr>
          <w:rFonts w:ascii="Times New Roman" w:hAnsi="Times New Roman"/>
          <w:sz w:val="28"/>
          <w:szCs w:val="28"/>
        </w:rPr>
        <w:t xml:space="preserve">: чутливість 100%, специфічність 61,3%, AUC – </w:t>
      </w:r>
      <w:r w:rsidRPr="00401A29">
        <w:rPr>
          <w:rFonts w:ascii="Times New Roman" w:hAnsi="Times New Roman" w:cs="Times New Roman"/>
          <w:sz w:val="28"/>
          <w:szCs w:val="28"/>
        </w:rPr>
        <w:t>0,848, р&lt;</w:t>
      </w:r>
      <w:r>
        <w:rPr>
          <w:rFonts w:ascii="Times New Roman" w:hAnsi="Times New Roman" w:cs="Times New Roman"/>
          <w:sz w:val="28"/>
          <w:szCs w:val="28"/>
        </w:rPr>
        <w:t xml:space="preserve">0,001, </w:t>
      </w:r>
      <w:r w:rsidRPr="00401A29">
        <w:rPr>
          <w:rFonts w:ascii="Times New Roman" w:hAnsi="Times New Roman" w:cs="Times New Roman"/>
          <w:sz w:val="28"/>
          <w:szCs w:val="28"/>
        </w:rPr>
        <w:t xml:space="preserve">що було неочікуваною знахідкою, оскільки для виявлення паренхіматозних пухлин нирок найвищу чутливість мають кортико-медулярна на нефрографічна фази КТ. Обчислення </w:t>
      </w:r>
      <w:r w:rsidRPr="00401A29">
        <w:rPr>
          <w:rFonts w:ascii="Times New Roman" w:hAnsi="Times New Roman"/>
          <w:sz w:val="28"/>
          <w:szCs w:val="28"/>
        </w:rPr>
        <w:t>ВПЩ пухлини до нормальної ниркової паренхіми</w:t>
      </w:r>
      <w:r w:rsidRPr="00401A29">
        <w:rPr>
          <w:rFonts w:ascii="Times New Roman" w:hAnsi="Times New Roman" w:cs="Times New Roman"/>
          <w:sz w:val="28"/>
          <w:szCs w:val="28"/>
        </w:rPr>
        <w:t xml:space="preserve"> не мало переваг над ІС при диференціації </w:t>
      </w:r>
      <w:r>
        <w:rPr>
          <w:rFonts w:ascii="Times New Roman" w:hAnsi="Times New Roman" w:cs="Times New Roman"/>
          <w:sz w:val="28"/>
          <w:szCs w:val="28"/>
        </w:rPr>
        <w:t xml:space="preserve">солідного </w:t>
      </w:r>
      <w:r w:rsidRPr="00401A29">
        <w:rPr>
          <w:rFonts w:ascii="Times New Roman" w:hAnsi="Times New Roman" w:cs="Times New Roman"/>
          <w:sz w:val="28"/>
          <w:szCs w:val="28"/>
        </w:rPr>
        <w:t>НКР від інших SRM</w:t>
      </w:r>
      <w:r>
        <w:rPr>
          <w:rFonts w:ascii="Times New Roman" w:hAnsi="Times New Roman" w:cs="Times New Roman"/>
          <w:sz w:val="28"/>
          <w:szCs w:val="28"/>
        </w:rPr>
        <w:t xml:space="preserve">. Водночас, </w:t>
      </w:r>
      <w:r w:rsidRPr="00E16820">
        <w:rPr>
          <w:rFonts w:ascii="Times New Roman" w:hAnsi="Times New Roman" w:cs="Times New Roman"/>
          <w:sz w:val="28"/>
          <w:szCs w:val="28"/>
        </w:rPr>
        <w:t xml:space="preserve">застосування ВКД для диференціації </w:t>
      </w:r>
      <w:r>
        <w:rPr>
          <w:rFonts w:ascii="Times New Roman" w:hAnsi="Times New Roman" w:cs="Times New Roman"/>
          <w:sz w:val="28"/>
          <w:szCs w:val="28"/>
        </w:rPr>
        <w:t xml:space="preserve">солідного </w:t>
      </w:r>
      <w:r w:rsidRPr="00E16820">
        <w:rPr>
          <w:rFonts w:ascii="Times New Roman" w:hAnsi="Times New Roman" w:cs="Times New Roman"/>
          <w:sz w:val="28"/>
          <w:szCs w:val="28"/>
        </w:rPr>
        <w:t xml:space="preserve">НКР від інших </w:t>
      </w:r>
      <w:r>
        <w:rPr>
          <w:rFonts w:ascii="Times New Roman" w:hAnsi="Times New Roman" w:cs="Times New Roman"/>
          <w:sz w:val="28"/>
          <w:szCs w:val="28"/>
        </w:rPr>
        <w:t xml:space="preserve">SRM </w:t>
      </w:r>
      <w:r w:rsidRPr="00E16820">
        <w:rPr>
          <w:rFonts w:ascii="Times New Roman" w:hAnsi="Times New Roman" w:cs="Times New Roman"/>
          <w:sz w:val="28"/>
          <w:szCs w:val="28"/>
        </w:rPr>
        <w:t>дозволяло отримати наступні показники чутливості, специфічності і точності, які становили відповідно 90,1%, 71,0% та AUC=</w:t>
      </w:r>
      <w:r w:rsidRPr="00E16820">
        <w:rPr>
          <w:rFonts w:ascii="Times New Roman" w:hAnsi="Times New Roman" w:cs="Times New Roman"/>
          <w:color w:val="000000" w:themeColor="text1"/>
          <w:sz w:val="28"/>
          <w:szCs w:val="28"/>
        </w:rPr>
        <w:t>0,705 (95% ДІ=0,546-0,864, р=0,001) при пороговій величині 1,91</w:t>
      </w:r>
      <w:r w:rsidRPr="00E16820">
        <w:rPr>
          <w:rFonts w:ascii="Times New Roman" w:hAnsi="Times New Roman" w:cs="Times New Roman"/>
          <w:sz w:val="28"/>
          <w:szCs w:val="28"/>
        </w:rPr>
        <w:t>×</w:t>
      </w:r>
      <w:r w:rsidRPr="00E16820">
        <w:rPr>
          <w:rFonts w:ascii="Times New Roman" w:hAnsi="Times New Roman"/>
          <w:sz w:val="28"/>
          <w:szCs w:val="28"/>
        </w:rPr>
        <w:t>10</w:t>
      </w:r>
      <w:r w:rsidRPr="00E16820">
        <w:rPr>
          <w:rFonts w:ascii="Times New Roman" w:hAnsi="Times New Roman"/>
          <w:sz w:val="28"/>
          <w:szCs w:val="28"/>
          <w:vertAlign w:val="superscript"/>
        </w:rPr>
        <w:t>-3</w:t>
      </w:r>
      <w:r w:rsidRPr="00E16820">
        <w:rPr>
          <w:rFonts w:ascii="Times New Roman" w:hAnsi="Times New Roman"/>
          <w:sz w:val="28"/>
          <w:szCs w:val="28"/>
        </w:rPr>
        <w:t xml:space="preserve"> мм</w:t>
      </w:r>
      <w:r w:rsidRPr="00E16820">
        <w:rPr>
          <w:rFonts w:ascii="Times New Roman" w:hAnsi="Times New Roman"/>
          <w:sz w:val="28"/>
          <w:szCs w:val="28"/>
          <w:vertAlign w:val="superscript"/>
        </w:rPr>
        <w:t>2</w:t>
      </w:r>
      <w:r w:rsidRPr="00E16820">
        <w:rPr>
          <w:rFonts w:ascii="Times New Roman" w:hAnsi="Times New Roman"/>
          <w:sz w:val="28"/>
          <w:szCs w:val="28"/>
        </w:rPr>
        <w:t>/с.</w:t>
      </w:r>
      <w:r>
        <w:rPr>
          <w:rFonts w:ascii="Times New Roman" w:hAnsi="Times New Roman"/>
          <w:sz w:val="28"/>
          <w:szCs w:val="28"/>
        </w:rPr>
        <w:t xml:space="preserve"> Застосування </w:t>
      </w:r>
      <w:r>
        <w:rPr>
          <w:rFonts w:ascii="Times New Roman" w:hAnsi="Times New Roman" w:cs="Times New Roman"/>
          <w:sz w:val="28"/>
          <w:szCs w:val="28"/>
        </w:rPr>
        <w:t>ІС</w:t>
      </w:r>
      <w:r>
        <w:rPr>
          <w:rFonts w:ascii="Times New Roman" w:hAnsi="Times New Roman" w:cs="Times New Roman"/>
          <w:sz w:val="28"/>
          <w:szCs w:val="28"/>
          <w:vertAlign w:val="subscript"/>
        </w:rPr>
        <w:t>ДЗЗ</w:t>
      </w:r>
      <w:r>
        <w:rPr>
          <w:rFonts w:ascii="Times New Roman" w:hAnsi="Times New Roman" w:cs="Times New Roman"/>
          <w:sz w:val="28"/>
          <w:szCs w:val="28"/>
        </w:rPr>
        <w:t xml:space="preserve"> не дозволяло достовірно проводити таку диференціацію. Як бачимо, застосування біомаркерів на основі МРТ дозволяло отримати дещо нижчу чутливість, проте, вищу специфічність у порівнянні із КТ, за відсутності променевого навантаження на хворого.</w:t>
      </w:r>
    </w:p>
    <w:p w:rsidR="000645F1" w:rsidRPr="004113E5" w:rsidRDefault="000645F1" w:rsidP="000645F1">
      <w:pPr>
        <w:autoSpaceDE w:val="0"/>
        <w:autoSpaceDN w:val="0"/>
        <w:adjustRightInd w:val="0"/>
        <w:spacing w:after="0" w:line="360" w:lineRule="auto"/>
        <w:ind w:firstLine="708"/>
        <w:jc w:val="both"/>
        <w:rPr>
          <w:rFonts w:ascii="Times New Roman" w:hAnsi="Times New Roman" w:cs="Times New Roman"/>
          <w:sz w:val="28"/>
          <w:szCs w:val="28"/>
        </w:rPr>
      </w:pPr>
      <w:r w:rsidRPr="00401A29">
        <w:rPr>
          <w:rFonts w:ascii="Times New Roman" w:hAnsi="Times New Roman" w:cs="Times New Roman"/>
          <w:sz w:val="28"/>
          <w:szCs w:val="28"/>
        </w:rPr>
        <w:lastRenderedPageBreak/>
        <w:t xml:space="preserve">При диференціації </w:t>
      </w:r>
      <w:r>
        <w:rPr>
          <w:rFonts w:ascii="Times New Roman" w:hAnsi="Times New Roman" w:cs="Times New Roman"/>
          <w:sz w:val="28"/>
          <w:szCs w:val="28"/>
        </w:rPr>
        <w:t xml:space="preserve">солідного </w:t>
      </w:r>
      <w:r w:rsidRPr="00401A29">
        <w:rPr>
          <w:rFonts w:ascii="Times New Roman" w:hAnsi="Times New Roman" w:cs="Times New Roman"/>
          <w:sz w:val="28"/>
          <w:szCs w:val="28"/>
        </w:rPr>
        <w:t xml:space="preserve">НКР від </w:t>
      </w:r>
      <w:r>
        <w:rPr>
          <w:rFonts w:ascii="Times New Roman" w:hAnsi="Times New Roman" w:cs="Times New Roman"/>
          <w:sz w:val="28"/>
          <w:szCs w:val="28"/>
        </w:rPr>
        <w:t xml:space="preserve">лише </w:t>
      </w:r>
      <w:r w:rsidRPr="00401A29">
        <w:rPr>
          <w:rFonts w:ascii="Times New Roman" w:hAnsi="Times New Roman" w:cs="Times New Roman"/>
          <w:sz w:val="28"/>
          <w:szCs w:val="28"/>
        </w:rPr>
        <w:t xml:space="preserve">доброякісних SRM з усіх досліджених </w:t>
      </w:r>
      <w:r>
        <w:rPr>
          <w:rFonts w:ascii="Times New Roman" w:hAnsi="Times New Roman" w:cs="Times New Roman"/>
          <w:sz w:val="28"/>
          <w:szCs w:val="28"/>
        </w:rPr>
        <w:t>потенційних біомаркерів на основі КТ,</w:t>
      </w:r>
      <w:r w:rsidRPr="00401A29">
        <w:rPr>
          <w:rFonts w:ascii="Times New Roman" w:hAnsi="Times New Roman" w:cs="Times New Roman"/>
          <w:sz w:val="28"/>
          <w:szCs w:val="28"/>
        </w:rPr>
        <w:t xml:space="preserve"> найвищу ефективність продемонструвало застосування ВПЩ </w:t>
      </w:r>
      <w:r w:rsidRPr="00401A29">
        <w:rPr>
          <w:rFonts w:ascii="Times New Roman" w:hAnsi="Times New Roman"/>
          <w:sz w:val="28"/>
          <w:szCs w:val="28"/>
        </w:rPr>
        <w:t xml:space="preserve">пухлини до нормальної ниркової паренхіми екскреторної фази КТ при граничній величині </w:t>
      </w:r>
      <w:r w:rsidRPr="00401A29">
        <w:rPr>
          <w:rFonts w:ascii="Times New Roman" w:hAnsi="Times New Roman" w:cs="Times New Roman"/>
          <w:sz w:val="28"/>
          <w:szCs w:val="28"/>
        </w:rPr>
        <w:t>0,63</w:t>
      </w:r>
      <w:r w:rsidRPr="00401A29">
        <w:rPr>
          <w:rFonts w:ascii="Times New Roman" w:hAnsi="Times New Roman"/>
          <w:sz w:val="28"/>
          <w:szCs w:val="28"/>
        </w:rPr>
        <w:t xml:space="preserve">: чутливість </w:t>
      </w:r>
      <w:r w:rsidRPr="00401A29">
        <w:rPr>
          <w:rFonts w:ascii="Times New Roman" w:hAnsi="Times New Roman" w:cs="Times New Roman"/>
          <w:sz w:val="28"/>
          <w:szCs w:val="28"/>
        </w:rPr>
        <w:t xml:space="preserve">88,6%, специфічність 52,4%, AUC – 0,763, р&lt;0,001. </w:t>
      </w:r>
      <w:r w:rsidRPr="00E16820">
        <w:rPr>
          <w:rFonts w:ascii="Times New Roman" w:hAnsi="Times New Roman"/>
          <w:sz w:val="28"/>
          <w:szCs w:val="28"/>
        </w:rPr>
        <w:t xml:space="preserve">Диференціація </w:t>
      </w:r>
      <w:r>
        <w:rPr>
          <w:rFonts w:ascii="Times New Roman" w:hAnsi="Times New Roman"/>
          <w:sz w:val="28"/>
          <w:szCs w:val="28"/>
        </w:rPr>
        <w:t xml:space="preserve">солідного </w:t>
      </w:r>
      <w:r w:rsidRPr="00E16820">
        <w:rPr>
          <w:rFonts w:ascii="Times New Roman" w:hAnsi="Times New Roman"/>
          <w:sz w:val="28"/>
          <w:szCs w:val="28"/>
        </w:rPr>
        <w:t>НКР із доброякісними SRM на основі ВКД</w:t>
      </w:r>
      <w:r>
        <w:rPr>
          <w:rFonts w:ascii="Times New Roman" w:hAnsi="Times New Roman"/>
          <w:sz w:val="28"/>
          <w:szCs w:val="28"/>
        </w:rPr>
        <w:t xml:space="preserve"> при проведенні МРТ</w:t>
      </w:r>
      <w:r w:rsidRPr="00E16820">
        <w:rPr>
          <w:rFonts w:ascii="Times New Roman" w:hAnsi="Times New Roman"/>
          <w:sz w:val="28"/>
          <w:szCs w:val="28"/>
        </w:rPr>
        <w:t xml:space="preserve"> була можливою із </w:t>
      </w:r>
      <w:r>
        <w:rPr>
          <w:rFonts w:ascii="Times New Roman" w:hAnsi="Times New Roman"/>
          <w:sz w:val="28"/>
          <w:szCs w:val="28"/>
        </w:rPr>
        <w:t xml:space="preserve">значно </w:t>
      </w:r>
      <w:r w:rsidRPr="00E16820">
        <w:rPr>
          <w:rFonts w:ascii="Times New Roman" w:hAnsi="Times New Roman"/>
          <w:sz w:val="28"/>
          <w:szCs w:val="28"/>
        </w:rPr>
        <w:t>кращими параметрами тесту: 100% чутливість, 81,8% специфічність, AUC=</w:t>
      </w:r>
      <w:r w:rsidRPr="00E16820">
        <w:rPr>
          <w:rFonts w:ascii="Times New Roman" w:hAnsi="Times New Roman" w:cs="Times New Roman"/>
          <w:color w:val="000000" w:themeColor="text1"/>
          <w:sz w:val="28"/>
          <w:szCs w:val="28"/>
        </w:rPr>
        <w:t>0,993 (95% ДІ=0,983-1,0, р</w:t>
      </w:r>
      <w:r w:rsidRPr="00E16820">
        <w:rPr>
          <w:rFonts w:ascii="Times New Roman" w:hAnsi="Times New Roman" w:cs="Times New Roman"/>
          <w:sz w:val="28"/>
          <w:szCs w:val="28"/>
        </w:rPr>
        <w:t xml:space="preserve">&lt;0,001) при пороговому значенні – </w:t>
      </w:r>
      <w:r w:rsidRPr="00E16820">
        <w:rPr>
          <w:rFonts w:ascii="Times New Roman" w:hAnsi="Times New Roman" w:cs="Times New Roman"/>
          <w:color w:val="000000" w:themeColor="text1"/>
          <w:sz w:val="28"/>
          <w:szCs w:val="28"/>
        </w:rPr>
        <w:t>2,0</w:t>
      </w:r>
      <w:r w:rsidRPr="00E16820">
        <w:rPr>
          <w:rFonts w:ascii="Times New Roman" w:hAnsi="Times New Roman" w:cs="Times New Roman"/>
          <w:sz w:val="28"/>
          <w:szCs w:val="28"/>
        </w:rPr>
        <w:t>×</w:t>
      </w:r>
      <w:r w:rsidRPr="00E16820">
        <w:rPr>
          <w:rFonts w:ascii="Times New Roman" w:hAnsi="Times New Roman"/>
          <w:sz w:val="28"/>
          <w:szCs w:val="28"/>
        </w:rPr>
        <w:t>10</w:t>
      </w:r>
      <w:r w:rsidRPr="00E16820">
        <w:rPr>
          <w:rFonts w:ascii="Times New Roman" w:hAnsi="Times New Roman"/>
          <w:sz w:val="28"/>
          <w:szCs w:val="28"/>
          <w:vertAlign w:val="superscript"/>
        </w:rPr>
        <w:t>-3</w:t>
      </w:r>
      <w:r w:rsidRPr="00E16820">
        <w:rPr>
          <w:rFonts w:ascii="Times New Roman" w:hAnsi="Times New Roman"/>
          <w:sz w:val="28"/>
          <w:szCs w:val="28"/>
        </w:rPr>
        <w:t xml:space="preserve"> мм</w:t>
      </w:r>
      <w:r w:rsidRPr="00E16820">
        <w:rPr>
          <w:rFonts w:ascii="Times New Roman" w:hAnsi="Times New Roman"/>
          <w:sz w:val="28"/>
          <w:szCs w:val="28"/>
          <w:vertAlign w:val="superscript"/>
        </w:rPr>
        <w:t>2</w:t>
      </w:r>
      <w:r w:rsidRPr="00E16820">
        <w:rPr>
          <w:rFonts w:ascii="Times New Roman" w:hAnsi="Times New Roman"/>
          <w:sz w:val="28"/>
          <w:szCs w:val="28"/>
        </w:rPr>
        <w:t>/с</w:t>
      </w:r>
      <w:r>
        <w:rPr>
          <w:rFonts w:ascii="Times New Roman" w:hAnsi="Times New Roman"/>
          <w:sz w:val="28"/>
          <w:szCs w:val="28"/>
        </w:rPr>
        <w:t>.</w:t>
      </w:r>
    </w:p>
    <w:p w:rsidR="000645F1" w:rsidRPr="00401A29" w:rsidRDefault="000645F1" w:rsidP="00E0498B">
      <w:pPr>
        <w:autoSpaceDE w:val="0"/>
        <w:autoSpaceDN w:val="0"/>
        <w:adjustRightInd w:val="0"/>
        <w:spacing w:after="0" w:line="360" w:lineRule="auto"/>
        <w:jc w:val="both"/>
        <w:rPr>
          <w:rFonts w:ascii="Times New Roman" w:hAnsi="Times New Roman" w:cs="Times New Roman"/>
          <w:sz w:val="28"/>
          <w:szCs w:val="28"/>
        </w:rPr>
      </w:pPr>
      <w:r w:rsidRPr="00401A29">
        <w:rPr>
          <w:rFonts w:ascii="Times New Roman" w:hAnsi="Times New Roman" w:cs="Times New Roman"/>
          <w:sz w:val="28"/>
          <w:szCs w:val="28"/>
        </w:rPr>
        <w:tab/>
        <w:t xml:space="preserve">При диференціації світлоклітинного від несвітлоклітинного НКР </w:t>
      </w:r>
      <w:r w:rsidRPr="00401A29">
        <w:rPr>
          <w:rFonts w:ascii="Times New Roman" w:hAnsi="Times New Roman"/>
          <w:sz w:val="28"/>
          <w:szCs w:val="28"/>
        </w:rPr>
        <w:t xml:space="preserve">при розмірі </w:t>
      </w:r>
      <w:r>
        <w:rPr>
          <w:rFonts w:ascii="Times New Roman" w:hAnsi="Times New Roman"/>
          <w:sz w:val="28"/>
          <w:szCs w:val="28"/>
        </w:rPr>
        <w:t xml:space="preserve">пухлини </w:t>
      </w:r>
      <w:r w:rsidRPr="00401A29">
        <w:rPr>
          <w:rFonts w:ascii="Times New Roman" w:hAnsi="Times New Roman"/>
          <w:sz w:val="28"/>
          <w:szCs w:val="28"/>
        </w:rPr>
        <w:t>до 4 см</w:t>
      </w:r>
      <w:r w:rsidR="00E0498B" w:rsidRPr="00E0498B">
        <w:rPr>
          <w:rFonts w:ascii="Times New Roman" w:hAnsi="Times New Roman"/>
          <w:sz w:val="28"/>
          <w:szCs w:val="28"/>
        </w:rPr>
        <w:t xml:space="preserve"> </w:t>
      </w:r>
      <w:r w:rsidR="00E0498B">
        <w:rPr>
          <w:rFonts w:ascii="Times New Roman" w:hAnsi="Times New Roman"/>
          <w:sz w:val="28"/>
          <w:szCs w:val="28"/>
        </w:rPr>
        <w:t>на основі даних КТ</w:t>
      </w:r>
      <w:r>
        <w:rPr>
          <w:rFonts w:ascii="Times New Roman" w:hAnsi="Times New Roman"/>
          <w:sz w:val="28"/>
          <w:szCs w:val="28"/>
        </w:rPr>
        <w:t xml:space="preserve">, </w:t>
      </w:r>
      <w:r w:rsidRPr="00401A29">
        <w:rPr>
          <w:rFonts w:ascii="Times New Roman" w:hAnsi="Times New Roman" w:cs="Times New Roman"/>
          <w:sz w:val="28"/>
          <w:szCs w:val="28"/>
        </w:rPr>
        <w:t xml:space="preserve">лише променева щільність пухлини, виміряна під час нефрографічної фази, дозволяла </w:t>
      </w:r>
      <w:r>
        <w:rPr>
          <w:rFonts w:ascii="Times New Roman" w:hAnsi="Times New Roman" w:cs="Times New Roman"/>
          <w:sz w:val="28"/>
          <w:szCs w:val="28"/>
        </w:rPr>
        <w:t xml:space="preserve">проводити це </w:t>
      </w:r>
      <w:r w:rsidRPr="00401A29">
        <w:rPr>
          <w:rFonts w:ascii="Times New Roman" w:hAnsi="Times New Roman" w:cs="Times New Roman"/>
          <w:sz w:val="28"/>
          <w:szCs w:val="28"/>
        </w:rPr>
        <w:t xml:space="preserve">з </w:t>
      </w:r>
      <w:r>
        <w:rPr>
          <w:rFonts w:ascii="Times New Roman" w:hAnsi="Times New Roman" w:cs="Times New Roman"/>
          <w:sz w:val="28"/>
          <w:szCs w:val="28"/>
        </w:rPr>
        <w:t>достатньою</w:t>
      </w:r>
      <w:r w:rsidRPr="00401A29">
        <w:rPr>
          <w:rFonts w:ascii="Times New Roman" w:hAnsi="Times New Roman" w:cs="Times New Roman"/>
          <w:sz w:val="28"/>
          <w:szCs w:val="28"/>
        </w:rPr>
        <w:t xml:space="preserve"> статистичною достовірністю і точністю: чутливість, специфічність та AUC становили відповідно 75,0%, 51,6% та 0,725 (р=0,001), при пороговому значенні 79,39 HU. </w:t>
      </w:r>
      <w:r>
        <w:rPr>
          <w:rFonts w:ascii="Times New Roman" w:hAnsi="Times New Roman" w:cs="Times New Roman"/>
          <w:sz w:val="28"/>
          <w:szCs w:val="28"/>
        </w:rPr>
        <w:t>У випадку використання біомаркерів на основі МРТ</w:t>
      </w:r>
      <w:r w:rsidRPr="004113E5">
        <w:rPr>
          <w:rFonts w:ascii="Times New Roman" w:hAnsi="Times New Roman" w:cs="Times New Roman"/>
          <w:sz w:val="28"/>
          <w:szCs w:val="28"/>
        </w:rPr>
        <w:t xml:space="preserve">, ми отримали </w:t>
      </w:r>
      <w:r>
        <w:rPr>
          <w:rFonts w:ascii="Times New Roman" w:hAnsi="Times New Roman" w:cs="Times New Roman"/>
          <w:sz w:val="28"/>
          <w:szCs w:val="28"/>
        </w:rPr>
        <w:t>значно кращі показники</w:t>
      </w:r>
      <w:r w:rsidRPr="004113E5">
        <w:rPr>
          <w:rFonts w:ascii="Times New Roman" w:hAnsi="Times New Roman" w:cs="Times New Roman"/>
          <w:sz w:val="28"/>
          <w:szCs w:val="28"/>
        </w:rPr>
        <w:t xml:space="preserve"> значення чутливості, специфічності та точності при використанні ВКД із граничною величиною </w:t>
      </w:r>
      <w:r w:rsidRPr="004113E5">
        <w:rPr>
          <w:rFonts w:ascii="Times New Roman" w:hAnsi="Times New Roman" w:cs="Times New Roman"/>
          <w:color w:val="000000" w:themeColor="text1"/>
          <w:sz w:val="28"/>
          <w:szCs w:val="28"/>
        </w:rPr>
        <w:t>1,66</w:t>
      </w:r>
      <w:r w:rsidRPr="004113E5">
        <w:rPr>
          <w:rFonts w:ascii="Times New Roman" w:hAnsi="Times New Roman" w:cs="Times New Roman"/>
          <w:sz w:val="28"/>
          <w:szCs w:val="28"/>
        </w:rPr>
        <w:t>×</w:t>
      </w:r>
      <w:r w:rsidRPr="004113E5">
        <w:rPr>
          <w:rFonts w:ascii="Times New Roman" w:hAnsi="Times New Roman"/>
          <w:sz w:val="28"/>
          <w:szCs w:val="28"/>
        </w:rPr>
        <w:t>10</w:t>
      </w:r>
      <w:r w:rsidRPr="004113E5">
        <w:rPr>
          <w:rFonts w:ascii="Times New Roman" w:hAnsi="Times New Roman"/>
          <w:sz w:val="28"/>
          <w:szCs w:val="28"/>
          <w:vertAlign w:val="superscript"/>
        </w:rPr>
        <w:t>-3</w:t>
      </w:r>
      <w:r w:rsidRPr="004113E5">
        <w:rPr>
          <w:rFonts w:ascii="Times New Roman" w:hAnsi="Times New Roman"/>
          <w:sz w:val="28"/>
          <w:szCs w:val="28"/>
        </w:rPr>
        <w:t xml:space="preserve"> мм</w:t>
      </w:r>
      <w:r w:rsidRPr="004113E5">
        <w:rPr>
          <w:rFonts w:ascii="Times New Roman" w:hAnsi="Times New Roman"/>
          <w:sz w:val="28"/>
          <w:szCs w:val="28"/>
          <w:vertAlign w:val="superscript"/>
        </w:rPr>
        <w:t>2</w:t>
      </w:r>
      <w:r w:rsidRPr="004113E5">
        <w:rPr>
          <w:rFonts w:ascii="Times New Roman" w:hAnsi="Times New Roman"/>
          <w:sz w:val="28"/>
          <w:szCs w:val="28"/>
        </w:rPr>
        <w:t>/с</w:t>
      </w:r>
      <w:r>
        <w:rPr>
          <w:rFonts w:ascii="Times New Roman" w:hAnsi="Times New Roman"/>
          <w:sz w:val="28"/>
          <w:szCs w:val="28"/>
        </w:rPr>
        <w:t>,</w:t>
      </w:r>
      <w:r w:rsidRPr="004113E5">
        <w:rPr>
          <w:rFonts w:ascii="Times New Roman" w:hAnsi="Times New Roman"/>
          <w:sz w:val="28"/>
          <w:szCs w:val="28"/>
        </w:rPr>
        <w:t xml:space="preserve"> при диференціації конвенційного гістологічного підтипу НКР від неконвенційного: чутливість – 93,4%, специфічність – 96,7%, AUC=</w:t>
      </w:r>
      <w:r w:rsidRPr="004113E5">
        <w:rPr>
          <w:rFonts w:ascii="Times New Roman" w:hAnsi="Times New Roman" w:cs="Times New Roman"/>
          <w:color w:val="000000" w:themeColor="text1"/>
          <w:sz w:val="28"/>
          <w:szCs w:val="28"/>
        </w:rPr>
        <w:t>0,981 (95% ДІ=0,954-1,0, р</w:t>
      </w:r>
      <w:r w:rsidRPr="004113E5">
        <w:rPr>
          <w:rFonts w:ascii="Times New Roman" w:hAnsi="Times New Roman" w:cs="Times New Roman"/>
          <w:sz w:val="28"/>
          <w:szCs w:val="28"/>
        </w:rPr>
        <w:t>&lt;0,001).</w:t>
      </w:r>
      <w:r w:rsidR="00E0498B">
        <w:rPr>
          <w:rFonts w:ascii="Times New Roman" w:hAnsi="Times New Roman" w:cs="Times New Roman"/>
          <w:sz w:val="28"/>
          <w:szCs w:val="28"/>
        </w:rPr>
        <w:t xml:space="preserve"> </w:t>
      </w:r>
      <w:r>
        <w:rPr>
          <w:rFonts w:ascii="Times New Roman" w:hAnsi="Times New Roman" w:cs="Times New Roman"/>
          <w:sz w:val="28"/>
          <w:szCs w:val="28"/>
        </w:rPr>
        <w:t>При КТ, н</w:t>
      </w:r>
      <w:r w:rsidRPr="00401A29">
        <w:rPr>
          <w:rFonts w:ascii="Times New Roman" w:hAnsi="Times New Roman" w:cs="Times New Roman"/>
          <w:sz w:val="28"/>
          <w:szCs w:val="28"/>
        </w:rPr>
        <w:t>айкра</w:t>
      </w:r>
      <w:r>
        <w:rPr>
          <w:rFonts w:ascii="Times New Roman" w:hAnsi="Times New Roman" w:cs="Times New Roman"/>
          <w:sz w:val="28"/>
          <w:szCs w:val="28"/>
        </w:rPr>
        <w:t xml:space="preserve">щі показники при диференціації папілярного </w:t>
      </w:r>
      <w:r w:rsidRPr="00401A29">
        <w:rPr>
          <w:rFonts w:ascii="Times New Roman" w:hAnsi="Times New Roman" w:cs="Times New Roman"/>
          <w:sz w:val="28"/>
          <w:szCs w:val="28"/>
        </w:rPr>
        <w:t>НКР від хр</w:t>
      </w:r>
      <w:r>
        <w:rPr>
          <w:rFonts w:ascii="Times New Roman" w:hAnsi="Times New Roman" w:cs="Times New Roman"/>
          <w:sz w:val="28"/>
          <w:szCs w:val="28"/>
        </w:rPr>
        <w:t xml:space="preserve">омофобного </w:t>
      </w:r>
      <w:r w:rsidRPr="00401A29">
        <w:rPr>
          <w:rFonts w:ascii="Times New Roman" w:hAnsi="Times New Roman" w:cs="Times New Roman"/>
          <w:sz w:val="28"/>
          <w:szCs w:val="28"/>
        </w:rPr>
        <w:t xml:space="preserve">НКР, </w:t>
      </w:r>
      <w:r w:rsidRPr="00401A29">
        <w:rPr>
          <w:rFonts w:ascii="Times New Roman" w:hAnsi="Times New Roman"/>
          <w:sz w:val="28"/>
          <w:szCs w:val="28"/>
        </w:rPr>
        <w:t>при розмірі до 4 см,</w:t>
      </w:r>
      <w:r w:rsidRPr="00401A29">
        <w:rPr>
          <w:rFonts w:ascii="Times New Roman" w:hAnsi="Times New Roman" w:cs="Times New Roman"/>
          <w:sz w:val="28"/>
          <w:szCs w:val="28"/>
        </w:rPr>
        <w:t xml:space="preserve"> були отримані при застосуванні ІС пухлини із пороговою величиною 90,57 HU виміряною на КТ-зображеннях кортико-медулярної фази, а саме: чутливість – 100%, специфічність – 66,7%, AUC</w:t>
      </w:r>
      <w:r w:rsidR="004A5F69">
        <w:rPr>
          <w:rFonts w:ascii="Times New Roman" w:hAnsi="Times New Roman" w:cs="Times New Roman"/>
          <w:sz w:val="28"/>
          <w:szCs w:val="28"/>
        </w:rPr>
        <w:t xml:space="preserve"> - 0,933, р&lt;0,001</w:t>
      </w:r>
      <w:r w:rsidRPr="00401A29">
        <w:rPr>
          <w:rFonts w:ascii="Times New Roman" w:hAnsi="Times New Roman" w:cs="Times New Roman"/>
          <w:sz w:val="28"/>
          <w:szCs w:val="28"/>
        </w:rPr>
        <w:t xml:space="preserve">. </w:t>
      </w:r>
      <w:r>
        <w:rPr>
          <w:rFonts w:ascii="Times New Roman" w:hAnsi="Times New Roman" w:cs="Times New Roman"/>
          <w:sz w:val="28"/>
          <w:szCs w:val="28"/>
        </w:rPr>
        <w:t xml:space="preserve">При застосуванні МРТ, </w:t>
      </w:r>
      <w:r w:rsidRPr="004113E5">
        <w:rPr>
          <w:rFonts w:ascii="Times New Roman" w:hAnsi="Times New Roman" w:cs="Times New Roman"/>
          <w:sz w:val="28"/>
          <w:szCs w:val="28"/>
        </w:rPr>
        <w:t xml:space="preserve">відрізнення </w:t>
      </w:r>
      <w:r>
        <w:rPr>
          <w:rFonts w:ascii="Times New Roman" w:hAnsi="Times New Roman" w:cs="Times New Roman"/>
          <w:sz w:val="28"/>
          <w:szCs w:val="28"/>
        </w:rPr>
        <w:t>п</w:t>
      </w:r>
      <w:r w:rsidRPr="004113E5">
        <w:rPr>
          <w:rFonts w:ascii="Times New Roman" w:hAnsi="Times New Roman" w:cs="Times New Roman"/>
          <w:sz w:val="28"/>
          <w:szCs w:val="28"/>
        </w:rPr>
        <w:t xml:space="preserve">НКР від </w:t>
      </w:r>
      <w:r>
        <w:rPr>
          <w:rFonts w:ascii="Times New Roman" w:hAnsi="Times New Roman" w:cs="Times New Roman"/>
          <w:sz w:val="28"/>
          <w:szCs w:val="28"/>
        </w:rPr>
        <w:t>хрНКР</w:t>
      </w:r>
      <w:r w:rsidRPr="004113E5">
        <w:rPr>
          <w:rFonts w:ascii="Times New Roman" w:hAnsi="Times New Roman" w:cs="Times New Roman"/>
          <w:sz w:val="28"/>
          <w:szCs w:val="28"/>
        </w:rPr>
        <w:t xml:space="preserve"> за допомогою ВКД була можливою із показниками чутливості, специфічності та точності відповідно </w:t>
      </w:r>
      <w:r w:rsidRPr="004113E5">
        <w:rPr>
          <w:rFonts w:ascii="Times New Roman" w:hAnsi="Times New Roman" w:cs="Times New Roman"/>
          <w:color w:val="000000" w:themeColor="text1"/>
          <w:sz w:val="28"/>
          <w:szCs w:val="28"/>
        </w:rPr>
        <w:t>93,4%, 86,7% та AUC=0,956 (95% ДІ=0,884-1,0, р</w:t>
      </w:r>
      <w:r w:rsidRPr="004113E5">
        <w:rPr>
          <w:rFonts w:ascii="Times New Roman" w:hAnsi="Times New Roman" w:cs="Times New Roman"/>
          <w:sz w:val="28"/>
          <w:szCs w:val="28"/>
        </w:rPr>
        <w:t xml:space="preserve">&lt;0,001) при граничній величині </w:t>
      </w:r>
      <w:r w:rsidRPr="004113E5">
        <w:rPr>
          <w:rFonts w:ascii="Times New Roman" w:hAnsi="Times New Roman" w:cs="Times New Roman"/>
          <w:color w:val="000000" w:themeColor="text1"/>
          <w:sz w:val="28"/>
          <w:szCs w:val="28"/>
        </w:rPr>
        <w:t>1,48</w:t>
      </w:r>
      <w:r w:rsidRPr="004113E5">
        <w:rPr>
          <w:rFonts w:ascii="Times New Roman" w:hAnsi="Times New Roman" w:cs="Times New Roman"/>
          <w:sz w:val="28"/>
          <w:szCs w:val="28"/>
        </w:rPr>
        <w:t>×</w:t>
      </w:r>
      <w:r w:rsidRPr="004113E5">
        <w:rPr>
          <w:rFonts w:ascii="Times New Roman" w:hAnsi="Times New Roman"/>
          <w:sz w:val="28"/>
          <w:szCs w:val="28"/>
        </w:rPr>
        <w:t>10</w:t>
      </w:r>
      <w:r w:rsidRPr="004113E5">
        <w:rPr>
          <w:rFonts w:ascii="Times New Roman" w:hAnsi="Times New Roman"/>
          <w:sz w:val="28"/>
          <w:szCs w:val="28"/>
          <w:vertAlign w:val="superscript"/>
        </w:rPr>
        <w:t>-3</w:t>
      </w:r>
      <w:r w:rsidRPr="004113E5">
        <w:rPr>
          <w:rFonts w:ascii="Times New Roman" w:hAnsi="Times New Roman"/>
          <w:sz w:val="28"/>
          <w:szCs w:val="28"/>
        </w:rPr>
        <w:t xml:space="preserve"> мм</w:t>
      </w:r>
      <w:r w:rsidRPr="004113E5">
        <w:rPr>
          <w:rFonts w:ascii="Times New Roman" w:hAnsi="Times New Roman"/>
          <w:sz w:val="28"/>
          <w:szCs w:val="28"/>
          <w:vertAlign w:val="superscript"/>
        </w:rPr>
        <w:t>2</w:t>
      </w:r>
      <w:r w:rsidRPr="004113E5">
        <w:rPr>
          <w:rFonts w:ascii="Times New Roman" w:hAnsi="Times New Roman"/>
          <w:sz w:val="28"/>
          <w:szCs w:val="28"/>
        </w:rPr>
        <w:t>/с.</w:t>
      </w:r>
      <w:r>
        <w:rPr>
          <w:rFonts w:ascii="Times New Roman" w:hAnsi="Times New Roman"/>
          <w:sz w:val="28"/>
          <w:szCs w:val="28"/>
        </w:rPr>
        <w:t xml:space="preserve"> Як випливає з отриманих даних, застосування біомаркерів на основі МРТ для диференціації гістологічних підтипів солідного НКР при розмірі до 4 см, дозволяє отримати показники чутливості та специфічності, які не </w:t>
      </w:r>
      <w:r>
        <w:rPr>
          <w:rFonts w:ascii="Times New Roman" w:hAnsi="Times New Roman"/>
          <w:sz w:val="28"/>
          <w:szCs w:val="28"/>
        </w:rPr>
        <w:lastRenderedPageBreak/>
        <w:t>поступаються, та навіть перевершують такі при КТ, при відсутності променевого навантаження на хворого.</w:t>
      </w:r>
    </w:p>
    <w:p w:rsidR="000645F1" w:rsidRPr="00A85533" w:rsidRDefault="000645F1" w:rsidP="000645F1">
      <w:pPr>
        <w:autoSpaceDE w:val="0"/>
        <w:autoSpaceDN w:val="0"/>
        <w:adjustRightInd w:val="0"/>
        <w:spacing w:after="0" w:line="360" w:lineRule="auto"/>
        <w:jc w:val="both"/>
        <w:rPr>
          <w:rFonts w:ascii="Times New Roman" w:hAnsi="Times New Roman" w:cs="Times New Roman"/>
          <w:sz w:val="28"/>
          <w:szCs w:val="28"/>
        </w:rPr>
      </w:pPr>
      <w:r w:rsidRPr="00401A29">
        <w:rPr>
          <w:rFonts w:ascii="Times New Roman" w:hAnsi="Times New Roman" w:cs="Times New Roman"/>
          <w:sz w:val="24"/>
          <w:szCs w:val="24"/>
        </w:rPr>
        <w:tab/>
      </w:r>
      <w:r w:rsidRPr="00401A29">
        <w:rPr>
          <w:rFonts w:ascii="Times New Roman" w:hAnsi="Times New Roman" w:cs="Times New Roman"/>
          <w:sz w:val="28"/>
          <w:szCs w:val="28"/>
        </w:rPr>
        <w:t xml:space="preserve">При диференціації конвенційного НКР низького від високого </w:t>
      </w:r>
      <w:r w:rsidRPr="00401A29">
        <w:rPr>
          <w:rFonts w:ascii="Times New Roman" w:hAnsi="Times New Roman"/>
          <w:sz w:val="28"/>
          <w:szCs w:val="28"/>
        </w:rPr>
        <w:t xml:space="preserve">ступеня за Fuhrman при розмірі до 4 см, </w:t>
      </w:r>
      <w:r>
        <w:rPr>
          <w:rFonts w:ascii="Times New Roman" w:hAnsi="Times New Roman"/>
          <w:sz w:val="28"/>
          <w:szCs w:val="28"/>
        </w:rPr>
        <w:t xml:space="preserve">на основі даних КТ, </w:t>
      </w:r>
      <w:r w:rsidRPr="00401A29">
        <w:rPr>
          <w:rFonts w:ascii="Times New Roman" w:hAnsi="Times New Roman"/>
          <w:sz w:val="28"/>
          <w:szCs w:val="28"/>
        </w:rPr>
        <w:t xml:space="preserve">найвищу ефективність ми отримали при використанні ІС та порогового значення променевої щільності пухлини – </w:t>
      </w:r>
      <w:r w:rsidRPr="00401A29">
        <w:rPr>
          <w:rFonts w:ascii="Times New Roman" w:hAnsi="Times New Roman" w:cs="Times New Roman"/>
          <w:sz w:val="28"/>
          <w:szCs w:val="28"/>
        </w:rPr>
        <w:t xml:space="preserve">89,67 HU виміряної на КТ-зображеннях нефрографічної фази: чутливість становила – 100,0%, </w:t>
      </w:r>
      <w:r w:rsidR="001F0CF4">
        <w:rPr>
          <w:rFonts w:ascii="Times New Roman" w:hAnsi="Times New Roman" w:cs="Times New Roman"/>
          <w:sz w:val="28"/>
          <w:szCs w:val="28"/>
        </w:rPr>
        <w:t>специфічність</w:t>
      </w:r>
      <w:r w:rsidRPr="00401A29">
        <w:rPr>
          <w:rFonts w:ascii="Times New Roman" w:hAnsi="Times New Roman" w:cs="Times New Roman"/>
          <w:sz w:val="28"/>
          <w:szCs w:val="28"/>
        </w:rPr>
        <w:t xml:space="preserve"> – 86,4% та AUC – 0,976 при р&lt;0,001. </w:t>
      </w:r>
      <w:r w:rsidRPr="006A10A7">
        <w:rPr>
          <w:rFonts w:ascii="Times New Roman" w:hAnsi="Times New Roman"/>
          <w:sz w:val="28"/>
          <w:szCs w:val="28"/>
        </w:rPr>
        <w:t xml:space="preserve">У випадку МРТ, </w:t>
      </w:r>
      <w:r>
        <w:rPr>
          <w:rFonts w:ascii="Times New Roman" w:hAnsi="Times New Roman"/>
          <w:sz w:val="28"/>
          <w:szCs w:val="28"/>
        </w:rPr>
        <w:t>м</w:t>
      </w:r>
      <w:r w:rsidRPr="006A10A7">
        <w:rPr>
          <w:rFonts w:ascii="Times New Roman" w:hAnsi="Times New Roman"/>
          <w:sz w:val="28"/>
          <w:szCs w:val="28"/>
        </w:rPr>
        <w:t xml:space="preserve">и отримали </w:t>
      </w:r>
      <w:r>
        <w:rPr>
          <w:rFonts w:ascii="Times New Roman" w:hAnsi="Times New Roman"/>
          <w:sz w:val="28"/>
          <w:szCs w:val="28"/>
        </w:rPr>
        <w:t>незначно нижчі</w:t>
      </w:r>
      <w:r w:rsidRPr="006A10A7">
        <w:rPr>
          <w:rFonts w:ascii="Times New Roman" w:hAnsi="Times New Roman"/>
          <w:sz w:val="28"/>
          <w:szCs w:val="28"/>
        </w:rPr>
        <w:t xml:space="preserve"> показники при чутливості, </w:t>
      </w:r>
      <w:r w:rsidRPr="006A10A7">
        <w:rPr>
          <w:rFonts w:ascii="Times New Roman" w:hAnsi="Times New Roman" w:cs="Times New Roman"/>
          <w:sz w:val="28"/>
          <w:szCs w:val="28"/>
        </w:rPr>
        <w:t xml:space="preserve">специфічності та точності при диференціації </w:t>
      </w:r>
      <w:r w:rsidRPr="006A10A7">
        <w:rPr>
          <w:rFonts w:ascii="Times New Roman" w:hAnsi="Times New Roman" w:cs="Times New Roman"/>
          <w:color w:val="000000" w:themeColor="text1"/>
          <w:sz w:val="28"/>
          <w:szCs w:val="28"/>
        </w:rPr>
        <w:t xml:space="preserve">світлоклітинного НКР низького від високого </w:t>
      </w:r>
      <w:r w:rsidR="00B02037">
        <w:rPr>
          <w:rFonts w:ascii="Times New Roman" w:hAnsi="Times New Roman" w:cs="Times New Roman"/>
          <w:color w:val="000000" w:themeColor="text1"/>
          <w:sz w:val="28"/>
          <w:szCs w:val="28"/>
        </w:rPr>
        <w:t>ступеня</w:t>
      </w:r>
      <w:r w:rsidRPr="006A10A7">
        <w:rPr>
          <w:rFonts w:ascii="Times New Roman" w:hAnsi="Times New Roman" w:cs="Times New Roman"/>
          <w:color w:val="000000" w:themeColor="text1"/>
          <w:sz w:val="28"/>
          <w:szCs w:val="28"/>
        </w:rPr>
        <w:t xml:space="preserve"> за Fuhrman, які складали відповідно 93,3%, 85,2% та AUC=0,881 (95% ДІ=0,790-0,971, р</w:t>
      </w:r>
      <w:r w:rsidRPr="006A10A7">
        <w:rPr>
          <w:rFonts w:ascii="Times New Roman" w:hAnsi="Times New Roman" w:cs="Times New Roman"/>
          <w:sz w:val="28"/>
          <w:szCs w:val="28"/>
        </w:rPr>
        <w:t xml:space="preserve">&lt;0,001) при пороговому значенні </w:t>
      </w:r>
      <w:r w:rsidRPr="006A10A7">
        <w:rPr>
          <w:rFonts w:ascii="Times New Roman" w:hAnsi="Times New Roman" w:cs="Times New Roman"/>
          <w:color w:val="000000" w:themeColor="text1"/>
          <w:sz w:val="28"/>
          <w:szCs w:val="28"/>
        </w:rPr>
        <w:t>1,77</w:t>
      </w:r>
      <w:r w:rsidRPr="006A10A7">
        <w:rPr>
          <w:rFonts w:ascii="Times New Roman" w:hAnsi="Times New Roman" w:cs="Times New Roman"/>
          <w:sz w:val="28"/>
          <w:szCs w:val="28"/>
        </w:rPr>
        <w:t>×</w:t>
      </w:r>
      <w:r w:rsidRPr="006A10A7">
        <w:rPr>
          <w:rFonts w:ascii="Times New Roman" w:hAnsi="Times New Roman"/>
          <w:sz w:val="28"/>
          <w:szCs w:val="28"/>
        </w:rPr>
        <w:t>10</w:t>
      </w:r>
      <w:r w:rsidRPr="006A10A7">
        <w:rPr>
          <w:rFonts w:ascii="Times New Roman" w:hAnsi="Times New Roman"/>
          <w:sz w:val="28"/>
          <w:szCs w:val="28"/>
          <w:vertAlign w:val="superscript"/>
        </w:rPr>
        <w:t>-3</w:t>
      </w:r>
      <w:r w:rsidRPr="006A10A7">
        <w:rPr>
          <w:rFonts w:ascii="Times New Roman" w:hAnsi="Times New Roman"/>
          <w:sz w:val="28"/>
          <w:szCs w:val="28"/>
        </w:rPr>
        <w:t xml:space="preserve"> мм</w:t>
      </w:r>
      <w:r w:rsidRPr="006A10A7">
        <w:rPr>
          <w:rFonts w:ascii="Times New Roman" w:hAnsi="Times New Roman"/>
          <w:sz w:val="28"/>
          <w:szCs w:val="28"/>
          <w:vertAlign w:val="superscript"/>
        </w:rPr>
        <w:t>2</w:t>
      </w:r>
      <w:r w:rsidRPr="006A10A7">
        <w:rPr>
          <w:rFonts w:ascii="Times New Roman" w:hAnsi="Times New Roman"/>
          <w:sz w:val="28"/>
          <w:szCs w:val="28"/>
        </w:rPr>
        <w:t>/с</w:t>
      </w:r>
      <w:r>
        <w:rPr>
          <w:rFonts w:ascii="Times New Roman" w:hAnsi="Times New Roman"/>
          <w:sz w:val="28"/>
          <w:szCs w:val="28"/>
        </w:rPr>
        <w:t>, за відсутності радіаційного опромінення пацієнта.</w:t>
      </w:r>
      <w:r>
        <w:rPr>
          <w:rFonts w:ascii="Times New Roman" w:hAnsi="Times New Roman" w:cs="Times New Roman"/>
          <w:sz w:val="28"/>
          <w:szCs w:val="28"/>
        </w:rPr>
        <w:t xml:space="preserve"> </w:t>
      </w:r>
      <w:r w:rsidRPr="00A85533">
        <w:rPr>
          <w:rFonts w:ascii="Times New Roman" w:hAnsi="Times New Roman" w:cs="Times New Roman"/>
          <w:sz w:val="28"/>
          <w:szCs w:val="28"/>
        </w:rPr>
        <w:t>Водночас,</w:t>
      </w:r>
      <w:r>
        <w:rPr>
          <w:rFonts w:ascii="Times New Roman" w:hAnsi="Times New Roman" w:cs="Times New Roman"/>
          <w:sz w:val="24"/>
          <w:szCs w:val="24"/>
        </w:rPr>
        <w:t xml:space="preserve"> </w:t>
      </w:r>
      <w:r>
        <w:rPr>
          <w:rFonts w:ascii="Times New Roman" w:hAnsi="Times New Roman" w:cs="Times New Roman"/>
          <w:sz w:val="28"/>
          <w:szCs w:val="28"/>
        </w:rPr>
        <w:t>ж</w:t>
      </w:r>
      <w:r w:rsidRPr="00401A29">
        <w:rPr>
          <w:rFonts w:ascii="Times New Roman" w:hAnsi="Times New Roman" w:cs="Times New Roman"/>
          <w:sz w:val="28"/>
          <w:szCs w:val="28"/>
        </w:rPr>
        <w:t xml:space="preserve">оден із досліджуваних потенційних променевих біомаркерів на основі КТ </w:t>
      </w:r>
      <w:r>
        <w:rPr>
          <w:rFonts w:ascii="Times New Roman" w:hAnsi="Times New Roman" w:cs="Times New Roman"/>
          <w:sz w:val="28"/>
          <w:szCs w:val="28"/>
        </w:rPr>
        <w:t xml:space="preserve">чи МРТ </w:t>
      </w:r>
      <w:r w:rsidRPr="00401A29">
        <w:rPr>
          <w:rFonts w:ascii="Times New Roman" w:hAnsi="Times New Roman" w:cs="Times New Roman"/>
          <w:sz w:val="28"/>
          <w:szCs w:val="28"/>
        </w:rPr>
        <w:t xml:space="preserve">не дозволив із допустимою точністю та статистичною достовірністю диференціювати </w:t>
      </w:r>
      <w:r w:rsidRPr="00401A29">
        <w:rPr>
          <w:rFonts w:ascii="Times New Roman" w:hAnsi="Times New Roman"/>
          <w:sz w:val="28"/>
          <w:szCs w:val="28"/>
        </w:rPr>
        <w:t>папілярний НКР низького від високого ступеня за Fuhrman</w:t>
      </w:r>
      <w:r>
        <w:rPr>
          <w:rFonts w:ascii="Times New Roman" w:hAnsi="Times New Roman"/>
          <w:sz w:val="28"/>
          <w:szCs w:val="28"/>
        </w:rPr>
        <w:t>,</w:t>
      </w:r>
      <w:r w:rsidRPr="00401A29">
        <w:rPr>
          <w:rFonts w:ascii="Times New Roman" w:hAnsi="Times New Roman"/>
          <w:sz w:val="28"/>
          <w:szCs w:val="28"/>
        </w:rPr>
        <w:t xml:space="preserve"> при розмірі пухлини до 4 см.</w:t>
      </w:r>
    </w:p>
    <w:p w:rsidR="000645F1" w:rsidRDefault="000645F1" w:rsidP="00E0498B">
      <w:pPr>
        <w:spacing w:line="360" w:lineRule="auto"/>
        <w:ind w:firstLine="708"/>
        <w:jc w:val="both"/>
        <w:rPr>
          <w:rFonts w:ascii="Times New Roman" w:hAnsi="Times New Roman" w:cs="Times New Roman"/>
          <w:sz w:val="28"/>
          <w:szCs w:val="28"/>
        </w:rPr>
      </w:pPr>
      <w:r w:rsidRPr="00401A29">
        <w:rPr>
          <w:rFonts w:ascii="Times New Roman" w:hAnsi="Times New Roman" w:cs="Times New Roman"/>
          <w:sz w:val="28"/>
          <w:szCs w:val="28"/>
        </w:rPr>
        <w:t>Було виявлено, що 95% випадків хибно-позитивних та хибно-негативних результатів при диференціації НКР від інших малих ниркових новоутворів</w:t>
      </w:r>
      <w:r>
        <w:rPr>
          <w:rFonts w:ascii="Times New Roman" w:hAnsi="Times New Roman" w:cs="Times New Roman"/>
          <w:sz w:val="28"/>
          <w:szCs w:val="28"/>
        </w:rPr>
        <w:t>,</w:t>
      </w:r>
      <w:r w:rsidRPr="00401A29">
        <w:rPr>
          <w:rFonts w:ascii="Times New Roman" w:hAnsi="Times New Roman" w:cs="Times New Roman"/>
          <w:sz w:val="28"/>
          <w:szCs w:val="28"/>
        </w:rPr>
        <w:t xml:space="preserve">  </w:t>
      </w:r>
      <w:r>
        <w:rPr>
          <w:rFonts w:ascii="Times New Roman" w:hAnsi="Times New Roman" w:cs="Times New Roman"/>
          <w:sz w:val="28"/>
          <w:szCs w:val="28"/>
        </w:rPr>
        <w:t>як при застосуванні КТ, так і МРТ</w:t>
      </w:r>
      <w:r w:rsidRPr="00401A29">
        <w:rPr>
          <w:rFonts w:ascii="Times New Roman" w:hAnsi="Times New Roman" w:cs="Times New Roman"/>
          <w:sz w:val="28"/>
          <w:szCs w:val="28"/>
        </w:rPr>
        <w:t xml:space="preserve">, спостерігались при розмірі новоутворення ≤2,5 см у найбільшому </w:t>
      </w:r>
      <w:r>
        <w:rPr>
          <w:rFonts w:ascii="Times New Roman" w:hAnsi="Times New Roman" w:cs="Times New Roman"/>
          <w:sz w:val="28"/>
          <w:szCs w:val="28"/>
        </w:rPr>
        <w:t>перерізі.</w:t>
      </w:r>
      <w:r w:rsidR="00E0498B">
        <w:rPr>
          <w:rFonts w:ascii="Times New Roman" w:hAnsi="Times New Roman" w:cs="Times New Roman"/>
          <w:sz w:val="28"/>
          <w:szCs w:val="28"/>
        </w:rPr>
        <w:t xml:space="preserve"> </w:t>
      </w:r>
      <w:r>
        <w:rPr>
          <w:rFonts w:ascii="Times New Roman" w:hAnsi="Times New Roman" w:cs="Times New Roman"/>
          <w:sz w:val="28"/>
          <w:szCs w:val="28"/>
        </w:rPr>
        <w:t xml:space="preserve">Таким чином, застосування біомаркеру на </w:t>
      </w:r>
      <w:r w:rsidR="00E0498B">
        <w:rPr>
          <w:rFonts w:ascii="Times New Roman" w:hAnsi="Times New Roman" w:cs="Times New Roman"/>
          <w:sz w:val="28"/>
          <w:szCs w:val="28"/>
        </w:rPr>
        <w:t>основі</w:t>
      </w:r>
      <w:r>
        <w:rPr>
          <w:rFonts w:ascii="Times New Roman" w:hAnsi="Times New Roman" w:cs="Times New Roman"/>
          <w:sz w:val="28"/>
          <w:szCs w:val="28"/>
        </w:rPr>
        <w:t xml:space="preserve"> МРТ (вимірюваного коефіцієнта дифузії) дозволяло неінвазійно, без застосування контрастних речовин та радіаційного опромінення хворого, диференціювати НКР розміром до 4 см від інших </w:t>
      </w:r>
      <w:r>
        <w:rPr>
          <w:rFonts w:ascii="Times New Roman" w:hAnsi="Times New Roman" w:cs="Times New Roman"/>
          <w:sz w:val="28"/>
          <w:szCs w:val="28"/>
          <w:lang w:val="en-US"/>
        </w:rPr>
        <w:t>SRM</w:t>
      </w:r>
      <w:r>
        <w:rPr>
          <w:rFonts w:ascii="Times New Roman" w:hAnsi="Times New Roman" w:cs="Times New Roman"/>
          <w:sz w:val="28"/>
          <w:szCs w:val="28"/>
        </w:rPr>
        <w:t xml:space="preserve">, виявляти його гістологічні підтипи та ступені за </w:t>
      </w:r>
      <w:r>
        <w:rPr>
          <w:rFonts w:ascii="Times New Roman" w:hAnsi="Times New Roman" w:cs="Times New Roman"/>
          <w:sz w:val="28"/>
          <w:szCs w:val="28"/>
          <w:lang w:val="en-US"/>
        </w:rPr>
        <w:t>Fuhrman</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демонструючи при цьому </w:t>
      </w:r>
      <w:r w:rsidRPr="008841A7">
        <w:rPr>
          <w:rFonts w:ascii="Times New Roman" w:hAnsi="Times New Roman" w:cs="Times New Roman"/>
          <w:sz w:val="28"/>
          <w:szCs w:val="28"/>
        </w:rPr>
        <w:t xml:space="preserve">високі показники </w:t>
      </w:r>
      <w:r>
        <w:rPr>
          <w:rFonts w:ascii="Times New Roman" w:hAnsi="Times New Roman" w:cs="Times New Roman"/>
          <w:sz w:val="28"/>
          <w:szCs w:val="28"/>
        </w:rPr>
        <w:t xml:space="preserve">чутливості, специфічності та точності, які не поступались, та навіть перевищували такі при застосування біомаркерів на основі КТ. </w:t>
      </w:r>
    </w:p>
    <w:p w:rsidR="000645F1" w:rsidRDefault="000645F1" w:rsidP="000645F1">
      <w:pPr>
        <w:spacing w:line="360" w:lineRule="auto"/>
        <w:ind w:firstLine="708"/>
        <w:jc w:val="both"/>
        <w:rPr>
          <w:rFonts w:ascii="Times New Roman" w:hAnsi="Times New Roman" w:cs="Times New Roman"/>
          <w:sz w:val="28"/>
          <w:szCs w:val="28"/>
        </w:rPr>
      </w:pPr>
      <w:r w:rsidRPr="009C1DD1">
        <w:rPr>
          <w:rFonts w:ascii="Times New Roman" w:hAnsi="Times New Roman" w:cs="Times New Roman"/>
          <w:sz w:val="28"/>
          <w:szCs w:val="28"/>
        </w:rPr>
        <w:t xml:space="preserve">Для вивчення діагностичної цінності нових променевих біомаркерів у диференціації НКР при кістозних SRM нами було відібрано 156 випадків кіст </w:t>
      </w:r>
      <w:r w:rsidRPr="009C1DD1">
        <w:rPr>
          <w:rFonts w:ascii="Times New Roman" w:hAnsi="Times New Roman" w:cs="Times New Roman"/>
          <w:sz w:val="28"/>
          <w:szCs w:val="28"/>
        </w:rPr>
        <w:lastRenderedPageBreak/>
        <w:t>нирок. Для цього нами були опрацьовані історії хворіб хворих із SRM та електронні бази із результатами КТ та МРТ досліджень. Середній вік хворих складав 58,82±7,25 років (від 36 до 70 р.). Всі кісти були класифіковані за системою Bosniak за допомогою крос-секційних обстежень (</w:t>
      </w:r>
      <w:r>
        <w:rPr>
          <w:rFonts w:ascii="Times New Roman" w:hAnsi="Times New Roman" w:cs="Times New Roman"/>
          <w:sz w:val="28"/>
          <w:szCs w:val="28"/>
        </w:rPr>
        <w:t xml:space="preserve">мультифазної </w:t>
      </w:r>
      <w:r w:rsidRPr="009C1DD1">
        <w:rPr>
          <w:rFonts w:ascii="Times New Roman" w:hAnsi="Times New Roman" w:cs="Times New Roman"/>
          <w:sz w:val="28"/>
          <w:szCs w:val="28"/>
        </w:rPr>
        <w:t>КТ чи МРТ</w:t>
      </w:r>
      <w:r>
        <w:rPr>
          <w:rFonts w:ascii="Times New Roman" w:hAnsi="Times New Roman" w:cs="Times New Roman"/>
          <w:sz w:val="28"/>
          <w:szCs w:val="28"/>
        </w:rPr>
        <w:t xml:space="preserve"> із ДЗЗ</w:t>
      </w:r>
      <w:r w:rsidRPr="009C1DD1">
        <w:rPr>
          <w:rFonts w:ascii="Times New Roman" w:hAnsi="Times New Roman" w:cs="Times New Roman"/>
          <w:sz w:val="28"/>
          <w:szCs w:val="28"/>
        </w:rPr>
        <w:t xml:space="preserve">), згідно якої був виконаний розподіл на групи: кісти категорії І (n=30), кісти категорії ІІ (n=25), кісти категорії ІІF (n=21), кісти категорії ІІІ (n=31) та кісти категорії ІV (n=29). У дослідження було включено 71 (45,51%) випадків із проведеною КТ та 85 (54,49%) випадків із виконаною МРТ. </w:t>
      </w:r>
    </w:p>
    <w:p w:rsidR="000645F1" w:rsidRDefault="000645F1" w:rsidP="000645F1">
      <w:pPr>
        <w:spacing w:line="360" w:lineRule="auto"/>
        <w:ind w:firstLine="708"/>
        <w:jc w:val="both"/>
        <w:rPr>
          <w:rFonts w:ascii="Times New Roman" w:hAnsi="Times New Roman" w:cs="Times New Roman"/>
          <w:sz w:val="28"/>
          <w:szCs w:val="28"/>
        </w:rPr>
      </w:pPr>
      <w:r w:rsidRPr="00802C9D">
        <w:rPr>
          <w:rFonts w:ascii="Times New Roman" w:hAnsi="Times New Roman" w:cs="Times New Roman"/>
          <w:sz w:val="28"/>
          <w:szCs w:val="28"/>
        </w:rPr>
        <w:t>При кістах категорії ІІF у дослідження включали випадки</w:t>
      </w:r>
      <w:r>
        <w:rPr>
          <w:rFonts w:ascii="Times New Roman" w:hAnsi="Times New Roman" w:cs="Times New Roman"/>
          <w:sz w:val="28"/>
          <w:szCs w:val="28"/>
        </w:rPr>
        <w:t>,</w:t>
      </w:r>
      <w:r w:rsidRPr="00802C9D">
        <w:rPr>
          <w:rFonts w:ascii="Times New Roman" w:hAnsi="Times New Roman" w:cs="Times New Roman"/>
          <w:sz w:val="28"/>
          <w:szCs w:val="28"/>
        </w:rPr>
        <w:t xml:space="preserve"> які </w:t>
      </w:r>
      <w:r>
        <w:rPr>
          <w:rFonts w:ascii="Times New Roman" w:hAnsi="Times New Roman" w:cs="Times New Roman"/>
          <w:sz w:val="28"/>
          <w:szCs w:val="28"/>
        </w:rPr>
        <w:t xml:space="preserve">активно </w:t>
      </w:r>
      <w:r w:rsidRPr="00802C9D">
        <w:rPr>
          <w:rFonts w:ascii="Times New Roman" w:hAnsi="Times New Roman" w:cs="Times New Roman"/>
          <w:sz w:val="28"/>
          <w:szCs w:val="28"/>
        </w:rPr>
        <w:t>спостерігались протягом мінімум 1 року (середня тривалість спостереження – 1,2 р.) за допомогою крос-секційних методів обстеження із контрастуванням і у яких протягом цього часу не було виявлено променевих ознак малігнізації кісти; або кісти</w:t>
      </w:r>
      <w:r>
        <w:rPr>
          <w:rFonts w:ascii="Times New Roman" w:hAnsi="Times New Roman" w:cs="Times New Roman"/>
          <w:sz w:val="28"/>
          <w:szCs w:val="28"/>
        </w:rPr>
        <w:t>,</w:t>
      </w:r>
      <w:r w:rsidRPr="00802C9D">
        <w:rPr>
          <w:rFonts w:ascii="Times New Roman" w:hAnsi="Times New Roman" w:cs="Times New Roman"/>
          <w:sz w:val="28"/>
          <w:szCs w:val="28"/>
        </w:rPr>
        <w:t xml:space="preserve"> які впродовж періоду активного променевого спостереження за ними виявляли ознаки малігнізації (потовщення перегородок та/чи стінок, підвищене накопичення контрастних речовин в них тощо), що було показом для хірургічного лікування. Усім відібраним в дослідження хворих з ускладненими кістами нирок категорій за Bosniak ІІІ та IV було виконане хірургічне лікування. В таких випадках обов’язковою умовою включення в дослідження була наявність патоморфологічного заключення. Для контролю нами було використано референтні значення нормальної ниркової паренхіми отримані в попередній частині дослідження при проведенні КТ (n=30) чи МРТ (n=30) у осіб без ниркової патології. </w:t>
      </w:r>
      <w:r w:rsidRPr="009C1DD1">
        <w:rPr>
          <w:rFonts w:ascii="Times New Roman" w:hAnsi="Times New Roman" w:cs="Times New Roman"/>
          <w:sz w:val="28"/>
          <w:szCs w:val="28"/>
        </w:rPr>
        <w:t>За даними променевих досліджень середній розмір новоутворення у хворих із кістозним НКР складав 3,15±0,83 см і був в межах від 2,0 см до 3,98 см, а доброякісних кіст – 3,31±0,67 см (від 1,55 до 3,97 см).</w:t>
      </w:r>
      <w:r w:rsidRPr="00802C9D">
        <w:rPr>
          <w:rFonts w:ascii="Times New Roman" w:hAnsi="Times New Roman" w:cs="Times New Roman"/>
          <w:sz w:val="28"/>
          <w:szCs w:val="28"/>
        </w:rPr>
        <w:t xml:space="preserve"> В усіх 69 випадках НКР було виявлено його ко</w:t>
      </w:r>
      <w:r>
        <w:rPr>
          <w:rFonts w:ascii="Times New Roman" w:hAnsi="Times New Roman" w:cs="Times New Roman"/>
          <w:sz w:val="28"/>
          <w:szCs w:val="28"/>
        </w:rPr>
        <w:t>нвенційний гістологічний підтип.</w:t>
      </w:r>
    </w:p>
    <w:p w:rsidR="00C36617" w:rsidRDefault="009B1405" w:rsidP="000645F1">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w:t>В результат</w:t>
      </w:r>
      <w:r w:rsidR="000645F1" w:rsidRPr="009C1DD1">
        <w:rPr>
          <w:rFonts w:ascii="Times New Roman" w:hAnsi="Times New Roman" w:cs="Times New Roman"/>
          <w:noProof/>
          <w:sz w:val="28"/>
          <w:szCs w:val="28"/>
          <w:lang w:eastAsia="uk-UA"/>
        </w:rPr>
        <w:t xml:space="preserve">і дослідження було визначено, що при </w:t>
      </w:r>
      <w:r w:rsidR="000645F1">
        <w:rPr>
          <w:rFonts w:ascii="Times New Roman" w:hAnsi="Times New Roman" w:cs="Times New Roman"/>
          <w:noProof/>
          <w:sz w:val="28"/>
          <w:szCs w:val="28"/>
          <w:lang w:eastAsia="uk-UA"/>
        </w:rPr>
        <w:t xml:space="preserve">проведенні КТ та </w:t>
      </w:r>
      <w:r w:rsidR="000645F1" w:rsidRPr="009C1DD1">
        <w:rPr>
          <w:rFonts w:ascii="Times New Roman" w:hAnsi="Times New Roman" w:cs="Times New Roman"/>
          <w:noProof/>
          <w:sz w:val="28"/>
          <w:szCs w:val="28"/>
          <w:lang w:eastAsia="uk-UA"/>
        </w:rPr>
        <w:t xml:space="preserve">застосуванні ІС для диференціації </w:t>
      </w:r>
      <w:r w:rsidR="000645F1" w:rsidRPr="009C1DD1">
        <w:rPr>
          <w:rFonts w:ascii="Times New Roman" w:hAnsi="Times New Roman" w:cs="Times New Roman"/>
          <w:sz w:val="28"/>
          <w:szCs w:val="28"/>
        </w:rPr>
        <w:t>доброякісних та злоякісних кіст категорії IIF за Bosniak</w:t>
      </w:r>
      <w:r w:rsidR="000645F1">
        <w:rPr>
          <w:rFonts w:ascii="Times New Roman" w:hAnsi="Times New Roman" w:cs="Times New Roman"/>
          <w:sz w:val="28"/>
          <w:szCs w:val="28"/>
        </w:rPr>
        <w:t>,</w:t>
      </w:r>
      <w:r w:rsidR="000645F1" w:rsidRPr="009C1DD1">
        <w:rPr>
          <w:rFonts w:ascii="Times New Roman" w:hAnsi="Times New Roman" w:cs="Times New Roman"/>
          <w:sz w:val="28"/>
          <w:szCs w:val="28"/>
        </w:rPr>
        <w:t xml:space="preserve"> найкращі показники були отримані із зображень </w:t>
      </w:r>
      <w:r w:rsidR="000645F1">
        <w:rPr>
          <w:rFonts w:ascii="Times New Roman" w:hAnsi="Times New Roman" w:cs="Times New Roman"/>
          <w:sz w:val="28"/>
          <w:szCs w:val="28"/>
        </w:rPr>
        <w:t>кортико-</w:t>
      </w:r>
      <w:r w:rsidR="000645F1">
        <w:rPr>
          <w:rFonts w:ascii="Times New Roman" w:hAnsi="Times New Roman" w:cs="Times New Roman"/>
          <w:sz w:val="28"/>
          <w:szCs w:val="28"/>
        </w:rPr>
        <w:lastRenderedPageBreak/>
        <w:t>медулярної фази</w:t>
      </w:r>
      <w:r w:rsidR="000645F1" w:rsidRPr="009C1DD1">
        <w:rPr>
          <w:rFonts w:ascii="Times New Roman" w:hAnsi="Times New Roman" w:cs="Times New Roman"/>
          <w:sz w:val="28"/>
          <w:szCs w:val="28"/>
        </w:rPr>
        <w:t xml:space="preserve">: 100% чутливість,  87,5% специфічність, AUC=0,938 (95% ДІ=0,808-1,0, р=0,003) при пороговому значенні 34,81 HU. </w:t>
      </w:r>
      <w:r w:rsidR="000645F1">
        <w:rPr>
          <w:rFonts w:ascii="Times New Roman" w:hAnsi="Times New Roman" w:cs="Times New Roman"/>
          <w:sz w:val="28"/>
          <w:szCs w:val="28"/>
        </w:rPr>
        <w:t>П</w:t>
      </w:r>
      <w:r w:rsidR="000645F1" w:rsidRPr="009C1DD1">
        <w:rPr>
          <w:rFonts w:ascii="Times New Roman" w:hAnsi="Times New Roman" w:cs="Times New Roman"/>
          <w:sz w:val="28"/>
          <w:szCs w:val="28"/>
        </w:rPr>
        <w:t xml:space="preserve">ри застосуванні з цією ж метою ВПЩ, найкращі показники тесту були отриманні у поєднанні із зображеннями </w:t>
      </w:r>
      <w:r w:rsidR="000645F1">
        <w:rPr>
          <w:rFonts w:ascii="Times New Roman" w:hAnsi="Times New Roman" w:cs="Times New Roman"/>
          <w:sz w:val="28"/>
          <w:szCs w:val="28"/>
        </w:rPr>
        <w:t>екскреторної фази</w:t>
      </w:r>
      <w:r w:rsidR="000645F1" w:rsidRPr="009C1DD1">
        <w:rPr>
          <w:rFonts w:ascii="Times New Roman" w:hAnsi="Times New Roman" w:cs="Times New Roman"/>
          <w:sz w:val="28"/>
          <w:szCs w:val="28"/>
        </w:rPr>
        <w:t>: 87,5</w:t>
      </w:r>
      <w:r w:rsidR="000645F1">
        <w:rPr>
          <w:rFonts w:ascii="Times New Roman" w:hAnsi="Times New Roman" w:cs="Times New Roman"/>
          <w:sz w:val="28"/>
          <w:szCs w:val="28"/>
        </w:rPr>
        <w:t xml:space="preserve">% чутливість, </w:t>
      </w:r>
      <w:r w:rsidR="000645F1" w:rsidRPr="009C1DD1">
        <w:rPr>
          <w:rFonts w:ascii="Times New Roman" w:hAnsi="Times New Roman" w:cs="Times New Roman"/>
          <w:sz w:val="28"/>
          <w:szCs w:val="28"/>
        </w:rPr>
        <w:t>100% специфічність, AUC=0,953  (95% ДІ=0,850-1,0 , р=0,002) при граничній величині 0,40</w:t>
      </w:r>
      <w:r w:rsidR="000645F1">
        <w:rPr>
          <w:rFonts w:ascii="Times New Roman" w:hAnsi="Times New Roman" w:cs="Times New Roman"/>
          <w:sz w:val="28"/>
          <w:szCs w:val="28"/>
        </w:rPr>
        <w:t>.</w:t>
      </w:r>
      <w:r w:rsidR="000645F1" w:rsidRPr="009C1DD1">
        <w:rPr>
          <w:rFonts w:ascii="Times New Roman" w:hAnsi="Times New Roman" w:cs="Times New Roman"/>
          <w:sz w:val="28"/>
          <w:szCs w:val="28"/>
        </w:rPr>
        <w:t xml:space="preserve"> </w:t>
      </w:r>
    </w:p>
    <w:p w:rsidR="00E0498B"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випадку виконання МРТ, </w:t>
      </w:r>
      <w:r w:rsidRPr="00802C9D">
        <w:rPr>
          <w:rFonts w:ascii="Times New Roman" w:hAnsi="Times New Roman" w:cs="Times New Roman"/>
          <w:sz w:val="28"/>
          <w:szCs w:val="28"/>
        </w:rPr>
        <w:t>використання граничного значення ВКД 3,03</w:t>
      </w:r>
      <w:r w:rsidRPr="00802C9D">
        <w:rPr>
          <w:rFonts w:ascii="Times New Roman" w:hAnsi="Times New Roman" w:cs="Times New Roman"/>
          <w:bCs/>
          <w:sz w:val="28"/>
          <w:szCs w:val="28"/>
        </w:rPr>
        <w:t>×10</w:t>
      </w:r>
      <w:r w:rsidRPr="00802C9D">
        <w:rPr>
          <w:rFonts w:ascii="Times New Roman" w:hAnsi="Times New Roman" w:cs="Times New Roman"/>
          <w:bCs/>
          <w:sz w:val="28"/>
          <w:szCs w:val="28"/>
          <w:vertAlign w:val="superscript"/>
        </w:rPr>
        <w:t>−3</w:t>
      </w:r>
      <w:r w:rsidRPr="00802C9D">
        <w:rPr>
          <w:rFonts w:ascii="Times New Roman" w:hAnsi="Times New Roman" w:cs="Times New Roman"/>
          <w:bCs/>
          <w:sz w:val="28"/>
          <w:szCs w:val="28"/>
        </w:rPr>
        <w:t xml:space="preserve"> мм</w:t>
      </w:r>
      <w:r w:rsidRPr="00802C9D">
        <w:rPr>
          <w:rFonts w:ascii="Times New Roman" w:hAnsi="Times New Roman" w:cs="Times New Roman"/>
          <w:bCs/>
          <w:sz w:val="28"/>
          <w:szCs w:val="28"/>
          <w:vertAlign w:val="superscript"/>
        </w:rPr>
        <w:t>2</w:t>
      </w:r>
      <w:r w:rsidRPr="00802C9D">
        <w:rPr>
          <w:rFonts w:ascii="Times New Roman" w:hAnsi="Times New Roman" w:cs="Times New Roman"/>
          <w:bCs/>
          <w:sz w:val="28"/>
          <w:szCs w:val="28"/>
        </w:rPr>
        <w:t>/с</w:t>
      </w:r>
      <w:r w:rsidRPr="00802C9D">
        <w:rPr>
          <w:rFonts w:ascii="Times New Roman" w:hAnsi="Times New Roman" w:cs="Times New Roman"/>
          <w:sz w:val="28"/>
          <w:szCs w:val="28"/>
        </w:rPr>
        <w:t xml:space="preserve"> для диференціації доброякісних та злоякісних кіст категорії IIF за Bosniak розміром до 4 см дозволило отримати високі показники чутливості та специфічності – відповідно 93,0% та 80,0% при відмінній точності методу (AUC=0,867, 95% ДІ=0,700-1,0, р=0,002),</w:t>
      </w:r>
      <w:r>
        <w:rPr>
          <w:rFonts w:ascii="Times New Roman" w:hAnsi="Times New Roman" w:cs="Times New Roman"/>
          <w:sz w:val="28"/>
          <w:szCs w:val="28"/>
        </w:rPr>
        <w:t xml:space="preserve"> та відсутності радіаційного опромінення хворого. </w:t>
      </w:r>
      <w:r w:rsidRPr="00802C9D">
        <w:rPr>
          <w:rFonts w:ascii="Times New Roman" w:hAnsi="Times New Roman" w:cs="Times New Roman"/>
          <w:sz w:val="28"/>
          <w:szCs w:val="28"/>
        </w:rPr>
        <w:t xml:space="preserve">Водночас, як і у випадку променевих біомаркерів на основі КТ, так і </w:t>
      </w:r>
      <w:r>
        <w:rPr>
          <w:rFonts w:ascii="Times New Roman" w:hAnsi="Times New Roman" w:cs="Times New Roman"/>
          <w:sz w:val="28"/>
          <w:szCs w:val="28"/>
        </w:rPr>
        <w:t xml:space="preserve">на основі </w:t>
      </w:r>
      <w:r w:rsidRPr="00802C9D">
        <w:rPr>
          <w:rFonts w:ascii="Times New Roman" w:hAnsi="Times New Roman" w:cs="Times New Roman"/>
          <w:sz w:val="28"/>
          <w:szCs w:val="28"/>
        </w:rPr>
        <w:t xml:space="preserve">МРТ, при </w:t>
      </w:r>
      <w:r>
        <w:rPr>
          <w:rFonts w:ascii="Times New Roman" w:hAnsi="Times New Roman" w:cs="Times New Roman"/>
          <w:sz w:val="28"/>
          <w:szCs w:val="28"/>
        </w:rPr>
        <w:t xml:space="preserve">діагностиці </w:t>
      </w:r>
      <w:r w:rsidRPr="00802C9D">
        <w:rPr>
          <w:rFonts w:ascii="Times New Roman" w:hAnsi="Times New Roman" w:cs="Times New Roman"/>
          <w:sz w:val="28"/>
          <w:szCs w:val="28"/>
        </w:rPr>
        <w:t>кіст категорій ІІІ та IV за Bosniak нами не було знайдено достовірних відмінностей</w:t>
      </w:r>
      <w:r>
        <w:rPr>
          <w:rFonts w:ascii="Times New Roman" w:hAnsi="Times New Roman" w:cs="Times New Roman"/>
          <w:sz w:val="28"/>
          <w:szCs w:val="28"/>
        </w:rPr>
        <w:t xml:space="preserve"> у середніх значеннях жодного з досліджуваних параметрів</w:t>
      </w:r>
      <w:r w:rsidRPr="00802C9D">
        <w:rPr>
          <w:rFonts w:ascii="Times New Roman" w:hAnsi="Times New Roman" w:cs="Times New Roman"/>
          <w:sz w:val="28"/>
          <w:szCs w:val="28"/>
        </w:rPr>
        <w:t xml:space="preserve"> (р&gt;0,05). </w:t>
      </w:r>
    </w:p>
    <w:p w:rsidR="000645F1" w:rsidRPr="00802C9D"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можна стверджувати, що використання променевих біомаркерів на основі КТ (ІС, ВПЩ пухлини до нормальної ниркової паренхіми) та МРТ (ВКД), дозволяли проводити диференційну діагностику малих ниркових новоутворів, визначати гістологічний підтип та ступінь НКР. При цьому, застосування вимірюваного коефіцієнта дифузії дозволяло отримати еквівалентні КТ чи навіть вищі показники тесту і при цьому уникнути променевого навантаження на хворого. На основі отриманих даних нами був створений алгоритм діагностики солідного та кістозного НКР розміром до 4 см, із застосуванням новітніх променевих біомаркерів (рисунок 8.1).</w:t>
      </w:r>
    </w:p>
    <w:p w:rsidR="000645F1" w:rsidRDefault="000645F1" w:rsidP="000645F1">
      <w:pPr>
        <w:spacing w:line="360" w:lineRule="auto"/>
        <w:jc w:val="both"/>
        <w:rPr>
          <w:rFonts w:ascii="Times New Roman" w:hAnsi="Times New Roman" w:cs="Times New Roman"/>
          <w:sz w:val="28"/>
          <w:szCs w:val="28"/>
        </w:rPr>
        <w:sectPr w:rsidR="000645F1" w:rsidSect="00207AD7">
          <w:headerReference w:type="default" r:id="rId116"/>
          <w:pgSz w:w="11906" w:h="16838"/>
          <w:pgMar w:top="1134" w:right="851" w:bottom="1134" w:left="1701" w:header="708" w:footer="708" w:gutter="0"/>
          <w:cols w:space="708"/>
          <w:titlePg/>
          <w:docGrid w:linePitch="360"/>
        </w:sectPr>
      </w:pPr>
    </w:p>
    <w:p w:rsidR="000645F1" w:rsidRDefault="000645F1" w:rsidP="000645F1">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14:anchorId="537AC84B" wp14:editId="2862BFFA">
            <wp:extent cx="8629650" cy="5186082"/>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малі.jp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8639582" cy="5192051"/>
                    </a:xfrm>
                    <a:prstGeom prst="rect">
                      <a:avLst/>
                    </a:prstGeom>
                  </pic:spPr>
                </pic:pic>
              </a:graphicData>
            </a:graphic>
          </wp:inline>
        </w:drawing>
      </w:r>
    </w:p>
    <w:p w:rsidR="000645F1" w:rsidRDefault="000645F1" w:rsidP="000645F1">
      <w:pPr>
        <w:spacing w:line="360" w:lineRule="auto"/>
        <w:jc w:val="center"/>
        <w:rPr>
          <w:rFonts w:ascii="Times New Roman" w:hAnsi="Times New Roman" w:cs="Times New Roman"/>
          <w:sz w:val="28"/>
          <w:szCs w:val="28"/>
        </w:rPr>
        <w:sectPr w:rsidR="000645F1" w:rsidSect="001F0C51">
          <w:pgSz w:w="16838" w:h="11906" w:orient="landscape"/>
          <w:pgMar w:top="1701" w:right="1134" w:bottom="851" w:left="1134" w:header="709" w:footer="709" w:gutter="0"/>
          <w:cols w:space="708"/>
          <w:docGrid w:linePitch="360"/>
        </w:sectPr>
      </w:pPr>
      <w:r>
        <w:rPr>
          <w:rFonts w:ascii="Times New Roman" w:hAnsi="Times New Roman" w:cs="Times New Roman"/>
          <w:sz w:val="28"/>
          <w:szCs w:val="28"/>
        </w:rPr>
        <w:t>Рис. 8.1. Алгоритм діагностики солідного та кістозного НКР розміром до 4 см, із застосуванням новітніх променевих біомаркерів на основі КТ та МРТ</w:t>
      </w:r>
    </w:p>
    <w:p w:rsidR="000645F1" w:rsidRDefault="000645F1" w:rsidP="000645F1">
      <w:pPr>
        <w:spacing w:line="360" w:lineRule="auto"/>
        <w:ind w:firstLine="708"/>
        <w:jc w:val="both"/>
        <w:rPr>
          <w:rFonts w:ascii="Times New Roman" w:hAnsi="Times New Roman" w:cs="Times New Roman"/>
          <w:sz w:val="28"/>
          <w:szCs w:val="28"/>
        </w:rPr>
      </w:pPr>
      <w:r w:rsidRPr="00DB2303">
        <w:rPr>
          <w:rFonts w:ascii="Times New Roman" w:hAnsi="Times New Roman" w:cs="Times New Roman"/>
          <w:sz w:val="28"/>
          <w:szCs w:val="28"/>
        </w:rPr>
        <w:lastRenderedPageBreak/>
        <w:t xml:space="preserve">Для підвищення ефективності </w:t>
      </w:r>
      <w:r w:rsidRPr="00DB2303">
        <w:rPr>
          <w:rFonts w:ascii="Times New Roman" w:hAnsi="Times New Roman" w:cs="Times New Roman"/>
          <w:b/>
          <w:sz w:val="28"/>
          <w:szCs w:val="28"/>
        </w:rPr>
        <w:t xml:space="preserve">діагностики та диференціації НКР </w:t>
      </w:r>
      <w:r>
        <w:rPr>
          <w:rFonts w:ascii="Times New Roman" w:hAnsi="Times New Roman" w:cs="Times New Roman"/>
          <w:b/>
          <w:sz w:val="28"/>
          <w:szCs w:val="28"/>
        </w:rPr>
        <w:t xml:space="preserve">розміром понад 4 см </w:t>
      </w:r>
      <w:r w:rsidRPr="00DB2303">
        <w:rPr>
          <w:rFonts w:ascii="Times New Roman" w:hAnsi="Times New Roman" w:cs="Times New Roman"/>
          <w:sz w:val="28"/>
          <w:szCs w:val="28"/>
        </w:rPr>
        <w:t xml:space="preserve">та зменшення радіаційного навантаження на хворого, </w:t>
      </w:r>
      <w:r>
        <w:rPr>
          <w:rFonts w:ascii="Times New Roman" w:hAnsi="Times New Roman" w:cs="Times New Roman"/>
          <w:sz w:val="28"/>
          <w:szCs w:val="28"/>
        </w:rPr>
        <w:t xml:space="preserve">було </w:t>
      </w:r>
      <w:r w:rsidRPr="00DB2303">
        <w:rPr>
          <w:rFonts w:ascii="Times New Roman" w:hAnsi="Times New Roman" w:cs="Times New Roman"/>
          <w:sz w:val="28"/>
          <w:szCs w:val="28"/>
        </w:rPr>
        <w:t>проведено пошук нових діагностичних променевих біомаркерів.</w:t>
      </w:r>
      <w:r>
        <w:rPr>
          <w:rFonts w:ascii="Times New Roman" w:hAnsi="Times New Roman" w:cs="Times New Roman"/>
          <w:sz w:val="28"/>
          <w:szCs w:val="28"/>
        </w:rPr>
        <w:t xml:space="preserve"> </w:t>
      </w:r>
      <w:r w:rsidRPr="00DB2303">
        <w:rPr>
          <w:rFonts w:ascii="Times New Roman" w:hAnsi="Times New Roman" w:cs="Times New Roman"/>
          <w:sz w:val="28"/>
          <w:szCs w:val="28"/>
        </w:rPr>
        <w:t xml:space="preserve">В дослідження </w:t>
      </w:r>
      <w:r>
        <w:rPr>
          <w:rFonts w:ascii="Times New Roman" w:hAnsi="Times New Roman" w:cs="Times New Roman"/>
          <w:sz w:val="28"/>
          <w:szCs w:val="28"/>
        </w:rPr>
        <w:t>входили</w:t>
      </w:r>
      <w:r w:rsidRPr="00DB2303">
        <w:rPr>
          <w:rFonts w:ascii="Times New Roman" w:hAnsi="Times New Roman" w:cs="Times New Roman"/>
          <w:sz w:val="28"/>
          <w:szCs w:val="28"/>
        </w:rPr>
        <w:t xml:space="preserve"> лише випадки із верифікованими діагнозами за даними післяопераційних патоморфологічних заключень</w:t>
      </w:r>
      <w:r>
        <w:rPr>
          <w:rFonts w:ascii="Times New Roman" w:hAnsi="Times New Roman" w:cs="Times New Roman"/>
          <w:sz w:val="28"/>
          <w:szCs w:val="28"/>
        </w:rPr>
        <w:t xml:space="preserve"> (при солідних пухлинах, та кістах за </w:t>
      </w:r>
      <w:r>
        <w:rPr>
          <w:rFonts w:ascii="Times New Roman" w:hAnsi="Times New Roman" w:cs="Times New Roman"/>
          <w:sz w:val="28"/>
          <w:szCs w:val="28"/>
          <w:lang w:val="en-US"/>
        </w:rPr>
        <w:t>Bosniak</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класів </w:t>
      </w:r>
      <w:r w:rsidRPr="009E6C7E">
        <w:rPr>
          <w:rFonts w:ascii="Times New Roman" w:hAnsi="Times New Roman" w:cs="Times New Roman"/>
          <w:sz w:val="28"/>
          <w:szCs w:val="28"/>
        </w:rPr>
        <w:t xml:space="preserve">ІІІ </w:t>
      </w:r>
      <w:r>
        <w:rPr>
          <w:rFonts w:ascii="Times New Roman" w:hAnsi="Times New Roman" w:cs="Times New Roman"/>
          <w:sz w:val="28"/>
          <w:szCs w:val="28"/>
        </w:rPr>
        <w:t xml:space="preserve">та </w:t>
      </w:r>
      <w:r>
        <w:rPr>
          <w:rFonts w:ascii="Times New Roman" w:hAnsi="Times New Roman" w:cs="Times New Roman"/>
          <w:sz w:val="28"/>
          <w:szCs w:val="28"/>
          <w:lang w:val="en-US"/>
        </w:rPr>
        <w:t>IV</w:t>
      </w:r>
      <w:r>
        <w:rPr>
          <w:rFonts w:ascii="Times New Roman" w:hAnsi="Times New Roman" w:cs="Times New Roman"/>
          <w:sz w:val="28"/>
          <w:szCs w:val="28"/>
        </w:rPr>
        <w:t>)</w:t>
      </w:r>
      <w:r w:rsidRPr="00DB2303">
        <w:rPr>
          <w:rFonts w:ascii="Times New Roman" w:hAnsi="Times New Roman" w:cs="Times New Roman"/>
          <w:sz w:val="28"/>
          <w:szCs w:val="28"/>
        </w:rPr>
        <w:t xml:space="preserve">, для </w:t>
      </w:r>
      <w:r>
        <w:rPr>
          <w:rFonts w:ascii="Times New Roman" w:hAnsi="Times New Roman" w:cs="Times New Roman"/>
          <w:sz w:val="28"/>
          <w:szCs w:val="28"/>
        </w:rPr>
        <w:t>чого</w:t>
      </w:r>
      <w:r w:rsidRPr="00DB2303">
        <w:rPr>
          <w:rFonts w:ascii="Times New Roman" w:hAnsi="Times New Roman" w:cs="Times New Roman"/>
          <w:sz w:val="28"/>
          <w:szCs w:val="28"/>
        </w:rPr>
        <w:t xml:space="preserve"> були </w:t>
      </w:r>
      <w:r>
        <w:rPr>
          <w:rFonts w:ascii="Times New Roman" w:hAnsi="Times New Roman" w:cs="Times New Roman"/>
          <w:sz w:val="28"/>
          <w:szCs w:val="28"/>
        </w:rPr>
        <w:t>проаналізовані дані історій хворіб хворих</w:t>
      </w:r>
      <w:r w:rsidRPr="00DB2303">
        <w:rPr>
          <w:rFonts w:ascii="Times New Roman" w:hAnsi="Times New Roman" w:cs="Times New Roman"/>
          <w:sz w:val="28"/>
          <w:szCs w:val="28"/>
        </w:rPr>
        <w:t xml:space="preserve"> та електронні бази із результатами КТ та МРТ досліджень.</w:t>
      </w:r>
    </w:p>
    <w:p w:rsidR="000645F1" w:rsidRDefault="000645F1" w:rsidP="000645F1">
      <w:pPr>
        <w:spacing w:line="360" w:lineRule="auto"/>
        <w:ind w:firstLine="708"/>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З метою оцінки ефективності застосування новітніх променевих біомаркерів на основі КТ та МРТ, у діагностиці та диференціації солідного  та кістозного НКР, а також у визначенні гістологічних підтипів та ступенів за </w:t>
      </w:r>
      <w:r>
        <w:rPr>
          <w:rFonts w:ascii="Times New Roman" w:hAnsi="Times New Roman" w:cs="Times New Roman"/>
          <w:sz w:val="28"/>
          <w:szCs w:val="28"/>
          <w:lang w:val="en-US"/>
        </w:rPr>
        <w:t>Fuhrman</w:t>
      </w:r>
      <w:r>
        <w:rPr>
          <w:rFonts w:ascii="Times New Roman" w:hAnsi="Times New Roman" w:cs="Times New Roman"/>
          <w:sz w:val="28"/>
          <w:szCs w:val="28"/>
        </w:rPr>
        <w:t xml:space="preserve">, нами було проведення визначення, аналіз та співставлення з результатами патоморфологічних заключень, таких же показників, як і у випадку </w:t>
      </w:r>
      <w:r>
        <w:rPr>
          <w:rFonts w:ascii="Times New Roman" w:hAnsi="Times New Roman" w:cs="Times New Roman"/>
          <w:sz w:val="28"/>
          <w:szCs w:val="28"/>
          <w:lang w:val="en-US"/>
        </w:rPr>
        <w:t>SRM</w:t>
      </w:r>
      <w:r w:rsidRPr="009E6C7E">
        <w:rPr>
          <w:rFonts w:ascii="Times New Roman" w:hAnsi="Times New Roman" w:cs="Times New Roman"/>
          <w:sz w:val="28"/>
          <w:szCs w:val="28"/>
        </w:rPr>
        <w:t>:</w:t>
      </w:r>
      <w:r>
        <w:rPr>
          <w:rFonts w:ascii="Times New Roman" w:hAnsi="Times New Roman" w:cs="Times New Roman"/>
          <w:sz w:val="28"/>
          <w:szCs w:val="28"/>
        </w:rPr>
        <w:t xml:space="preserve"> при виконанні мультифазної КТ – інтенсивності сигналу пухлини (ІС) та відношення променевої щільності пухлини (ВПЩ) до нормальної ниркової паренхіми (виміряних під час кожної з фаз), та при виконанні МРТ – інтенсивності сигналу дифузійно-зважених зображень (ІС</w:t>
      </w:r>
      <w:r>
        <w:rPr>
          <w:rFonts w:ascii="Times New Roman" w:hAnsi="Times New Roman" w:cs="Times New Roman"/>
          <w:sz w:val="28"/>
          <w:szCs w:val="28"/>
          <w:vertAlign w:val="subscript"/>
        </w:rPr>
        <w:t>ДЗЗ</w:t>
      </w:r>
      <w:r w:rsidRPr="009E6C7E">
        <w:rPr>
          <w:rFonts w:ascii="Times New Roman" w:hAnsi="Times New Roman" w:cs="Times New Roman"/>
          <w:sz w:val="28"/>
          <w:szCs w:val="28"/>
        </w:rPr>
        <w:t>)</w:t>
      </w:r>
      <w:r>
        <w:rPr>
          <w:rFonts w:ascii="Times New Roman" w:hAnsi="Times New Roman" w:cs="Times New Roman"/>
          <w:sz w:val="28"/>
          <w:szCs w:val="28"/>
        </w:rPr>
        <w:t xml:space="preserve"> та вимірюваного коефіцієнта дифузії (ВКД). ДЗЗ були додатково включені до стандартного протоколу МРТ-сканування черевної порожнини та виконувались при </w:t>
      </w:r>
      <w:r>
        <w:rPr>
          <w:rFonts w:ascii="Times New Roman" w:hAnsi="Times New Roman" w:cs="Times New Roman"/>
          <w:sz w:val="28"/>
          <w:szCs w:val="28"/>
          <w:lang w:val="en-US"/>
        </w:rPr>
        <w:t>b</w:t>
      </w:r>
      <w:r>
        <w:rPr>
          <w:rFonts w:ascii="Times New Roman" w:hAnsi="Times New Roman" w:cs="Times New Roman"/>
          <w:sz w:val="28"/>
          <w:szCs w:val="28"/>
        </w:rPr>
        <w:t xml:space="preserve">-значеннях 0 та 800 </w:t>
      </w:r>
      <w:r w:rsidRPr="00807530">
        <w:rPr>
          <w:rFonts w:ascii="Times New Roman" w:hAnsi="Times New Roman" w:cs="Times New Roman"/>
          <w:sz w:val="28"/>
          <w:szCs w:val="28"/>
        </w:rPr>
        <w:t>с</w:t>
      </w:r>
      <w:r>
        <w:rPr>
          <w:rFonts w:ascii="Times New Roman" w:hAnsi="Times New Roman" w:cs="Times New Roman"/>
          <w:sz w:val="28"/>
          <w:szCs w:val="28"/>
        </w:rPr>
        <w:t>ек</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мм</w:t>
      </w:r>
      <w:r w:rsidRPr="00807530">
        <w:rPr>
          <w:rFonts w:ascii="Times New Roman" w:eastAsiaTheme="minorEastAsia" w:hAnsi="Times New Roman" w:cs="Times New Roman"/>
          <w:sz w:val="28"/>
          <w:szCs w:val="28"/>
          <w:vertAlign w:val="superscript"/>
        </w:rPr>
        <w:t>2</w:t>
      </w:r>
      <w:r>
        <w:rPr>
          <w:rFonts w:ascii="Times New Roman" w:eastAsiaTheme="minorEastAsia" w:hAnsi="Times New Roman" w:cs="Times New Roman"/>
          <w:sz w:val="28"/>
          <w:szCs w:val="28"/>
        </w:rPr>
        <w:t>.</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дослідження увійшло 244 пацієнтів із солідними новоутворами нирок: 174 (71,31%) хворих із НКР, 26 (10,66%) з ПКК ниркової миски, 44 (18,03%) із доброякісними пухлинами нирок. Середній вік хворих складав 58,86±8,25 років (від 40 до 73 р.). Гендерний розподіл пацієнтів із пухлинами нирок був наступний: 152 (62,30%) чоловіки та 92 (37,70%) жінки. Середній розмір новоутворення у хворих із НКР складав </w:t>
      </w:r>
      <w:r>
        <w:rPr>
          <w:rFonts w:ascii="Times New Roman" w:hAnsi="Times New Roman"/>
          <w:sz w:val="28"/>
          <w:szCs w:val="28"/>
        </w:rPr>
        <w:t>7,69</w:t>
      </w:r>
      <w:r>
        <w:rPr>
          <w:rFonts w:ascii="Times New Roman" w:hAnsi="Times New Roman"/>
          <w:sz w:val="28"/>
          <w:szCs w:val="28"/>
        </w:rPr>
        <w:sym w:font="Symbol" w:char="F0B1"/>
      </w:r>
      <w:r>
        <w:rPr>
          <w:rFonts w:ascii="Times New Roman" w:hAnsi="Times New Roman"/>
          <w:sz w:val="28"/>
          <w:szCs w:val="28"/>
        </w:rPr>
        <w:t xml:space="preserve">2,74 см </w:t>
      </w:r>
      <w:r>
        <w:rPr>
          <w:rFonts w:ascii="Times New Roman" w:hAnsi="Times New Roman" w:cs="Times New Roman"/>
          <w:sz w:val="28"/>
          <w:szCs w:val="28"/>
        </w:rPr>
        <w:t xml:space="preserve">у найбільшому перерізі і був в межах від </w:t>
      </w:r>
      <w:r w:rsidRPr="009E6C7E">
        <w:rPr>
          <w:rFonts w:ascii="Times New Roman" w:hAnsi="Times New Roman" w:cs="Times New Roman"/>
          <w:sz w:val="28"/>
          <w:szCs w:val="28"/>
        </w:rPr>
        <w:t>4</w:t>
      </w:r>
      <w:r>
        <w:rPr>
          <w:rFonts w:ascii="Times New Roman" w:hAnsi="Times New Roman" w:cs="Times New Roman"/>
          <w:sz w:val="28"/>
          <w:szCs w:val="28"/>
        </w:rPr>
        <w:t xml:space="preserve">,05 см до 12,95 см; при ПКК ниркової миски середній розмір пухлини становив </w:t>
      </w:r>
      <w:r>
        <w:rPr>
          <w:rFonts w:ascii="Times New Roman" w:hAnsi="Times New Roman"/>
          <w:sz w:val="28"/>
          <w:szCs w:val="28"/>
        </w:rPr>
        <w:t>5,64</w:t>
      </w:r>
      <w:r>
        <w:rPr>
          <w:rFonts w:ascii="Times New Roman" w:hAnsi="Times New Roman"/>
          <w:sz w:val="28"/>
          <w:szCs w:val="28"/>
        </w:rPr>
        <w:sym w:font="Symbol" w:char="F0B1"/>
      </w:r>
      <w:r>
        <w:rPr>
          <w:rFonts w:ascii="Times New Roman" w:hAnsi="Times New Roman"/>
          <w:sz w:val="28"/>
          <w:szCs w:val="28"/>
        </w:rPr>
        <w:t xml:space="preserve">2,43 </w:t>
      </w:r>
      <w:r>
        <w:rPr>
          <w:rFonts w:ascii="Times New Roman" w:hAnsi="Times New Roman" w:cs="Times New Roman"/>
          <w:sz w:val="28"/>
          <w:szCs w:val="28"/>
        </w:rPr>
        <w:t xml:space="preserve">см і коливався від 4,25 до 6,95 см; середній розмір доброякісних новоутворень нирок був </w:t>
      </w:r>
      <w:r>
        <w:rPr>
          <w:rFonts w:ascii="Times New Roman" w:hAnsi="Times New Roman"/>
          <w:sz w:val="28"/>
          <w:szCs w:val="28"/>
        </w:rPr>
        <w:t>6,89</w:t>
      </w:r>
      <w:r>
        <w:rPr>
          <w:rFonts w:ascii="Times New Roman" w:hAnsi="Times New Roman"/>
          <w:sz w:val="28"/>
          <w:szCs w:val="28"/>
        </w:rPr>
        <w:sym w:font="Symbol" w:char="F0B1"/>
      </w:r>
      <w:r>
        <w:rPr>
          <w:rFonts w:ascii="Times New Roman" w:hAnsi="Times New Roman"/>
          <w:sz w:val="28"/>
          <w:szCs w:val="28"/>
        </w:rPr>
        <w:t xml:space="preserve">2,41 </w:t>
      </w:r>
      <w:r>
        <w:rPr>
          <w:rFonts w:ascii="Times New Roman" w:hAnsi="Times New Roman" w:cs="Times New Roman"/>
          <w:sz w:val="28"/>
          <w:szCs w:val="28"/>
        </w:rPr>
        <w:t xml:space="preserve">см, при мінімальному та максимальних розмірах відповідно 4,15 та 8,86 см. Згідно класифікації ВООЗ </w:t>
      </w:r>
      <w:r>
        <w:rPr>
          <w:rFonts w:ascii="Times New Roman" w:hAnsi="Times New Roman" w:cs="Times New Roman"/>
          <w:sz w:val="28"/>
          <w:szCs w:val="28"/>
        </w:rPr>
        <w:lastRenderedPageBreak/>
        <w:t>від 2016 р., в усіх випадках НКР післяопераційно було визначено його гістологічний підтип:  скНКР у 114 (65,52) хворих, пНКР у 31 (17,82%) пацієнтів та хрНКР у 29 (16,67%) хворих. Папілярний НКР у 87,10% випадків був першого типу, а у 12,90% другого, у зв’язку з чим розподіл для статистичного аналізу між цими типами проведений не був. У всіх випадках конвенційного та пНКР було визначено ступінь ядерної атипії за двоступеневою класифікацією Fuhrman, згідно якої у хворих із скНКР у 58 (50,88%) випадках спостерігався низький ступінь, а у 56 (49,12%) – високий; у хворих із пНКР в 15 (48,39%) випадках було виявлено низький ступінь, та в 16 (51,61%) – високий. У всіх випадках ПКК ниркової миски був високий ступінь.</w:t>
      </w:r>
    </w:p>
    <w:p w:rsidR="000645F1" w:rsidRPr="002372E2"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Усі хворі із солідними пухлинами нирок були розподілені на наступні групи: пацієнти з НКР (n=174) – основна група; хворі із ПКК ниркової миски (n=26) – група порівняння І; пацієнти із доброякісними пухлинами нирок (n=44) – група порівняння ІІ. У якості контрольної групи були використані референтні значення променевих біомаркерів в залежності від методу обстеження – КТ (n=30) чи МРТ (n=30). Хворим із пухлинами нирок виконувались крос-секційні обстеження черевної порожнини із контрастом. У нашому дослідженні в 120 (49,18%) випадках було виконано КТ та у 124 (50,82%) випадках – МРТ.</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Найкращі показники у диференціації НКР від інших пухлин нирок </w:t>
      </w:r>
      <w:r w:rsidRPr="009E6C7E">
        <w:rPr>
          <w:rFonts w:ascii="Times New Roman" w:hAnsi="Times New Roman"/>
          <w:sz w:val="28"/>
          <w:szCs w:val="28"/>
        </w:rPr>
        <w:t>(</w:t>
      </w:r>
      <w:r>
        <w:rPr>
          <w:rFonts w:ascii="Times New Roman" w:hAnsi="Times New Roman"/>
          <w:sz w:val="28"/>
          <w:szCs w:val="28"/>
        </w:rPr>
        <w:t>включно з ПКК ниркової миски</w:t>
      </w:r>
      <w:r w:rsidRPr="009E6C7E">
        <w:rPr>
          <w:rFonts w:ascii="Times New Roman" w:hAnsi="Times New Roman"/>
          <w:sz w:val="28"/>
          <w:szCs w:val="28"/>
        </w:rPr>
        <w:t>)</w:t>
      </w:r>
      <w:r>
        <w:rPr>
          <w:rFonts w:ascii="Times New Roman" w:hAnsi="Times New Roman"/>
          <w:sz w:val="28"/>
          <w:szCs w:val="28"/>
        </w:rPr>
        <w:t xml:space="preserve"> </w:t>
      </w:r>
      <w:r>
        <w:rPr>
          <w:rFonts w:ascii="Times New Roman" w:hAnsi="Times New Roman" w:cs="Times New Roman"/>
          <w:sz w:val="28"/>
          <w:szCs w:val="28"/>
        </w:rPr>
        <w:t xml:space="preserve">серед вивчених потенційних променевих біомаркерів на основі КТ мала інтенсивність сигналу пухлини виміряна з КТ-зображень екскреторної фази: при пороговому значенні 54,80 </w:t>
      </w:r>
      <w:r>
        <w:rPr>
          <w:rFonts w:ascii="Times New Roman" w:hAnsi="Times New Roman" w:cs="Times New Roman"/>
          <w:sz w:val="28"/>
          <w:szCs w:val="28"/>
          <w:lang w:val="en-US"/>
        </w:rPr>
        <w:t>HU</w:t>
      </w:r>
      <w:r>
        <w:rPr>
          <w:rFonts w:ascii="Times New Roman" w:hAnsi="Times New Roman" w:cs="Times New Roman"/>
          <w:sz w:val="28"/>
          <w:szCs w:val="28"/>
        </w:rPr>
        <w:t xml:space="preserve"> чутливість та специфічність становили відповідно 98,8% та 69,4% (</w:t>
      </w:r>
      <w:r>
        <w:rPr>
          <w:rFonts w:ascii="Times New Roman" w:hAnsi="Times New Roman" w:cs="Times New Roman"/>
          <w:sz w:val="28"/>
          <w:szCs w:val="28"/>
          <w:lang w:val="en-US"/>
        </w:rPr>
        <w:t>AUC</w:t>
      </w:r>
      <w:r>
        <w:rPr>
          <w:rFonts w:ascii="Times New Roman" w:hAnsi="Times New Roman" w:cs="Times New Roman"/>
          <w:sz w:val="28"/>
          <w:szCs w:val="28"/>
        </w:rPr>
        <w:t>=0,844, 95% ДІ=0,746-0,942, р</w:t>
      </w:r>
      <w:r w:rsidRPr="009E6C7E">
        <w:rPr>
          <w:rFonts w:ascii="Times New Roman" w:hAnsi="Times New Roman" w:cs="Times New Roman"/>
          <w:sz w:val="28"/>
          <w:szCs w:val="28"/>
        </w:rPr>
        <w:t xml:space="preserve">&lt;0,001). </w:t>
      </w:r>
      <w:r>
        <w:rPr>
          <w:rFonts w:ascii="Times New Roman" w:hAnsi="Times New Roman" w:cs="Times New Roman"/>
          <w:sz w:val="28"/>
          <w:szCs w:val="28"/>
        </w:rPr>
        <w:t xml:space="preserve">Застосування відношення променевої щільності пухлини до нормальної ниркової паренхіми застосоване з цією ж метою поступалось у як у показнику чутливості, так і специфічності. </w:t>
      </w:r>
      <w:r>
        <w:rPr>
          <w:rFonts w:ascii="Times New Roman" w:hAnsi="Times New Roman"/>
          <w:sz w:val="28"/>
          <w:szCs w:val="28"/>
        </w:rPr>
        <w:t xml:space="preserve">При виконанні МРТ, використання вимірюваного коефіцієнта дифузії для цих же цілей демонструвало дещо нижчий показник </w:t>
      </w:r>
      <w:r>
        <w:rPr>
          <w:rFonts w:ascii="Times New Roman" w:hAnsi="Times New Roman" w:cs="Times New Roman"/>
          <w:sz w:val="28"/>
          <w:szCs w:val="28"/>
        </w:rPr>
        <w:t xml:space="preserve">чутливості при значно вищій </w:t>
      </w:r>
      <w:r>
        <w:rPr>
          <w:rFonts w:ascii="Times New Roman" w:hAnsi="Times New Roman" w:cs="Times New Roman"/>
          <w:sz w:val="28"/>
          <w:szCs w:val="28"/>
        </w:rPr>
        <w:lastRenderedPageBreak/>
        <w:t>специфічності, які становили відповідно 92,1% та 88,3% (AUC=</w:t>
      </w:r>
      <w:r>
        <w:rPr>
          <w:rFonts w:ascii="Times New Roman" w:hAnsi="Times New Roman" w:cs="Times New Roman"/>
          <w:color w:val="000000" w:themeColor="text1"/>
          <w:sz w:val="28"/>
          <w:szCs w:val="28"/>
        </w:rPr>
        <w:t>0,812, 95% ДІ=0,779-0,924, р=0,001) при пороговому значенні 1,90</w:t>
      </w:r>
      <w:r>
        <w:rPr>
          <w:rFonts w:ascii="Times New Roman" w:hAnsi="Times New Roman" w:cs="Times New Roman"/>
          <w:sz w:val="28"/>
          <w:szCs w:val="28"/>
        </w:rPr>
        <w:t>×</w:t>
      </w:r>
      <w:r>
        <w:rPr>
          <w:rFonts w:ascii="Times New Roman" w:hAnsi="Times New Roman"/>
          <w:sz w:val="28"/>
          <w:szCs w:val="28"/>
        </w:rPr>
        <w:t>10</w:t>
      </w:r>
      <w:r>
        <w:rPr>
          <w:rFonts w:ascii="Times New Roman" w:hAnsi="Times New Roman"/>
          <w:sz w:val="28"/>
          <w:szCs w:val="28"/>
          <w:vertAlign w:val="superscript"/>
        </w:rPr>
        <w:t>-3</w:t>
      </w:r>
      <w:r>
        <w:rPr>
          <w:rFonts w:ascii="Times New Roman" w:hAnsi="Times New Roman"/>
          <w:sz w:val="28"/>
          <w:szCs w:val="28"/>
        </w:rPr>
        <w:t xml:space="preserve"> мм</w:t>
      </w:r>
      <w:r>
        <w:rPr>
          <w:rFonts w:ascii="Times New Roman" w:hAnsi="Times New Roman"/>
          <w:sz w:val="28"/>
          <w:szCs w:val="28"/>
          <w:vertAlign w:val="superscript"/>
        </w:rPr>
        <w:t>2</w:t>
      </w:r>
      <w:r>
        <w:rPr>
          <w:rFonts w:ascii="Times New Roman" w:hAnsi="Times New Roman"/>
          <w:sz w:val="28"/>
          <w:szCs w:val="28"/>
        </w:rPr>
        <w:t>/с. ІС</w:t>
      </w:r>
      <w:r>
        <w:rPr>
          <w:rFonts w:ascii="Times New Roman" w:hAnsi="Times New Roman"/>
          <w:sz w:val="28"/>
          <w:szCs w:val="28"/>
          <w:vertAlign w:val="subscript"/>
        </w:rPr>
        <w:t>ДЗЗ</w:t>
      </w:r>
      <w:r w:rsidRPr="009E6C7E">
        <w:rPr>
          <w:rFonts w:ascii="Times New Roman" w:hAnsi="Times New Roman"/>
          <w:sz w:val="28"/>
          <w:szCs w:val="28"/>
          <w:vertAlign w:val="subscript"/>
        </w:rPr>
        <w:t xml:space="preserve"> </w:t>
      </w:r>
      <w:r>
        <w:rPr>
          <w:rFonts w:ascii="Times New Roman" w:hAnsi="Times New Roman"/>
          <w:sz w:val="28"/>
          <w:szCs w:val="28"/>
        </w:rPr>
        <w:t>поступалось у чутливості та специфічності двом наведеним вище променевим біомаркерам.</w:t>
      </w:r>
    </w:p>
    <w:p w:rsidR="00E0498B" w:rsidRDefault="000645F1" w:rsidP="00E0498B">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cs="Times New Roman"/>
          <w:sz w:val="28"/>
          <w:szCs w:val="24"/>
        </w:rPr>
        <w:t xml:space="preserve">Диференціація НКР від доброякісних пухлин нирок на основі даних КТ була можливою із дещо гіршими показниками, найкращі з яких були отримані при застосуванні інтенсивності сигналу пухлини виміряною на КТ-зображеннях екскреторної фази: при граничному значенні 61,84 </w:t>
      </w:r>
      <w:r>
        <w:rPr>
          <w:rFonts w:ascii="Times New Roman" w:hAnsi="Times New Roman" w:cs="Times New Roman"/>
          <w:sz w:val="28"/>
          <w:szCs w:val="24"/>
          <w:lang w:val="en-US"/>
        </w:rPr>
        <w:t>HU</w:t>
      </w:r>
      <w:r w:rsidRPr="009E6C7E">
        <w:rPr>
          <w:rFonts w:ascii="Times New Roman" w:hAnsi="Times New Roman" w:cs="Times New Roman"/>
          <w:sz w:val="28"/>
          <w:szCs w:val="24"/>
        </w:rPr>
        <w:t xml:space="preserve"> </w:t>
      </w:r>
      <w:r>
        <w:rPr>
          <w:rFonts w:ascii="Times New Roman" w:hAnsi="Times New Roman" w:cs="Times New Roman"/>
          <w:sz w:val="28"/>
          <w:szCs w:val="24"/>
        </w:rPr>
        <w:t>чутливість та специфічність складали відповідно 79,8% та 63,6% (</w:t>
      </w:r>
      <w:r>
        <w:rPr>
          <w:rFonts w:ascii="Times New Roman" w:hAnsi="Times New Roman" w:cs="Times New Roman"/>
          <w:sz w:val="28"/>
          <w:szCs w:val="24"/>
          <w:lang w:val="en-US"/>
        </w:rPr>
        <w:t>AUC</w:t>
      </w:r>
      <w:r>
        <w:rPr>
          <w:rFonts w:ascii="Times New Roman" w:hAnsi="Times New Roman" w:cs="Times New Roman"/>
          <w:sz w:val="28"/>
          <w:szCs w:val="24"/>
        </w:rPr>
        <w:t>=</w:t>
      </w:r>
      <w:r w:rsidRPr="009E6C7E">
        <w:rPr>
          <w:rFonts w:ascii="Times New Roman" w:hAnsi="Times New Roman" w:cs="Times New Roman"/>
          <w:sz w:val="28"/>
          <w:szCs w:val="24"/>
        </w:rPr>
        <w:t>0</w:t>
      </w:r>
      <w:r>
        <w:rPr>
          <w:rFonts w:ascii="Times New Roman" w:hAnsi="Times New Roman" w:cs="Times New Roman"/>
          <w:sz w:val="28"/>
          <w:szCs w:val="24"/>
        </w:rPr>
        <w:t>,745, 95% ДІ=0,599-0,891, р</w:t>
      </w:r>
      <w:r w:rsidRPr="009E6C7E">
        <w:rPr>
          <w:rFonts w:ascii="Times New Roman" w:hAnsi="Times New Roman" w:cs="Times New Roman"/>
          <w:sz w:val="28"/>
          <w:szCs w:val="24"/>
        </w:rPr>
        <w:t>&lt;</w:t>
      </w:r>
      <w:r>
        <w:rPr>
          <w:rFonts w:ascii="Times New Roman" w:hAnsi="Times New Roman" w:cs="Times New Roman"/>
          <w:sz w:val="28"/>
          <w:szCs w:val="24"/>
        </w:rPr>
        <w:t xml:space="preserve">0,001). Водночас, </w:t>
      </w:r>
      <w:r>
        <w:rPr>
          <w:rFonts w:ascii="Times New Roman" w:hAnsi="Times New Roman"/>
          <w:sz w:val="28"/>
          <w:szCs w:val="28"/>
        </w:rPr>
        <w:t>при використанні з тою ж метою ВКД магнітно-резонансної томографії, нами були отримані значно кращі показники тесту – 100% чутливість та 86,4% специфічність при граничній величині 2,0</w:t>
      </w:r>
      <w:r>
        <w:rPr>
          <w:rFonts w:ascii="Times New Roman" w:hAnsi="Times New Roman" w:cs="Times New Roman"/>
          <w:sz w:val="28"/>
          <w:szCs w:val="28"/>
        </w:rPr>
        <w:t>×</w:t>
      </w:r>
      <w:r>
        <w:rPr>
          <w:rFonts w:ascii="Times New Roman" w:hAnsi="Times New Roman"/>
          <w:sz w:val="28"/>
          <w:szCs w:val="28"/>
        </w:rPr>
        <w:t>10</w:t>
      </w:r>
      <w:r>
        <w:rPr>
          <w:rFonts w:ascii="Times New Roman" w:hAnsi="Times New Roman"/>
          <w:sz w:val="28"/>
          <w:szCs w:val="28"/>
          <w:vertAlign w:val="superscript"/>
        </w:rPr>
        <w:t>-3</w:t>
      </w:r>
      <w:r>
        <w:rPr>
          <w:rFonts w:ascii="Times New Roman" w:hAnsi="Times New Roman"/>
          <w:sz w:val="28"/>
          <w:szCs w:val="28"/>
        </w:rPr>
        <w:t xml:space="preserve"> мм</w:t>
      </w:r>
      <w:r>
        <w:rPr>
          <w:rFonts w:ascii="Times New Roman" w:hAnsi="Times New Roman"/>
          <w:sz w:val="28"/>
          <w:szCs w:val="28"/>
          <w:vertAlign w:val="superscript"/>
        </w:rPr>
        <w:t>2</w:t>
      </w:r>
      <w:r>
        <w:rPr>
          <w:rFonts w:ascii="Times New Roman" w:hAnsi="Times New Roman"/>
          <w:sz w:val="28"/>
          <w:szCs w:val="28"/>
        </w:rPr>
        <w:t>/с, або 97,8% чутливість та 90,9% специфічність при граничному значенні 1,99</w:t>
      </w:r>
      <w:r>
        <w:rPr>
          <w:rFonts w:ascii="Times New Roman" w:hAnsi="Times New Roman" w:cs="Times New Roman"/>
          <w:sz w:val="28"/>
          <w:szCs w:val="28"/>
        </w:rPr>
        <w:t>×</w:t>
      </w:r>
      <w:r>
        <w:rPr>
          <w:rFonts w:ascii="Times New Roman" w:hAnsi="Times New Roman"/>
          <w:sz w:val="28"/>
          <w:szCs w:val="28"/>
        </w:rPr>
        <w:t>10</w:t>
      </w:r>
      <w:r>
        <w:rPr>
          <w:rFonts w:ascii="Times New Roman" w:hAnsi="Times New Roman"/>
          <w:sz w:val="28"/>
          <w:szCs w:val="28"/>
          <w:vertAlign w:val="superscript"/>
        </w:rPr>
        <w:t>-3</w:t>
      </w:r>
      <w:r>
        <w:rPr>
          <w:rFonts w:ascii="Times New Roman" w:hAnsi="Times New Roman"/>
          <w:sz w:val="28"/>
          <w:szCs w:val="28"/>
        </w:rPr>
        <w:t xml:space="preserve"> мм</w:t>
      </w:r>
      <w:r>
        <w:rPr>
          <w:rFonts w:ascii="Times New Roman" w:hAnsi="Times New Roman"/>
          <w:sz w:val="28"/>
          <w:szCs w:val="28"/>
          <w:vertAlign w:val="superscript"/>
        </w:rPr>
        <w:t>2</w:t>
      </w:r>
      <w:r>
        <w:rPr>
          <w:rFonts w:ascii="Times New Roman" w:hAnsi="Times New Roman"/>
          <w:sz w:val="28"/>
          <w:szCs w:val="28"/>
        </w:rPr>
        <w:t>/с (</w:t>
      </w:r>
      <w:r>
        <w:rPr>
          <w:rFonts w:ascii="Times New Roman" w:hAnsi="Times New Roman"/>
          <w:sz w:val="28"/>
          <w:szCs w:val="28"/>
          <w:lang w:val="en-US"/>
        </w:rPr>
        <w:t>AUC</w:t>
      </w:r>
      <w:r w:rsidRPr="009E6C7E">
        <w:rPr>
          <w:rFonts w:ascii="Times New Roman" w:hAnsi="Times New Roman"/>
          <w:sz w:val="28"/>
          <w:szCs w:val="28"/>
          <w:lang w:val="ru-RU"/>
        </w:rPr>
        <w:t>=0</w:t>
      </w:r>
      <w:r>
        <w:rPr>
          <w:rFonts w:ascii="Times New Roman" w:hAnsi="Times New Roman"/>
          <w:sz w:val="28"/>
          <w:szCs w:val="28"/>
        </w:rPr>
        <w:t>,993, 95% ДІ=0,982-1,0, р</w:t>
      </w:r>
      <w:r w:rsidRPr="009E6C7E">
        <w:rPr>
          <w:rFonts w:ascii="Times New Roman" w:hAnsi="Times New Roman"/>
          <w:sz w:val="28"/>
          <w:szCs w:val="28"/>
          <w:lang w:val="ru-RU"/>
        </w:rPr>
        <w:t>&lt;</w:t>
      </w:r>
      <w:r>
        <w:rPr>
          <w:rFonts w:ascii="Times New Roman" w:hAnsi="Times New Roman"/>
          <w:sz w:val="28"/>
          <w:szCs w:val="28"/>
        </w:rPr>
        <w:t>0,001), що свідчило про високу точність.</w:t>
      </w:r>
      <w:r w:rsidRPr="008F3CF1">
        <w:rPr>
          <w:rFonts w:ascii="Times New Roman" w:hAnsi="Times New Roman"/>
          <w:sz w:val="28"/>
          <w:szCs w:val="28"/>
        </w:rPr>
        <w:t xml:space="preserve"> </w:t>
      </w:r>
      <w:r>
        <w:rPr>
          <w:rFonts w:ascii="Times New Roman" w:hAnsi="Times New Roman"/>
          <w:sz w:val="28"/>
          <w:szCs w:val="28"/>
        </w:rPr>
        <w:t>При цьому, як і раніше, ІС</w:t>
      </w:r>
      <w:r>
        <w:rPr>
          <w:rFonts w:ascii="Times New Roman" w:hAnsi="Times New Roman"/>
          <w:sz w:val="28"/>
          <w:szCs w:val="28"/>
          <w:vertAlign w:val="subscript"/>
        </w:rPr>
        <w:t>ДЗЗ</w:t>
      </w:r>
      <w:r w:rsidRPr="009E6C7E">
        <w:rPr>
          <w:rFonts w:ascii="Times New Roman" w:hAnsi="Times New Roman"/>
          <w:sz w:val="28"/>
          <w:szCs w:val="28"/>
          <w:vertAlign w:val="subscript"/>
          <w:lang w:val="ru-RU"/>
        </w:rPr>
        <w:t xml:space="preserve"> </w:t>
      </w:r>
      <w:r>
        <w:rPr>
          <w:rFonts w:ascii="Times New Roman" w:hAnsi="Times New Roman"/>
          <w:sz w:val="28"/>
          <w:szCs w:val="28"/>
        </w:rPr>
        <w:t>програвала у чутливості та специфічності цим двом показниками.</w:t>
      </w:r>
      <w:r w:rsidR="00E0498B">
        <w:rPr>
          <w:rFonts w:ascii="Times New Roman" w:hAnsi="Times New Roman"/>
          <w:sz w:val="28"/>
          <w:szCs w:val="28"/>
        </w:rPr>
        <w:t xml:space="preserve"> </w:t>
      </w:r>
    </w:p>
    <w:p w:rsidR="000645F1" w:rsidRPr="00E0498B" w:rsidRDefault="000645F1" w:rsidP="00E0498B">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cs="Times New Roman"/>
          <w:sz w:val="28"/>
          <w:szCs w:val="24"/>
        </w:rPr>
        <w:t xml:space="preserve">При диференціації конвенційного від неконвенційного НКР на основі даних КТ, були отримані відносно невисокі показники тесту, найкращі з яких спостерігались при використанні інтенсивності сигналу пухлини нефрографічної фази при пороговому значенні 79,39 </w:t>
      </w:r>
      <w:r>
        <w:rPr>
          <w:rFonts w:ascii="Times New Roman" w:hAnsi="Times New Roman" w:cs="Times New Roman"/>
          <w:sz w:val="28"/>
          <w:szCs w:val="24"/>
          <w:lang w:val="en-US"/>
        </w:rPr>
        <w:t>HU</w:t>
      </w:r>
      <w:r w:rsidRPr="009E6C7E">
        <w:rPr>
          <w:rFonts w:ascii="Times New Roman" w:hAnsi="Times New Roman" w:cs="Times New Roman"/>
          <w:sz w:val="28"/>
          <w:szCs w:val="24"/>
        </w:rPr>
        <w:t xml:space="preserve"> </w:t>
      </w:r>
      <w:r>
        <w:rPr>
          <w:rFonts w:ascii="Times New Roman" w:hAnsi="Times New Roman" w:cs="Times New Roman"/>
          <w:sz w:val="28"/>
          <w:szCs w:val="24"/>
        </w:rPr>
        <w:t>і становили відповідно 71,7% чутливість та 54,8% специфічність (</w:t>
      </w:r>
      <w:r>
        <w:rPr>
          <w:rFonts w:ascii="Times New Roman" w:hAnsi="Times New Roman" w:cs="Times New Roman"/>
          <w:sz w:val="28"/>
          <w:szCs w:val="24"/>
          <w:lang w:val="en-US"/>
        </w:rPr>
        <w:t>AUC</w:t>
      </w:r>
      <w:r w:rsidRPr="009E6C7E">
        <w:rPr>
          <w:rFonts w:ascii="Times New Roman" w:hAnsi="Times New Roman" w:cs="Times New Roman"/>
          <w:sz w:val="28"/>
          <w:szCs w:val="24"/>
        </w:rPr>
        <w:t>=</w:t>
      </w:r>
      <w:r>
        <w:rPr>
          <w:rFonts w:ascii="Times New Roman" w:hAnsi="Times New Roman" w:cs="Times New Roman"/>
          <w:sz w:val="28"/>
          <w:szCs w:val="24"/>
        </w:rPr>
        <w:t xml:space="preserve">0,718, 95% ДІ=0610-0,826, р=0,001). При застосуванні МРТ з цією ж метою, найкращі показники тесту були отримані при реєстрації ВКД пухлини: </w:t>
      </w:r>
      <w:r>
        <w:rPr>
          <w:rFonts w:ascii="Times New Roman" w:hAnsi="Times New Roman" w:cs="Times New Roman"/>
          <w:sz w:val="28"/>
          <w:szCs w:val="28"/>
        </w:rPr>
        <w:t xml:space="preserve">чутливість – 98,4%, специфічність – 93,1%, </w:t>
      </w:r>
      <w:r>
        <w:rPr>
          <w:rFonts w:ascii="Times New Roman" w:hAnsi="Times New Roman" w:cs="Times New Roman"/>
          <w:sz w:val="28"/>
          <w:szCs w:val="28"/>
          <w:lang w:val="en-US"/>
        </w:rPr>
        <w:t>AUC</w:t>
      </w:r>
      <w:r>
        <w:rPr>
          <w:rFonts w:ascii="Times New Roman" w:hAnsi="Times New Roman" w:cs="Times New Roman"/>
          <w:sz w:val="28"/>
          <w:szCs w:val="28"/>
        </w:rPr>
        <w:t>=</w:t>
      </w:r>
      <w:r w:rsidRPr="009E6C7E">
        <w:rPr>
          <w:rFonts w:ascii="Times New Roman" w:hAnsi="Times New Roman" w:cs="Times New Roman"/>
          <w:sz w:val="28"/>
          <w:szCs w:val="28"/>
        </w:rPr>
        <w:t>0,981</w:t>
      </w:r>
      <w:r>
        <w:rPr>
          <w:rFonts w:ascii="Times New Roman" w:hAnsi="Times New Roman" w:cs="Times New Roman"/>
          <w:sz w:val="28"/>
          <w:szCs w:val="28"/>
        </w:rPr>
        <w:t xml:space="preserve"> (95% ДІ=0,954-1,0, р</w:t>
      </w:r>
      <w:r w:rsidRPr="009E6C7E">
        <w:rPr>
          <w:rFonts w:ascii="Times New Roman" w:hAnsi="Times New Roman" w:cs="Times New Roman"/>
          <w:sz w:val="28"/>
          <w:szCs w:val="28"/>
        </w:rPr>
        <w:t>&lt;</w:t>
      </w:r>
      <w:r>
        <w:rPr>
          <w:rFonts w:ascii="Times New Roman" w:hAnsi="Times New Roman" w:cs="Times New Roman"/>
          <w:sz w:val="28"/>
          <w:szCs w:val="28"/>
        </w:rPr>
        <w:t>0,001) при пороговому значенні 1,63×</w:t>
      </w:r>
      <w:r>
        <w:rPr>
          <w:rFonts w:ascii="Times New Roman" w:hAnsi="Times New Roman"/>
          <w:sz w:val="28"/>
          <w:szCs w:val="28"/>
        </w:rPr>
        <w:t>10</w:t>
      </w:r>
      <w:r>
        <w:rPr>
          <w:rFonts w:ascii="Times New Roman" w:hAnsi="Times New Roman"/>
          <w:sz w:val="28"/>
          <w:szCs w:val="28"/>
          <w:vertAlign w:val="superscript"/>
        </w:rPr>
        <w:t>-3</w:t>
      </w:r>
      <w:r>
        <w:rPr>
          <w:rFonts w:ascii="Times New Roman" w:hAnsi="Times New Roman"/>
          <w:sz w:val="28"/>
          <w:szCs w:val="28"/>
        </w:rPr>
        <w:t xml:space="preserve"> мм</w:t>
      </w:r>
      <w:r>
        <w:rPr>
          <w:rFonts w:ascii="Times New Roman" w:hAnsi="Times New Roman"/>
          <w:sz w:val="28"/>
          <w:szCs w:val="28"/>
          <w:vertAlign w:val="superscript"/>
        </w:rPr>
        <w:t>2</w:t>
      </w:r>
      <w:r>
        <w:rPr>
          <w:rFonts w:ascii="Times New Roman" w:hAnsi="Times New Roman"/>
          <w:sz w:val="28"/>
          <w:szCs w:val="28"/>
        </w:rPr>
        <w:t>/с і які значно перевищували такі при КТ за відсутності радіаційного опромінення хворого.</w:t>
      </w:r>
    </w:p>
    <w:p w:rsidR="000645F1" w:rsidRPr="00294A17" w:rsidRDefault="000645F1" w:rsidP="000645F1">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cs="Times New Roman"/>
          <w:sz w:val="28"/>
          <w:szCs w:val="24"/>
        </w:rPr>
        <w:t xml:space="preserve">В той же час, для диференціації папілярного від хромофобного гістологічного підтипу НКР на основі КТ-даних, найбільш ефективною була кортико-медулярна фаза: застосування граничної величини 90,57 </w:t>
      </w:r>
      <w:r>
        <w:rPr>
          <w:rFonts w:ascii="Times New Roman" w:hAnsi="Times New Roman" w:cs="Times New Roman"/>
          <w:sz w:val="28"/>
          <w:szCs w:val="24"/>
          <w:lang w:val="en-US"/>
        </w:rPr>
        <w:t>HU</w:t>
      </w:r>
      <w:r>
        <w:rPr>
          <w:rFonts w:ascii="Times New Roman" w:hAnsi="Times New Roman" w:cs="Times New Roman"/>
          <w:sz w:val="28"/>
          <w:szCs w:val="24"/>
        </w:rPr>
        <w:t xml:space="preserve"> </w:t>
      </w:r>
      <w:r>
        <w:rPr>
          <w:rFonts w:ascii="Times New Roman" w:hAnsi="Times New Roman" w:cs="Times New Roman"/>
          <w:sz w:val="28"/>
          <w:szCs w:val="24"/>
        </w:rPr>
        <w:lastRenderedPageBreak/>
        <w:t>дозволяло отримати тест із 100% чутливістю, 73,3% специфічністю та високою точністю (</w:t>
      </w:r>
      <w:r>
        <w:rPr>
          <w:rFonts w:ascii="Times New Roman" w:hAnsi="Times New Roman" w:cs="Times New Roman"/>
          <w:sz w:val="28"/>
          <w:szCs w:val="24"/>
          <w:lang w:val="en-US"/>
        </w:rPr>
        <w:t>AUC</w:t>
      </w:r>
      <w:r w:rsidRPr="009E6C7E">
        <w:rPr>
          <w:rFonts w:ascii="Times New Roman" w:hAnsi="Times New Roman" w:cs="Times New Roman"/>
          <w:sz w:val="28"/>
          <w:szCs w:val="24"/>
        </w:rPr>
        <w:t>=</w:t>
      </w:r>
      <w:r>
        <w:rPr>
          <w:rFonts w:ascii="Times New Roman" w:hAnsi="Times New Roman" w:cs="Times New Roman"/>
          <w:sz w:val="28"/>
          <w:szCs w:val="24"/>
        </w:rPr>
        <w:t>0,983, 95% ДІ=0,946-1,0, р</w:t>
      </w:r>
      <w:r w:rsidRPr="009E6C7E">
        <w:rPr>
          <w:rFonts w:ascii="Times New Roman" w:hAnsi="Times New Roman" w:cs="Times New Roman"/>
          <w:sz w:val="28"/>
          <w:szCs w:val="24"/>
        </w:rPr>
        <w:t>&lt;</w:t>
      </w:r>
      <w:r>
        <w:rPr>
          <w:rFonts w:ascii="Times New Roman" w:hAnsi="Times New Roman" w:cs="Times New Roman"/>
          <w:sz w:val="28"/>
          <w:szCs w:val="24"/>
        </w:rPr>
        <w:t>0,001).</w:t>
      </w:r>
      <w:r w:rsidRPr="008F3CF1">
        <w:rPr>
          <w:rFonts w:ascii="Times New Roman" w:hAnsi="Times New Roman"/>
          <w:sz w:val="28"/>
          <w:szCs w:val="28"/>
        </w:rPr>
        <w:t xml:space="preserve"> </w:t>
      </w:r>
      <w:r>
        <w:rPr>
          <w:rFonts w:ascii="Times New Roman" w:hAnsi="Times New Roman"/>
          <w:sz w:val="28"/>
          <w:szCs w:val="28"/>
        </w:rPr>
        <w:t>Вирізнення папілярного НКР від хромофобного на основі МРТ-даних було можливим при застосуванні граничної величини ВКД – 1,48</w:t>
      </w:r>
      <w:r>
        <w:rPr>
          <w:rFonts w:ascii="Times New Roman" w:hAnsi="Times New Roman" w:cs="Times New Roman"/>
          <w:sz w:val="28"/>
          <w:szCs w:val="28"/>
        </w:rPr>
        <w:t>×</w:t>
      </w:r>
      <w:r>
        <w:rPr>
          <w:rFonts w:ascii="Times New Roman" w:hAnsi="Times New Roman"/>
          <w:sz w:val="28"/>
          <w:szCs w:val="28"/>
        </w:rPr>
        <w:t>10</w:t>
      </w:r>
      <w:r>
        <w:rPr>
          <w:rFonts w:ascii="Times New Roman" w:hAnsi="Times New Roman"/>
          <w:sz w:val="28"/>
          <w:szCs w:val="28"/>
          <w:vertAlign w:val="superscript"/>
        </w:rPr>
        <w:t>-3</w:t>
      </w:r>
      <w:r>
        <w:rPr>
          <w:rFonts w:ascii="Times New Roman" w:hAnsi="Times New Roman"/>
          <w:sz w:val="28"/>
          <w:szCs w:val="28"/>
        </w:rPr>
        <w:t xml:space="preserve"> мм</w:t>
      </w:r>
      <w:r>
        <w:rPr>
          <w:rFonts w:ascii="Times New Roman" w:hAnsi="Times New Roman"/>
          <w:sz w:val="28"/>
          <w:szCs w:val="28"/>
          <w:vertAlign w:val="superscript"/>
        </w:rPr>
        <w:t>2</w:t>
      </w:r>
      <w:r>
        <w:rPr>
          <w:rFonts w:ascii="Times New Roman" w:hAnsi="Times New Roman"/>
          <w:sz w:val="28"/>
          <w:szCs w:val="28"/>
        </w:rPr>
        <w:t>/с з 93,3% чутливістю та 92,9% специфічністю та високою точністю (</w:t>
      </w:r>
      <w:r>
        <w:rPr>
          <w:rFonts w:ascii="Times New Roman" w:hAnsi="Times New Roman"/>
          <w:sz w:val="28"/>
          <w:szCs w:val="28"/>
          <w:lang w:val="en-US"/>
        </w:rPr>
        <w:t>AUC</w:t>
      </w:r>
      <w:r>
        <w:rPr>
          <w:rFonts w:ascii="Times New Roman" w:hAnsi="Times New Roman"/>
          <w:sz w:val="28"/>
          <w:szCs w:val="28"/>
        </w:rPr>
        <w:t>=0,988, 95% ДІ=0,960-1,0, р</w:t>
      </w:r>
      <w:r w:rsidRPr="009E6C7E">
        <w:rPr>
          <w:rFonts w:ascii="Times New Roman" w:hAnsi="Times New Roman"/>
          <w:sz w:val="28"/>
          <w:szCs w:val="28"/>
          <w:lang w:val="ru-RU"/>
        </w:rPr>
        <w:t>&lt;</w:t>
      </w:r>
      <w:r>
        <w:rPr>
          <w:rFonts w:ascii="Times New Roman" w:hAnsi="Times New Roman"/>
          <w:sz w:val="28"/>
          <w:szCs w:val="28"/>
        </w:rPr>
        <w:t>0,001) і знову таки, без використання джерел іонізуючого випромінювання.</w:t>
      </w:r>
    </w:p>
    <w:p w:rsidR="00E0498B" w:rsidRDefault="000645F1" w:rsidP="00E0498B">
      <w:pPr>
        <w:autoSpaceDE w:val="0"/>
        <w:autoSpaceDN w:val="0"/>
        <w:adjustRightInd w:val="0"/>
        <w:spacing w:after="0" w:line="360" w:lineRule="auto"/>
        <w:jc w:val="both"/>
        <w:rPr>
          <w:rFonts w:ascii="Times New Roman" w:hAnsi="Times New Roman"/>
          <w:sz w:val="28"/>
          <w:szCs w:val="28"/>
        </w:rPr>
      </w:pPr>
      <w:r>
        <w:rPr>
          <w:rFonts w:ascii="Times New Roman" w:hAnsi="Times New Roman" w:cs="Times New Roman"/>
          <w:sz w:val="28"/>
          <w:szCs w:val="24"/>
        </w:rPr>
        <w:tab/>
        <w:t xml:space="preserve">У диференціації світлоклітинного НКР низького ступеня від високого за </w:t>
      </w:r>
      <w:r>
        <w:rPr>
          <w:rFonts w:ascii="Times New Roman" w:hAnsi="Times New Roman" w:cs="Times New Roman"/>
          <w:sz w:val="28"/>
          <w:szCs w:val="24"/>
          <w:lang w:val="en-US"/>
        </w:rPr>
        <w:t>Fuhrman</w:t>
      </w:r>
      <w:r w:rsidRPr="009E6C7E">
        <w:rPr>
          <w:rFonts w:ascii="Times New Roman" w:hAnsi="Times New Roman" w:cs="Times New Roman"/>
          <w:sz w:val="28"/>
          <w:szCs w:val="24"/>
        </w:rPr>
        <w:t xml:space="preserve"> </w:t>
      </w:r>
      <w:r>
        <w:rPr>
          <w:rFonts w:ascii="Times New Roman" w:hAnsi="Times New Roman" w:cs="Times New Roman"/>
          <w:sz w:val="28"/>
          <w:szCs w:val="24"/>
        </w:rPr>
        <w:t xml:space="preserve">на основі даних КТ, найкращі показники тесту було досягнуто за умов використання променевої щільності пухлини виміряної з КТ-зображень нефрографічної фази: при пороговому значенні 87,78 </w:t>
      </w:r>
      <w:r>
        <w:rPr>
          <w:rFonts w:ascii="Times New Roman" w:hAnsi="Times New Roman" w:cs="Times New Roman"/>
          <w:sz w:val="28"/>
          <w:szCs w:val="24"/>
          <w:lang w:val="en-US"/>
        </w:rPr>
        <w:t>HU</w:t>
      </w:r>
      <w:r w:rsidRPr="009E6C7E">
        <w:rPr>
          <w:rFonts w:ascii="Times New Roman" w:hAnsi="Times New Roman" w:cs="Times New Roman"/>
          <w:sz w:val="28"/>
          <w:szCs w:val="24"/>
        </w:rPr>
        <w:t xml:space="preserve"> </w:t>
      </w:r>
      <w:r>
        <w:rPr>
          <w:rFonts w:ascii="Times New Roman" w:hAnsi="Times New Roman" w:cs="Times New Roman"/>
          <w:sz w:val="28"/>
          <w:szCs w:val="24"/>
        </w:rPr>
        <w:t xml:space="preserve">було отримано високоточний тест: чутливість – 100%, специфічність – 90,9%, </w:t>
      </w:r>
      <w:r>
        <w:rPr>
          <w:rFonts w:ascii="Times New Roman" w:hAnsi="Times New Roman" w:cs="Times New Roman"/>
          <w:sz w:val="28"/>
          <w:szCs w:val="24"/>
          <w:lang w:val="en-US"/>
        </w:rPr>
        <w:t>AUC</w:t>
      </w:r>
      <w:r w:rsidRPr="009E6C7E">
        <w:rPr>
          <w:rFonts w:ascii="Times New Roman" w:hAnsi="Times New Roman" w:cs="Times New Roman"/>
          <w:sz w:val="28"/>
          <w:szCs w:val="24"/>
        </w:rPr>
        <w:t>=</w:t>
      </w:r>
      <w:r>
        <w:rPr>
          <w:rFonts w:ascii="Times New Roman" w:hAnsi="Times New Roman" w:cs="Times New Roman"/>
          <w:sz w:val="28"/>
          <w:szCs w:val="24"/>
        </w:rPr>
        <w:t>0,969 (95% ДІ=0,922-1,0, р</w:t>
      </w:r>
      <w:r w:rsidRPr="009E6C7E">
        <w:rPr>
          <w:rFonts w:ascii="Times New Roman" w:hAnsi="Times New Roman" w:cs="Times New Roman"/>
          <w:sz w:val="28"/>
          <w:szCs w:val="24"/>
        </w:rPr>
        <w:t>&lt;</w:t>
      </w:r>
      <w:r>
        <w:rPr>
          <w:rFonts w:ascii="Times New Roman" w:hAnsi="Times New Roman" w:cs="Times New Roman"/>
          <w:sz w:val="28"/>
          <w:szCs w:val="24"/>
        </w:rPr>
        <w:t xml:space="preserve">0,001). </w:t>
      </w:r>
      <w:r>
        <w:rPr>
          <w:rFonts w:ascii="Times New Roman" w:hAnsi="Times New Roman"/>
          <w:sz w:val="28"/>
          <w:szCs w:val="28"/>
        </w:rPr>
        <w:t xml:space="preserve">Застосування методу МРТ з цією ж метою дозволяло отримати найкращі показники тесту у разі використання ВКД: чутливість, специфічність та точність </w:t>
      </w:r>
      <w:r>
        <w:rPr>
          <w:rFonts w:ascii="Times New Roman" w:hAnsi="Times New Roman" w:cs="Times New Roman"/>
          <w:color w:val="000000" w:themeColor="text1"/>
          <w:sz w:val="28"/>
          <w:szCs w:val="28"/>
        </w:rPr>
        <w:t>складали відповідно 93,5%, 86,1% та AUC=0,892 (95% ДІ=0,796-0,983, р</w:t>
      </w:r>
      <w:r>
        <w:rPr>
          <w:rFonts w:ascii="Times New Roman" w:hAnsi="Times New Roman" w:cs="Times New Roman"/>
          <w:sz w:val="28"/>
          <w:szCs w:val="28"/>
        </w:rPr>
        <w:t xml:space="preserve">&lt;0,001) при пороговому значенні </w:t>
      </w:r>
      <w:r>
        <w:rPr>
          <w:rFonts w:ascii="Times New Roman" w:hAnsi="Times New Roman" w:cs="Times New Roman"/>
          <w:color w:val="000000" w:themeColor="text1"/>
          <w:sz w:val="28"/>
          <w:szCs w:val="28"/>
        </w:rPr>
        <w:t>1,77</w:t>
      </w:r>
      <w:r>
        <w:rPr>
          <w:rFonts w:ascii="Times New Roman" w:hAnsi="Times New Roman" w:cs="Times New Roman"/>
          <w:sz w:val="28"/>
          <w:szCs w:val="28"/>
        </w:rPr>
        <w:t>×</w:t>
      </w:r>
      <w:r>
        <w:rPr>
          <w:rFonts w:ascii="Times New Roman" w:hAnsi="Times New Roman"/>
          <w:sz w:val="28"/>
          <w:szCs w:val="28"/>
        </w:rPr>
        <w:t>10</w:t>
      </w:r>
      <w:r>
        <w:rPr>
          <w:rFonts w:ascii="Times New Roman" w:hAnsi="Times New Roman"/>
          <w:sz w:val="28"/>
          <w:szCs w:val="28"/>
          <w:vertAlign w:val="superscript"/>
        </w:rPr>
        <w:t>-3</w:t>
      </w:r>
      <w:r>
        <w:rPr>
          <w:rFonts w:ascii="Times New Roman" w:hAnsi="Times New Roman"/>
          <w:sz w:val="28"/>
          <w:szCs w:val="28"/>
        </w:rPr>
        <w:t xml:space="preserve"> мм</w:t>
      </w:r>
      <w:r>
        <w:rPr>
          <w:rFonts w:ascii="Times New Roman" w:hAnsi="Times New Roman"/>
          <w:sz w:val="28"/>
          <w:szCs w:val="28"/>
          <w:vertAlign w:val="superscript"/>
        </w:rPr>
        <w:t>2</w:t>
      </w:r>
      <w:r>
        <w:rPr>
          <w:rFonts w:ascii="Times New Roman" w:hAnsi="Times New Roman"/>
          <w:sz w:val="28"/>
          <w:szCs w:val="28"/>
        </w:rPr>
        <w:t xml:space="preserve">/с.  </w:t>
      </w:r>
    </w:p>
    <w:p w:rsidR="000645F1" w:rsidRPr="0081339D" w:rsidRDefault="000645F1" w:rsidP="00E0498B">
      <w:pPr>
        <w:autoSpaceDE w:val="0"/>
        <w:autoSpaceDN w:val="0"/>
        <w:adjustRightInd w:val="0"/>
        <w:spacing w:after="0" w:line="360" w:lineRule="auto"/>
        <w:ind w:firstLine="708"/>
        <w:jc w:val="both"/>
        <w:rPr>
          <w:rFonts w:ascii="Times New Roman" w:hAnsi="Times New Roman" w:cs="Times New Roman"/>
          <w:sz w:val="28"/>
          <w:szCs w:val="24"/>
        </w:rPr>
      </w:pPr>
      <w:r>
        <w:rPr>
          <w:rFonts w:ascii="Times New Roman" w:hAnsi="Times New Roman"/>
          <w:sz w:val="28"/>
          <w:szCs w:val="28"/>
        </w:rPr>
        <w:t>Як видно із наведених даних, ВКД дещо поступався у показниках тесту ІС, проте, дозволяв уникнути променевого навантаження на хворого.</w:t>
      </w:r>
      <w:r w:rsidR="00E0498B">
        <w:rPr>
          <w:rFonts w:ascii="Times New Roman" w:hAnsi="Times New Roman" w:cs="Times New Roman"/>
          <w:sz w:val="28"/>
          <w:szCs w:val="24"/>
        </w:rPr>
        <w:t xml:space="preserve"> </w:t>
      </w:r>
      <w:r>
        <w:rPr>
          <w:rFonts w:ascii="Times New Roman" w:hAnsi="Times New Roman" w:cs="Times New Roman"/>
          <w:sz w:val="28"/>
          <w:szCs w:val="24"/>
        </w:rPr>
        <w:t xml:space="preserve">Нам не вдалось досягнути достовірних показників тесту при застосуванні інтенсивності сигналу чи відношення променевої щільності до нормальної ниркової паренхіми виміряних при проведенні КТ для диференціації папілярного НКР низького ступеня від високого за </w:t>
      </w:r>
      <w:r>
        <w:rPr>
          <w:rFonts w:ascii="Times New Roman" w:hAnsi="Times New Roman" w:cs="Times New Roman"/>
          <w:sz w:val="28"/>
          <w:szCs w:val="24"/>
          <w:lang w:val="en-US"/>
        </w:rPr>
        <w:t>Fuhrman</w:t>
      </w:r>
      <w:r>
        <w:rPr>
          <w:rFonts w:ascii="Times New Roman" w:hAnsi="Times New Roman" w:cs="Times New Roman"/>
          <w:sz w:val="28"/>
          <w:szCs w:val="24"/>
        </w:rPr>
        <w:t xml:space="preserve">. </w:t>
      </w:r>
      <w:r>
        <w:rPr>
          <w:rFonts w:ascii="Times New Roman" w:hAnsi="Times New Roman"/>
          <w:sz w:val="28"/>
          <w:szCs w:val="28"/>
        </w:rPr>
        <w:t xml:space="preserve">Водночас, на відміну від інших вивчених потенційних променевих біомаркерів, лише застосування ВКД при солідному папілярному НКР розміром </w:t>
      </w:r>
      <w:r w:rsidRPr="009E6C7E">
        <w:rPr>
          <w:rFonts w:ascii="Times New Roman" w:hAnsi="Times New Roman"/>
          <w:sz w:val="28"/>
          <w:szCs w:val="28"/>
        </w:rPr>
        <w:t>&gt;</w:t>
      </w:r>
      <w:r>
        <w:rPr>
          <w:rFonts w:ascii="Times New Roman" w:hAnsi="Times New Roman"/>
          <w:sz w:val="28"/>
          <w:szCs w:val="28"/>
        </w:rPr>
        <w:t xml:space="preserve">4 см дозволило диференціювати </w:t>
      </w:r>
      <w:r>
        <w:rPr>
          <w:rFonts w:ascii="Times New Roman" w:hAnsi="Times New Roman" w:cs="Times New Roman"/>
          <w:color w:val="000000" w:themeColor="text1"/>
          <w:sz w:val="28"/>
          <w:szCs w:val="28"/>
        </w:rPr>
        <w:t>низький від високого ступінь за Fuhrman: при пороговому значенні 1,52</w:t>
      </w:r>
      <w:r>
        <w:rPr>
          <w:rFonts w:ascii="Times New Roman" w:hAnsi="Times New Roman" w:cs="Times New Roman"/>
          <w:sz w:val="28"/>
          <w:szCs w:val="28"/>
        </w:rPr>
        <w:t>×</w:t>
      </w:r>
      <w:r>
        <w:rPr>
          <w:rFonts w:ascii="Times New Roman" w:hAnsi="Times New Roman"/>
          <w:sz w:val="28"/>
          <w:szCs w:val="28"/>
        </w:rPr>
        <w:t>10</w:t>
      </w:r>
      <w:r>
        <w:rPr>
          <w:rFonts w:ascii="Times New Roman" w:hAnsi="Times New Roman"/>
          <w:sz w:val="28"/>
          <w:szCs w:val="28"/>
          <w:vertAlign w:val="superscript"/>
        </w:rPr>
        <w:t>-3</w:t>
      </w:r>
      <w:r>
        <w:rPr>
          <w:rFonts w:ascii="Times New Roman" w:hAnsi="Times New Roman"/>
          <w:sz w:val="28"/>
          <w:szCs w:val="28"/>
        </w:rPr>
        <w:t xml:space="preserve"> мм</w:t>
      </w:r>
      <w:r>
        <w:rPr>
          <w:rFonts w:ascii="Times New Roman" w:hAnsi="Times New Roman"/>
          <w:sz w:val="28"/>
          <w:szCs w:val="28"/>
          <w:vertAlign w:val="superscript"/>
        </w:rPr>
        <w:t>2</w:t>
      </w:r>
      <w:r>
        <w:rPr>
          <w:rFonts w:ascii="Times New Roman" w:hAnsi="Times New Roman"/>
          <w:sz w:val="28"/>
          <w:szCs w:val="28"/>
        </w:rPr>
        <w:t>/с ми отримали 76,7% чутливість та 98% специфічність (</w:t>
      </w:r>
      <w:r>
        <w:rPr>
          <w:rFonts w:ascii="Times New Roman" w:hAnsi="Times New Roman"/>
          <w:sz w:val="28"/>
          <w:szCs w:val="28"/>
          <w:lang w:val="en-US"/>
        </w:rPr>
        <w:t>AUC</w:t>
      </w:r>
      <w:r w:rsidRPr="009E6C7E">
        <w:rPr>
          <w:rFonts w:ascii="Times New Roman" w:hAnsi="Times New Roman"/>
          <w:sz w:val="28"/>
          <w:szCs w:val="28"/>
        </w:rPr>
        <w:t>=</w:t>
      </w:r>
      <w:r>
        <w:rPr>
          <w:rFonts w:ascii="Times New Roman" w:hAnsi="Times New Roman"/>
          <w:sz w:val="28"/>
          <w:szCs w:val="28"/>
        </w:rPr>
        <w:t xml:space="preserve">0,711, 95% ДІ= </w:t>
      </w:r>
      <w:r w:rsidRPr="009E6C7E">
        <w:rPr>
          <w:rFonts w:ascii="Times New Roman" w:hAnsi="Times New Roman"/>
          <w:sz w:val="28"/>
          <w:szCs w:val="28"/>
        </w:rPr>
        <w:t>0,674-</w:t>
      </w:r>
      <w:r>
        <w:rPr>
          <w:rFonts w:ascii="Times New Roman" w:hAnsi="Times New Roman"/>
          <w:sz w:val="28"/>
          <w:szCs w:val="28"/>
        </w:rPr>
        <w:t>0,896, р=0,046).</w:t>
      </w:r>
    </w:p>
    <w:p w:rsidR="000645F1" w:rsidRPr="0081339D" w:rsidRDefault="000645F1" w:rsidP="000645F1">
      <w:pPr>
        <w:autoSpaceDE w:val="0"/>
        <w:autoSpaceDN w:val="0"/>
        <w:adjustRightInd w:val="0"/>
        <w:spacing w:after="0" w:line="360" w:lineRule="auto"/>
        <w:ind w:firstLine="708"/>
        <w:jc w:val="both"/>
        <w:rPr>
          <w:rFonts w:ascii="Times New Roman" w:hAnsi="Times New Roman"/>
          <w:sz w:val="28"/>
          <w:szCs w:val="28"/>
        </w:rPr>
      </w:pPr>
      <w:r>
        <w:rPr>
          <w:rFonts w:ascii="Times New Roman" w:hAnsi="Times New Roman"/>
          <w:sz w:val="28"/>
          <w:szCs w:val="28"/>
        </w:rPr>
        <w:t>Окрім цього, важливим було те, що диференціація метастатично уражених регіональних лімфатичних вузлів при НКР від неуражених, за допомогою ВКД демонструвала при граничній величині 1,09</w:t>
      </w:r>
      <w:r>
        <w:rPr>
          <w:rFonts w:ascii="Times New Roman" w:hAnsi="Times New Roman" w:cs="Times New Roman"/>
          <w:sz w:val="28"/>
          <w:szCs w:val="28"/>
        </w:rPr>
        <w:t>×</w:t>
      </w:r>
      <w:r>
        <w:rPr>
          <w:rFonts w:ascii="Times New Roman" w:hAnsi="Times New Roman"/>
          <w:sz w:val="28"/>
          <w:szCs w:val="28"/>
        </w:rPr>
        <w:t>10</w:t>
      </w:r>
      <w:r>
        <w:rPr>
          <w:rFonts w:ascii="Times New Roman" w:hAnsi="Times New Roman"/>
          <w:sz w:val="28"/>
          <w:szCs w:val="28"/>
          <w:vertAlign w:val="superscript"/>
        </w:rPr>
        <w:t>-3</w:t>
      </w:r>
      <w:r>
        <w:rPr>
          <w:rFonts w:ascii="Times New Roman" w:hAnsi="Times New Roman"/>
          <w:sz w:val="28"/>
          <w:szCs w:val="28"/>
        </w:rPr>
        <w:t xml:space="preserve"> мм</w:t>
      </w:r>
      <w:r>
        <w:rPr>
          <w:rFonts w:ascii="Times New Roman" w:hAnsi="Times New Roman"/>
          <w:sz w:val="28"/>
          <w:szCs w:val="28"/>
          <w:vertAlign w:val="superscript"/>
        </w:rPr>
        <w:t>2</w:t>
      </w:r>
      <w:r>
        <w:rPr>
          <w:rFonts w:ascii="Times New Roman" w:hAnsi="Times New Roman"/>
          <w:sz w:val="28"/>
          <w:szCs w:val="28"/>
        </w:rPr>
        <w:t xml:space="preserve">/с </w:t>
      </w:r>
      <w:r>
        <w:rPr>
          <w:rFonts w:ascii="Times New Roman" w:hAnsi="Times New Roman"/>
          <w:sz w:val="28"/>
          <w:szCs w:val="28"/>
        </w:rPr>
        <w:lastRenderedPageBreak/>
        <w:t>чутливість – 92,9% та специфічність – 82,4% (</w:t>
      </w:r>
      <w:r>
        <w:rPr>
          <w:rFonts w:ascii="Times New Roman" w:hAnsi="Times New Roman"/>
          <w:sz w:val="28"/>
          <w:szCs w:val="28"/>
          <w:lang w:val="en-US"/>
        </w:rPr>
        <w:t>AUC</w:t>
      </w:r>
      <w:r w:rsidRPr="009E6C7E">
        <w:rPr>
          <w:rFonts w:ascii="Times New Roman" w:hAnsi="Times New Roman"/>
          <w:sz w:val="28"/>
          <w:szCs w:val="28"/>
          <w:lang w:val="ru-RU"/>
        </w:rPr>
        <w:t>=0,950</w:t>
      </w:r>
      <w:r>
        <w:rPr>
          <w:rFonts w:ascii="Times New Roman" w:hAnsi="Times New Roman"/>
          <w:sz w:val="28"/>
          <w:szCs w:val="28"/>
        </w:rPr>
        <w:t>, 95% ДІ=</w:t>
      </w:r>
      <w:r w:rsidRPr="009E6C7E">
        <w:rPr>
          <w:rFonts w:ascii="Times New Roman" w:hAnsi="Times New Roman"/>
          <w:sz w:val="28"/>
          <w:szCs w:val="28"/>
          <w:lang w:val="ru-RU"/>
        </w:rPr>
        <w:t>0</w:t>
      </w:r>
      <w:r>
        <w:rPr>
          <w:rFonts w:ascii="Times New Roman" w:hAnsi="Times New Roman"/>
          <w:sz w:val="28"/>
          <w:szCs w:val="28"/>
        </w:rPr>
        <w:t>,881-0,988, р</w:t>
      </w:r>
      <w:r w:rsidRPr="009E6C7E">
        <w:rPr>
          <w:rFonts w:ascii="Times New Roman" w:hAnsi="Times New Roman"/>
          <w:sz w:val="28"/>
          <w:szCs w:val="28"/>
          <w:lang w:val="ru-RU"/>
        </w:rPr>
        <w:t>&lt;</w:t>
      </w:r>
      <w:r>
        <w:rPr>
          <w:rFonts w:ascii="Times New Roman" w:hAnsi="Times New Roman"/>
          <w:sz w:val="28"/>
          <w:szCs w:val="28"/>
        </w:rPr>
        <w:t>0,001). Застосування з цією ж метою потенційних променевих біомаркерів на основ</w:t>
      </w:r>
      <w:r w:rsidR="004266DE">
        <w:rPr>
          <w:rFonts w:ascii="Times New Roman" w:hAnsi="Times New Roman"/>
          <w:sz w:val="28"/>
          <w:szCs w:val="28"/>
        </w:rPr>
        <w:t>і</w:t>
      </w:r>
      <w:r>
        <w:rPr>
          <w:rFonts w:ascii="Times New Roman" w:hAnsi="Times New Roman"/>
          <w:sz w:val="28"/>
          <w:szCs w:val="28"/>
        </w:rPr>
        <w:t xml:space="preserve"> КТ-даних не дозволяло отримати достатньо точного тесту.</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дослідження ефективності застосування новітніх променевих біомаркерів у диференціації кістозного НКР розміром понад 4 см, увійшло 152 випадки кіст нирок. З цією метою нами були опрацьовані історії хворіб хворих із кістами нирок та електронні бази із даними КТ та МРТ досліджень. Середній вік хворих складав 57,16±7,57 років (від 37 до 68 р.). Гендерний розподіл пацієнтів із кістами нирок був наступний: 88 (57,89%) чоловіків та 64 (42,11%) жінки. Середній розмір новоутворення був 5,34±3,43 см (від 4,02 до 11,62 см) Усім хворим проводилось крос-секційне обстеження черевної порожнини. В дослідження включались лише хворі, яким при виконанні КТ внутрішньовенно вводився контраст, що при простих кістах нирок проводилось у сумнівних з радіологічної точки зору випадках. Для хворих, яким виконували МРТ при простих кістах (Bosniak 1 та 2) це не було обов’язковою умовою. </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Всі випадки кіст були класифіковані за системою Bosniak на основі даних КТ чи МРТ, згідно якої був виконаний наступний розподіл на групи: кісти категорії І (n=21), кісти категорії ІІ (n=23), кісти категорії ІІF (n=45), кісти категорії ІІІ (n=32) та кісти категорії ІV (n=31). Усім відібраним в дослідження хворих з ускладненими кістами нирок категорій за Bosniak ІІІ та IV було виконане хірургічне лікування із подальшим патоморфологічним аналізом. Для контролю нами було використано референтні значення нормальної ниркової паренхіми отримані при вивченні променевих біомаркерів при малих ниркових новоутвореннях та проведенні КТ (n=30) чи МРТ (n=30) у осіб без ниркової патології.</w:t>
      </w:r>
    </w:p>
    <w:p w:rsidR="00E0498B"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w:t>
      </w:r>
      <w:r>
        <w:rPr>
          <w:rFonts w:ascii="Times New Roman" w:hAnsi="Times New Roman" w:cs="Times New Roman"/>
          <w:noProof/>
          <w:sz w:val="28"/>
          <w:szCs w:val="28"/>
          <w:lang w:eastAsia="uk-UA"/>
        </w:rPr>
        <w:t xml:space="preserve">диференціації </w:t>
      </w:r>
      <w:r>
        <w:rPr>
          <w:rFonts w:ascii="Times New Roman" w:hAnsi="Times New Roman" w:cs="Times New Roman"/>
          <w:sz w:val="28"/>
          <w:szCs w:val="28"/>
        </w:rPr>
        <w:t>доброякісних та злоякісних кіст категорії IIF за Bosniak на основі КТ-даних,</w:t>
      </w:r>
      <w:r w:rsidRPr="00975B7F">
        <w:rPr>
          <w:rFonts w:ascii="Times New Roman" w:hAnsi="Times New Roman" w:cs="Times New Roman"/>
          <w:sz w:val="28"/>
          <w:szCs w:val="28"/>
        </w:rPr>
        <w:t xml:space="preserve"> </w:t>
      </w:r>
      <w:r>
        <w:rPr>
          <w:rFonts w:ascii="Times New Roman" w:hAnsi="Times New Roman" w:cs="Times New Roman"/>
          <w:sz w:val="28"/>
          <w:szCs w:val="28"/>
        </w:rPr>
        <w:t>найкращі показники чутливості та специфічності були отримані при</w:t>
      </w:r>
      <w:r>
        <w:t xml:space="preserve"> </w:t>
      </w:r>
      <w:r>
        <w:rPr>
          <w:rFonts w:ascii="Times New Roman" w:hAnsi="Times New Roman" w:cs="Times New Roman"/>
          <w:sz w:val="28"/>
          <w:szCs w:val="28"/>
        </w:rPr>
        <w:t xml:space="preserve">застосуванні відношення променевої щільності кісти до </w:t>
      </w:r>
      <w:r>
        <w:rPr>
          <w:rFonts w:ascii="Times New Roman" w:hAnsi="Times New Roman" w:cs="Times New Roman"/>
          <w:sz w:val="28"/>
          <w:szCs w:val="28"/>
        </w:rPr>
        <w:lastRenderedPageBreak/>
        <w:t xml:space="preserve">нормальної ниркової паренхіми зображень екскреторної фази, і які становили при граничному значенні 0,40, відповідно 88,9% та 100%, а точність становила </w:t>
      </w:r>
      <w:r>
        <w:rPr>
          <w:rFonts w:ascii="Times New Roman" w:hAnsi="Times New Roman" w:cs="Times New Roman"/>
          <w:sz w:val="28"/>
          <w:szCs w:val="28"/>
          <w:lang w:val="en-US"/>
        </w:rPr>
        <w:t>AUC</w:t>
      </w:r>
      <w:r w:rsidRPr="009E6C7E">
        <w:rPr>
          <w:rFonts w:ascii="Times New Roman" w:hAnsi="Times New Roman" w:cs="Times New Roman"/>
          <w:sz w:val="28"/>
          <w:szCs w:val="28"/>
        </w:rPr>
        <w:t>=</w:t>
      </w:r>
      <w:r>
        <w:rPr>
          <w:rFonts w:ascii="Times New Roman" w:hAnsi="Times New Roman" w:cs="Times New Roman"/>
          <w:sz w:val="28"/>
          <w:szCs w:val="28"/>
        </w:rPr>
        <w:t>0,951 (95% ДІ=0,847-1,0, р=0,001). Водночас, використання граничного значення ВКД 3,03</w:t>
      </w:r>
      <w:r>
        <w:rPr>
          <w:rFonts w:ascii="Times New Roman" w:hAnsi="Times New Roman" w:cs="Times New Roman"/>
          <w:bCs/>
          <w:sz w:val="28"/>
          <w:szCs w:val="28"/>
        </w:rPr>
        <w:t>×10</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мм</w:t>
      </w:r>
      <w:r>
        <w:rPr>
          <w:rFonts w:ascii="Times New Roman" w:hAnsi="Times New Roman" w:cs="Times New Roman"/>
          <w:bCs/>
          <w:sz w:val="28"/>
          <w:szCs w:val="28"/>
          <w:vertAlign w:val="superscript"/>
        </w:rPr>
        <w:t>2</w:t>
      </w:r>
      <w:r>
        <w:rPr>
          <w:rFonts w:ascii="Times New Roman" w:hAnsi="Times New Roman" w:cs="Times New Roman"/>
          <w:bCs/>
          <w:sz w:val="28"/>
          <w:szCs w:val="28"/>
        </w:rPr>
        <w:t>/с</w:t>
      </w:r>
      <w:r>
        <w:rPr>
          <w:rFonts w:ascii="Times New Roman" w:hAnsi="Times New Roman" w:cs="Times New Roman"/>
          <w:sz w:val="28"/>
          <w:szCs w:val="28"/>
        </w:rPr>
        <w:t xml:space="preserve">  для диференціації доброякісних та злоякісних кіст категорії IIF за Bosniak розміром понад 4 см дозволило отримати значно кращі показники чутливості та специфічності – відповідно 90,9% та 93,7% при високій точності методу (AUC=0,920, 95% ДІ=0,808-1,0, р</w:t>
      </w:r>
      <w:r w:rsidRPr="009E6C7E">
        <w:rPr>
          <w:rFonts w:ascii="Times New Roman" w:hAnsi="Times New Roman" w:cs="Times New Roman"/>
          <w:sz w:val="28"/>
          <w:szCs w:val="28"/>
        </w:rPr>
        <w:t>&lt;</w:t>
      </w:r>
      <w:r w:rsidR="00E0498B">
        <w:rPr>
          <w:rFonts w:ascii="Times New Roman" w:hAnsi="Times New Roman" w:cs="Times New Roman"/>
          <w:sz w:val="28"/>
          <w:szCs w:val="28"/>
        </w:rPr>
        <w:t>0,001).</w:t>
      </w:r>
      <w:r>
        <w:rPr>
          <w:rFonts w:ascii="Times New Roman" w:hAnsi="Times New Roman" w:cs="Times New Roman"/>
          <w:sz w:val="28"/>
          <w:szCs w:val="28"/>
        </w:rPr>
        <w:t xml:space="preserve"> </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 час </w:t>
      </w:r>
      <w:r>
        <w:rPr>
          <w:rFonts w:ascii="Times New Roman" w:hAnsi="Times New Roman" w:cs="Times New Roman"/>
          <w:noProof/>
          <w:sz w:val="28"/>
          <w:szCs w:val="28"/>
          <w:lang w:eastAsia="uk-UA"/>
        </w:rPr>
        <w:t xml:space="preserve">диференційної діагностики </w:t>
      </w:r>
      <w:r>
        <w:rPr>
          <w:rFonts w:ascii="Times New Roman" w:hAnsi="Times New Roman" w:cs="Times New Roman"/>
          <w:sz w:val="28"/>
          <w:szCs w:val="28"/>
        </w:rPr>
        <w:t xml:space="preserve">доброякісних та злоякісних кіст категорій ІІІ та </w:t>
      </w:r>
      <w:r>
        <w:rPr>
          <w:rFonts w:ascii="Times New Roman" w:hAnsi="Times New Roman" w:cs="Times New Roman"/>
          <w:sz w:val="28"/>
          <w:szCs w:val="28"/>
          <w:lang w:val="en-US"/>
        </w:rPr>
        <w:t>IV</w:t>
      </w:r>
      <w:r w:rsidRPr="00966E9A">
        <w:rPr>
          <w:rFonts w:ascii="Times New Roman" w:hAnsi="Times New Roman" w:cs="Times New Roman"/>
          <w:sz w:val="28"/>
          <w:szCs w:val="28"/>
        </w:rPr>
        <w:t xml:space="preserve"> </w:t>
      </w:r>
      <w:r>
        <w:rPr>
          <w:rFonts w:ascii="Times New Roman" w:hAnsi="Times New Roman" w:cs="Times New Roman"/>
          <w:sz w:val="28"/>
          <w:szCs w:val="28"/>
        </w:rPr>
        <w:t xml:space="preserve">за Bosniak на основі даних КТ, найкращі показники тесту були отримані при вимірюванні ІС </w:t>
      </w:r>
      <w:r w:rsidR="006C5571">
        <w:rPr>
          <w:rFonts w:ascii="Times New Roman" w:hAnsi="Times New Roman" w:cs="Times New Roman"/>
          <w:sz w:val="28"/>
          <w:szCs w:val="28"/>
        </w:rPr>
        <w:t>тканинного елементу новоутворення</w:t>
      </w:r>
      <w:r>
        <w:rPr>
          <w:rFonts w:ascii="Times New Roman" w:hAnsi="Times New Roman" w:cs="Times New Roman"/>
          <w:sz w:val="28"/>
          <w:szCs w:val="28"/>
        </w:rPr>
        <w:t xml:space="preserve"> на зображеннях екскреторної фази: застосування граничного значення 59,75 </w:t>
      </w:r>
      <w:r>
        <w:rPr>
          <w:rFonts w:ascii="Times New Roman" w:hAnsi="Times New Roman" w:cs="Times New Roman"/>
          <w:sz w:val="28"/>
          <w:szCs w:val="28"/>
          <w:lang w:val="en-US"/>
        </w:rPr>
        <w:t>HU</w:t>
      </w:r>
      <w:r>
        <w:rPr>
          <w:rFonts w:ascii="Times New Roman" w:hAnsi="Times New Roman" w:cs="Times New Roman"/>
          <w:sz w:val="28"/>
          <w:szCs w:val="28"/>
        </w:rPr>
        <w:t xml:space="preserve">  дозволило </w:t>
      </w:r>
      <w:r w:rsidR="00DF61CD">
        <w:rPr>
          <w:rFonts w:ascii="Times New Roman" w:hAnsi="Times New Roman" w:cs="Times New Roman"/>
          <w:sz w:val="28"/>
          <w:szCs w:val="28"/>
        </w:rPr>
        <w:t>розрізняти</w:t>
      </w:r>
      <w:r>
        <w:rPr>
          <w:rFonts w:ascii="Times New Roman" w:hAnsi="Times New Roman" w:cs="Times New Roman"/>
          <w:sz w:val="28"/>
          <w:szCs w:val="28"/>
        </w:rPr>
        <w:t xml:space="preserve"> злоякісні </w:t>
      </w:r>
      <w:r w:rsidR="006C5571">
        <w:rPr>
          <w:rFonts w:ascii="Times New Roman" w:hAnsi="Times New Roman" w:cs="Times New Roman"/>
          <w:sz w:val="28"/>
          <w:szCs w:val="28"/>
        </w:rPr>
        <w:t>кісти</w:t>
      </w:r>
      <w:r>
        <w:rPr>
          <w:rFonts w:ascii="Times New Roman" w:hAnsi="Times New Roman" w:cs="Times New Roman"/>
          <w:sz w:val="28"/>
          <w:szCs w:val="28"/>
        </w:rPr>
        <w:t xml:space="preserve"> від доброякісних із 88,5% чутливістю та 60</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специфічністю </w:t>
      </w:r>
      <w:r w:rsidRPr="009E6C7E">
        <w:rPr>
          <w:rFonts w:ascii="Times New Roman" w:hAnsi="Times New Roman" w:cs="Times New Roman"/>
          <w:sz w:val="28"/>
          <w:szCs w:val="28"/>
        </w:rPr>
        <w:t>(</w:t>
      </w:r>
      <w:r>
        <w:rPr>
          <w:rFonts w:ascii="Times New Roman" w:hAnsi="Times New Roman" w:cs="Times New Roman"/>
          <w:sz w:val="28"/>
          <w:szCs w:val="28"/>
          <w:lang w:val="en-US"/>
        </w:rPr>
        <w:t>AUC</w:t>
      </w:r>
      <w:r w:rsidRPr="009E6C7E">
        <w:rPr>
          <w:rFonts w:ascii="Times New Roman" w:hAnsi="Times New Roman" w:cs="Times New Roman"/>
          <w:sz w:val="28"/>
          <w:szCs w:val="28"/>
        </w:rPr>
        <w:t>=0,762</w:t>
      </w:r>
      <w:r>
        <w:rPr>
          <w:rFonts w:ascii="Times New Roman" w:hAnsi="Times New Roman" w:cs="Times New Roman"/>
          <w:sz w:val="28"/>
          <w:szCs w:val="28"/>
        </w:rPr>
        <w:t>, 95% ДІ=0,486-0,998, р=0,049)</w:t>
      </w:r>
      <w:r w:rsidRPr="009E6C7E">
        <w:rPr>
          <w:rFonts w:ascii="Times New Roman" w:hAnsi="Times New Roman" w:cs="Times New Roman"/>
          <w:sz w:val="28"/>
          <w:szCs w:val="28"/>
        </w:rPr>
        <w:t>.</w:t>
      </w:r>
      <w:r>
        <w:rPr>
          <w:rFonts w:ascii="Times New Roman" w:hAnsi="Times New Roman" w:cs="Times New Roman"/>
          <w:sz w:val="28"/>
          <w:szCs w:val="28"/>
        </w:rPr>
        <w:t xml:space="preserve"> В той же час, застосування граничного значення ВКД тканинного елементу кісти ІІІ чи </w:t>
      </w:r>
      <w:r>
        <w:rPr>
          <w:rFonts w:ascii="Times New Roman" w:hAnsi="Times New Roman" w:cs="Times New Roman"/>
          <w:sz w:val="28"/>
          <w:szCs w:val="28"/>
          <w:lang w:val="en-US"/>
        </w:rPr>
        <w:t>IV</w:t>
      </w:r>
      <w:r w:rsidRPr="009E6C7E">
        <w:rPr>
          <w:rFonts w:ascii="Times New Roman" w:hAnsi="Times New Roman" w:cs="Times New Roman"/>
          <w:sz w:val="28"/>
          <w:szCs w:val="28"/>
        </w:rPr>
        <w:t xml:space="preserve"> </w:t>
      </w:r>
      <w:r>
        <w:rPr>
          <w:rFonts w:ascii="Times New Roman" w:hAnsi="Times New Roman" w:cs="Times New Roman"/>
          <w:sz w:val="28"/>
          <w:szCs w:val="28"/>
        </w:rPr>
        <w:t>класу – 2,02</w:t>
      </w:r>
      <w:r>
        <w:rPr>
          <w:rFonts w:ascii="Times New Roman" w:hAnsi="Times New Roman" w:cs="Times New Roman"/>
          <w:bCs/>
          <w:sz w:val="28"/>
          <w:szCs w:val="28"/>
        </w:rPr>
        <w:t>×10</w:t>
      </w:r>
      <w:r>
        <w:rPr>
          <w:rFonts w:ascii="Times New Roman" w:hAnsi="Times New Roman" w:cs="Times New Roman"/>
          <w:bCs/>
          <w:sz w:val="28"/>
          <w:szCs w:val="28"/>
          <w:vertAlign w:val="superscript"/>
        </w:rPr>
        <w:t>−3</w:t>
      </w:r>
      <w:r>
        <w:rPr>
          <w:rFonts w:ascii="Times New Roman" w:hAnsi="Times New Roman" w:cs="Times New Roman"/>
          <w:bCs/>
          <w:sz w:val="28"/>
          <w:szCs w:val="28"/>
        </w:rPr>
        <w:t xml:space="preserve"> мм</w:t>
      </w:r>
      <w:r>
        <w:rPr>
          <w:rFonts w:ascii="Times New Roman" w:hAnsi="Times New Roman" w:cs="Times New Roman"/>
          <w:bCs/>
          <w:sz w:val="28"/>
          <w:szCs w:val="28"/>
          <w:vertAlign w:val="superscript"/>
        </w:rPr>
        <w:t>2</w:t>
      </w:r>
      <w:r>
        <w:rPr>
          <w:rFonts w:ascii="Times New Roman" w:hAnsi="Times New Roman" w:cs="Times New Roman"/>
          <w:bCs/>
          <w:sz w:val="28"/>
          <w:szCs w:val="28"/>
        </w:rPr>
        <w:t>/с</w:t>
      </w:r>
      <w:r>
        <w:rPr>
          <w:rFonts w:ascii="Times New Roman" w:hAnsi="Times New Roman" w:cs="Times New Roman"/>
          <w:sz w:val="28"/>
          <w:szCs w:val="28"/>
        </w:rPr>
        <w:t>,  дозволило диференціювати злоякісні новоутворення від доброякісних із 100% чутливістю та 80</w:t>
      </w:r>
      <w:r w:rsidRPr="009E6C7E">
        <w:rPr>
          <w:rFonts w:ascii="Times New Roman" w:hAnsi="Times New Roman" w:cs="Times New Roman"/>
          <w:sz w:val="28"/>
          <w:szCs w:val="28"/>
        </w:rPr>
        <w:t xml:space="preserve">% </w:t>
      </w:r>
      <w:r>
        <w:rPr>
          <w:rFonts w:ascii="Times New Roman" w:hAnsi="Times New Roman" w:cs="Times New Roman"/>
          <w:sz w:val="28"/>
          <w:szCs w:val="28"/>
        </w:rPr>
        <w:t xml:space="preserve">специфічністю </w:t>
      </w:r>
      <w:r w:rsidRPr="009E6C7E">
        <w:rPr>
          <w:rFonts w:ascii="Times New Roman" w:hAnsi="Times New Roman" w:cs="Times New Roman"/>
          <w:sz w:val="28"/>
          <w:szCs w:val="28"/>
        </w:rPr>
        <w:t>(</w:t>
      </w:r>
      <w:r>
        <w:rPr>
          <w:rFonts w:ascii="Times New Roman" w:hAnsi="Times New Roman" w:cs="Times New Roman"/>
          <w:sz w:val="28"/>
          <w:szCs w:val="28"/>
          <w:lang w:val="en-US"/>
        </w:rPr>
        <w:t>AUC</w:t>
      </w:r>
      <w:r w:rsidRPr="009E6C7E">
        <w:rPr>
          <w:rFonts w:ascii="Times New Roman" w:hAnsi="Times New Roman" w:cs="Times New Roman"/>
          <w:sz w:val="28"/>
          <w:szCs w:val="28"/>
        </w:rPr>
        <w:t>=0,948</w:t>
      </w:r>
      <w:r>
        <w:rPr>
          <w:rFonts w:ascii="Times New Roman" w:hAnsi="Times New Roman" w:cs="Times New Roman"/>
          <w:sz w:val="28"/>
          <w:szCs w:val="28"/>
        </w:rPr>
        <w:t>, 95% ДІ=0,846-1,0, р=0,002)</w:t>
      </w:r>
      <w:r w:rsidRPr="009E6C7E">
        <w:rPr>
          <w:rFonts w:ascii="Times New Roman" w:hAnsi="Times New Roman" w:cs="Times New Roman"/>
          <w:sz w:val="28"/>
          <w:szCs w:val="28"/>
        </w:rPr>
        <w:t xml:space="preserve"> </w:t>
      </w:r>
      <w:r w:rsidRPr="00966E9A">
        <w:rPr>
          <w:rFonts w:ascii="Times New Roman" w:hAnsi="Times New Roman" w:cs="Times New Roman"/>
          <w:sz w:val="28"/>
          <w:szCs w:val="28"/>
        </w:rPr>
        <w:t>за відсутності радіаційного опромінення хворого.</w:t>
      </w:r>
    </w:p>
    <w:p w:rsidR="000645F1" w:rsidRPr="00802C9D"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підсумку</w:t>
      </w:r>
      <w:r w:rsidRPr="00966E9A">
        <w:rPr>
          <w:rFonts w:ascii="Times New Roman" w:hAnsi="Times New Roman" w:cs="Times New Roman"/>
          <w:sz w:val="28"/>
          <w:szCs w:val="28"/>
        </w:rPr>
        <w:t xml:space="preserve">, із всіх досліджених нами новітніх потенційних променевих біомаркерів НКР на основі КТ та МРТ, застосування ВКД отриманого з дифузійно-зважених зображень МРТ дозволяло із найкращими показниками точності, чутливості та специфічності диференціювати солідний та кістозний НКР від інших пухлин нирок, як </w:t>
      </w:r>
      <w:r>
        <w:rPr>
          <w:rFonts w:ascii="Times New Roman" w:hAnsi="Times New Roman" w:cs="Times New Roman"/>
          <w:sz w:val="28"/>
          <w:szCs w:val="28"/>
        </w:rPr>
        <w:t>при</w:t>
      </w:r>
      <w:r w:rsidRPr="00966E9A">
        <w:rPr>
          <w:rFonts w:ascii="Times New Roman" w:hAnsi="Times New Roman" w:cs="Times New Roman"/>
          <w:sz w:val="28"/>
          <w:szCs w:val="28"/>
        </w:rPr>
        <w:t xml:space="preserve"> SRM, так і пр</w:t>
      </w:r>
      <w:r>
        <w:rPr>
          <w:rFonts w:ascii="Times New Roman" w:hAnsi="Times New Roman" w:cs="Times New Roman"/>
          <w:sz w:val="28"/>
          <w:szCs w:val="28"/>
        </w:rPr>
        <w:t>и пухлинах розміром понад 4 см, що знайшло відображення в створеному нами алгоритмі (рисунок 8.2).</w:t>
      </w:r>
    </w:p>
    <w:p w:rsidR="000645F1" w:rsidRDefault="000645F1" w:rsidP="000645F1">
      <w:pPr>
        <w:spacing w:line="360" w:lineRule="auto"/>
        <w:ind w:firstLine="708"/>
        <w:jc w:val="both"/>
        <w:rPr>
          <w:rFonts w:ascii="Times New Roman" w:hAnsi="Times New Roman" w:cs="Times New Roman"/>
          <w:sz w:val="28"/>
          <w:szCs w:val="28"/>
        </w:rPr>
        <w:sectPr w:rsidR="000645F1" w:rsidSect="001F0C51">
          <w:pgSz w:w="11906" w:h="16838"/>
          <w:pgMar w:top="1134" w:right="851" w:bottom="1134" w:left="1701" w:header="708" w:footer="708" w:gutter="0"/>
          <w:cols w:space="708"/>
          <w:docGrid w:linePitch="360"/>
        </w:sectPr>
      </w:pPr>
    </w:p>
    <w:p w:rsidR="000645F1" w:rsidRDefault="000645F1" w:rsidP="000645F1">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14:anchorId="6F6BA319" wp14:editId="0F5CE8A7">
            <wp:extent cx="8953500" cy="5009330"/>
            <wp:effectExtent l="0" t="0" r="0" b="127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великі.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8962028" cy="5014101"/>
                    </a:xfrm>
                    <a:prstGeom prst="rect">
                      <a:avLst/>
                    </a:prstGeom>
                  </pic:spPr>
                </pic:pic>
              </a:graphicData>
            </a:graphic>
          </wp:inline>
        </w:drawing>
      </w:r>
    </w:p>
    <w:p w:rsidR="000645F1" w:rsidRDefault="000645F1" w:rsidP="000645F1">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8.2. Алгоритм діагностики солідного та кістозного НКР розміром понад 4 см, із застосуванням новітніх променевих біомаркерів на основі КТ та МРТ</w:t>
      </w:r>
    </w:p>
    <w:p w:rsidR="000645F1" w:rsidRDefault="000645F1" w:rsidP="000645F1">
      <w:pPr>
        <w:spacing w:line="360" w:lineRule="auto"/>
        <w:rPr>
          <w:rFonts w:ascii="Times New Roman" w:hAnsi="Times New Roman" w:cs="Times New Roman"/>
          <w:sz w:val="28"/>
          <w:szCs w:val="28"/>
        </w:rPr>
        <w:sectPr w:rsidR="000645F1" w:rsidSect="001F0C51">
          <w:pgSz w:w="16838" w:h="11906" w:orient="landscape"/>
          <w:pgMar w:top="1701" w:right="851" w:bottom="1134" w:left="1134" w:header="709" w:footer="709" w:gutter="0"/>
          <w:cols w:space="708"/>
          <w:docGrid w:linePitch="360"/>
        </w:sectPr>
      </w:pP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lastRenderedPageBreak/>
        <w:t>З м</w:t>
      </w:r>
      <w:r w:rsidRPr="00687291">
        <w:rPr>
          <w:rFonts w:ascii="Times New Roman" w:hAnsi="Times New Roman" w:cs="Times New Roman"/>
          <w:color w:val="000000" w:themeColor="text1"/>
          <w:sz w:val="28"/>
          <w:szCs w:val="28"/>
        </w:rPr>
        <w:t xml:space="preserve">етою </w:t>
      </w:r>
      <w:r>
        <w:rPr>
          <w:rFonts w:ascii="Times New Roman" w:hAnsi="Times New Roman" w:cs="Times New Roman"/>
          <w:color w:val="000000" w:themeColor="text1"/>
          <w:sz w:val="28"/>
          <w:szCs w:val="28"/>
        </w:rPr>
        <w:t>оцінки ефективності</w:t>
      </w:r>
      <w:r w:rsidRPr="00687291">
        <w:rPr>
          <w:rFonts w:ascii="Times New Roman" w:hAnsi="Times New Roman" w:cs="Times New Roman"/>
          <w:color w:val="000000" w:themeColor="text1"/>
          <w:sz w:val="28"/>
          <w:szCs w:val="28"/>
        </w:rPr>
        <w:t xml:space="preserve"> використання </w:t>
      </w:r>
      <w:r w:rsidRPr="00CD5688">
        <w:rPr>
          <w:rFonts w:ascii="Times New Roman" w:hAnsi="Times New Roman" w:cs="Times New Roman"/>
          <w:color w:val="000000" w:themeColor="text1"/>
          <w:sz w:val="28"/>
          <w:szCs w:val="28"/>
        </w:rPr>
        <w:t xml:space="preserve">експресії </w:t>
      </w:r>
      <w:r w:rsidRPr="00CD5688">
        <w:rPr>
          <w:rFonts w:ascii="Times New Roman" w:hAnsi="Times New Roman" w:cs="Times New Roman"/>
          <w:sz w:val="28"/>
          <w:szCs w:val="28"/>
        </w:rPr>
        <w:t xml:space="preserve">miRNA-15а </w:t>
      </w:r>
      <w:r>
        <w:rPr>
          <w:rFonts w:ascii="Times New Roman" w:hAnsi="Times New Roman" w:cs="Times New Roman"/>
          <w:sz w:val="28"/>
          <w:szCs w:val="28"/>
        </w:rPr>
        <w:t xml:space="preserve">та загальної РНК </w:t>
      </w:r>
      <w:r w:rsidRPr="00CD5688">
        <w:rPr>
          <w:rFonts w:ascii="Times New Roman" w:hAnsi="Times New Roman" w:cs="Times New Roman"/>
          <w:sz w:val="28"/>
          <w:szCs w:val="28"/>
        </w:rPr>
        <w:t xml:space="preserve">у сечі хворих у якості </w:t>
      </w:r>
      <w:r>
        <w:rPr>
          <w:rFonts w:ascii="Times New Roman" w:hAnsi="Times New Roman" w:cs="Times New Roman"/>
          <w:sz w:val="28"/>
          <w:szCs w:val="28"/>
        </w:rPr>
        <w:t>потенційних</w:t>
      </w:r>
      <w:r>
        <w:rPr>
          <w:rFonts w:ascii="Times New Roman" w:hAnsi="Times New Roman" w:cs="Times New Roman"/>
          <w:b/>
          <w:sz w:val="28"/>
          <w:szCs w:val="28"/>
        </w:rPr>
        <w:t xml:space="preserve"> молекулярних діагностичних біомаркерів</w:t>
      </w:r>
      <w:r w:rsidRPr="00CD5688">
        <w:rPr>
          <w:rFonts w:ascii="Times New Roman" w:hAnsi="Times New Roman" w:cs="Times New Roman"/>
          <w:b/>
          <w:sz w:val="28"/>
          <w:szCs w:val="28"/>
        </w:rPr>
        <w:t xml:space="preserve"> НКР</w:t>
      </w:r>
      <w:r>
        <w:rPr>
          <w:rFonts w:ascii="Times New Roman" w:hAnsi="Times New Roman" w:cs="Times New Roman"/>
          <w:sz w:val="28"/>
          <w:szCs w:val="28"/>
        </w:rPr>
        <w:t xml:space="preserve">, нами було проведено дослідження, в яке </w:t>
      </w:r>
      <w:r w:rsidRPr="00687291">
        <w:rPr>
          <w:rFonts w:ascii="Times New Roman" w:hAnsi="Times New Roman" w:cs="Times New Roman"/>
          <w:sz w:val="28"/>
          <w:szCs w:val="28"/>
        </w:rPr>
        <w:t xml:space="preserve">було відібрано 67 дорослих хворих із солідними нирковими новоутворами за даними клінічних та променевих обстежень, яким була виконана радикальна чи парціальна нефректомія із наступним патоморфологічним аналізом. Радикальна нефректомія була виконана у </w:t>
      </w:r>
      <w:r w:rsidRPr="00687291">
        <w:rPr>
          <w:rFonts w:ascii="Times New Roman" w:hAnsi="Times New Roman" w:cs="Times New Roman"/>
          <w:color w:val="000000" w:themeColor="text1"/>
          <w:sz w:val="28"/>
          <w:szCs w:val="28"/>
          <w:shd w:val="clear" w:color="auto" w:fill="FFFFFF"/>
        </w:rPr>
        <w:t xml:space="preserve">42 (80,77%) пацієнтів, у решти 10 (19,23%) випадках була проведена парціальна нефректомія. Гендерний розподіл був наступним: 41 (61,19%) чоловік та 26 жінок (38,81%). Вік хворих коливався від 46 до 69 років (середній – </w:t>
      </w:r>
      <w:r w:rsidRPr="00687291">
        <w:rPr>
          <w:rStyle w:val="apple-converted-space"/>
          <w:rFonts w:ascii="Times New Roman" w:hAnsi="Times New Roman" w:cs="Times New Roman"/>
          <w:sz w:val="28"/>
          <w:szCs w:val="28"/>
          <w:shd w:val="clear" w:color="auto" w:fill="FFFFFF"/>
        </w:rPr>
        <w:t>60,19</w:t>
      </w:r>
      <w:r w:rsidRPr="00687291">
        <w:rPr>
          <w:rFonts w:ascii="Times New Roman" w:hAnsi="Times New Roman" w:cs="Times New Roman"/>
          <w:sz w:val="28"/>
          <w:szCs w:val="28"/>
        </w:rPr>
        <w:t xml:space="preserve">±6,36 років). Розмір пухлин варіювався від 2,08 до 12,7 см, середній розмір становив 7,01±2,08 см. </w:t>
      </w:r>
      <w:r w:rsidRPr="00687291">
        <w:rPr>
          <w:rFonts w:ascii="Times New Roman" w:hAnsi="Times New Roman" w:cs="Times New Roman"/>
          <w:color w:val="000000" w:themeColor="text1"/>
          <w:sz w:val="28"/>
          <w:szCs w:val="28"/>
          <w:shd w:val="clear" w:color="auto" w:fill="FFFFFF"/>
        </w:rPr>
        <w:t>Діагноз НКР був у 52 (77,61%) хворих, ОЦ нирки – у 8 (11,94%) пацієнтів, ПА нирки – у 2 (2,99%) хворих, та АМЛ нирки – у 5 (7,46%) пацієнтів.</w:t>
      </w:r>
      <w:r w:rsidRPr="00CD5688">
        <w:rPr>
          <w:rFonts w:ascii="Times New Roman" w:hAnsi="Times New Roman" w:cs="Times New Roman"/>
          <w:color w:val="000000" w:themeColor="text1"/>
          <w:sz w:val="28"/>
          <w:szCs w:val="28"/>
          <w:shd w:val="clear" w:color="auto" w:fill="FFFFFF"/>
        </w:rPr>
        <w:t xml:space="preserve"> </w:t>
      </w:r>
      <w:r w:rsidRPr="00687291">
        <w:rPr>
          <w:rFonts w:ascii="Times New Roman" w:hAnsi="Times New Roman" w:cs="Times New Roman"/>
          <w:color w:val="000000" w:themeColor="text1"/>
          <w:sz w:val="28"/>
          <w:szCs w:val="28"/>
          <w:shd w:val="clear" w:color="auto" w:fill="FFFFFF"/>
        </w:rPr>
        <w:t xml:space="preserve">Всі випадки НКР були класифіковані відповідно до гістологічного підтипу НКР: світлоклітинний НКР (скНКР, n=22), папілярний НКР (пНКР, n=16) та хромофобний НКР (хрНКР, n=14). Спрощена двоступенева класифікація за Fuhrman була застосована для визначення </w:t>
      </w:r>
      <w:r w:rsidR="00B02037">
        <w:rPr>
          <w:rFonts w:ascii="Times New Roman" w:hAnsi="Times New Roman" w:cs="Times New Roman"/>
          <w:color w:val="000000" w:themeColor="text1"/>
          <w:sz w:val="28"/>
          <w:szCs w:val="28"/>
          <w:shd w:val="clear" w:color="auto" w:fill="FFFFFF"/>
        </w:rPr>
        <w:t>ступеня</w:t>
      </w:r>
      <w:r w:rsidRPr="00687291">
        <w:rPr>
          <w:rFonts w:ascii="Times New Roman" w:hAnsi="Times New Roman" w:cs="Times New Roman"/>
          <w:color w:val="000000" w:themeColor="text1"/>
          <w:sz w:val="28"/>
          <w:szCs w:val="28"/>
          <w:shd w:val="clear" w:color="auto" w:fill="FFFFFF"/>
        </w:rPr>
        <w:t xml:space="preserve"> диференціації пухлини, згідно якою І та ІІ ступені були згруповані (n=12), а також поєднані ІІ та IV ступені (n=10).</w:t>
      </w:r>
    </w:p>
    <w:p w:rsidR="000645F1" w:rsidRPr="00687291" w:rsidRDefault="000645F1" w:rsidP="000645F1">
      <w:pPr>
        <w:spacing w:line="360" w:lineRule="auto"/>
        <w:ind w:firstLine="708"/>
        <w:jc w:val="both"/>
        <w:rPr>
          <w:rFonts w:ascii="Times New Roman" w:hAnsi="Times New Roman" w:cs="Times New Roman"/>
          <w:sz w:val="28"/>
          <w:szCs w:val="28"/>
        </w:rPr>
      </w:pPr>
      <w:r w:rsidRPr="00687291">
        <w:rPr>
          <w:rFonts w:ascii="Times New Roman" w:hAnsi="Times New Roman" w:cs="Times New Roman"/>
          <w:sz w:val="28"/>
          <w:szCs w:val="28"/>
          <w:shd w:val="clear" w:color="auto" w:fill="FFFFFF"/>
        </w:rPr>
        <w:t xml:space="preserve">За 1 день до та на 8-й день після оперативного лікування у всіх хворих в стерильний контейнер була зібрана ранішня сеча в об’ємі 100-150 мл, всі зразки були піддані кріоконсервації при -25°С. Для контролю сеча аналогічним чином одноразово була зібрана і консервована у 30 здорових волонтерів </w:t>
      </w:r>
      <w:r w:rsidRPr="00687291">
        <w:rPr>
          <w:rFonts w:ascii="Times New Roman" w:hAnsi="Times New Roman" w:cs="Times New Roman"/>
          <w:sz w:val="28"/>
          <w:szCs w:val="28"/>
        </w:rPr>
        <w:t xml:space="preserve">без ниркової патології за даними клінічних та променевих досліджень (16 чоловіків і 14 жінок) віком від 47 до 55 років (середній вік 53,5±4,9 років). Для оцінки морфо-функціонального стану нирок усім волонтерам перед включенням у дослідження проводили відповідні обстеження: загальний аналіз крові та сечі, біохімічне дослідження крові (креатинін, сечовина, АЛТ, АСТ), УЗД нирок. До забору зразків сечі та нефректомії ЧПБ чи попереднє лікування НКР у пацієнтів не проводилось. </w:t>
      </w:r>
    </w:p>
    <w:p w:rsidR="000645F1" w:rsidRDefault="000645F1" w:rsidP="000645F1">
      <w:pPr>
        <w:spacing w:line="360" w:lineRule="auto"/>
        <w:ind w:firstLine="708"/>
        <w:jc w:val="both"/>
        <w:rPr>
          <w:rFonts w:ascii="Times New Roman" w:hAnsi="Times New Roman" w:cs="Times New Roman"/>
          <w:color w:val="231F20"/>
          <w:sz w:val="28"/>
          <w:szCs w:val="28"/>
        </w:rPr>
      </w:pPr>
      <w:r w:rsidRPr="00687291">
        <w:rPr>
          <w:rFonts w:ascii="Times New Roman" w:hAnsi="Times New Roman" w:cs="Times New Roman"/>
          <w:sz w:val="28"/>
          <w:szCs w:val="28"/>
        </w:rPr>
        <w:lastRenderedPageBreak/>
        <w:t>Хворі із НКР склали основну групу (</w:t>
      </w:r>
      <w:r w:rsidRPr="00ED0BF0">
        <w:rPr>
          <w:rFonts w:ascii="Times New Roman" w:hAnsi="Times New Roman" w:cs="Times New Roman"/>
          <w:sz w:val="28"/>
          <w:szCs w:val="28"/>
        </w:rPr>
        <w:t>n=52)</w:t>
      </w:r>
      <w:r w:rsidRPr="00687291">
        <w:rPr>
          <w:rFonts w:ascii="Times New Roman" w:hAnsi="Times New Roman" w:cs="Times New Roman"/>
          <w:sz w:val="28"/>
          <w:szCs w:val="28"/>
        </w:rPr>
        <w:t>, хворі з доброякісними пухлинами нирок увійшли до групи порівняння (</w:t>
      </w:r>
      <w:r w:rsidRPr="00ED0BF0">
        <w:rPr>
          <w:rFonts w:ascii="Times New Roman" w:hAnsi="Times New Roman" w:cs="Times New Roman"/>
          <w:sz w:val="28"/>
          <w:szCs w:val="28"/>
        </w:rPr>
        <w:t>n</w:t>
      </w:r>
      <w:r w:rsidRPr="00687291">
        <w:rPr>
          <w:rFonts w:ascii="Times New Roman" w:hAnsi="Times New Roman" w:cs="Times New Roman"/>
          <w:sz w:val="28"/>
          <w:szCs w:val="28"/>
        </w:rPr>
        <w:t xml:space="preserve">=15), контрольну групу склали здорові особи </w:t>
      </w:r>
      <w:r w:rsidRPr="00ED0BF0">
        <w:rPr>
          <w:rFonts w:ascii="Times New Roman" w:hAnsi="Times New Roman" w:cs="Times New Roman"/>
          <w:sz w:val="28"/>
          <w:szCs w:val="28"/>
        </w:rPr>
        <w:t>(n</w:t>
      </w:r>
      <w:r w:rsidRPr="00687291">
        <w:rPr>
          <w:rFonts w:ascii="Times New Roman" w:hAnsi="Times New Roman" w:cs="Times New Roman"/>
          <w:sz w:val="28"/>
          <w:szCs w:val="28"/>
        </w:rPr>
        <w:t>=30).</w:t>
      </w:r>
      <w:r>
        <w:rPr>
          <w:rFonts w:ascii="Times New Roman" w:hAnsi="Times New Roman" w:cs="Times New Roman"/>
          <w:sz w:val="28"/>
          <w:szCs w:val="28"/>
        </w:rPr>
        <w:t xml:space="preserve"> </w:t>
      </w:r>
      <w:r w:rsidRPr="00ED0BF0">
        <w:rPr>
          <w:rFonts w:ascii="Times New Roman" w:hAnsi="Times New Roman" w:cs="Times New Roman"/>
          <w:color w:val="231F20"/>
          <w:sz w:val="28"/>
          <w:szCs w:val="28"/>
        </w:rPr>
        <w:t>МікроРНК визначали методом зворотної транскрипції та полімеразної ланцюгової</w:t>
      </w:r>
      <w:r>
        <w:rPr>
          <w:rFonts w:ascii="Times New Roman" w:hAnsi="Times New Roman" w:cs="Times New Roman"/>
          <w:color w:val="231F20"/>
          <w:sz w:val="28"/>
          <w:szCs w:val="28"/>
        </w:rPr>
        <w:t xml:space="preserve"> реакції (ПЛР) у реальному часі, загальну РНК визначали методом спектрофотометрії.</w:t>
      </w:r>
    </w:p>
    <w:p w:rsidR="000645F1" w:rsidRDefault="000645F1" w:rsidP="000645F1">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В результаті проведеного дослідження </w:t>
      </w:r>
      <w:r w:rsidRPr="00ED0BF0">
        <w:rPr>
          <w:rFonts w:ascii="Times New Roman" w:hAnsi="Times New Roman" w:cs="Times New Roman"/>
          <w:sz w:val="28"/>
          <w:szCs w:val="28"/>
        </w:rPr>
        <w:t xml:space="preserve">було виявлено експресію </w:t>
      </w:r>
      <w:r w:rsidRPr="00ED0BF0">
        <w:rPr>
          <w:rFonts w:ascii="Times New Roman" w:hAnsi="Times New Roman" w:cs="Times New Roman"/>
          <w:color w:val="000000" w:themeColor="text1"/>
          <w:sz w:val="28"/>
          <w:szCs w:val="28"/>
        </w:rPr>
        <w:t>miR-15а в сечі хворих на НКР</w:t>
      </w:r>
      <w:r w:rsidRPr="00687291">
        <w:rPr>
          <w:rFonts w:ascii="Times New Roman" w:hAnsi="Times New Roman" w:cs="Times New Roman"/>
          <w:color w:val="000000" w:themeColor="text1"/>
          <w:sz w:val="28"/>
          <w:szCs w:val="28"/>
        </w:rPr>
        <w:t xml:space="preserve">, </w:t>
      </w:r>
      <w:r w:rsidR="007A5AE0" w:rsidRPr="007A5AE0">
        <w:rPr>
          <w:rFonts w:ascii="Times New Roman" w:hAnsi="Times New Roman" w:cs="Times New Roman"/>
          <w:color w:val="000000" w:themeColor="text1"/>
          <w:sz w:val="28"/>
          <w:szCs w:val="28"/>
          <w:lang w:val="ru-RU"/>
        </w:rPr>
        <w:t xml:space="preserve">з </w:t>
      </w:r>
      <w:r w:rsidR="007A5AE0">
        <w:rPr>
          <w:rFonts w:ascii="Times New Roman" w:hAnsi="Times New Roman" w:cs="Times New Roman"/>
          <w:color w:val="000000" w:themeColor="text1"/>
          <w:sz w:val="28"/>
          <w:szCs w:val="28"/>
        </w:rPr>
        <w:t>доброякісними пухлинами</w:t>
      </w:r>
      <w:r w:rsidRPr="00687291">
        <w:rPr>
          <w:rFonts w:ascii="Times New Roman" w:hAnsi="Times New Roman" w:cs="Times New Roman"/>
          <w:color w:val="000000" w:themeColor="text1"/>
          <w:sz w:val="28"/>
          <w:szCs w:val="28"/>
        </w:rPr>
        <w:t xml:space="preserve"> нирок</w:t>
      </w:r>
      <w:r w:rsidRPr="00ED0BF0">
        <w:rPr>
          <w:rFonts w:ascii="Times New Roman" w:hAnsi="Times New Roman" w:cs="Times New Roman"/>
          <w:color w:val="000000" w:themeColor="text1"/>
          <w:sz w:val="28"/>
          <w:szCs w:val="28"/>
        </w:rPr>
        <w:t xml:space="preserve"> та </w:t>
      </w:r>
      <w:r w:rsidRPr="00687291">
        <w:rPr>
          <w:rFonts w:ascii="Times New Roman" w:hAnsi="Times New Roman" w:cs="Times New Roman"/>
          <w:color w:val="000000" w:themeColor="text1"/>
          <w:sz w:val="28"/>
          <w:szCs w:val="28"/>
        </w:rPr>
        <w:t xml:space="preserve">у </w:t>
      </w:r>
      <w:r w:rsidRPr="00ED0BF0">
        <w:rPr>
          <w:rFonts w:ascii="Times New Roman" w:hAnsi="Times New Roman" w:cs="Times New Roman"/>
          <w:color w:val="000000" w:themeColor="text1"/>
          <w:sz w:val="28"/>
          <w:szCs w:val="28"/>
        </w:rPr>
        <w:t xml:space="preserve">здорових осіб. </w:t>
      </w:r>
      <w:r w:rsidRPr="00687291">
        <w:rPr>
          <w:rFonts w:ascii="Times New Roman" w:hAnsi="Times New Roman" w:cs="Times New Roman"/>
          <w:color w:val="000000" w:themeColor="text1"/>
          <w:sz w:val="28"/>
          <w:szCs w:val="28"/>
        </w:rPr>
        <w:t>М</w:t>
      </w:r>
      <w:r w:rsidRPr="00ED0BF0">
        <w:rPr>
          <w:rFonts w:ascii="Times New Roman" w:hAnsi="Times New Roman" w:cs="Times New Roman"/>
          <w:color w:val="000000" w:themeColor="text1"/>
          <w:sz w:val="28"/>
          <w:szCs w:val="28"/>
        </w:rPr>
        <w:t xml:space="preserve">и спостерігали </w:t>
      </w:r>
      <w:r w:rsidRPr="00ED0BF0">
        <w:rPr>
          <w:rFonts w:ascii="Times New Roman" w:hAnsi="Times New Roman" w:cs="Times New Roman"/>
          <w:sz w:val="28"/>
          <w:szCs w:val="28"/>
        </w:rPr>
        <w:t>статистично достовірну (</w:t>
      </w:r>
      <w:r w:rsidRPr="00687291">
        <w:rPr>
          <w:rFonts w:ascii="Times New Roman" w:hAnsi="Times New Roman" w:cs="Times New Roman"/>
          <w:sz w:val="28"/>
          <w:szCs w:val="28"/>
        </w:rPr>
        <w:t>р</w:t>
      </w:r>
      <w:r w:rsidRPr="00ED0BF0">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r w:rsidRPr="00ED0BF0">
        <w:rPr>
          <w:rFonts w:ascii="Times New Roman" w:hAnsi="Times New Roman" w:cs="Times New Roman"/>
          <w:sz w:val="28"/>
          <w:szCs w:val="28"/>
        </w:rPr>
        <w:t xml:space="preserve">) різницю у рівнях експресії </w:t>
      </w:r>
      <w:r w:rsidRPr="00ED0BF0">
        <w:rPr>
          <w:rFonts w:ascii="Times New Roman" w:hAnsi="Times New Roman" w:cs="Times New Roman"/>
          <w:color w:val="000000" w:themeColor="text1"/>
          <w:sz w:val="28"/>
          <w:szCs w:val="28"/>
        </w:rPr>
        <w:t xml:space="preserve">miR-15а у сечі хворих із НКР, доброякісними пухлинами нирок та у </w:t>
      </w:r>
      <w:r w:rsidRPr="00687291">
        <w:rPr>
          <w:rFonts w:ascii="Times New Roman" w:hAnsi="Times New Roman" w:cs="Times New Roman"/>
          <w:color w:val="000000" w:themeColor="text1"/>
          <w:sz w:val="28"/>
          <w:szCs w:val="28"/>
        </w:rPr>
        <w:t>здорових осіб, при цьому найвищ</w:t>
      </w:r>
      <w:r>
        <w:rPr>
          <w:rFonts w:ascii="Times New Roman" w:hAnsi="Times New Roman" w:cs="Times New Roman"/>
          <w:color w:val="000000" w:themeColor="text1"/>
          <w:sz w:val="28"/>
          <w:szCs w:val="28"/>
        </w:rPr>
        <w:t>ий середній рівень експресії був характерним</w:t>
      </w:r>
      <w:r w:rsidRPr="00ED0BF0">
        <w:rPr>
          <w:rFonts w:ascii="Times New Roman" w:hAnsi="Times New Roman" w:cs="Times New Roman"/>
          <w:color w:val="000000" w:themeColor="text1"/>
          <w:sz w:val="28"/>
          <w:szCs w:val="28"/>
        </w:rPr>
        <w:t xml:space="preserve"> для злоякісних пухлин</w:t>
      </w:r>
      <w:r w:rsidRPr="00687291">
        <w:rPr>
          <w:rFonts w:ascii="Times New Roman" w:hAnsi="Times New Roman" w:cs="Times New Roman"/>
          <w:color w:val="000000" w:themeColor="text1"/>
          <w:sz w:val="28"/>
          <w:szCs w:val="28"/>
        </w:rPr>
        <w:t xml:space="preserve"> (</w:t>
      </w:r>
      <w:r w:rsidRPr="00687291">
        <w:rPr>
          <w:rFonts w:ascii="Times New Roman" w:eastAsia="Times New Roman" w:hAnsi="Times New Roman" w:cs="Times New Roman"/>
          <w:sz w:val="28"/>
          <w:szCs w:val="28"/>
          <w:lang w:eastAsia="uk-UA"/>
        </w:rPr>
        <w:t>2,50E-01 УО)</w:t>
      </w:r>
      <w:r>
        <w:rPr>
          <w:rFonts w:ascii="Times New Roman" w:hAnsi="Times New Roman" w:cs="Times New Roman"/>
          <w:color w:val="000000" w:themeColor="text1"/>
          <w:sz w:val="28"/>
          <w:szCs w:val="28"/>
        </w:rPr>
        <w:t>, а найнижчий</w:t>
      </w:r>
      <w:r w:rsidRPr="00ED0BF0">
        <w:rPr>
          <w:rFonts w:ascii="Times New Roman" w:hAnsi="Times New Roman" w:cs="Times New Roman"/>
          <w:color w:val="000000" w:themeColor="text1"/>
          <w:sz w:val="28"/>
          <w:szCs w:val="28"/>
        </w:rPr>
        <w:t xml:space="preserve"> – для групи контролю</w:t>
      </w:r>
      <w:r w:rsidRPr="00687291">
        <w:rPr>
          <w:rFonts w:ascii="Times New Roman" w:hAnsi="Times New Roman" w:cs="Times New Roman"/>
          <w:color w:val="000000" w:themeColor="text1"/>
          <w:sz w:val="28"/>
          <w:szCs w:val="28"/>
        </w:rPr>
        <w:t xml:space="preserve"> (</w:t>
      </w:r>
      <w:r w:rsidRPr="00687291">
        <w:rPr>
          <w:rFonts w:ascii="Times New Roman" w:eastAsia="Times New Roman" w:hAnsi="Times New Roman" w:cs="Times New Roman"/>
          <w:sz w:val="28"/>
          <w:szCs w:val="28"/>
          <w:lang w:eastAsia="uk-UA"/>
        </w:rPr>
        <w:t>3,36E-07 УО)</w:t>
      </w:r>
      <w:r w:rsidRPr="00ED0BF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Між гістологічними підтипами НКР достовірної різниці в експресії міР-15а не спостерігалось. Водночас, </w:t>
      </w:r>
      <w:r>
        <w:rPr>
          <w:rFonts w:ascii="Times New Roman" w:hAnsi="Times New Roman" w:cs="Times New Roman"/>
          <w:sz w:val="28"/>
          <w:szCs w:val="28"/>
        </w:rPr>
        <w:t>у</w:t>
      </w:r>
      <w:r w:rsidRPr="00ED0BF0">
        <w:rPr>
          <w:rFonts w:ascii="Times New Roman" w:hAnsi="Times New Roman" w:cs="Times New Roman"/>
          <w:sz w:val="28"/>
          <w:szCs w:val="28"/>
        </w:rPr>
        <w:t xml:space="preserve"> підгрупах хворих із скНКР високого та низького </w:t>
      </w:r>
      <w:r w:rsidR="00B02037">
        <w:rPr>
          <w:rFonts w:ascii="Times New Roman" w:hAnsi="Times New Roman" w:cs="Times New Roman"/>
          <w:sz w:val="28"/>
          <w:szCs w:val="28"/>
        </w:rPr>
        <w:t>ступеня</w:t>
      </w:r>
      <w:r w:rsidRPr="00ED0BF0">
        <w:rPr>
          <w:rFonts w:ascii="Times New Roman" w:hAnsi="Times New Roman" w:cs="Times New Roman"/>
          <w:sz w:val="28"/>
          <w:szCs w:val="28"/>
        </w:rPr>
        <w:t xml:space="preserve"> диференціації ми констатували різницю у середніх рівнях експресії</w:t>
      </w:r>
      <w:r w:rsidRPr="00ED0BF0">
        <w:rPr>
          <w:rFonts w:ascii="Times New Roman" w:hAnsi="Times New Roman" w:cs="Times New Roman"/>
          <w:color w:val="000000" w:themeColor="text1"/>
          <w:sz w:val="28"/>
          <w:szCs w:val="28"/>
        </w:rPr>
        <w:t xml:space="preserve"> miR-15а в сечі, при цьому при низькодиференційованих пухлинах (</w:t>
      </w:r>
      <w:r w:rsidRPr="00687291">
        <w:rPr>
          <w:rFonts w:ascii="Times New Roman" w:hAnsi="Times New Roman" w:cs="Times New Roman"/>
          <w:color w:val="000000" w:themeColor="text1"/>
          <w:sz w:val="28"/>
          <w:szCs w:val="28"/>
        </w:rPr>
        <w:t xml:space="preserve">ступені </w:t>
      </w:r>
      <w:r w:rsidRPr="00ED0BF0">
        <w:rPr>
          <w:rFonts w:ascii="Times New Roman" w:hAnsi="Times New Roman" w:cs="Times New Roman"/>
          <w:color w:val="000000" w:themeColor="text1"/>
          <w:sz w:val="28"/>
          <w:szCs w:val="28"/>
        </w:rPr>
        <w:t xml:space="preserve">Furhman III та IV) даний показник був достовірно </w:t>
      </w:r>
      <w:r w:rsidRPr="00ED0BF0">
        <w:rPr>
          <w:rFonts w:ascii="Times New Roman" w:hAnsi="Times New Roman" w:cs="Times New Roman"/>
          <w:sz w:val="28"/>
          <w:szCs w:val="28"/>
        </w:rPr>
        <w:t>(</w:t>
      </w:r>
      <w:r w:rsidRPr="00687291">
        <w:rPr>
          <w:rFonts w:ascii="Times New Roman" w:hAnsi="Times New Roman" w:cs="Times New Roman"/>
          <w:sz w:val="28"/>
          <w:szCs w:val="28"/>
        </w:rPr>
        <w:t>р</w:t>
      </w:r>
      <w:r w:rsidRPr="00ED0BF0">
        <w:rPr>
          <w:rFonts w:ascii="Times New Roman" w:eastAsia="Times New Roman" w:hAnsi="Times New Roman" w:cs="Times New Roman"/>
          <w:sz w:val="28"/>
          <w:szCs w:val="28"/>
          <w:lang w:eastAsia="uk-UA"/>
        </w:rPr>
        <w:t>&lt;</w:t>
      </w:r>
      <w:r w:rsidRPr="00687291">
        <w:rPr>
          <w:rFonts w:ascii="Times New Roman" w:eastAsia="Times New Roman" w:hAnsi="Times New Roman" w:cs="Times New Roman"/>
          <w:sz w:val="28"/>
          <w:szCs w:val="28"/>
          <w:lang w:eastAsia="uk-UA"/>
        </w:rPr>
        <w:t>0,001</w:t>
      </w:r>
      <w:r w:rsidRPr="00ED0BF0">
        <w:rPr>
          <w:rFonts w:ascii="Times New Roman" w:hAnsi="Times New Roman" w:cs="Times New Roman"/>
          <w:sz w:val="28"/>
          <w:szCs w:val="28"/>
        </w:rPr>
        <w:t>)</w:t>
      </w:r>
      <w:r w:rsidRPr="00ED0BF0">
        <w:rPr>
          <w:rFonts w:ascii="Times New Roman" w:hAnsi="Times New Roman" w:cs="Times New Roman"/>
          <w:color w:val="000000" w:themeColor="text1"/>
          <w:sz w:val="28"/>
          <w:szCs w:val="28"/>
        </w:rPr>
        <w:t xml:space="preserve"> вищий ніж при високодиференційованих (</w:t>
      </w:r>
      <w:r w:rsidRPr="00687291">
        <w:rPr>
          <w:rFonts w:ascii="Times New Roman" w:hAnsi="Times New Roman" w:cs="Times New Roman"/>
          <w:color w:val="000000" w:themeColor="text1"/>
          <w:sz w:val="28"/>
          <w:szCs w:val="28"/>
        </w:rPr>
        <w:t xml:space="preserve">ступені </w:t>
      </w:r>
      <w:r w:rsidRPr="00ED0BF0">
        <w:rPr>
          <w:rFonts w:ascii="Times New Roman" w:hAnsi="Times New Roman" w:cs="Times New Roman"/>
          <w:color w:val="000000" w:themeColor="text1"/>
          <w:sz w:val="28"/>
          <w:szCs w:val="28"/>
        </w:rPr>
        <w:t>Furhman I та IІ)</w:t>
      </w:r>
      <w:r w:rsidRPr="00ED0BF0">
        <w:rPr>
          <w:rFonts w:ascii="Times New Roman" w:hAnsi="Times New Roman" w:cs="Times New Roman"/>
          <w:sz w:val="28"/>
          <w:szCs w:val="28"/>
        </w:rPr>
        <w:t>.</w:t>
      </w:r>
      <w:r>
        <w:rPr>
          <w:rFonts w:ascii="Times New Roman" w:hAnsi="Times New Roman" w:cs="Times New Roman"/>
          <w:sz w:val="28"/>
          <w:szCs w:val="28"/>
        </w:rPr>
        <w:t xml:space="preserve"> Крім цього, </w:t>
      </w:r>
      <w:r>
        <w:rPr>
          <w:rFonts w:ascii="Times New Roman" w:hAnsi="Times New Roman" w:cs="Times New Roman"/>
          <w:color w:val="000000" w:themeColor="text1"/>
          <w:sz w:val="28"/>
          <w:szCs w:val="28"/>
        </w:rPr>
        <w:t>с</w:t>
      </w:r>
      <w:r w:rsidRPr="00ED0BF0">
        <w:rPr>
          <w:rFonts w:ascii="Times New Roman" w:hAnsi="Times New Roman" w:cs="Times New Roman"/>
          <w:color w:val="000000" w:themeColor="text1"/>
          <w:sz w:val="28"/>
          <w:szCs w:val="28"/>
        </w:rPr>
        <w:t>татистичний аналіз виявив у хворих із НКР кореляцію між розміром пухлини та рівнем експресії miR-15а, при цьому коефіцієнт кореляції становив r=0,87</w:t>
      </w:r>
      <w:r w:rsidR="000C36F1">
        <w:rPr>
          <w:rFonts w:ascii="Times New Roman" w:hAnsi="Times New Roman" w:cs="Times New Roman"/>
          <w:color w:val="000000" w:themeColor="text1"/>
          <w:sz w:val="28"/>
          <w:szCs w:val="28"/>
        </w:rPr>
        <w:t>0</w:t>
      </w:r>
      <w:r w:rsidRPr="00ED0BF0">
        <w:rPr>
          <w:rFonts w:ascii="Times New Roman" w:hAnsi="Times New Roman" w:cs="Times New Roman"/>
          <w:color w:val="000000" w:themeColor="text1"/>
          <w:sz w:val="28"/>
          <w:szCs w:val="28"/>
        </w:rPr>
        <w:t>,  що свідчило на користь сильного позит</w:t>
      </w:r>
      <w:r w:rsidRPr="00687291">
        <w:rPr>
          <w:rFonts w:ascii="Times New Roman" w:hAnsi="Times New Roman" w:cs="Times New Roman"/>
          <w:color w:val="000000" w:themeColor="text1"/>
          <w:sz w:val="28"/>
          <w:szCs w:val="28"/>
        </w:rPr>
        <w:t>ивного взаємозв’язку</w:t>
      </w:r>
      <w:r w:rsidRPr="00ED0BF0">
        <w:rPr>
          <w:rFonts w:ascii="Times New Roman" w:hAnsi="Times New Roman" w:cs="Times New Roman"/>
          <w:color w:val="000000" w:themeColor="text1"/>
          <w:sz w:val="28"/>
          <w:szCs w:val="28"/>
        </w:rPr>
        <w:t>.</w:t>
      </w:r>
    </w:p>
    <w:p w:rsidR="000645F1" w:rsidRDefault="000645F1" w:rsidP="000645F1">
      <w:pPr>
        <w:spacing w:line="360" w:lineRule="auto"/>
        <w:ind w:firstLine="708"/>
        <w:jc w:val="both"/>
        <w:rPr>
          <w:rFonts w:ascii="Times New Roman" w:hAnsi="Times New Roman" w:cs="Times New Roman"/>
          <w:sz w:val="28"/>
          <w:szCs w:val="28"/>
        </w:rPr>
      </w:pPr>
      <w:r w:rsidRPr="00ED0BF0">
        <w:rPr>
          <w:rFonts w:ascii="Times New Roman" w:eastAsia="Times New Roman" w:hAnsi="Times New Roman" w:cs="Times New Roman"/>
          <w:color w:val="000000"/>
          <w:sz w:val="28"/>
          <w:szCs w:val="28"/>
          <w:lang w:eastAsia="uk-UA"/>
        </w:rPr>
        <w:t xml:space="preserve">При </w:t>
      </w:r>
      <w:r w:rsidR="00AE2D06">
        <w:rPr>
          <w:rFonts w:ascii="Times New Roman" w:eastAsia="Times New Roman" w:hAnsi="Times New Roman" w:cs="Times New Roman"/>
          <w:color w:val="000000"/>
          <w:sz w:val="28"/>
          <w:szCs w:val="28"/>
          <w:lang w:eastAsia="uk-UA"/>
        </w:rPr>
        <w:t>оцінці</w:t>
      </w:r>
      <w:r w:rsidRPr="00ED0BF0">
        <w:rPr>
          <w:rFonts w:ascii="Times New Roman" w:eastAsia="Times New Roman" w:hAnsi="Times New Roman" w:cs="Times New Roman"/>
          <w:color w:val="000000"/>
          <w:sz w:val="28"/>
          <w:szCs w:val="28"/>
          <w:lang w:eastAsia="uk-UA"/>
        </w:rPr>
        <w:t xml:space="preserve"> </w:t>
      </w:r>
      <w:r w:rsidRPr="00ED0BF0">
        <w:rPr>
          <w:rFonts w:ascii="Times New Roman" w:hAnsi="Times New Roman" w:cs="Times New Roman"/>
          <w:sz w:val="28"/>
          <w:szCs w:val="28"/>
        </w:rPr>
        <w:t xml:space="preserve">діагностичної ефективності застосування визначених у сечі рівнів експресії </w:t>
      </w:r>
      <w:r w:rsidRPr="00ED0BF0">
        <w:rPr>
          <w:rFonts w:ascii="Times New Roman" w:hAnsi="Times New Roman" w:cs="Times New Roman"/>
          <w:color w:val="000000" w:themeColor="text1"/>
          <w:sz w:val="28"/>
          <w:szCs w:val="28"/>
        </w:rPr>
        <w:t xml:space="preserve">miR-15а при диференційній діагностиці НКР та доброякісних пухлин нирки за допомогою ROC </w:t>
      </w:r>
      <w:r w:rsidRPr="00ED0BF0">
        <w:rPr>
          <w:rFonts w:ascii="Times New Roman" w:hAnsi="Times New Roman"/>
          <w:sz w:val="28"/>
          <w:szCs w:val="28"/>
        </w:rPr>
        <w:t xml:space="preserve">аналізу, чутливість та специфічність при пороговому значенні експресії </w:t>
      </w:r>
      <w:r w:rsidRPr="00ED0BF0">
        <w:rPr>
          <w:rFonts w:ascii="Times New Roman" w:eastAsia="Times New Roman" w:hAnsi="Times New Roman"/>
          <w:color w:val="000000"/>
          <w:sz w:val="28"/>
          <w:szCs w:val="28"/>
          <w:lang w:eastAsia="uk-UA"/>
        </w:rPr>
        <w:t>5,00E-06</w:t>
      </w:r>
      <w:r w:rsidRPr="009E6C7E">
        <w:rPr>
          <w:rFonts w:ascii="Times New Roman" w:eastAsia="Times New Roman" w:hAnsi="Times New Roman"/>
          <w:color w:val="000000"/>
          <w:sz w:val="24"/>
          <w:szCs w:val="24"/>
          <w:lang w:val="ru-RU" w:eastAsia="uk-UA"/>
        </w:rPr>
        <w:t xml:space="preserve"> </w:t>
      </w:r>
      <w:r w:rsidRPr="00ED0BF0">
        <w:rPr>
          <w:rFonts w:ascii="Times New Roman" w:eastAsia="Times New Roman" w:hAnsi="Times New Roman" w:cs="Times New Roman"/>
          <w:sz w:val="28"/>
          <w:szCs w:val="28"/>
          <w:lang w:eastAsia="uk-UA"/>
        </w:rPr>
        <w:t xml:space="preserve">УО становили </w:t>
      </w:r>
      <w:r w:rsidRPr="00D654E5">
        <w:rPr>
          <w:rFonts w:ascii="Times New Roman" w:eastAsia="Times New Roman" w:hAnsi="Times New Roman" w:cs="Times New Roman"/>
          <w:color w:val="000000"/>
          <w:sz w:val="28"/>
          <w:szCs w:val="28"/>
          <w:lang w:eastAsia="uk-UA"/>
        </w:rPr>
        <w:t xml:space="preserve">відповідно </w:t>
      </w:r>
      <w:r w:rsidRPr="00ED0BF0">
        <w:rPr>
          <w:rFonts w:ascii="Times New Roman" w:eastAsia="Times New Roman" w:hAnsi="Times New Roman" w:cs="Times New Roman"/>
          <w:color w:val="000000"/>
          <w:sz w:val="28"/>
          <w:szCs w:val="28"/>
          <w:lang w:eastAsia="uk-UA"/>
        </w:rPr>
        <w:t>98,1% та 100%</w:t>
      </w:r>
      <w:r>
        <w:rPr>
          <w:rFonts w:ascii="Times New Roman" w:eastAsia="Times New Roman" w:hAnsi="Times New Roman" w:cs="Times New Roman"/>
          <w:color w:val="000000"/>
          <w:sz w:val="28"/>
          <w:szCs w:val="28"/>
          <w:lang w:eastAsia="uk-UA"/>
        </w:rPr>
        <w:t>,</w:t>
      </w:r>
      <w:r w:rsidRPr="00ED0BF0">
        <w:rPr>
          <w:rFonts w:ascii="Times New Roman" w:eastAsia="Times New Roman" w:hAnsi="Times New Roman" w:cs="Times New Roman"/>
          <w:color w:val="000000"/>
          <w:sz w:val="28"/>
          <w:szCs w:val="28"/>
          <w:lang w:eastAsia="uk-UA"/>
        </w:rPr>
        <w:t xml:space="preserve"> при цьому площа під кривою </w:t>
      </w:r>
      <w:r>
        <w:rPr>
          <w:rFonts w:ascii="Times New Roman" w:eastAsia="Times New Roman" w:hAnsi="Times New Roman" w:cs="Times New Roman"/>
          <w:color w:val="000000"/>
          <w:sz w:val="28"/>
          <w:szCs w:val="28"/>
          <w:lang w:eastAsia="uk-UA"/>
        </w:rPr>
        <w:t xml:space="preserve">складала 0,955 </w:t>
      </w:r>
      <w:r w:rsidRPr="003008FB">
        <w:rPr>
          <w:rFonts w:ascii="Times New Roman" w:eastAsia="Times New Roman" w:hAnsi="Times New Roman" w:cs="Times New Roman"/>
          <w:color w:val="000000"/>
          <w:sz w:val="28"/>
          <w:szCs w:val="28"/>
          <w:lang w:eastAsia="uk-UA"/>
        </w:rPr>
        <w:t>(95% ДІ=0,895-0</w:t>
      </w:r>
      <w:r>
        <w:rPr>
          <w:rFonts w:ascii="Times New Roman" w:eastAsia="Times New Roman" w:hAnsi="Times New Roman" w:cs="Times New Roman"/>
          <w:color w:val="000000"/>
          <w:sz w:val="28"/>
          <w:szCs w:val="28"/>
          <w:lang w:eastAsia="uk-UA"/>
        </w:rPr>
        <w:t>,997, р</w:t>
      </w:r>
      <w:r w:rsidRPr="009E6C7E">
        <w:rPr>
          <w:rFonts w:ascii="Times New Roman" w:eastAsia="Times New Roman" w:hAnsi="Times New Roman" w:cs="Times New Roman"/>
          <w:color w:val="000000"/>
          <w:sz w:val="28"/>
          <w:szCs w:val="28"/>
          <w:lang w:val="ru-RU" w:eastAsia="uk-UA"/>
        </w:rPr>
        <w:t>&lt;</w:t>
      </w:r>
      <w:r>
        <w:rPr>
          <w:rFonts w:ascii="Times New Roman" w:eastAsia="Times New Roman" w:hAnsi="Times New Roman" w:cs="Times New Roman"/>
          <w:color w:val="000000"/>
          <w:sz w:val="28"/>
          <w:szCs w:val="28"/>
          <w:lang w:eastAsia="uk-UA"/>
        </w:rPr>
        <w:t>0,001</w:t>
      </w:r>
      <w:r w:rsidRPr="003008FB">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що свідчило про високу точність методу. </w:t>
      </w:r>
      <w:r w:rsidRPr="00ED0BF0">
        <w:rPr>
          <w:rFonts w:ascii="Times New Roman" w:eastAsia="Times New Roman" w:hAnsi="Times New Roman" w:cs="Times New Roman"/>
          <w:color w:val="000000"/>
          <w:sz w:val="28"/>
          <w:szCs w:val="28"/>
          <w:lang w:eastAsia="uk-UA"/>
        </w:rPr>
        <w:t xml:space="preserve"> </w:t>
      </w:r>
      <w:r>
        <w:rPr>
          <w:rFonts w:ascii="Times New Roman" w:hAnsi="Times New Roman" w:cs="Times New Roman"/>
          <w:sz w:val="28"/>
          <w:szCs w:val="28"/>
        </w:rPr>
        <w:t xml:space="preserve">Диференціація конвенційного НКР високого від низького </w:t>
      </w:r>
      <w:r w:rsidR="00B02037">
        <w:rPr>
          <w:rFonts w:ascii="Times New Roman" w:hAnsi="Times New Roman" w:cs="Times New Roman"/>
          <w:sz w:val="28"/>
          <w:szCs w:val="28"/>
        </w:rPr>
        <w:t>ступеня</w:t>
      </w:r>
      <w:r>
        <w:rPr>
          <w:rFonts w:ascii="Times New Roman" w:hAnsi="Times New Roman" w:cs="Times New Roman"/>
          <w:sz w:val="28"/>
          <w:szCs w:val="28"/>
        </w:rPr>
        <w:t xml:space="preserve"> за </w:t>
      </w:r>
      <w:r>
        <w:rPr>
          <w:rFonts w:ascii="Times New Roman" w:hAnsi="Times New Roman" w:cs="Times New Roman"/>
          <w:sz w:val="28"/>
          <w:szCs w:val="28"/>
          <w:lang w:val="en-US"/>
        </w:rPr>
        <w:t>Fuhrman</w:t>
      </w:r>
      <w:r w:rsidRPr="009E6C7E">
        <w:rPr>
          <w:rFonts w:ascii="Times New Roman" w:hAnsi="Times New Roman" w:cs="Times New Roman"/>
          <w:sz w:val="28"/>
          <w:szCs w:val="28"/>
        </w:rPr>
        <w:t xml:space="preserve"> </w:t>
      </w:r>
      <w:r>
        <w:rPr>
          <w:rFonts w:ascii="Times New Roman" w:hAnsi="Times New Roman" w:cs="Times New Roman"/>
          <w:sz w:val="28"/>
          <w:szCs w:val="28"/>
        </w:rPr>
        <w:t>була можливою із чутливістю та специфічністю відповідно 100% та 80% при граничній величині експресії міР-15а 4,44</w:t>
      </w:r>
      <w:r>
        <w:rPr>
          <w:rFonts w:ascii="Times New Roman" w:eastAsia="Times New Roman" w:hAnsi="Times New Roman" w:cs="Times New Roman"/>
          <w:sz w:val="28"/>
          <w:szCs w:val="28"/>
          <w:lang w:eastAsia="uk-UA"/>
        </w:rPr>
        <w:t>E-01 УО (</w:t>
      </w:r>
      <w:r>
        <w:rPr>
          <w:rFonts w:ascii="Times New Roman" w:eastAsia="Times New Roman" w:hAnsi="Times New Roman" w:cs="Times New Roman"/>
          <w:sz w:val="28"/>
          <w:szCs w:val="28"/>
          <w:lang w:val="en-US" w:eastAsia="uk-UA"/>
        </w:rPr>
        <w:t>AUC</w:t>
      </w:r>
      <w:r w:rsidRPr="009E6C7E">
        <w:rPr>
          <w:rFonts w:ascii="Times New Roman" w:eastAsia="Times New Roman" w:hAnsi="Times New Roman" w:cs="Times New Roman"/>
          <w:sz w:val="28"/>
          <w:szCs w:val="28"/>
          <w:lang w:eastAsia="uk-UA"/>
        </w:rPr>
        <w:t>=0,967</w:t>
      </w:r>
      <w:r>
        <w:rPr>
          <w:rFonts w:ascii="Times New Roman" w:eastAsia="Times New Roman" w:hAnsi="Times New Roman" w:cs="Times New Roman"/>
          <w:sz w:val="28"/>
          <w:szCs w:val="28"/>
          <w:lang w:eastAsia="uk-UA"/>
        </w:rPr>
        <w:t xml:space="preserve">, 95% ДІ=0,902-0,998, </w:t>
      </w:r>
      <w:r>
        <w:rPr>
          <w:rFonts w:ascii="Times New Roman" w:eastAsia="Times New Roman" w:hAnsi="Times New Roman" w:cs="Times New Roman"/>
          <w:sz w:val="28"/>
          <w:szCs w:val="28"/>
          <w:lang w:eastAsia="uk-UA"/>
        </w:rPr>
        <w:lastRenderedPageBreak/>
        <w:t>р</w:t>
      </w:r>
      <w:r w:rsidRPr="009E6C7E">
        <w:rPr>
          <w:rFonts w:ascii="Times New Roman" w:eastAsia="Times New Roman" w:hAnsi="Times New Roman" w:cs="Times New Roman"/>
          <w:sz w:val="28"/>
          <w:szCs w:val="28"/>
          <w:lang w:eastAsia="uk-UA"/>
        </w:rPr>
        <w:t>&lt;</w:t>
      </w:r>
      <w:r>
        <w:rPr>
          <w:rFonts w:ascii="Times New Roman" w:eastAsia="Times New Roman" w:hAnsi="Times New Roman" w:cs="Times New Roman"/>
          <w:sz w:val="28"/>
          <w:szCs w:val="28"/>
          <w:lang w:eastAsia="uk-UA"/>
        </w:rPr>
        <w:t xml:space="preserve">0,001). Застосування </w:t>
      </w:r>
      <w:r>
        <w:rPr>
          <w:rFonts w:ascii="Times New Roman" w:hAnsi="Times New Roman" w:cs="Times New Roman"/>
          <w:sz w:val="28"/>
          <w:szCs w:val="28"/>
        </w:rPr>
        <w:t xml:space="preserve">експресії міР-15а із пороговим значенням 3,81Е-1 УО для </w:t>
      </w:r>
      <w:r>
        <w:rPr>
          <w:rFonts w:ascii="Times New Roman" w:eastAsia="Times New Roman" w:hAnsi="Times New Roman" w:cs="Times New Roman"/>
          <w:sz w:val="28"/>
          <w:szCs w:val="28"/>
          <w:lang w:eastAsia="uk-UA"/>
        </w:rPr>
        <w:t>диференціації наявності некрозу пухлини при НКР від його відсутності дозволяло отримати 88,9% чутливість та 79,1% специфічність (</w:t>
      </w:r>
      <w:r>
        <w:rPr>
          <w:rFonts w:ascii="Times New Roman" w:eastAsia="Times New Roman" w:hAnsi="Times New Roman" w:cs="Times New Roman"/>
          <w:sz w:val="28"/>
          <w:szCs w:val="28"/>
          <w:lang w:val="en-US" w:eastAsia="uk-UA"/>
        </w:rPr>
        <w:t>AUC</w:t>
      </w:r>
      <w:r w:rsidRPr="009E6C7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0,920, 95% ДІ=0,839-0,989, р</w:t>
      </w:r>
      <w:r w:rsidRPr="009E6C7E">
        <w:rPr>
          <w:rFonts w:ascii="Times New Roman" w:eastAsia="Times New Roman" w:hAnsi="Times New Roman" w:cs="Times New Roman"/>
          <w:sz w:val="28"/>
          <w:szCs w:val="28"/>
          <w:lang w:eastAsia="uk-UA"/>
        </w:rPr>
        <w:t>&lt;</w:t>
      </w:r>
      <w:r>
        <w:rPr>
          <w:rFonts w:ascii="Times New Roman" w:eastAsia="Times New Roman" w:hAnsi="Times New Roman" w:cs="Times New Roman"/>
          <w:sz w:val="28"/>
          <w:szCs w:val="28"/>
          <w:lang w:eastAsia="uk-UA"/>
        </w:rPr>
        <w:t>0,001).</w:t>
      </w:r>
      <w:r w:rsidRPr="00CD568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Крім цього, а</w:t>
      </w:r>
      <w:r w:rsidRPr="003008FB">
        <w:rPr>
          <w:rFonts w:ascii="Times New Roman" w:hAnsi="Times New Roman" w:cs="Times New Roman"/>
          <w:color w:val="000000" w:themeColor="text1"/>
          <w:sz w:val="28"/>
          <w:szCs w:val="28"/>
        </w:rPr>
        <w:t xml:space="preserve">наліз </w:t>
      </w:r>
      <w:r w:rsidRPr="003008FB">
        <w:rPr>
          <w:rFonts w:ascii="Times New Roman" w:hAnsi="Times New Roman" w:cs="Times New Roman"/>
          <w:sz w:val="28"/>
          <w:szCs w:val="28"/>
        </w:rPr>
        <w:t xml:space="preserve">експресії </w:t>
      </w:r>
      <w:r w:rsidRPr="003008FB">
        <w:rPr>
          <w:rFonts w:ascii="Times New Roman" w:hAnsi="Times New Roman" w:cs="Times New Roman"/>
          <w:color w:val="000000" w:themeColor="text1"/>
          <w:sz w:val="28"/>
          <w:szCs w:val="28"/>
        </w:rPr>
        <w:t xml:space="preserve">miR-15а у хворих із НКР до та після оперативного втручання продемонстрував статистично достовірне  </w:t>
      </w:r>
      <w:r w:rsidRPr="003008FB">
        <w:rPr>
          <w:rFonts w:ascii="Times New Roman" w:hAnsi="Times New Roman" w:cs="Times New Roman"/>
          <w:sz w:val="28"/>
          <w:szCs w:val="28"/>
        </w:rPr>
        <w:t>(р</w:t>
      </w:r>
      <w:r w:rsidRPr="003008FB">
        <w:rPr>
          <w:rFonts w:ascii="Times New Roman" w:eastAsia="Times New Roman" w:hAnsi="Times New Roman" w:cs="Times New Roman"/>
          <w:sz w:val="28"/>
          <w:szCs w:val="28"/>
          <w:lang w:eastAsia="uk-UA"/>
        </w:rPr>
        <w:t>&lt;0,001</w:t>
      </w:r>
      <w:r w:rsidRPr="003008FB">
        <w:rPr>
          <w:rFonts w:ascii="Times New Roman" w:hAnsi="Times New Roman" w:cs="Times New Roman"/>
          <w:sz w:val="28"/>
          <w:szCs w:val="28"/>
        </w:rPr>
        <w:t xml:space="preserve">) її зниження в післяопераційному періоді в середньому на </w:t>
      </w:r>
      <w:r w:rsidRPr="003008FB">
        <w:rPr>
          <w:rFonts w:ascii="Times New Roman" w:eastAsia="Times New Roman" w:hAnsi="Times New Roman" w:cs="Times New Roman"/>
          <w:color w:val="000000" w:themeColor="text1"/>
          <w:sz w:val="28"/>
          <w:szCs w:val="28"/>
          <w:lang w:eastAsia="uk-UA"/>
        </w:rPr>
        <w:t>99,53%</w:t>
      </w:r>
      <w:r>
        <w:rPr>
          <w:rFonts w:ascii="Times New Roman" w:eastAsia="Times New Roman" w:hAnsi="Times New Roman" w:cs="Times New Roman"/>
          <w:color w:val="000000" w:themeColor="text1"/>
          <w:sz w:val="28"/>
          <w:szCs w:val="28"/>
          <w:lang w:eastAsia="uk-UA"/>
        </w:rPr>
        <w:t xml:space="preserve"> (з </w:t>
      </w:r>
      <w:r w:rsidRPr="003008FB">
        <w:rPr>
          <w:rFonts w:ascii="Times New Roman" w:eastAsia="Times New Roman" w:hAnsi="Times New Roman" w:cs="Times New Roman"/>
          <w:sz w:val="28"/>
          <w:szCs w:val="28"/>
          <w:lang w:eastAsia="uk-UA"/>
        </w:rPr>
        <w:t>2,50E-01</w:t>
      </w:r>
      <w:r>
        <w:rPr>
          <w:rFonts w:ascii="Times New Roman" w:eastAsia="Times New Roman" w:hAnsi="Times New Roman" w:cs="Times New Roman"/>
          <w:sz w:val="28"/>
          <w:szCs w:val="28"/>
          <w:lang w:eastAsia="uk-UA"/>
        </w:rPr>
        <w:t>±</w:t>
      </w:r>
      <w:r w:rsidRPr="003008FB">
        <w:rPr>
          <w:rFonts w:ascii="Times New Roman" w:eastAsia="Times New Roman" w:hAnsi="Times New Roman" w:cs="Times New Roman"/>
          <w:sz w:val="28"/>
          <w:szCs w:val="28"/>
          <w:lang w:eastAsia="uk-UA"/>
        </w:rPr>
        <w:t>2,72E-01</w:t>
      </w:r>
      <w:r>
        <w:rPr>
          <w:rFonts w:ascii="Times New Roman" w:eastAsia="Times New Roman" w:hAnsi="Times New Roman" w:cs="Times New Roman"/>
          <w:sz w:val="28"/>
          <w:szCs w:val="28"/>
          <w:lang w:eastAsia="uk-UA"/>
        </w:rPr>
        <w:t xml:space="preserve"> УО до </w:t>
      </w:r>
      <w:r w:rsidRPr="003008FB">
        <w:rPr>
          <w:rFonts w:ascii="Times New Roman" w:eastAsia="Times New Roman" w:hAnsi="Times New Roman" w:cs="Times New Roman"/>
          <w:sz w:val="28"/>
          <w:szCs w:val="28"/>
          <w:lang w:eastAsia="uk-UA"/>
        </w:rPr>
        <w:t>1,18E-03</w:t>
      </w:r>
      <w:r>
        <w:rPr>
          <w:rFonts w:ascii="Times New Roman" w:eastAsia="Times New Roman" w:hAnsi="Times New Roman" w:cs="Times New Roman"/>
          <w:sz w:val="28"/>
          <w:szCs w:val="28"/>
          <w:lang w:eastAsia="uk-UA"/>
        </w:rPr>
        <w:t>±</w:t>
      </w:r>
      <w:r w:rsidRPr="003008FB">
        <w:rPr>
          <w:rFonts w:ascii="Times New Roman" w:eastAsia="Times New Roman" w:hAnsi="Times New Roman" w:cs="Times New Roman"/>
          <w:sz w:val="28"/>
          <w:szCs w:val="28"/>
          <w:lang w:eastAsia="uk-UA"/>
        </w:rPr>
        <w:t>5,36E-04</w:t>
      </w:r>
      <w:r>
        <w:rPr>
          <w:rFonts w:ascii="Times New Roman" w:eastAsia="Times New Roman" w:hAnsi="Times New Roman" w:cs="Times New Roman"/>
          <w:sz w:val="28"/>
          <w:szCs w:val="28"/>
          <w:lang w:eastAsia="uk-UA"/>
        </w:rPr>
        <w:t xml:space="preserve"> УО</w:t>
      </w:r>
      <w:r>
        <w:rPr>
          <w:rFonts w:ascii="Times New Roman" w:eastAsia="Times New Roman" w:hAnsi="Times New Roman" w:cs="Times New Roman"/>
          <w:color w:val="000000" w:themeColor="text1"/>
          <w:sz w:val="28"/>
          <w:szCs w:val="28"/>
          <w:lang w:eastAsia="uk-UA"/>
        </w:rPr>
        <w:t>)</w:t>
      </w:r>
      <w:r w:rsidRPr="003008FB">
        <w:rPr>
          <w:rFonts w:ascii="Times New Roman" w:hAnsi="Times New Roman" w:cs="Times New Roman"/>
          <w:sz w:val="28"/>
          <w:szCs w:val="28"/>
        </w:rPr>
        <w:t xml:space="preserve">, що може бути використано для оцінки </w:t>
      </w:r>
      <w:r>
        <w:rPr>
          <w:rFonts w:ascii="Times New Roman" w:hAnsi="Times New Roman" w:cs="Times New Roman"/>
          <w:sz w:val="28"/>
          <w:szCs w:val="28"/>
        </w:rPr>
        <w:t>радикальності</w:t>
      </w:r>
      <w:r w:rsidRPr="003008FB">
        <w:rPr>
          <w:rFonts w:ascii="Times New Roman" w:hAnsi="Times New Roman" w:cs="Times New Roman"/>
          <w:sz w:val="28"/>
          <w:szCs w:val="28"/>
        </w:rPr>
        <w:t xml:space="preserve"> проведеного лікування</w:t>
      </w:r>
      <w:r>
        <w:rPr>
          <w:rFonts w:ascii="Times New Roman" w:hAnsi="Times New Roman" w:cs="Times New Roman"/>
          <w:sz w:val="28"/>
          <w:szCs w:val="28"/>
        </w:rPr>
        <w:t xml:space="preserve"> (у всіх випадках хірургічні краї після виконаної парціальної нефректомії при НКР були негативним). Отримані дані дозволяють стверджувати про високий потенціал застосування міР-15а у якості молекулярного біомаркеру у діагностиці НКР, а також для скринінгу та моніторингу післяопераційного періоду.</w:t>
      </w:r>
    </w:p>
    <w:p w:rsidR="000645F1" w:rsidRDefault="000645F1" w:rsidP="000645F1">
      <w:pPr>
        <w:spacing w:line="360" w:lineRule="auto"/>
        <w:ind w:firstLine="708"/>
        <w:jc w:val="both"/>
        <w:rPr>
          <w:rFonts w:ascii="Times New Roman" w:hAnsi="Times New Roman" w:cs="Times New Roman"/>
          <w:sz w:val="28"/>
          <w:szCs w:val="28"/>
          <w:lang w:bidi="he-IL"/>
        </w:rPr>
      </w:pPr>
      <w:r>
        <w:rPr>
          <w:rFonts w:ascii="Times New Roman" w:hAnsi="Times New Roman" w:cs="Times New Roman"/>
          <w:sz w:val="28"/>
          <w:szCs w:val="28"/>
          <w:lang w:bidi="he-IL"/>
        </w:rPr>
        <w:t>Нами не було знайдено статистично достовірної різниці при порівнянні середніх значень вільної РНК в сечі досліджуваних груп між собою (р</w:t>
      </w:r>
      <w:r w:rsidRPr="009E6C7E">
        <w:rPr>
          <w:rFonts w:ascii="Times New Roman" w:hAnsi="Times New Roman" w:cs="Times New Roman"/>
          <w:sz w:val="28"/>
          <w:szCs w:val="28"/>
          <w:lang w:bidi="he-IL"/>
        </w:rPr>
        <w:t>&gt;</w:t>
      </w:r>
      <w:r>
        <w:rPr>
          <w:rFonts w:ascii="Times New Roman" w:hAnsi="Times New Roman" w:cs="Times New Roman"/>
          <w:sz w:val="28"/>
          <w:szCs w:val="28"/>
          <w:lang w:bidi="he-IL"/>
        </w:rPr>
        <w:t xml:space="preserve">0,05). Проте, нами була отримана статистично достовірна різниця у середніх значеннях вільної РНК виміряної в сечі хворих із НКР з та без мікроскопічної інвазії ЧМС нирки і які становили відповідно 1796,42±45,67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xml:space="preserve"> та 987,71±296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xml:space="preserve"> (р</w:t>
      </w:r>
      <w:r w:rsidRPr="009E6C7E">
        <w:rPr>
          <w:rFonts w:ascii="Times New Roman" w:hAnsi="Times New Roman" w:cs="Times New Roman"/>
          <w:sz w:val="28"/>
          <w:szCs w:val="28"/>
          <w:lang w:bidi="he-IL"/>
        </w:rPr>
        <w:t>&lt;</w:t>
      </w:r>
      <w:r>
        <w:rPr>
          <w:rFonts w:ascii="Times New Roman" w:hAnsi="Times New Roman" w:cs="Times New Roman"/>
          <w:sz w:val="28"/>
          <w:szCs w:val="28"/>
          <w:lang w:bidi="he-IL"/>
        </w:rPr>
        <w:t xml:space="preserve">0,001, </w:t>
      </w:r>
      <w:r>
        <w:rPr>
          <w:rFonts w:ascii="Times New Roman" w:hAnsi="Times New Roman" w:cs="Times New Roman"/>
          <w:sz w:val="28"/>
          <w:szCs w:val="28"/>
          <w:lang w:val="en-US" w:bidi="he-IL"/>
        </w:rPr>
        <w:t>t</w:t>
      </w:r>
      <w:r>
        <w:rPr>
          <w:rFonts w:ascii="Times New Roman" w:hAnsi="Times New Roman" w:cs="Times New Roman"/>
          <w:sz w:val="28"/>
          <w:szCs w:val="28"/>
          <w:lang w:bidi="he-IL"/>
        </w:rPr>
        <w:t xml:space="preserve">=4,458). </w:t>
      </w:r>
      <w:r>
        <w:rPr>
          <w:rFonts w:ascii="Times New Roman" w:hAnsi="Times New Roman" w:cs="Times New Roman"/>
          <w:sz w:val="28"/>
          <w:szCs w:val="28"/>
        </w:rPr>
        <w:t xml:space="preserve">При пороговому значенні вільної тотальної РНК 1641,24 </w:t>
      </w:r>
      <w:r w:rsidRPr="003008FB">
        <w:rPr>
          <w:rFonts w:ascii="Times New Roman" w:hAnsi="Times New Roman" w:cs="Times New Roman"/>
          <w:sz w:val="28"/>
          <w:szCs w:val="28"/>
          <w:lang w:bidi="he-IL"/>
        </w:rPr>
        <w:t>нг/мкл</w:t>
      </w:r>
      <w:r>
        <w:rPr>
          <w:rFonts w:ascii="Times New Roman" w:hAnsi="Times New Roman" w:cs="Times New Roman"/>
          <w:sz w:val="28"/>
          <w:szCs w:val="28"/>
          <w:lang w:bidi="he-IL"/>
        </w:rPr>
        <w:t>, ми диференціювали наявність мікроскопічної інвазії ЧМС від її відсутності при НКР із чутливістю та специфічністю 100%. Такі результати дозволяють використовувати даний молекулярний біомаркер для виявлення випадків мікроскопічної інвазії чашко-мискової системи нирки пухлиною при НКР на доопераційному етапі, що є важливим з практичної точки зору, враховуючи прогностичну роль ураження пухлиною ЧМС.</w:t>
      </w:r>
    </w:p>
    <w:p w:rsidR="000645F1" w:rsidRDefault="000645F1" w:rsidP="000645F1">
      <w:pPr>
        <w:spacing w:line="360" w:lineRule="auto"/>
        <w:ind w:firstLine="708"/>
        <w:jc w:val="both"/>
        <w:rPr>
          <w:rFonts w:ascii="Times New Roman" w:hAnsi="Times New Roman" w:cs="Times New Roman"/>
          <w:sz w:val="28"/>
          <w:szCs w:val="28"/>
          <w:lang w:bidi="he-IL"/>
        </w:rPr>
      </w:pPr>
      <w:r>
        <w:rPr>
          <w:rFonts w:ascii="Times New Roman" w:hAnsi="Times New Roman" w:cs="Times New Roman"/>
          <w:sz w:val="28"/>
          <w:szCs w:val="28"/>
          <w:lang w:bidi="he-IL"/>
        </w:rPr>
        <w:t>На основі отриманих результатів було розроблено алгоритм застосування вивчених молекулярних біомаркерів НКР у скринінгу, діагностиці та моніторингу післяопераційного періоду (рисунок 8.3.).</w:t>
      </w:r>
    </w:p>
    <w:p w:rsidR="000645F1" w:rsidRDefault="000645F1" w:rsidP="000645F1">
      <w:pPr>
        <w:spacing w:line="360" w:lineRule="auto"/>
        <w:jc w:val="both"/>
        <w:rPr>
          <w:rFonts w:ascii="Times New Roman" w:hAnsi="Times New Roman" w:cs="Times New Roman"/>
          <w:sz w:val="28"/>
          <w:szCs w:val="28"/>
          <w:lang w:bidi="he-IL"/>
        </w:rPr>
      </w:pPr>
    </w:p>
    <w:p w:rsidR="000645F1" w:rsidRPr="00ED0BF0" w:rsidRDefault="000645F1" w:rsidP="000645F1">
      <w:pPr>
        <w:spacing w:line="360" w:lineRule="auto"/>
        <w:jc w:val="center"/>
        <w:rPr>
          <w:sz w:val="28"/>
          <w:szCs w:val="28"/>
        </w:rPr>
      </w:pPr>
      <w:r>
        <w:rPr>
          <w:noProof/>
          <w:sz w:val="28"/>
          <w:szCs w:val="28"/>
          <w:lang w:val="en-US"/>
        </w:rPr>
        <w:lastRenderedPageBreak/>
        <w:drawing>
          <wp:inline distT="0" distB="0" distL="0" distR="0" wp14:anchorId="7A55F7CD" wp14:editId="4F1068F6">
            <wp:extent cx="4511615" cy="5081233"/>
            <wp:effectExtent l="0" t="0" r="3810" b="5715"/>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молекул діагн.jp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4515835" cy="5085985"/>
                    </a:xfrm>
                    <a:prstGeom prst="rect">
                      <a:avLst/>
                    </a:prstGeom>
                  </pic:spPr>
                </pic:pic>
              </a:graphicData>
            </a:graphic>
          </wp:inline>
        </w:drawing>
      </w:r>
    </w:p>
    <w:p w:rsidR="000645F1" w:rsidRDefault="000645F1" w:rsidP="000645F1">
      <w:pPr>
        <w:spacing w:line="360" w:lineRule="auto"/>
        <w:ind w:firstLine="708"/>
        <w:jc w:val="center"/>
        <w:rPr>
          <w:rFonts w:ascii="Times New Roman" w:hAnsi="Times New Roman" w:cs="Times New Roman"/>
          <w:sz w:val="28"/>
          <w:szCs w:val="28"/>
          <w:lang w:bidi="he-IL"/>
        </w:rPr>
      </w:pPr>
      <w:r>
        <w:rPr>
          <w:rFonts w:ascii="Times New Roman" w:hAnsi="Times New Roman" w:cs="Times New Roman"/>
          <w:sz w:val="28"/>
          <w:szCs w:val="28"/>
        </w:rPr>
        <w:t xml:space="preserve">Рис. 8.3. </w:t>
      </w:r>
      <w:r>
        <w:rPr>
          <w:rFonts w:ascii="Times New Roman" w:hAnsi="Times New Roman" w:cs="Times New Roman"/>
          <w:sz w:val="28"/>
          <w:szCs w:val="28"/>
          <w:lang w:bidi="he-IL"/>
        </w:rPr>
        <w:t>Алгоритм застосування молекулярних біомаркерів НКР (міР-15а та тотальної РНК в сечі)  у скринінгу, діагностиці та моніторингу післяопераційного періоду</w:t>
      </w:r>
    </w:p>
    <w:p w:rsidR="000645F1" w:rsidRDefault="000645F1" w:rsidP="000645F1">
      <w:pPr>
        <w:spacing w:line="360" w:lineRule="auto"/>
        <w:ind w:firstLine="708"/>
        <w:jc w:val="both"/>
        <w:rPr>
          <w:rFonts w:ascii="Times New Roman" w:hAnsi="Times New Roman" w:cs="Times New Roman"/>
          <w:sz w:val="28"/>
          <w:szCs w:val="28"/>
          <w:lang w:bidi="he-IL"/>
        </w:rPr>
      </w:pP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shd w:val="clear" w:color="auto" w:fill="FFFFFF"/>
        </w:rPr>
        <w:t>Нами була виконана оцінка</w:t>
      </w:r>
      <w:r w:rsidRPr="0093264F">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ефективності</w:t>
      </w:r>
      <w:r w:rsidRPr="0093264F">
        <w:rPr>
          <w:rFonts w:ascii="Times New Roman" w:hAnsi="Times New Roman" w:cs="Times New Roman"/>
          <w:sz w:val="28"/>
          <w:szCs w:val="28"/>
          <w:shd w:val="clear" w:color="auto" w:fill="FFFFFF"/>
        </w:rPr>
        <w:t xml:space="preserve"> застосування </w:t>
      </w:r>
      <w:r>
        <w:rPr>
          <w:rFonts w:ascii="Times New Roman" w:hAnsi="Times New Roman" w:cs="Times New Roman"/>
          <w:sz w:val="28"/>
          <w:szCs w:val="28"/>
          <w:shd w:val="clear" w:color="auto" w:fill="FFFFFF"/>
        </w:rPr>
        <w:t>індексу резистентності визначеного за допомогою допплер-УЗД</w:t>
      </w:r>
      <w:r w:rsidRPr="0093264F">
        <w:rPr>
          <w:rFonts w:ascii="Times New Roman" w:hAnsi="Times New Roman" w:cs="Times New Roman"/>
          <w:sz w:val="28"/>
          <w:szCs w:val="28"/>
          <w:shd w:val="clear" w:color="auto" w:fill="FFFFFF"/>
        </w:rPr>
        <w:t xml:space="preserve"> </w:t>
      </w:r>
      <w:r w:rsidRPr="00010C6B">
        <w:rPr>
          <w:rFonts w:ascii="Times New Roman" w:hAnsi="Times New Roman" w:cs="Times New Roman"/>
          <w:b/>
          <w:sz w:val="28"/>
          <w:szCs w:val="28"/>
          <w:shd w:val="clear" w:color="auto" w:fill="FFFFFF"/>
        </w:rPr>
        <w:t xml:space="preserve">у якості біомаркеру передбачення об’єму інтраопераційної крововтрати </w:t>
      </w:r>
      <w:r w:rsidRPr="00010C6B">
        <w:rPr>
          <w:rFonts w:ascii="Times New Roman" w:hAnsi="Times New Roman" w:cs="Times New Roman"/>
          <w:sz w:val="28"/>
          <w:szCs w:val="28"/>
          <w:shd w:val="clear" w:color="auto" w:fill="FFFFFF"/>
        </w:rPr>
        <w:t xml:space="preserve">під час відкритої радикальної нефректомії </w:t>
      </w:r>
      <w:r w:rsidRPr="00452C2D">
        <w:rPr>
          <w:rFonts w:ascii="Times New Roman" w:hAnsi="Times New Roman" w:cs="Times New Roman"/>
          <w:sz w:val="28"/>
          <w:szCs w:val="28"/>
          <w:shd w:val="clear" w:color="auto" w:fill="FFFFFF"/>
        </w:rPr>
        <w:t>у хворих з НКР</w:t>
      </w:r>
      <w:r>
        <w:rPr>
          <w:rFonts w:ascii="Times New Roman" w:hAnsi="Times New Roman" w:cs="Times New Roman"/>
          <w:sz w:val="28"/>
          <w:szCs w:val="28"/>
          <w:shd w:val="clear" w:color="auto" w:fill="FFFFFF"/>
        </w:rPr>
        <w:t>,</w:t>
      </w:r>
      <w:r w:rsidRPr="00452C2D">
        <w:rPr>
          <w:rFonts w:ascii="Times New Roman" w:hAnsi="Times New Roman" w:cs="Times New Roman"/>
          <w:sz w:val="28"/>
          <w:szCs w:val="28"/>
          <w:shd w:val="clear" w:color="auto" w:fill="FFFFFF"/>
        </w:rPr>
        <w:t xml:space="preserve"> та після </w:t>
      </w:r>
      <w:r>
        <w:rPr>
          <w:rFonts w:ascii="Times New Roman" w:hAnsi="Times New Roman" w:cs="Times New Roman"/>
          <w:sz w:val="28"/>
          <w:szCs w:val="28"/>
          <w:shd w:val="clear" w:color="auto" w:fill="FFFFFF"/>
        </w:rPr>
        <w:t>селективної емболізації ниркових артерій</w:t>
      </w:r>
      <w:r w:rsidRPr="00452C2D">
        <w:rPr>
          <w:rFonts w:ascii="Times New Roman" w:hAnsi="Times New Roman" w:cs="Times New Roman"/>
          <w:sz w:val="28"/>
          <w:szCs w:val="28"/>
          <w:shd w:val="clear" w:color="auto" w:fill="FFFFFF"/>
        </w:rPr>
        <w:t>.</w:t>
      </w:r>
      <w:r w:rsidRPr="00010C6B">
        <w:rPr>
          <w:rFonts w:ascii="Times New Roman" w:hAnsi="Times New Roman" w:cs="Times New Roman"/>
          <w:sz w:val="28"/>
          <w:szCs w:val="28"/>
          <w:shd w:val="clear" w:color="auto" w:fill="FFFFFF"/>
        </w:rPr>
        <w:t xml:space="preserve"> </w:t>
      </w:r>
      <w:r w:rsidRPr="0093264F">
        <w:rPr>
          <w:rFonts w:ascii="Times New Roman" w:hAnsi="Times New Roman" w:cs="Times New Roman"/>
          <w:sz w:val="28"/>
          <w:szCs w:val="28"/>
          <w:shd w:val="clear" w:color="auto" w:fill="FFFFFF"/>
        </w:rPr>
        <w:t xml:space="preserve">До основної групи ввійшло 33 хворих (18 чоловіків і 15 жінок) із солідним НКР за даними клінічних і променевих досліджень та із показами до </w:t>
      </w:r>
      <w:r>
        <w:rPr>
          <w:rFonts w:ascii="Times New Roman" w:hAnsi="Times New Roman" w:cs="Times New Roman"/>
          <w:sz w:val="28"/>
          <w:szCs w:val="28"/>
          <w:shd w:val="clear" w:color="auto" w:fill="FFFFFF"/>
        </w:rPr>
        <w:t>С</w:t>
      </w:r>
      <w:r w:rsidRPr="0093264F">
        <w:rPr>
          <w:rFonts w:ascii="Times New Roman" w:hAnsi="Times New Roman" w:cs="Times New Roman"/>
          <w:sz w:val="28"/>
          <w:szCs w:val="28"/>
          <w:shd w:val="clear" w:color="auto" w:fill="FFFFFF"/>
        </w:rPr>
        <w:t>ЕНА</w:t>
      </w:r>
      <w:r w:rsidRPr="009E6C7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пухлина значних розмірів та високої васкуляризації за даними променевих обстежень, персистуюча макро- чи мікрогематурія, яка не </w:t>
      </w:r>
      <w:r>
        <w:rPr>
          <w:rFonts w:ascii="Times New Roman" w:hAnsi="Times New Roman" w:cs="Times New Roman"/>
          <w:sz w:val="28"/>
          <w:szCs w:val="28"/>
          <w:shd w:val="clear" w:color="auto" w:fill="FFFFFF"/>
        </w:rPr>
        <w:lastRenderedPageBreak/>
        <w:t xml:space="preserve">купувалась медикаментозно) </w:t>
      </w:r>
      <w:r w:rsidRPr="0093264F">
        <w:rPr>
          <w:rFonts w:ascii="Times New Roman" w:hAnsi="Times New Roman" w:cs="Times New Roman"/>
          <w:sz w:val="28"/>
          <w:szCs w:val="28"/>
          <w:shd w:val="clear" w:color="auto" w:fill="FFFFFF"/>
        </w:rPr>
        <w:t>і подальшої радикальної нефректомії. Вік пацієнтів варіювався від 52 до 70 років, середній вік складав 62</w:t>
      </w:r>
      <w:r>
        <w:rPr>
          <w:rFonts w:ascii="Times New Roman" w:hAnsi="Times New Roman" w:cs="Times New Roman"/>
          <w:sz w:val="28"/>
          <w:szCs w:val="28"/>
          <w:shd w:val="clear" w:color="auto" w:fill="FFFFFF"/>
        </w:rPr>
        <w:t>,43</w:t>
      </w:r>
      <w:r w:rsidRPr="0093264F">
        <w:rPr>
          <w:rFonts w:ascii="Times New Roman" w:hAnsi="Times New Roman" w:cs="Times New Roman"/>
          <w:sz w:val="28"/>
          <w:szCs w:val="28"/>
          <w:shd w:val="clear" w:color="auto" w:fill="FFFFFF"/>
        </w:rPr>
        <w:t>±6,3</w:t>
      </w:r>
      <w:r>
        <w:rPr>
          <w:rFonts w:ascii="Times New Roman" w:hAnsi="Times New Roman" w:cs="Times New Roman"/>
          <w:sz w:val="28"/>
          <w:szCs w:val="28"/>
          <w:shd w:val="clear" w:color="auto" w:fill="FFFFFF"/>
        </w:rPr>
        <w:t>3</w:t>
      </w:r>
      <w:r w:rsidRPr="0093264F">
        <w:rPr>
          <w:rFonts w:ascii="Times New Roman" w:hAnsi="Times New Roman" w:cs="Times New Roman"/>
          <w:sz w:val="28"/>
          <w:szCs w:val="28"/>
          <w:shd w:val="clear" w:color="auto" w:fill="FFFFFF"/>
        </w:rPr>
        <w:t xml:space="preserve"> роки. Ро</w:t>
      </w:r>
      <w:r>
        <w:rPr>
          <w:rFonts w:ascii="Times New Roman" w:hAnsi="Times New Roman" w:cs="Times New Roman"/>
          <w:sz w:val="28"/>
          <w:szCs w:val="28"/>
          <w:shd w:val="clear" w:color="auto" w:fill="FFFFFF"/>
        </w:rPr>
        <w:t>змір новоутворів коливався від 8</w:t>
      </w:r>
      <w:r w:rsidRPr="0093264F">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rPr>
        <w:t>4 до 11,34</w:t>
      </w:r>
      <w:r w:rsidRPr="0093264F">
        <w:rPr>
          <w:rFonts w:ascii="Times New Roman" w:hAnsi="Times New Roman" w:cs="Times New Roman"/>
          <w:sz w:val="28"/>
          <w:szCs w:val="28"/>
          <w:shd w:val="clear" w:color="auto" w:fill="FFFFFF"/>
        </w:rPr>
        <w:t xml:space="preserve"> см, сере</w:t>
      </w:r>
      <w:r>
        <w:rPr>
          <w:rFonts w:ascii="Times New Roman" w:hAnsi="Times New Roman" w:cs="Times New Roman"/>
          <w:sz w:val="28"/>
          <w:szCs w:val="28"/>
          <w:shd w:val="clear" w:color="auto" w:fill="FFFFFF"/>
        </w:rPr>
        <w:t>дній розмір пухлини становив 9,11±0</w:t>
      </w:r>
      <w:r w:rsidRPr="0093264F">
        <w:rPr>
          <w:rFonts w:ascii="Times New Roman" w:hAnsi="Times New Roman" w:cs="Times New Roman"/>
          <w:sz w:val="28"/>
          <w:szCs w:val="28"/>
          <w:shd w:val="clear" w:color="auto" w:fill="FFFFFF"/>
        </w:rPr>
        <w:t>,8</w:t>
      </w:r>
      <w:r>
        <w:rPr>
          <w:rFonts w:ascii="Times New Roman" w:hAnsi="Times New Roman" w:cs="Times New Roman"/>
          <w:sz w:val="28"/>
          <w:szCs w:val="28"/>
          <w:shd w:val="clear" w:color="auto" w:fill="FFFFFF"/>
        </w:rPr>
        <w:t>4  см у найбільшому вимірі.</w:t>
      </w:r>
      <w:r w:rsidRPr="00010C6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Контрольну групу склали 20 здорових волонтерів, без ознак ниркової патології (</w:t>
      </w:r>
      <w:r>
        <w:rPr>
          <w:rFonts w:ascii="Times New Roman" w:hAnsi="Times New Roman" w:cs="Times New Roman"/>
          <w:sz w:val="28"/>
          <w:szCs w:val="28"/>
        </w:rPr>
        <w:t>12 чоловіків і 8 жінок,</w:t>
      </w:r>
      <w:r w:rsidRPr="0093264F">
        <w:rPr>
          <w:rFonts w:ascii="Times New Roman" w:hAnsi="Times New Roman" w:cs="Times New Roman"/>
          <w:sz w:val="28"/>
          <w:szCs w:val="28"/>
        </w:rPr>
        <w:t xml:space="preserve"> віком від</w:t>
      </w:r>
      <w:r>
        <w:rPr>
          <w:rFonts w:ascii="Times New Roman" w:hAnsi="Times New Roman" w:cs="Times New Roman"/>
          <w:sz w:val="28"/>
          <w:szCs w:val="28"/>
        </w:rPr>
        <w:t xml:space="preserve"> 38 до 50 років, середній вік 55</w:t>
      </w:r>
      <w:r w:rsidRPr="0093264F">
        <w:rPr>
          <w:rFonts w:ascii="Times New Roman" w:hAnsi="Times New Roman" w:cs="Times New Roman"/>
          <w:sz w:val="28"/>
          <w:szCs w:val="28"/>
        </w:rPr>
        <w:t>,2</w:t>
      </w:r>
      <w:r>
        <w:rPr>
          <w:rFonts w:ascii="Times New Roman" w:hAnsi="Times New Roman" w:cs="Times New Roman"/>
          <w:sz w:val="28"/>
          <w:szCs w:val="28"/>
        </w:rPr>
        <w:t>4±3,23</w:t>
      </w:r>
      <w:r w:rsidRPr="0093264F">
        <w:rPr>
          <w:rFonts w:ascii="Times New Roman" w:hAnsi="Times New Roman" w:cs="Times New Roman"/>
          <w:sz w:val="28"/>
          <w:szCs w:val="28"/>
        </w:rPr>
        <w:t xml:space="preserve"> роки)</w:t>
      </w:r>
      <w:r>
        <w:rPr>
          <w:rFonts w:ascii="Times New Roman" w:hAnsi="Times New Roman" w:cs="Times New Roman"/>
          <w:sz w:val="28"/>
          <w:szCs w:val="28"/>
        </w:rPr>
        <w:t>.</w:t>
      </w:r>
    </w:p>
    <w:p w:rsidR="000645F1" w:rsidRDefault="000645F1" w:rsidP="000645F1">
      <w:pPr>
        <w:spacing w:line="360" w:lineRule="auto"/>
        <w:ind w:firstLine="708"/>
        <w:jc w:val="both"/>
        <w:rPr>
          <w:rFonts w:ascii="Times New Roman" w:hAnsi="Times New Roman" w:cs="Times New Roman"/>
          <w:sz w:val="28"/>
          <w:szCs w:val="28"/>
        </w:rPr>
      </w:pPr>
      <w:r w:rsidRPr="0093264F">
        <w:rPr>
          <w:rFonts w:ascii="Times New Roman" w:hAnsi="Times New Roman" w:cs="Times New Roman"/>
          <w:sz w:val="28"/>
          <w:szCs w:val="28"/>
        </w:rPr>
        <w:t>Всім пацієнтам із НКР в той самий</w:t>
      </w:r>
      <w:r>
        <w:rPr>
          <w:rFonts w:ascii="Times New Roman" w:hAnsi="Times New Roman" w:cs="Times New Roman"/>
          <w:sz w:val="28"/>
          <w:szCs w:val="28"/>
        </w:rPr>
        <w:t>,</w:t>
      </w:r>
      <w:r w:rsidRPr="0093264F">
        <w:rPr>
          <w:rFonts w:ascii="Times New Roman" w:hAnsi="Times New Roman" w:cs="Times New Roman"/>
          <w:sz w:val="28"/>
          <w:szCs w:val="28"/>
        </w:rPr>
        <w:t xml:space="preserve"> чи за 1 день перед </w:t>
      </w:r>
      <w:r>
        <w:rPr>
          <w:rFonts w:ascii="Times New Roman" w:hAnsi="Times New Roman" w:cs="Times New Roman"/>
          <w:sz w:val="28"/>
          <w:szCs w:val="28"/>
        </w:rPr>
        <w:t>С</w:t>
      </w:r>
      <w:r w:rsidRPr="0093264F">
        <w:rPr>
          <w:rFonts w:ascii="Times New Roman" w:hAnsi="Times New Roman" w:cs="Times New Roman"/>
          <w:sz w:val="28"/>
          <w:szCs w:val="28"/>
        </w:rPr>
        <w:t>ЕНА</w:t>
      </w:r>
      <w:r w:rsidR="00607DFC">
        <w:rPr>
          <w:rFonts w:ascii="Times New Roman" w:hAnsi="Times New Roman" w:cs="Times New Roman"/>
          <w:sz w:val="28"/>
          <w:szCs w:val="28"/>
        </w:rPr>
        <w:t>, та на 5</w:t>
      </w:r>
      <w:r>
        <w:rPr>
          <w:rFonts w:ascii="Times New Roman" w:hAnsi="Times New Roman" w:cs="Times New Roman"/>
          <w:sz w:val="28"/>
          <w:szCs w:val="28"/>
        </w:rPr>
        <w:t xml:space="preserve"> день після неї, проводили УЗД-обстеження нирок, яке включало визначення індексу резистентності (ІР) над ділянкою новоутворення в доплерографічному режимі сканування (датчик 4,5</w:t>
      </w:r>
      <w:r w:rsidRPr="009E6C7E">
        <w:rPr>
          <w:rFonts w:ascii="Times New Roman" w:hAnsi="Times New Roman" w:cs="Times New Roman"/>
          <w:sz w:val="28"/>
          <w:szCs w:val="28"/>
          <w:lang w:val="ru-RU"/>
        </w:rPr>
        <w:t xml:space="preserve"> </w:t>
      </w:r>
      <w:r>
        <w:rPr>
          <w:rFonts w:ascii="Times New Roman" w:hAnsi="Times New Roman" w:cs="Times New Roman"/>
          <w:sz w:val="28"/>
          <w:szCs w:val="28"/>
        </w:rPr>
        <w:t>МГц).</w:t>
      </w:r>
      <w:r w:rsidRPr="00010C6B">
        <w:rPr>
          <w:rFonts w:ascii="Times New Roman" w:hAnsi="Times New Roman" w:cs="Times New Roman"/>
          <w:sz w:val="28"/>
          <w:szCs w:val="28"/>
        </w:rPr>
        <w:t xml:space="preserve"> </w:t>
      </w:r>
      <w:r>
        <w:rPr>
          <w:rFonts w:ascii="Times New Roman" w:hAnsi="Times New Roman" w:cs="Times New Roman"/>
          <w:sz w:val="28"/>
          <w:szCs w:val="28"/>
        </w:rPr>
        <w:t>Селективна</w:t>
      </w:r>
      <w:r w:rsidRPr="0093264F">
        <w:rPr>
          <w:rFonts w:ascii="Times New Roman" w:hAnsi="Times New Roman" w:cs="Times New Roman"/>
          <w:sz w:val="28"/>
          <w:szCs w:val="28"/>
        </w:rPr>
        <w:t xml:space="preserve"> </w:t>
      </w:r>
      <w:r>
        <w:rPr>
          <w:rFonts w:ascii="Times New Roman" w:hAnsi="Times New Roman" w:cs="Times New Roman"/>
          <w:sz w:val="28"/>
          <w:szCs w:val="28"/>
        </w:rPr>
        <w:t>емболізація ниркових артерій виконувалась</w:t>
      </w:r>
      <w:r w:rsidRPr="0093264F">
        <w:rPr>
          <w:rFonts w:ascii="Times New Roman" w:hAnsi="Times New Roman" w:cs="Times New Roman"/>
          <w:sz w:val="28"/>
          <w:szCs w:val="28"/>
        </w:rPr>
        <w:t xml:space="preserve"> під флюороскопічним контролем за наступною методикою: під місцевою анестезією 0,5% новокаїну за Селдінгером пунктували праву променеву  артерію після чого в неї вставляли інтродюсер  (6 Fr). Катетером типу “MP” проводили</w:t>
      </w:r>
      <w:r>
        <w:rPr>
          <w:rFonts w:ascii="Times New Roman" w:hAnsi="Times New Roman" w:cs="Times New Roman"/>
          <w:sz w:val="28"/>
          <w:szCs w:val="28"/>
        </w:rPr>
        <w:t xml:space="preserve"> селективну ангіографію </w:t>
      </w:r>
      <w:r w:rsidRPr="0093264F">
        <w:rPr>
          <w:rFonts w:ascii="Times New Roman" w:hAnsi="Times New Roman" w:cs="Times New Roman"/>
          <w:sz w:val="28"/>
          <w:szCs w:val="28"/>
        </w:rPr>
        <w:t>ниркової артерії контрастом  Ультравіст-370</w:t>
      </w:r>
      <w:r>
        <w:rPr>
          <w:rFonts w:ascii="Times New Roman" w:hAnsi="Times New Roman" w:cs="Times New Roman"/>
          <w:sz w:val="28"/>
          <w:szCs w:val="28"/>
        </w:rPr>
        <w:t xml:space="preserve"> (80 мл)</w:t>
      </w:r>
      <w:r w:rsidRPr="0093264F">
        <w:rPr>
          <w:rFonts w:ascii="Times New Roman" w:hAnsi="Times New Roman" w:cs="Times New Roman"/>
          <w:sz w:val="28"/>
          <w:szCs w:val="28"/>
        </w:rPr>
        <w:t>.  Після цього почергово в артер</w:t>
      </w:r>
      <w:r w:rsidRPr="00492D12">
        <w:rPr>
          <w:rFonts w:ascii="Times New Roman" w:hAnsi="Times New Roman" w:cs="Times New Roman"/>
          <w:sz w:val="28"/>
          <w:szCs w:val="28"/>
        </w:rPr>
        <w:t>ію</w:t>
      </w:r>
      <w:r>
        <w:rPr>
          <w:rFonts w:ascii="Times New Roman" w:hAnsi="Times New Roman" w:cs="Times New Roman"/>
          <w:sz w:val="28"/>
          <w:szCs w:val="28"/>
        </w:rPr>
        <w:t>, що кровопостачає пухлину</w:t>
      </w:r>
      <w:r w:rsidRPr="00492D12">
        <w:rPr>
          <w:rFonts w:ascii="Times New Roman" w:hAnsi="Times New Roman" w:cs="Times New Roman"/>
          <w:sz w:val="28"/>
          <w:szCs w:val="28"/>
        </w:rPr>
        <w:t xml:space="preserve"> водили 1 спіраль “COOK” та три спіралі типу Гіантурко (усі спіралі МРТ-сумісні), досягаючи тотальної </w:t>
      </w:r>
      <w:r>
        <w:rPr>
          <w:rFonts w:ascii="Times New Roman" w:hAnsi="Times New Roman" w:cs="Times New Roman"/>
          <w:sz w:val="28"/>
          <w:szCs w:val="28"/>
        </w:rPr>
        <w:t>емболізації</w:t>
      </w:r>
      <w:r w:rsidRPr="00492D12">
        <w:rPr>
          <w:rFonts w:ascii="Times New Roman" w:hAnsi="Times New Roman" w:cs="Times New Roman"/>
          <w:sz w:val="28"/>
          <w:szCs w:val="28"/>
        </w:rPr>
        <w:t xml:space="preserve">. Після </w:t>
      </w:r>
      <w:r>
        <w:rPr>
          <w:rFonts w:ascii="Times New Roman" w:hAnsi="Times New Roman" w:cs="Times New Roman"/>
          <w:sz w:val="28"/>
          <w:szCs w:val="28"/>
        </w:rPr>
        <w:t>С</w:t>
      </w:r>
      <w:r w:rsidRPr="00492D12">
        <w:rPr>
          <w:rFonts w:ascii="Times New Roman" w:hAnsi="Times New Roman" w:cs="Times New Roman"/>
          <w:sz w:val="28"/>
          <w:szCs w:val="28"/>
        </w:rPr>
        <w:t>ЕНА на ділянку пункції накладали тиснучу пов’язку на 6 годин. Середня тривалість процедури  складала 120</w:t>
      </w:r>
      <w:r w:rsidRPr="0093264F">
        <w:rPr>
          <w:rFonts w:ascii="Times New Roman" w:hAnsi="Times New Roman" w:cs="Times New Roman"/>
          <w:sz w:val="28"/>
          <w:szCs w:val="28"/>
        </w:rPr>
        <w:t xml:space="preserve"> хв.</w:t>
      </w:r>
      <w:r>
        <w:rPr>
          <w:rFonts w:ascii="Times New Roman" w:hAnsi="Times New Roman" w:cs="Times New Roman"/>
          <w:sz w:val="28"/>
          <w:szCs w:val="28"/>
        </w:rPr>
        <w:t xml:space="preserve"> </w:t>
      </w:r>
      <w:r w:rsidRPr="00492D12">
        <w:rPr>
          <w:rFonts w:ascii="Times New Roman" w:hAnsi="Times New Roman" w:cs="Times New Roman"/>
          <w:sz w:val="28"/>
          <w:szCs w:val="28"/>
        </w:rPr>
        <w:t>У жодному випадку повторних СЕНА не проводилось.</w:t>
      </w:r>
      <w:r w:rsidRPr="00010C6B">
        <w:rPr>
          <w:rFonts w:ascii="Times New Roman" w:hAnsi="Times New Roman" w:cs="Times New Roman"/>
          <w:sz w:val="28"/>
          <w:szCs w:val="28"/>
        </w:rPr>
        <w:t xml:space="preserve"> </w:t>
      </w:r>
      <w:r>
        <w:rPr>
          <w:rFonts w:ascii="Times New Roman" w:hAnsi="Times New Roman" w:cs="Times New Roman"/>
          <w:sz w:val="28"/>
          <w:szCs w:val="28"/>
        </w:rPr>
        <w:t>Усім хворим із НКР через 5</w:t>
      </w:r>
      <w:r w:rsidRPr="0093264F">
        <w:rPr>
          <w:rFonts w:ascii="Times New Roman" w:hAnsi="Times New Roman" w:cs="Times New Roman"/>
          <w:sz w:val="28"/>
          <w:szCs w:val="28"/>
        </w:rPr>
        <w:t xml:space="preserve"> д</w:t>
      </w:r>
      <w:r>
        <w:rPr>
          <w:rFonts w:ascii="Times New Roman" w:hAnsi="Times New Roman" w:cs="Times New Roman"/>
          <w:sz w:val="28"/>
          <w:szCs w:val="28"/>
        </w:rPr>
        <w:t>нів</w:t>
      </w:r>
      <w:r w:rsidRPr="0093264F">
        <w:rPr>
          <w:rFonts w:ascii="Times New Roman" w:hAnsi="Times New Roman" w:cs="Times New Roman"/>
          <w:sz w:val="28"/>
          <w:szCs w:val="28"/>
        </w:rPr>
        <w:t xml:space="preserve"> після </w:t>
      </w:r>
      <w:r>
        <w:rPr>
          <w:rFonts w:ascii="Times New Roman" w:hAnsi="Times New Roman" w:cs="Times New Roman"/>
          <w:sz w:val="28"/>
          <w:szCs w:val="28"/>
        </w:rPr>
        <w:t>С</w:t>
      </w:r>
      <w:r w:rsidRPr="0093264F">
        <w:rPr>
          <w:rFonts w:ascii="Times New Roman" w:hAnsi="Times New Roman" w:cs="Times New Roman"/>
          <w:sz w:val="28"/>
          <w:szCs w:val="28"/>
        </w:rPr>
        <w:t>ЕНА була виконана відкрита радикальна нефректомія з подальшою патоморфологічною верифікацією діагнозу, у 100% вип</w:t>
      </w:r>
      <w:r>
        <w:rPr>
          <w:rFonts w:ascii="Times New Roman" w:hAnsi="Times New Roman" w:cs="Times New Roman"/>
          <w:sz w:val="28"/>
          <w:szCs w:val="28"/>
        </w:rPr>
        <w:t xml:space="preserve">адків було підтверджено діагноз світлоклітинного </w:t>
      </w:r>
      <w:r w:rsidRPr="0093264F">
        <w:rPr>
          <w:rFonts w:ascii="Times New Roman" w:hAnsi="Times New Roman" w:cs="Times New Roman"/>
          <w:sz w:val="28"/>
          <w:szCs w:val="28"/>
        </w:rPr>
        <w:t>НКР.</w:t>
      </w:r>
    </w:p>
    <w:p w:rsidR="000645F1" w:rsidRPr="00217C20" w:rsidRDefault="000645F1" w:rsidP="000645F1">
      <w:pPr>
        <w:spacing w:line="360" w:lineRule="auto"/>
        <w:ind w:firstLine="708"/>
        <w:jc w:val="both"/>
        <w:rPr>
          <w:rFonts w:ascii="Times New Roman" w:hAnsi="Times New Roman" w:cs="Times New Roman"/>
          <w:sz w:val="28"/>
          <w:szCs w:val="28"/>
          <w:shd w:val="clear" w:color="auto" w:fill="FFFFFF"/>
        </w:rPr>
      </w:pPr>
      <w:r w:rsidRPr="0093264F">
        <w:rPr>
          <w:rFonts w:ascii="Times New Roman" w:hAnsi="Times New Roman" w:cs="Times New Roman"/>
          <w:sz w:val="28"/>
          <w:szCs w:val="28"/>
        </w:rPr>
        <w:t xml:space="preserve">У всіх пацієнтів проводилось визначення об’єму </w:t>
      </w:r>
      <w:r>
        <w:rPr>
          <w:rFonts w:ascii="Times New Roman" w:hAnsi="Times New Roman" w:cs="Times New Roman"/>
          <w:sz w:val="28"/>
          <w:szCs w:val="28"/>
        </w:rPr>
        <w:t>оціночної інтраопераційної крововтрати (</w:t>
      </w:r>
      <w:r w:rsidRPr="0093264F">
        <w:rPr>
          <w:rFonts w:ascii="Times New Roman" w:hAnsi="Times New Roman" w:cs="Times New Roman"/>
          <w:sz w:val="28"/>
          <w:szCs w:val="28"/>
        </w:rPr>
        <w:t>ОІК</w:t>
      </w:r>
      <w:r>
        <w:rPr>
          <w:rFonts w:ascii="Times New Roman" w:hAnsi="Times New Roman" w:cs="Times New Roman"/>
          <w:sz w:val="28"/>
          <w:szCs w:val="28"/>
        </w:rPr>
        <w:t>)</w:t>
      </w:r>
      <w:r w:rsidRPr="0093264F">
        <w:rPr>
          <w:rFonts w:ascii="Times New Roman" w:hAnsi="Times New Roman" w:cs="Times New Roman"/>
          <w:sz w:val="28"/>
          <w:szCs w:val="28"/>
        </w:rPr>
        <w:t xml:space="preserve"> за наступною методикою: приймали, що 1 мл кро</w:t>
      </w:r>
      <w:r>
        <w:rPr>
          <w:rFonts w:ascii="Times New Roman" w:hAnsi="Times New Roman" w:cs="Times New Roman"/>
          <w:sz w:val="28"/>
          <w:szCs w:val="28"/>
        </w:rPr>
        <w:t>ві важить близько 1 грам</w:t>
      </w:r>
      <w:r w:rsidRPr="0093264F">
        <w:rPr>
          <w:rFonts w:ascii="Times New Roman" w:hAnsi="Times New Roman" w:cs="Times New Roman"/>
          <w:sz w:val="28"/>
          <w:szCs w:val="28"/>
        </w:rPr>
        <w:t xml:space="preserve">; зважували просякненні кров’ю тампони віднімаючи відповідну за кількістю масу сухих тампонів; при зважуванні ємностей для відсмоктаної крові віднімали масу їх порожніх; оцінювали об’єм крові, що потрапила на хірургічні простирадла, під тіло хворого тощо; </w:t>
      </w:r>
      <w:r w:rsidRPr="0093264F">
        <w:rPr>
          <w:rFonts w:ascii="Times New Roman" w:hAnsi="Times New Roman" w:cs="Times New Roman"/>
          <w:sz w:val="28"/>
          <w:szCs w:val="28"/>
        </w:rPr>
        <w:lastRenderedPageBreak/>
        <w:t>враховували використаний об’єм розчину для іригації та віднім</w:t>
      </w:r>
      <w:r>
        <w:rPr>
          <w:rFonts w:ascii="Times New Roman" w:hAnsi="Times New Roman" w:cs="Times New Roman"/>
          <w:sz w:val="28"/>
          <w:szCs w:val="28"/>
        </w:rPr>
        <w:t xml:space="preserve">али його від загального об’єму </w:t>
      </w:r>
      <w:r w:rsidRPr="0093264F">
        <w:rPr>
          <w:rFonts w:ascii="Times New Roman" w:hAnsi="Times New Roman" w:cs="Times New Roman"/>
          <w:sz w:val="28"/>
          <w:szCs w:val="28"/>
        </w:rPr>
        <w:t>О</w:t>
      </w:r>
      <w:r>
        <w:rPr>
          <w:rFonts w:ascii="Times New Roman" w:hAnsi="Times New Roman" w:cs="Times New Roman"/>
          <w:sz w:val="28"/>
          <w:szCs w:val="28"/>
        </w:rPr>
        <w:t>І</w:t>
      </w:r>
      <w:r w:rsidRPr="0093264F">
        <w:rPr>
          <w:rFonts w:ascii="Times New Roman" w:hAnsi="Times New Roman" w:cs="Times New Roman"/>
          <w:sz w:val="28"/>
          <w:szCs w:val="28"/>
        </w:rPr>
        <w:t>К.</w:t>
      </w:r>
      <w:r>
        <w:rPr>
          <w:rFonts w:ascii="Times New Roman" w:hAnsi="Times New Roman" w:cs="Times New Roman"/>
          <w:sz w:val="28"/>
          <w:szCs w:val="28"/>
        </w:rPr>
        <w:t xml:space="preserve"> </w:t>
      </w:r>
      <w:r w:rsidRPr="0093264F">
        <w:rPr>
          <w:rFonts w:ascii="Times New Roman" w:hAnsi="Times New Roman" w:cs="Times New Roman"/>
          <w:sz w:val="28"/>
          <w:szCs w:val="28"/>
          <w:shd w:val="clear" w:color="auto" w:fill="FFFFFF"/>
        </w:rPr>
        <w:t>У хворих до операції гематокрит знаходився в діапазоні 38-</w:t>
      </w:r>
      <w:r>
        <w:rPr>
          <w:rFonts w:ascii="Times New Roman" w:hAnsi="Times New Roman" w:cs="Times New Roman"/>
          <w:sz w:val="28"/>
          <w:szCs w:val="28"/>
          <w:shd w:val="clear" w:color="auto" w:fill="FFFFFF"/>
        </w:rPr>
        <w:t>49</w:t>
      </w:r>
      <w:r w:rsidRPr="0093264F">
        <w:rPr>
          <w:rFonts w:ascii="Times New Roman" w:hAnsi="Times New Roman" w:cs="Times New Roman"/>
          <w:sz w:val="28"/>
          <w:szCs w:val="28"/>
          <w:shd w:val="clear" w:color="auto" w:fill="FFFFFF"/>
        </w:rPr>
        <w:t>% у чоловіків та 33-</w:t>
      </w:r>
      <w:r>
        <w:rPr>
          <w:rFonts w:ascii="Times New Roman" w:hAnsi="Times New Roman" w:cs="Times New Roman"/>
          <w:sz w:val="28"/>
          <w:szCs w:val="28"/>
          <w:shd w:val="clear" w:color="auto" w:fill="FFFFFF"/>
        </w:rPr>
        <w:t>43</w:t>
      </w:r>
      <w:r w:rsidRPr="0093264F">
        <w:rPr>
          <w:rFonts w:ascii="Times New Roman" w:hAnsi="Times New Roman" w:cs="Times New Roman"/>
          <w:sz w:val="28"/>
          <w:szCs w:val="28"/>
          <w:shd w:val="clear" w:color="auto" w:fill="FFFFFF"/>
        </w:rPr>
        <w:t>% у жінок.</w:t>
      </w:r>
      <w:r>
        <w:rPr>
          <w:rFonts w:ascii="Times New Roman" w:hAnsi="Times New Roman" w:cs="Times New Roman"/>
          <w:sz w:val="28"/>
          <w:szCs w:val="28"/>
          <w:shd w:val="clear" w:color="auto" w:fill="FFFFFF"/>
        </w:rPr>
        <w:t xml:space="preserve"> </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результаті проведених вимірювань до проведення СЕНА, середнє значення ІР у групі з НКР становило 0,61±0,02 та достовірно відрізнялось від даного показника контрольної групи – 0,74±0,10 (р</w:t>
      </w:r>
      <w:r w:rsidRPr="009E6C7E">
        <w:rPr>
          <w:rFonts w:ascii="Times New Roman" w:hAnsi="Times New Roman" w:cs="Times New Roman"/>
          <w:sz w:val="28"/>
          <w:szCs w:val="28"/>
          <w:lang w:val="ru-RU"/>
        </w:rPr>
        <w:t>&lt;</w:t>
      </w:r>
      <w:r>
        <w:rPr>
          <w:rFonts w:ascii="Times New Roman" w:hAnsi="Times New Roman" w:cs="Times New Roman"/>
          <w:sz w:val="28"/>
          <w:szCs w:val="28"/>
        </w:rPr>
        <w:t>0,001). Такі дані свідчили про більшу реноваскулярну резистентність в тканинах пухлини у порівнянні із здоровою нирковою паренхімою. Після проведення СЕНА середній показник ІР в основній групі зростав в середньому на 21,31% і становив 0,74±0,10 (</w:t>
      </w:r>
      <w:r w:rsidRPr="009E6C7E">
        <w:rPr>
          <w:rFonts w:ascii="Times New Roman" w:hAnsi="Times New Roman" w:cs="Times New Roman"/>
          <w:sz w:val="28"/>
          <w:szCs w:val="28"/>
        </w:rPr>
        <w:t>&lt;</w:t>
      </w:r>
      <w:r>
        <w:rPr>
          <w:rFonts w:ascii="Times New Roman" w:hAnsi="Times New Roman" w:cs="Times New Roman"/>
          <w:sz w:val="28"/>
          <w:szCs w:val="28"/>
        </w:rPr>
        <w:t>0,001), що ми пояснюємо підвищенням реноваскулярної резистентності внаслідок емболізації судин пухлини. При кореляційному аналізі індексу резистентності пухлини після проведеної емболізації та об’єму ОІК,  коефіцієнт кореляції становив -0,811 (р</w:t>
      </w:r>
      <w:r w:rsidRPr="009E6C7E">
        <w:rPr>
          <w:rFonts w:ascii="Times New Roman" w:hAnsi="Times New Roman" w:cs="Times New Roman"/>
          <w:sz w:val="28"/>
          <w:szCs w:val="28"/>
        </w:rPr>
        <w:t>&lt;</w:t>
      </w:r>
      <w:r>
        <w:rPr>
          <w:rFonts w:ascii="Times New Roman" w:hAnsi="Times New Roman" w:cs="Times New Roman"/>
          <w:sz w:val="28"/>
          <w:szCs w:val="28"/>
        </w:rPr>
        <w:t xml:space="preserve">0,001), що було відображенням сильного зворотного зв’язку. У хворих із підвищенням даного показника </w:t>
      </w:r>
      <w:r w:rsidRPr="009E6C7E">
        <w:rPr>
          <w:rFonts w:ascii="Times New Roman" w:hAnsi="Times New Roman" w:cs="Times New Roman"/>
          <w:sz w:val="28"/>
          <w:szCs w:val="28"/>
        </w:rPr>
        <w:t>&lt;</w:t>
      </w:r>
      <w:r>
        <w:rPr>
          <w:rFonts w:ascii="Times New Roman" w:hAnsi="Times New Roman" w:cs="Times New Roman"/>
          <w:sz w:val="28"/>
          <w:szCs w:val="28"/>
        </w:rPr>
        <w:t>20,97% у порівнянні з вихідним значенням, є високий ризик значної інтраопераці</w:t>
      </w:r>
      <w:r w:rsidR="00BF4FF9">
        <w:rPr>
          <w:rFonts w:ascii="Times New Roman" w:hAnsi="Times New Roman" w:cs="Times New Roman"/>
          <w:sz w:val="28"/>
          <w:szCs w:val="28"/>
        </w:rPr>
        <w:t>й</w:t>
      </w:r>
      <w:r>
        <w:rPr>
          <w:rFonts w:ascii="Times New Roman" w:hAnsi="Times New Roman" w:cs="Times New Roman"/>
          <w:sz w:val="28"/>
          <w:szCs w:val="28"/>
        </w:rPr>
        <w:t xml:space="preserve">ної </w:t>
      </w:r>
      <w:r w:rsidR="00BF4FF9">
        <w:rPr>
          <w:rFonts w:ascii="Times New Roman" w:hAnsi="Times New Roman" w:cs="Times New Roman"/>
          <w:sz w:val="28"/>
          <w:szCs w:val="28"/>
        </w:rPr>
        <w:t>крововтрати</w:t>
      </w:r>
      <w:r>
        <w:rPr>
          <w:rFonts w:ascii="Times New Roman" w:hAnsi="Times New Roman" w:cs="Times New Roman"/>
          <w:sz w:val="28"/>
          <w:szCs w:val="28"/>
        </w:rPr>
        <w:t xml:space="preserve"> (понад 500 мл), яка потенційно вимагатиме застосування інфузійної терапії.</w:t>
      </w:r>
      <w:r w:rsidRPr="00010C6B">
        <w:rPr>
          <w:rFonts w:ascii="Times New Roman" w:hAnsi="Times New Roman" w:cs="Times New Roman"/>
          <w:sz w:val="28"/>
          <w:szCs w:val="28"/>
        </w:rPr>
        <w:t xml:space="preserve"> </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підсумку можна стверджувати, що індекс резистентності допплер-УЗД може бути використаний у якості променевого біомаркеру передбачення ефективності проведеної селективної емболізації ниркових артерій у хворих з НКР, у яких планується хірургічне лікування, для оптимізації підготовки такої категорії пацієнтів до операції з точки зору вибору хірургічної тактики, передбачення ризику виникнення суттєвої інтраопераційної кровотечі та об’єму інфузійної терапії, а також визначення показів до повторної емболізації</w:t>
      </w:r>
      <w:r w:rsidRPr="009E6C7E">
        <w:rPr>
          <w:rFonts w:ascii="Times New Roman" w:hAnsi="Times New Roman" w:cs="Times New Roman"/>
          <w:sz w:val="28"/>
          <w:szCs w:val="28"/>
        </w:rPr>
        <w:t xml:space="preserve"> </w:t>
      </w:r>
      <w:r>
        <w:rPr>
          <w:rFonts w:ascii="Times New Roman" w:hAnsi="Times New Roman" w:cs="Times New Roman"/>
          <w:sz w:val="28"/>
          <w:szCs w:val="28"/>
        </w:rPr>
        <w:t>одним з яких може бути відсутність зміни показнику ІР після первинної СЕНА, або незначна така зміна – біля 4%  (рисунок 8.4.).</w:t>
      </w:r>
    </w:p>
    <w:p w:rsidR="000645F1" w:rsidRDefault="000645F1" w:rsidP="00E71577">
      <w:pPr>
        <w:spacing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val="en-US"/>
        </w:rPr>
        <w:lastRenderedPageBreak/>
        <w:drawing>
          <wp:inline distT="0" distB="0" distL="0" distR="0" wp14:anchorId="43977803" wp14:editId="24E3F258">
            <wp:extent cx="5382883" cy="2197119"/>
            <wp:effectExtent l="0" t="0" r="889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емболіз.jp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5396057" cy="2202496"/>
                    </a:xfrm>
                    <a:prstGeom prst="rect">
                      <a:avLst/>
                    </a:prstGeom>
                  </pic:spPr>
                </pic:pic>
              </a:graphicData>
            </a:graphic>
          </wp:inline>
        </w:drawing>
      </w:r>
    </w:p>
    <w:p w:rsidR="000645F1" w:rsidRDefault="000645F1" w:rsidP="000645F1">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8.4. Алгоритм застосування індексу резистентності для передбачення ефективності селективної емболізації ниркових артерій у якості підготовки до нефректомії хворих із НКР </w:t>
      </w:r>
    </w:p>
    <w:p w:rsidR="000645F1" w:rsidRDefault="000645F1" w:rsidP="000645F1">
      <w:pPr>
        <w:spacing w:line="360" w:lineRule="auto"/>
        <w:jc w:val="center"/>
        <w:rPr>
          <w:rFonts w:ascii="Times New Roman" w:hAnsi="Times New Roman" w:cs="Times New Roman"/>
          <w:sz w:val="28"/>
          <w:szCs w:val="28"/>
        </w:rPr>
      </w:pP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 метою вивчення ефективності застосування новітніх потенційних променевих біомаркерів на основі МРТ для </w:t>
      </w:r>
      <w:r w:rsidRPr="00167DA8">
        <w:rPr>
          <w:rFonts w:ascii="Times New Roman" w:hAnsi="Times New Roman" w:cs="Times New Roman"/>
          <w:b/>
          <w:sz w:val="28"/>
          <w:szCs w:val="28"/>
        </w:rPr>
        <w:t>діагностики локального рецидиву НКР після парціальної нефректомії</w:t>
      </w:r>
      <w:r>
        <w:rPr>
          <w:rFonts w:ascii="Times New Roman" w:hAnsi="Times New Roman" w:cs="Times New Roman"/>
          <w:sz w:val="28"/>
          <w:szCs w:val="28"/>
        </w:rPr>
        <w:t xml:space="preserve"> нами було проведено дослідження, до якого входили хворі, яким було виконано парціальну нефректомію з приводу солідного НКР (у всіх випадках його було патоморфологічно верифіковано) та у яких, згідно даних МРТ з включеною в нею додатково послідовністю дифузійно-зважених зображень із </w:t>
      </w:r>
      <w:r>
        <w:rPr>
          <w:rFonts w:ascii="Times New Roman" w:eastAsiaTheme="minorEastAsia" w:hAnsi="Times New Roman" w:cs="Times New Roman"/>
          <w:sz w:val="28"/>
          <w:szCs w:val="28"/>
          <w:lang w:val="en-US"/>
        </w:rPr>
        <w:t>b</w:t>
      </w:r>
      <w:r w:rsidRPr="00807530">
        <w:rPr>
          <w:rFonts w:ascii="Times New Roman" w:eastAsiaTheme="minorEastAsia" w:hAnsi="Times New Roman" w:cs="Times New Roman"/>
          <w:sz w:val="28"/>
          <w:szCs w:val="28"/>
        </w:rPr>
        <w:t>-</w:t>
      </w:r>
      <w:r>
        <w:rPr>
          <w:rFonts w:ascii="Times New Roman" w:hAnsi="Times New Roman" w:cs="Times New Roman"/>
          <w:sz w:val="28"/>
          <w:szCs w:val="28"/>
        </w:rPr>
        <w:t xml:space="preserve">значенням </w:t>
      </w:r>
      <w:r w:rsidRPr="00807530">
        <w:rPr>
          <w:rFonts w:ascii="Times New Roman" w:eastAsiaTheme="minorEastAsia" w:hAnsi="Times New Roman" w:cs="Times New Roman"/>
          <w:sz w:val="28"/>
          <w:szCs w:val="28"/>
        </w:rPr>
        <w:t xml:space="preserve">= </w:t>
      </w:r>
      <w:r>
        <w:rPr>
          <w:rFonts w:ascii="Times New Roman" w:hAnsi="Times New Roman" w:cs="Times New Roman"/>
          <w:sz w:val="28"/>
          <w:szCs w:val="28"/>
        </w:rPr>
        <w:t>0 та</w:t>
      </w:r>
      <w:r w:rsidRPr="00807530">
        <w:rPr>
          <w:rFonts w:ascii="Times New Roman" w:hAnsi="Times New Roman" w:cs="Times New Roman"/>
          <w:sz w:val="28"/>
          <w:szCs w:val="28"/>
        </w:rPr>
        <w:t xml:space="preserve"> 8</w:t>
      </w:r>
      <w:r w:rsidRPr="00807530">
        <w:rPr>
          <w:rFonts w:ascii="Times New Roman" w:eastAsiaTheme="minorEastAsia" w:hAnsi="Times New Roman" w:cs="Times New Roman"/>
          <w:sz w:val="28"/>
          <w:szCs w:val="28"/>
        </w:rPr>
        <w:t xml:space="preserve">00 </w:t>
      </w:r>
      <w:r w:rsidRPr="00807530">
        <w:rPr>
          <w:rFonts w:ascii="Times New Roman" w:hAnsi="Times New Roman" w:cs="Times New Roman"/>
          <w:sz w:val="28"/>
          <w:szCs w:val="28"/>
        </w:rPr>
        <w:t>с</w:t>
      </w:r>
      <w:r>
        <w:rPr>
          <w:rFonts w:ascii="Times New Roman" w:hAnsi="Times New Roman" w:cs="Times New Roman"/>
          <w:sz w:val="28"/>
          <w:szCs w:val="28"/>
        </w:rPr>
        <w:t>ек</w:t>
      </w:r>
      <w:r>
        <w:rPr>
          <w:rFonts w:ascii="Times New Roman" w:eastAsiaTheme="minorEastAsia" w:hAnsi="Times New Roman" w:cs="Times New Roman"/>
          <w:sz w:val="28"/>
          <w:szCs w:val="28"/>
        </w:rPr>
        <w:t>/</w:t>
      </w:r>
      <w:r w:rsidRPr="00807530">
        <w:rPr>
          <w:rFonts w:ascii="Times New Roman" w:eastAsiaTheme="minorEastAsia" w:hAnsi="Times New Roman" w:cs="Times New Roman"/>
          <w:sz w:val="28"/>
          <w:szCs w:val="28"/>
        </w:rPr>
        <w:t>мм</w:t>
      </w:r>
      <w:r w:rsidRPr="00807530">
        <w:rPr>
          <w:rFonts w:ascii="Times New Roman" w:eastAsiaTheme="minorEastAsia" w:hAnsi="Times New Roman" w:cs="Times New Roman"/>
          <w:sz w:val="28"/>
          <w:szCs w:val="28"/>
          <w:vertAlign w:val="superscript"/>
        </w:rPr>
        <w:t>2</w:t>
      </w:r>
      <w:r>
        <w:rPr>
          <w:rFonts w:ascii="Times New Roman" w:eastAsiaTheme="minorEastAsia" w:hAnsi="Times New Roman" w:cs="Times New Roman"/>
          <w:sz w:val="28"/>
          <w:szCs w:val="28"/>
        </w:rPr>
        <w:t>,</w:t>
      </w:r>
      <w:r>
        <w:rPr>
          <w:rFonts w:ascii="Times New Roman" w:hAnsi="Times New Roman" w:cs="Times New Roman"/>
          <w:sz w:val="28"/>
          <w:szCs w:val="28"/>
        </w:rPr>
        <w:t xml:space="preserve"> у віддаленому післяопераційному періоді (≥6 місяців</w:t>
      </w:r>
      <w:r w:rsidRPr="009E6C7E">
        <w:rPr>
          <w:rFonts w:ascii="Times New Roman" w:hAnsi="Times New Roman" w:cs="Times New Roman"/>
          <w:sz w:val="28"/>
          <w:szCs w:val="28"/>
        </w:rPr>
        <w:t xml:space="preserve"> </w:t>
      </w:r>
      <w:r>
        <w:rPr>
          <w:rFonts w:ascii="Times New Roman" w:hAnsi="Times New Roman" w:cs="Times New Roman"/>
          <w:sz w:val="28"/>
          <w:szCs w:val="28"/>
        </w:rPr>
        <w:t>після оперативного лікування) спостерігались: ознаки відновлення злоякісного процесу (підвищення накопичення контрастних речових в зоні післяопераційного дефекту нирки або іншої ділянки її паренхіми тощо); відсутність ознак локального відновлення пухлинного росту в ділянці післяопераційного дефекту паренхіми нирки (або наявність ознак післяопераційного фіброзу) впродовж ≥1 року після проведення хірургічного лікування, за умови наявності мінімум двох МРТ-обстежень із проміжком ≥6  місяців</w:t>
      </w:r>
      <w:r w:rsidRPr="009E6C7E">
        <w:rPr>
          <w:rFonts w:ascii="Times New Roman" w:hAnsi="Times New Roman" w:cs="Times New Roman"/>
          <w:sz w:val="28"/>
          <w:szCs w:val="28"/>
        </w:rPr>
        <w:t xml:space="preserve"> (</w:t>
      </w:r>
      <w:r>
        <w:rPr>
          <w:rFonts w:ascii="Times New Roman" w:hAnsi="Times New Roman" w:cs="Times New Roman"/>
          <w:sz w:val="28"/>
          <w:szCs w:val="28"/>
        </w:rPr>
        <w:t>аналізувались дані передостаннього обстеження).</w:t>
      </w:r>
    </w:p>
    <w:p w:rsidR="000645F1" w:rsidRPr="005F7A32" w:rsidRDefault="000645F1" w:rsidP="000645F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Таким чином у дослідження увійшло 39 хворих, (25 чоловіків і 14 жінок), середній вік складав - </w:t>
      </w:r>
      <w:r>
        <w:rPr>
          <w:rFonts w:ascii="Times New Roman" w:hAnsi="Times New Roman" w:cs="Times New Roman"/>
          <w:sz w:val="28"/>
          <w:szCs w:val="28"/>
          <w:shd w:val="clear" w:color="auto" w:fill="FFFFFF"/>
        </w:rPr>
        <w:t>61,24±5,87 р.</w:t>
      </w:r>
      <w:r>
        <w:rPr>
          <w:rFonts w:ascii="Times New Roman" w:hAnsi="Times New Roman" w:cs="Times New Roman"/>
          <w:sz w:val="28"/>
          <w:szCs w:val="28"/>
        </w:rPr>
        <w:t xml:space="preserve"> Згідно післяопераційних патоморфологічних діагнозів, отриманих після первинного хірургічного лікування, розмір пухлини варіювався від 2,89 до 7,28 см у найбільшому вимірі, середній розмір становив – 4,56±1,63 см.</w:t>
      </w:r>
      <w:r w:rsidRPr="00167DA8">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Хворі із локальним рецидивом склали основну групу (</w:t>
      </w:r>
      <w:r>
        <w:rPr>
          <w:rFonts w:ascii="Times New Roman" w:hAnsi="Times New Roman" w:cs="Times New Roman"/>
          <w:sz w:val="28"/>
          <w:szCs w:val="28"/>
          <w:shd w:val="clear" w:color="auto" w:fill="FFFFFF"/>
          <w:lang w:val="en-US"/>
        </w:rPr>
        <w:t>n</w:t>
      </w:r>
      <w:r w:rsidRPr="009E6C7E">
        <w:rPr>
          <w:rFonts w:ascii="Times New Roman" w:hAnsi="Times New Roman" w:cs="Times New Roman"/>
          <w:sz w:val="28"/>
          <w:szCs w:val="28"/>
          <w:shd w:val="clear" w:color="auto" w:fill="FFFFFF"/>
          <w:lang w:val="ru-RU"/>
        </w:rPr>
        <w:t>=14)</w:t>
      </w:r>
      <w:r>
        <w:rPr>
          <w:rFonts w:ascii="Times New Roman" w:hAnsi="Times New Roman" w:cs="Times New Roman"/>
          <w:sz w:val="28"/>
          <w:szCs w:val="28"/>
          <w:shd w:val="clear" w:color="auto" w:fill="FFFFFF"/>
        </w:rPr>
        <w:t>, пацієнти без ознак рецидиву НКР увійшли до групи порівняння</w:t>
      </w:r>
      <w:r w:rsidRPr="009E6C7E">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n=25).</w:t>
      </w:r>
      <w:r w:rsidRPr="00167DA8">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У якості референтних значень ВКД (нормальної ниркової паренхіми) використовували дані здорових волонтерів, отримані нами при діагностиці малих ниркових новоутворень (контрольна група), </w:t>
      </w:r>
      <w:r>
        <w:rPr>
          <w:rFonts w:ascii="Times New Roman" w:hAnsi="Times New Roman" w:cs="Times New Roman"/>
          <w:sz w:val="28"/>
          <w:szCs w:val="28"/>
          <w:shd w:val="clear" w:color="auto" w:fill="FFFFFF"/>
          <w:lang w:val="en-US"/>
        </w:rPr>
        <w:t>n</w:t>
      </w:r>
      <w:r>
        <w:rPr>
          <w:rFonts w:ascii="Times New Roman" w:hAnsi="Times New Roman" w:cs="Times New Roman"/>
          <w:sz w:val="28"/>
          <w:szCs w:val="28"/>
          <w:shd w:val="clear" w:color="auto" w:fill="FFFFFF"/>
        </w:rPr>
        <w:t>=30.</w:t>
      </w:r>
      <w:r w:rsidRPr="005F7A32">
        <w:rPr>
          <w:rFonts w:ascii="Times New Roman" w:hAnsi="Times New Roman" w:cs="Times New Roman"/>
          <w:sz w:val="28"/>
          <w:szCs w:val="28"/>
        </w:rPr>
        <w:t xml:space="preserve"> </w:t>
      </w:r>
    </w:p>
    <w:p w:rsidR="000645F1" w:rsidRDefault="000645F1" w:rsidP="000645F1">
      <w:pPr>
        <w:spacing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У всіх випадках проводилась реєстрація значень вимірюваного коефіцієнта дифузії розміщуючи ОЗ над ділянкою післяопераційного рубця нирки або ділянки паренхіми, де підозрювалось відновлення пухлинного процесу, а також над регіоном неураженої паренхіми.</w:t>
      </w:r>
      <w:r w:rsidRPr="00167DA8">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У всіх хворих із променевими та клінічними ознаками локального рецидивування НКР було проведене хірургічне лікування в залежності від розміру новоутворення, </w:t>
      </w:r>
      <w:r w:rsidR="00B02037">
        <w:rPr>
          <w:rFonts w:ascii="Times New Roman" w:hAnsi="Times New Roman" w:cs="Times New Roman"/>
          <w:sz w:val="28"/>
          <w:szCs w:val="28"/>
          <w:shd w:val="clear" w:color="auto" w:fill="FFFFFF"/>
        </w:rPr>
        <w:t>ступеня</w:t>
      </w:r>
      <w:r>
        <w:rPr>
          <w:rFonts w:ascii="Times New Roman" w:hAnsi="Times New Roman" w:cs="Times New Roman"/>
          <w:sz w:val="28"/>
          <w:szCs w:val="28"/>
          <w:shd w:val="clear" w:color="auto" w:fill="FFFFFF"/>
        </w:rPr>
        <w:t xml:space="preserve"> його поширеності та локалізації: резекція нирки з пухлиною у 10 (71,43%) хворих, радикальна нефректомія – у 4 (28,57%) пацієнтів. У всіх випадках було підтверджено діагноз НКР відповідного до первинної пухлини гістологічного підтипу.</w:t>
      </w:r>
    </w:p>
    <w:p w:rsidR="000645F1" w:rsidRPr="00023458" w:rsidRDefault="000645F1" w:rsidP="000645F1">
      <w:pPr>
        <w:spacing w:line="360" w:lineRule="auto"/>
        <w:ind w:firstLine="708"/>
        <w:jc w:val="both"/>
        <w:rPr>
          <w:rFonts w:ascii="Times New Roman" w:hAnsi="Times New Roman"/>
          <w:sz w:val="28"/>
          <w:szCs w:val="28"/>
        </w:rPr>
      </w:pPr>
      <w:r>
        <w:rPr>
          <w:rFonts w:ascii="Times New Roman" w:hAnsi="Times New Roman" w:cs="Times New Roman"/>
          <w:sz w:val="28"/>
          <w:szCs w:val="28"/>
          <w:shd w:val="clear" w:color="auto" w:fill="FFFFFF"/>
        </w:rPr>
        <w:t xml:space="preserve">В результаті проведених вимірювань ми отримали достовірну різницю у середніх значеннях ВКД в основній, порівняння та контрольній групах, вони становили відповідно </w:t>
      </w:r>
      <w:r>
        <w:rPr>
          <w:rFonts w:ascii="Times New Roman" w:hAnsi="Times New Roman"/>
          <w:sz w:val="28"/>
          <w:szCs w:val="28"/>
        </w:rPr>
        <w:t>1,64</w:t>
      </w:r>
      <w:r>
        <w:rPr>
          <w:rFonts w:ascii="Times New Roman" w:hAnsi="Times New Roman" w:cs="Times New Roman"/>
          <w:sz w:val="28"/>
          <w:szCs w:val="28"/>
        </w:rPr>
        <w:t>±</w:t>
      </w:r>
      <w:r>
        <w:rPr>
          <w:rFonts w:ascii="Times New Roman" w:hAnsi="Times New Roman"/>
          <w:sz w:val="28"/>
          <w:szCs w:val="28"/>
        </w:rPr>
        <w:t>0,15</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1,02</w:t>
      </w:r>
      <w:r>
        <w:rPr>
          <w:rFonts w:ascii="Times New Roman" w:hAnsi="Times New Roman" w:cs="Times New Roman"/>
          <w:sz w:val="28"/>
          <w:szCs w:val="28"/>
        </w:rPr>
        <w:t>±</w:t>
      </w:r>
      <w:r>
        <w:rPr>
          <w:rFonts w:ascii="Times New Roman" w:hAnsi="Times New Roman"/>
          <w:sz w:val="28"/>
          <w:szCs w:val="28"/>
        </w:rPr>
        <w:t>0,26</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та </w:t>
      </w:r>
      <w:r w:rsidRPr="00F41670">
        <w:rPr>
          <w:rFonts w:ascii="Times New Roman" w:hAnsi="Times New Roman"/>
          <w:sz w:val="28"/>
          <w:szCs w:val="28"/>
        </w:rPr>
        <w:t>2,58</w:t>
      </w:r>
      <w:r>
        <w:rPr>
          <w:rFonts w:ascii="Times New Roman" w:hAnsi="Times New Roman" w:cs="Times New Roman"/>
          <w:sz w:val="28"/>
          <w:szCs w:val="28"/>
        </w:rPr>
        <w:t>±</w:t>
      </w:r>
      <w:r w:rsidRPr="00F41670">
        <w:rPr>
          <w:rFonts w:ascii="Times New Roman" w:hAnsi="Times New Roman"/>
          <w:sz w:val="28"/>
          <w:szCs w:val="28"/>
        </w:rPr>
        <w:t>0,05</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(р</w:t>
      </w:r>
      <w:r w:rsidRPr="009E6C7E">
        <w:rPr>
          <w:rFonts w:ascii="Times New Roman" w:hAnsi="Times New Roman"/>
          <w:sz w:val="28"/>
          <w:szCs w:val="28"/>
          <w:lang w:val="ru-RU"/>
        </w:rPr>
        <w:t>&lt;</w:t>
      </w:r>
      <w:r>
        <w:rPr>
          <w:rFonts w:ascii="Times New Roman" w:hAnsi="Times New Roman"/>
          <w:sz w:val="28"/>
          <w:szCs w:val="28"/>
        </w:rPr>
        <w:t>0,001</w:t>
      </w:r>
      <w:r w:rsidRPr="009E6C7E">
        <w:rPr>
          <w:rFonts w:ascii="Times New Roman" w:hAnsi="Times New Roman"/>
          <w:sz w:val="28"/>
          <w:szCs w:val="28"/>
          <w:lang w:val="ru-RU"/>
        </w:rPr>
        <w:t>)</w:t>
      </w:r>
      <w:r>
        <w:rPr>
          <w:rFonts w:ascii="Times New Roman" w:hAnsi="Times New Roman"/>
          <w:sz w:val="28"/>
          <w:szCs w:val="28"/>
        </w:rPr>
        <w:t xml:space="preserve">.  </w:t>
      </w:r>
      <w:r>
        <w:rPr>
          <w:rFonts w:ascii="Times New Roman" w:hAnsi="Times New Roman" w:cs="Times New Roman"/>
          <w:sz w:val="28"/>
          <w:szCs w:val="28"/>
        </w:rPr>
        <w:t>Середні значення ВКД при конвенційному, папілярному та хромофобному гістологічних підтипах НКР у групі з локальним рецидивом становили відповідно 1,72±0,10</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1,61</w:t>
      </w:r>
      <w:r>
        <w:rPr>
          <w:rFonts w:ascii="Times New Roman" w:hAnsi="Times New Roman" w:cs="Times New Roman"/>
          <w:sz w:val="28"/>
          <w:szCs w:val="28"/>
        </w:rPr>
        <w:t>±</w:t>
      </w:r>
      <w:r>
        <w:rPr>
          <w:rFonts w:ascii="Times New Roman" w:hAnsi="Times New Roman"/>
          <w:sz w:val="28"/>
          <w:szCs w:val="28"/>
        </w:rPr>
        <w:t>0,03</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xml:space="preserve"> та 1,39</w:t>
      </w:r>
      <w:r>
        <w:rPr>
          <w:rFonts w:ascii="Times New Roman" w:hAnsi="Times New Roman" w:cs="Times New Roman"/>
          <w:sz w:val="28"/>
          <w:szCs w:val="28"/>
        </w:rPr>
        <w:t>±</w:t>
      </w:r>
      <w:r>
        <w:rPr>
          <w:rFonts w:ascii="Times New Roman" w:hAnsi="Times New Roman"/>
          <w:sz w:val="28"/>
          <w:szCs w:val="28"/>
        </w:rPr>
        <w:t>0,11</w:t>
      </w:r>
      <w:r w:rsidRPr="00E7795E">
        <w:rPr>
          <w:rFonts w:ascii="Times New Roman" w:hAnsi="Times New Roman" w:cs="Times New Roman"/>
          <w:sz w:val="28"/>
          <w:szCs w:val="28"/>
        </w:rPr>
        <w:t>×</w:t>
      </w:r>
      <w:r w:rsidRPr="00E7795E">
        <w:rPr>
          <w:rFonts w:ascii="Times New Roman" w:hAnsi="Times New Roman"/>
          <w:sz w:val="28"/>
          <w:szCs w:val="28"/>
        </w:rPr>
        <w:t>10</w:t>
      </w:r>
      <w:r w:rsidRPr="00E7795E">
        <w:rPr>
          <w:rFonts w:ascii="Times New Roman" w:hAnsi="Times New Roman"/>
          <w:sz w:val="28"/>
          <w:szCs w:val="28"/>
          <w:vertAlign w:val="superscript"/>
        </w:rPr>
        <w:t>-3</w:t>
      </w:r>
      <w:r w:rsidRPr="00E7795E">
        <w:rPr>
          <w:rFonts w:ascii="Times New Roman" w:hAnsi="Times New Roman"/>
          <w:sz w:val="28"/>
          <w:szCs w:val="28"/>
        </w:rPr>
        <w:t xml:space="preserve"> мм</w:t>
      </w:r>
      <w:r w:rsidRPr="00E7795E">
        <w:rPr>
          <w:rFonts w:ascii="Times New Roman" w:hAnsi="Times New Roman"/>
          <w:sz w:val="28"/>
          <w:szCs w:val="28"/>
          <w:vertAlign w:val="superscript"/>
        </w:rPr>
        <w:t>2</w:t>
      </w:r>
      <w:r w:rsidRPr="00E7795E">
        <w:rPr>
          <w:rFonts w:ascii="Times New Roman" w:hAnsi="Times New Roman"/>
          <w:sz w:val="28"/>
          <w:szCs w:val="28"/>
        </w:rPr>
        <w:t>/с</w:t>
      </w:r>
      <w:r>
        <w:rPr>
          <w:rFonts w:ascii="Times New Roman" w:hAnsi="Times New Roman"/>
          <w:sz w:val="28"/>
          <w:szCs w:val="28"/>
        </w:rPr>
        <w:t>, а діапазони їх значень відповідали один одному як при локальному рецидиві, так і вперше виявленому НКР. Було доведено, що</w:t>
      </w:r>
      <w:r w:rsidRPr="009E6C7E">
        <w:rPr>
          <w:rFonts w:ascii="Times New Roman" w:hAnsi="Times New Roman"/>
          <w:sz w:val="28"/>
          <w:szCs w:val="28"/>
        </w:rPr>
        <w:t xml:space="preserve"> </w:t>
      </w:r>
      <w:r>
        <w:rPr>
          <w:rFonts w:ascii="Times New Roman" w:hAnsi="Times New Roman"/>
          <w:sz w:val="28"/>
          <w:szCs w:val="28"/>
        </w:rPr>
        <w:t xml:space="preserve">застосування ВКД з пороговою </w:t>
      </w:r>
      <w:r>
        <w:rPr>
          <w:rFonts w:ascii="Times New Roman" w:hAnsi="Times New Roman"/>
          <w:sz w:val="28"/>
          <w:szCs w:val="28"/>
        </w:rPr>
        <w:lastRenderedPageBreak/>
        <w:t xml:space="preserve">величиною </w:t>
      </w:r>
      <w:r w:rsidRPr="00832C03">
        <w:rPr>
          <w:rFonts w:ascii="Times New Roman" w:hAnsi="Times New Roman" w:cs="Times New Roman"/>
          <w:sz w:val="28"/>
          <w:szCs w:val="28"/>
        </w:rPr>
        <w:t>1,28×</w:t>
      </w:r>
      <w:r w:rsidRPr="00832C03">
        <w:rPr>
          <w:rFonts w:ascii="Times New Roman" w:hAnsi="Times New Roman"/>
          <w:sz w:val="28"/>
          <w:szCs w:val="28"/>
        </w:rPr>
        <w:t>10</w:t>
      </w:r>
      <w:r w:rsidRPr="00832C03">
        <w:rPr>
          <w:rFonts w:ascii="Times New Roman" w:hAnsi="Times New Roman"/>
          <w:sz w:val="28"/>
          <w:szCs w:val="28"/>
          <w:vertAlign w:val="superscript"/>
        </w:rPr>
        <w:t>-3</w:t>
      </w:r>
      <w:r w:rsidRPr="00832C03">
        <w:rPr>
          <w:rFonts w:ascii="Times New Roman" w:hAnsi="Times New Roman"/>
          <w:sz w:val="28"/>
          <w:szCs w:val="28"/>
        </w:rPr>
        <w:t xml:space="preserve"> мм</w:t>
      </w:r>
      <w:r w:rsidRPr="00832C03">
        <w:rPr>
          <w:rFonts w:ascii="Times New Roman" w:hAnsi="Times New Roman"/>
          <w:sz w:val="28"/>
          <w:szCs w:val="28"/>
          <w:vertAlign w:val="superscript"/>
        </w:rPr>
        <w:t>2</w:t>
      </w:r>
      <w:r w:rsidRPr="00832C03">
        <w:rPr>
          <w:rFonts w:ascii="Times New Roman" w:hAnsi="Times New Roman"/>
          <w:sz w:val="28"/>
          <w:szCs w:val="28"/>
        </w:rPr>
        <w:t>/с</w:t>
      </w:r>
      <w:r w:rsidRPr="00832C03">
        <w:rPr>
          <w:rFonts w:ascii="Times New Roman" w:hAnsi="Times New Roman" w:cs="Times New Roman"/>
          <w:sz w:val="28"/>
          <w:szCs w:val="28"/>
        </w:rPr>
        <w:t xml:space="preserve">  </w:t>
      </w:r>
      <w:r>
        <w:rPr>
          <w:rFonts w:ascii="Times New Roman" w:hAnsi="Times New Roman" w:cs="Times New Roman"/>
          <w:sz w:val="28"/>
          <w:szCs w:val="28"/>
        </w:rPr>
        <w:t>дозволяло диференціювати локальний рецидив НКР від фібротичних післяопераційних змін паренхіми нирки із</w:t>
      </w:r>
      <w:r w:rsidRPr="00832C03">
        <w:rPr>
          <w:rFonts w:ascii="Times New Roman" w:hAnsi="Times New Roman" w:cs="Times New Roman"/>
          <w:sz w:val="28"/>
          <w:szCs w:val="28"/>
        </w:rPr>
        <w:t xml:space="preserve"> 100%</w:t>
      </w:r>
      <w:r>
        <w:rPr>
          <w:rFonts w:ascii="Times New Roman" w:hAnsi="Times New Roman" w:cs="Times New Roman"/>
          <w:sz w:val="28"/>
          <w:szCs w:val="28"/>
        </w:rPr>
        <w:t xml:space="preserve"> чутливістю, </w:t>
      </w:r>
      <w:r w:rsidRPr="00832C03">
        <w:rPr>
          <w:rFonts w:ascii="Times New Roman" w:hAnsi="Times New Roman" w:cs="Times New Roman"/>
          <w:sz w:val="28"/>
          <w:szCs w:val="28"/>
        </w:rPr>
        <w:t>80%</w:t>
      </w:r>
      <w:r>
        <w:rPr>
          <w:rFonts w:ascii="Times New Roman" w:hAnsi="Times New Roman" w:cs="Times New Roman"/>
          <w:sz w:val="28"/>
          <w:szCs w:val="28"/>
        </w:rPr>
        <w:t xml:space="preserve"> специфічністю та високою точністю: </w:t>
      </w:r>
      <w:r>
        <w:rPr>
          <w:rFonts w:ascii="Times New Roman" w:hAnsi="Times New Roman" w:cs="Times New Roman"/>
          <w:sz w:val="28"/>
          <w:szCs w:val="28"/>
          <w:lang w:val="en-US"/>
        </w:rPr>
        <w:t>AUC</w:t>
      </w:r>
      <w:r w:rsidRPr="009E6C7E">
        <w:rPr>
          <w:rFonts w:ascii="Times New Roman" w:hAnsi="Times New Roman" w:cs="Times New Roman"/>
          <w:sz w:val="28"/>
          <w:szCs w:val="28"/>
        </w:rPr>
        <w:t>=</w:t>
      </w:r>
      <w:r w:rsidRPr="00832C03">
        <w:rPr>
          <w:rFonts w:ascii="Times New Roman" w:hAnsi="Times New Roman" w:cs="Times New Roman"/>
          <w:sz w:val="28"/>
          <w:szCs w:val="28"/>
        </w:rPr>
        <w:t>0,980 (95% ДІ</w:t>
      </w:r>
      <w:r w:rsidRPr="009E6C7E">
        <w:rPr>
          <w:rFonts w:ascii="Times New Roman" w:hAnsi="Times New Roman" w:cs="Times New Roman"/>
          <w:sz w:val="28"/>
          <w:szCs w:val="28"/>
        </w:rPr>
        <w:t>=0</w:t>
      </w:r>
      <w:r w:rsidRPr="00832C03">
        <w:rPr>
          <w:rFonts w:ascii="Times New Roman" w:hAnsi="Times New Roman" w:cs="Times New Roman"/>
          <w:sz w:val="28"/>
          <w:szCs w:val="28"/>
        </w:rPr>
        <w:t xml:space="preserve">,945-0,998, </w:t>
      </w:r>
      <w:r w:rsidRPr="009E6C7E">
        <w:rPr>
          <w:rFonts w:ascii="Times New Roman" w:hAnsi="Times New Roman" w:cs="Times New Roman"/>
          <w:sz w:val="28"/>
          <w:szCs w:val="28"/>
        </w:rPr>
        <w:t>р&lt;</w:t>
      </w:r>
      <w:r w:rsidRPr="00832C03">
        <w:rPr>
          <w:rFonts w:ascii="Times New Roman" w:hAnsi="Times New Roman" w:cs="Times New Roman"/>
          <w:sz w:val="28"/>
          <w:szCs w:val="28"/>
        </w:rPr>
        <w:t>0,001)</w:t>
      </w:r>
      <w:r>
        <w:rPr>
          <w:rFonts w:ascii="Times New Roman" w:hAnsi="Times New Roman" w:cs="Times New Roman"/>
          <w:sz w:val="28"/>
          <w:szCs w:val="28"/>
        </w:rPr>
        <w:t>.</w:t>
      </w:r>
    </w:p>
    <w:p w:rsidR="000645F1" w:rsidRPr="00FE3B6E" w:rsidRDefault="000645F1" w:rsidP="000645F1">
      <w:pPr>
        <w:spacing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Нами була</w:t>
      </w:r>
      <w:r w:rsidRPr="00DF3895">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вивчена</w:t>
      </w:r>
      <w:r w:rsidRPr="00DF3895">
        <w:rPr>
          <w:rFonts w:ascii="Times New Roman" w:hAnsi="Times New Roman" w:cs="Times New Roman"/>
          <w:color w:val="000000"/>
          <w:sz w:val="28"/>
          <w:szCs w:val="28"/>
          <w:shd w:val="clear" w:color="auto" w:fill="FFFFFF"/>
        </w:rPr>
        <w:t xml:space="preserve"> ефективність застосування вимірюваного коефіцієнта дифузії дифузійно-зважених зображень МРТ у </w:t>
      </w:r>
      <w:r w:rsidRPr="00DF3895">
        <w:rPr>
          <w:rFonts w:ascii="Times New Roman" w:hAnsi="Times New Roman" w:cs="Times New Roman"/>
          <w:b/>
          <w:color w:val="000000"/>
          <w:sz w:val="28"/>
          <w:szCs w:val="28"/>
          <w:shd w:val="clear" w:color="auto" w:fill="FFFFFF"/>
        </w:rPr>
        <w:t xml:space="preserve">оцінці ранньої терапевтичної відповіді при системній терапії хворих із розповсюдженим </w:t>
      </w:r>
      <w:r>
        <w:rPr>
          <w:rFonts w:ascii="Times New Roman" w:hAnsi="Times New Roman" w:cs="Times New Roman"/>
          <w:b/>
          <w:color w:val="000000"/>
          <w:sz w:val="28"/>
          <w:szCs w:val="28"/>
          <w:shd w:val="clear" w:color="auto" w:fill="FFFFFF"/>
        </w:rPr>
        <w:t xml:space="preserve">світлоклітинним </w:t>
      </w:r>
      <w:r w:rsidRPr="00DF3895">
        <w:rPr>
          <w:rFonts w:ascii="Times New Roman" w:hAnsi="Times New Roman" w:cs="Times New Roman"/>
          <w:b/>
          <w:color w:val="000000"/>
          <w:sz w:val="28"/>
          <w:szCs w:val="28"/>
          <w:shd w:val="clear" w:color="auto" w:fill="FFFFFF"/>
        </w:rPr>
        <w:t>НКР</w:t>
      </w:r>
      <w:r w:rsidRPr="00DF3895">
        <w:rPr>
          <w:rFonts w:ascii="Times New Roman" w:hAnsi="Times New Roman" w:cs="Times New Roman"/>
          <w:color w:val="000000"/>
          <w:sz w:val="28"/>
          <w:szCs w:val="28"/>
          <w:shd w:val="clear" w:color="auto" w:fill="FFFFFF"/>
        </w:rPr>
        <w:t xml:space="preserve">. Кінцевою точкою дослідження було визначено час до прогресії захворювання. У дослідження входили як хворі, яким раніше нефректомія не проводилась у в’язку із виявленням пухлини на пізній стадії, так і з локальним неоперабельним рецидивом НКР після парціальної нефректомії. Таким чином у дослідження увійшло 32 хворих із розповсюдженим НКР, які склали основну групу (21 чоловік та 11 жінок, віком від 59 до 72 р., середній вік – 65,23±4,85 р.). </w:t>
      </w:r>
      <w:r w:rsidRPr="00FE3B6E">
        <w:rPr>
          <w:rFonts w:ascii="Times New Roman" w:hAnsi="Times New Roman" w:cs="Times New Roman"/>
          <w:color w:val="000000"/>
          <w:sz w:val="28"/>
          <w:szCs w:val="28"/>
          <w:shd w:val="clear" w:color="auto" w:fill="FFFFFF"/>
        </w:rPr>
        <w:t>Згідно Heng шкали усі хворі належали до групи із проміжним прогнозом.</w:t>
      </w:r>
    </w:p>
    <w:p w:rsidR="000645F1" w:rsidRDefault="000645F1" w:rsidP="000645F1">
      <w:pPr>
        <w:spacing w:line="360" w:lineRule="auto"/>
        <w:ind w:firstLine="709"/>
        <w:jc w:val="both"/>
        <w:rPr>
          <w:rFonts w:ascii="Times New Roman" w:hAnsi="Times New Roman" w:cs="Times New Roman"/>
          <w:color w:val="000000"/>
          <w:sz w:val="28"/>
          <w:szCs w:val="28"/>
          <w:shd w:val="clear" w:color="auto" w:fill="FFFFFF"/>
        </w:rPr>
      </w:pPr>
      <w:r w:rsidRPr="00FE3B6E">
        <w:rPr>
          <w:rFonts w:ascii="Times New Roman" w:hAnsi="Times New Roman" w:cs="Times New Roman"/>
          <w:sz w:val="28"/>
        </w:rPr>
        <w:t>Усім хворим із конвенційним мНКР у якості першої лінії терапії призначався пазопаніб (Вотрієнт, Глаксо Оперейшнс ЮК Лтд, Великобританія) у дозуванні 800 мг перорально 1 раз на добу до прогресування захворювання або до розвитку неприйнятної токсичності.</w:t>
      </w:r>
      <w:r w:rsidRPr="00FE3B6E">
        <w:rPr>
          <w:rFonts w:ascii="Times New Roman" w:eastAsiaTheme="minorEastAsia" w:hAnsi="Times New Roman" w:cs="Times New Roman"/>
          <w:sz w:val="28"/>
          <w:szCs w:val="28"/>
        </w:rPr>
        <w:t xml:space="preserve"> У якості базового (за 0-5 днів до початку системної терапії) та контрольного через 1 місяць (в середньому 1,10±0,25 місяців) обстежень </w:t>
      </w:r>
      <w:r w:rsidRPr="00FE3B6E">
        <w:rPr>
          <w:rFonts w:ascii="Times New Roman" w:hAnsi="Times New Roman" w:cs="Times New Roman"/>
          <w:color w:val="000000"/>
          <w:sz w:val="28"/>
          <w:szCs w:val="28"/>
          <w:shd w:val="clear" w:color="auto" w:fill="FFFFFF"/>
        </w:rPr>
        <w:t>усім хворим проводили МРТ із контрастним посиленням та із</w:t>
      </w:r>
      <w:r w:rsidRPr="00FE3B6E">
        <w:rPr>
          <w:rFonts w:ascii="Times New Roman" w:hAnsi="Times New Roman" w:cs="Times New Roman"/>
          <w:sz w:val="28"/>
          <w:szCs w:val="28"/>
        </w:rPr>
        <w:t xml:space="preserve"> включеною додатково до стандартного протоколу сканування черевної порожнини, послідовністю дифузійно-зважених зображень із </w:t>
      </w:r>
      <w:r w:rsidRPr="00FE3B6E">
        <w:rPr>
          <w:rFonts w:ascii="Times New Roman" w:eastAsiaTheme="minorEastAsia" w:hAnsi="Times New Roman" w:cs="Times New Roman"/>
          <w:sz w:val="28"/>
          <w:szCs w:val="28"/>
        </w:rPr>
        <w:t>b-</w:t>
      </w:r>
      <w:r w:rsidRPr="00FE3B6E">
        <w:rPr>
          <w:rFonts w:ascii="Times New Roman" w:hAnsi="Times New Roman" w:cs="Times New Roman"/>
          <w:sz w:val="28"/>
          <w:szCs w:val="28"/>
        </w:rPr>
        <w:t xml:space="preserve">значенням </w:t>
      </w:r>
      <w:r w:rsidRPr="00FE3B6E">
        <w:rPr>
          <w:rFonts w:ascii="Times New Roman" w:eastAsiaTheme="minorEastAsia" w:hAnsi="Times New Roman" w:cs="Times New Roman"/>
          <w:sz w:val="28"/>
          <w:szCs w:val="28"/>
        </w:rPr>
        <w:t xml:space="preserve">= </w:t>
      </w:r>
      <w:r w:rsidRPr="00FE3B6E">
        <w:rPr>
          <w:rFonts w:ascii="Times New Roman" w:hAnsi="Times New Roman" w:cs="Times New Roman"/>
          <w:sz w:val="28"/>
          <w:szCs w:val="28"/>
        </w:rPr>
        <w:t>0 та 8</w:t>
      </w:r>
      <w:r w:rsidRPr="00FE3B6E">
        <w:rPr>
          <w:rFonts w:ascii="Times New Roman" w:eastAsiaTheme="minorEastAsia" w:hAnsi="Times New Roman" w:cs="Times New Roman"/>
          <w:sz w:val="28"/>
          <w:szCs w:val="28"/>
        </w:rPr>
        <w:t xml:space="preserve">00 </w:t>
      </w:r>
      <w:r w:rsidRPr="00FE3B6E">
        <w:rPr>
          <w:rFonts w:ascii="Times New Roman" w:hAnsi="Times New Roman" w:cs="Times New Roman"/>
          <w:sz w:val="28"/>
          <w:szCs w:val="28"/>
        </w:rPr>
        <w:t>сек</w:t>
      </w:r>
      <w:r w:rsidRPr="00FE3B6E">
        <w:rPr>
          <w:rFonts w:ascii="Times New Roman" w:eastAsiaTheme="minorEastAsia" w:hAnsi="Times New Roman" w:cs="Times New Roman"/>
          <w:sz w:val="28"/>
          <w:szCs w:val="28"/>
        </w:rPr>
        <w:t>/мм</w:t>
      </w:r>
      <w:r w:rsidRPr="00FE3B6E">
        <w:rPr>
          <w:rFonts w:ascii="Times New Roman" w:eastAsiaTheme="minorEastAsia" w:hAnsi="Times New Roman" w:cs="Times New Roman"/>
          <w:sz w:val="28"/>
          <w:szCs w:val="28"/>
          <w:vertAlign w:val="superscript"/>
        </w:rPr>
        <w:t>2</w:t>
      </w:r>
      <w:r w:rsidRPr="00FE3B6E">
        <w:rPr>
          <w:rFonts w:ascii="Times New Roman" w:eastAsiaTheme="minorEastAsia" w:hAnsi="Times New Roman" w:cs="Times New Roman"/>
          <w:sz w:val="28"/>
          <w:szCs w:val="28"/>
        </w:rPr>
        <w:t>.</w:t>
      </w:r>
      <w:r w:rsidRPr="00FE3B6E">
        <w:rPr>
          <w:rFonts w:ascii="Times New Roman" w:hAnsi="Times New Roman" w:cs="Times New Roman"/>
          <w:sz w:val="28"/>
          <w:szCs w:val="28"/>
          <w:shd w:val="clear" w:color="auto" w:fill="FFFFFF"/>
        </w:rPr>
        <w:t xml:space="preserve"> У якості референтних значень ВКД (нормальної ниркової паренхіми) використовували дані здорових волонтерів, отримані нами при діагностиці малих ниркових новоутворень (контрольна група), n=30.</w:t>
      </w:r>
      <w:r w:rsidRPr="00FE3B6E">
        <w:rPr>
          <w:rFonts w:ascii="Times New Roman" w:eastAsiaTheme="minorEastAsia" w:hAnsi="Times New Roman" w:cs="Times New Roman"/>
          <w:sz w:val="28"/>
          <w:szCs w:val="28"/>
        </w:rPr>
        <w:t xml:space="preserve"> В подальшому моніторинг перебігу захворювання проводили на основі КТ чи МРТ обстежень із контрастуванням з періодичністю 2-6 місяців (третє сканування проводилось через 2 місяці </w:t>
      </w:r>
      <w:r w:rsidRPr="00FE3B6E">
        <w:rPr>
          <w:rFonts w:ascii="Times New Roman" w:eastAsiaTheme="minorEastAsia" w:hAnsi="Times New Roman" w:cs="Times New Roman"/>
          <w:sz w:val="28"/>
          <w:szCs w:val="28"/>
        </w:rPr>
        <w:lastRenderedPageBreak/>
        <w:t xml:space="preserve">після першого контрольного обстеження, а наступні – в залежності від </w:t>
      </w:r>
      <w:r w:rsidR="00B02037">
        <w:rPr>
          <w:rFonts w:ascii="Times New Roman" w:eastAsiaTheme="minorEastAsia" w:hAnsi="Times New Roman" w:cs="Times New Roman"/>
          <w:sz w:val="28"/>
          <w:szCs w:val="28"/>
        </w:rPr>
        <w:t>ступеня</w:t>
      </w:r>
      <w:r w:rsidRPr="00FE3B6E">
        <w:rPr>
          <w:rFonts w:ascii="Times New Roman" w:eastAsiaTheme="minorEastAsia" w:hAnsi="Times New Roman" w:cs="Times New Roman"/>
          <w:sz w:val="28"/>
          <w:szCs w:val="28"/>
        </w:rPr>
        <w:t xml:space="preserve"> терапевтичної відповіді). Для оцінки терапевтичної відповіді застосовували критерії </w:t>
      </w:r>
      <w:r w:rsidRPr="00FE3B6E">
        <w:rPr>
          <w:rFonts w:ascii="Times New Roman" w:hAnsi="Times New Roman" w:cs="Times New Roman"/>
          <w:color w:val="000000"/>
          <w:sz w:val="28"/>
          <w:szCs w:val="28"/>
          <w:shd w:val="clear" w:color="auto" w:fill="FFFFFF"/>
        </w:rPr>
        <w:t>RECIST 1.1.</w:t>
      </w:r>
    </w:p>
    <w:p w:rsidR="000645F1" w:rsidRDefault="000645F1" w:rsidP="000645F1">
      <w:pPr>
        <w:spacing w:line="360" w:lineRule="auto"/>
        <w:ind w:firstLine="708"/>
        <w:jc w:val="both"/>
        <w:rPr>
          <w:rFonts w:ascii="Times New Roman" w:hAnsi="Times New Roman"/>
          <w:sz w:val="28"/>
          <w:szCs w:val="28"/>
        </w:rPr>
      </w:pPr>
      <w:r w:rsidRPr="00FE3B6E">
        <w:rPr>
          <w:rFonts w:ascii="Times New Roman" w:hAnsi="Times New Roman"/>
          <w:sz w:val="28"/>
          <w:szCs w:val="28"/>
        </w:rPr>
        <w:t xml:space="preserve">При порівнянні вихідних середніх значень ВКД із середніми значеннями цього параметру через 1 місяць після початку лікування, у підгрупі із частковою відповіддю ми спостерігали зниження даного показника в середньому на </w:t>
      </w:r>
      <w:r w:rsidRPr="00FE3B6E">
        <w:rPr>
          <w:rFonts w:ascii="Times New Roman" w:hAnsi="Times New Roman" w:cs="Times New Roman"/>
          <w:sz w:val="28"/>
          <w:szCs w:val="28"/>
        </w:rPr>
        <w:t>↓</w:t>
      </w:r>
      <w:r w:rsidRPr="00FE3B6E">
        <w:rPr>
          <w:rFonts w:ascii="Times New Roman" w:hAnsi="Times New Roman"/>
          <w:sz w:val="28"/>
          <w:szCs w:val="28"/>
        </w:rPr>
        <w:t>19,11</w:t>
      </w:r>
      <w:r w:rsidRPr="00FE3B6E">
        <w:rPr>
          <w:rFonts w:ascii="Times New Roman" w:hAnsi="Times New Roman" w:cs="Times New Roman"/>
          <w:sz w:val="28"/>
          <w:szCs w:val="28"/>
        </w:rPr>
        <w:t>±</w:t>
      </w:r>
      <w:r w:rsidRPr="00FE3B6E">
        <w:rPr>
          <w:rFonts w:ascii="Times New Roman" w:hAnsi="Times New Roman"/>
          <w:sz w:val="28"/>
          <w:szCs w:val="28"/>
        </w:rPr>
        <w:t xml:space="preserve">10,64% (95% ДІ=12,35-25,87); у групі із стабілізацією захворювання – зниження в середньому на </w:t>
      </w:r>
      <w:r w:rsidRPr="00FE3B6E">
        <w:rPr>
          <w:rFonts w:ascii="Times New Roman" w:hAnsi="Times New Roman" w:cs="Times New Roman"/>
          <w:sz w:val="28"/>
          <w:szCs w:val="28"/>
        </w:rPr>
        <w:t>↓</w:t>
      </w:r>
      <w:r w:rsidRPr="00FE3B6E">
        <w:rPr>
          <w:rFonts w:ascii="Times New Roman" w:hAnsi="Times New Roman"/>
          <w:sz w:val="28"/>
          <w:szCs w:val="28"/>
        </w:rPr>
        <w:t>7,66</w:t>
      </w:r>
      <w:r w:rsidRPr="00FE3B6E">
        <w:rPr>
          <w:rFonts w:ascii="Times New Roman" w:hAnsi="Times New Roman" w:cs="Times New Roman"/>
          <w:sz w:val="28"/>
          <w:szCs w:val="28"/>
        </w:rPr>
        <w:t>±</w:t>
      </w:r>
      <w:r w:rsidRPr="00FE3B6E">
        <w:rPr>
          <w:rFonts w:ascii="Times New Roman" w:hAnsi="Times New Roman"/>
          <w:sz w:val="28"/>
          <w:szCs w:val="28"/>
        </w:rPr>
        <w:t xml:space="preserve">6,72% (95% ДІ=2,86-12,47); а у групі із прогресом захворювання навпаки, зростання в середньому на </w:t>
      </w:r>
      <w:r w:rsidRPr="00FE3B6E">
        <w:rPr>
          <w:rFonts w:ascii="Times New Roman" w:hAnsi="Times New Roman" w:cs="Times New Roman"/>
          <w:sz w:val="28"/>
          <w:szCs w:val="28"/>
        </w:rPr>
        <w:t>↑</w:t>
      </w:r>
      <w:r w:rsidRPr="00FE3B6E">
        <w:rPr>
          <w:rFonts w:ascii="Times New Roman" w:hAnsi="Times New Roman"/>
          <w:sz w:val="28"/>
          <w:szCs w:val="28"/>
        </w:rPr>
        <w:t>1,11</w:t>
      </w:r>
      <w:r w:rsidRPr="00FE3B6E">
        <w:rPr>
          <w:rFonts w:ascii="Times New Roman" w:hAnsi="Times New Roman" w:cs="Times New Roman"/>
          <w:sz w:val="28"/>
          <w:szCs w:val="28"/>
        </w:rPr>
        <w:t>±</w:t>
      </w:r>
      <w:r w:rsidRPr="00FE3B6E">
        <w:rPr>
          <w:rFonts w:ascii="Times New Roman" w:hAnsi="Times New Roman"/>
          <w:sz w:val="28"/>
          <w:szCs w:val="28"/>
        </w:rPr>
        <w:t xml:space="preserve">2,46% (95% ДІ=-0,64-2,67), при цьому різниця між підгрупами була статистично достовірною (р&lt;0,001). </w:t>
      </w:r>
    </w:p>
    <w:p w:rsidR="000645F1" w:rsidRDefault="000645F1" w:rsidP="000645F1">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Pr="00FE3B6E">
        <w:rPr>
          <w:rFonts w:ascii="Times New Roman" w:hAnsi="Times New Roman" w:cs="Times New Roman"/>
          <w:sz w:val="28"/>
          <w:szCs w:val="28"/>
        </w:rPr>
        <w:t xml:space="preserve">ореляційний </w:t>
      </w:r>
      <w:r>
        <w:rPr>
          <w:rFonts w:ascii="Times New Roman" w:hAnsi="Times New Roman" w:cs="Times New Roman"/>
          <w:sz w:val="28"/>
          <w:szCs w:val="28"/>
        </w:rPr>
        <w:t>аналіз</w:t>
      </w:r>
      <w:r w:rsidRPr="00FE3B6E">
        <w:rPr>
          <w:rFonts w:ascii="Times New Roman" w:hAnsi="Times New Roman" w:cs="Times New Roman"/>
          <w:sz w:val="28"/>
          <w:szCs w:val="28"/>
        </w:rPr>
        <w:t xml:space="preserve"> між </w:t>
      </w:r>
      <w:r>
        <w:rPr>
          <w:rFonts w:ascii="Times New Roman" w:hAnsi="Times New Roman" w:cs="Times New Roman"/>
          <w:sz w:val="28"/>
          <w:szCs w:val="28"/>
        </w:rPr>
        <w:t>показниками часу</w:t>
      </w:r>
      <w:r w:rsidRPr="00FE3B6E">
        <w:rPr>
          <w:rFonts w:ascii="Times New Roman" w:hAnsi="Times New Roman" w:cs="Times New Roman"/>
          <w:sz w:val="28"/>
          <w:szCs w:val="28"/>
        </w:rPr>
        <w:t xml:space="preserve"> до прогресу та відсотком зміни значення ВКД через 1 місяць після початку лікування пазопанібом у п</w:t>
      </w:r>
      <w:r>
        <w:rPr>
          <w:rFonts w:ascii="Times New Roman" w:hAnsi="Times New Roman" w:cs="Times New Roman"/>
          <w:sz w:val="28"/>
          <w:szCs w:val="28"/>
        </w:rPr>
        <w:t>орівнянні із вихідною величиною довів</w:t>
      </w:r>
      <w:r w:rsidRPr="00FE3B6E">
        <w:rPr>
          <w:rFonts w:ascii="Times New Roman" w:hAnsi="Times New Roman" w:cs="Times New Roman"/>
          <w:sz w:val="28"/>
          <w:szCs w:val="28"/>
        </w:rPr>
        <w:t xml:space="preserve"> </w:t>
      </w:r>
      <w:r>
        <w:rPr>
          <w:rFonts w:ascii="Times New Roman" w:hAnsi="Times New Roman" w:cs="Times New Roman"/>
          <w:sz w:val="28"/>
          <w:szCs w:val="28"/>
        </w:rPr>
        <w:t>існування прямого</w:t>
      </w:r>
      <w:r w:rsidRPr="00FE3B6E">
        <w:rPr>
          <w:rFonts w:ascii="Times New Roman" w:hAnsi="Times New Roman" w:cs="Times New Roman"/>
          <w:sz w:val="28"/>
          <w:szCs w:val="28"/>
        </w:rPr>
        <w:t xml:space="preserve"> взаємозв’язку між цими </w:t>
      </w:r>
      <w:r>
        <w:rPr>
          <w:rFonts w:ascii="Times New Roman" w:hAnsi="Times New Roman" w:cs="Times New Roman"/>
          <w:sz w:val="28"/>
          <w:szCs w:val="28"/>
        </w:rPr>
        <w:t>параметрами</w:t>
      </w:r>
      <w:r w:rsidRPr="00FE3B6E">
        <w:rPr>
          <w:rFonts w:ascii="Times New Roman" w:hAnsi="Times New Roman" w:cs="Times New Roman"/>
          <w:sz w:val="28"/>
          <w:szCs w:val="28"/>
        </w:rPr>
        <w:t>, коефіцієнт Пірсона становив 0,673 (р&lt;</w:t>
      </w:r>
      <w:r>
        <w:rPr>
          <w:rFonts w:ascii="Times New Roman" w:hAnsi="Times New Roman" w:cs="Times New Roman"/>
          <w:sz w:val="28"/>
          <w:szCs w:val="28"/>
        </w:rPr>
        <w:t>0,001). З</w:t>
      </w:r>
      <w:r w:rsidRPr="00FE3B6E">
        <w:rPr>
          <w:rFonts w:ascii="Times New Roman" w:hAnsi="Times New Roman" w:cs="Times New Roman"/>
          <w:sz w:val="28"/>
          <w:szCs w:val="28"/>
        </w:rPr>
        <w:t xml:space="preserve">астосування порогового значення ВКД </w:t>
      </w:r>
      <w:r>
        <w:rPr>
          <w:rFonts w:ascii="Times New Roman" w:hAnsi="Times New Roman" w:cs="Times New Roman"/>
          <w:sz w:val="28"/>
          <w:szCs w:val="28"/>
        </w:rPr>
        <w:t>↓</w:t>
      </w:r>
      <w:r w:rsidRPr="00FE3B6E">
        <w:rPr>
          <w:rFonts w:ascii="Times New Roman" w:hAnsi="Times New Roman" w:cs="Times New Roman"/>
          <w:sz w:val="28"/>
          <w:szCs w:val="28"/>
        </w:rPr>
        <w:t>1,73%</w:t>
      </w:r>
      <w:r>
        <w:rPr>
          <w:rFonts w:ascii="Times New Roman" w:hAnsi="Times New Roman" w:cs="Times New Roman"/>
          <w:sz w:val="28"/>
          <w:szCs w:val="28"/>
        </w:rPr>
        <w:t xml:space="preserve"> (</w:t>
      </w:r>
      <w:r w:rsidRPr="00FE3B6E">
        <w:rPr>
          <w:rFonts w:ascii="Times New Roman" w:hAnsi="Times New Roman" w:cs="Times New Roman"/>
          <w:sz w:val="28"/>
          <w:szCs w:val="28"/>
        </w:rPr>
        <w:t>через 1 місяць після початку лікування пазопанібом у порівнянні із вихідною величиною</w:t>
      </w:r>
      <w:r>
        <w:rPr>
          <w:rFonts w:ascii="Times New Roman" w:hAnsi="Times New Roman" w:cs="Times New Roman"/>
          <w:sz w:val="28"/>
          <w:szCs w:val="28"/>
        </w:rPr>
        <w:t>)</w:t>
      </w:r>
      <w:r w:rsidRPr="00FE3B6E">
        <w:rPr>
          <w:rFonts w:ascii="Times New Roman" w:hAnsi="Times New Roman" w:cs="Times New Roman"/>
          <w:sz w:val="28"/>
          <w:szCs w:val="28"/>
        </w:rPr>
        <w:t>, для диференціації хворих із прогресом захворювання та без, дозволило отримати показники чутливості та специфічності відповідно 100% та 81,8% при високій точності методу – AUC=0,927 (95% ДІ=0,835-0,998, р&lt;0,001).</w:t>
      </w:r>
    </w:p>
    <w:p w:rsidR="000645F1" w:rsidRDefault="000645F1" w:rsidP="000645F1">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w:t>
      </w:r>
      <w:r w:rsidRPr="00FE3B6E">
        <w:rPr>
          <w:rFonts w:ascii="Times New Roman" w:hAnsi="Times New Roman" w:cs="Times New Roman"/>
          <w:sz w:val="28"/>
          <w:szCs w:val="28"/>
        </w:rPr>
        <w:t xml:space="preserve">, показник </w:t>
      </w:r>
      <w:r>
        <w:rPr>
          <w:rFonts w:ascii="Times New Roman" w:hAnsi="Times New Roman" w:cs="Times New Roman"/>
          <w:sz w:val="28"/>
          <w:szCs w:val="28"/>
        </w:rPr>
        <w:t>ВКД</w:t>
      </w:r>
      <w:r w:rsidRPr="00FE3B6E">
        <w:rPr>
          <w:rFonts w:ascii="Times New Roman" w:hAnsi="Times New Roman" w:cs="Times New Roman"/>
          <w:sz w:val="28"/>
          <w:szCs w:val="28"/>
        </w:rPr>
        <w:t>, на відміну від розміру первинно</w:t>
      </w:r>
      <w:r>
        <w:rPr>
          <w:rFonts w:ascii="Times New Roman" w:hAnsi="Times New Roman" w:cs="Times New Roman"/>
          <w:sz w:val="28"/>
          <w:szCs w:val="28"/>
        </w:rPr>
        <w:t xml:space="preserve">ї пухлини, об’єктивно віддзеркалював ранні зміни в </w:t>
      </w:r>
      <w:r w:rsidRPr="00FE3B6E">
        <w:rPr>
          <w:rFonts w:ascii="Times New Roman" w:hAnsi="Times New Roman" w:cs="Times New Roman"/>
          <w:sz w:val="28"/>
          <w:szCs w:val="28"/>
        </w:rPr>
        <w:t>тканинах розповсюдженого конвенційного НКР під впливом системного лікування інгібітором</w:t>
      </w:r>
      <w:r>
        <w:rPr>
          <w:rFonts w:ascii="Times New Roman" w:hAnsi="Times New Roman" w:cs="Times New Roman"/>
          <w:sz w:val="28"/>
          <w:szCs w:val="28"/>
        </w:rPr>
        <w:t xml:space="preserve"> тирозинкінази, пазопанібом. Такі дані свідчать, </w:t>
      </w:r>
      <w:r w:rsidRPr="00FE3B6E">
        <w:rPr>
          <w:rFonts w:ascii="Times New Roman" w:hAnsi="Times New Roman" w:cs="Times New Roman"/>
          <w:sz w:val="28"/>
          <w:szCs w:val="28"/>
        </w:rPr>
        <w:t xml:space="preserve">що ВКД може бути застосований у якості променевого біомаркеру для оцінки ранньої терапевтичної відповіді (через 1 місяць після початку лікування пазопанібом) хворих із світлоклітинним розповсюдженим НКР та передбачення </w:t>
      </w:r>
      <w:r>
        <w:rPr>
          <w:rFonts w:ascii="Times New Roman" w:hAnsi="Times New Roman" w:cs="Times New Roman"/>
          <w:sz w:val="28"/>
          <w:szCs w:val="28"/>
        </w:rPr>
        <w:t xml:space="preserve">ефективності системної терапії, а також включеним до </w:t>
      </w:r>
      <w:r w:rsidRPr="00FE3B6E">
        <w:rPr>
          <w:rFonts w:ascii="Times New Roman" w:hAnsi="Times New Roman" w:cs="Times New Roman"/>
          <w:sz w:val="28"/>
          <w:szCs w:val="28"/>
        </w:rPr>
        <w:t>критеріїв</w:t>
      </w:r>
      <w:r>
        <w:rPr>
          <w:rFonts w:ascii="Times New Roman" w:hAnsi="Times New Roman" w:cs="Times New Roman"/>
          <w:sz w:val="28"/>
          <w:szCs w:val="28"/>
        </w:rPr>
        <w:t xml:space="preserve"> </w:t>
      </w:r>
      <w:r>
        <w:rPr>
          <w:rFonts w:ascii="Times New Roman" w:hAnsi="Times New Roman" w:cs="Times New Roman"/>
          <w:sz w:val="28"/>
          <w:szCs w:val="28"/>
          <w:lang w:val="en-US"/>
        </w:rPr>
        <w:t>RECIST</w:t>
      </w:r>
      <w:r>
        <w:rPr>
          <w:rFonts w:ascii="Times New Roman" w:hAnsi="Times New Roman" w:cs="Times New Roman"/>
          <w:sz w:val="28"/>
          <w:szCs w:val="28"/>
        </w:rPr>
        <w:t>.</w:t>
      </w:r>
    </w:p>
    <w:p w:rsidR="0099000A" w:rsidRDefault="0099000A" w:rsidP="000645F1">
      <w:pPr>
        <w:autoSpaceDE w:val="0"/>
        <w:autoSpaceDN w:val="0"/>
        <w:adjustRightInd w:val="0"/>
        <w:spacing w:after="0" w:line="360" w:lineRule="auto"/>
        <w:ind w:firstLine="708"/>
        <w:jc w:val="both"/>
        <w:rPr>
          <w:rFonts w:ascii="Times New Roman" w:hAnsi="Times New Roman" w:cs="Times New Roman"/>
          <w:sz w:val="28"/>
          <w:szCs w:val="28"/>
        </w:rPr>
      </w:pPr>
    </w:p>
    <w:p w:rsidR="009605C8" w:rsidRDefault="0099000A" w:rsidP="009605C8">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На основі отриманих даних був розроблений </w:t>
      </w:r>
      <w:r w:rsidRPr="00A50C1F">
        <w:rPr>
          <w:rFonts w:ascii="Times New Roman" w:hAnsi="Times New Roman" w:cs="Times New Roman"/>
          <w:b/>
          <w:sz w:val="28"/>
          <w:szCs w:val="28"/>
        </w:rPr>
        <w:t>алгоритм лікування хворих</w:t>
      </w:r>
      <w:r>
        <w:rPr>
          <w:rFonts w:ascii="Times New Roman" w:hAnsi="Times New Roman" w:cs="Times New Roman"/>
          <w:sz w:val="28"/>
          <w:szCs w:val="28"/>
        </w:rPr>
        <w:t xml:space="preserve"> із локалізованим та розповсюдженим НКР, який включає в себе  вивчені нами променеві та молекулярні біомаркери та дозволяє зменшити променеве навантаження на хворого</w:t>
      </w:r>
      <w:r w:rsidR="009605C8">
        <w:rPr>
          <w:rFonts w:ascii="Times New Roman" w:hAnsi="Times New Roman" w:cs="Times New Roman"/>
          <w:sz w:val="28"/>
          <w:szCs w:val="28"/>
        </w:rPr>
        <w:t xml:space="preserve"> шляхом застосування МРТ із послідовністю дифузійно-зважених зображень та подальшим обчисленням ВКД з них.</w:t>
      </w:r>
      <w:r>
        <w:rPr>
          <w:rFonts w:ascii="Times New Roman" w:hAnsi="Times New Roman" w:cs="Times New Roman"/>
          <w:sz w:val="28"/>
          <w:szCs w:val="28"/>
        </w:rPr>
        <w:t xml:space="preserve">  Застосування даного алгоритму передбачає виконання запропонованого методу «променевої біопсії» на відповідних етапах</w:t>
      </w:r>
      <w:r w:rsidR="009605C8">
        <w:rPr>
          <w:rFonts w:ascii="Times New Roman" w:hAnsi="Times New Roman" w:cs="Times New Roman"/>
          <w:sz w:val="28"/>
          <w:szCs w:val="28"/>
        </w:rPr>
        <w:t xml:space="preserve">, що дозволяє отримати інформацію для вибору оптимальної тактики лікування. </w:t>
      </w:r>
    </w:p>
    <w:p w:rsidR="002649AA" w:rsidRDefault="009605C8" w:rsidP="009605C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Так, при виборі тактики лікування НКР,  важливу роль відіграє не лише розмір та поширення новоутворення, але і гістологічний підтип і ступінь диференціації пухлини. У випадках наявності у хворих із НКР абсолютних протипоказів до хірургічного лікування,  короткої очікуваної тривалості життя</w:t>
      </w:r>
      <w:r w:rsidR="002649AA">
        <w:rPr>
          <w:rFonts w:ascii="Times New Roman" w:hAnsi="Times New Roman" w:cs="Times New Roman"/>
          <w:sz w:val="28"/>
          <w:szCs w:val="28"/>
        </w:rPr>
        <w:t xml:space="preserve"> (похилий вік)</w:t>
      </w:r>
      <w:r w:rsidR="002B561F">
        <w:rPr>
          <w:rFonts w:ascii="Times New Roman" w:hAnsi="Times New Roman" w:cs="Times New Roman"/>
          <w:sz w:val="28"/>
          <w:szCs w:val="28"/>
        </w:rPr>
        <w:t xml:space="preserve">, важкої супутньої патології, </w:t>
      </w:r>
      <w:r w:rsidR="002649AA">
        <w:rPr>
          <w:rFonts w:ascii="Times New Roman" w:hAnsi="Times New Roman" w:cs="Times New Roman"/>
          <w:sz w:val="28"/>
          <w:szCs w:val="28"/>
        </w:rPr>
        <w:t xml:space="preserve">такій категорії пацієнтів може бути запропонований варіант активного спостереження, натомість оперативного лікування. Важливо зазначити, що такий варіант ведення підходить лише для ретельно відібраних хворих, у яких біологічна агресивність пухлини є низькою: не-світлоклітинний гістологічний підтип НКР, або ж конвенційний НКР низького </w:t>
      </w:r>
      <w:r w:rsidR="00B02037">
        <w:rPr>
          <w:rFonts w:ascii="Times New Roman" w:hAnsi="Times New Roman" w:cs="Times New Roman"/>
          <w:sz w:val="28"/>
          <w:szCs w:val="28"/>
        </w:rPr>
        <w:t>ступеня</w:t>
      </w:r>
      <w:r w:rsidR="002649AA">
        <w:rPr>
          <w:rFonts w:ascii="Times New Roman" w:hAnsi="Times New Roman" w:cs="Times New Roman"/>
          <w:sz w:val="28"/>
          <w:szCs w:val="28"/>
        </w:rPr>
        <w:t xml:space="preserve"> за </w:t>
      </w:r>
      <w:r w:rsidR="002649AA">
        <w:rPr>
          <w:rFonts w:ascii="Times New Roman" w:hAnsi="Times New Roman" w:cs="Times New Roman"/>
          <w:sz w:val="28"/>
          <w:szCs w:val="28"/>
          <w:lang w:val="en-US"/>
        </w:rPr>
        <w:t>Fuhrman</w:t>
      </w:r>
      <w:r w:rsidR="002649AA">
        <w:rPr>
          <w:rFonts w:ascii="Times New Roman" w:hAnsi="Times New Roman" w:cs="Times New Roman"/>
          <w:sz w:val="28"/>
          <w:szCs w:val="28"/>
        </w:rPr>
        <w:t xml:space="preserve">. Такі дані можуть бути отримані із застосування запропонованої методики «променевої біопсії». </w:t>
      </w:r>
    </w:p>
    <w:p w:rsidR="009605C8" w:rsidRDefault="002649AA" w:rsidP="002649AA">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дискордантних результатах променевих досліджень, діагноз НКР може бути уточнений за допомогою молекулярних методик (визначення експресії міР-15а в сечі). При необхідності визначення наявності інвазії ЧМС пухлиною такі дані можуть бути отримані шляхом визначення вільної загальної РНК в сечі хворих. Ці ж методи можуть бути застосовані для післяопераційного скринінгу хворих із НКР для раннього виявлення локального рецидиву після нефрон-зберігаючих операцій.</w:t>
      </w:r>
    </w:p>
    <w:p w:rsidR="009605C8" w:rsidRDefault="00A50C1F" w:rsidP="00A50C1F">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застосуванні таргетної терапії у хворих із розповсюдженим НКР, розгляд варіанту заміни таргетного агенту може розглядатись при відсутності ознак тканинної відповіді через 1 місяць після початку прийому препарату (рис. 8.5).</w:t>
      </w:r>
    </w:p>
    <w:p w:rsidR="009605C8" w:rsidRDefault="009605C8" w:rsidP="009605C8">
      <w:pPr>
        <w:autoSpaceDE w:val="0"/>
        <w:autoSpaceDN w:val="0"/>
        <w:adjustRightInd w:val="0"/>
        <w:spacing w:after="0" w:line="360" w:lineRule="auto"/>
        <w:jc w:val="both"/>
        <w:rPr>
          <w:rFonts w:ascii="Times New Roman" w:hAnsi="Times New Roman" w:cs="Times New Roman"/>
          <w:sz w:val="28"/>
          <w:szCs w:val="28"/>
        </w:rPr>
        <w:sectPr w:rsidR="009605C8" w:rsidSect="00B923B2">
          <w:pgSz w:w="11906" w:h="16838"/>
          <w:pgMar w:top="1134" w:right="851" w:bottom="1134" w:left="1701" w:header="708" w:footer="708" w:gutter="0"/>
          <w:cols w:space="708"/>
          <w:titlePg/>
          <w:docGrid w:linePitch="360"/>
        </w:sectPr>
      </w:pPr>
    </w:p>
    <w:p w:rsidR="0099000A" w:rsidRPr="000327EB" w:rsidRDefault="00A50C1F" w:rsidP="0099000A">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en-US"/>
        </w:rPr>
        <w:lastRenderedPageBreak/>
        <w:drawing>
          <wp:inline distT="0" distB="0" distL="0" distR="0">
            <wp:extent cx="9251950" cy="490156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лікув.jp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9251950" cy="4901565"/>
                    </a:xfrm>
                    <a:prstGeom prst="rect">
                      <a:avLst/>
                    </a:prstGeom>
                  </pic:spPr>
                </pic:pic>
              </a:graphicData>
            </a:graphic>
          </wp:inline>
        </w:drawing>
      </w:r>
    </w:p>
    <w:p w:rsidR="0099000A" w:rsidRDefault="0099000A" w:rsidP="0099000A">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8.5. Алгоритм </w:t>
      </w:r>
      <w:r w:rsidR="00062600">
        <w:rPr>
          <w:rFonts w:ascii="Times New Roman" w:hAnsi="Times New Roman" w:cs="Times New Roman"/>
          <w:sz w:val="28"/>
          <w:szCs w:val="28"/>
        </w:rPr>
        <w:t xml:space="preserve">вибору </w:t>
      </w:r>
      <w:r w:rsidR="00497BE3">
        <w:rPr>
          <w:rFonts w:ascii="Times New Roman" w:hAnsi="Times New Roman" w:cs="Times New Roman"/>
          <w:sz w:val="28"/>
          <w:szCs w:val="28"/>
        </w:rPr>
        <w:t xml:space="preserve">тактики </w:t>
      </w:r>
      <w:r>
        <w:rPr>
          <w:rFonts w:ascii="Times New Roman" w:hAnsi="Times New Roman" w:cs="Times New Roman"/>
          <w:sz w:val="28"/>
          <w:szCs w:val="28"/>
        </w:rPr>
        <w:t xml:space="preserve">лікування хворих із НКР на основі </w:t>
      </w:r>
      <w:r w:rsidR="00DB4CAA">
        <w:rPr>
          <w:rFonts w:ascii="Times New Roman" w:hAnsi="Times New Roman" w:cs="Times New Roman"/>
          <w:sz w:val="28"/>
          <w:szCs w:val="28"/>
        </w:rPr>
        <w:t xml:space="preserve">даних </w:t>
      </w:r>
      <w:r>
        <w:rPr>
          <w:rFonts w:ascii="Times New Roman" w:hAnsi="Times New Roman" w:cs="Times New Roman"/>
          <w:sz w:val="28"/>
          <w:szCs w:val="28"/>
        </w:rPr>
        <w:t>променевих та молекулярних біомаркерів</w:t>
      </w:r>
    </w:p>
    <w:p w:rsidR="0099000A" w:rsidRDefault="0099000A" w:rsidP="000645F1">
      <w:pPr>
        <w:spacing w:line="360" w:lineRule="auto"/>
        <w:ind w:firstLine="708"/>
        <w:jc w:val="both"/>
        <w:rPr>
          <w:rFonts w:ascii="Times New Roman" w:hAnsi="Times New Roman" w:cs="Times New Roman"/>
          <w:color w:val="000000" w:themeColor="text1"/>
          <w:sz w:val="28"/>
          <w:szCs w:val="28"/>
        </w:rPr>
      </w:pPr>
    </w:p>
    <w:p w:rsidR="0099000A" w:rsidRDefault="0099000A" w:rsidP="0099000A">
      <w:pPr>
        <w:spacing w:line="360" w:lineRule="auto"/>
        <w:jc w:val="both"/>
        <w:rPr>
          <w:rFonts w:ascii="Times New Roman" w:hAnsi="Times New Roman" w:cs="Times New Roman"/>
          <w:color w:val="000000" w:themeColor="text1"/>
          <w:sz w:val="28"/>
          <w:szCs w:val="28"/>
        </w:rPr>
        <w:sectPr w:rsidR="0099000A" w:rsidSect="0099000A">
          <w:pgSz w:w="16838" w:h="11906" w:orient="landscape"/>
          <w:pgMar w:top="1701" w:right="1134" w:bottom="851" w:left="1134" w:header="709" w:footer="709" w:gutter="0"/>
          <w:cols w:space="708"/>
          <w:titlePg/>
          <w:docGrid w:linePitch="360"/>
        </w:sectPr>
      </w:pPr>
    </w:p>
    <w:p w:rsidR="000645F1" w:rsidRPr="000327EB" w:rsidRDefault="000645F1" w:rsidP="000645F1">
      <w:pPr>
        <w:spacing w:line="360" w:lineRule="auto"/>
        <w:ind w:firstLine="708"/>
        <w:jc w:val="both"/>
        <w:rPr>
          <w:rFonts w:ascii="Times New Roman" w:hAnsi="Times New Roman" w:cs="Times New Roman"/>
          <w:color w:val="231F20"/>
          <w:sz w:val="28"/>
          <w:szCs w:val="28"/>
        </w:rPr>
      </w:pPr>
      <w:r w:rsidRPr="000327EB">
        <w:rPr>
          <w:rFonts w:ascii="Times New Roman" w:hAnsi="Times New Roman" w:cs="Times New Roman"/>
          <w:color w:val="000000" w:themeColor="text1"/>
          <w:sz w:val="28"/>
          <w:szCs w:val="28"/>
        </w:rPr>
        <w:lastRenderedPageBreak/>
        <w:t xml:space="preserve">З метою вивчення потенціалу застосування </w:t>
      </w:r>
      <w:r w:rsidRPr="000327EB">
        <w:rPr>
          <w:rFonts w:ascii="Times New Roman" w:hAnsi="Times New Roman" w:cs="Times New Roman"/>
          <w:sz w:val="28"/>
          <w:szCs w:val="28"/>
        </w:rPr>
        <w:t xml:space="preserve">експресії мікроРНК-15а визначеної в тканинах пухлини у якості </w:t>
      </w:r>
      <w:r w:rsidRPr="000327EB">
        <w:rPr>
          <w:rFonts w:ascii="Times New Roman" w:hAnsi="Times New Roman" w:cs="Times New Roman"/>
          <w:b/>
          <w:sz w:val="28"/>
          <w:szCs w:val="28"/>
        </w:rPr>
        <w:t>прогностичного біомаркеру НКР</w:t>
      </w:r>
      <w:r w:rsidRPr="000327EB">
        <w:rPr>
          <w:rFonts w:ascii="Times New Roman" w:hAnsi="Times New Roman" w:cs="Times New Roman"/>
          <w:sz w:val="28"/>
          <w:szCs w:val="28"/>
        </w:rPr>
        <w:t xml:space="preserve"> нами було проведено дослідження, для здійснення якого з архіву було відібрано парафінові блоки із збереженими в них зразками тканин видаленого НКР.</w:t>
      </w:r>
      <w:r w:rsidRPr="008357D6">
        <w:rPr>
          <w:rFonts w:ascii="Times New Roman" w:hAnsi="Times New Roman" w:cs="Times New Roman"/>
          <w:sz w:val="28"/>
          <w:szCs w:val="28"/>
        </w:rPr>
        <w:t xml:space="preserve">  </w:t>
      </w:r>
      <w:r w:rsidRPr="000327EB">
        <w:rPr>
          <w:rFonts w:ascii="Times New Roman" w:hAnsi="Times New Roman" w:cs="Times New Roman"/>
          <w:sz w:val="28"/>
          <w:szCs w:val="28"/>
        </w:rPr>
        <w:t>Для контролю в 15 парафінових блоків було поміщено нормальну</w:t>
      </w:r>
      <w:r>
        <w:rPr>
          <w:rFonts w:ascii="Times New Roman" w:hAnsi="Times New Roman" w:cs="Times New Roman"/>
          <w:sz w:val="28"/>
          <w:szCs w:val="28"/>
        </w:rPr>
        <w:t>,</w:t>
      </w:r>
      <w:r w:rsidRPr="000327EB">
        <w:rPr>
          <w:rFonts w:ascii="Times New Roman" w:hAnsi="Times New Roman" w:cs="Times New Roman"/>
          <w:sz w:val="28"/>
          <w:szCs w:val="28"/>
        </w:rPr>
        <w:t xml:space="preserve"> згідно даних патоморфологічних заключень ниркову паренхіму. </w:t>
      </w:r>
      <w:r w:rsidRPr="000327EB">
        <w:rPr>
          <w:rFonts w:ascii="Times New Roman" w:hAnsi="Times New Roman" w:cs="Times New Roman"/>
          <w:color w:val="231F20"/>
          <w:sz w:val="28"/>
          <w:szCs w:val="28"/>
        </w:rPr>
        <w:t>МікроРНК визначали методом зворотної транскрипції та полімеразної ланцюгової реакції (ПЛР) у реальному часі.</w:t>
      </w:r>
    </w:p>
    <w:p w:rsidR="000645F1" w:rsidRPr="000327EB" w:rsidRDefault="000645F1" w:rsidP="00E71577">
      <w:pPr>
        <w:spacing w:line="360" w:lineRule="auto"/>
        <w:ind w:firstLine="708"/>
        <w:jc w:val="both"/>
        <w:rPr>
          <w:rFonts w:ascii="Times New Roman" w:hAnsi="Times New Roman" w:cs="Times New Roman"/>
          <w:color w:val="000000" w:themeColor="text1"/>
          <w:sz w:val="28"/>
          <w:szCs w:val="28"/>
        </w:rPr>
      </w:pPr>
      <w:r w:rsidRPr="000327EB">
        <w:rPr>
          <w:rFonts w:ascii="Times New Roman" w:hAnsi="Times New Roman" w:cs="Times New Roman"/>
          <w:sz w:val="28"/>
          <w:szCs w:val="28"/>
        </w:rPr>
        <w:t>В результаті проведеного визначення експресії міРНК-15а в тканинах НКР та здорової ниркової паренхіми нами було отримано статистично достовірну різницю (p&lt;0,001) між середніми значеннями даного показника в основній та контрольній групі. При цьому, у хворих із НКР середнє значення експр</w:t>
      </w:r>
      <w:r>
        <w:rPr>
          <w:rFonts w:ascii="Times New Roman" w:hAnsi="Times New Roman" w:cs="Times New Roman"/>
          <w:sz w:val="28"/>
          <w:szCs w:val="28"/>
        </w:rPr>
        <w:t>есії міРНК-15а було значно вищим,</w:t>
      </w:r>
      <w:r w:rsidRPr="000327EB">
        <w:rPr>
          <w:rFonts w:ascii="Times New Roman" w:hAnsi="Times New Roman" w:cs="Times New Roman"/>
          <w:sz w:val="28"/>
          <w:szCs w:val="28"/>
        </w:rPr>
        <w:t xml:space="preserve"> ніж у осіб без ниркової патології: відповідно </w:t>
      </w:r>
      <w:r w:rsidRPr="000327EB">
        <w:rPr>
          <w:rFonts w:ascii="Times New Roman" w:hAnsi="Times New Roman" w:cs="Times New Roman"/>
          <w:sz w:val="28"/>
          <w:szCs w:val="28"/>
          <w:lang w:eastAsia="uk-UA"/>
        </w:rPr>
        <w:t>1,52</w:t>
      </w:r>
      <w:r w:rsidRPr="000327EB">
        <w:rPr>
          <w:rFonts w:ascii="Times New Roman" w:eastAsia="Times New Roman" w:hAnsi="Times New Roman" w:cs="Times New Roman"/>
          <w:sz w:val="28"/>
          <w:szCs w:val="28"/>
          <w:lang w:eastAsia="uk-UA"/>
        </w:rPr>
        <w:t xml:space="preserve">±2,62 УО проти </w:t>
      </w:r>
      <w:r w:rsidRPr="000327EB">
        <w:rPr>
          <w:rFonts w:ascii="Times New Roman" w:hAnsi="Times New Roman" w:cs="Times New Roman"/>
          <w:color w:val="000000"/>
          <w:sz w:val="28"/>
          <w:szCs w:val="28"/>
        </w:rPr>
        <w:t>4,84E-03</w:t>
      </w:r>
      <w:r w:rsidRPr="000327EB">
        <w:rPr>
          <w:rFonts w:ascii="Times New Roman" w:eastAsia="Times New Roman" w:hAnsi="Times New Roman" w:cs="Times New Roman"/>
          <w:sz w:val="28"/>
          <w:szCs w:val="28"/>
          <w:lang w:eastAsia="uk-UA"/>
        </w:rPr>
        <w:t>±</w:t>
      </w:r>
      <w:r w:rsidRPr="000327EB">
        <w:rPr>
          <w:rFonts w:ascii="Times New Roman" w:hAnsi="Times New Roman" w:cs="Times New Roman"/>
          <w:color w:val="000000"/>
          <w:sz w:val="28"/>
          <w:szCs w:val="28"/>
        </w:rPr>
        <w:t>3,11E-03 УО (р&lt;0,001)</w:t>
      </w:r>
      <w:r w:rsidRPr="000327EB">
        <w:rPr>
          <w:rFonts w:ascii="Times New Roman" w:hAnsi="Times New Roman" w:cs="Times New Roman"/>
          <w:sz w:val="28"/>
          <w:szCs w:val="28"/>
        </w:rPr>
        <w:t>.</w:t>
      </w:r>
      <w:r w:rsidRPr="000327E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w:t>
      </w:r>
      <w:r w:rsidRPr="000327EB">
        <w:rPr>
          <w:rFonts w:ascii="Times New Roman" w:hAnsi="Times New Roman" w:cs="Times New Roman"/>
          <w:color w:val="000000" w:themeColor="text1"/>
          <w:sz w:val="28"/>
          <w:szCs w:val="28"/>
        </w:rPr>
        <w:t xml:space="preserve">ередні значення експресії міРНК-15а в тканинах НКР при наявності некротичних змін в пухлині та при їх відсутності достовірно відрізнялись і становили відповідно </w:t>
      </w:r>
      <w:r w:rsidRPr="000327EB">
        <w:rPr>
          <w:rFonts w:ascii="Times New Roman" w:hAnsi="Times New Roman" w:cs="Times New Roman"/>
          <w:color w:val="000000"/>
          <w:sz w:val="28"/>
          <w:szCs w:val="28"/>
        </w:rPr>
        <w:t>4,01±3,42 УО та 0,82±1,85 УО (р</w:t>
      </w:r>
      <w:r w:rsidRPr="000327EB">
        <w:rPr>
          <w:rFonts w:ascii="Times New Roman" w:hAnsi="Times New Roman" w:cs="Times New Roman"/>
          <w:sz w:val="28"/>
          <w:szCs w:val="28"/>
        </w:rPr>
        <w:t>&lt;0,001</w:t>
      </w: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М</w:t>
      </w:r>
      <w:r w:rsidRPr="000327EB">
        <w:rPr>
          <w:rFonts w:ascii="Times New Roman" w:hAnsi="Times New Roman" w:cs="Times New Roman"/>
          <w:color w:val="000000" w:themeColor="text1"/>
          <w:sz w:val="28"/>
          <w:szCs w:val="28"/>
        </w:rPr>
        <w:t xml:space="preserve">и спостерігали статистично достовірну різницю між середніми значеннями </w:t>
      </w:r>
      <w:r w:rsidRPr="000327EB">
        <w:rPr>
          <w:rFonts w:ascii="Times New Roman" w:eastAsia="Times New Roman" w:hAnsi="Times New Roman" w:cs="Times New Roman"/>
          <w:sz w:val="28"/>
          <w:szCs w:val="28"/>
          <w:lang w:eastAsia="uk-UA"/>
        </w:rPr>
        <w:t xml:space="preserve">експресії </w:t>
      </w:r>
      <w:r w:rsidRPr="000327EB">
        <w:rPr>
          <w:rFonts w:ascii="Times New Roman" w:hAnsi="Times New Roman" w:cs="Times New Roman"/>
          <w:color w:val="000000" w:themeColor="text1"/>
          <w:sz w:val="28"/>
          <w:szCs w:val="28"/>
        </w:rPr>
        <w:t>міРНК-15 у хворих з та без поширення злоякісного процесу в реґіонарні лімфатичні вузли, при останньому варіанті рівні експресії були значно нижчими і становили відповідно 4,92±2,80 УО та 1,10±2,29 УО (p&lt;0,001).</w:t>
      </w:r>
      <w:r w:rsidR="00E71577">
        <w:rPr>
          <w:rFonts w:ascii="Times New Roman" w:hAnsi="Times New Roman" w:cs="Times New Roman"/>
          <w:color w:val="000000" w:themeColor="text1"/>
          <w:sz w:val="28"/>
          <w:szCs w:val="28"/>
        </w:rPr>
        <w:t xml:space="preserve"> </w:t>
      </w:r>
      <w:r w:rsidRPr="000327EB">
        <w:rPr>
          <w:rFonts w:ascii="Times New Roman" w:hAnsi="Times New Roman" w:cs="Times New Roman"/>
          <w:sz w:val="28"/>
          <w:szCs w:val="28"/>
        </w:rPr>
        <w:t>При проведенні кореляційного аналізу було встановлено сильний позитивний взаємозв’язок між розміром пухлини у хворих із скНКР та рівнем експресії міРНК-15а, коефіцієнт кореляції Пірсона становив 0,724 (р&lt;0,001).</w:t>
      </w:r>
    </w:p>
    <w:p w:rsidR="000645F1" w:rsidRDefault="000645F1" w:rsidP="000645F1">
      <w:pPr>
        <w:spacing w:line="360" w:lineRule="auto"/>
        <w:ind w:firstLine="708"/>
        <w:jc w:val="both"/>
        <w:rPr>
          <w:rFonts w:ascii="Times New Roman" w:hAnsi="Times New Roman" w:cs="Times New Roman"/>
          <w:color w:val="000000" w:themeColor="text1"/>
          <w:sz w:val="28"/>
          <w:szCs w:val="28"/>
        </w:rPr>
      </w:pPr>
      <w:r w:rsidRPr="000327EB">
        <w:rPr>
          <w:rFonts w:ascii="Times New Roman" w:hAnsi="Times New Roman" w:cs="Times New Roman"/>
          <w:sz w:val="28"/>
          <w:szCs w:val="28"/>
        </w:rPr>
        <w:t xml:space="preserve">В усіх випадках неметастатичного НКР (n=57) нами був здійснений розподіл хворих до однієї з груп ризику смерті від даного захворювання застосовуючи інтегровану систему стадіювання </w:t>
      </w:r>
      <w:r>
        <w:rPr>
          <w:rFonts w:ascii="Times New Roman" w:hAnsi="Times New Roman" w:cs="Times New Roman"/>
          <w:sz w:val="28"/>
          <w:szCs w:val="28"/>
        </w:rPr>
        <w:t>UCLA,</w:t>
      </w:r>
      <w:r w:rsidRPr="000327EB">
        <w:rPr>
          <w:rFonts w:ascii="Times New Roman" w:hAnsi="Times New Roman" w:cs="Times New Roman"/>
          <w:sz w:val="28"/>
          <w:szCs w:val="28"/>
        </w:rPr>
        <w:t xml:space="preserve"> </w:t>
      </w:r>
      <w:r>
        <w:rPr>
          <w:rFonts w:ascii="Times New Roman" w:hAnsi="Times New Roman" w:cs="Times New Roman"/>
          <w:sz w:val="28"/>
          <w:szCs w:val="28"/>
        </w:rPr>
        <w:t>з</w:t>
      </w:r>
      <w:r w:rsidRPr="000327EB">
        <w:rPr>
          <w:rFonts w:ascii="Times New Roman" w:hAnsi="Times New Roman" w:cs="Times New Roman"/>
          <w:sz w:val="28"/>
          <w:szCs w:val="28"/>
        </w:rPr>
        <w:t xml:space="preserve">гідно результатів </w:t>
      </w:r>
      <w:r>
        <w:rPr>
          <w:rFonts w:ascii="Times New Roman" w:hAnsi="Times New Roman" w:cs="Times New Roman"/>
          <w:sz w:val="28"/>
          <w:szCs w:val="28"/>
        </w:rPr>
        <w:t>якої</w:t>
      </w:r>
      <w:r w:rsidRPr="000327EB">
        <w:rPr>
          <w:rFonts w:ascii="Times New Roman" w:hAnsi="Times New Roman" w:cs="Times New Roman"/>
          <w:sz w:val="28"/>
          <w:szCs w:val="28"/>
        </w:rPr>
        <w:t xml:space="preserve"> усі хворі входили до групи із середнім ризиком смертності (5-ти річне CSS=80,4% ).</w:t>
      </w:r>
      <w:r w:rsidRPr="000327EB">
        <w:rPr>
          <w:rFonts w:ascii="Times New Roman" w:hAnsi="Times New Roman" w:cs="Times New Roman"/>
          <w:color w:val="000000" w:themeColor="text1"/>
          <w:sz w:val="28"/>
          <w:szCs w:val="28"/>
        </w:rPr>
        <w:t xml:space="preserve"> При аналізі виживаності </w:t>
      </w:r>
      <w:r>
        <w:rPr>
          <w:rFonts w:ascii="Times New Roman" w:hAnsi="Times New Roman" w:cs="Times New Roman"/>
          <w:color w:val="000000" w:themeColor="text1"/>
          <w:sz w:val="28"/>
          <w:szCs w:val="28"/>
        </w:rPr>
        <w:t xml:space="preserve">в нашому дослідженні </w:t>
      </w:r>
      <w:r w:rsidRPr="000327EB">
        <w:rPr>
          <w:rFonts w:ascii="Times New Roman" w:hAnsi="Times New Roman" w:cs="Times New Roman"/>
          <w:color w:val="000000" w:themeColor="text1"/>
          <w:sz w:val="28"/>
          <w:szCs w:val="28"/>
        </w:rPr>
        <w:t xml:space="preserve">було виявлено, </w:t>
      </w:r>
      <w:r w:rsidRPr="000327EB">
        <w:rPr>
          <w:rFonts w:ascii="Times New Roman" w:hAnsi="Times New Roman" w:cs="Times New Roman"/>
          <w:color w:val="000000" w:themeColor="text1"/>
          <w:sz w:val="28"/>
          <w:szCs w:val="28"/>
        </w:rPr>
        <w:lastRenderedPageBreak/>
        <w:t>що 5-річне раково-специфічне виживання хворих із локальним НКР (середній ризик) складало 77,19</w:t>
      </w:r>
      <w:r>
        <w:rPr>
          <w:rFonts w:ascii="Times New Roman" w:hAnsi="Times New Roman" w:cs="Times New Roman"/>
          <w:color w:val="000000" w:themeColor="text1"/>
          <w:sz w:val="28"/>
          <w:szCs w:val="28"/>
        </w:rPr>
        <w:t>%, що є наближеним до прогнозованого значення.</w:t>
      </w:r>
      <w:r w:rsidRPr="00502BFD">
        <w:rPr>
          <w:rFonts w:ascii="Times New Roman" w:hAnsi="Times New Roman" w:cs="Times New Roman"/>
          <w:color w:val="000000" w:themeColor="text1"/>
          <w:sz w:val="28"/>
          <w:szCs w:val="28"/>
        </w:rPr>
        <w:t xml:space="preserve"> Нами були порівняні середні значення експресії міР-15а в тканинах НКР у хворих, які станом на 5-й рік після нефректомії залишались живими (n=44), та у таких, які померли внаслідок прогресії захворювання впродовж 5-річного періоду (n=13), і які становили відповідно: 0,92±2,04 УО та 3,47±3,36 УО (р=0,013, t=2,782). Такі дані свідчили про те, що хворі із НКР, які не прожили 5 років мали значну надекспресію міР-15а в тканинах пухлини. Виходячи з цього нами було зроблене припущення про відмінності у раково-специфічному виживанні у хворих із експресією міР-15а в тканинах НКР більше та менше 0,10 УО.</w:t>
      </w:r>
    </w:p>
    <w:p w:rsidR="000645F1" w:rsidRDefault="000645F1" w:rsidP="000645F1">
      <w:pPr>
        <w:spacing w:line="360" w:lineRule="auto"/>
        <w:ind w:firstLine="708"/>
        <w:jc w:val="both"/>
        <w:rPr>
          <w:rFonts w:ascii="Times New Roman" w:hAnsi="Times New Roman" w:cs="Times New Roman"/>
          <w:sz w:val="28"/>
          <w:szCs w:val="28"/>
        </w:rPr>
      </w:pPr>
      <w:r w:rsidRPr="00502BFD">
        <w:rPr>
          <w:rFonts w:ascii="Times New Roman" w:hAnsi="Times New Roman" w:cs="Times New Roman"/>
          <w:color w:val="000000" w:themeColor="text1"/>
          <w:sz w:val="28"/>
          <w:szCs w:val="28"/>
        </w:rPr>
        <w:t xml:space="preserve">При побудові кривих </w:t>
      </w:r>
      <w:r w:rsidRPr="00502BFD">
        <w:rPr>
          <w:rFonts w:ascii="Times New Roman" w:hAnsi="Times New Roman" w:cs="Times New Roman"/>
          <w:sz w:val="28"/>
          <w:szCs w:val="28"/>
        </w:rPr>
        <w:t>раково-специф</w:t>
      </w:r>
      <w:r>
        <w:rPr>
          <w:rFonts w:ascii="Times New Roman" w:hAnsi="Times New Roman" w:cs="Times New Roman"/>
          <w:sz w:val="28"/>
          <w:szCs w:val="28"/>
        </w:rPr>
        <w:t>ічної виживаності Каплана-Маєра</w:t>
      </w:r>
      <w:r w:rsidRPr="00502BFD">
        <w:rPr>
          <w:rFonts w:ascii="Times New Roman" w:hAnsi="Times New Roman" w:cs="Times New Roman"/>
          <w:color w:val="000000" w:themeColor="text1"/>
          <w:sz w:val="28"/>
          <w:szCs w:val="28"/>
        </w:rPr>
        <w:t xml:space="preserve"> ми, спостерігали відмінності у CSS хворих із різною експресією міРНК-15 в тканинах пухлини: у хворих із НКР та рівнем експресії ≤0,10 УО 5-річне CSS становило 92,31% а середня тривалість виживання складала 59,88</w:t>
      </w:r>
      <w:r w:rsidRPr="00502BFD">
        <w:rPr>
          <w:rFonts w:ascii="Times New Roman" w:eastAsia="Times New Roman" w:hAnsi="Times New Roman" w:cs="Times New Roman"/>
          <w:sz w:val="28"/>
          <w:szCs w:val="28"/>
          <w:lang w:eastAsia="uk-UA"/>
        </w:rPr>
        <w:t>±0,12</w:t>
      </w:r>
      <w:r w:rsidRPr="00502BFD">
        <w:rPr>
          <w:rFonts w:ascii="Times New Roman" w:hAnsi="Times New Roman" w:cs="Times New Roman"/>
          <w:color w:val="000000" w:themeColor="text1"/>
          <w:sz w:val="28"/>
          <w:szCs w:val="28"/>
        </w:rPr>
        <w:t xml:space="preserve"> місяців, в той час коли 5-річне CSS у підгрупі пацієнтів із експресією міРНК-15 &gt;0,10 УО значно відрізнялось і становило всього 54,8%, а середня тривалість виживання складала 49,74</w:t>
      </w:r>
      <w:r w:rsidRPr="00502BFD">
        <w:rPr>
          <w:rFonts w:ascii="Times New Roman" w:eastAsia="Times New Roman" w:hAnsi="Times New Roman" w:cs="Times New Roman"/>
          <w:sz w:val="28"/>
          <w:szCs w:val="28"/>
          <w:lang w:eastAsia="uk-UA"/>
        </w:rPr>
        <w:t>±2,16 місяців</w:t>
      </w:r>
      <w:r>
        <w:rPr>
          <w:rFonts w:ascii="Times New Roman" w:eastAsia="Times New Roman" w:hAnsi="Times New Roman" w:cs="Times New Roman"/>
          <w:sz w:val="28"/>
          <w:szCs w:val="28"/>
          <w:lang w:eastAsia="uk-UA"/>
        </w:rPr>
        <w:t xml:space="preserve">. </w:t>
      </w:r>
      <w:r w:rsidRPr="008462F1">
        <w:rPr>
          <w:rFonts w:ascii="Times New Roman" w:hAnsi="Times New Roman" w:cs="Times New Roman"/>
          <w:sz w:val="28"/>
          <w:szCs w:val="28"/>
        </w:rPr>
        <w:t xml:space="preserve">Було отримано сильний обернений кореляційний зв'язок між тривалістю виживання та </w:t>
      </w:r>
      <w:r>
        <w:rPr>
          <w:rFonts w:ascii="Times New Roman" w:hAnsi="Times New Roman" w:cs="Times New Roman"/>
          <w:sz w:val="28"/>
          <w:szCs w:val="28"/>
        </w:rPr>
        <w:t>експресією</w:t>
      </w:r>
      <w:r w:rsidRPr="008462F1">
        <w:rPr>
          <w:rFonts w:ascii="Times New Roman" w:hAnsi="Times New Roman" w:cs="Times New Roman"/>
          <w:sz w:val="28"/>
          <w:szCs w:val="28"/>
        </w:rPr>
        <w:t xml:space="preserve"> міРНК-15а в тканинах НКР у хворих із значенням експресії &gt;0,10 </w:t>
      </w:r>
      <w:r>
        <w:rPr>
          <w:rFonts w:ascii="Times New Roman" w:hAnsi="Times New Roman" w:cs="Times New Roman"/>
          <w:sz w:val="28"/>
          <w:szCs w:val="28"/>
        </w:rPr>
        <w:t xml:space="preserve">УО, </w:t>
      </w:r>
      <w:r w:rsidRPr="008462F1">
        <w:rPr>
          <w:rFonts w:ascii="Times New Roman" w:hAnsi="Times New Roman" w:cs="Times New Roman"/>
          <w:sz w:val="28"/>
          <w:szCs w:val="28"/>
        </w:rPr>
        <w:t>коефіцієнт кореляції Пірсона складав -0,805 (р&lt;0,001).</w:t>
      </w:r>
    </w:p>
    <w:p w:rsidR="000645F1" w:rsidRPr="00A76D7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t>Н</w:t>
      </w:r>
      <w:r w:rsidRPr="008462F1">
        <w:rPr>
          <w:rFonts w:ascii="Times New Roman" w:hAnsi="Times New Roman" w:cs="Times New Roman"/>
          <w:color w:val="000000" w:themeColor="text1"/>
          <w:sz w:val="28"/>
          <w:szCs w:val="28"/>
        </w:rPr>
        <w:t xml:space="preserve">ами було доведено, що при рівні експресії міРНК-15а в тканинах НКР </w:t>
      </w:r>
      <w:r w:rsidRPr="008462F1">
        <w:rPr>
          <w:rFonts w:ascii="Times New Roman" w:hAnsi="Times New Roman" w:cs="Times New Roman"/>
          <w:sz w:val="28"/>
          <w:szCs w:val="28"/>
        </w:rPr>
        <w:t xml:space="preserve">&gt;0,10 УО, раково-специфічна виживаність є суттєво коротшою у порівнянні з рівнями &lt;=0,10 УО. Враховуючи наведене вище, а також наявність сильного оберненого корелятивного зв'язку між тривалістю виживання та рівнем експресії </w:t>
      </w:r>
      <w:r w:rsidRPr="008462F1">
        <w:rPr>
          <w:rFonts w:ascii="Times New Roman" w:hAnsi="Times New Roman" w:cs="Times New Roman"/>
          <w:color w:val="000000" w:themeColor="text1"/>
          <w:sz w:val="28"/>
          <w:szCs w:val="28"/>
        </w:rPr>
        <w:t xml:space="preserve">міРНК-15а в тканинах пухлини, можна стверджувати, що дана молекулярна сполука може </w:t>
      </w:r>
      <w:r>
        <w:rPr>
          <w:rFonts w:ascii="Times New Roman" w:hAnsi="Times New Roman" w:cs="Times New Roman"/>
          <w:color w:val="000000" w:themeColor="text1"/>
          <w:sz w:val="28"/>
          <w:szCs w:val="28"/>
        </w:rPr>
        <w:t>бути використана</w:t>
      </w:r>
      <w:r w:rsidRPr="008462F1">
        <w:rPr>
          <w:rFonts w:ascii="Times New Roman" w:hAnsi="Times New Roman" w:cs="Times New Roman"/>
          <w:color w:val="000000" w:themeColor="text1"/>
          <w:sz w:val="28"/>
          <w:szCs w:val="28"/>
        </w:rPr>
        <w:t xml:space="preserve"> у якості прогностичного молекулярного біомаркеру НКР</w:t>
      </w:r>
      <w:r>
        <w:rPr>
          <w:rFonts w:ascii="Times New Roman" w:hAnsi="Times New Roman" w:cs="Times New Roman"/>
          <w:color w:val="000000" w:themeColor="text1"/>
          <w:sz w:val="28"/>
          <w:szCs w:val="28"/>
        </w:rPr>
        <w:t xml:space="preserve">. Крім цього, на основі </w:t>
      </w:r>
      <w:r w:rsidRPr="00C7572D">
        <w:rPr>
          <w:rFonts w:ascii="Times New Roman" w:hAnsi="Times New Roman" w:cs="Times New Roman"/>
          <w:color w:val="000000" w:themeColor="text1"/>
          <w:sz w:val="28"/>
          <w:szCs w:val="28"/>
        </w:rPr>
        <w:t>отриманих даних</w:t>
      </w:r>
      <w:r>
        <w:rPr>
          <w:rFonts w:ascii="Times New Roman" w:hAnsi="Times New Roman" w:cs="Times New Roman"/>
          <w:color w:val="000000" w:themeColor="text1"/>
          <w:sz w:val="28"/>
          <w:szCs w:val="28"/>
        </w:rPr>
        <w:t>,</w:t>
      </w:r>
      <w:r w:rsidRPr="00C7572D">
        <w:rPr>
          <w:rFonts w:ascii="Times New Roman" w:hAnsi="Times New Roman" w:cs="Times New Roman"/>
          <w:color w:val="000000" w:themeColor="text1"/>
          <w:sz w:val="28"/>
          <w:szCs w:val="28"/>
        </w:rPr>
        <w:t xml:space="preserve"> нами була удосконалена прогностична </w:t>
      </w:r>
      <w:r w:rsidRPr="00C7572D">
        <w:rPr>
          <w:rFonts w:ascii="Times New Roman" w:hAnsi="Times New Roman" w:cs="Times New Roman"/>
          <w:sz w:val="28"/>
          <w:szCs w:val="28"/>
        </w:rPr>
        <w:t>інтегрована система UISS для локал</w:t>
      </w:r>
      <w:r>
        <w:rPr>
          <w:rFonts w:ascii="Times New Roman" w:hAnsi="Times New Roman" w:cs="Times New Roman"/>
          <w:sz w:val="28"/>
          <w:szCs w:val="28"/>
        </w:rPr>
        <w:t>ізованого захворювання, шляхом диференціації хворих</w:t>
      </w:r>
      <w:r w:rsidRPr="00C7572D">
        <w:rPr>
          <w:rFonts w:ascii="Times New Roman" w:hAnsi="Times New Roman" w:cs="Times New Roman"/>
          <w:sz w:val="28"/>
          <w:szCs w:val="28"/>
        </w:rPr>
        <w:t xml:space="preserve"> із проміжним </w:t>
      </w:r>
      <w:r w:rsidRPr="00C7572D">
        <w:rPr>
          <w:rFonts w:ascii="Times New Roman" w:hAnsi="Times New Roman" w:cs="Times New Roman"/>
          <w:sz w:val="28"/>
          <w:szCs w:val="28"/>
        </w:rPr>
        <w:lastRenderedPageBreak/>
        <w:t>прогнозом смертності від НКР</w:t>
      </w:r>
      <w:r>
        <w:rPr>
          <w:rFonts w:ascii="Times New Roman" w:hAnsi="Times New Roman" w:cs="Times New Roman"/>
          <w:sz w:val="28"/>
          <w:szCs w:val="28"/>
        </w:rPr>
        <w:t xml:space="preserve"> на два додаткових варіанти – низький проміжний та високий проміжний (рисунок 8</w:t>
      </w:r>
      <w:r w:rsidR="000F406C">
        <w:rPr>
          <w:rFonts w:ascii="Times New Roman" w:hAnsi="Times New Roman" w:cs="Times New Roman"/>
          <w:sz w:val="28"/>
          <w:szCs w:val="28"/>
        </w:rPr>
        <w:t>.6</w:t>
      </w:r>
      <w:r w:rsidRPr="00C7572D">
        <w:rPr>
          <w:rFonts w:ascii="Times New Roman" w:hAnsi="Times New Roman" w:cs="Times New Roman"/>
          <w:sz w:val="28"/>
          <w:szCs w:val="28"/>
        </w:rPr>
        <w:t>).</w:t>
      </w:r>
      <w:r>
        <w:rPr>
          <w:rFonts w:ascii="Times New Roman" w:hAnsi="Times New Roman" w:cs="Times New Roman"/>
          <w:sz w:val="28"/>
          <w:szCs w:val="28"/>
        </w:rPr>
        <w:t xml:space="preserve"> </w:t>
      </w:r>
    </w:p>
    <w:p w:rsidR="000645F1" w:rsidRDefault="000645F1" w:rsidP="00677E1F">
      <w:pPr>
        <w:spacing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noProof/>
          <w:color w:val="000000"/>
          <w:sz w:val="28"/>
          <w:szCs w:val="28"/>
          <w:shd w:val="clear" w:color="auto" w:fill="FFFFFF"/>
          <w:lang w:val="en-US"/>
        </w:rPr>
        <w:drawing>
          <wp:inline distT="0" distB="0" distL="0" distR="0" wp14:anchorId="57D4D8FB" wp14:editId="1B950C2C">
            <wp:extent cx="5243336" cy="2505075"/>
            <wp:effectExtent l="0" t="0" r="0"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молек прогн.jp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5261629" cy="2513815"/>
                    </a:xfrm>
                    <a:prstGeom prst="rect">
                      <a:avLst/>
                    </a:prstGeom>
                  </pic:spPr>
                </pic:pic>
              </a:graphicData>
            </a:graphic>
          </wp:inline>
        </w:drawing>
      </w:r>
    </w:p>
    <w:p w:rsidR="00E0498B" w:rsidRDefault="000F406C" w:rsidP="00677E1F">
      <w:pPr>
        <w:spacing w:line="360" w:lineRule="auto"/>
        <w:jc w:val="center"/>
        <w:rPr>
          <w:rFonts w:ascii="Times New Roman" w:hAnsi="Times New Roman" w:cs="Times New Roman"/>
          <w:sz w:val="28"/>
          <w:szCs w:val="28"/>
        </w:rPr>
      </w:pPr>
      <w:r>
        <w:rPr>
          <w:rFonts w:ascii="Times New Roman" w:hAnsi="Times New Roman" w:cs="Times New Roman"/>
          <w:color w:val="000000"/>
          <w:sz w:val="28"/>
          <w:szCs w:val="28"/>
          <w:shd w:val="clear" w:color="auto" w:fill="FFFFFF"/>
        </w:rPr>
        <w:t>Рис. 8.6</w:t>
      </w:r>
      <w:r w:rsidR="000645F1">
        <w:rPr>
          <w:rFonts w:ascii="Times New Roman" w:hAnsi="Times New Roman" w:cs="Times New Roman"/>
          <w:color w:val="000000"/>
          <w:sz w:val="28"/>
          <w:szCs w:val="28"/>
          <w:shd w:val="clear" w:color="auto" w:fill="FFFFFF"/>
        </w:rPr>
        <w:t xml:space="preserve">. </w:t>
      </w:r>
      <w:r w:rsidR="000645F1">
        <w:rPr>
          <w:rFonts w:ascii="Times New Roman" w:hAnsi="Times New Roman" w:cs="Times New Roman"/>
          <w:color w:val="000000" w:themeColor="text1"/>
          <w:sz w:val="28"/>
          <w:szCs w:val="28"/>
        </w:rPr>
        <w:t>У</w:t>
      </w:r>
      <w:r w:rsidR="000645F1" w:rsidRPr="00C7572D">
        <w:rPr>
          <w:rFonts w:ascii="Times New Roman" w:hAnsi="Times New Roman" w:cs="Times New Roman"/>
          <w:color w:val="000000" w:themeColor="text1"/>
          <w:sz w:val="28"/>
          <w:szCs w:val="28"/>
        </w:rPr>
        <w:t xml:space="preserve">досконалена прогностична </w:t>
      </w:r>
      <w:r w:rsidR="000645F1" w:rsidRPr="00C7572D">
        <w:rPr>
          <w:rFonts w:ascii="Times New Roman" w:hAnsi="Times New Roman" w:cs="Times New Roman"/>
          <w:sz w:val="28"/>
          <w:szCs w:val="28"/>
        </w:rPr>
        <w:t>інтегрована система UISS для локал</w:t>
      </w:r>
      <w:r w:rsidR="000645F1">
        <w:rPr>
          <w:rFonts w:ascii="Times New Roman" w:hAnsi="Times New Roman" w:cs="Times New Roman"/>
          <w:sz w:val="28"/>
          <w:szCs w:val="28"/>
        </w:rPr>
        <w:t xml:space="preserve">ізованого НКР. Умовні позначення: </w:t>
      </w:r>
      <w:r w:rsidR="000645F1">
        <w:rPr>
          <w:rFonts w:ascii="Times New Roman" w:hAnsi="Times New Roman" w:cs="Times New Roman"/>
          <w:sz w:val="28"/>
          <w:szCs w:val="28"/>
          <w:lang w:val="en-US"/>
        </w:rPr>
        <w:t>CSS</w:t>
      </w:r>
      <w:r w:rsidR="000645F1" w:rsidRPr="009E6C7E">
        <w:rPr>
          <w:rFonts w:ascii="Times New Roman" w:hAnsi="Times New Roman" w:cs="Times New Roman"/>
          <w:sz w:val="28"/>
          <w:szCs w:val="28"/>
        </w:rPr>
        <w:t xml:space="preserve"> – </w:t>
      </w:r>
      <w:r w:rsidR="00677E1F">
        <w:rPr>
          <w:rFonts w:ascii="Times New Roman" w:hAnsi="Times New Roman" w:cs="Times New Roman"/>
          <w:sz w:val="28"/>
          <w:szCs w:val="28"/>
        </w:rPr>
        <w:t>канцер специфічне виживання</w:t>
      </w:r>
    </w:p>
    <w:p w:rsidR="00677E1F" w:rsidRDefault="00677E1F" w:rsidP="00677E1F">
      <w:pPr>
        <w:spacing w:line="360" w:lineRule="auto"/>
        <w:jc w:val="center"/>
        <w:rPr>
          <w:rFonts w:ascii="Times New Roman" w:hAnsi="Times New Roman" w:cs="Times New Roman"/>
          <w:sz w:val="28"/>
          <w:szCs w:val="28"/>
        </w:rPr>
      </w:pP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вивчення взаємозв’язків із променевими параметрами пухлини та тканинною експресією мікроРНК-15а у хворих із НКР та можливості </w:t>
      </w:r>
      <w:r w:rsidRPr="00AB0284">
        <w:rPr>
          <w:rFonts w:ascii="Times New Roman" w:hAnsi="Times New Roman" w:cs="Times New Roman"/>
          <w:b/>
          <w:sz w:val="28"/>
          <w:szCs w:val="28"/>
        </w:rPr>
        <w:t xml:space="preserve">передбачення рівню експресії за допомогою променевих </w:t>
      </w:r>
      <w:r>
        <w:rPr>
          <w:rFonts w:ascii="Times New Roman" w:hAnsi="Times New Roman" w:cs="Times New Roman"/>
          <w:b/>
          <w:sz w:val="28"/>
          <w:szCs w:val="28"/>
        </w:rPr>
        <w:t>ознак</w:t>
      </w:r>
      <w:r w:rsidRPr="00AB0284">
        <w:rPr>
          <w:rFonts w:ascii="Times New Roman" w:hAnsi="Times New Roman" w:cs="Times New Roman"/>
          <w:b/>
          <w:sz w:val="28"/>
          <w:szCs w:val="28"/>
        </w:rPr>
        <w:t>,</w:t>
      </w:r>
      <w:r>
        <w:rPr>
          <w:rFonts w:ascii="Times New Roman" w:hAnsi="Times New Roman" w:cs="Times New Roman"/>
          <w:sz w:val="28"/>
          <w:szCs w:val="28"/>
        </w:rPr>
        <w:t xml:space="preserve"> нами було проведено </w:t>
      </w:r>
      <w:r w:rsidRPr="00AB0284">
        <w:rPr>
          <w:rFonts w:ascii="Times New Roman" w:hAnsi="Times New Roman" w:cs="Times New Roman"/>
          <w:b/>
          <w:sz w:val="28"/>
          <w:szCs w:val="28"/>
        </w:rPr>
        <w:t>радіогенетичний аналіз.</w:t>
      </w:r>
      <w:r>
        <w:rPr>
          <w:rFonts w:ascii="Times New Roman" w:hAnsi="Times New Roman" w:cs="Times New Roman"/>
          <w:sz w:val="28"/>
          <w:szCs w:val="28"/>
        </w:rPr>
        <w:t xml:space="preserve"> Для цього нами ретроспективно було проаналізовано результати променевих обстежень пацієнтів із конвенційним НКР (за даними історій хворіб), у яких ми в попередній частині дослідження визначали тканинну експресію міРНК-15а (</w:t>
      </w:r>
      <w:r>
        <w:rPr>
          <w:rFonts w:ascii="Times New Roman" w:hAnsi="Times New Roman" w:cs="Times New Roman"/>
          <w:sz w:val="28"/>
          <w:szCs w:val="28"/>
          <w:lang w:val="en-US"/>
        </w:rPr>
        <w:t>n</w:t>
      </w:r>
      <w:r w:rsidRPr="009E6C7E">
        <w:rPr>
          <w:rFonts w:ascii="Times New Roman" w:hAnsi="Times New Roman" w:cs="Times New Roman"/>
          <w:sz w:val="28"/>
          <w:szCs w:val="28"/>
          <w:lang w:val="ru-RU"/>
        </w:rPr>
        <w:t>=</w:t>
      </w:r>
      <w:r>
        <w:rPr>
          <w:rFonts w:ascii="Times New Roman" w:hAnsi="Times New Roman" w:cs="Times New Roman"/>
          <w:sz w:val="28"/>
          <w:szCs w:val="28"/>
        </w:rPr>
        <w:t>64), на основі чого було проведено радіогеномний аналіз.</w:t>
      </w:r>
      <w:r w:rsidRPr="002D4CE6">
        <w:rPr>
          <w:rFonts w:ascii="Times New Roman" w:hAnsi="Times New Roman" w:cs="Times New Roman"/>
          <w:sz w:val="28"/>
          <w:szCs w:val="28"/>
        </w:rPr>
        <w:t xml:space="preserve"> </w:t>
      </w:r>
      <w:r w:rsidR="00677E1F">
        <w:rPr>
          <w:rFonts w:ascii="Times New Roman" w:hAnsi="Times New Roman" w:cs="Times New Roman"/>
          <w:sz w:val="28"/>
          <w:szCs w:val="28"/>
        </w:rPr>
        <w:t>Б</w:t>
      </w:r>
      <w:r>
        <w:rPr>
          <w:rFonts w:ascii="Times New Roman" w:hAnsi="Times New Roman" w:cs="Times New Roman"/>
          <w:sz w:val="28"/>
          <w:szCs w:val="28"/>
        </w:rPr>
        <w:t xml:space="preserve">ули виділені шість наступних радіологічних критеріїв НКР: розмір, наявність кістозного компоненту, екзофітного росту </w:t>
      </w:r>
      <w:r w:rsidRPr="00186DC3">
        <w:rPr>
          <w:rFonts w:ascii="Times New Roman" w:hAnsi="Times New Roman" w:cs="Times New Roman"/>
          <w:sz w:val="28"/>
          <w:szCs w:val="28"/>
        </w:rPr>
        <w:t>≥50%</w:t>
      </w:r>
      <w:r>
        <w:rPr>
          <w:rFonts w:ascii="Times New Roman" w:hAnsi="Times New Roman" w:cs="Times New Roman"/>
          <w:sz w:val="28"/>
          <w:szCs w:val="28"/>
        </w:rPr>
        <w:t xml:space="preserve"> за межі контуру нирки, некрозу, макроскопічного жиру та нодулярного контрастного посилення.</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результаті було доведено, що середні рівні експресії міРНК-15а при наявності кожної з ознак становили відповідно 0,35±1,02 УО, 0,34±1,09 УО, 4,01±3,42 УО, 0,29±0,87 та 2,91±3,24 УО. При відсутності вказаних ознак </w:t>
      </w:r>
      <w:r>
        <w:rPr>
          <w:rFonts w:ascii="Times New Roman" w:hAnsi="Times New Roman" w:cs="Times New Roman"/>
          <w:sz w:val="28"/>
          <w:szCs w:val="28"/>
        </w:rPr>
        <w:lastRenderedPageBreak/>
        <w:t xml:space="preserve">середня експресія міР-15а становила відповідно 2,01±2,93 УО, 1,88±2,85 УО, 0,82±1,85 УО, 1,83±2,83 УО та 0,68±1,72 УО. Таким чином, найвищі рівні експресії міР-15а спостерігались при радіологічних ознаках некрозу пухлини, а найнижчі – при КТ- чи МРТ-ознаках макроскопічного жиру. </w:t>
      </w:r>
    </w:p>
    <w:p w:rsidR="000645F1"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поєднанні розміру пухлини та набору вказаних променевих ознак для передбачення рів</w:t>
      </w:r>
      <w:r w:rsidR="00677E1F">
        <w:rPr>
          <w:rFonts w:ascii="Times New Roman" w:hAnsi="Times New Roman" w:cs="Times New Roman"/>
          <w:sz w:val="28"/>
          <w:szCs w:val="28"/>
        </w:rPr>
        <w:t xml:space="preserve">ню тканинної експресії міР-15а </w:t>
      </w:r>
      <w:r>
        <w:rPr>
          <w:rFonts w:ascii="Times New Roman" w:hAnsi="Times New Roman" w:cs="Times New Roman"/>
          <w:sz w:val="28"/>
          <w:szCs w:val="28"/>
        </w:rPr>
        <w:t xml:space="preserve">скорегований </w:t>
      </w:r>
      <w:r w:rsidRPr="000B549B">
        <w:rPr>
          <w:rFonts w:ascii="Times New Roman" w:hAnsi="Times New Roman" w:cs="Times New Roman"/>
          <w:sz w:val="28"/>
          <w:szCs w:val="28"/>
          <w:lang w:val="en-US"/>
        </w:rPr>
        <w:t>R</w:t>
      </w:r>
      <w:r w:rsidRPr="009E6C7E">
        <w:rPr>
          <w:rFonts w:ascii="Times New Roman" w:hAnsi="Times New Roman" w:cs="Times New Roman"/>
          <w:sz w:val="28"/>
          <w:szCs w:val="28"/>
          <w:vertAlign w:val="superscript"/>
        </w:rPr>
        <w:t>2</w:t>
      </w:r>
      <w:r>
        <w:rPr>
          <w:rFonts w:ascii="Times New Roman" w:hAnsi="Times New Roman" w:cs="Times New Roman"/>
          <w:sz w:val="28"/>
          <w:szCs w:val="28"/>
        </w:rPr>
        <w:t xml:space="preserve"> складав 0,8336 (р</w:t>
      </w:r>
      <w:r w:rsidRPr="009E6C7E">
        <w:rPr>
          <w:rFonts w:ascii="Times New Roman" w:hAnsi="Times New Roman" w:cs="Times New Roman"/>
          <w:sz w:val="28"/>
          <w:szCs w:val="28"/>
        </w:rPr>
        <w:t>&lt;0,001</w:t>
      </w:r>
      <w:r>
        <w:rPr>
          <w:rFonts w:ascii="Times New Roman" w:hAnsi="Times New Roman" w:cs="Times New Roman"/>
          <w:sz w:val="28"/>
          <w:szCs w:val="28"/>
        </w:rPr>
        <w:t xml:space="preserve">), тобто 83,36% значень експресії можна було пояснити за допомогою створеної поліноміальної моделі </w:t>
      </w:r>
      <w:r w:rsidRPr="009E6C7E">
        <w:rPr>
          <w:rFonts w:ascii="Times New Roman" w:hAnsi="Times New Roman" w:cs="Times New Roman"/>
          <w:sz w:val="28"/>
          <w:szCs w:val="28"/>
        </w:rPr>
        <w:t>(</w:t>
      </w:r>
      <w:r>
        <w:rPr>
          <w:rFonts w:ascii="Times New Roman" w:hAnsi="Times New Roman" w:cs="Times New Roman"/>
          <w:sz w:val="28"/>
          <w:szCs w:val="28"/>
        </w:rPr>
        <w:t>ступінь свободи</w:t>
      </w:r>
      <w:r w:rsidRPr="009E6C7E">
        <w:rPr>
          <w:rFonts w:ascii="Times New Roman" w:hAnsi="Times New Roman" w:cs="Times New Roman"/>
          <w:sz w:val="28"/>
          <w:szCs w:val="28"/>
        </w:rPr>
        <w:t>=2)</w:t>
      </w:r>
      <w:r>
        <w:rPr>
          <w:rFonts w:ascii="Times New Roman" w:hAnsi="Times New Roman" w:cs="Times New Roman"/>
          <w:sz w:val="28"/>
          <w:szCs w:val="28"/>
        </w:rPr>
        <w:t>.</w:t>
      </w:r>
      <w:r w:rsidRPr="002D4CE6">
        <w:rPr>
          <w:rFonts w:ascii="Times New Roman" w:hAnsi="Times New Roman" w:cs="Times New Roman"/>
          <w:sz w:val="28"/>
          <w:szCs w:val="28"/>
        </w:rPr>
        <w:t xml:space="preserve"> </w:t>
      </w:r>
      <w:r>
        <w:rPr>
          <w:rFonts w:ascii="Times New Roman" w:hAnsi="Times New Roman" w:cs="Times New Roman"/>
          <w:sz w:val="28"/>
          <w:szCs w:val="28"/>
        </w:rPr>
        <w:t xml:space="preserve">На основі отриманих даних було створено формулу розрахунку для передбачення тканинної експресії міРНК-15а на основі радіологічних характеристик НКР: </w:t>
      </w:r>
    </w:p>
    <w:p w:rsidR="00034E9D" w:rsidRDefault="00034E9D" w:rsidP="000645F1">
      <w:pPr>
        <w:spacing w:line="360" w:lineRule="auto"/>
        <w:jc w:val="right"/>
        <w:rPr>
          <w:rFonts w:ascii="Times New Roman" w:hAnsi="Times New Roman" w:cs="Times New Roman"/>
          <w:sz w:val="28"/>
          <w:szCs w:val="28"/>
        </w:rPr>
      </w:pPr>
    </w:p>
    <w:p w:rsidR="000645F1" w:rsidRDefault="004C6AE8" w:rsidP="000645F1">
      <w:pPr>
        <w:spacing w:line="360" w:lineRule="auto"/>
        <w:jc w:val="right"/>
        <w:rPr>
          <w:rFonts w:ascii="Times New Roman" w:hAnsi="Times New Roman" w:cs="Times New Roman"/>
          <w:sz w:val="28"/>
          <w:szCs w:val="28"/>
        </w:rPr>
      </w:pPr>
      <w:r>
        <w:rPr>
          <w:rFonts w:ascii="Times New Roman" w:hAnsi="Times New Roman" w:cs="Times New Roman"/>
          <w:sz w:val="28"/>
          <w:szCs w:val="28"/>
        </w:rPr>
        <w:t>(8.1</w:t>
      </w:r>
      <w:r w:rsidR="000645F1">
        <w:rPr>
          <w:rFonts w:ascii="Times New Roman" w:hAnsi="Times New Roman" w:cs="Times New Roman"/>
          <w:sz w:val="28"/>
          <w:szCs w:val="28"/>
        </w:rPr>
        <w:t>)</w:t>
      </w:r>
    </w:p>
    <w:p w:rsidR="000645F1" w:rsidRPr="009E6C7E" w:rsidRDefault="000645F1" w:rsidP="000645F1">
      <w:pPr>
        <w:spacing w:line="360" w:lineRule="auto"/>
        <w:jc w:val="both"/>
        <w:rPr>
          <w:rFonts w:ascii="Times New Roman" w:hAnsi="Times New Roman" w:cs="Times New Roman"/>
          <w:color w:val="000000" w:themeColor="text1"/>
          <w:sz w:val="28"/>
          <w:szCs w:val="28"/>
        </w:rPr>
      </w:pPr>
      <w:r w:rsidRPr="00226B99">
        <w:rPr>
          <w:rFonts w:ascii="Times New Roman" w:hAnsi="Times New Roman" w:cs="Times New Roman"/>
          <w:b/>
          <w:i/>
          <w:color w:val="000000" w:themeColor="text1"/>
          <w:sz w:val="28"/>
          <w:szCs w:val="28"/>
          <w:lang w:val="en-US"/>
        </w:rPr>
        <w:t>log</w:t>
      </w:r>
      <w:r w:rsidRPr="009E6C7E">
        <w:rPr>
          <w:rFonts w:ascii="Times New Roman" w:hAnsi="Times New Roman" w:cs="Times New Roman"/>
          <w:b/>
          <w:i/>
          <w:color w:val="000000" w:themeColor="text1"/>
          <w:sz w:val="28"/>
          <w:szCs w:val="28"/>
        </w:rPr>
        <w:t>(</w:t>
      </w:r>
      <w:r w:rsidRPr="00226B99">
        <w:rPr>
          <w:rFonts w:ascii="Times New Roman" w:hAnsi="Times New Roman" w:cs="Times New Roman"/>
          <w:b/>
          <w:i/>
          <w:color w:val="000000" w:themeColor="text1"/>
          <w:sz w:val="28"/>
          <w:szCs w:val="28"/>
        </w:rPr>
        <w:t>міР</w:t>
      </w:r>
      <w:r w:rsidRPr="009E6C7E">
        <w:rPr>
          <w:rFonts w:ascii="Times New Roman" w:hAnsi="Times New Roman" w:cs="Times New Roman"/>
          <w:b/>
          <w:i/>
          <w:color w:val="000000" w:themeColor="text1"/>
          <w:sz w:val="28"/>
          <w:szCs w:val="28"/>
        </w:rPr>
        <w:t>-15</w:t>
      </w:r>
      <w:r w:rsidRPr="00226B99">
        <w:rPr>
          <w:rFonts w:ascii="Times New Roman" w:hAnsi="Times New Roman" w:cs="Times New Roman"/>
          <w:b/>
          <w:i/>
          <w:color w:val="000000" w:themeColor="text1"/>
          <w:sz w:val="28"/>
          <w:szCs w:val="28"/>
          <w:lang w:val="en-US"/>
        </w:rPr>
        <w:t>a</w:t>
      </w:r>
      <w:r w:rsidRPr="009E6C7E">
        <w:rPr>
          <w:rFonts w:ascii="Times New Roman" w:hAnsi="Times New Roman" w:cs="Times New Roman"/>
          <w:b/>
          <w:i/>
          <w:color w:val="000000" w:themeColor="text1"/>
          <w:sz w:val="28"/>
          <w:szCs w:val="28"/>
        </w:rPr>
        <w:t>)</w:t>
      </w:r>
      <w:r w:rsidRPr="009E6C7E">
        <w:rPr>
          <w:rFonts w:ascii="Times New Roman" w:hAnsi="Times New Roman" w:cs="Times New Roman"/>
          <w:color w:val="000000" w:themeColor="text1"/>
          <w:sz w:val="28"/>
          <w:szCs w:val="28"/>
        </w:rPr>
        <w:t xml:space="preserve"> = 1,5798 – 8,4927 × </w:t>
      </w:r>
      <w:r w:rsidRPr="000C36C2">
        <w:rPr>
          <w:rFonts w:ascii="Times New Roman" w:hAnsi="Times New Roman" w:cs="Times New Roman"/>
          <w:i/>
          <w:color w:val="000000" w:themeColor="text1"/>
          <w:sz w:val="28"/>
          <w:szCs w:val="28"/>
          <w:lang w:val="en-US"/>
        </w:rPr>
        <w:t>log</w:t>
      </w:r>
      <w:r w:rsidRPr="009E6C7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розмір пухлини</w:t>
      </w:r>
      <w:r w:rsidRPr="009E6C7E">
        <w:rPr>
          <w:rFonts w:ascii="Times New Roman" w:hAnsi="Times New Roman" w:cs="Times New Roman"/>
          <w:color w:val="000000" w:themeColor="text1"/>
          <w:sz w:val="28"/>
          <w:szCs w:val="28"/>
        </w:rPr>
        <w:t xml:space="preserve">) + 8,4927 × </w:t>
      </w:r>
      <w:r w:rsidRPr="000C36C2">
        <w:rPr>
          <w:rFonts w:ascii="Times New Roman" w:hAnsi="Times New Roman" w:cs="Times New Roman"/>
          <w:i/>
          <w:color w:val="000000" w:themeColor="text1"/>
          <w:sz w:val="28"/>
          <w:szCs w:val="28"/>
          <w:lang w:val="en-US"/>
        </w:rPr>
        <w:t>log</w:t>
      </w:r>
      <w:r w:rsidRPr="009E6C7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розмір пухлини</w:t>
      </w:r>
      <w:r w:rsidRPr="009E6C7E">
        <w:rPr>
          <w:rFonts w:ascii="Times New Roman" w:hAnsi="Times New Roman" w:cs="Times New Roman"/>
          <w:color w:val="000000" w:themeColor="text1"/>
          <w:sz w:val="28"/>
          <w:szCs w:val="28"/>
        </w:rPr>
        <w:t>)</w:t>
      </w:r>
      <w:r w:rsidRPr="009E6C7E">
        <w:rPr>
          <w:rFonts w:ascii="Times New Roman" w:hAnsi="Times New Roman" w:cs="Times New Roman"/>
          <w:color w:val="000000" w:themeColor="text1"/>
          <w:sz w:val="28"/>
          <w:szCs w:val="28"/>
          <w:vertAlign w:val="superscript"/>
        </w:rPr>
        <w:t xml:space="preserve">2 </w:t>
      </w:r>
      <w:r w:rsidRPr="009E6C7E">
        <w:rPr>
          <w:rFonts w:ascii="Times New Roman" w:hAnsi="Times New Roman" w:cs="Times New Roman"/>
          <w:color w:val="000000" w:themeColor="text1"/>
          <w:sz w:val="28"/>
          <w:szCs w:val="28"/>
        </w:rPr>
        <w:t xml:space="preserve">+ 0,3172 × </w:t>
      </w:r>
      <w:r>
        <w:rPr>
          <w:rFonts w:ascii="Times New Roman" w:hAnsi="Times New Roman" w:cs="Times New Roman"/>
          <w:color w:val="000000" w:themeColor="text1"/>
          <w:sz w:val="28"/>
          <w:szCs w:val="28"/>
        </w:rPr>
        <w:t>кістозний компонент</w:t>
      </w:r>
      <w:r w:rsidRPr="009E6C7E">
        <w:rPr>
          <w:rFonts w:ascii="Times New Roman" w:hAnsi="Times New Roman" w:cs="Times New Roman"/>
          <w:color w:val="000000" w:themeColor="text1"/>
          <w:sz w:val="28"/>
          <w:szCs w:val="28"/>
        </w:rPr>
        <w:t xml:space="preserve"> (ні=1, так=0) – 0,3382 × </w:t>
      </w:r>
      <w:r>
        <w:rPr>
          <w:rFonts w:ascii="Times New Roman" w:hAnsi="Times New Roman" w:cs="Times New Roman"/>
          <w:color w:val="000000" w:themeColor="text1"/>
          <w:sz w:val="28"/>
          <w:szCs w:val="28"/>
        </w:rPr>
        <w:t>екзофітний ріст</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так</w:t>
      </w:r>
      <w:r w:rsidRPr="009E6C7E">
        <w:rPr>
          <w:rFonts w:ascii="Times New Roman" w:hAnsi="Times New Roman" w:cs="Times New Roman"/>
          <w:color w:val="000000" w:themeColor="text1"/>
          <w:sz w:val="28"/>
          <w:szCs w:val="28"/>
        </w:rPr>
        <w:t xml:space="preserve">=1, ні=0) + 0,4085 × </w:t>
      </w:r>
      <w:r>
        <w:rPr>
          <w:rFonts w:ascii="Times New Roman" w:hAnsi="Times New Roman" w:cs="Times New Roman"/>
          <w:color w:val="000000" w:themeColor="text1"/>
          <w:sz w:val="28"/>
          <w:szCs w:val="28"/>
        </w:rPr>
        <w:t>некроз</w:t>
      </w:r>
      <w:r w:rsidRPr="009E6C7E">
        <w:rPr>
          <w:rFonts w:ascii="Times New Roman" w:hAnsi="Times New Roman" w:cs="Times New Roman"/>
          <w:color w:val="000000" w:themeColor="text1"/>
          <w:sz w:val="28"/>
          <w:szCs w:val="28"/>
        </w:rPr>
        <w:t xml:space="preserve"> (так=1, ні=0) – 0,2048 × </w:t>
      </w:r>
      <w:r>
        <w:rPr>
          <w:rFonts w:ascii="Times New Roman" w:hAnsi="Times New Roman" w:cs="Times New Roman"/>
          <w:color w:val="000000" w:themeColor="text1"/>
          <w:sz w:val="28"/>
          <w:szCs w:val="28"/>
        </w:rPr>
        <w:t>макроскопічний жир</w:t>
      </w:r>
      <w:r w:rsidRPr="009E6C7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так</w:t>
      </w:r>
      <w:r w:rsidRPr="009E6C7E">
        <w:rPr>
          <w:rFonts w:ascii="Times New Roman" w:hAnsi="Times New Roman" w:cs="Times New Roman"/>
          <w:color w:val="000000" w:themeColor="text1"/>
          <w:sz w:val="28"/>
          <w:szCs w:val="28"/>
        </w:rPr>
        <w:t xml:space="preserve">=1, </w:t>
      </w:r>
      <w:r>
        <w:rPr>
          <w:rFonts w:ascii="Times New Roman" w:hAnsi="Times New Roman" w:cs="Times New Roman"/>
          <w:color w:val="000000" w:themeColor="text1"/>
          <w:sz w:val="28"/>
          <w:szCs w:val="28"/>
        </w:rPr>
        <w:t>ні</w:t>
      </w:r>
      <w:r w:rsidRPr="009E6C7E">
        <w:rPr>
          <w:rFonts w:ascii="Times New Roman" w:hAnsi="Times New Roman" w:cs="Times New Roman"/>
          <w:color w:val="000000" w:themeColor="text1"/>
          <w:sz w:val="28"/>
          <w:szCs w:val="28"/>
        </w:rPr>
        <w:t xml:space="preserve">=0) + 0,3326 × </w:t>
      </w:r>
      <w:r>
        <w:rPr>
          <w:rFonts w:ascii="Times New Roman" w:hAnsi="Times New Roman" w:cs="Times New Roman"/>
          <w:color w:val="000000" w:themeColor="text1"/>
          <w:sz w:val="28"/>
          <w:szCs w:val="28"/>
        </w:rPr>
        <w:t>нодулярне посилення</w:t>
      </w:r>
      <w:r w:rsidRPr="009E6C7E">
        <w:rPr>
          <w:rFonts w:ascii="Times New Roman" w:hAnsi="Times New Roman" w:cs="Times New Roman"/>
          <w:color w:val="000000" w:themeColor="text1"/>
          <w:sz w:val="28"/>
          <w:szCs w:val="28"/>
        </w:rPr>
        <w:t xml:space="preserve"> (так=1, ні=0)</w:t>
      </w:r>
    </w:p>
    <w:p w:rsidR="000645F1" w:rsidRDefault="000645F1" w:rsidP="000645F1">
      <w:pPr>
        <w:spacing w:line="360" w:lineRule="auto"/>
        <w:jc w:val="both"/>
        <w:rPr>
          <w:rFonts w:ascii="Times New Roman" w:hAnsi="Times New Roman" w:cs="Times New Roman"/>
          <w:color w:val="000000" w:themeColor="text1"/>
          <w:sz w:val="28"/>
          <w:szCs w:val="28"/>
        </w:rPr>
      </w:pPr>
      <w:r w:rsidRPr="000C36C2">
        <w:rPr>
          <w:rFonts w:ascii="Times New Roman" w:hAnsi="Times New Roman" w:cs="Times New Roman"/>
          <w:sz w:val="28"/>
          <w:szCs w:val="28"/>
        </w:rPr>
        <w:t xml:space="preserve">Де </w:t>
      </w:r>
      <w:r w:rsidRPr="000C36C2">
        <w:rPr>
          <w:rFonts w:ascii="Times New Roman" w:hAnsi="Times New Roman" w:cs="Times New Roman"/>
          <w:i/>
          <w:color w:val="000000" w:themeColor="text1"/>
          <w:sz w:val="28"/>
          <w:szCs w:val="28"/>
        </w:rPr>
        <w:t>log(міР-15a)</w:t>
      </w:r>
      <w:r w:rsidRPr="000C36C2">
        <w:rPr>
          <w:rFonts w:ascii="Times New Roman" w:hAnsi="Times New Roman" w:cs="Times New Roman"/>
          <w:color w:val="000000" w:themeColor="text1"/>
          <w:sz w:val="28"/>
          <w:szCs w:val="28"/>
        </w:rPr>
        <w:t xml:space="preserve"> – логарифм експресії міРНК-15а</w:t>
      </w:r>
    </w:p>
    <w:p w:rsidR="00C36617" w:rsidRPr="00C24A82" w:rsidRDefault="00C36617" w:rsidP="000645F1">
      <w:pPr>
        <w:spacing w:line="360" w:lineRule="auto"/>
        <w:jc w:val="both"/>
        <w:rPr>
          <w:rFonts w:ascii="Times New Roman" w:hAnsi="Times New Roman" w:cs="Times New Roman"/>
          <w:color w:val="000000" w:themeColor="text1"/>
          <w:sz w:val="28"/>
          <w:szCs w:val="28"/>
        </w:rPr>
      </w:pPr>
    </w:p>
    <w:p w:rsidR="000645F1" w:rsidRPr="0018065C" w:rsidRDefault="000645F1" w:rsidP="000645F1">
      <w:pPr>
        <w:spacing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t>Для полегшення користування розробленою моделлю нами була розроблена та візуалізована шкала оцінки променевих параметрів НКР та присвоєння кожному з них відпо</w:t>
      </w:r>
      <w:r w:rsidR="000F406C">
        <w:rPr>
          <w:rFonts w:ascii="Times New Roman" w:hAnsi="Times New Roman" w:cs="Times New Roman"/>
          <w:color w:val="000000" w:themeColor="text1"/>
          <w:sz w:val="28"/>
          <w:szCs w:val="28"/>
        </w:rPr>
        <w:t>відного коефіцієнта (рисунок 8.7</w:t>
      </w:r>
      <w:r>
        <w:rPr>
          <w:rFonts w:ascii="Times New Roman" w:hAnsi="Times New Roman" w:cs="Times New Roman"/>
          <w:color w:val="000000" w:themeColor="text1"/>
          <w:sz w:val="28"/>
          <w:szCs w:val="28"/>
        </w:rPr>
        <w:t>).</w:t>
      </w:r>
    </w:p>
    <w:p w:rsidR="000645F1" w:rsidRDefault="000645F1" w:rsidP="000645F1">
      <w:pPr>
        <w:spacing w:line="360" w:lineRule="auto"/>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en-US"/>
        </w:rPr>
        <w:lastRenderedPageBreak/>
        <w:drawing>
          <wp:inline distT="0" distB="0" distL="0" distR="0" wp14:anchorId="4000B88B" wp14:editId="76B48E0D">
            <wp:extent cx="4896895" cy="4210050"/>
            <wp:effectExtent l="0" t="0" r="0" b="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адіоген.jp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4953466" cy="4258686"/>
                    </a:xfrm>
                    <a:prstGeom prst="rect">
                      <a:avLst/>
                    </a:prstGeom>
                  </pic:spPr>
                </pic:pic>
              </a:graphicData>
            </a:graphic>
          </wp:inline>
        </w:drawing>
      </w:r>
    </w:p>
    <w:p w:rsidR="000645F1" w:rsidRDefault="000F406C" w:rsidP="000645F1">
      <w:pPr>
        <w:spacing w:line="360" w:lineRule="auto"/>
        <w:ind w:firstLine="70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8.7</w:t>
      </w:r>
      <w:r w:rsidR="000645F1">
        <w:rPr>
          <w:rFonts w:ascii="Times New Roman" w:hAnsi="Times New Roman" w:cs="Times New Roman"/>
          <w:color w:val="000000" w:themeColor="text1"/>
          <w:sz w:val="28"/>
          <w:szCs w:val="28"/>
        </w:rPr>
        <w:t>.</w:t>
      </w:r>
      <w:r w:rsidR="000645F1" w:rsidRPr="002D4CE6">
        <w:rPr>
          <w:rFonts w:ascii="Times New Roman" w:hAnsi="Times New Roman" w:cs="Times New Roman"/>
          <w:color w:val="000000" w:themeColor="text1"/>
          <w:sz w:val="28"/>
          <w:szCs w:val="28"/>
        </w:rPr>
        <w:t xml:space="preserve"> </w:t>
      </w:r>
      <w:r w:rsidR="000645F1">
        <w:rPr>
          <w:rFonts w:ascii="Times New Roman" w:hAnsi="Times New Roman" w:cs="Times New Roman"/>
          <w:color w:val="000000" w:themeColor="text1"/>
          <w:sz w:val="28"/>
          <w:szCs w:val="28"/>
        </w:rPr>
        <w:t xml:space="preserve">Шкала оцінки променевих параметрів НКР для прогнозування рівню тканинної експресії міР-15а за допомогою </w:t>
      </w:r>
      <w:r w:rsidR="000645F1">
        <w:rPr>
          <w:rFonts w:ascii="Times New Roman" w:hAnsi="Times New Roman" w:cs="Times New Roman"/>
          <w:sz w:val="28"/>
          <w:szCs w:val="28"/>
        </w:rPr>
        <w:t>поліноміальної моделі регресії</w:t>
      </w:r>
    </w:p>
    <w:p w:rsidR="00ED3C5B" w:rsidRPr="00C36617" w:rsidRDefault="000645F1" w:rsidP="00C36617">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Отримані дані мають високу практичну цінність, оскільки дозволяють без застосування генетичних методів дослідження, які нерідко є недоступними в вітчизняних клінічних установах, неінвазійно та достатньо точно передбачати рівень тканинної експресії міР-15а, яка, як нами було доведено, має суттєве прогностичне значення при даній патології, а розроблена поліноміальна модель на основі вивчених променевих характеристик пухлини може слугувати сурогатом експресії міР-15а у якості прогностичного біомаркеру НКР.</w:t>
      </w:r>
      <w:r w:rsidRPr="002D4CE6">
        <w:rPr>
          <w:rFonts w:ascii="Times New Roman" w:hAnsi="Times New Roman" w:cs="Times New Roman"/>
          <w:sz w:val="28"/>
          <w:szCs w:val="28"/>
        </w:rPr>
        <w:t xml:space="preserve"> </w:t>
      </w:r>
      <w:r>
        <w:rPr>
          <w:rFonts w:ascii="Times New Roman" w:hAnsi="Times New Roman" w:cs="Times New Roman"/>
          <w:sz w:val="28"/>
          <w:szCs w:val="28"/>
        </w:rPr>
        <w:t>Крім цього, отримані результати відкривають широкі перспективи подальших досліджень в напрямку радіогеноміки, яка на сьогодні, як напрямок персоналізованої медицини лише починає розвиватись, та демонструють її високий потенціал застосування при персоналізованому веденні хворих</w:t>
      </w:r>
      <w:r w:rsidRPr="000F1863">
        <w:rPr>
          <w:rFonts w:ascii="Times New Roman" w:hAnsi="Times New Roman" w:cs="Times New Roman"/>
          <w:sz w:val="28"/>
          <w:szCs w:val="28"/>
        </w:rPr>
        <w:t xml:space="preserve"> </w:t>
      </w:r>
      <w:r>
        <w:rPr>
          <w:rFonts w:ascii="Times New Roman" w:hAnsi="Times New Roman" w:cs="Times New Roman"/>
          <w:sz w:val="28"/>
          <w:szCs w:val="28"/>
        </w:rPr>
        <w:t>онкологічного профілю, зокрема із НКР.</w:t>
      </w:r>
    </w:p>
    <w:p w:rsidR="00001C78" w:rsidRDefault="00001C78" w:rsidP="00001C78">
      <w:pPr>
        <w:spacing w:line="360" w:lineRule="auto"/>
        <w:jc w:val="center"/>
        <w:rPr>
          <w:rFonts w:ascii="Times New Roman" w:hAnsi="Times New Roman" w:cs="Times New Roman"/>
          <w:b/>
          <w:sz w:val="28"/>
          <w:szCs w:val="28"/>
        </w:rPr>
      </w:pPr>
      <w:r w:rsidRPr="00001C78">
        <w:rPr>
          <w:rFonts w:ascii="Times New Roman" w:hAnsi="Times New Roman" w:cs="Times New Roman"/>
          <w:b/>
          <w:sz w:val="28"/>
          <w:szCs w:val="28"/>
        </w:rPr>
        <w:lastRenderedPageBreak/>
        <w:t>ВИСНОВКИ</w:t>
      </w:r>
    </w:p>
    <w:p w:rsidR="006A74D3" w:rsidRPr="00001C78" w:rsidRDefault="006A74D3" w:rsidP="00001C78">
      <w:pPr>
        <w:spacing w:line="360" w:lineRule="auto"/>
        <w:jc w:val="center"/>
        <w:rPr>
          <w:rFonts w:ascii="Times New Roman" w:hAnsi="Times New Roman" w:cs="Times New Roman"/>
          <w:b/>
          <w:sz w:val="28"/>
          <w:szCs w:val="28"/>
        </w:rPr>
      </w:pPr>
    </w:p>
    <w:p w:rsidR="006A74D3" w:rsidRDefault="006A74D3" w:rsidP="006A74D3">
      <w:pPr>
        <w:spacing w:line="360" w:lineRule="auto"/>
        <w:ind w:firstLine="708"/>
        <w:jc w:val="both"/>
        <w:rPr>
          <w:rFonts w:ascii="Times New Roman" w:hAnsi="Times New Roman"/>
          <w:sz w:val="28"/>
          <w:szCs w:val="28"/>
        </w:rPr>
      </w:pPr>
      <w:r>
        <w:rPr>
          <w:rFonts w:ascii="Times New Roman" w:hAnsi="Times New Roman"/>
          <w:sz w:val="28"/>
          <w:szCs w:val="28"/>
        </w:rPr>
        <w:t xml:space="preserve">У дисертації викладено теоретичне обґрунтування й нове рішення актуальної наукової проблеми – </w:t>
      </w:r>
      <w:r>
        <w:rPr>
          <w:rFonts w:ascii="Times New Roman" w:hAnsi="Times New Roman"/>
          <w:iCs/>
          <w:color w:val="000000"/>
          <w:sz w:val="28"/>
          <w:szCs w:val="28"/>
        </w:rPr>
        <w:t>підвищення ефективності лікування</w:t>
      </w:r>
      <w:r>
        <w:rPr>
          <w:iCs/>
          <w:color w:val="000000"/>
        </w:rPr>
        <w:t xml:space="preserve"> </w:t>
      </w:r>
      <w:r>
        <w:rPr>
          <w:rFonts w:ascii="Times New Roman" w:hAnsi="Times New Roman"/>
          <w:iCs/>
          <w:color w:val="000000"/>
          <w:sz w:val="28"/>
          <w:szCs w:val="28"/>
        </w:rPr>
        <w:t>хворих на</w:t>
      </w:r>
      <w:r>
        <w:rPr>
          <w:iCs/>
          <w:color w:val="000000"/>
        </w:rPr>
        <w:t xml:space="preserve"> </w:t>
      </w:r>
      <w:r>
        <w:rPr>
          <w:rFonts w:ascii="Times New Roman" w:hAnsi="Times New Roman"/>
          <w:iCs/>
          <w:color w:val="000000"/>
          <w:sz w:val="28"/>
          <w:szCs w:val="28"/>
        </w:rPr>
        <w:t>нирково-клітинний рак шляхом застосування розроблених алгоритмів діагностики і лікування на основі пошуку і вивчення променевих і молекулярних діагностичних, прогностичних біомаркерів.</w:t>
      </w:r>
    </w:p>
    <w:p w:rsidR="006A74D3" w:rsidRDefault="006A74D3" w:rsidP="006A74D3">
      <w:pPr>
        <w:spacing w:line="360" w:lineRule="auto"/>
        <w:ind w:firstLine="708"/>
        <w:jc w:val="both"/>
        <w:rPr>
          <w:rFonts w:ascii="Times New Roman" w:hAnsi="Times New Roman"/>
          <w:sz w:val="28"/>
          <w:szCs w:val="28"/>
        </w:rPr>
      </w:pPr>
    </w:p>
    <w:p w:rsidR="00AC6827" w:rsidRPr="009155CB" w:rsidRDefault="00132595" w:rsidP="00AC6827">
      <w:pPr>
        <w:autoSpaceDE w:val="0"/>
        <w:autoSpaceDN w:val="0"/>
        <w:adjustRightInd w:val="0"/>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1. </w:t>
      </w:r>
      <w:r w:rsidR="00AC6827" w:rsidRPr="008254CE">
        <w:rPr>
          <w:rFonts w:ascii="Times New Roman" w:hAnsi="Times New Roman"/>
          <w:color w:val="000000"/>
          <w:sz w:val="28"/>
          <w:szCs w:val="28"/>
        </w:rPr>
        <w:t>Застосування вимірюваного коефіцієнту дифузії дифузійно-зважених зображень, одержаного за даними МРТ,</w:t>
      </w:r>
      <w:r w:rsidR="00AC6827" w:rsidRPr="008254CE">
        <w:rPr>
          <w:color w:val="000000"/>
        </w:rPr>
        <w:t xml:space="preserve">  </w:t>
      </w:r>
      <w:r w:rsidR="00AC6827" w:rsidRPr="008254CE">
        <w:rPr>
          <w:rFonts w:ascii="Times New Roman" w:hAnsi="Times New Roman"/>
          <w:color w:val="000000"/>
          <w:sz w:val="28"/>
          <w:szCs w:val="28"/>
        </w:rPr>
        <w:t>дозволяє провести диференційну діагностику НКР та доброякісних пухлин нирок. Крім того</w:t>
      </w:r>
      <w:r w:rsidR="00AC6827">
        <w:rPr>
          <w:rFonts w:ascii="Times New Roman" w:hAnsi="Times New Roman"/>
          <w:color w:val="000000"/>
          <w:sz w:val="28"/>
          <w:szCs w:val="28"/>
        </w:rPr>
        <w:t xml:space="preserve">, </w:t>
      </w:r>
      <w:r w:rsidR="00AC6827" w:rsidRPr="008254CE">
        <w:rPr>
          <w:rFonts w:ascii="Times New Roman" w:hAnsi="Times New Roman"/>
          <w:color w:val="000000"/>
          <w:sz w:val="28"/>
          <w:szCs w:val="28"/>
        </w:rPr>
        <w:t>використання ВКД дозволяє диференціювати гістологічні підтипи НКР: світлоклітинний від несвітлоклітинного, папіл</w:t>
      </w:r>
      <w:r w:rsidR="00951091">
        <w:rPr>
          <w:rFonts w:ascii="Times New Roman" w:hAnsi="Times New Roman"/>
          <w:color w:val="000000"/>
          <w:sz w:val="28"/>
          <w:szCs w:val="28"/>
        </w:rPr>
        <w:t>ярний від хромофобного, низький</w:t>
      </w:r>
      <w:r w:rsidR="00AC6827" w:rsidRPr="008254CE">
        <w:rPr>
          <w:rFonts w:ascii="Times New Roman" w:hAnsi="Times New Roman"/>
          <w:color w:val="000000"/>
          <w:sz w:val="28"/>
          <w:szCs w:val="28"/>
        </w:rPr>
        <w:t xml:space="preserve"> від високого </w:t>
      </w:r>
      <w:r w:rsidR="00B02037">
        <w:rPr>
          <w:rFonts w:ascii="Times New Roman" w:hAnsi="Times New Roman"/>
          <w:color w:val="000000"/>
          <w:sz w:val="28"/>
          <w:szCs w:val="28"/>
        </w:rPr>
        <w:t>ступеня</w:t>
      </w:r>
      <w:r w:rsidR="00AC6827" w:rsidRPr="008254CE">
        <w:rPr>
          <w:rFonts w:ascii="Times New Roman" w:hAnsi="Times New Roman"/>
          <w:color w:val="000000"/>
          <w:sz w:val="28"/>
          <w:szCs w:val="28"/>
        </w:rPr>
        <w:t xml:space="preserve"> </w:t>
      </w:r>
      <w:r w:rsidR="00951091">
        <w:rPr>
          <w:rFonts w:ascii="Times New Roman" w:hAnsi="Times New Roman"/>
          <w:color w:val="000000"/>
          <w:sz w:val="28"/>
          <w:szCs w:val="28"/>
        </w:rPr>
        <w:t>ядерної атипії</w:t>
      </w:r>
      <w:r w:rsidR="00AC6827">
        <w:rPr>
          <w:rFonts w:ascii="Times New Roman" w:hAnsi="Times New Roman"/>
          <w:color w:val="000000"/>
          <w:sz w:val="28"/>
          <w:szCs w:val="28"/>
        </w:rPr>
        <w:t xml:space="preserve"> за Fuhrman, кістозний</w:t>
      </w:r>
      <w:r w:rsidR="00AC6827" w:rsidRPr="008254CE">
        <w:rPr>
          <w:rFonts w:ascii="Times New Roman" w:hAnsi="Times New Roman"/>
          <w:color w:val="000000"/>
          <w:sz w:val="28"/>
          <w:szCs w:val="28"/>
        </w:rPr>
        <w:t xml:space="preserve"> НКР при кістах ІІ</w:t>
      </w:r>
      <w:r w:rsidR="00AC6827" w:rsidRPr="008254CE">
        <w:rPr>
          <w:rFonts w:ascii="Times New Roman" w:hAnsi="Times New Roman"/>
          <w:color w:val="000000"/>
          <w:sz w:val="28"/>
          <w:szCs w:val="28"/>
          <w:lang w:val="en-US"/>
        </w:rPr>
        <w:t>F</w:t>
      </w:r>
      <w:r w:rsidR="00AC6827" w:rsidRPr="008254CE">
        <w:rPr>
          <w:rFonts w:ascii="Times New Roman" w:hAnsi="Times New Roman"/>
          <w:color w:val="000000"/>
          <w:sz w:val="28"/>
          <w:szCs w:val="28"/>
        </w:rPr>
        <w:t xml:space="preserve"> і </w:t>
      </w:r>
      <w:r w:rsidR="00AC6827" w:rsidRPr="008254CE">
        <w:rPr>
          <w:rFonts w:ascii="Times New Roman" w:hAnsi="Times New Roman"/>
          <w:iCs/>
          <w:color w:val="000000"/>
          <w:sz w:val="28"/>
          <w:szCs w:val="28"/>
        </w:rPr>
        <w:t>ІІІ та IV класів</w:t>
      </w:r>
      <w:r w:rsidR="00AC6827" w:rsidRPr="008254CE">
        <w:rPr>
          <w:rFonts w:ascii="Times New Roman" w:hAnsi="Times New Roman"/>
          <w:color w:val="000000"/>
          <w:sz w:val="28"/>
          <w:szCs w:val="28"/>
        </w:rPr>
        <w:t xml:space="preserve"> за Bosniak. Чутливість та специфічність дослідження сягає від 80 до 100%, що підтверджує достовірність одержаних результатів при статистичній відмінності у диференційованих групах </w:t>
      </w:r>
      <w:r w:rsidR="00AC6827" w:rsidRPr="008254CE">
        <w:rPr>
          <w:rFonts w:ascii="Times New Roman" w:hAnsi="Times New Roman"/>
          <w:iCs/>
          <w:color w:val="000000"/>
          <w:sz w:val="28"/>
          <w:szCs w:val="28"/>
        </w:rPr>
        <w:t>р</w:t>
      </w:r>
      <w:r w:rsidR="00AC6827" w:rsidRPr="008254CE">
        <w:rPr>
          <w:rFonts w:ascii="Times New Roman" w:eastAsia="Times New Roman" w:hAnsi="Times New Roman"/>
          <w:iCs/>
          <w:color w:val="000000"/>
          <w:sz w:val="28"/>
          <w:szCs w:val="28"/>
          <w:lang w:eastAsia="uk-UA"/>
        </w:rPr>
        <w:t>&lt;0,05 без виключення. Збільшення розміру  пухлини супроводжується підвищенням</w:t>
      </w:r>
      <w:r w:rsidR="00AC6827" w:rsidRPr="008254CE">
        <w:rPr>
          <w:rFonts w:ascii="Times New Roman" w:hAnsi="Times New Roman"/>
          <w:color w:val="000000"/>
          <w:sz w:val="28"/>
          <w:szCs w:val="28"/>
        </w:rPr>
        <w:t xml:space="preserve"> чутливості та специфічності вимірюваного коефіцієнту  дифузійно-зважених зображень при диференційній діагностиці НКР.</w:t>
      </w:r>
    </w:p>
    <w:p w:rsidR="00AC6827" w:rsidRPr="00B87865" w:rsidRDefault="00AC6827" w:rsidP="00AC6827">
      <w:pPr>
        <w:autoSpaceDE w:val="0"/>
        <w:autoSpaceDN w:val="0"/>
        <w:adjustRightInd w:val="0"/>
        <w:spacing w:line="360" w:lineRule="auto"/>
        <w:ind w:firstLine="708"/>
        <w:jc w:val="both"/>
        <w:rPr>
          <w:rFonts w:ascii="Times New Roman" w:hAnsi="Times New Roman"/>
          <w:color w:val="000000"/>
          <w:sz w:val="28"/>
          <w:szCs w:val="28"/>
          <w:lang w:bidi="he-IL"/>
        </w:rPr>
      </w:pPr>
      <w:r>
        <w:rPr>
          <w:rFonts w:ascii="Times New Roman" w:hAnsi="Times New Roman"/>
          <w:sz w:val="28"/>
          <w:szCs w:val="28"/>
        </w:rPr>
        <w:t xml:space="preserve">2. </w:t>
      </w:r>
      <w:r w:rsidRPr="00B87865">
        <w:rPr>
          <w:rFonts w:ascii="Times New Roman" w:hAnsi="Times New Roman"/>
          <w:iCs/>
          <w:color w:val="000000"/>
          <w:sz w:val="28"/>
          <w:szCs w:val="28"/>
        </w:rPr>
        <w:t xml:space="preserve">Визначення експресії мікроРНК-15а у сечі хворих є високоінформативною диференційною ознакою, оскільки вона за наявності НКР </w:t>
      </w:r>
      <w:r w:rsidR="00B02037">
        <w:rPr>
          <w:rFonts w:ascii="Times New Roman" w:hAnsi="Times New Roman"/>
          <w:iCs/>
          <w:color w:val="000000"/>
          <w:sz w:val="28"/>
          <w:szCs w:val="28"/>
        </w:rPr>
        <w:t>на 6 порядків перевищує показник</w:t>
      </w:r>
      <w:r w:rsidRPr="00B87865">
        <w:rPr>
          <w:rFonts w:ascii="Times New Roman" w:hAnsi="Times New Roman"/>
          <w:iCs/>
          <w:color w:val="000000"/>
          <w:sz w:val="28"/>
          <w:szCs w:val="28"/>
        </w:rPr>
        <w:t xml:space="preserve"> контрольної групи, </w:t>
      </w:r>
      <w:r w:rsidR="0089592C" w:rsidRPr="00880D62">
        <w:rPr>
          <w:rFonts w:ascii="Times New Roman" w:hAnsi="Times New Roman" w:cs="Times New Roman"/>
          <w:iCs/>
          <w:color w:val="000000"/>
          <w:sz w:val="28"/>
          <w:szCs w:val="28"/>
        </w:rPr>
        <w:t xml:space="preserve">а </w:t>
      </w:r>
      <w:r w:rsidR="0089592C" w:rsidRPr="003072C2">
        <w:rPr>
          <w:rFonts w:ascii="Times New Roman" w:hAnsi="Times New Roman" w:cs="Times New Roman"/>
          <w:iCs/>
          <w:color w:val="000000" w:themeColor="text1"/>
          <w:sz w:val="28"/>
          <w:szCs w:val="28"/>
        </w:rPr>
        <w:t>в порівнянні з</w:t>
      </w:r>
      <w:r w:rsidR="0089592C" w:rsidRPr="001F558E">
        <w:rPr>
          <w:rFonts w:ascii="Times New Roman" w:hAnsi="Times New Roman" w:cs="Times New Roman"/>
          <w:iCs/>
          <w:color w:val="00B050"/>
          <w:sz w:val="28"/>
          <w:szCs w:val="28"/>
        </w:rPr>
        <w:t xml:space="preserve"> </w:t>
      </w:r>
      <w:r w:rsidR="0089592C">
        <w:rPr>
          <w:rFonts w:ascii="Times New Roman" w:eastAsia="Times New Roman" w:hAnsi="Times New Roman" w:cs="Times New Roman"/>
          <w:iCs/>
          <w:color w:val="000000"/>
          <w:sz w:val="28"/>
          <w:szCs w:val="28"/>
          <w:lang w:eastAsia="uk-UA"/>
        </w:rPr>
        <w:t>доброякісними пухлинами</w:t>
      </w:r>
      <w:r w:rsidR="0089592C" w:rsidRPr="00880D62">
        <w:rPr>
          <w:rFonts w:ascii="Times New Roman" w:eastAsia="Times New Roman" w:hAnsi="Times New Roman" w:cs="Times New Roman"/>
          <w:iCs/>
          <w:color w:val="000000"/>
          <w:sz w:val="28"/>
          <w:szCs w:val="28"/>
          <w:lang w:eastAsia="uk-UA"/>
        </w:rPr>
        <w:t xml:space="preserve"> нирок</w:t>
      </w:r>
      <w:r w:rsidRPr="00B87865">
        <w:rPr>
          <w:rFonts w:ascii="Times New Roman" w:eastAsia="Times New Roman" w:hAnsi="Times New Roman"/>
          <w:iCs/>
          <w:color w:val="000000"/>
          <w:sz w:val="28"/>
          <w:szCs w:val="28"/>
          <w:lang w:eastAsia="uk-UA"/>
        </w:rPr>
        <w:t xml:space="preserve"> – на 2 порядки (2,50E-01±2,72E-01 УО, 1,32E-03±3,90E-03 УО, 3,36E-07±1,04E-07 УО відповідно; </w:t>
      </w:r>
      <w:r w:rsidRPr="00B87865">
        <w:rPr>
          <w:rFonts w:ascii="Times New Roman" w:hAnsi="Times New Roman"/>
          <w:iCs/>
          <w:color w:val="000000"/>
          <w:sz w:val="28"/>
          <w:szCs w:val="28"/>
        </w:rPr>
        <w:t>р</w:t>
      </w:r>
      <w:r w:rsidRPr="00B87865">
        <w:rPr>
          <w:rFonts w:ascii="Times New Roman" w:eastAsia="Times New Roman" w:hAnsi="Times New Roman"/>
          <w:iCs/>
          <w:color w:val="000000"/>
          <w:sz w:val="28"/>
          <w:szCs w:val="28"/>
          <w:lang w:eastAsia="uk-UA"/>
        </w:rPr>
        <w:t xml:space="preserve">&lt;0,001). Відмінність </w:t>
      </w:r>
      <w:r w:rsidRPr="00B87865">
        <w:rPr>
          <w:rFonts w:ascii="Times New Roman" w:hAnsi="Times New Roman"/>
          <w:iCs/>
          <w:color w:val="000000"/>
          <w:sz w:val="28"/>
          <w:szCs w:val="28"/>
        </w:rPr>
        <w:t>рівню експресії міР-15а також дозволяє відрізняти низький та високий ступені диференціації скНКР (</w:t>
      </w:r>
      <w:r w:rsidRPr="00B87865">
        <w:rPr>
          <w:rFonts w:ascii="Times New Roman" w:eastAsia="Times New Roman" w:hAnsi="Times New Roman"/>
          <w:iCs/>
          <w:color w:val="000000"/>
          <w:sz w:val="28"/>
          <w:szCs w:val="28"/>
          <w:lang w:eastAsia="uk-UA"/>
        </w:rPr>
        <w:t xml:space="preserve">8,28E-02±1,44E-01 УО та 5,61E-01±2,33E-01 УО </w:t>
      </w:r>
      <w:r w:rsidRPr="00B87865">
        <w:rPr>
          <w:rFonts w:ascii="Times New Roman" w:hAnsi="Times New Roman"/>
          <w:iCs/>
          <w:color w:val="000000"/>
          <w:sz w:val="28"/>
          <w:szCs w:val="28"/>
        </w:rPr>
        <w:t>відповідно –  р</w:t>
      </w:r>
      <w:r w:rsidRPr="00B87865">
        <w:rPr>
          <w:rFonts w:ascii="Times New Roman" w:eastAsia="Times New Roman" w:hAnsi="Times New Roman"/>
          <w:iCs/>
          <w:color w:val="000000"/>
          <w:sz w:val="28"/>
          <w:szCs w:val="28"/>
          <w:lang w:eastAsia="uk-UA"/>
        </w:rPr>
        <w:t>&lt;0,001).</w:t>
      </w:r>
      <w:r w:rsidRPr="00B87865">
        <w:rPr>
          <w:rFonts w:ascii="Times New Roman" w:hAnsi="Times New Roman"/>
          <w:iCs/>
          <w:color w:val="000000"/>
          <w:sz w:val="28"/>
          <w:szCs w:val="28"/>
        </w:rPr>
        <w:t xml:space="preserve"> У хворих на НКР виявлено сильний </w:t>
      </w:r>
      <w:r w:rsidRPr="00B87865">
        <w:rPr>
          <w:rFonts w:ascii="Times New Roman" w:hAnsi="Times New Roman"/>
          <w:iCs/>
          <w:color w:val="000000"/>
          <w:sz w:val="28"/>
          <w:szCs w:val="28"/>
        </w:rPr>
        <w:lastRenderedPageBreak/>
        <w:t>позитивний взаємозв’язок між розміром пухлини та рівнем експресії miR-15а (r=0,87). Безпосередньо після операції (8-й день) відмічено статистично достовірне  (р</w:t>
      </w:r>
      <w:r w:rsidRPr="00B87865">
        <w:rPr>
          <w:rFonts w:ascii="Times New Roman" w:eastAsia="Times New Roman" w:hAnsi="Times New Roman"/>
          <w:iCs/>
          <w:color w:val="000000"/>
          <w:sz w:val="28"/>
          <w:szCs w:val="28"/>
          <w:lang w:eastAsia="uk-UA"/>
        </w:rPr>
        <w:t>&lt;0,001</w:t>
      </w:r>
      <w:r w:rsidRPr="00B87865">
        <w:rPr>
          <w:rFonts w:ascii="Times New Roman" w:hAnsi="Times New Roman"/>
          <w:iCs/>
          <w:color w:val="000000"/>
          <w:sz w:val="28"/>
          <w:szCs w:val="28"/>
        </w:rPr>
        <w:t xml:space="preserve">) зниження експресії міР-15а в середньому на </w:t>
      </w:r>
      <w:r w:rsidRPr="00B87865">
        <w:rPr>
          <w:rFonts w:ascii="Times New Roman" w:eastAsia="Times New Roman" w:hAnsi="Times New Roman"/>
          <w:iCs/>
          <w:color w:val="000000"/>
          <w:sz w:val="28"/>
          <w:szCs w:val="28"/>
          <w:lang w:eastAsia="uk-UA"/>
        </w:rPr>
        <w:t xml:space="preserve">99,53% (з 2,50E-01±2,72E-01 УО до 1,18E-03±5,36E-04 УО), що підтверджує специфічність даного показника </w:t>
      </w:r>
      <w:r w:rsidRPr="00B87865">
        <w:rPr>
          <w:rFonts w:ascii="Times New Roman" w:hAnsi="Times New Roman"/>
          <w:iCs/>
          <w:color w:val="000000"/>
          <w:sz w:val="28"/>
          <w:szCs w:val="28"/>
          <w:lang w:bidi="he-IL"/>
        </w:rPr>
        <w:t>як чутливого діагностичного молекулярного біомаркера нирково-клітинного раку</w:t>
      </w:r>
      <w:r w:rsidRPr="00B87865">
        <w:rPr>
          <w:rFonts w:ascii="Times New Roman" w:hAnsi="Times New Roman"/>
          <w:iCs/>
          <w:color w:val="000000"/>
          <w:sz w:val="28"/>
          <w:szCs w:val="28"/>
        </w:rPr>
        <w:t>.</w:t>
      </w:r>
    </w:p>
    <w:p w:rsidR="00AC6827" w:rsidRPr="00FB68A0" w:rsidRDefault="00AC6827" w:rsidP="00AC6827">
      <w:pPr>
        <w:autoSpaceDE w:val="0"/>
        <w:autoSpaceDN w:val="0"/>
        <w:adjustRightInd w:val="0"/>
        <w:spacing w:line="360" w:lineRule="auto"/>
        <w:ind w:firstLine="708"/>
        <w:jc w:val="both"/>
        <w:rPr>
          <w:rFonts w:ascii="Times New Roman" w:hAnsi="Times New Roman"/>
          <w:color w:val="0000FF"/>
          <w:sz w:val="28"/>
          <w:szCs w:val="28"/>
          <w:lang w:bidi="he-IL"/>
        </w:rPr>
      </w:pPr>
      <w:r>
        <w:rPr>
          <w:rFonts w:ascii="Times New Roman" w:hAnsi="Times New Roman"/>
          <w:sz w:val="28"/>
          <w:szCs w:val="28"/>
          <w:lang w:bidi="he-IL"/>
        </w:rPr>
        <w:t>3. Індекс резистентності</w:t>
      </w:r>
      <w:r w:rsidRPr="00001C78">
        <w:rPr>
          <w:rFonts w:ascii="Times New Roman" w:hAnsi="Times New Roman"/>
          <w:sz w:val="28"/>
          <w:szCs w:val="28"/>
          <w:lang w:bidi="he-IL"/>
        </w:rPr>
        <w:t xml:space="preserve"> допплер-УЗД</w:t>
      </w:r>
      <w:r>
        <w:rPr>
          <w:rFonts w:ascii="Times New Roman" w:hAnsi="Times New Roman"/>
          <w:sz w:val="28"/>
          <w:szCs w:val="28"/>
        </w:rPr>
        <w:t xml:space="preserve"> </w:t>
      </w:r>
      <w:r w:rsidRPr="00001C78">
        <w:rPr>
          <w:rFonts w:ascii="Times New Roman" w:hAnsi="Times New Roman"/>
          <w:sz w:val="28"/>
          <w:szCs w:val="28"/>
          <w:lang w:bidi="he-IL"/>
        </w:rPr>
        <w:t>достовірно відображ</w:t>
      </w:r>
      <w:r w:rsidRPr="00A17880">
        <w:rPr>
          <w:rFonts w:ascii="Times New Roman" w:hAnsi="Times New Roman"/>
          <w:color w:val="000000" w:themeColor="text1"/>
          <w:sz w:val="28"/>
          <w:szCs w:val="28"/>
          <w:lang w:bidi="he-IL"/>
        </w:rPr>
        <w:t>ає</w:t>
      </w:r>
      <w:r w:rsidRPr="00001C78">
        <w:rPr>
          <w:rFonts w:ascii="Times New Roman" w:hAnsi="Times New Roman"/>
          <w:sz w:val="28"/>
          <w:szCs w:val="28"/>
          <w:lang w:bidi="he-IL"/>
        </w:rPr>
        <w:t xml:space="preserve"> динаміку реноваскулярної </w:t>
      </w:r>
      <w:r>
        <w:rPr>
          <w:rFonts w:ascii="Times New Roman" w:hAnsi="Times New Roman"/>
          <w:sz w:val="28"/>
          <w:szCs w:val="28"/>
          <w:lang w:bidi="he-IL"/>
        </w:rPr>
        <w:t xml:space="preserve">опірності у хворих </w:t>
      </w:r>
      <w:r w:rsidR="00C503AB">
        <w:rPr>
          <w:rFonts w:ascii="Times New Roman" w:hAnsi="Times New Roman"/>
          <w:sz w:val="28"/>
          <w:szCs w:val="28"/>
          <w:lang w:bidi="he-IL"/>
        </w:rPr>
        <w:t>на</w:t>
      </w:r>
      <w:r>
        <w:rPr>
          <w:rFonts w:ascii="Times New Roman" w:hAnsi="Times New Roman"/>
          <w:sz w:val="28"/>
          <w:szCs w:val="28"/>
          <w:lang w:bidi="he-IL"/>
        </w:rPr>
        <w:t xml:space="preserve"> НКР до та після </w:t>
      </w:r>
      <w:r>
        <w:rPr>
          <w:rFonts w:ascii="Times New Roman" w:hAnsi="Times New Roman"/>
          <w:color w:val="000000" w:themeColor="text1"/>
          <w:sz w:val="28"/>
          <w:szCs w:val="28"/>
        </w:rPr>
        <w:t>селективної емболізації ниркових артерій</w:t>
      </w:r>
      <w:r>
        <w:rPr>
          <w:rFonts w:ascii="Times New Roman" w:hAnsi="Times New Roman"/>
          <w:sz w:val="28"/>
          <w:szCs w:val="28"/>
        </w:rPr>
        <w:t xml:space="preserve"> та дозволяє прогнозувати її ефективність. О</w:t>
      </w:r>
      <w:r w:rsidRPr="00001C78">
        <w:rPr>
          <w:rFonts w:ascii="Times New Roman" w:hAnsi="Times New Roman"/>
          <w:sz w:val="28"/>
          <w:szCs w:val="28"/>
        </w:rPr>
        <w:t xml:space="preserve">тримано сильний кореляційний зворотній зв’язок </w:t>
      </w:r>
      <w:r>
        <w:rPr>
          <w:rFonts w:ascii="Times New Roman" w:hAnsi="Times New Roman"/>
          <w:color w:val="000000" w:themeColor="text1"/>
          <w:sz w:val="28"/>
          <w:szCs w:val="28"/>
        </w:rPr>
        <w:t>індексу резистентності</w:t>
      </w:r>
      <w:r>
        <w:rPr>
          <w:rFonts w:ascii="Times New Roman" w:hAnsi="Times New Roman"/>
          <w:sz w:val="28"/>
          <w:szCs w:val="28"/>
        </w:rPr>
        <w:t xml:space="preserve"> </w:t>
      </w:r>
      <w:r w:rsidRPr="00001C78">
        <w:rPr>
          <w:rFonts w:ascii="Times New Roman" w:hAnsi="Times New Roman"/>
          <w:sz w:val="28"/>
          <w:szCs w:val="28"/>
        </w:rPr>
        <w:t>пухлини після проведеної емболізації та об’єму оціночної інтраопераційної крововтрати  (</w:t>
      </w:r>
      <w:r w:rsidRPr="00001C78">
        <w:rPr>
          <w:rFonts w:ascii="Times New Roman" w:hAnsi="Times New Roman"/>
          <w:sz w:val="28"/>
          <w:szCs w:val="28"/>
          <w:lang w:val="en-US"/>
        </w:rPr>
        <w:t>r</w:t>
      </w:r>
      <w:r w:rsidRPr="00001C78">
        <w:rPr>
          <w:rFonts w:ascii="Times New Roman" w:hAnsi="Times New Roman"/>
          <w:sz w:val="28"/>
          <w:szCs w:val="28"/>
        </w:rPr>
        <w:t>=-0,811, р</w:t>
      </w:r>
      <w:r w:rsidRPr="009E6C7E">
        <w:rPr>
          <w:rFonts w:ascii="Times New Roman" w:hAnsi="Times New Roman"/>
          <w:sz w:val="28"/>
          <w:szCs w:val="28"/>
        </w:rPr>
        <w:t>&lt;</w:t>
      </w:r>
      <w:r w:rsidRPr="00001C78">
        <w:rPr>
          <w:rFonts w:ascii="Times New Roman" w:hAnsi="Times New Roman"/>
          <w:sz w:val="28"/>
          <w:szCs w:val="28"/>
        </w:rPr>
        <w:t xml:space="preserve">0,001). У хворих із підвищенням ІР після СЕНА у порівнянні із вихідним значенням </w:t>
      </w:r>
      <w:r w:rsidRPr="009E6C7E">
        <w:rPr>
          <w:rFonts w:ascii="Times New Roman" w:hAnsi="Times New Roman"/>
          <w:sz w:val="28"/>
          <w:szCs w:val="28"/>
        </w:rPr>
        <w:t>&lt;</w:t>
      </w:r>
      <w:r w:rsidRPr="00001C78">
        <w:rPr>
          <w:rFonts w:ascii="Times New Roman" w:hAnsi="Times New Roman"/>
          <w:sz w:val="28"/>
          <w:szCs w:val="28"/>
        </w:rPr>
        <w:t xml:space="preserve">20,97%  існує </w:t>
      </w:r>
      <w:r>
        <w:rPr>
          <w:rFonts w:ascii="Times New Roman" w:hAnsi="Times New Roman"/>
          <w:sz w:val="28"/>
          <w:szCs w:val="28"/>
        </w:rPr>
        <w:t>значний</w:t>
      </w:r>
      <w:r w:rsidRPr="00001C78">
        <w:rPr>
          <w:rFonts w:ascii="Times New Roman" w:hAnsi="Times New Roman"/>
          <w:sz w:val="28"/>
          <w:szCs w:val="28"/>
        </w:rPr>
        <w:t xml:space="preserve"> ризик </w:t>
      </w:r>
      <w:r>
        <w:rPr>
          <w:rFonts w:ascii="Times New Roman" w:hAnsi="Times New Roman"/>
          <w:sz w:val="28"/>
          <w:szCs w:val="28"/>
        </w:rPr>
        <w:t>інтраопераці</w:t>
      </w:r>
      <w:r w:rsidR="00BF4FF9">
        <w:rPr>
          <w:rFonts w:ascii="Times New Roman" w:hAnsi="Times New Roman"/>
          <w:sz w:val="28"/>
          <w:szCs w:val="28"/>
        </w:rPr>
        <w:t>й</w:t>
      </w:r>
      <w:r>
        <w:rPr>
          <w:rFonts w:ascii="Times New Roman" w:hAnsi="Times New Roman"/>
          <w:sz w:val="28"/>
          <w:szCs w:val="28"/>
        </w:rPr>
        <w:t xml:space="preserve">ної крововтрати </w:t>
      </w:r>
      <w:r w:rsidRPr="00A17880">
        <w:rPr>
          <w:rFonts w:ascii="Times New Roman" w:hAnsi="Times New Roman"/>
          <w:color w:val="000000" w:themeColor="text1"/>
          <w:sz w:val="28"/>
          <w:szCs w:val="28"/>
        </w:rPr>
        <w:t xml:space="preserve">&gt;500 мл. Підвищення ІР після СЕНА </w:t>
      </w:r>
      <w:r w:rsidR="00B02037">
        <w:rPr>
          <w:rFonts w:ascii="Times New Roman" w:hAnsi="Times New Roman"/>
          <w:color w:val="000000" w:themeColor="text1"/>
          <w:sz w:val="28"/>
          <w:szCs w:val="28"/>
        </w:rPr>
        <w:t>≤4%, доцільно розглядати як один</w:t>
      </w:r>
      <w:r w:rsidRPr="00A17880">
        <w:rPr>
          <w:rFonts w:ascii="Times New Roman" w:hAnsi="Times New Roman"/>
          <w:color w:val="000000" w:themeColor="text1"/>
          <w:sz w:val="28"/>
          <w:szCs w:val="28"/>
        </w:rPr>
        <w:t xml:space="preserve"> з </w:t>
      </w:r>
      <w:r w:rsidR="00B02037">
        <w:rPr>
          <w:rFonts w:ascii="Times New Roman" w:hAnsi="Times New Roman"/>
          <w:color w:val="000000" w:themeColor="text1"/>
          <w:sz w:val="28"/>
          <w:szCs w:val="28"/>
        </w:rPr>
        <w:t>показів</w:t>
      </w:r>
      <w:r w:rsidRPr="00A17880">
        <w:rPr>
          <w:rFonts w:ascii="Times New Roman" w:hAnsi="Times New Roman"/>
          <w:color w:val="000000" w:themeColor="text1"/>
          <w:sz w:val="28"/>
          <w:szCs w:val="28"/>
        </w:rPr>
        <w:t xml:space="preserve"> до реемболізації ниркових артерій.</w:t>
      </w:r>
      <w:r w:rsidRPr="003E156D">
        <w:rPr>
          <w:rFonts w:ascii="Times New Roman" w:hAnsi="Times New Roman"/>
          <w:sz w:val="28"/>
          <w:szCs w:val="28"/>
          <w:lang w:bidi="he-IL"/>
        </w:rPr>
        <w:t xml:space="preserve"> </w:t>
      </w:r>
    </w:p>
    <w:p w:rsidR="00AC6827" w:rsidRDefault="00AC6827" w:rsidP="00AC6827">
      <w:pPr>
        <w:spacing w:line="360" w:lineRule="auto"/>
        <w:ind w:firstLine="708"/>
        <w:jc w:val="both"/>
        <w:rPr>
          <w:rFonts w:ascii="Times New Roman" w:hAnsi="Times New Roman"/>
          <w:sz w:val="28"/>
          <w:szCs w:val="28"/>
        </w:rPr>
      </w:pPr>
      <w:r>
        <w:rPr>
          <w:rFonts w:ascii="Times New Roman" w:hAnsi="Times New Roman"/>
          <w:sz w:val="28"/>
          <w:szCs w:val="28"/>
        </w:rPr>
        <w:t>4. Використання вимірюваного коефіцієнта дифузії МРТ дозволяє</w:t>
      </w:r>
      <w:r w:rsidRPr="00001C78">
        <w:rPr>
          <w:rFonts w:ascii="Times New Roman" w:hAnsi="Times New Roman"/>
          <w:sz w:val="28"/>
          <w:szCs w:val="28"/>
        </w:rPr>
        <w:t xml:space="preserve"> диференціювати локальний рецидив НКР від </w:t>
      </w:r>
      <w:r>
        <w:rPr>
          <w:rFonts w:ascii="Times New Roman" w:hAnsi="Times New Roman"/>
          <w:sz w:val="28"/>
          <w:szCs w:val="28"/>
        </w:rPr>
        <w:t>неураженої</w:t>
      </w:r>
      <w:r w:rsidRPr="00001C78">
        <w:rPr>
          <w:rFonts w:ascii="Times New Roman" w:hAnsi="Times New Roman"/>
          <w:sz w:val="28"/>
          <w:szCs w:val="28"/>
        </w:rPr>
        <w:t xml:space="preserve"> </w:t>
      </w:r>
      <w:r>
        <w:rPr>
          <w:rFonts w:ascii="Times New Roman" w:hAnsi="Times New Roman"/>
          <w:sz w:val="28"/>
          <w:szCs w:val="28"/>
        </w:rPr>
        <w:t xml:space="preserve">пухлиною </w:t>
      </w:r>
      <w:r w:rsidRPr="00001C78">
        <w:rPr>
          <w:rFonts w:ascii="Times New Roman" w:hAnsi="Times New Roman"/>
          <w:sz w:val="28"/>
          <w:szCs w:val="28"/>
        </w:rPr>
        <w:t>паренхіми нирки із 100%</w:t>
      </w:r>
      <w:r>
        <w:rPr>
          <w:rFonts w:ascii="Times New Roman" w:hAnsi="Times New Roman"/>
          <w:sz w:val="28"/>
          <w:szCs w:val="28"/>
        </w:rPr>
        <w:t xml:space="preserve"> чутливістю </w:t>
      </w:r>
      <w:r w:rsidRPr="00591990">
        <w:rPr>
          <w:rFonts w:ascii="Times New Roman" w:hAnsi="Times New Roman"/>
          <w:color w:val="000000" w:themeColor="text1"/>
          <w:sz w:val="28"/>
          <w:szCs w:val="28"/>
        </w:rPr>
        <w:t>та</w:t>
      </w:r>
      <w:r>
        <w:rPr>
          <w:rFonts w:ascii="Times New Roman" w:hAnsi="Times New Roman"/>
          <w:sz w:val="28"/>
          <w:szCs w:val="28"/>
        </w:rPr>
        <w:t xml:space="preserve"> 80% </w:t>
      </w:r>
      <w:r w:rsidRPr="00591990">
        <w:rPr>
          <w:rFonts w:ascii="Times New Roman" w:hAnsi="Times New Roman"/>
          <w:color w:val="000000" w:themeColor="text1"/>
          <w:sz w:val="28"/>
          <w:szCs w:val="28"/>
        </w:rPr>
        <w:t>специфічністю</w:t>
      </w:r>
      <w:r w:rsidRPr="00001C78">
        <w:rPr>
          <w:rFonts w:ascii="Times New Roman" w:hAnsi="Times New Roman"/>
          <w:sz w:val="28"/>
          <w:szCs w:val="28"/>
        </w:rPr>
        <w:t xml:space="preserve"> при відсутності пром</w:t>
      </w:r>
      <w:r>
        <w:rPr>
          <w:rFonts w:ascii="Times New Roman" w:hAnsi="Times New Roman"/>
          <w:sz w:val="28"/>
          <w:szCs w:val="28"/>
        </w:rPr>
        <w:t xml:space="preserve">еневого навантаження на хворого, при цьому </w:t>
      </w:r>
      <w:r>
        <w:rPr>
          <w:rFonts w:ascii="Times New Roman" w:hAnsi="Times New Roman"/>
          <w:sz w:val="28"/>
          <w:szCs w:val="28"/>
          <w:shd w:val="clear" w:color="auto" w:fill="FFFFFF"/>
        </w:rPr>
        <w:t>середні значення ВКД складають</w:t>
      </w:r>
      <w:r w:rsidRPr="00001C78">
        <w:rPr>
          <w:rFonts w:ascii="Times New Roman" w:hAnsi="Times New Roman"/>
          <w:sz w:val="28"/>
          <w:szCs w:val="28"/>
          <w:shd w:val="clear" w:color="auto" w:fill="FFFFFF"/>
        </w:rPr>
        <w:t xml:space="preserve"> </w:t>
      </w:r>
      <w:r w:rsidRPr="00001C78">
        <w:rPr>
          <w:rFonts w:ascii="Times New Roman" w:hAnsi="Times New Roman"/>
          <w:sz w:val="28"/>
          <w:szCs w:val="28"/>
        </w:rPr>
        <w:t>1,64±0,15×10</w:t>
      </w:r>
      <w:r w:rsidRPr="00001C78">
        <w:rPr>
          <w:rFonts w:ascii="Times New Roman" w:hAnsi="Times New Roman"/>
          <w:sz w:val="28"/>
          <w:szCs w:val="28"/>
          <w:vertAlign w:val="superscript"/>
        </w:rPr>
        <w:t>-3</w:t>
      </w:r>
      <w:r w:rsidRPr="00001C78">
        <w:rPr>
          <w:rFonts w:ascii="Times New Roman" w:hAnsi="Times New Roman"/>
          <w:sz w:val="28"/>
          <w:szCs w:val="28"/>
        </w:rPr>
        <w:t xml:space="preserve"> мм</w:t>
      </w:r>
      <w:r w:rsidRPr="00001C78">
        <w:rPr>
          <w:rFonts w:ascii="Times New Roman" w:hAnsi="Times New Roman"/>
          <w:sz w:val="28"/>
          <w:szCs w:val="28"/>
          <w:vertAlign w:val="superscript"/>
        </w:rPr>
        <w:t>2</w:t>
      </w:r>
      <w:r>
        <w:rPr>
          <w:rFonts w:ascii="Times New Roman" w:hAnsi="Times New Roman"/>
          <w:sz w:val="28"/>
          <w:szCs w:val="28"/>
        </w:rPr>
        <w:t>/с та</w:t>
      </w:r>
      <w:r w:rsidRPr="00001C78">
        <w:rPr>
          <w:rFonts w:ascii="Times New Roman" w:hAnsi="Times New Roman"/>
          <w:sz w:val="28"/>
          <w:szCs w:val="28"/>
        </w:rPr>
        <w:t xml:space="preserve"> 1,02±0,26×10</w:t>
      </w:r>
      <w:r w:rsidRPr="00001C78">
        <w:rPr>
          <w:rFonts w:ascii="Times New Roman" w:hAnsi="Times New Roman"/>
          <w:sz w:val="28"/>
          <w:szCs w:val="28"/>
          <w:vertAlign w:val="superscript"/>
        </w:rPr>
        <w:t>-3</w:t>
      </w:r>
      <w:r w:rsidRPr="00001C78">
        <w:rPr>
          <w:rFonts w:ascii="Times New Roman" w:hAnsi="Times New Roman"/>
          <w:sz w:val="28"/>
          <w:szCs w:val="28"/>
        </w:rPr>
        <w:t xml:space="preserve"> мм</w:t>
      </w:r>
      <w:r w:rsidRPr="00001C78">
        <w:rPr>
          <w:rFonts w:ascii="Times New Roman" w:hAnsi="Times New Roman"/>
          <w:sz w:val="28"/>
          <w:szCs w:val="28"/>
          <w:vertAlign w:val="superscript"/>
        </w:rPr>
        <w:t>2</w:t>
      </w:r>
      <w:r w:rsidRPr="00001C78">
        <w:rPr>
          <w:rFonts w:ascii="Times New Roman" w:hAnsi="Times New Roman"/>
          <w:sz w:val="28"/>
          <w:szCs w:val="28"/>
        </w:rPr>
        <w:t xml:space="preserve">/с </w:t>
      </w:r>
      <w:r w:rsidRPr="00001C78">
        <w:rPr>
          <w:rFonts w:ascii="Times New Roman" w:hAnsi="Times New Roman"/>
          <w:sz w:val="28"/>
          <w:szCs w:val="28"/>
          <w:shd w:val="clear" w:color="auto" w:fill="FFFFFF"/>
        </w:rPr>
        <w:t>відповідно</w:t>
      </w:r>
      <w:r>
        <w:rPr>
          <w:rFonts w:ascii="Times New Roman" w:hAnsi="Times New Roman"/>
          <w:sz w:val="28"/>
          <w:szCs w:val="28"/>
          <w:shd w:val="clear" w:color="auto" w:fill="FFFFFF"/>
        </w:rPr>
        <w:t xml:space="preserve"> </w:t>
      </w:r>
      <w:r w:rsidRPr="00001C78">
        <w:rPr>
          <w:rFonts w:ascii="Times New Roman" w:hAnsi="Times New Roman"/>
          <w:sz w:val="28"/>
          <w:szCs w:val="28"/>
        </w:rPr>
        <w:t>(р</w:t>
      </w:r>
      <w:r w:rsidRPr="009E6C7E">
        <w:rPr>
          <w:rFonts w:ascii="Times New Roman" w:hAnsi="Times New Roman"/>
          <w:sz w:val="28"/>
          <w:szCs w:val="28"/>
        </w:rPr>
        <w:t>&lt;</w:t>
      </w:r>
      <w:r w:rsidRPr="00001C78">
        <w:rPr>
          <w:rFonts w:ascii="Times New Roman" w:hAnsi="Times New Roman"/>
          <w:sz w:val="28"/>
          <w:szCs w:val="28"/>
        </w:rPr>
        <w:t>0,001</w:t>
      </w:r>
      <w:r w:rsidRPr="009E6C7E">
        <w:rPr>
          <w:rFonts w:ascii="Times New Roman" w:hAnsi="Times New Roman"/>
          <w:sz w:val="28"/>
          <w:szCs w:val="28"/>
        </w:rPr>
        <w:t>)</w:t>
      </w:r>
      <w:r>
        <w:rPr>
          <w:rFonts w:ascii="Times New Roman" w:hAnsi="Times New Roman"/>
          <w:sz w:val="28"/>
          <w:szCs w:val="28"/>
        </w:rPr>
        <w:t xml:space="preserve">. </w:t>
      </w:r>
    </w:p>
    <w:p w:rsidR="00AC6827" w:rsidRPr="00001C78" w:rsidRDefault="00AC6827" w:rsidP="00AC6827">
      <w:pPr>
        <w:autoSpaceDE w:val="0"/>
        <w:autoSpaceDN w:val="0"/>
        <w:adjustRightInd w:val="0"/>
        <w:spacing w:line="360" w:lineRule="auto"/>
        <w:ind w:firstLine="708"/>
        <w:jc w:val="both"/>
        <w:rPr>
          <w:rFonts w:ascii="Times New Roman" w:hAnsi="Times New Roman"/>
          <w:sz w:val="28"/>
          <w:szCs w:val="28"/>
        </w:rPr>
      </w:pPr>
      <w:r>
        <w:rPr>
          <w:rFonts w:ascii="Times New Roman" w:hAnsi="Times New Roman"/>
          <w:sz w:val="28"/>
          <w:szCs w:val="28"/>
        </w:rPr>
        <w:t>5. Динаміка вимірюваного коефіцієнта диф</w:t>
      </w:r>
      <w:r w:rsidR="00B02037">
        <w:rPr>
          <w:rFonts w:ascii="Times New Roman" w:hAnsi="Times New Roman"/>
          <w:sz w:val="28"/>
          <w:szCs w:val="28"/>
        </w:rPr>
        <w:t>узії є чутливим маркером ступеня</w:t>
      </w:r>
      <w:r>
        <w:rPr>
          <w:rFonts w:ascii="Times New Roman" w:hAnsi="Times New Roman"/>
          <w:sz w:val="28"/>
          <w:szCs w:val="28"/>
        </w:rPr>
        <w:t xml:space="preserve"> ранньої тканинної відповіді при таргетній терапії розповсюдженого скНКР. Середнє значення ВКД</w:t>
      </w:r>
      <w:r w:rsidRPr="00001C78">
        <w:rPr>
          <w:rFonts w:ascii="Times New Roman" w:hAnsi="Times New Roman"/>
          <w:sz w:val="28"/>
          <w:szCs w:val="28"/>
        </w:rPr>
        <w:t xml:space="preserve"> </w:t>
      </w:r>
      <w:r>
        <w:rPr>
          <w:rFonts w:ascii="Times New Roman" w:hAnsi="Times New Roman"/>
          <w:sz w:val="28"/>
          <w:szCs w:val="28"/>
        </w:rPr>
        <w:t>пухлини</w:t>
      </w:r>
      <w:r w:rsidRPr="00001C78">
        <w:rPr>
          <w:rFonts w:ascii="Times New Roman" w:hAnsi="Times New Roman"/>
          <w:sz w:val="28"/>
          <w:szCs w:val="28"/>
        </w:rPr>
        <w:t xml:space="preserve"> </w:t>
      </w:r>
      <w:r>
        <w:rPr>
          <w:rFonts w:ascii="Times New Roman" w:hAnsi="Times New Roman"/>
          <w:sz w:val="28"/>
          <w:szCs w:val="28"/>
        </w:rPr>
        <w:t>через</w:t>
      </w:r>
      <w:r w:rsidRPr="00001C78">
        <w:rPr>
          <w:rFonts w:ascii="Times New Roman" w:hAnsi="Times New Roman"/>
          <w:sz w:val="28"/>
          <w:szCs w:val="28"/>
        </w:rPr>
        <w:t xml:space="preserve"> 1 місяць після лікування хворих </w:t>
      </w:r>
      <w:r w:rsidRPr="00591990">
        <w:rPr>
          <w:rFonts w:ascii="Times New Roman" w:hAnsi="Times New Roman"/>
          <w:color w:val="000000" w:themeColor="text1"/>
          <w:sz w:val="28"/>
          <w:szCs w:val="28"/>
        </w:rPr>
        <w:t>на</w:t>
      </w:r>
      <w:r w:rsidRPr="00001C78">
        <w:rPr>
          <w:rFonts w:ascii="Times New Roman" w:hAnsi="Times New Roman"/>
          <w:sz w:val="28"/>
          <w:szCs w:val="28"/>
        </w:rPr>
        <w:t xml:space="preserve"> скНКР у підгрупі із частковою відповіддю </w:t>
      </w:r>
      <w:r w:rsidRPr="00591990">
        <w:rPr>
          <w:rFonts w:ascii="Times New Roman" w:hAnsi="Times New Roman"/>
          <w:color w:val="000000" w:themeColor="text1"/>
          <w:sz w:val="28"/>
          <w:szCs w:val="28"/>
        </w:rPr>
        <w:t>знижується</w:t>
      </w:r>
      <w:r w:rsidRPr="00001C78">
        <w:rPr>
          <w:rFonts w:ascii="Times New Roman" w:hAnsi="Times New Roman"/>
          <w:sz w:val="28"/>
          <w:szCs w:val="28"/>
        </w:rPr>
        <w:t xml:space="preserve"> </w:t>
      </w:r>
      <w:r>
        <w:rPr>
          <w:rFonts w:ascii="Times New Roman" w:hAnsi="Times New Roman"/>
          <w:sz w:val="28"/>
          <w:szCs w:val="28"/>
        </w:rPr>
        <w:t xml:space="preserve">на </w:t>
      </w:r>
      <w:r w:rsidRPr="00001C78">
        <w:rPr>
          <w:rFonts w:ascii="Times New Roman" w:hAnsi="Times New Roman"/>
          <w:sz w:val="28"/>
          <w:szCs w:val="28"/>
        </w:rPr>
        <w:t xml:space="preserve">9,11±10,64% (р&lt;0,001), у </w:t>
      </w:r>
      <w:r>
        <w:rPr>
          <w:rFonts w:ascii="Times New Roman" w:hAnsi="Times New Roman"/>
          <w:sz w:val="28"/>
          <w:szCs w:val="28"/>
        </w:rPr>
        <w:t>під</w:t>
      </w:r>
      <w:r w:rsidRPr="00001C78">
        <w:rPr>
          <w:rFonts w:ascii="Times New Roman" w:hAnsi="Times New Roman"/>
          <w:sz w:val="28"/>
          <w:szCs w:val="28"/>
        </w:rPr>
        <w:t>групі із стабілізаці</w:t>
      </w:r>
      <w:r>
        <w:rPr>
          <w:rFonts w:ascii="Times New Roman" w:hAnsi="Times New Roman"/>
          <w:sz w:val="28"/>
          <w:szCs w:val="28"/>
        </w:rPr>
        <w:t xml:space="preserve">єю захворювання </w:t>
      </w:r>
      <w:r w:rsidRPr="00591990">
        <w:rPr>
          <w:rFonts w:ascii="Times New Roman" w:hAnsi="Times New Roman"/>
          <w:color w:val="000000" w:themeColor="text1"/>
          <w:sz w:val="28"/>
          <w:szCs w:val="28"/>
        </w:rPr>
        <w:t>знижується</w:t>
      </w:r>
      <w:r>
        <w:rPr>
          <w:rFonts w:ascii="Times New Roman" w:hAnsi="Times New Roman"/>
          <w:sz w:val="28"/>
          <w:szCs w:val="28"/>
        </w:rPr>
        <w:t xml:space="preserve"> в середньому на </w:t>
      </w:r>
      <w:r w:rsidRPr="00001C78">
        <w:rPr>
          <w:rFonts w:ascii="Times New Roman" w:hAnsi="Times New Roman"/>
          <w:sz w:val="28"/>
          <w:szCs w:val="28"/>
        </w:rPr>
        <w:t xml:space="preserve">7,66±6,72% (р&lt;0,001), </w:t>
      </w:r>
      <w:r>
        <w:rPr>
          <w:rFonts w:ascii="Times New Roman" w:hAnsi="Times New Roman"/>
          <w:sz w:val="28"/>
          <w:szCs w:val="28"/>
        </w:rPr>
        <w:t>а</w:t>
      </w:r>
      <w:r w:rsidRPr="00001C78">
        <w:rPr>
          <w:rFonts w:ascii="Times New Roman" w:hAnsi="Times New Roman"/>
          <w:sz w:val="28"/>
          <w:szCs w:val="28"/>
        </w:rPr>
        <w:t xml:space="preserve"> у г</w:t>
      </w:r>
      <w:r>
        <w:rPr>
          <w:rFonts w:ascii="Times New Roman" w:hAnsi="Times New Roman"/>
          <w:sz w:val="28"/>
          <w:szCs w:val="28"/>
        </w:rPr>
        <w:t>рупі із прогресом захворювання зроста</w:t>
      </w:r>
      <w:r w:rsidRPr="00591990">
        <w:rPr>
          <w:rFonts w:ascii="Times New Roman" w:hAnsi="Times New Roman"/>
          <w:color w:val="000000" w:themeColor="text1"/>
          <w:sz w:val="28"/>
          <w:szCs w:val="28"/>
        </w:rPr>
        <w:t>є</w:t>
      </w:r>
      <w:r>
        <w:rPr>
          <w:rFonts w:ascii="Times New Roman" w:hAnsi="Times New Roman"/>
          <w:sz w:val="28"/>
          <w:szCs w:val="28"/>
        </w:rPr>
        <w:t xml:space="preserve"> в середньому на </w:t>
      </w:r>
      <w:r w:rsidRPr="00001C78">
        <w:rPr>
          <w:rFonts w:ascii="Times New Roman" w:hAnsi="Times New Roman"/>
          <w:sz w:val="28"/>
          <w:szCs w:val="28"/>
        </w:rPr>
        <w:t xml:space="preserve">1,11±2,46% (р&lt;0,001). </w:t>
      </w:r>
      <w:r>
        <w:rPr>
          <w:rFonts w:ascii="Times New Roman" w:hAnsi="Times New Roman"/>
          <w:sz w:val="28"/>
          <w:szCs w:val="28"/>
        </w:rPr>
        <w:t>О</w:t>
      </w:r>
      <w:r w:rsidRPr="00001C78">
        <w:rPr>
          <w:rFonts w:ascii="Times New Roman" w:hAnsi="Times New Roman"/>
          <w:sz w:val="28"/>
          <w:szCs w:val="28"/>
        </w:rPr>
        <w:t>триман</w:t>
      </w:r>
      <w:r w:rsidRPr="00591990">
        <w:rPr>
          <w:rFonts w:ascii="Times New Roman" w:hAnsi="Times New Roman"/>
          <w:color w:val="000000" w:themeColor="text1"/>
          <w:sz w:val="28"/>
          <w:szCs w:val="28"/>
        </w:rPr>
        <w:t>о</w:t>
      </w:r>
      <w:r w:rsidRPr="00001C78">
        <w:rPr>
          <w:rFonts w:ascii="Times New Roman" w:hAnsi="Times New Roman"/>
          <w:sz w:val="28"/>
          <w:szCs w:val="28"/>
        </w:rPr>
        <w:t xml:space="preserve"> прямий кореляційний взаємозв’язок між часом до прогресу захворювання та </w:t>
      </w:r>
      <w:r>
        <w:rPr>
          <w:rFonts w:ascii="Times New Roman" w:hAnsi="Times New Roman"/>
          <w:sz w:val="28"/>
          <w:szCs w:val="28"/>
        </w:rPr>
        <w:t xml:space="preserve">зміною значення </w:t>
      </w:r>
      <w:r w:rsidRPr="00001C78">
        <w:rPr>
          <w:rFonts w:ascii="Times New Roman" w:hAnsi="Times New Roman"/>
          <w:sz w:val="28"/>
          <w:szCs w:val="28"/>
        </w:rPr>
        <w:t>ВКД (</w:t>
      </w:r>
      <w:r w:rsidRPr="00001C78">
        <w:rPr>
          <w:rFonts w:ascii="Times New Roman" w:hAnsi="Times New Roman"/>
          <w:sz w:val="28"/>
          <w:szCs w:val="28"/>
          <w:lang w:val="en-US"/>
        </w:rPr>
        <w:t>r</w:t>
      </w:r>
      <w:r w:rsidRPr="00001C78">
        <w:rPr>
          <w:rFonts w:ascii="Times New Roman" w:hAnsi="Times New Roman"/>
          <w:sz w:val="28"/>
          <w:szCs w:val="28"/>
        </w:rPr>
        <w:t>=0,673, р&lt;0,001)</w:t>
      </w:r>
      <w:r>
        <w:rPr>
          <w:rFonts w:ascii="Times New Roman" w:hAnsi="Times New Roman"/>
          <w:sz w:val="28"/>
          <w:szCs w:val="28"/>
        </w:rPr>
        <w:t xml:space="preserve">, </w:t>
      </w:r>
      <w:r w:rsidRPr="00591990">
        <w:rPr>
          <w:rFonts w:ascii="Times New Roman" w:hAnsi="Times New Roman"/>
          <w:color w:val="000000" w:themeColor="text1"/>
          <w:sz w:val="28"/>
          <w:szCs w:val="28"/>
        </w:rPr>
        <w:t>що обумовлює застосування</w:t>
      </w:r>
      <w:r>
        <w:rPr>
          <w:rFonts w:ascii="Times New Roman" w:hAnsi="Times New Roman"/>
          <w:sz w:val="28"/>
          <w:szCs w:val="28"/>
        </w:rPr>
        <w:t xml:space="preserve"> ВКД </w:t>
      </w:r>
      <w:r w:rsidRPr="00001C78">
        <w:rPr>
          <w:rFonts w:ascii="Times New Roman" w:hAnsi="Times New Roman"/>
          <w:sz w:val="28"/>
          <w:szCs w:val="28"/>
        </w:rPr>
        <w:t xml:space="preserve">для </w:t>
      </w:r>
      <w:r>
        <w:rPr>
          <w:rFonts w:ascii="Times New Roman" w:hAnsi="Times New Roman"/>
          <w:sz w:val="28"/>
          <w:szCs w:val="28"/>
        </w:rPr>
        <w:t xml:space="preserve">прогнозування </w:t>
      </w:r>
      <w:r>
        <w:rPr>
          <w:rFonts w:ascii="Times New Roman" w:hAnsi="Times New Roman"/>
          <w:sz w:val="28"/>
          <w:szCs w:val="28"/>
        </w:rPr>
        <w:lastRenderedPageBreak/>
        <w:t>прогресування</w:t>
      </w:r>
      <w:r w:rsidRPr="00001C78">
        <w:rPr>
          <w:rFonts w:ascii="Times New Roman" w:hAnsi="Times New Roman"/>
          <w:sz w:val="28"/>
          <w:szCs w:val="28"/>
        </w:rPr>
        <w:t xml:space="preserve"> </w:t>
      </w:r>
      <w:r>
        <w:rPr>
          <w:rFonts w:ascii="Times New Roman" w:hAnsi="Times New Roman"/>
          <w:sz w:val="28"/>
          <w:szCs w:val="28"/>
        </w:rPr>
        <w:t>НКР</w:t>
      </w:r>
      <w:r w:rsidRPr="00001C78">
        <w:rPr>
          <w:rFonts w:ascii="Times New Roman" w:hAnsi="Times New Roman"/>
          <w:sz w:val="28"/>
          <w:szCs w:val="28"/>
        </w:rPr>
        <w:t xml:space="preserve"> </w:t>
      </w:r>
      <w:r w:rsidRPr="003A0FD4">
        <w:rPr>
          <w:rFonts w:ascii="Times New Roman" w:hAnsi="Times New Roman"/>
          <w:color w:val="000000" w:themeColor="text1"/>
          <w:sz w:val="28"/>
          <w:szCs w:val="28"/>
        </w:rPr>
        <w:t>при показниках</w:t>
      </w:r>
      <w:r w:rsidRPr="00001C78">
        <w:rPr>
          <w:rFonts w:ascii="Times New Roman" w:hAnsi="Times New Roman"/>
          <w:sz w:val="28"/>
          <w:szCs w:val="28"/>
        </w:rPr>
        <w:t xml:space="preserve"> чутливості та специфічності </w:t>
      </w:r>
      <w:r>
        <w:rPr>
          <w:rFonts w:ascii="Times New Roman" w:hAnsi="Times New Roman"/>
          <w:sz w:val="28"/>
          <w:szCs w:val="28"/>
        </w:rPr>
        <w:t>100% та 81,8%</w:t>
      </w:r>
      <w:r w:rsidRPr="00001C78">
        <w:rPr>
          <w:rFonts w:ascii="Times New Roman" w:hAnsi="Times New Roman"/>
          <w:sz w:val="28"/>
          <w:szCs w:val="28"/>
        </w:rPr>
        <w:t xml:space="preserve"> відповідно</w:t>
      </w:r>
      <w:r>
        <w:rPr>
          <w:rFonts w:ascii="Times New Roman" w:hAnsi="Times New Roman"/>
          <w:sz w:val="28"/>
          <w:szCs w:val="28"/>
        </w:rPr>
        <w:t>.</w:t>
      </w:r>
    </w:p>
    <w:p w:rsidR="00AC6827" w:rsidRPr="00675145" w:rsidRDefault="00AC6827" w:rsidP="00AC6827">
      <w:pPr>
        <w:spacing w:line="360" w:lineRule="auto"/>
        <w:ind w:firstLine="708"/>
        <w:jc w:val="both"/>
        <w:rPr>
          <w:rFonts w:ascii="Times New Roman" w:hAnsi="Times New Roman"/>
          <w:color w:val="000000"/>
          <w:sz w:val="28"/>
          <w:szCs w:val="28"/>
        </w:rPr>
      </w:pPr>
      <w:r>
        <w:rPr>
          <w:rFonts w:ascii="Times New Roman" w:hAnsi="Times New Roman"/>
          <w:sz w:val="28"/>
          <w:szCs w:val="28"/>
        </w:rPr>
        <w:t>6</w:t>
      </w:r>
      <w:r w:rsidRPr="00001C78">
        <w:rPr>
          <w:rFonts w:ascii="Times New Roman" w:hAnsi="Times New Roman"/>
          <w:sz w:val="28"/>
          <w:szCs w:val="28"/>
        </w:rPr>
        <w:t xml:space="preserve">. </w:t>
      </w:r>
      <w:r>
        <w:rPr>
          <w:rFonts w:ascii="Times New Roman" w:hAnsi="Times New Roman"/>
          <w:sz w:val="28"/>
          <w:szCs w:val="28"/>
        </w:rPr>
        <w:t xml:space="preserve">Рівень </w:t>
      </w:r>
      <w:r>
        <w:rPr>
          <w:rFonts w:ascii="Times New Roman" w:hAnsi="Times New Roman"/>
          <w:color w:val="000000"/>
          <w:sz w:val="28"/>
          <w:szCs w:val="28"/>
        </w:rPr>
        <w:t>тканинної експресії</w:t>
      </w:r>
      <w:r w:rsidRPr="00360F22">
        <w:rPr>
          <w:rFonts w:ascii="Times New Roman" w:hAnsi="Times New Roman"/>
          <w:color w:val="000000"/>
          <w:sz w:val="28"/>
          <w:szCs w:val="28"/>
        </w:rPr>
        <w:t xml:space="preserve"> міР-15а </w:t>
      </w:r>
      <w:r>
        <w:rPr>
          <w:rFonts w:ascii="Times New Roman" w:hAnsi="Times New Roman"/>
          <w:color w:val="000000"/>
          <w:sz w:val="28"/>
          <w:szCs w:val="28"/>
        </w:rPr>
        <w:t xml:space="preserve">тісно пов’язаний із тривалістю виживання хворих із скНКР, що свідчить на користь цієї молекулярної сполуки, як </w:t>
      </w:r>
      <w:r w:rsidRPr="00360F22">
        <w:rPr>
          <w:rFonts w:ascii="Times New Roman" w:hAnsi="Times New Roman"/>
          <w:color w:val="000000"/>
          <w:sz w:val="28"/>
          <w:szCs w:val="28"/>
        </w:rPr>
        <w:t>прогност</w:t>
      </w:r>
      <w:r>
        <w:rPr>
          <w:rFonts w:ascii="Times New Roman" w:hAnsi="Times New Roman"/>
          <w:color w:val="000000"/>
          <w:sz w:val="28"/>
          <w:szCs w:val="28"/>
        </w:rPr>
        <w:t>ичного</w:t>
      </w:r>
      <w:r w:rsidRPr="00360F22">
        <w:rPr>
          <w:rFonts w:ascii="Times New Roman" w:hAnsi="Times New Roman"/>
          <w:color w:val="000000"/>
          <w:sz w:val="28"/>
          <w:szCs w:val="28"/>
        </w:rPr>
        <w:t xml:space="preserve"> </w:t>
      </w:r>
      <w:r>
        <w:rPr>
          <w:rFonts w:ascii="Times New Roman" w:hAnsi="Times New Roman"/>
          <w:color w:val="000000"/>
          <w:sz w:val="28"/>
          <w:szCs w:val="28"/>
        </w:rPr>
        <w:t xml:space="preserve">біомаркеру НКР: </w:t>
      </w:r>
      <w:r w:rsidRPr="00360F22">
        <w:rPr>
          <w:rFonts w:ascii="Times New Roman" w:hAnsi="Times New Roman"/>
          <w:color w:val="000000"/>
          <w:sz w:val="28"/>
          <w:szCs w:val="28"/>
        </w:rPr>
        <w:t xml:space="preserve">5-річне </w:t>
      </w:r>
      <w:r>
        <w:rPr>
          <w:rFonts w:ascii="Times New Roman" w:hAnsi="Times New Roman"/>
          <w:color w:val="000000"/>
          <w:sz w:val="28"/>
          <w:szCs w:val="28"/>
          <w:lang w:val="en-US"/>
        </w:rPr>
        <w:t>CSS</w:t>
      </w:r>
      <w:r w:rsidRPr="00360F22">
        <w:rPr>
          <w:rFonts w:ascii="Times New Roman" w:hAnsi="Times New Roman"/>
          <w:color w:val="000000"/>
          <w:sz w:val="28"/>
          <w:szCs w:val="28"/>
        </w:rPr>
        <w:t xml:space="preserve"> у хворих із НКР та рівнем тканинної експресії міР-15а ≤0,10 УО </w:t>
      </w:r>
      <w:r>
        <w:rPr>
          <w:rFonts w:ascii="Times New Roman" w:hAnsi="Times New Roman"/>
          <w:color w:val="000000"/>
          <w:sz w:val="28"/>
          <w:szCs w:val="28"/>
        </w:rPr>
        <w:t>є</w:t>
      </w:r>
      <w:r w:rsidRPr="00360F22">
        <w:rPr>
          <w:rFonts w:ascii="Times New Roman" w:hAnsi="Times New Roman"/>
          <w:color w:val="000000"/>
          <w:sz w:val="28"/>
          <w:szCs w:val="28"/>
        </w:rPr>
        <w:t xml:space="preserve"> </w:t>
      </w:r>
      <w:r>
        <w:rPr>
          <w:rFonts w:ascii="Times New Roman" w:hAnsi="Times New Roman"/>
          <w:color w:val="000000"/>
          <w:sz w:val="28"/>
          <w:szCs w:val="28"/>
        </w:rPr>
        <w:t>суттєво</w:t>
      </w:r>
      <w:r w:rsidRPr="00360F22">
        <w:rPr>
          <w:rFonts w:ascii="Times New Roman" w:hAnsi="Times New Roman"/>
          <w:color w:val="000000"/>
          <w:sz w:val="28"/>
          <w:szCs w:val="28"/>
        </w:rPr>
        <w:t xml:space="preserve"> </w:t>
      </w:r>
      <w:r>
        <w:rPr>
          <w:rFonts w:ascii="Times New Roman" w:hAnsi="Times New Roman"/>
          <w:color w:val="000000"/>
          <w:sz w:val="28"/>
          <w:szCs w:val="28"/>
        </w:rPr>
        <w:t>тривалішим</w:t>
      </w:r>
      <w:r w:rsidRPr="00360F22">
        <w:rPr>
          <w:rFonts w:ascii="Times New Roman" w:hAnsi="Times New Roman"/>
          <w:color w:val="000000"/>
          <w:sz w:val="28"/>
          <w:szCs w:val="28"/>
        </w:rPr>
        <w:t>, ніж у хворих із рі</w:t>
      </w:r>
      <w:r>
        <w:rPr>
          <w:rFonts w:ascii="Times New Roman" w:hAnsi="Times New Roman"/>
          <w:color w:val="000000"/>
          <w:sz w:val="28"/>
          <w:szCs w:val="28"/>
        </w:rPr>
        <w:t>внем експресії &gt;0,10 УО і складають</w:t>
      </w:r>
      <w:r w:rsidRPr="00360F22">
        <w:rPr>
          <w:rFonts w:ascii="Times New Roman" w:hAnsi="Times New Roman"/>
          <w:color w:val="000000"/>
          <w:sz w:val="28"/>
          <w:szCs w:val="28"/>
        </w:rPr>
        <w:t xml:space="preserve"> 92,31% та 54,8% </w:t>
      </w:r>
      <w:r>
        <w:rPr>
          <w:rFonts w:ascii="Times New Roman" w:hAnsi="Times New Roman"/>
          <w:color w:val="000000"/>
          <w:sz w:val="28"/>
          <w:szCs w:val="28"/>
        </w:rPr>
        <w:t xml:space="preserve"> відповідно </w:t>
      </w:r>
      <w:r w:rsidRPr="00001C78">
        <w:rPr>
          <w:rFonts w:ascii="Times New Roman" w:eastAsia="Times New Roman" w:hAnsi="Times New Roman"/>
          <w:sz w:val="28"/>
          <w:szCs w:val="28"/>
          <w:lang w:eastAsia="uk-UA"/>
        </w:rPr>
        <w:t>(</w:t>
      </w:r>
      <w:r w:rsidRPr="00001C78">
        <w:rPr>
          <w:rFonts w:ascii="Times New Roman" w:hAnsi="Times New Roman"/>
          <w:sz w:val="28"/>
          <w:szCs w:val="28"/>
        </w:rPr>
        <w:t>р&lt;0,001)</w:t>
      </w:r>
      <w:r w:rsidRPr="00001C78">
        <w:rPr>
          <w:rFonts w:ascii="Times New Roman" w:eastAsia="Times New Roman" w:hAnsi="Times New Roman"/>
          <w:sz w:val="28"/>
          <w:szCs w:val="28"/>
          <w:lang w:eastAsia="uk-UA"/>
        </w:rPr>
        <w:t>.</w:t>
      </w:r>
      <w:r w:rsidRPr="00360F22">
        <w:rPr>
          <w:rFonts w:ascii="Times New Roman" w:hAnsi="Times New Roman"/>
          <w:color w:val="000000"/>
          <w:sz w:val="28"/>
          <w:szCs w:val="28"/>
        </w:rPr>
        <w:t xml:space="preserve"> </w:t>
      </w:r>
      <w:r>
        <w:rPr>
          <w:rFonts w:ascii="Times New Roman" w:hAnsi="Times New Roman"/>
          <w:sz w:val="28"/>
          <w:szCs w:val="28"/>
        </w:rPr>
        <w:t>О</w:t>
      </w:r>
      <w:r w:rsidRPr="00001C78">
        <w:rPr>
          <w:rFonts w:ascii="Times New Roman" w:hAnsi="Times New Roman"/>
          <w:sz w:val="28"/>
          <w:szCs w:val="28"/>
        </w:rPr>
        <w:t xml:space="preserve">тримано сильний </w:t>
      </w:r>
      <w:r>
        <w:rPr>
          <w:rFonts w:ascii="Times New Roman" w:hAnsi="Times New Roman"/>
          <w:color w:val="000000" w:themeColor="text1"/>
          <w:sz w:val="28"/>
          <w:szCs w:val="28"/>
        </w:rPr>
        <w:t>зв</w:t>
      </w:r>
      <w:r w:rsidRPr="003A0FD4">
        <w:rPr>
          <w:rFonts w:ascii="Times New Roman" w:hAnsi="Times New Roman"/>
          <w:color w:val="000000" w:themeColor="text1"/>
          <w:sz w:val="28"/>
          <w:szCs w:val="28"/>
        </w:rPr>
        <w:t>оротній</w:t>
      </w:r>
      <w:r w:rsidRPr="00001C78">
        <w:rPr>
          <w:rFonts w:ascii="Times New Roman" w:hAnsi="Times New Roman"/>
          <w:sz w:val="28"/>
          <w:szCs w:val="28"/>
        </w:rPr>
        <w:t xml:space="preserve"> кореляційний зв'язок між тривалістю виживання та </w:t>
      </w:r>
      <w:r>
        <w:rPr>
          <w:rFonts w:ascii="Times New Roman" w:hAnsi="Times New Roman"/>
          <w:sz w:val="28"/>
          <w:szCs w:val="28"/>
        </w:rPr>
        <w:t xml:space="preserve">тканинною експресією міРНК-15а </w:t>
      </w:r>
      <w:r w:rsidRPr="00001C78">
        <w:rPr>
          <w:rFonts w:ascii="Times New Roman" w:hAnsi="Times New Roman"/>
          <w:sz w:val="28"/>
          <w:szCs w:val="28"/>
        </w:rPr>
        <w:t>(</w:t>
      </w:r>
      <w:r w:rsidRPr="00001C78">
        <w:rPr>
          <w:rFonts w:ascii="Times New Roman" w:hAnsi="Times New Roman"/>
          <w:sz w:val="28"/>
          <w:szCs w:val="28"/>
          <w:lang w:val="en-US"/>
        </w:rPr>
        <w:t>r</w:t>
      </w:r>
      <w:r>
        <w:rPr>
          <w:rFonts w:ascii="Times New Roman" w:hAnsi="Times New Roman"/>
          <w:sz w:val="28"/>
          <w:szCs w:val="28"/>
        </w:rPr>
        <w:t xml:space="preserve">= -0,805, р&lt;0,001). </w:t>
      </w:r>
      <w:r>
        <w:rPr>
          <w:rFonts w:ascii="Times New Roman" w:hAnsi="Times New Roman"/>
          <w:color w:val="000000"/>
          <w:sz w:val="28"/>
          <w:szCs w:val="28"/>
        </w:rPr>
        <w:t>Наведені</w:t>
      </w:r>
      <w:r w:rsidRPr="00360F22">
        <w:rPr>
          <w:rFonts w:ascii="Times New Roman" w:hAnsi="Times New Roman"/>
          <w:color w:val="000000"/>
          <w:sz w:val="28"/>
          <w:szCs w:val="28"/>
        </w:rPr>
        <w:t xml:space="preserve"> дані опосередковано доводять онкогенну роль надекспресії </w:t>
      </w:r>
      <w:r w:rsidRPr="00001C78">
        <w:rPr>
          <w:rFonts w:ascii="Times New Roman" w:hAnsi="Times New Roman"/>
          <w:sz w:val="28"/>
          <w:szCs w:val="28"/>
        </w:rPr>
        <w:t xml:space="preserve">міРНК-15а </w:t>
      </w:r>
      <w:r w:rsidRPr="00360F22">
        <w:rPr>
          <w:rFonts w:ascii="Times New Roman" w:hAnsi="Times New Roman"/>
          <w:color w:val="000000"/>
          <w:sz w:val="28"/>
          <w:szCs w:val="28"/>
        </w:rPr>
        <w:t xml:space="preserve">в патогенезі </w:t>
      </w:r>
      <w:r>
        <w:rPr>
          <w:rFonts w:ascii="Times New Roman" w:hAnsi="Times New Roman"/>
          <w:color w:val="000000"/>
          <w:sz w:val="28"/>
          <w:szCs w:val="28"/>
        </w:rPr>
        <w:t xml:space="preserve">раку нирки. </w:t>
      </w:r>
    </w:p>
    <w:p w:rsidR="00AC6827" w:rsidRDefault="00AC6827" w:rsidP="00AC6827">
      <w:pPr>
        <w:spacing w:line="360" w:lineRule="auto"/>
        <w:ind w:firstLine="708"/>
        <w:jc w:val="both"/>
        <w:rPr>
          <w:rFonts w:ascii="Times New Roman" w:hAnsi="Times New Roman"/>
          <w:sz w:val="28"/>
          <w:szCs w:val="28"/>
        </w:rPr>
      </w:pPr>
      <w:r>
        <w:rPr>
          <w:rFonts w:ascii="Times New Roman" w:hAnsi="Times New Roman"/>
          <w:sz w:val="28"/>
          <w:szCs w:val="28"/>
        </w:rPr>
        <w:t>7</w:t>
      </w:r>
      <w:r w:rsidRPr="00001C78">
        <w:rPr>
          <w:rFonts w:ascii="Times New Roman" w:hAnsi="Times New Roman"/>
          <w:sz w:val="28"/>
          <w:szCs w:val="28"/>
        </w:rPr>
        <w:t xml:space="preserve">. </w:t>
      </w:r>
      <w:r w:rsidRPr="003A0FD4">
        <w:rPr>
          <w:rFonts w:ascii="Times New Roman" w:hAnsi="Times New Roman"/>
          <w:color w:val="000000" w:themeColor="text1"/>
          <w:sz w:val="28"/>
          <w:szCs w:val="28"/>
        </w:rPr>
        <w:t>Розроблена поліноміальна модель регресії, до якої включено комбінацію шести променевих характеристик НКР, дозволяє достовірно прогнозувати рівень тканинної експресії міР-15а (</w:t>
      </w:r>
      <w:r w:rsidRPr="003A0FD4">
        <w:rPr>
          <w:rFonts w:ascii="Times New Roman" w:hAnsi="Times New Roman"/>
          <w:color w:val="000000" w:themeColor="text1"/>
          <w:sz w:val="28"/>
          <w:szCs w:val="28"/>
          <w:lang w:val="en-US"/>
        </w:rPr>
        <w:t>R</w:t>
      </w:r>
      <w:r w:rsidRPr="003A0FD4">
        <w:rPr>
          <w:rFonts w:ascii="Times New Roman" w:hAnsi="Times New Roman"/>
          <w:color w:val="000000" w:themeColor="text1"/>
          <w:sz w:val="28"/>
          <w:szCs w:val="28"/>
          <w:vertAlign w:val="superscript"/>
        </w:rPr>
        <w:t>2</w:t>
      </w:r>
      <w:r w:rsidRPr="003A0FD4">
        <w:rPr>
          <w:rFonts w:ascii="Times New Roman" w:hAnsi="Times New Roman"/>
          <w:color w:val="000000" w:themeColor="text1"/>
          <w:sz w:val="28"/>
          <w:szCs w:val="28"/>
        </w:rPr>
        <w:t xml:space="preserve">=0,8336, р&lt;0,001), </w:t>
      </w:r>
      <w:r w:rsidR="00B02037">
        <w:rPr>
          <w:rFonts w:ascii="Times New Roman" w:hAnsi="Times New Roman"/>
          <w:color w:val="000000" w:themeColor="text1"/>
          <w:sz w:val="28"/>
          <w:szCs w:val="28"/>
        </w:rPr>
        <w:t>та</w:t>
      </w:r>
      <w:r w:rsidRPr="003A0FD4">
        <w:rPr>
          <w:rFonts w:ascii="Times New Roman" w:hAnsi="Times New Roman"/>
          <w:color w:val="000000" w:themeColor="text1"/>
          <w:sz w:val="28"/>
          <w:szCs w:val="28"/>
        </w:rPr>
        <w:t xml:space="preserve"> може бути використаною у якості сурогату експресії міР-15а, як прогностичний маркер розвитку НКР за відсутності молекулярних методів дослідження.</w:t>
      </w:r>
    </w:p>
    <w:p w:rsidR="00AC6827" w:rsidRPr="003A0FD4" w:rsidRDefault="00AC6827" w:rsidP="00AC6827">
      <w:pPr>
        <w:spacing w:line="360" w:lineRule="auto"/>
        <w:ind w:firstLine="708"/>
        <w:jc w:val="both"/>
        <w:rPr>
          <w:rFonts w:ascii="Times New Roman" w:hAnsi="Times New Roman"/>
          <w:sz w:val="28"/>
          <w:szCs w:val="28"/>
        </w:rPr>
      </w:pPr>
      <w:r>
        <w:rPr>
          <w:rFonts w:ascii="Times New Roman" w:hAnsi="Times New Roman"/>
          <w:sz w:val="28"/>
          <w:szCs w:val="28"/>
        </w:rPr>
        <w:t xml:space="preserve">8. </w:t>
      </w:r>
      <w:r w:rsidR="0089592C" w:rsidRPr="003072C2">
        <w:rPr>
          <w:rFonts w:ascii="Times New Roman" w:hAnsi="Times New Roman" w:cs="Times New Roman"/>
          <w:color w:val="000000" w:themeColor="text1"/>
          <w:sz w:val="28"/>
          <w:szCs w:val="28"/>
        </w:rPr>
        <w:t>Розроблені  на основі променевих та молекулярних біомаркерів НКР алгоритми діагностики та лікування і удосконалення інтегрованої прогностичної системи UISS шляхом диференціації випадків із проміжним прогнозом смертності на два додаткових варіанти ризику – низький проміжний (</w:t>
      </w:r>
      <w:r w:rsidR="0089592C" w:rsidRPr="003072C2">
        <w:rPr>
          <w:rFonts w:ascii="Times New Roman" w:hAnsi="Times New Roman" w:cs="Times New Roman"/>
          <w:color w:val="000000" w:themeColor="text1"/>
          <w:sz w:val="28"/>
          <w:szCs w:val="28"/>
          <w:lang w:val="en-US"/>
        </w:rPr>
        <w:t>CSS</w:t>
      </w:r>
      <w:r w:rsidR="0089592C" w:rsidRPr="003072C2">
        <w:rPr>
          <w:rFonts w:ascii="Times New Roman" w:hAnsi="Times New Roman" w:cs="Times New Roman"/>
          <w:color w:val="000000" w:themeColor="text1"/>
          <w:sz w:val="28"/>
          <w:szCs w:val="28"/>
        </w:rPr>
        <w:t xml:space="preserve">=92,31%) та високий проміжний (5-річне </w:t>
      </w:r>
      <w:r w:rsidR="0089592C" w:rsidRPr="003072C2">
        <w:rPr>
          <w:rFonts w:ascii="Times New Roman" w:hAnsi="Times New Roman" w:cs="Times New Roman"/>
          <w:color w:val="000000" w:themeColor="text1"/>
          <w:sz w:val="28"/>
          <w:szCs w:val="28"/>
          <w:lang w:val="en-US"/>
        </w:rPr>
        <w:t>CSS</w:t>
      </w:r>
      <w:r w:rsidR="0089592C" w:rsidRPr="003072C2">
        <w:rPr>
          <w:rFonts w:ascii="Times New Roman" w:hAnsi="Times New Roman" w:cs="Times New Roman"/>
          <w:color w:val="000000" w:themeColor="text1"/>
          <w:sz w:val="28"/>
          <w:szCs w:val="28"/>
        </w:rPr>
        <w:t>=54,8%) спрощують вибір та підвищують ефективність лікування.</w:t>
      </w:r>
    </w:p>
    <w:p w:rsidR="006A74D3" w:rsidRDefault="006A74D3" w:rsidP="00AC6827">
      <w:pPr>
        <w:autoSpaceDE w:val="0"/>
        <w:autoSpaceDN w:val="0"/>
        <w:adjustRightInd w:val="0"/>
        <w:spacing w:line="360" w:lineRule="auto"/>
        <w:jc w:val="both"/>
        <w:rPr>
          <w:rFonts w:ascii="Times New Roman" w:hAnsi="Times New Roman"/>
          <w:sz w:val="28"/>
          <w:szCs w:val="28"/>
        </w:rPr>
      </w:pPr>
    </w:p>
    <w:p w:rsidR="00001C78" w:rsidRPr="00001C78" w:rsidRDefault="00001C78" w:rsidP="00001C78">
      <w:pPr>
        <w:spacing w:line="360" w:lineRule="auto"/>
        <w:jc w:val="center"/>
        <w:rPr>
          <w:rFonts w:ascii="Times New Roman" w:hAnsi="Times New Roman" w:cs="Times New Roman"/>
          <w:b/>
          <w:sz w:val="28"/>
          <w:szCs w:val="28"/>
        </w:rPr>
      </w:pPr>
    </w:p>
    <w:p w:rsidR="00001C78" w:rsidRDefault="00001C78" w:rsidP="00613065">
      <w:pPr>
        <w:pStyle w:val="NoSpacing"/>
        <w:rPr>
          <w:rFonts w:ascii="Times New Roman" w:hAnsi="Times New Roman" w:cs="Times New Roman"/>
          <w:sz w:val="28"/>
          <w:szCs w:val="28"/>
        </w:rPr>
      </w:pPr>
    </w:p>
    <w:p w:rsidR="0089592C" w:rsidRDefault="0089592C" w:rsidP="00613065">
      <w:pPr>
        <w:pStyle w:val="NoSpacing"/>
        <w:rPr>
          <w:rFonts w:ascii="Times New Roman" w:hAnsi="Times New Roman" w:cs="Times New Roman"/>
          <w:sz w:val="28"/>
          <w:szCs w:val="28"/>
        </w:rPr>
      </w:pPr>
    </w:p>
    <w:p w:rsidR="0089592C" w:rsidRDefault="0089592C" w:rsidP="00613065">
      <w:pPr>
        <w:pStyle w:val="NoSpacing"/>
        <w:rPr>
          <w:rFonts w:ascii="Times New Roman" w:hAnsi="Times New Roman" w:cs="Times New Roman"/>
          <w:sz w:val="28"/>
          <w:szCs w:val="28"/>
        </w:rPr>
      </w:pPr>
    </w:p>
    <w:p w:rsidR="0089592C" w:rsidRDefault="0089592C" w:rsidP="00613065">
      <w:pPr>
        <w:pStyle w:val="NoSpacing"/>
        <w:rPr>
          <w:rFonts w:ascii="Times New Roman" w:hAnsi="Times New Roman" w:cs="Times New Roman"/>
          <w:sz w:val="28"/>
          <w:szCs w:val="28"/>
        </w:rPr>
      </w:pPr>
    </w:p>
    <w:p w:rsidR="006A74D3" w:rsidRDefault="006A74D3" w:rsidP="00001C78">
      <w:pPr>
        <w:jc w:val="center"/>
        <w:rPr>
          <w:rFonts w:ascii="Times New Roman" w:hAnsi="Times New Roman" w:cs="Times New Roman"/>
          <w:b/>
          <w:sz w:val="28"/>
          <w:szCs w:val="28"/>
        </w:rPr>
      </w:pPr>
    </w:p>
    <w:p w:rsidR="00001C78" w:rsidRDefault="00001C78" w:rsidP="00001C78">
      <w:pPr>
        <w:jc w:val="center"/>
        <w:rPr>
          <w:rFonts w:ascii="Times New Roman" w:hAnsi="Times New Roman" w:cs="Times New Roman"/>
          <w:b/>
          <w:sz w:val="28"/>
          <w:szCs w:val="28"/>
        </w:rPr>
      </w:pPr>
      <w:r w:rsidRPr="00D66667">
        <w:rPr>
          <w:rFonts w:ascii="Times New Roman" w:hAnsi="Times New Roman" w:cs="Times New Roman"/>
          <w:b/>
          <w:sz w:val="28"/>
          <w:szCs w:val="28"/>
        </w:rPr>
        <w:lastRenderedPageBreak/>
        <w:t>ПРАКТИЧНІ РЕКОМЕНДАЦІЇ</w:t>
      </w:r>
    </w:p>
    <w:p w:rsidR="00001C78" w:rsidRDefault="00001C78" w:rsidP="00001C78">
      <w:pPr>
        <w:jc w:val="both"/>
        <w:rPr>
          <w:rFonts w:ascii="Times New Roman" w:hAnsi="Times New Roman" w:cs="Times New Roman"/>
          <w:b/>
          <w:sz w:val="28"/>
          <w:szCs w:val="28"/>
        </w:rPr>
      </w:pPr>
    </w:p>
    <w:p w:rsidR="006A74D3" w:rsidRDefault="00001C78" w:rsidP="006A74D3">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cs="Times New Roman"/>
          <w:sz w:val="28"/>
          <w:szCs w:val="28"/>
        </w:rPr>
        <w:t xml:space="preserve">Для підвищення точності діагностики та диференціації НКР на доопераційному етапі є рекомендованим включити послідовність дифузійно-зважених зображень МРТ із визначенням вимірюваного коефіцієнта дифузії (із </w:t>
      </w:r>
      <w:r w:rsidRPr="006A74D3">
        <w:rPr>
          <w:rFonts w:ascii="Times New Roman" w:hAnsi="Times New Roman" w:cs="Times New Roman"/>
          <w:sz w:val="28"/>
          <w:szCs w:val="28"/>
          <w:lang w:val="en-US"/>
        </w:rPr>
        <w:t>b</w:t>
      </w:r>
      <w:r w:rsidRPr="006A74D3">
        <w:rPr>
          <w:rFonts w:ascii="Times New Roman" w:hAnsi="Times New Roman" w:cs="Times New Roman"/>
          <w:sz w:val="28"/>
          <w:szCs w:val="28"/>
        </w:rPr>
        <w:t>-значенням 0,800 сек</w:t>
      </w:r>
      <w:r w:rsidRPr="006A74D3">
        <w:rPr>
          <w:rFonts w:ascii="Times New Roman" w:eastAsiaTheme="minorEastAsia" w:hAnsi="Times New Roman" w:cs="Times New Roman"/>
          <w:sz w:val="28"/>
          <w:szCs w:val="28"/>
        </w:rPr>
        <w:t>/мм</w:t>
      </w:r>
      <w:r w:rsidRPr="006A74D3">
        <w:rPr>
          <w:rFonts w:ascii="Times New Roman" w:eastAsiaTheme="minorEastAsia" w:hAnsi="Times New Roman" w:cs="Times New Roman"/>
          <w:sz w:val="28"/>
          <w:szCs w:val="28"/>
          <w:vertAlign w:val="superscript"/>
        </w:rPr>
        <w:t>2</w:t>
      </w:r>
      <w:r w:rsidRPr="006A74D3">
        <w:rPr>
          <w:rFonts w:ascii="Times New Roman" w:eastAsiaTheme="minorEastAsia" w:hAnsi="Times New Roman" w:cs="Times New Roman"/>
          <w:sz w:val="28"/>
          <w:szCs w:val="28"/>
        </w:rPr>
        <w:t>)</w:t>
      </w:r>
      <w:r w:rsidRPr="006A74D3">
        <w:rPr>
          <w:rFonts w:ascii="Times New Roman" w:hAnsi="Times New Roman" w:cs="Times New Roman"/>
          <w:sz w:val="28"/>
          <w:szCs w:val="28"/>
        </w:rPr>
        <w:t xml:space="preserve"> у стандартний протокол сканування черевної порожнини, а показник ВКД пухлини наводити у радіологічному заключенні; при проведенні КТ із цією ж метою наводити показники інтенсивності сигналу новоутворення та відношення променевої щільності пухлини до нормальної паренхіми для кожної з фаз. Для інтерпретації показників променевих біомаркерів НКР можна користуватись наведеними нижче параметрами. При малих ниркових новоутвореннях 95% ДІ для вимірюваного коефіцієнта дифузії при солідному НРК становить </w:t>
      </w:r>
      <w:r w:rsidRPr="006A74D3">
        <w:rPr>
          <w:rFonts w:ascii="Times New Roman" w:hAnsi="Times New Roman"/>
          <w:sz w:val="28"/>
          <w:szCs w:val="28"/>
        </w:rPr>
        <w:t>1,64-1,72</w:t>
      </w:r>
      <w:r w:rsidRPr="006A74D3">
        <w:rPr>
          <w:rFonts w:ascii="Times New Roman" w:hAnsi="Times New Roman" w:cs="Times New Roman"/>
          <w:sz w:val="28"/>
          <w:szCs w:val="28"/>
        </w:rPr>
        <w:t>×</w:t>
      </w:r>
      <w:r w:rsidRPr="006A74D3">
        <w:rPr>
          <w:rFonts w:ascii="Times New Roman" w:hAnsi="Times New Roman"/>
          <w:sz w:val="28"/>
          <w:szCs w:val="28"/>
        </w:rPr>
        <w:t>10</w:t>
      </w:r>
      <w:r w:rsidRPr="006A74D3">
        <w:rPr>
          <w:rFonts w:ascii="Times New Roman" w:hAnsi="Times New Roman"/>
          <w:sz w:val="28"/>
          <w:szCs w:val="28"/>
          <w:vertAlign w:val="superscript"/>
        </w:rPr>
        <w:t>-3</w:t>
      </w:r>
      <w:r w:rsidRPr="006A74D3">
        <w:rPr>
          <w:rFonts w:ascii="Times New Roman" w:hAnsi="Times New Roman"/>
          <w:sz w:val="28"/>
          <w:szCs w:val="28"/>
        </w:rPr>
        <w:t xml:space="preserve"> мм</w:t>
      </w:r>
      <w:r w:rsidRPr="006A74D3">
        <w:rPr>
          <w:rFonts w:ascii="Times New Roman" w:hAnsi="Times New Roman"/>
          <w:sz w:val="28"/>
          <w:szCs w:val="28"/>
          <w:vertAlign w:val="superscript"/>
        </w:rPr>
        <w:t>2</w:t>
      </w:r>
      <w:r w:rsidRPr="006A74D3">
        <w:rPr>
          <w:rFonts w:ascii="Times New Roman" w:hAnsi="Times New Roman"/>
          <w:sz w:val="28"/>
          <w:szCs w:val="28"/>
        </w:rPr>
        <w:t>/с, а для доброякісних пухлин нирок – 1,91-2,46</w:t>
      </w:r>
      <w:r w:rsidRPr="006A74D3">
        <w:rPr>
          <w:rFonts w:ascii="Times New Roman" w:hAnsi="Times New Roman" w:cs="Times New Roman"/>
          <w:sz w:val="28"/>
          <w:szCs w:val="28"/>
        </w:rPr>
        <w:t>×</w:t>
      </w:r>
      <w:r w:rsidRPr="006A74D3">
        <w:rPr>
          <w:rFonts w:ascii="Times New Roman" w:hAnsi="Times New Roman"/>
          <w:sz w:val="28"/>
          <w:szCs w:val="28"/>
        </w:rPr>
        <w:t>10</w:t>
      </w:r>
      <w:r w:rsidRPr="006A74D3">
        <w:rPr>
          <w:rFonts w:ascii="Times New Roman" w:hAnsi="Times New Roman"/>
          <w:sz w:val="28"/>
          <w:szCs w:val="28"/>
          <w:vertAlign w:val="superscript"/>
        </w:rPr>
        <w:t>-3</w:t>
      </w:r>
      <w:r w:rsidRPr="006A74D3">
        <w:rPr>
          <w:rFonts w:ascii="Times New Roman" w:hAnsi="Times New Roman"/>
          <w:sz w:val="28"/>
          <w:szCs w:val="28"/>
        </w:rPr>
        <w:t xml:space="preserve"> мм</w:t>
      </w:r>
      <w:r w:rsidRPr="006A74D3">
        <w:rPr>
          <w:rFonts w:ascii="Times New Roman" w:hAnsi="Times New Roman"/>
          <w:sz w:val="28"/>
          <w:szCs w:val="28"/>
          <w:vertAlign w:val="superscript"/>
        </w:rPr>
        <w:t>2</w:t>
      </w:r>
      <w:r w:rsidRPr="006A74D3">
        <w:rPr>
          <w:rFonts w:ascii="Times New Roman" w:hAnsi="Times New Roman"/>
          <w:sz w:val="28"/>
          <w:szCs w:val="28"/>
        </w:rPr>
        <w:t xml:space="preserve">/с; 95% ДІ для ВПЩ пухлини до нормальної ниркової паренхіми екскреторної фази КТ при НКР складає 0,83-0,92, для доброякісних пухлин нирок – 0,60-0,78. При пухлинах нирок розміром &gt;4 см у найбільшому вимірі, </w:t>
      </w:r>
      <w:r w:rsidRPr="006A74D3">
        <w:rPr>
          <w:rFonts w:ascii="Times New Roman" w:hAnsi="Times New Roman" w:cs="Times New Roman"/>
          <w:sz w:val="28"/>
          <w:szCs w:val="28"/>
        </w:rPr>
        <w:t xml:space="preserve">95% ДІ для вимірюваного коефіцієнта дифузії при солідному НРК становить </w:t>
      </w:r>
      <w:r w:rsidRPr="006A74D3">
        <w:rPr>
          <w:rFonts w:ascii="Times New Roman" w:hAnsi="Times New Roman"/>
          <w:sz w:val="28"/>
          <w:szCs w:val="28"/>
        </w:rPr>
        <w:t>1,64-1,72</w:t>
      </w:r>
      <w:r w:rsidRPr="006A74D3">
        <w:rPr>
          <w:rFonts w:ascii="Times New Roman" w:hAnsi="Times New Roman" w:cs="Times New Roman"/>
          <w:sz w:val="28"/>
          <w:szCs w:val="28"/>
        </w:rPr>
        <w:t>×</w:t>
      </w:r>
      <w:r w:rsidRPr="006A74D3">
        <w:rPr>
          <w:rFonts w:ascii="Times New Roman" w:hAnsi="Times New Roman"/>
          <w:sz w:val="28"/>
          <w:szCs w:val="28"/>
        </w:rPr>
        <w:t>10</w:t>
      </w:r>
      <w:r w:rsidRPr="006A74D3">
        <w:rPr>
          <w:rFonts w:ascii="Times New Roman" w:hAnsi="Times New Roman"/>
          <w:sz w:val="28"/>
          <w:szCs w:val="28"/>
          <w:vertAlign w:val="superscript"/>
        </w:rPr>
        <w:t>-3</w:t>
      </w:r>
      <w:r w:rsidRPr="006A74D3">
        <w:rPr>
          <w:rFonts w:ascii="Times New Roman" w:hAnsi="Times New Roman"/>
          <w:sz w:val="28"/>
          <w:szCs w:val="28"/>
        </w:rPr>
        <w:t xml:space="preserve"> мм</w:t>
      </w:r>
      <w:r w:rsidRPr="006A74D3">
        <w:rPr>
          <w:rFonts w:ascii="Times New Roman" w:hAnsi="Times New Roman"/>
          <w:sz w:val="28"/>
          <w:szCs w:val="28"/>
          <w:vertAlign w:val="superscript"/>
        </w:rPr>
        <w:t>2</w:t>
      </w:r>
      <w:r w:rsidRPr="006A74D3">
        <w:rPr>
          <w:rFonts w:ascii="Times New Roman" w:hAnsi="Times New Roman"/>
          <w:sz w:val="28"/>
          <w:szCs w:val="28"/>
        </w:rPr>
        <w:t>/с, а для доброякісних пухлин нирок – 2,04-2,13</w:t>
      </w:r>
      <w:r w:rsidRPr="006A74D3">
        <w:rPr>
          <w:rFonts w:ascii="Times New Roman" w:hAnsi="Times New Roman" w:cs="Times New Roman"/>
          <w:sz w:val="28"/>
          <w:szCs w:val="28"/>
        </w:rPr>
        <w:t>×</w:t>
      </w:r>
      <w:r w:rsidRPr="006A74D3">
        <w:rPr>
          <w:rFonts w:ascii="Times New Roman" w:hAnsi="Times New Roman"/>
          <w:sz w:val="28"/>
          <w:szCs w:val="28"/>
        </w:rPr>
        <w:t>10</w:t>
      </w:r>
      <w:r w:rsidRPr="006A74D3">
        <w:rPr>
          <w:rFonts w:ascii="Times New Roman" w:hAnsi="Times New Roman"/>
          <w:sz w:val="28"/>
          <w:szCs w:val="28"/>
          <w:vertAlign w:val="superscript"/>
        </w:rPr>
        <w:t>-3</w:t>
      </w:r>
      <w:r w:rsidRPr="006A74D3">
        <w:rPr>
          <w:rFonts w:ascii="Times New Roman" w:hAnsi="Times New Roman"/>
          <w:sz w:val="28"/>
          <w:szCs w:val="28"/>
        </w:rPr>
        <w:t xml:space="preserve"> мм</w:t>
      </w:r>
      <w:r w:rsidRPr="006A74D3">
        <w:rPr>
          <w:rFonts w:ascii="Times New Roman" w:hAnsi="Times New Roman"/>
          <w:sz w:val="28"/>
          <w:szCs w:val="28"/>
          <w:vertAlign w:val="superscript"/>
        </w:rPr>
        <w:t>2</w:t>
      </w:r>
      <w:r w:rsidRPr="006A74D3">
        <w:rPr>
          <w:rFonts w:ascii="Times New Roman" w:hAnsi="Times New Roman"/>
          <w:sz w:val="28"/>
          <w:szCs w:val="28"/>
        </w:rPr>
        <w:t xml:space="preserve">/с; 95% ДІ для променевої щільності пухлини екскреторної фази КТ при НКР складає 69,46-73,92 </w:t>
      </w:r>
      <w:r w:rsidRPr="006A74D3">
        <w:rPr>
          <w:rFonts w:ascii="Times New Roman" w:hAnsi="Times New Roman"/>
          <w:sz w:val="28"/>
          <w:szCs w:val="28"/>
          <w:lang w:val="en-US"/>
        </w:rPr>
        <w:t>HU</w:t>
      </w:r>
      <w:r w:rsidRPr="006A74D3">
        <w:rPr>
          <w:rFonts w:ascii="Times New Roman" w:hAnsi="Times New Roman"/>
          <w:sz w:val="28"/>
          <w:szCs w:val="28"/>
        </w:rPr>
        <w:t xml:space="preserve">, для доброякісних пухлин нирок – 53,63-66,37 </w:t>
      </w:r>
      <w:r w:rsidRPr="006A74D3">
        <w:rPr>
          <w:rFonts w:ascii="Times New Roman" w:hAnsi="Times New Roman"/>
          <w:sz w:val="28"/>
          <w:szCs w:val="28"/>
          <w:lang w:val="en-US"/>
        </w:rPr>
        <w:t>HU</w:t>
      </w:r>
      <w:r w:rsidRPr="006A74D3">
        <w:rPr>
          <w:rFonts w:ascii="Times New Roman" w:hAnsi="Times New Roman"/>
          <w:sz w:val="28"/>
          <w:szCs w:val="28"/>
        </w:rPr>
        <w:t xml:space="preserve">. Більш простішим способом диференціації НКР та доброякісних пухлин нирок є користування розробленими нами діагностичними алгоритмами. </w:t>
      </w:r>
    </w:p>
    <w:p w:rsidR="006A74D3" w:rsidRDefault="00001C78" w:rsidP="006A74D3">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sz w:val="28"/>
          <w:szCs w:val="28"/>
        </w:rPr>
        <w:t xml:space="preserve">Для доопераційного, неінвазійного визначення гістологічного підтипу НКР та його </w:t>
      </w:r>
      <w:r w:rsidR="00B02037">
        <w:rPr>
          <w:rFonts w:ascii="Times New Roman" w:hAnsi="Times New Roman"/>
          <w:sz w:val="28"/>
          <w:szCs w:val="28"/>
        </w:rPr>
        <w:t>ступеня</w:t>
      </w:r>
      <w:r w:rsidRPr="006A74D3">
        <w:rPr>
          <w:rFonts w:ascii="Times New Roman" w:hAnsi="Times New Roman"/>
          <w:sz w:val="28"/>
          <w:szCs w:val="28"/>
        </w:rPr>
        <w:t xml:space="preserve"> за </w:t>
      </w:r>
      <w:r w:rsidRPr="006A74D3">
        <w:rPr>
          <w:rFonts w:ascii="Times New Roman" w:hAnsi="Times New Roman"/>
          <w:sz w:val="28"/>
          <w:szCs w:val="28"/>
          <w:lang w:val="en-US"/>
        </w:rPr>
        <w:t>Fuhrman</w:t>
      </w:r>
      <w:r w:rsidRPr="006A74D3">
        <w:rPr>
          <w:rFonts w:ascii="Times New Roman" w:hAnsi="Times New Roman"/>
          <w:sz w:val="28"/>
          <w:szCs w:val="28"/>
        </w:rPr>
        <w:t>, що є обов’язковим перед виконанням термічної абляції новоутворення та особливо важливим для стратифікації хворих із протипоказами до оперативного лікування у групу активного спостереження, слід виконувати «променеву біопсію» згідно запропонованого нами методу із застосуванням ВКД дифузійно</w:t>
      </w:r>
      <w:r w:rsidRPr="006A74D3">
        <w:rPr>
          <w:rFonts w:ascii="Times New Roman" w:hAnsi="Times New Roman" w:cs="Times New Roman"/>
          <w:sz w:val="28"/>
          <w:szCs w:val="28"/>
        </w:rPr>
        <w:t xml:space="preserve">-зважених </w:t>
      </w:r>
      <w:r w:rsidRPr="006A74D3">
        <w:rPr>
          <w:rFonts w:ascii="Times New Roman" w:hAnsi="Times New Roman" w:cs="Times New Roman"/>
          <w:sz w:val="28"/>
          <w:szCs w:val="28"/>
        </w:rPr>
        <w:lastRenderedPageBreak/>
        <w:t xml:space="preserve">зображень МРТ із </w:t>
      </w:r>
      <w:r w:rsidRPr="006A74D3">
        <w:rPr>
          <w:rFonts w:ascii="Times New Roman" w:hAnsi="Times New Roman" w:cs="Times New Roman"/>
          <w:sz w:val="28"/>
          <w:szCs w:val="28"/>
          <w:lang w:val="en-US"/>
        </w:rPr>
        <w:t>b</w:t>
      </w:r>
      <w:r w:rsidRPr="006A74D3">
        <w:rPr>
          <w:rFonts w:ascii="Times New Roman" w:hAnsi="Times New Roman" w:cs="Times New Roman"/>
          <w:sz w:val="28"/>
          <w:szCs w:val="28"/>
        </w:rPr>
        <w:t>-значенням 0,800 сек</w:t>
      </w:r>
      <w:r w:rsidRPr="006A74D3">
        <w:rPr>
          <w:rFonts w:ascii="Times New Roman" w:eastAsiaTheme="minorEastAsia" w:hAnsi="Times New Roman" w:cs="Times New Roman"/>
          <w:sz w:val="28"/>
          <w:szCs w:val="28"/>
        </w:rPr>
        <w:t>/мм</w:t>
      </w:r>
      <w:r w:rsidRPr="006A74D3">
        <w:rPr>
          <w:rFonts w:ascii="Times New Roman" w:eastAsiaTheme="minorEastAsia" w:hAnsi="Times New Roman" w:cs="Times New Roman"/>
          <w:sz w:val="28"/>
          <w:szCs w:val="28"/>
          <w:vertAlign w:val="superscript"/>
        </w:rPr>
        <w:t>2</w:t>
      </w:r>
      <w:r w:rsidRPr="006A74D3">
        <w:rPr>
          <w:rFonts w:ascii="Times New Roman" w:eastAsiaTheme="minorEastAsia" w:hAnsi="Times New Roman" w:cs="Times New Roman"/>
          <w:sz w:val="28"/>
          <w:szCs w:val="28"/>
        </w:rPr>
        <w:t xml:space="preserve">. </w:t>
      </w:r>
      <w:r w:rsidRPr="006A74D3">
        <w:rPr>
          <w:rFonts w:ascii="Times New Roman" w:hAnsi="Times New Roman"/>
          <w:sz w:val="28"/>
          <w:szCs w:val="28"/>
        </w:rPr>
        <w:t xml:space="preserve">Інтерпретацію отриманих даних здійснювати згідно запропоновного алгоритму відповідно для </w:t>
      </w:r>
      <w:r w:rsidRPr="006A74D3">
        <w:rPr>
          <w:rFonts w:ascii="Times New Roman" w:hAnsi="Times New Roman"/>
          <w:sz w:val="28"/>
          <w:szCs w:val="28"/>
          <w:lang w:val="en-US"/>
        </w:rPr>
        <w:t>SRM</w:t>
      </w:r>
      <w:r w:rsidRPr="006A74D3">
        <w:rPr>
          <w:rFonts w:ascii="Times New Roman" w:hAnsi="Times New Roman"/>
          <w:sz w:val="28"/>
          <w:szCs w:val="28"/>
        </w:rPr>
        <w:t xml:space="preserve"> чи пухлин розміром </w:t>
      </w:r>
      <w:r w:rsidRPr="006A74D3">
        <w:rPr>
          <w:rFonts w:ascii="Times New Roman" w:hAnsi="Times New Roman"/>
          <w:sz w:val="28"/>
          <w:szCs w:val="28"/>
          <w:lang w:val="ru-RU"/>
        </w:rPr>
        <w:t>&gt;</w:t>
      </w:r>
      <w:r w:rsidRPr="006A74D3">
        <w:rPr>
          <w:rFonts w:ascii="Times New Roman" w:hAnsi="Times New Roman"/>
          <w:sz w:val="28"/>
          <w:szCs w:val="28"/>
        </w:rPr>
        <w:t>4 см.</w:t>
      </w:r>
    </w:p>
    <w:p w:rsidR="006A74D3" w:rsidRDefault="00001C78" w:rsidP="006A74D3">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cs="Times New Roman"/>
          <w:sz w:val="28"/>
          <w:szCs w:val="28"/>
        </w:rPr>
        <w:t xml:space="preserve">При підозрі на локальний рецидив НКР після парціальної нефректомії, виконання МРТ із послідовністю ДЗЗ (із </w:t>
      </w:r>
      <w:r w:rsidRPr="006A74D3">
        <w:rPr>
          <w:rFonts w:ascii="Times New Roman" w:hAnsi="Times New Roman" w:cs="Times New Roman"/>
          <w:sz w:val="28"/>
          <w:szCs w:val="28"/>
          <w:lang w:val="en-US"/>
        </w:rPr>
        <w:t>b</w:t>
      </w:r>
      <w:r w:rsidRPr="006A74D3">
        <w:rPr>
          <w:rFonts w:ascii="Times New Roman" w:hAnsi="Times New Roman" w:cs="Times New Roman"/>
          <w:sz w:val="28"/>
          <w:szCs w:val="28"/>
        </w:rPr>
        <w:t>-значенням 0,800 сек</w:t>
      </w:r>
      <w:r w:rsidRPr="006A74D3">
        <w:rPr>
          <w:rFonts w:ascii="Times New Roman" w:eastAsiaTheme="minorEastAsia" w:hAnsi="Times New Roman" w:cs="Times New Roman"/>
          <w:sz w:val="28"/>
          <w:szCs w:val="28"/>
        </w:rPr>
        <w:t>/мм</w:t>
      </w:r>
      <w:r w:rsidRPr="006A74D3">
        <w:rPr>
          <w:rFonts w:ascii="Times New Roman" w:eastAsiaTheme="minorEastAsia" w:hAnsi="Times New Roman" w:cs="Times New Roman"/>
          <w:sz w:val="28"/>
          <w:szCs w:val="28"/>
          <w:vertAlign w:val="superscript"/>
        </w:rPr>
        <w:t>2</w:t>
      </w:r>
      <w:r w:rsidRPr="006A74D3">
        <w:rPr>
          <w:rFonts w:ascii="Times New Roman" w:eastAsiaTheme="minorEastAsia" w:hAnsi="Times New Roman" w:cs="Times New Roman"/>
          <w:sz w:val="28"/>
          <w:szCs w:val="28"/>
        </w:rPr>
        <w:t>)</w:t>
      </w:r>
      <w:r w:rsidRPr="006A74D3">
        <w:rPr>
          <w:rFonts w:ascii="Times New Roman" w:hAnsi="Times New Roman" w:cs="Times New Roman"/>
          <w:sz w:val="28"/>
          <w:szCs w:val="28"/>
        </w:rPr>
        <w:t xml:space="preserve"> та визначенням вимірюваного коефіцієнта дифузії дозволяє диференціювати злоякісну пухлину від фібротичних післяопераційних змін паренхіми нирки при значенні &gt;1,28×</w:t>
      </w:r>
      <w:r w:rsidRPr="006A74D3">
        <w:rPr>
          <w:rFonts w:ascii="Times New Roman" w:hAnsi="Times New Roman"/>
          <w:sz w:val="28"/>
          <w:szCs w:val="28"/>
        </w:rPr>
        <w:t>10</w:t>
      </w:r>
      <w:r w:rsidRPr="006A74D3">
        <w:rPr>
          <w:rFonts w:ascii="Times New Roman" w:hAnsi="Times New Roman"/>
          <w:sz w:val="28"/>
          <w:szCs w:val="28"/>
          <w:vertAlign w:val="superscript"/>
        </w:rPr>
        <w:t>-3</w:t>
      </w:r>
      <w:r w:rsidRPr="006A74D3">
        <w:rPr>
          <w:rFonts w:ascii="Times New Roman" w:hAnsi="Times New Roman"/>
          <w:sz w:val="28"/>
          <w:szCs w:val="28"/>
        </w:rPr>
        <w:t xml:space="preserve"> мм</w:t>
      </w:r>
      <w:r w:rsidRPr="006A74D3">
        <w:rPr>
          <w:rFonts w:ascii="Times New Roman" w:hAnsi="Times New Roman"/>
          <w:sz w:val="28"/>
          <w:szCs w:val="28"/>
          <w:vertAlign w:val="superscript"/>
        </w:rPr>
        <w:t>2</w:t>
      </w:r>
      <w:r w:rsidRPr="006A74D3">
        <w:rPr>
          <w:rFonts w:ascii="Times New Roman" w:hAnsi="Times New Roman"/>
          <w:sz w:val="28"/>
          <w:szCs w:val="28"/>
        </w:rPr>
        <w:t>/с</w:t>
      </w:r>
      <w:r w:rsidRPr="006A74D3">
        <w:rPr>
          <w:rFonts w:ascii="Times New Roman" w:hAnsi="Times New Roman" w:cs="Times New Roman"/>
          <w:sz w:val="28"/>
          <w:szCs w:val="28"/>
        </w:rPr>
        <w:t xml:space="preserve">  (середні значення ВКД для НКР та фіброзу відповідно </w:t>
      </w:r>
      <w:r w:rsidRPr="006A74D3">
        <w:rPr>
          <w:rFonts w:ascii="Times New Roman" w:hAnsi="Times New Roman"/>
          <w:sz w:val="28"/>
          <w:szCs w:val="28"/>
        </w:rPr>
        <w:t>1,64</w:t>
      </w:r>
      <w:r w:rsidRPr="006A74D3">
        <w:rPr>
          <w:rFonts w:ascii="Times New Roman" w:hAnsi="Times New Roman" w:cs="Times New Roman"/>
          <w:sz w:val="28"/>
          <w:szCs w:val="28"/>
        </w:rPr>
        <w:t>±</w:t>
      </w:r>
      <w:r w:rsidRPr="006A74D3">
        <w:rPr>
          <w:rFonts w:ascii="Times New Roman" w:hAnsi="Times New Roman"/>
          <w:sz w:val="28"/>
          <w:szCs w:val="28"/>
        </w:rPr>
        <w:t>0,15</w:t>
      </w:r>
      <w:r w:rsidRPr="006A74D3">
        <w:rPr>
          <w:rFonts w:ascii="Times New Roman" w:hAnsi="Times New Roman" w:cs="Times New Roman"/>
          <w:sz w:val="28"/>
          <w:szCs w:val="28"/>
        </w:rPr>
        <w:t>×</w:t>
      </w:r>
      <w:r w:rsidRPr="006A74D3">
        <w:rPr>
          <w:rFonts w:ascii="Times New Roman" w:hAnsi="Times New Roman"/>
          <w:sz w:val="28"/>
          <w:szCs w:val="28"/>
        </w:rPr>
        <w:t>10</w:t>
      </w:r>
      <w:r w:rsidRPr="006A74D3">
        <w:rPr>
          <w:rFonts w:ascii="Times New Roman" w:hAnsi="Times New Roman"/>
          <w:sz w:val="28"/>
          <w:szCs w:val="28"/>
          <w:vertAlign w:val="superscript"/>
        </w:rPr>
        <w:t>-3</w:t>
      </w:r>
      <w:r w:rsidRPr="006A74D3">
        <w:rPr>
          <w:rFonts w:ascii="Times New Roman" w:hAnsi="Times New Roman"/>
          <w:sz w:val="28"/>
          <w:szCs w:val="28"/>
        </w:rPr>
        <w:t xml:space="preserve"> мм</w:t>
      </w:r>
      <w:r w:rsidRPr="006A74D3">
        <w:rPr>
          <w:rFonts w:ascii="Times New Roman" w:hAnsi="Times New Roman"/>
          <w:sz w:val="28"/>
          <w:szCs w:val="28"/>
          <w:vertAlign w:val="superscript"/>
        </w:rPr>
        <w:t>2</w:t>
      </w:r>
      <w:r w:rsidRPr="006A74D3">
        <w:rPr>
          <w:rFonts w:ascii="Times New Roman" w:hAnsi="Times New Roman"/>
          <w:sz w:val="28"/>
          <w:szCs w:val="28"/>
        </w:rPr>
        <w:t>/с та 1,02</w:t>
      </w:r>
      <w:r w:rsidRPr="006A74D3">
        <w:rPr>
          <w:rFonts w:ascii="Times New Roman" w:hAnsi="Times New Roman" w:cs="Times New Roman"/>
          <w:sz w:val="28"/>
          <w:szCs w:val="28"/>
        </w:rPr>
        <w:t>±</w:t>
      </w:r>
      <w:r w:rsidRPr="006A74D3">
        <w:rPr>
          <w:rFonts w:ascii="Times New Roman" w:hAnsi="Times New Roman"/>
          <w:sz w:val="28"/>
          <w:szCs w:val="28"/>
        </w:rPr>
        <w:t>0,26</w:t>
      </w:r>
      <w:r w:rsidRPr="006A74D3">
        <w:rPr>
          <w:rFonts w:ascii="Times New Roman" w:hAnsi="Times New Roman" w:cs="Times New Roman"/>
          <w:sz w:val="28"/>
          <w:szCs w:val="28"/>
        </w:rPr>
        <w:t>×</w:t>
      </w:r>
      <w:r w:rsidRPr="006A74D3">
        <w:rPr>
          <w:rFonts w:ascii="Times New Roman" w:hAnsi="Times New Roman"/>
          <w:sz w:val="28"/>
          <w:szCs w:val="28"/>
        </w:rPr>
        <w:t>10</w:t>
      </w:r>
      <w:r w:rsidRPr="006A74D3">
        <w:rPr>
          <w:rFonts w:ascii="Times New Roman" w:hAnsi="Times New Roman"/>
          <w:sz w:val="28"/>
          <w:szCs w:val="28"/>
          <w:vertAlign w:val="superscript"/>
        </w:rPr>
        <w:t>-3</w:t>
      </w:r>
      <w:r w:rsidRPr="006A74D3">
        <w:rPr>
          <w:rFonts w:ascii="Times New Roman" w:hAnsi="Times New Roman"/>
          <w:sz w:val="28"/>
          <w:szCs w:val="28"/>
        </w:rPr>
        <w:t xml:space="preserve"> мм</w:t>
      </w:r>
      <w:r w:rsidRPr="006A74D3">
        <w:rPr>
          <w:rFonts w:ascii="Times New Roman" w:hAnsi="Times New Roman"/>
          <w:sz w:val="28"/>
          <w:szCs w:val="28"/>
          <w:vertAlign w:val="superscript"/>
        </w:rPr>
        <w:t>2</w:t>
      </w:r>
      <w:r w:rsidRPr="006A74D3">
        <w:rPr>
          <w:rFonts w:ascii="Times New Roman" w:hAnsi="Times New Roman"/>
          <w:sz w:val="28"/>
          <w:szCs w:val="28"/>
        </w:rPr>
        <w:t xml:space="preserve">/с). </w:t>
      </w:r>
    </w:p>
    <w:p w:rsidR="006A74D3" w:rsidRDefault="00001C78" w:rsidP="006A74D3">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sz w:val="28"/>
          <w:szCs w:val="28"/>
        </w:rPr>
        <w:t xml:space="preserve">Для ранньої оцінки терапевтичної відповіді при лікуванні розповсюдженого НКР пазопанібом, слід проводити </w:t>
      </w:r>
      <w:r w:rsidRPr="006A74D3">
        <w:rPr>
          <w:rFonts w:ascii="Times New Roman" w:hAnsi="Times New Roman" w:cs="Times New Roman"/>
          <w:sz w:val="28"/>
          <w:szCs w:val="28"/>
        </w:rPr>
        <w:t>МРТ із визначенням ВКД дифузійно-зважених зображень до початку лікування та через 1 місяць після. При відсутності зменшення показника ВКД в порівнянні з вихідною величиною, або його зростанні ↑</w:t>
      </w:r>
      <w:r w:rsidRPr="006A74D3">
        <w:rPr>
          <w:rFonts w:ascii="Times New Roman" w:hAnsi="Times New Roman"/>
          <w:sz w:val="28"/>
          <w:szCs w:val="28"/>
        </w:rPr>
        <w:t>1,11</w:t>
      </w:r>
      <w:r w:rsidRPr="006A74D3">
        <w:rPr>
          <w:rFonts w:ascii="Times New Roman" w:hAnsi="Times New Roman" w:cs="Times New Roman"/>
          <w:sz w:val="28"/>
          <w:szCs w:val="28"/>
        </w:rPr>
        <w:t>±</w:t>
      </w:r>
      <w:r w:rsidRPr="006A74D3">
        <w:rPr>
          <w:rFonts w:ascii="Times New Roman" w:hAnsi="Times New Roman"/>
          <w:sz w:val="28"/>
          <w:szCs w:val="28"/>
        </w:rPr>
        <w:t xml:space="preserve">2,46% (95% ДІ=-0,64-2,67), прогнозується відсутність терапевтичної відповіді та прогресування захворювання, що може слугувати показом переходу на інший інгібітор тирозинкінази згідно рекомендацій </w:t>
      </w:r>
      <w:r w:rsidRPr="006A74D3">
        <w:rPr>
          <w:rFonts w:ascii="Times New Roman" w:hAnsi="Times New Roman"/>
          <w:sz w:val="28"/>
          <w:szCs w:val="28"/>
          <w:lang w:val="en-US"/>
        </w:rPr>
        <w:t>EAU</w:t>
      </w:r>
      <w:r w:rsidRPr="006A74D3">
        <w:rPr>
          <w:rFonts w:ascii="Times New Roman" w:hAnsi="Times New Roman"/>
          <w:sz w:val="28"/>
          <w:szCs w:val="28"/>
        </w:rPr>
        <w:t>.</w:t>
      </w:r>
    </w:p>
    <w:p w:rsidR="006A74D3" w:rsidRDefault="00001C78" w:rsidP="006A74D3">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sz w:val="28"/>
          <w:szCs w:val="28"/>
        </w:rPr>
        <w:t>МРТ з послідовністю ДЗЗ та визначенням вимірюваного коефіцієнта дифузії на відміну від КТ може бути застосована з метою уникнення радіаційного навантаження при діагностиці, диференціації, післяопераційному веденні та оцінці ефекту системного лікування НКР, що є особливо важливим для зменшення ризику радіаційно-індукованого раку, (зокрема у осіб, які проживають у радіаційно забруднених регіонах постраждалих від аварії на ЧАЕС).</w:t>
      </w:r>
    </w:p>
    <w:p w:rsidR="006A74D3" w:rsidRPr="006A74D3" w:rsidRDefault="00001C78" w:rsidP="006A74D3">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sz w:val="28"/>
          <w:szCs w:val="28"/>
        </w:rPr>
        <w:t xml:space="preserve">При проведенні </w:t>
      </w:r>
      <w:r w:rsidRPr="006A74D3">
        <w:rPr>
          <w:rFonts w:ascii="Times New Roman" w:hAnsi="Times New Roman" w:cs="Times New Roman"/>
          <w:sz w:val="28"/>
          <w:szCs w:val="28"/>
          <w:shd w:val="clear" w:color="auto" w:fill="FFFFFF"/>
        </w:rPr>
        <w:t xml:space="preserve">селективної емболізації ниркових артерій у якості підготовки хворих із НКР до хірургічного лікування, у випадку </w:t>
      </w:r>
      <w:r w:rsidR="00B02037">
        <w:rPr>
          <w:rFonts w:ascii="Times New Roman" w:hAnsi="Times New Roman" w:cs="Times New Roman"/>
          <w:sz w:val="28"/>
          <w:szCs w:val="28"/>
        </w:rPr>
        <w:t>підвищення</w:t>
      </w:r>
      <w:r w:rsidRPr="006A74D3">
        <w:rPr>
          <w:rFonts w:ascii="Times New Roman" w:hAnsi="Times New Roman" w:cs="Times New Roman"/>
          <w:sz w:val="28"/>
          <w:szCs w:val="28"/>
        </w:rPr>
        <w:t xml:space="preserve"> індексу резистентності Допплер-УЗД &lt;20,97% у порівнянні з вихідним значенням, є високий ризик значної інтраопераці</w:t>
      </w:r>
      <w:r w:rsidR="00BF4FF9">
        <w:rPr>
          <w:rFonts w:ascii="Times New Roman" w:hAnsi="Times New Roman" w:cs="Times New Roman"/>
          <w:sz w:val="28"/>
          <w:szCs w:val="28"/>
        </w:rPr>
        <w:t>й</w:t>
      </w:r>
      <w:r w:rsidRPr="006A74D3">
        <w:rPr>
          <w:rFonts w:ascii="Times New Roman" w:hAnsi="Times New Roman" w:cs="Times New Roman"/>
          <w:sz w:val="28"/>
          <w:szCs w:val="28"/>
        </w:rPr>
        <w:t xml:space="preserve">ної кровотечі (понад 500 мл), яка потенційно вимагатиме застосування інфузійної терапії, що слід враховувати при плануванні післяопераційного ведення такої категорії </w:t>
      </w:r>
      <w:r w:rsidRPr="006A74D3">
        <w:rPr>
          <w:rFonts w:ascii="Times New Roman" w:hAnsi="Times New Roman" w:cs="Times New Roman"/>
          <w:sz w:val="28"/>
          <w:szCs w:val="28"/>
        </w:rPr>
        <w:lastRenderedPageBreak/>
        <w:t>хворих. Підвищення ІР &lt;4% у порівнянні з початковим показником свідчить про відсутність ефекту емболізації, що може слугувати показом для ре-емболізації та оптимізації тактики (чи навіть відтермінування) оперативного втручання. Даний метод також не передбачає радіаційного опромінення хворого.</w:t>
      </w:r>
    </w:p>
    <w:p w:rsidR="006A74D3" w:rsidRDefault="00001C78" w:rsidP="006A74D3">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sz w:val="28"/>
          <w:szCs w:val="28"/>
        </w:rPr>
        <w:t>Скринінг НКР, його ранню діагностику та моніторинг післяопераційного періоду на предмет повноти хірургічного лікування та раннього виявлення рецидиву</w:t>
      </w:r>
      <w:r w:rsidR="00B02037">
        <w:rPr>
          <w:rFonts w:ascii="Times New Roman" w:hAnsi="Times New Roman"/>
          <w:sz w:val="28"/>
          <w:szCs w:val="28"/>
        </w:rPr>
        <w:t>, можливо</w:t>
      </w:r>
      <w:r w:rsidRPr="006A74D3">
        <w:rPr>
          <w:rFonts w:ascii="Times New Roman" w:hAnsi="Times New Roman"/>
          <w:sz w:val="28"/>
          <w:szCs w:val="28"/>
        </w:rPr>
        <w:t xml:space="preserve"> проводити за допомогою визначення експресії міР-15а в сечі методом ПЛР:  значеннях &lt;5,0</w:t>
      </w:r>
      <w:r w:rsidRPr="006A74D3">
        <w:rPr>
          <w:rFonts w:ascii="Times New Roman" w:hAnsi="Times New Roman"/>
          <w:sz w:val="28"/>
          <w:szCs w:val="28"/>
          <w:lang w:val="en-US"/>
        </w:rPr>
        <w:t>E</w:t>
      </w:r>
      <w:r w:rsidRPr="006A74D3">
        <w:rPr>
          <w:rFonts w:ascii="Times New Roman" w:hAnsi="Times New Roman"/>
          <w:sz w:val="28"/>
          <w:szCs w:val="28"/>
        </w:rPr>
        <w:t xml:space="preserve">-06 УО є характерними для НКР. В післяопераційному періоді (не раніше, ніж на 8-й день після тотальної нефректомії) експресія даного молекулярного біомаркеру в сечі не повинна перевищувати 2,63Е-03 УО. </w:t>
      </w:r>
    </w:p>
    <w:p w:rsidR="006A74D3" w:rsidRPr="006A74D3" w:rsidRDefault="00001C78" w:rsidP="006A74D3">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sz w:val="28"/>
          <w:szCs w:val="28"/>
        </w:rPr>
        <w:t xml:space="preserve">Визначення тканинної експресії міР-15а дозволяє прогнозувати раково-специфічне виживання у хворих із НКР. Для такої оцінки слід застосовувати </w:t>
      </w:r>
      <w:r w:rsidRPr="006A74D3">
        <w:rPr>
          <w:rFonts w:ascii="Times New Roman" w:hAnsi="Times New Roman" w:cs="Times New Roman"/>
          <w:sz w:val="28"/>
          <w:szCs w:val="28"/>
        </w:rPr>
        <w:t>прогностичну систему UISS, яка була удосконалена для локалізованого захворювання, шляхом диференціації хворих із проміжним прогнозом смертності від НКР на два нових додаткових варіанти ризику – низький проміжний (CSS=92,31%) та високий проміжний (CSS=54,8%).</w:t>
      </w:r>
    </w:p>
    <w:p w:rsidR="006A74D3" w:rsidRPr="00C36617" w:rsidRDefault="00001C78" w:rsidP="00C36617">
      <w:pPr>
        <w:pStyle w:val="ListParagraph"/>
        <w:numPr>
          <w:ilvl w:val="0"/>
          <w:numId w:val="14"/>
        </w:numPr>
        <w:spacing w:line="360" w:lineRule="auto"/>
        <w:jc w:val="both"/>
        <w:rPr>
          <w:rFonts w:ascii="Times New Roman" w:hAnsi="Times New Roman"/>
          <w:sz w:val="28"/>
          <w:szCs w:val="28"/>
        </w:rPr>
      </w:pPr>
      <w:r w:rsidRPr="006A74D3">
        <w:rPr>
          <w:rFonts w:ascii="Times New Roman" w:hAnsi="Times New Roman" w:cs="Times New Roman"/>
          <w:sz w:val="28"/>
          <w:szCs w:val="28"/>
        </w:rPr>
        <w:t xml:space="preserve">При недоступності генетичних методів обстеження та необхідності прогнозування виживаності хворих із НКР, слід використовувати розроблену нами сурогатну поліноміальну модель регресії, яка дозволяє достовірно передбачати рівень тканинної експресії міР-15а на основі шести променевих параметрів пухлини: розміру, наявності кістозного компоненту, екзофітного росту ≥50% за межі контуру нирки, некрозу, макроскопічного жиру та нодулярного контрастного посилення. Для полегшення </w:t>
      </w:r>
      <w:r w:rsidRPr="006A74D3">
        <w:rPr>
          <w:rFonts w:ascii="Times New Roman" w:hAnsi="Times New Roman" w:cs="Times New Roman"/>
          <w:color w:val="000000" w:themeColor="text1"/>
          <w:sz w:val="28"/>
          <w:szCs w:val="28"/>
        </w:rPr>
        <w:t>користування моделлю користуватись розробленою візуальною шкалою оцінки променевих параметрів НКР для присвоєння кожному з них відповідного коефіцієнта</w:t>
      </w:r>
      <w:r w:rsidRPr="006A74D3">
        <w:rPr>
          <w:rFonts w:ascii="Times New Roman" w:hAnsi="Times New Roman" w:cs="Times New Roman"/>
          <w:sz w:val="28"/>
          <w:szCs w:val="28"/>
        </w:rPr>
        <w:t>.</w:t>
      </w:r>
    </w:p>
    <w:p w:rsidR="00C36617" w:rsidRPr="00C36617" w:rsidRDefault="00C36617" w:rsidP="00C36617">
      <w:pPr>
        <w:pStyle w:val="ListParagraph"/>
        <w:spacing w:line="360" w:lineRule="auto"/>
        <w:ind w:left="360"/>
        <w:jc w:val="both"/>
        <w:rPr>
          <w:rFonts w:ascii="Times New Roman" w:hAnsi="Times New Roman"/>
          <w:sz w:val="28"/>
          <w:szCs w:val="28"/>
        </w:rPr>
      </w:pPr>
    </w:p>
    <w:p w:rsidR="0061473E" w:rsidRPr="00981822" w:rsidRDefault="0061473E" w:rsidP="0061473E">
      <w:pPr>
        <w:spacing w:after="0" w:line="360" w:lineRule="auto"/>
        <w:jc w:val="center"/>
        <w:rPr>
          <w:rFonts w:ascii="Times New Roman" w:hAnsi="Times New Roman"/>
          <w:b/>
          <w:color w:val="000000"/>
          <w:sz w:val="28"/>
          <w:szCs w:val="28"/>
        </w:rPr>
      </w:pPr>
      <w:r w:rsidRPr="00981822">
        <w:rPr>
          <w:rFonts w:ascii="Times New Roman" w:hAnsi="Times New Roman"/>
          <w:b/>
          <w:color w:val="000000"/>
          <w:sz w:val="28"/>
          <w:szCs w:val="28"/>
        </w:rPr>
        <w:lastRenderedPageBreak/>
        <w:t>СПИСОК ВИКОРИСТАНИХ ДЖЕРЕЛ</w:t>
      </w:r>
    </w:p>
    <w:p w:rsidR="0061473E" w:rsidRPr="00981822" w:rsidRDefault="0061473E" w:rsidP="0061473E">
      <w:pPr>
        <w:spacing w:after="0" w:line="360" w:lineRule="auto"/>
        <w:rPr>
          <w:rFonts w:ascii="Times New Roman" w:hAnsi="Times New Roman"/>
          <w:color w:val="000000"/>
          <w:sz w:val="28"/>
          <w:szCs w:val="28"/>
        </w:rPr>
      </w:pP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Агаркова ЕИ. Оптимизация ультразвукового исследования у больных с опухолевым поражением почек и мочевого пузыря [автореферат]. Ростов-на-Дону; 2012. 24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Айрапетова ГД. Магнитно-резонансная томография в диагностике новообразований почек [атореферат]. Москва; 2007. 21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Алияев ЮГ. Современные технологии в диагностике и лечении рака почки. Онкоурология. 2005;2:3–8.</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Апанович НВ, Петерс МВ, Коротаева АА, Апанович ПВ, Маркова АС, Камолов БШ, и др. Молекулярно-генетическая диагностика светлоклеточного почечно-клеточного рака. </w:t>
      </w:r>
      <w:r w:rsidRPr="00981822">
        <w:rPr>
          <w:rFonts w:ascii="Times New Roman" w:hAnsi="Times New Roman"/>
          <w:iCs/>
          <w:color w:val="000000"/>
          <w:sz w:val="28"/>
          <w:szCs w:val="28"/>
          <w:lang w:eastAsia="uk-UA"/>
        </w:rPr>
        <w:t>Онкоурология</w:t>
      </w:r>
      <w:r w:rsidRPr="00981822">
        <w:rPr>
          <w:rFonts w:ascii="Times New Roman" w:hAnsi="Times New Roman"/>
          <w:color w:val="000000"/>
          <w:sz w:val="28"/>
          <w:szCs w:val="28"/>
          <w:lang w:eastAsia="uk-UA"/>
        </w:rPr>
        <w:t xml:space="preserve">. 2016;12(4):16–20.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Бабкина ТМ, Черепанов ВВ, Кондрачук СА. Почечноклеточный рак: компьютерно-томографическое исследование с использованием юнипака. Лучевая диагностика, лучевая терапия. 2012;1:36–42.</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Банира ОБ, Строй ОО, Шуляк ОВ. Рак нирки:пошук універсального маркера. Укр мед часопис. 2012;2:55–61.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 xml:space="preserve">Вітрук ЮВ, Стаховський ЕО, Войленко ОА, </w:t>
      </w:r>
      <w:r w:rsidRPr="00981822">
        <w:rPr>
          <w:rFonts w:ascii="Times New Roman" w:hAnsi="Times New Roman"/>
          <w:sz w:val="28"/>
          <w:szCs w:val="28"/>
        </w:rPr>
        <w:t>Стаховський ОЕ, Вукалович ПС, Котов ВА,</w:t>
      </w:r>
      <w:r w:rsidRPr="00981822">
        <w:rPr>
          <w:rFonts w:ascii="Times New Roman" w:hAnsi="Times New Roman"/>
          <w:color w:val="000000"/>
          <w:sz w:val="28"/>
          <w:szCs w:val="28"/>
        </w:rPr>
        <w:t xml:space="preserve"> та ін. Сучасні системи оцінки пухлинного ураження нирки (огляд літератури). Клиническая онкология. 2013;3:98–103.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Возіанов СО, Банира ОБ, Строй ОО, Шуляк ОВ. Малі ниркові новоутворення: активне спостереження чи хірургічне лікування?. Укр мед часопис. 2012;3:33–41.</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shd w:val="clear" w:color="auto" w:fill="FFFFFF"/>
        </w:rPr>
        <w:t>Возіанов СО, Бойко АІ, Шматюк ТІ, Купрін ДІ.</w:t>
      </w:r>
      <w:r w:rsidRPr="00981822">
        <w:rPr>
          <w:rFonts w:ascii="Times New Roman" w:hAnsi="Times New Roman"/>
          <w:color w:val="000000"/>
          <w:sz w:val="28"/>
          <w:szCs w:val="28"/>
          <w:shd w:val="clear" w:color="auto" w:fill="FFFFFF"/>
          <w:vertAlign w:val="superscript"/>
        </w:rPr>
        <w:t xml:space="preserve"> </w:t>
      </w:r>
      <w:r w:rsidRPr="00981822">
        <w:rPr>
          <w:rFonts w:ascii="Times New Roman" w:hAnsi="Times New Roman"/>
          <w:color w:val="000000"/>
          <w:sz w:val="28"/>
          <w:szCs w:val="28"/>
        </w:rPr>
        <w:t>Сучасний підхід до діагностики кіст нирок. Укр мед часопис. 2017;</w:t>
      </w:r>
      <w:r w:rsidRPr="00981822">
        <w:rPr>
          <w:rFonts w:ascii="Times New Roman" w:hAnsi="Times New Roman"/>
          <w:color w:val="000000"/>
          <w:sz w:val="28"/>
          <w:szCs w:val="28"/>
          <w:shd w:val="clear" w:color="auto" w:fill="FFFFFF"/>
        </w:rPr>
        <w:t>3:</w:t>
      </w:r>
      <w:r w:rsidRPr="00981822">
        <w:rPr>
          <w:rFonts w:ascii="Times New Roman" w:hAnsi="Times New Roman"/>
          <w:color w:val="000000"/>
          <w:sz w:val="28"/>
          <w:szCs w:val="28"/>
        </w:rPr>
        <w:t>132.</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rPr>
        <w:t>Возіанов СО, Романенко АМ, Шалераєв СМ, Данилець РО. Нирковоклітинний рак :результати ад’ювантної імунотерапії залежно від експресії рецептора інтерферону І типу. Вестник неотложной и восстановительной медицины. 2006;7(1):7–10.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lastRenderedPageBreak/>
        <w:t>Возіанов СО, Сидор ІМ, Григоренко ВМ,</w:t>
      </w:r>
      <w:r w:rsidRPr="00981822">
        <w:rPr>
          <w:rStyle w:val="st"/>
          <w:rFonts w:ascii="Times New Roman" w:hAnsi="Times New Roman"/>
          <w:sz w:val="28"/>
          <w:szCs w:val="28"/>
        </w:rPr>
        <w:t xml:space="preserve"> Онищук АП, Перета ЛВ.</w:t>
      </w:r>
      <w:r w:rsidRPr="00981822">
        <w:rPr>
          <w:rFonts w:ascii="Times New Roman" w:hAnsi="Times New Roman"/>
          <w:color w:val="000000"/>
          <w:sz w:val="28"/>
          <w:szCs w:val="28"/>
        </w:rPr>
        <w:t xml:space="preserve"> Рак нирки:реальність та шляхи покращення спеціалізованої допомоги. Здоровье мужчины. 2013;3:10–11.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 xml:space="preserve">Вороньжев ИА, Крамной ИЕ, Спузяк МИ, </w:t>
      </w:r>
      <w:r w:rsidRPr="00981822">
        <w:rPr>
          <w:rStyle w:val="st"/>
          <w:rFonts w:ascii="Times New Roman" w:hAnsi="Times New Roman"/>
          <w:sz w:val="28"/>
          <w:szCs w:val="28"/>
        </w:rPr>
        <w:t>Чурилин РЮ, Грицай АА.</w:t>
      </w:r>
      <w:r w:rsidRPr="00981822">
        <w:rPr>
          <w:rStyle w:val="st"/>
        </w:rPr>
        <w:t xml:space="preserve"> </w:t>
      </w:r>
      <w:r w:rsidRPr="00981822">
        <w:rPr>
          <w:rFonts w:ascii="Times New Roman" w:hAnsi="Times New Roman"/>
          <w:color w:val="000000"/>
          <w:sz w:val="28"/>
          <w:szCs w:val="28"/>
        </w:rPr>
        <w:t>Особенности рентгенологической картины опухолей почек у детей. Променева діагностика, променева терапія. 2011;1-2:43–4.</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eastAsia="uk-UA"/>
        </w:rPr>
        <w:t>Гаврилюк АО, Стаховський ЕО, Ліщишина ОМ, Буйвол ОВ, Вітрук ЮВ, Войленко ОА. Уніфікований клінічний протокол первинної, вторинної (спеціалізованої), третинної (високоспеціалізованої) медичної допомоги при раку нирки : Затверджено Наказом МОЗ України 28.03.2016 № 247. Київ; 2016. 58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Головко ТС, Гаврилюк ОМ, Вітрук ЮВ. Променева діагностика венозного тромбозу при нирково-клітинному раку. Клиническая онкология. 2014;2:.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Горбань НА, Попов М, Карякин Б. Прогностическое значение экспрессии CAIX в сочетании с другими маркерами в светлоклеточном почечно-клеточном раке. </w:t>
      </w:r>
      <w:r w:rsidRPr="00981822">
        <w:rPr>
          <w:rFonts w:ascii="Times New Roman" w:hAnsi="Times New Roman"/>
          <w:iCs/>
          <w:color w:val="000000"/>
          <w:sz w:val="28"/>
          <w:szCs w:val="28"/>
          <w:lang w:eastAsia="uk-UA"/>
        </w:rPr>
        <w:t>Онкоурология. 2016;</w:t>
      </w:r>
      <w:r w:rsidRPr="00981822">
        <w:rPr>
          <w:rFonts w:ascii="Times New Roman" w:hAnsi="Times New Roman"/>
          <w:color w:val="000000"/>
          <w:sz w:val="28"/>
          <w:szCs w:val="28"/>
          <w:lang w:eastAsia="uk-UA"/>
        </w:rPr>
        <w:t>12(3):40–4. doi:10.17650/1726-9776-2016-12-3-40-44.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 xml:space="preserve">Гордиюк ВВ. Генетические и эпигенетические изменения генов 3-й хромосомы человека в клетках опухолей урогенитальной сферы. </w:t>
      </w:r>
      <w:r w:rsidRPr="00981822">
        <w:rPr>
          <w:rFonts w:ascii="Times New Roman" w:hAnsi="Times New Roman"/>
          <w:color w:val="000000"/>
          <w:sz w:val="28"/>
          <w:szCs w:val="28"/>
          <w:lang w:val="en-US"/>
        </w:rPr>
        <w:t>Biopolymers</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cell</w:t>
      </w:r>
      <w:r w:rsidRPr="00981822">
        <w:rPr>
          <w:rFonts w:ascii="Times New Roman" w:hAnsi="Times New Roman"/>
          <w:color w:val="000000"/>
          <w:sz w:val="28"/>
          <w:szCs w:val="28"/>
        </w:rPr>
        <w:t>. 2011;27(1):25–35.</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Григоренко ВМ, Білоголовська ВВ, Перета ЛВ, Данилець РО. Ультразвукові особливості функціонального стану нирок при локалізованих формах пухлин до та після органозберігального лікування. Здоровье мужчины. 2013;3:111–4.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Григоренко ВМ, Панасенко ГВ, Сайдакова НО, Перета ЛВ, Онищук АП, Данилець РО. Діагностичне значення молекулярних маркерів у хворих на нирково-клітинний рак. </w:t>
      </w:r>
      <w:r w:rsidRPr="00981822">
        <w:rPr>
          <w:rFonts w:ascii="Times New Roman" w:hAnsi="Times New Roman"/>
          <w:iCs/>
          <w:color w:val="000000"/>
          <w:sz w:val="28"/>
          <w:szCs w:val="28"/>
          <w:lang w:eastAsia="uk-UA"/>
        </w:rPr>
        <w:t>Здоровье мужчины</w:t>
      </w:r>
      <w:r w:rsidRPr="00981822">
        <w:rPr>
          <w:rFonts w:ascii="Times New Roman" w:hAnsi="Times New Roman"/>
          <w:color w:val="000000"/>
          <w:sz w:val="28"/>
          <w:szCs w:val="28"/>
          <w:lang w:eastAsia="uk-UA"/>
        </w:rPr>
        <w:t>. 2016;1:154–7.</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Гриневич ЮЯ, Югрінова ЛГ. Пухлинні маркери: вимоги до проведення аналізу, інетпретація результатів їх визначення в онкогічній клініці. Лаб діагностика. 2004;1:3–9.</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lastRenderedPageBreak/>
        <w:t>Домбровский ВИ. Магнитно-резонансная томография в диагностике опухолей и других заболеваний почек (МРТ-патоморфологическое сопоставление) [автореферат]. Москва; 2004. 40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eastAsia="uk-UA"/>
        </w:rPr>
      </w:pPr>
      <w:r w:rsidRPr="00981822">
        <w:rPr>
          <w:rFonts w:ascii="Times New Roman" w:hAnsi="Times New Roman"/>
          <w:snapToGrid w:val="0"/>
          <w:color w:val="000000"/>
          <w:sz w:val="28"/>
          <w:szCs w:val="28"/>
        </w:rPr>
        <w:t>Зеленський Р.О. Оцінка судинного русла до і після емболізації ниркової артерії з приводу раку нирки. Клінічна хірургія. 2015; 1:32-34.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Иванов П, Чернышев В, Тюзиков А. Оптимизация протокола спиральной компьютерной томографии при диагностике опухолей почки. </w:t>
      </w:r>
      <w:r w:rsidRPr="00981822">
        <w:rPr>
          <w:rFonts w:ascii="Times New Roman" w:hAnsi="Times New Roman"/>
          <w:iCs/>
          <w:color w:val="000000"/>
          <w:sz w:val="28"/>
          <w:szCs w:val="28"/>
          <w:lang w:eastAsia="uk-UA"/>
        </w:rPr>
        <w:t>Онкоурология. 2014;</w:t>
      </w:r>
      <w:r w:rsidRPr="00981822">
        <w:rPr>
          <w:rFonts w:ascii="Times New Roman" w:hAnsi="Times New Roman"/>
          <w:color w:val="000000"/>
          <w:sz w:val="28"/>
          <w:szCs w:val="28"/>
          <w:lang w:eastAsia="uk-UA"/>
        </w:rPr>
        <w:t>7(2):18–21. doi:10.17650/1726-9776-2011-7-2-18-21.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Кондратьев МВ. Лучевые методы исследования в стадировании рака почки [автореферат]. Москва; 2010. 21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Кудряшов АГ, Василенко ИВ, Малашкевич АС. Морфологические особенности эпителиально-мезенхимальной трансформации в карциномах почки и их связь с клиническим течением опухоли. Укр журн хірургії. 2011;6:147–54.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Лісовий ВМ, Щукін ДВ, Гарагатий ІА, Поляков ММ, Хареба ГГ, Андон’єва НМ. Прогнозирование кровопотери из изолированного участка нижней полой вены (НПВ) при венакаватромбэктомии.</w:t>
      </w:r>
      <w:r w:rsidRPr="00981822">
        <w:t xml:space="preserve"> </w:t>
      </w:r>
      <w:r w:rsidRPr="00981822">
        <w:rPr>
          <w:rFonts w:ascii="Times New Roman" w:hAnsi="Times New Roman"/>
          <w:sz w:val="28"/>
          <w:szCs w:val="28"/>
        </w:rPr>
        <w:t>Урология. 2015;19(1):23–30</w:t>
      </w:r>
      <w:r w:rsidRPr="00981822">
        <w:rPr>
          <w:rFonts w:ascii="Times New Roman" w:hAnsi="Times New Roman"/>
          <w:color w:val="000000"/>
          <w:sz w:val="28"/>
          <w:szCs w:val="28"/>
          <w:lang w:eastAsia="uk-UA"/>
        </w:rPr>
        <w:t xml:space="preserve">.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Макомела НМ. Можливості магнітно-резонансної томографії для діагностики пухлин нирок. Укр радіол журн. 2001;2:215–8.</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Михайленко С, Алексеев Я, Ефремов Д, Каприн Д. Генетические особенности несветлоклеточного рака почки. </w:t>
      </w:r>
      <w:r w:rsidRPr="00981822">
        <w:rPr>
          <w:rFonts w:ascii="Times New Roman" w:hAnsi="Times New Roman"/>
          <w:iCs/>
          <w:color w:val="000000"/>
          <w:sz w:val="28"/>
          <w:szCs w:val="28"/>
          <w:lang w:eastAsia="uk-UA"/>
        </w:rPr>
        <w:t>Онкоурология</w:t>
      </w:r>
      <w:r w:rsidRPr="00981822">
        <w:rPr>
          <w:rFonts w:ascii="Times New Roman" w:hAnsi="Times New Roman"/>
          <w:color w:val="000000"/>
          <w:sz w:val="28"/>
          <w:szCs w:val="28"/>
          <w:lang w:eastAsia="uk-UA"/>
        </w:rPr>
        <w:t xml:space="preserve">. 2016;12(3):14–21. </w:t>
      </w:r>
      <w:r w:rsidRPr="00981822">
        <w:rPr>
          <w:rFonts w:ascii="Times New Roman" w:hAnsi="Times New Roman"/>
          <w:sz w:val="28"/>
          <w:szCs w:val="28"/>
          <w:lang w:eastAsia="uk-UA"/>
        </w:rPr>
        <w:t>https://doi.org/10.17650/1726-9776-2016-12-3-14-21</w:t>
      </w:r>
      <w:r w:rsidRPr="00981822">
        <w:rPr>
          <w:rFonts w:ascii="Times New Roman" w:hAnsi="Times New Roman"/>
          <w:color w:val="000000"/>
          <w:sz w:val="28"/>
          <w:szCs w:val="28"/>
          <w:lang w:eastAsia="uk-UA"/>
        </w:rPr>
        <w:t>.</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Михайленко С, Григорьева В, Землякова В, Шкарупо В, Яковлева С, Носов А, и др. Молекулярно-генетические нарушения в гене VHL и метилирование некоторых генов-супрессоров в спорадических светлоклеточных карциномах почки. </w:t>
      </w:r>
      <w:r w:rsidRPr="00981822">
        <w:rPr>
          <w:rFonts w:ascii="Times New Roman" w:hAnsi="Times New Roman"/>
          <w:iCs/>
          <w:color w:val="000000"/>
          <w:sz w:val="28"/>
          <w:szCs w:val="28"/>
          <w:lang w:eastAsia="uk-UA"/>
        </w:rPr>
        <w:t>Онкоурология</w:t>
      </w:r>
      <w:r w:rsidRPr="00981822">
        <w:rPr>
          <w:rFonts w:ascii="Times New Roman" w:hAnsi="Times New Roman"/>
          <w:color w:val="000000"/>
          <w:sz w:val="28"/>
          <w:szCs w:val="28"/>
          <w:lang w:eastAsia="uk-UA"/>
        </w:rPr>
        <w:t xml:space="preserve">. 2014;6(2):32–7.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Борис ЮБ, Дац ІВ, Манюк ЛВ, Ільчишин ОС, Солдатенко ОЯ та ін. Сучасний погляд на дію іонізуючого випромінювання на хворих при діагностиці нирково-клітинного раку та шляхи його уникнення. </w:t>
      </w:r>
      <w:r w:rsidRPr="00981822">
        <w:rPr>
          <w:rFonts w:ascii="Times New Roman" w:hAnsi="Times New Roman"/>
          <w:color w:val="000000"/>
          <w:sz w:val="28"/>
          <w:szCs w:val="28"/>
        </w:rPr>
        <w:t>Проблеми радіаційної медицини та радіобіології. 2017 Січ 23; 22: 69-78.</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lastRenderedPageBreak/>
        <w:t xml:space="preserve">Мицик ЮО, Борис ЮБ, Дутка ІЮ, Комнацька ІМ, Лозинський РМ, Шатинська-Мицик ІС. Застосування дифузійно-зважених зображень МРТ для діагностики світлоклітинного раку нирки різного </w:t>
      </w:r>
      <w:r w:rsidR="00B02037">
        <w:rPr>
          <w:rFonts w:ascii="Times New Roman" w:hAnsi="Times New Roman"/>
          <w:sz w:val="28"/>
          <w:szCs w:val="28"/>
        </w:rPr>
        <w:t>ступеня</w:t>
      </w:r>
      <w:r w:rsidRPr="00981822">
        <w:rPr>
          <w:rFonts w:ascii="Times New Roman" w:hAnsi="Times New Roman"/>
          <w:sz w:val="28"/>
          <w:szCs w:val="28"/>
        </w:rPr>
        <w:t xml:space="preserve"> диференціації. </w:t>
      </w:r>
      <w:r w:rsidRPr="00981822">
        <w:rPr>
          <w:rFonts w:ascii="Times New Roman" w:hAnsi="Times New Roman"/>
          <w:color w:val="000000"/>
          <w:sz w:val="28"/>
          <w:szCs w:val="28"/>
        </w:rPr>
        <w:t>Урологія. 2014 Груд 12; 71(4): 23-29.</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Борис ЮБ, Комнацька ІМ, Дутка ІЮ, Шатинська-Мицик ІС. Значення дифузійно-зважених зображень магнітно-резонансної томографії у диференційній діагностиці злоякісних новоутворів нирок. </w:t>
      </w:r>
      <w:r w:rsidRPr="00981822">
        <w:rPr>
          <w:rFonts w:ascii="Times New Roman" w:hAnsi="Times New Roman"/>
          <w:color w:val="000000"/>
          <w:sz w:val="28"/>
          <w:szCs w:val="28"/>
        </w:rPr>
        <w:t>Експериментальна та клінічна фізіол</w:t>
      </w:r>
      <w:r>
        <w:rPr>
          <w:rFonts w:ascii="Times New Roman" w:hAnsi="Times New Roman"/>
          <w:color w:val="000000"/>
          <w:sz w:val="28"/>
          <w:szCs w:val="28"/>
        </w:rPr>
        <w:t xml:space="preserve">огія і біохімія. 2014 Вер 23;  </w:t>
      </w:r>
      <w:r w:rsidRPr="00981822">
        <w:rPr>
          <w:rFonts w:ascii="Times New Roman" w:hAnsi="Times New Roman"/>
          <w:color w:val="000000"/>
          <w:sz w:val="28"/>
          <w:szCs w:val="28"/>
        </w:rPr>
        <w:t>67(3/1): 32-35.</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Досенко ВЄ, Борис ЮБ, Дац ІВ, Ільчишин ОС, Чернова НВ та ін. Можливість застосування мікроРНК-15а, визначеної у сечі, для діагностики нирково-клітинного раку. </w:t>
      </w:r>
      <w:r w:rsidRPr="00981822">
        <w:rPr>
          <w:rFonts w:ascii="Times New Roman" w:hAnsi="Times New Roman"/>
          <w:color w:val="000000"/>
          <w:sz w:val="28"/>
          <w:szCs w:val="28"/>
        </w:rPr>
        <w:t>Експериментальна та клінічна фізіологія і біохімія. 2017 Лют 16; 77(1): 49-53.</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Досенко ВЄ, Борис ЮБ, Древицька ТІ. Роль микроРНК-15а в диагностике почечно-клеточного рака. </w:t>
      </w:r>
      <w:r w:rsidRPr="00981822">
        <w:rPr>
          <w:rFonts w:ascii="Times New Roman" w:hAnsi="Times New Roman"/>
          <w:color w:val="000000"/>
          <w:sz w:val="28"/>
          <w:szCs w:val="28"/>
        </w:rPr>
        <w:t>Здоровье Мужчины. 2017 Вер 12; 3(62): 110-115.</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Досенко ВЄ, Борис ЮБ, Древицька ТІ. Роль МікроРНК-15а у діагностиці нирково-клітинного раку. </w:t>
      </w:r>
      <w:r w:rsidRPr="00981822">
        <w:rPr>
          <w:rFonts w:ascii="Times New Roman" w:hAnsi="Times New Roman"/>
          <w:color w:val="000000"/>
          <w:sz w:val="28"/>
          <w:szCs w:val="28"/>
        </w:rPr>
        <w:t>Експериментальна та клінічна фізіологія і біохімія. 2017 Бер 21; 78(2/1): 53-59.</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Досенко ВЄ, Борис ЮБ, Іллюк ПО, Максимович ІР, Чернова НВ. Застосування експресії мікроРНК-15а визначеної в тканинах пухлини у якості прогностичного біомаркеру нирково-клітинного раку. </w:t>
      </w:r>
      <w:r w:rsidRPr="00981822">
        <w:rPr>
          <w:rFonts w:ascii="Times New Roman" w:hAnsi="Times New Roman"/>
          <w:bCs/>
          <w:sz w:val="28"/>
          <w:szCs w:val="28"/>
          <w:lang w:eastAsia="uk-UA"/>
        </w:rPr>
        <w:t>Урологія. 2017 Вер 12; 21(3): 39-48.</w:t>
      </w:r>
    </w:p>
    <w:p w:rsidR="0061473E" w:rsidRPr="00981822" w:rsidRDefault="0061473E" w:rsidP="00DE6E24">
      <w:pPr>
        <w:pStyle w:val="NoSpacing"/>
        <w:numPr>
          <w:ilvl w:val="0"/>
          <w:numId w:val="9"/>
        </w:numPr>
        <w:spacing w:after="160"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w:t>
      </w:r>
      <w:r w:rsidRPr="00981822">
        <w:rPr>
          <w:rFonts w:ascii="Times New Roman" w:eastAsia="Newton-Regular" w:hAnsi="Times New Roman"/>
          <w:sz w:val="28"/>
          <w:szCs w:val="28"/>
        </w:rPr>
        <w:t xml:space="preserve">Дутка ІЮ, Борис ЮБ,  Комнацька ІМ, Шатинська-Мицик ІС, Лозинський РМ. </w:t>
      </w:r>
      <w:r w:rsidRPr="00981822">
        <w:rPr>
          <w:rFonts w:ascii="Times New Roman" w:hAnsi="Times New Roman"/>
          <w:bCs/>
          <w:sz w:val="28"/>
          <w:szCs w:val="28"/>
        </w:rPr>
        <w:t xml:space="preserve">Використання дифузійно-зважених зображень МРТ у діагностиці солідних ниркових новоутворів. </w:t>
      </w:r>
      <w:r w:rsidRPr="00981822">
        <w:rPr>
          <w:rFonts w:ascii="Times New Roman" w:hAnsi="Times New Roman"/>
          <w:sz w:val="28"/>
          <w:szCs w:val="28"/>
        </w:rPr>
        <w:t>Клиничесская онкология. 2015 Бер 21; 1(17): 1-4.</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Мицик ЮО, Дутка ІЮ, Борис ЮБ, Дац ІВ,</w:t>
      </w:r>
      <w:r w:rsidRPr="00981822">
        <w:rPr>
          <w:rFonts w:ascii="Times New Roman" w:hAnsi="Times New Roman"/>
          <w:color w:val="000000"/>
          <w:sz w:val="28"/>
          <w:szCs w:val="28"/>
        </w:rPr>
        <w:t xml:space="preserve"> </w:t>
      </w:r>
      <w:r w:rsidRPr="00981822">
        <w:rPr>
          <w:rFonts w:ascii="Times New Roman" w:hAnsi="Times New Roman"/>
          <w:sz w:val="28"/>
          <w:szCs w:val="28"/>
        </w:rPr>
        <w:t xml:space="preserve">Комнацька ІМ, Шатинська-Мицик ІС. Особливості використання вимірюваного коефіцієнта дифузії </w:t>
      </w:r>
      <w:r w:rsidRPr="00981822">
        <w:rPr>
          <w:rFonts w:ascii="Times New Roman" w:hAnsi="Times New Roman"/>
          <w:sz w:val="28"/>
          <w:szCs w:val="28"/>
        </w:rPr>
        <w:lastRenderedPageBreak/>
        <w:t xml:space="preserve">дифузійно-зважених зображень МРТ у діагностиці світлоклітинного раку нирки різних ступенів ядерної атипії за Fuhrman. </w:t>
      </w:r>
      <w:r w:rsidRPr="00981822">
        <w:rPr>
          <w:rFonts w:ascii="Times New Roman" w:hAnsi="Times New Roman"/>
          <w:color w:val="000000"/>
          <w:sz w:val="28"/>
          <w:szCs w:val="28"/>
        </w:rPr>
        <w:t>Експериментальна та клінічна фізіологія і біохімія. 2015 Трав 12; 70 (2): 106-110.</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Дутка ІЮ, Борис ЮБ, Дац ІВ, Сало ВМ, Комнацька ІМ та ін. Застосування променевих біомаркерів МРТ для передбачення інтраопераційної крововтрати при виконанні радикальної нефректомії у хворих із нирково-клітинним раком після селективної емболізації. </w:t>
      </w:r>
      <w:r w:rsidRPr="00981822">
        <w:rPr>
          <w:rFonts w:ascii="Times New Roman" w:hAnsi="Times New Roman"/>
          <w:color w:val="000000"/>
          <w:sz w:val="28"/>
          <w:szCs w:val="28"/>
        </w:rPr>
        <w:t>Експериментальна та клінічна фізіологія і біохімія. 2016 Лют 10; 76(4): 53-59.</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Мицик ЮО, Дутка ІЮ, Борис ЮБ, Комнацька ІМ, Дац ІВ, Чернова НВ, Воробець ДЗ. Диференційна діагностика малих ниркових новоутворів ефективність застосування вимірюваного коефіцієнта дифузії дифузійно-зважених зображень МРТ у якості променевого біомаркеру нирково-клітинного раку.</w:t>
      </w:r>
      <w:r w:rsidRPr="00981822">
        <w:rPr>
          <w:rFonts w:ascii="Times New Roman" w:hAnsi="Times New Roman"/>
          <w:color w:val="000000"/>
          <w:sz w:val="28"/>
          <w:szCs w:val="28"/>
        </w:rPr>
        <w:t xml:space="preserve"> Здоровье Мужчины. 2016 Груд 23; 4(59): 105-110.</w:t>
      </w:r>
    </w:p>
    <w:p w:rsidR="0061473E" w:rsidRPr="009E6C7E" w:rsidRDefault="0061473E" w:rsidP="00DE6E24">
      <w:pPr>
        <w:pStyle w:val="NoSpacing"/>
        <w:numPr>
          <w:ilvl w:val="0"/>
          <w:numId w:val="9"/>
        </w:numPr>
        <w:spacing w:line="360" w:lineRule="auto"/>
        <w:jc w:val="both"/>
        <w:rPr>
          <w:rFonts w:ascii="Times New Roman" w:hAnsi="Times New Roman"/>
          <w:color w:val="000000"/>
          <w:sz w:val="28"/>
          <w:szCs w:val="28"/>
          <w:lang w:val="ru-RU"/>
        </w:rPr>
      </w:pPr>
      <w:r w:rsidRPr="00981822">
        <w:rPr>
          <w:rFonts w:ascii="Times New Roman" w:hAnsi="Times New Roman"/>
          <w:sz w:val="28"/>
          <w:szCs w:val="28"/>
        </w:rPr>
        <w:t xml:space="preserve">Мицик ЮО, Дутка ІЮ, Борис ЮБ, Комнацька ІМ, Іллюк ПО, Мицик ОІ, та ін. Застосування променевих біомаркерів МРТ для діагностики локального рецидиву при локалізованому чи локально-розповсюдженому нирково-клітинному раку після нефректомії. </w:t>
      </w:r>
      <w:r w:rsidRPr="00981822">
        <w:rPr>
          <w:rFonts w:ascii="Times New Roman" w:hAnsi="Times New Roman"/>
          <w:sz w:val="28"/>
          <w:szCs w:val="28"/>
          <w:shd w:val="clear" w:color="auto" w:fill="FFFFFF"/>
        </w:rPr>
        <w:t xml:space="preserve">Матеріали </w:t>
      </w:r>
      <w:r w:rsidRPr="00981822">
        <w:rPr>
          <w:rFonts w:ascii="Times New Roman" w:hAnsi="Times New Roman"/>
          <w:sz w:val="28"/>
          <w:szCs w:val="28"/>
          <w:shd w:val="clear" w:color="auto" w:fill="FFFFFF"/>
          <w:lang w:val="en-US"/>
        </w:rPr>
        <w:t>XVI</w:t>
      </w:r>
      <w:r w:rsidRPr="00981822">
        <w:rPr>
          <w:rFonts w:ascii="Times New Roman" w:hAnsi="Times New Roman"/>
          <w:sz w:val="28"/>
          <w:szCs w:val="28"/>
          <w:shd w:val="clear" w:color="auto" w:fill="FFFFFF"/>
        </w:rPr>
        <w:t xml:space="preserve"> З’їзду Всеукраїнського лікарського товариства; 2017 Вер 28; Кам’янець-Подільський; с.165-166.</w:t>
      </w:r>
    </w:p>
    <w:p w:rsidR="0061473E" w:rsidRPr="0099000A" w:rsidRDefault="0061473E" w:rsidP="00DE6E24">
      <w:pPr>
        <w:pStyle w:val="NoSpacing"/>
        <w:numPr>
          <w:ilvl w:val="0"/>
          <w:numId w:val="9"/>
        </w:numPr>
        <w:spacing w:line="360" w:lineRule="auto"/>
        <w:jc w:val="both"/>
        <w:rPr>
          <w:rFonts w:ascii="Times New Roman" w:hAnsi="Times New Roman"/>
          <w:color w:val="000000"/>
          <w:sz w:val="28"/>
          <w:szCs w:val="28"/>
          <w:lang w:val="ru-RU"/>
        </w:rPr>
      </w:pPr>
      <w:r w:rsidRPr="00981822">
        <w:rPr>
          <w:rFonts w:ascii="Times New Roman" w:hAnsi="Times New Roman"/>
          <w:sz w:val="28"/>
          <w:szCs w:val="28"/>
        </w:rPr>
        <w:t xml:space="preserve">Мицик ЮО, Дутка ІЮ, Комнацька ІМ, Мотринець НП, Борис ЮБ. Променеві біомаркери на основі даних мультифазної КТ у диференціації нирково-клітинного раку. </w:t>
      </w:r>
      <w:r w:rsidRPr="00981822">
        <w:rPr>
          <w:rFonts w:ascii="Times New Roman" w:hAnsi="Times New Roman"/>
          <w:color w:val="000000"/>
          <w:sz w:val="28"/>
          <w:szCs w:val="28"/>
        </w:rPr>
        <w:t xml:space="preserve">Матеріали </w:t>
      </w:r>
      <w:r w:rsidRPr="00981822">
        <w:rPr>
          <w:rFonts w:ascii="Times New Roman" w:hAnsi="Times New Roman"/>
          <w:sz w:val="28"/>
          <w:szCs w:val="28"/>
        </w:rPr>
        <w:t>6-го національного конгресу з міжнародною участю «Радіологія в Україні». 2018 Бер 28-30; Ірпінь. с.23.</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Мицик ЮО,</w:t>
      </w:r>
      <w:r w:rsidRPr="00981822">
        <w:rPr>
          <w:rFonts w:ascii="Times New Roman" w:eastAsia="Newton-Regular" w:hAnsi="Times New Roman"/>
          <w:sz w:val="28"/>
          <w:szCs w:val="28"/>
        </w:rPr>
        <w:t xml:space="preserve"> Іллюк ПО, Чернова НВ, Мицик ОІ. </w:t>
      </w:r>
      <w:r w:rsidRPr="00981822">
        <w:rPr>
          <w:rFonts w:ascii="Times New Roman" w:hAnsi="Times New Roman"/>
          <w:bCs/>
          <w:sz w:val="28"/>
          <w:szCs w:val="28"/>
        </w:rPr>
        <w:t xml:space="preserve">Рак нирки в україні: аналіз основних показників захворюваності та смертності. </w:t>
      </w:r>
      <w:r w:rsidRPr="00981822">
        <w:rPr>
          <w:rFonts w:ascii="Times New Roman" w:hAnsi="Times New Roman"/>
          <w:sz w:val="28"/>
          <w:szCs w:val="28"/>
        </w:rPr>
        <w:t>Медичний форум. 2016 Вер 10; 9(9): 42-44.</w:t>
      </w:r>
    </w:p>
    <w:p w:rsidR="0061473E" w:rsidRPr="009E6C7E" w:rsidRDefault="0061473E" w:rsidP="00DE6E24">
      <w:pPr>
        <w:pStyle w:val="NoSpacing"/>
        <w:numPr>
          <w:ilvl w:val="0"/>
          <w:numId w:val="9"/>
        </w:numPr>
        <w:spacing w:line="360" w:lineRule="auto"/>
        <w:jc w:val="both"/>
        <w:rPr>
          <w:rFonts w:ascii="Times New Roman" w:hAnsi="Times New Roman"/>
          <w:color w:val="000000"/>
          <w:sz w:val="28"/>
          <w:szCs w:val="28"/>
          <w:lang w:val="ru-RU"/>
        </w:rPr>
      </w:pPr>
      <w:r w:rsidRPr="00981822">
        <w:rPr>
          <w:rFonts w:ascii="Times New Roman" w:hAnsi="Times New Roman"/>
          <w:sz w:val="28"/>
          <w:szCs w:val="28"/>
        </w:rPr>
        <w:t xml:space="preserve">Мицик ЮО, Ільчишин ОС, Дац ІВ, Мицик ОІ, Чернова НВ. </w:t>
      </w:r>
      <w:r w:rsidRPr="00981822">
        <w:rPr>
          <w:rFonts w:ascii="Times New Roman" w:hAnsi="Times New Roman"/>
          <w:bCs/>
          <w:sz w:val="28"/>
          <w:szCs w:val="28"/>
        </w:rPr>
        <w:t xml:space="preserve">Использование диффузно-взвешенной визуализации магнитно-резонансной томографии для диагностики почечно-клеточного рака. </w:t>
      </w:r>
      <w:r w:rsidRPr="00981822">
        <w:rPr>
          <w:rFonts w:ascii="Times New Roman" w:eastAsia="TimesNewRomanPS-BoldMT" w:hAnsi="Times New Roman"/>
          <w:bCs/>
          <w:sz w:val="28"/>
          <w:szCs w:val="28"/>
        </w:rPr>
        <w:t>Сборник научных статей Республиканской научно-практической конференции посвященной 25-</w:t>
      </w:r>
      <w:r w:rsidRPr="00981822">
        <w:rPr>
          <w:rFonts w:ascii="Times New Roman" w:eastAsia="TimesNewRomanPS-BoldMT" w:hAnsi="Times New Roman"/>
          <w:bCs/>
          <w:sz w:val="28"/>
          <w:szCs w:val="28"/>
        </w:rPr>
        <w:lastRenderedPageBreak/>
        <w:t>летию основания учреждения образования «Гомельский государственный медицинский университет»; 2015</w:t>
      </w:r>
      <w:r w:rsidRPr="009E6C7E">
        <w:rPr>
          <w:rFonts w:ascii="Times New Roman" w:eastAsia="TimesNewRomanPS-BoldMT" w:hAnsi="Times New Roman"/>
          <w:bCs/>
          <w:sz w:val="28"/>
          <w:szCs w:val="28"/>
          <w:lang w:val="ru-RU"/>
        </w:rPr>
        <w:t xml:space="preserve"> </w:t>
      </w:r>
      <w:r w:rsidRPr="00981822">
        <w:rPr>
          <w:rFonts w:ascii="Times New Roman" w:eastAsia="TimesNewRomanPS-BoldMT" w:hAnsi="Times New Roman"/>
          <w:bCs/>
          <w:sz w:val="28"/>
          <w:szCs w:val="28"/>
        </w:rPr>
        <w:t xml:space="preserve">Ноя </w:t>
      </w:r>
      <w:r w:rsidRPr="009E6C7E">
        <w:rPr>
          <w:rFonts w:ascii="Times New Roman" w:eastAsia="TimesNewRomanPS-BoldMT" w:hAnsi="Times New Roman"/>
          <w:bCs/>
          <w:sz w:val="28"/>
          <w:szCs w:val="28"/>
          <w:lang w:val="ru-RU"/>
        </w:rPr>
        <w:t xml:space="preserve">5-6 </w:t>
      </w:r>
      <w:r w:rsidRPr="00981822">
        <w:rPr>
          <w:rFonts w:ascii="Times New Roman" w:eastAsia="TimesNewRomanPS-BoldMT" w:hAnsi="Times New Roman"/>
          <w:bCs/>
          <w:sz w:val="28"/>
          <w:szCs w:val="28"/>
        </w:rPr>
        <w:t>; Гомель, Беларусь; с.699-700.</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Використання дифузійно-зваженої МРТ у діагностиці раку нирки. </w:t>
      </w:r>
      <w:r w:rsidRPr="00981822">
        <w:rPr>
          <w:rFonts w:ascii="Times New Roman" w:hAnsi="Times New Roman"/>
          <w:color w:val="000000"/>
          <w:sz w:val="28"/>
          <w:szCs w:val="28"/>
        </w:rPr>
        <w:t>Шпитальна Хірургія. 2015 Бер 23; 1: 82-85.</w:t>
      </w:r>
    </w:p>
    <w:p w:rsidR="0061473E" w:rsidRPr="009E6C7E" w:rsidRDefault="0061473E" w:rsidP="00DE6E24">
      <w:pPr>
        <w:pStyle w:val="NoSpacing"/>
        <w:numPr>
          <w:ilvl w:val="0"/>
          <w:numId w:val="9"/>
        </w:numPr>
        <w:spacing w:line="360" w:lineRule="auto"/>
        <w:jc w:val="both"/>
        <w:rPr>
          <w:rFonts w:ascii="Times New Roman" w:hAnsi="Times New Roman"/>
          <w:color w:val="000000"/>
          <w:sz w:val="28"/>
          <w:szCs w:val="28"/>
          <w:lang w:val="ru-RU"/>
        </w:rPr>
      </w:pPr>
      <w:r w:rsidRPr="00981822">
        <w:rPr>
          <w:rFonts w:ascii="Times New Roman" w:hAnsi="Times New Roman"/>
          <w:sz w:val="28"/>
          <w:szCs w:val="28"/>
        </w:rPr>
        <w:t xml:space="preserve">Мицик ЮО. Використання мікроРНК-15а у якості діагностичного біомаркеру нирково-клітинного раку. </w:t>
      </w:r>
      <w:r w:rsidRPr="00981822">
        <w:rPr>
          <w:rFonts w:ascii="Times New Roman" w:hAnsi="Times New Roman"/>
          <w:color w:val="000000"/>
          <w:sz w:val="28"/>
          <w:szCs w:val="28"/>
        </w:rPr>
        <w:t>Альманах науки 9(1). Матеріали міжнародної науково-практичної конференції «Наука та майбутнє»; 2017 Лист 29-30; Київ с. 29-34.</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Мицик ЮО. Динаміка показників захворюваності та смертності на рак нирки в Україні сучасний стан проблеми. Шпитальна хірургія. 2015;2:77–82.</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rPr>
        <w:t xml:space="preserve">Мицик ЮО. </w:t>
      </w:r>
      <w:r w:rsidRPr="00981822">
        <w:rPr>
          <w:rFonts w:ascii="Times New Roman" w:hAnsi="Times New Roman"/>
          <w:sz w:val="28"/>
          <w:szCs w:val="28"/>
          <w:shd w:val="clear" w:color="auto" w:fill="FFFFFF"/>
        </w:rPr>
        <w:t>Роль диффузно-взвешенной визуализации магнитно-резонансной томографии в дифференциальной диагностике злокачествен-ных ново-образований почки. Наука молодых. 2014 Ноя 12; 4: 121-127.</w:t>
      </w:r>
    </w:p>
    <w:p w:rsidR="0061473E" w:rsidRPr="009E6C7E"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sz w:val="28"/>
          <w:szCs w:val="28"/>
        </w:rPr>
        <w:t xml:space="preserve">Мицик ЮО. Роль променевих біомаркерів у передбаченні ефективності проведеної селективної емболізації ниркових артерій у хворих із нирково-клітинним раком. </w:t>
      </w:r>
      <w:r w:rsidRPr="00981822">
        <w:rPr>
          <w:rFonts w:ascii="Times New Roman" w:hAnsi="Times New Roman"/>
          <w:sz w:val="28"/>
          <w:szCs w:val="28"/>
          <w:shd w:val="clear" w:color="auto" w:fill="FFFFFF"/>
        </w:rPr>
        <w:t>Матеріали ІІ міжнародної наукової конференції студентів та молодих вчених пам’яті професора І.І.Мітюка. 2017 Гру 08; Вінниця. с.5-6.</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sz w:val="28"/>
          <w:szCs w:val="28"/>
        </w:rPr>
        <w:t xml:space="preserve">Мицик ЮО. Тканинна експресія мікроРНК-15: новітній прогностичний молекулярний біомаркер нирково-клітинного раку. </w:t>
      </w:r>
      <w:r w:rsidRPr="00981822">
        <w:rPr>
          <w:rFonts w:ascii="Times New Roman" w:hAnsi="Times New Roman"/>
          <w:sz w:val="28"/>
          <w:szCs w:val="28"/>
          <w:shd w:val="clear" w:color="auto" w:fill="FFFFFF"/>
        </w:rPr>
        <w:t xml:space="preserve">Матеріали </w:t>
      </w:r>
      <w:r w:rsidRPr="00981822">
        <w:rPr>
          <w:rFonts w:ascii="Times New Roman" w:hAnsi="Times New Roman"/>
          <w:sz w:val="28"/>
          <w:szCs w:val="28"/>
          <w:shd w:val="clear" w:color="auto" w:fill="FFFFFF"/>
          <w:lang w:val="en-US"/>
        </w:rPr>
        <w:t>VI</w:t>
      </w:r>
      <w:r w:rsidRPr="00981822">
        <w:rPr>
          <w:rFonts w:ascii="Times New Roman" w:hAnsi="Times New Roman"/>
          <w:sz w:val="28"/>
          <w:szCs w:val="28"/>
          <w:shd w:val="clear" w:color="auto" w:fill="FFFFFF"/>
        </w:rPr>
        <w:t xml:space="preserve"> Всеукраїнської науково-практичної конференції «Наукові дослідження: перспективи інновацій у суспільстві і розвитку технологій». 2017 Лист 24-25; Харків; с.42-45.</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Москвина ЛВ, Андреева ЮЮ, Мальков ПГ. Прогностические факторы почечноклеточного рака. Архив патологии. 2011;73(6):47–52.</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Носов А, Яковлева С, Атаева А, Любченко Н, Тюляндин А. Молекулярно-биологические факторы прогноза и эффективности лекарственного лечения при диссеминированном раке почки. </w:t>
      </w:r>
      <w:r w:rsidRPr="00981822">
        <w:rPr>
          <w:rFonts w:ascii="Times New Roman" w:hAnsi="Times New Roman"/>
          <w:iCs/>
          <w:color w:val="000000"/>
          <w:sz w:val="28"/>
          <w:szCs w:val="28"/>
          <w:lang w:eastAsia="uk-UA"/>
        </w:rPr>
        <w:t>Онкоурология</w:t>
      </w:r>
      <w:r w:rsidRPr="00981822">
        <w:rPr>
          <w:rFonts w:ascii="Times New Roman" w:hAnsi="Times New Roman"/>
          <w:color w:val="000000"/>
          <w:sz w:val="28"/>
          <w:szCs w:val="28"/>
          <w:lang w:eastAsia="uk-UA"/>
        </w:rPr>
        <w:t xml:space="preserve">. 2014;6(4):23–31.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lastRenderedPageBreak/>
        <w:t>Переверзєв АС, Щукін ДВ, Переверзєв ЮА. Рак нирки з інвазією в нижню порожнисту вену:діагностична та оперативна стратегія,результати лікування. Урологія. 2000;4(4):14–20.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Пертия АР, Манагадзе ЛГ. Локальный рецидив почечно-клеточного рака после радикальной нефрэктомии. Урология. 2006;3:17–9.</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Петерс В, Шевченко Е, Матвеев Б, Волкова И, Калинин А, Михайленко М, и др. Прогностическое значение молекулярно-генетических маркеров у больных раком почки, получающих таргетную терапию. </w:t>
      </w:r>
      <w:r w:rsidRPr="00981822">
        <w:rPr>
          <w:rFonts w:ascii="Times New Roman" w:hAnsi="Times New Roman"/>
          <w:iCs/>
          <w:color w:val="000000"/>
          <w:sz w:val="28"/>
          <w:szCs w:val="28"/>
          <w:lang w:eastAsia="uk-UA"/>
        </w:rPr>
        <w:t>Онкоурология. 2014;</w:t>
      </w:r>
      <w:r w:rsidRPr="00981822">
        <w:rPr>
          <w:rFonts w:ascii="Times New Roman" w:hAnsi="Times New Roman"/>
          <w:color w:val="000000"/>
          <w:sz w:val="28"/>
          <w:szCs w:val="28"/>
          <w:lang w:eastAsia="uk-UA"/>
        </w:rPr>
        <w:t xml:space="preserve">7(4):24–31.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Петерс МВ. Факторы прогноза у больных диссиминированным почечно-клеточным раком [автореферат]. Москва; 2012. 23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Пряничникова МБ, Жаркина ОВ, Гусев АА. Особенности активности лактатдегидрогеназы в крови и моче у больных раком почки мужчин и женщин. Урология. 2008;1:58–60.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Семенова АА. Возможности современных ультразвуковых методик в диагностике новообразований почки [автореферат]. СПб.; 2011. 20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Сенютович РВ, Мойсюк ТГ. Біофізичні маркери раку:(огляд літератури). Галицький лікарський вісник. 2011;18(1):161–3.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Серегин АВ, Лоран ОБ, Ашутян ВР. Факторы прогноза выживаемости при раке почки. Онкоурология. 2009;2:15–21.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Скрипкіна ІЯ, Кондратов ОГ, Циба ЛО,</w:t>
      </w:r>
      <w:r w:rsidRPr="00981822">
        <w:rPr>
          <w:rStyle w:val="st"/>
          <w:rFonts w:ascii="Times New Roman" w:hAnsi="Times New Roman"/>
          <w:sz w:val="28"/>
          <w:szCs w:val="28"/>
        </w:rPr>
        <w:t xml:space="preserve"> Панасенко ГВ, Ніколаєнко ОВ, Романенко АМ,</w:t>
      </w:r>
      <w:r w:rsidRPr="00981822">
        <w:rPr>
          <w:rFonts w:ascii="Times New Roman" w:hAnsi="Times New Roman"/>
          <w:color w:val="000000"/>
          <w:sz w:val="28"/>
          <w:szCs w:val="28"/>
        </w:rPr>
        <w:t xml:space="preserve"> та ін. Виявлення позаклітинної ДНК та ген-специфічного метилування в плазмі крові пацієнтів з раком нирок та товстої кишки. Наука та інновації. 2012;8(6):60–6.</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Соснін МД, Журавчак АЗ. Клініко-морфологічні фактори прогнозу при злоякісних мезенхімальних пухлинах нирок. Андрологія та сексуальна медицина.2011;1-2:28–9.</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Срипкіна ІЯ, Онищенко КВ, Кашпарова ОМ, Григоренко ВМ, Перета ЛВ, Онищук АП, та ін. Визначення статусу метилювання генів LRRC3B, </w:t>
      </w:r>
      <w:r w:rsidRPr="00981822">
        <w:rPr>
          <w:rFonts w:ascii="Times New Roman" w:hAnsi="Times New Roman"/>
          <w:color w:val="000000"/>
          <w:sz w:val="28"/>
          <w:szCs w:val="28"/>
          <w:lang w:eastAsia="uk-UA"/>
        </w:rPr>
        <w:lastRenderedPageBreak/>
        <w:t xml:space="preserve">RASSF1A, APC на позаклітинній ДНК та ДНК пухлини хворих із нирково-клітинним раком. </w:t>
      </w:r>
      <w:r w:rsidRPr="00981822">
        <w:rPr>
          <w:rFonts w:ascii="Times New Roman" w:hAnsi="Times New Roman"/>
          <w:iCs/>
          <w:color w:val="000000"/>
          <w:sz w:val="28"/>
          <w:szCs w:val="28"/>
          <w:lang w:eastAsia="uk-UA"/>
        </w:rPr>
        <w:t>Здоровье мужчины</w:t>
      </w:r>
      <w:r w:rsidRPr="00981822">
        <w:rPr>
          <w:rFonts w:ascii="Times New Roman" w:hAnsi="Times New Roman"/>
          <w:color w:val="000000"/>
          <w:sz w:val="28"/>
          <w:szCs w:val="28"/>
          <w:lang w:eastAsia="uk-UA"/>
        </w:rPr>
        <w:t>. 2015;2:166–70.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Степаненко НО. Мультидетекторна комп’ютерна томографія в діагностиці і діагностичному супроводі хворих на малі інцидентальні об’ємні утворення нирок </w:t>
      </w:r>
      <w:r w:rsidRPr="00981822">
        <w:rPr>
          <w:rFonts w:ascii="Times New Roman" w:hAnsi="Times New Roman"/>
          <w:color w:val="000000"/>
          <w:sz w:val="28"/>
          <w:szCs w:val="28"/>
        </w:rPr>
        <w:t xml:space="preserve">[автореферат]. Київ: </w:t>
      </w:r>
      <w:r w:rsidRPr="00981822">
        <w:rPr>
          <w:rFonts w:ascii="Times New Roman" w:hAnsi="Times New Roman"/>
          <w:color w:val="000000"/>
          <w:sz w:val="28"/>
          <w:szCs w:val="28"/>
          <w:lang w:eastAsia="uk-UA"/>
        </w:rPr>
        <w:t xml:space="preserve">Нац. мед. акад. післядиплом. освіти ім. П. Л. Шупика, Ін-т ядер. медицини та промен. діагностики, Ін-т урології; 2015. 19 с.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eastAsia="uk-UA"/>
        </w:rPr>
        <w:t>Строй О</w:t>
      </w:r>
      <w:r w:rsidRPr="00981822">
        <w:rPr>
          <w:rFonts w:ascii="Times New Roman" w:hAnsi="Times New Roman"/>
          <w:color w:val="000000"/>
          <w:sz w:val="28"/>
          <w:szCs w:val="28"/>
          <w:lang w:val="en-US" w:eastAsia="uk-UA"/>
        </w:rPr>
        <w:t>O</w:t>
      </w:r>
      <w:r w:rsidRPr="00981822">
        <w:rPr>
          <w:rFonts w:ascii="Times New Roman" w:hAnsi="Times New Roman"/>
          <w:color w:val="000000"/>
          <w:sz w:val="28"/>
          <w:szCs w:val="28"/>
          <w:lang w:eastAsia="uk-UA"/>
        </w:rPr>
        <w:t xml:space="preserve">, Банира ОБ, Шуляк ОВ. Цінність Мікро-РНК-508-3р у діагностиці раку нирки. </w:t>
      </w:r>
      <w:r w:rsidRPr="00981822">
        <w:rPr>
          <w:rFonts w:ascii="Times New Roman" w:hAnsi="Times New Roman"/>
          <w:iCs/>
          <w:color w:val="000000"/>
          <w:sz w:val="28"/>
          <w:szCs w:val="28"/>
          <w:lang w:eastAsia="uk-UA"/>
        </w:rPr>
        <w:t>Укр мед часопис</w:t>
      </w:r>
      <w:r w:rsidRPr="00981822">
        <w:rPr>
          <w:rFonts w:ascii="Times New Roman" w:hAnsi="Times New Roman"/>
          <w:color w:val="000000"/>
          <w:sz w:val="28"/>
          <w:szCs w:val="28"/>
          <w:lang w:eastAsia="uk-UA"/>
        </w:rPr>
        <w:t>. 2012;2:1–3.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Тарчинець МВ. Прогностичні фактори рецидивів і метастазування після хірургічного лікування нирково-клітинного раку [автореферат]. Львів; 2005. 45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 xml:space="preserve">Топчій ТВ, Макомела НМ. Можливості магнітнорезонансної томографії для діагностики множинних кіст нирок. Укр радіол журн </w:t>
      </w:r>
      <w:r w:rsidRPr="00981822">
        <w:rPr>
          <w:rFonts w:ascii="Times New Roman" w:hAnsi="Times New Roman"/>
          <w:color w:val="000000"/>
          <w:sz w:val="28"/>
          <w:szCs w:val="28"/>
          <w:lang w:val="en-US"/>
        </w:rPr>
        <w:t>2001</w:t>
      </w:r>
      <w:r w:rsidRPr="00981822">
        <w:rPr>
          <w:rFonts w:ascii="Times New Roman" w:hAnsi="Times New Roman"/>
          <w:color w:val="000000"/>
          <w:sz w:val="28"/>
          <w:szCs w:val="28"/>
        </w:rPr>
        <w:t>;</w:t>
      </w:r>
      <w:r w:rsidRPr="00981822">
        <w:rPr>
          <w:rFonts w:ascii="Times New Roman" w:hAnsi="Times New Roman"/>
          <w:color w:val="000000"/>
          <w:sz w:val="28"/>
          <w:szCs w:val="28"/>
          <w:lang w:val="en-US"/>
        </w:rPr>
        <w:t>1</w:t>
      </w:r>
      <w:r w:rsidRPr="00981822">
        <w:rPr>
          <w:rFonts w:ascii="Times New Roman" w:hAnsi="Times New Roman"/>
          <w:color w:val="000000"/>
          <w:sz w:val="28"/>
          <w:szCs w:val="28"/>
        </w:rPr>
        <w:t>:14–9.</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Ухаль МІ, Рачок ІВ. Застосування рентген-ендоваскулярної емболізації судин для профілактики крововтрати при хірургічному лікуванні ІІІ-ІІ-стадій раку нирки. Урологія. 2006;4:49–51.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Ухаль ОМ, Кваша АН. </w:t>
      </w:r>
      <w:r w:rsidRPr="00981822">
        <w:rPr>
          <w:rFonts w:ascii="Times New Roman" w:hAnsi="Times New Roman"/>
          <w:color w:val="000000"/>
          <w:kern w:val="36"/>
          <w:sz w:val="28"/>
          <w:szCs w:val="28"/>
          <w:lang w:eastAsia="uk-UA"/>
        </w:rPr>
        <w:t xml:space="preserve">Про доцільність скринінгового підходу до діагностики злоякісних пухлинних новоутворень нирок в амбулаторних умовах у пацієнтів групи ризику. Урологія. 2012;16(3):28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shd w:val="clear" w:color="auto" w:fill="FFFFFF"/>
        </w:rPr>
        <w:t>Федоренко ЗП, Гулак ЛО, Рижов АЮ, Горох ЄЛ, Сумкіна ОВ, Куценко ЛБ.</w:t>
      </w:r>
      <w:r w:rsidRPr="00981822">
        <w:rPr>
          <w:rFonts w:ascii="Times New Roman" w:hAnsi="Times New Roman"/>
          <w:color w:val="000000"/>
          <w:sz w:val="28"/>
          <w:szCs w:val="28"/>
          <w:lang w:eastAsia="uk-UA"/>
        </w:rPr>
        <w:t xml:space="preserve"> Особливості розвитку захворюваності на рак сечостатевих органів в Україні після аварії на ЧАЕС. Клиническая онкология. 2013;</w:t>
      </w:r>
      <w:r w:rsidRPr="00981822">
        <w:rPr>
          <w:rFonts w:ascii="Times New Roman" w:hAnsi="Times New Roman"/>
          <w:color w:val="000000"/>
          <w:sz w:val="28"/>
          <w:szCs w:val="28"/>
          <w:shd w:val="clear" w:color="auto" w:fill="FFFFFF"/>
        </w:rPr>
        <w:t>1:</w:t>
      </w:r>
      <w:r w:rsidRPr="00981822">
        <w:rPr>
          <w:rFonts w:ascii="Times New Roman" w:hAnsi="Times New Roman"/>
          <w:color w:val="000000"/>
          <w:sz w:val="28"/>
          <w:szCs w:val="28"/>
          <w:lang w:eastAsia="uk-UA"/>
        </w:rPr>
        <w:t>87–92.</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Федоренко ЗП, Михайлович ЮЙ, Гулак ЛО. Рак в Україні, 1999–2016. В: Бюлетень національного канцер-реєстру України. Київ; 2017. с.1–126.</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Худяшев СА. Методы лучевой диагностики в определении тактики хирургического лечения онкоурологических больных [автореферат]. Москва; 2010. 35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lastRenderedPageBreak/>
        <w:t>Шария МА. Магнитно-резонансная томография в диагностике новообразований почек, мочевых путей и предстательной железы [автореферат]. Москва; 2009. 40 с.</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rPr>
      </w:pPr>
      <w:r w:rsidRPr="00981822">
        <w:rPr>
          <w:rFonts w:ascii="Times New Roman" w:hAnsi="Times New Roman"/>
          <w:color w:val="000000"/>
          <w:sz w:val="28"/>
          <w:szCs w:val="28"/>
        </w:rPr>
        <w:t>Шлыков СС. Оптимизация лучевой диагностики объемных образований почек [автореферат]. Казань; 2012. 24 с.</w:t>
      </w:r>
    </w:p>
    <w:p w:rsidR="0061473E" w:rsidRPr="003C2D2A" w:rsidRDefault="0061473E" w:rsidP="00DE6E24">
      <w:pPr>
        <w:pStyle w:val="ListParagraph"/>
        <w:numPr>
          <w:ilvl w:val="0"/>
          <w:numId w:val="9"/>
        </w:numPr>
        <w:spacing w:after="0"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eastAsia="uk-UA"/>
        </w:rPr>
        <w:t xml:space="preserve">Щукін ДВ. </w:t>
      </w:r>
      <w:r w:rsidRPr="00981822">
        <w:rPr>
          <w:rFonts w:ascii="Times New Roman" w:hAnsi="Times New Roman"/>
          <w:snapToGrid w:val="0"/>
          <w:color w:val="000000"/>
          <w:sz w:val="28"/>
          <w:szCs w:val="28"/>
        </w:rPr>
        <w:t xml:space="preserve">Магнітно-резонансна томографія в диференційній діагностиці нирково-клітинного раку, плануванні органозберігаючих та розширених хірургічних втручань </w:t>
      </w:r>
      <w:r w:rsidRPr="00981822">
        <w:rPr>
          <w:rFonts w:ascii="Times New Roman" w:hAnsi="Times New Roman"/>
          <w:color w:val="000000"/>
          <w:sz w:val="28"/>
          <w:szCs w:val="28"/>
        </w:rPr>
        <w:t xml:space="preserve">[автореферат]. </w:t>
      </w:r>
      <w:r w:rsidRPr="00981822">
        <w:rPr>
          <w:rFonts w:ascii="Times New Roman" w:hAnsi="Times New Roman"/>
          <w:snapToGrid w:val="0"/>
          <w:color w:val="000000"/>
          <w:sz w:val="28"/>
          <w:szCs w:val="28"/>
        </w:rPr>
        <w:t>Київ; 2001. 14 с.</w:t>
      </w:r>
    </w:p>
    <w:p w:rsidR="0061473E" w:rsidRPr="00981822" w:rsidRDefault="0061473E" w:rsidP="00DE6E24">
      <w:pPr>
        <w:pStyle w:val="NoSpacing"/>
        <w:numPr>
          <w:ilvl w:val="0"/>
          <w:numId w:val="9"/>
        </w:numPr>
        <w:spacing w:line="360" w:lineRule="auto"/>
        <w:rPr>
          <w:rFonts w:ascii="Times New Roman" w:hAnsi="Times New Roman"/>
          <w:color w:val="000000"/>
          <w:sz w:val="28"/>
          <w:szCs w:val="28"/>
        </w:rPr>
      </w:pPr>
      <w:r w:rsidRPr="00981822">
        <w:rPr>
          <w:rFonts w:ascii="Times New Roman" w:hAnsi="Times New Roman"/>
          <w:color w:val="000000"/>
          <w:sz w:val="28"/>
          <w:szCs w:val="28"/>
          <w:lang w:val="en-US" w:eastAsia="uk-UA"/>
        </w:rPr>
        <w:t>Abd El Dayem S, El Bohy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w:t>
      </w:r>
      <w:r w:rsidRPr="00981822">
        <w:rPr>
          <w:rFonts w:ascii="Times New Roman" w:hAnsi="Times New Roman"/>
          <w:color w:val="000000"/>
          <w:sz w:val="28"/>
          <w:szCs w:val="28"/>
          <w:lang w:eastAsia="uk-UA"/>
        </w:rPr>
        <w:t>е</w:t>
      </w:r>
      <w:r w:rsidRPr="00981822">
        <w:rPr>
          <w:rFonts w:ascii="Times New Roman" w:hAnsi="Times New Roman"/>
          <w:color w:val="000000"/>
          <w:sz w:val="28"/>
          <w:szCs w:val="28"/>
          <w:lang w:val="en-US" w:eastAsia="uk-UA"/>
        </w:rPr>
        <w:t>l</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El Shehaby</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Value of the Intrarenal Arterial Resistivity Indices and Different Renal Biomarkers for Early Identification of Diabetic Nephropathy in Type 1 Diabetic Patients. </w:t>
      </w:r>
      <w:r w:rsidRPr="00981822">
        <w:rPr>
          <w:rFonts w:ascii="Times New Roman" w:hAnsi="Times New Roman"/>
          <w:iCs/>
          <w:color w:val="000000"/>
          <w:sz w:val="28"/>
          <w:szCs w:val="28"/>
          <w:lang w:val="en-US" w:eastAsia="uk-UA"/>
        </w:rPr>
        <w:t>J Pediatr Endocrinol Metabol</w:t>
      </w:r>
      <w:r w:rsidRPr="00981822">
        <w:rPr>
          <w:rFonts w:ascii="Times New Roman" w:hAnsi="Times New Roman"/>
          <w:iCs/>
          <w:color w:val="000000"/>
          <w:sz w:val="28"/>
          <w:szCs w:val="28"/>
          <w:lang w:eastAsia="uk-UA"/>
        </w:rPr>
        <w:t xml:space="preserve">. </w:t>
      </w:r>
      <w:r w:rsidRPr="00981822">
        <w:rPr>
          <w:rFonts w:ascii="Times New Roman" w:hAnsi="Times New Roman"/>
          <w:color w:val="000000"/>
          <w:sz w:val="28"/>
          <w:szCs w:val="28"/>
          <w:lang w:val="en-US" w:eastAsia="uk-UA"/>
        </w:rPr>
        <w:t>2016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:273–9.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Alshenawy HA. Immunohistochemical Panel for Differentiating Renal Cell Carcinoma with Clear and Papillary Features. </w:t>
      </w:r>
      <w:r w:rsidRPr="00981822">
        <w:rPr>
          <w:rFonts w:ascii="Times New Roman" w:hAnsi="Times New Roman"/>
          <w:iCs/>
          <w:color w:val="000000"/>
          <w:sz w:val="28"/>
          <w:szCs w:val="28"/>
          <w:lang w:val="en-US" w:eastAsia="uk-UA"/>
        </w:rPr>
        <w:t>Pathol Oncol Res</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 xml:space="preserve"> 2015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4):893–9.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Altum E, Martin DR, Wertman R, Lugo-Somolinos A, Fuller ER 3rd, Semelka RC. Nephrogenic systemic fibrosis: change in incidence following a switch in gadolinium agents and adoption of a gadolinium policy – report from two </w:t>
      </w:r>
      <w:smartTag w:uri="urn:schemas-microsoft-com:office:smarttags" w:element="country-region">
        <w:smartTag w:uri="urn:schemas-microsoft-com:office:smarttags" w:element="place">
          <w:r w:rsidRPr="00981822">
            <w:rPr>
              <w:rFonts w:ascii="Times New Roman" w:hAnsi="Times New Roman"/>
              <w:color w:val="000000"/>
              <w:sz w:val="28"/>
              <w:szCs w:val="28"/>
              <w:lang w:val="en-US"/>
            </w:rPr>
            <w:t>U.S.</w:t>
          </w:r>
        </w:smartTag>
      </w:smartTag>
      <w:r w:rsidRPr="00981822">
        <w:rPr>
          <w:rFonts w:ascii="Times New Roman" w:hAnsi="Times New Roman"/>
          <w:color w:val="000000"/>
          <w:sz w:val="28"/>
          <w:szCs w:val="28"/>
          <w:lang w:val="en-US"/>
        </w:rPr>
        <w:t xml:space="preserve"> universities. Radiology. 2009;253:689–96.</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Araki K, Igarashi T, Tobe T, </w:t>
      </w:r>
      <w:r w:rsidRPr="00981822">
        <w:rPr>
          <w:rFonts w:ascii="Times New Roman" w:hAnsi="Times New Roman"/>
          <w:sz w:val="28"/>
          <w:szCs w:val="28"/>
          <w:lang w:val="en-US"/>
        </w:rPr>
        <w:t>Mizoguchi K, Suzuki H, Furuya Y,</w:t>
      </w:r>
      <w:r w:rsidRPr="00981822">
        <w:rPr>
          <w:rFonts w:ascii="Times New Roman" w:hAnsi="Times New Roman"/>
          <w:color w:val="000000"/>
          <w:sz w:val="28"/>
          <w:szCs w:val="28"/>
          <w:lang w:val="en-US"/>
        </w:rPr>
        <w:t xml:space="preserve"> et al. Serum immunosuppressive acidic protein doubling time as a prognostic factor for recurrent renal cell carcinoma after nephrectomy. Urology</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2006;68(6):1178–82.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Atkins MB, Bukowski RM, Escudier BJ, </w:t>
      </w:r>
      <w:r w:rsidRPr="00981822">
        <w:rPr>
          <w:rFonts w:ascii="Times New Roman" w:hAnsi="Times New Roman"/>
          <w:sz w:val="28"/>
          <w:szCs w:val="28"/>
          <w:lang w:val="en-US"/>
        </w:rPr>
        <w:t>Figlin RA, Hudes GH, Kaelin WG Jr</w:t>
      </w:r>
      <w:r w:rsidRPr="00981822">
        <w:rPr>
          <w:rFonts w:ascii="Times New Roman" w:hAnsi="Times New Roman"/>
          <w:lang w:val="en-US"/>
        </w:rPr>
        <w:t xml:space="preserve">, </w:t>
      </w:r>
      <w:r w:rsidRPr="00981822">
        <w:rPr>
          <w:rFonts w:ascii="Times New Roman" w:hAnsi="Times New Roman"/>
          <w:color w:val="000000"/>
          <w:sz w:val="28"/>
          <w:szCs w:val="28"/>
          <w:lang w:val="en-US"/>
        </w:rPr>
        <w:t>et al. Innovations and challenges in renal cancer: summary statement from the Third Cambridge Conference. Cancer</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2009;115(10 Suppl.):2247–51.</w:t>
      </w:r>
    </w:p>
    <w:p w:rsidR="0061473E" w:rsidRPr="00981822" w:rsidRDefault="0061473E" w:rsidP="00DE6E24">
      <w:pPr>
        <w:pStyle w:val="ListParagraph"/>
        <w:numPr>
          <w:ilvl w:val="0"/>
          <w:numId w:val="9"/>
        </w:numPr>
        <w:spacing w:line="360" w:lineRule="auto"/>
        <w:jc w:val="both"/>
        <w:rPr>
          <w:rFonts w:ascii="Times New Roman" w:hAnsi="Times New Roman"/>
          <w:sz w:val="28"/>
          <w:szCs w:val="28"/>
          <w:lang w:val="en-US"/>
        </w:rPr>
      </w:pPr>
      <w:r w:rsidRPr="00981822">
        <w:rPr>
          <w:rFonts w:ascii="Times New Roman" w:hAnsi="Times New Roman"/>
          <w:sz w:val="28"/>
          <w:szCs w:val="28"/>
          <w:lang w:val="en-US"/>
        </w:rPr>
        <w:t>Atkinson AJr, Colburn</w:t>
      </w:r>
      <w:r w:rsidRPr="00981822">
        <w:rPr>
          <w:rFonts w:ascii="Times New Roman" w:hAnsi="Times New Roman"/>
          <w:sz w:val="28"/>
          <w:szCs w:val="28"/>
        </w:rPr>
        <w:t xml:space="preserve"> </w:t>
      </w:r>
      <w:r w:rsidRPr="00981822">
        <w:rPr>
          <w:rFonts w:ascii="Times New Roman" w:hAnsi="Times New Roman"/>
          <w:sz w:val="28"/>
          <w:szCs w:val="28"/>
          <w:lang w:val="en-US"/>
        </w:rPr>
        <w:t>WA, DeGruttola</w:t>
      </w:r>
      <w:r w:rsidRPr="00981822">
        <w:rPr>
          <w:rFonts w:ascii="Times New Roman" w:hAnsi="Times New Roman"/>
          <w:sz w:val="28"/>
          <w:szCs w:val="28"/>
        </w:rPr>
        <w:t xml:space="preserve"> </w:t>
      </w:r>
      <w:r w:rsidRPr="00981822">
        <w:rPr>
          <w:rFonts w:ascii="Times New Roman" w:hAnsi="Times New Roman"/>
          <w:sz w:val="28"/>
          <w:szCs w:val="28"/>
          <w:lang w:val="en-US"/>
        </w:rPr>
        <w:t>VG, DeMets</w:t>
      </w:r>
      <w:r w:rsidRPr="00981822">
        <w:rPr>
          <w:rFonts w:ascii="Times New Roman" w:hAnsi="Times New Roman"/>
          <w:sz w:val="28"/>
          <w:szCs w:val="28"/>
        </w:rPr>
        <w:t xml:space="preserve"> </w:t>
      </w:r>
      <w:r w:rsidRPr="00981822">
        <w:rPr>
          <w:rFonts w:ascii="Times New Roman" w:hAnsi="Times New Roman"/>
          <w:sz w:val="28"/>
          <w:szCs w:val="28"/>
          <w:lang w:val="en-US"/>
        </w:rPr>
        <w:t>DL, Downing</w:t>
      </w:r>
      <w:r w:rsidRPr="00981822">
        <w:rPr>
          <w:rFonts w:ascii="Times New Roman" w:hAnsi="Times New Roman"/>
          <w:sz w:val="28"/>
          <w:szCs w:val="28"/>
        </w:rPr>
        <w:t xml:space="preserve"> </w:t>
      </w:r>
      <w:r w:rsidRPr="00981822">
        <w:rPr>
          <w:rFonts w:ascii="Times New Roman" w:hAnsi="Times New Roman"/>
          <w:sz w:val="28"/>
          <w:szCs w:val="28"/>
          <w:lang w:val="en-US"/>
        </w:rPr>
        <w:t>GJ, Hoth</w:t>
      </w:r>
      <w:r w:rsidRPr="00981822">
        <w:rPr>
          <w:rFonts w:ascii="Times New Roman" w:hAnsi="Times New Roman"/>
          <w:sz w:val="28"/>
          <w:szCs w:val="28"/>
        </w:rPr>
        <w:t xml:space="preserve"> </w:t>
      </w:r>
      <w:r w:rsidRPr="00981822">
        <w:rPr>
          <w:rFonts w:ascii="Times New Roman" w:hAnsi="Times New Roman"/>
          <w:sz w:val="28"/>
          <w:szCs w:val="28"/>
          <w:lang w:val="en-US"/>
        </w:rPr>
        <w:t>DF</w:t>
      </w:r>
      <w:r w:rsidRPr="00981822">
        <w:rPr>
          <w:rFonts w:ascii="Times New Roman" w:hAnsi="Times New Roman"/>
          <w:sz w:val="28"/>
          <w:szCs w:val="28"/>
        </w:rPr>
        <w:t xml:space="preserve">, </w:t>
      </w:r>
      <w:r w:rsidRPr="00981822">
        <w:rPr>
          <w:rFonts w:ascii="Times New Roman" w:hAnsi="Times New Roman"/>
          <w:sz w:val="28"/>
          <w:szCs w:val="28"/>
          <w:lang w:val="en-US" w:eastAsia="uk-UA"/>
        </w:rPr>
        <w:t xml:space="preserve">et al. Biomarkers and Surrogate Endpoints: Preferred Definitions and Conceptual Framework. </w:t>
      </w:r>
      <w:r w:rsidRPr="00981822">
        <w:rPr>
          <w:rFonts w:ascii="Times New Roman" w:hAnsi="Times New Roman"/>
          <w:iCs/>
          <w:sz w:val="28"/>
          <w:szCs w:val="28"/>
          <w:lang w:val="en-US" w:eastAsia="uk-UA"/>
        </w:rPr>
        <w:t>Clin Pharmacol Ther</w:t>
      </w:r>
      <w:r w:rsidRPr="00981822">
        <w:rPr>
          <w:rFonts w:ascii="Times New Roman" w:hAnsi="Times New Roman"/>
          <w:iCs/>
          <w:sz w:val="28"/>
          <w:szCs w:val="28"/>
          <w:lang w:eastAsia="uk-UA"/>
        </w:rPr>
        <w:t>.</w:t>
      </w:r>
      <w:r w:rsidRPr="00981822">
        <w:rPr>
          <w:rFonts w:ascii="Times New Roman" w:hAnsi="Times New Roman"/>
          <w:sz w:val="28"/>
          <w:szCs w:val="28"/>
          <w:lang w:val="en-US" w:eastAsia="uk-UA"/>
        </w:rPr>
        <w:t xml:space="preserve"> 2001</w:t>
      </w:r>
      <w:r w:rsidRPr="00981822">
        <w:rPr>
          <w:rFonts w:ascii="Times New Roman" w:hAnsi="Times New Roman"/>
          <w:sz w:val="28"/>
          <w:szCs w:val="28"/>
          <w:lang w:eastAsia="uk-UA"/>
        </w:rPr>
        <w:t xml:space="preserve"> </w:t>
      </w:r>
      <w:r w:rsidRPr="00981822">
        <w:rPr>
          <w:rFonts w:ascii="Times New Roman" w:hAnsi="Times New Roman"/>
          <w:sz w:val="28"/>
          <w:szCs w:val="28"/>
          <w:lang w:val="en-US" w:eastAsia="uk-UA"/>
        </w:rPr>
        <w:t>Mar</w:t>
      </w:r>
      <w:r w:rsidRPr="00981822">
        <w:rPr>
          <w:rFonts w:ascii="Times New Roman" w:hAnsi="Times New Roman"/>
          <w:sz w:val="28"/>
          <w:szCs w:val="28"/>
          <w:lang w:eastAsia="uk-UA"/>
        </w:rPr>
        <w:t>;</w:t>
      </w:r>
      <w:r w:rsidRPr="00981822">
        <w:rPr>
          <w:rFonts w:ascii="Times New Roman" w:hAnsi="Times New Roman"/>
          <w:sz w:val="28"/>
          <w:szCs w:val="28"/>
          <w:lang w:val="en-US" w:eastAsia="uk-UA"/>
        </w:rPr>
        <w:t>69</w:t>
      </w:r>
      <w:r w:rsidRPr="00981822">
        <w:rPr>
          <w:rFonts w:ascii="Times New Roman" w:hAnsi="Times New Roman"/>
          <w:sz w:val="28"/>
          <w:szCs w:val="28"/>
          <w:lang w:eastAsia="uk-UA"/>
        </w:rPr>
        <w:t>(</w:t>
      </w:r>
      <w:r w:rsidRPr="00981822">
        <w:rPr>
          <w:rFonts w:ascii="Times New Roman" w:hAnsi="Times New Roman"/>
          <w:sz w:val="28"/>
          <w:szCs w:val="28"/>
          <w:lang w:val="en-US" w:eastAsia="uk-UA"/>
        </w:rPr>
        <w:t xml:space="preserve">3):89–95.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lastRenderedPageBreak/>
        <w:t>Atri M, Tabatabaeifar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Jang</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Finelli</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Moshonov</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Jewett</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ml:space="preserve">. Accuracy of Contrast-Enhanced US for Differentiating Benign from Malignant Solid Small Renal Masses. </w:t>
      </w:r>
      <w:r w:rsidRPr="00981822">
        <w:rPr>
          <w:rFonts w:ascii="Times New Roman" w:hAnsi="Times New Roman"/>
          <w:iCs/>
          <w:color w:val="000000"/>
          <w:sz w:val="28"/>
          <w:szCs w:val="28"/>
          <w:lang w:val="en-US" w:eastAsia="uk-UA"/>
        </w:rPr>
        <w:t>Radiology</w:t>
      </w:r>
      <w:r w:rsidRPr="00981822">
        <w:rPr>
          <w:rFonts w:ascii="Times New Roman" w:hAnsi="Times New Roman"/>
          <w:iCs/>
          <w:color w:val="000000"/>
          <w:sz w:val="28"/>
          <w:szCs w:val="28"/>
          <w:lang w:eastAsia="uk-UA"/>
        </w:rPr>
        <w:t xml:space="preserve">. </w:t>
      </w:r>
      <w:r w:rsidRPr="00981822">
        <w:rPr>
          <w:rFonts w:ascii="Times New Roman" w:hAnsi="Times New Roman"/>
          <w:color w:val="000000"/>
          <w:sz w:val="28"/>
          <w:szCs w:val="28"/>
          <w:lang w:val="en-US" w:eastAsia="uk-UA"/>
        </w:rPr>
        <w:t>2015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276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3):900–8.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Banks RE, Craven RA, Harnden P, Madaan S, Joyce A, Selby PJ. Key clinical issues in renal cancer: a challenge for proteomics. World J Urol 2007;25(6):537–56.</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Banks RE, Tirukonda P, Taylor C, Hornigold N, Astuti D, Cohen D, et al. Genetic and epigenetic analysis of von Hippel-Lindau (VHL) gene alterations and relationship with clinical variables in sporadic renal cancer. Cancer Res. 2006;66(4):2000–11.</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Banumathy G, </w:t>
      </w:r>
      <w:smartTag w:uri="urn:schemas-microsoft-com:office:smarttags" w:element="City">
        <w:smartTag w:uri="urn:schemas-microsoft-com:office:smarttags" w:element="place">
          <w:r w:rsidRPr="00981822">
            <w:rPr>
              <w:rFonts w:ascii="Times New Roman" w:hAnsi="Times New Roman"/>
              <w:color w:val="000000"/>
              <w:sz w:val="28"/>
              <w:szCs w:val="28"/>
              <w:lang w:val="en-US" w:eastAsia="uk-UA"/>
            </w:rPr>
            <w:t>Cairns</w:t>
          </w:r>
        </w:smartTag>
      </w:smartTag>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xml:space="preserve">. Signaling Pathways in Renal Cell Carcinoma. </w:t>
      </w:r>
      <w:r w:rsidRPr="00981822">
        <w:rPr>
          <w:rFonts w:ascii="Times New Roman" w:hAnsi="Times New Roman"/>
          <w:iCs/>
          <w:color w:val="000000"/>
          <w:sz w:val="28"/>
          <w:szCs w:val="28"/>
          <w:lang w:val="en-US" w:eastAsia="uk-UA"/>
        </w:rPr>
        <w:t>Cancer Biol Ther</w:t>
      </w:r>
      <w:r w:rsidRPr="00981822">
        <w:rPr>
          <w:rFonts w:ascii="Times New Roman" w:hAnsi="Times New Roman"/>
          <w:iCs/>
          <w:color w:val="000000"/>
          <w:sz w:val="28"/>
          <w:szCs w:val="28"/>
          <w:lang w:eastAsia="uk-UA"/>
        </w:rPr>
        <w:t xml:space="preserve">. </w:t>
      </w:r>
      <w:r w:rsidRPr="00981822">
        <w:rPr>
          <w:rFonts w:ascii="Times New Roman" w:hAnsi="Times New Roman"/>
          <w:color w:val="000000"/>
          <w:sz w:val="28"/>
          <w:szCs w:val="28"/>
          <w:lang w:val="en-US" w:eastAsia="uk-UA"/>
        </w:rPr>
        <w:t>2010</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Oct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7):658–64. doi:10.4161/cbt.10.7.13247.</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Bera A, Das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Ghosh-Choudhury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Kasinath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BS, Abboud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HE, Choudhury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GG. </w:t>
      </w:r>
      <w:r w:rsidRPr="00981822">
        <w:rPr>
          <w:rFonts w:ascii="Times New Roman" w:hAnsi="Times New Roman"/>
          <w:color w:val="000000"/>
          <w:sz w:val="28"/>
          <w:szCs w:val="28"/>
          <w:lang w:eastAsia="uk-UA"/>
        </w:rPr>
        <w:t>М</w:t>
      </w:r>
      <w:r w:rsidRPr="00981822">
        <w:rPr>
          <w:rFonts w:ascii="Times New Roman" w:hAnsi="Times New Roman"/>
          <w:color w:val="000000"/>
          <w:sz w:val="28"/>
          <w:szCs w:val="28"/>
          <w:lang w:val="en-US" w:eastAsia="uk-UA"/>
        </w:rPr>
        <w:t xml:space="preserve">icroRNA-21-Induced Dissociation of PDCD4 from Rictor Contributes to Akt-IKKβ-mTORC1 Axis to Regulate Renal Cancer Cell Invasion. </w:t>
      </w:r>
      <w:r w:rsidRPr="00981822">
        <w:rPr>
          <w:rFonts w:ascii="Times New Roman" w:hAnsi="Times New Roman"/>
          <w:iCs/>
          <w:color w:val="000000"/>
          <w:sz w:val="28"/>
          <w:szCs w:val="28"/>
          <w:lang w:val="en-US" w:eastAsia="uk-UA"/>
        </w:rPr>
        <w:t>Exp Cell Res</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 xml:space="preserve"> 2014</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Oct 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328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1):99–117. </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Beuselinck B, Job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Becht</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Karadimou</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Verkarre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 Couchy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G, et al. Molecular Subtypes of Clear Cell Renal Cell Carcinoma Are Associated with Sunitinib Response in the Metastatic Setting. </w:t>
      </w:r>
      <w:r w:rsidRPr="00981822">
        <w:rPr>
          <w:rFonts w:ascii="Times New Roman" w:hAnsi="Times New Roman"/>
          <w:iCs/>
          <w:color w:val="000000"/>
          <w:sz w:val="28"/>
          <w:szCs w:val="28"/>
          <w:lang w:val="en-US" w:eastAsia="uk-UA"/>
        </w:rPr>
        <w:t>Clin Cancer Res</w:t>
      </w:r>
      <w:r w:rsidRPr="00981822">
        <w:rPr>
          <w:rFonts w:ascii="Times New Roman" w:hAnsi="Times New Roman"/>
          <w:iCs/>
          <w:color w:val="000000"/>
          <w:sz w:val="28"/>
          <w:szCs w:val="28"/>
          <w:lang w:eastAsia="uk-UA"/>
        </w:rPr>
        <w:t xml:space="preserve">. </w:t>
      </w:r>
      <w:r w:rsidRPr="00981822">
        <w:rPr>
          <w:rFonts w:ascii="Times New Roman" w:hAnsi="Times New Roman"/>
          <w:color w:val="000000"/>
          <w:sz w:val="28"/>
          <w:szCs w:val="28"/>
          <w:lang w:val="en-US" w:eastAsia="uk-UA"/>
        </w:rPr>
        <w:t>2015</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Mar 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6):1329–39. doi:10.1158/1078-0432.CCR-14-1128.</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Birkenkamp-Demtröder K, Nordentoft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 Christensen</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H</w:t>
      </w:r>
      <w:r w:rsidRPr="00981822">
        <w:rPr>
          <w:rFonts w:ascii="Times New Roman" w:hAnsi="Times New Roman"/>
          <w:color w:val="000000"/>
          <w:sz w:val="28"/>
          <w:szCs w:val="28"/>
          <w:lang w:eastAsia="uk-UA"/>
        </w:rPr>
        <w:t>о</w:t>
      </w:r>
      <w:r w:rsidRPr="00981822">
        <w:rPr>
          <w:rFonts w:ascii="Times New Roman" w:hAnsi="Times New Roman"/>
          <w:color w:val="000000"/>
          <w:sz w:val="28"/>
          <w:szCs w:val="28"/>
          <w:lang w:val="en-US" w:eastAsia="uk-UA"/>
        </w:rPr>
        <w:t>yer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Reinert</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Vang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 et al. Genomic Alterations in Liquid Biopsies from Patients with Bladder Cancer. </w:t>
      </w:r>
      <w:r w:rsidRPr="00981822">
        <w:rPr>
          <w:rFonts w:ascii="Times New Roman" w:hAnsi="Times New Roman"/>
          <w:iCs/>
          <w:color w:val="000000"/>
          <w:sz w:val="28"/>
          <w:szCs w:val="28"/>
          <w:lang w:val="en-US" w:eastAsia="uk-UA"/>
        </w:rPr>
        <w:t>Eur Urol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2016</w:t>
      </w:r>
      <w:r w:rsidRPr="00981822">
        <w:rPr>
          <w:lang w:val="en-US"/>
        </w:rPr>
        <w:t xml:space="preserve"> </w:t>
      </w:r>
      <w:r w:rsidRPr="00981822">
        <w:rPr>
          <w:rFonts w:ascii="Times New Roman" w:hAnsi="Times New Roman"/>
          <w:sz w:val="28"/>
          <w:szCs w:val="28"/>
          <w:lang w:val="en-US"/>
        </w:rPr>
        <w:t>Jul;70(1):75</w:t>
      </w:r>
      <w:r w:rsidRPr="00981822">
        <w:rPr>
          <w:rFonts w:ascii="Times New Roman" w:hAnsi="Times New Roman"/>
          <w:sz w:val="28"/>
          <w:szCs w:val="28"/>
        </w:rPr>
        <w:t>–</w:t>
      </w:r>
      <w:r w:rsidRPr="00981822">
        <w:rPr>
          <w:rFonts w:ascii="Times New Roman" w:hAnsi="Times New Roman"/>
          <w:sz w:val="28"/>
          <w:szCs w:val="28"/>
          <w:lang w:val="en-US"/>
        </w:rPr>
        <w:t>82</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Birnbaum BA, Jacobs JE, Ramchandani P. Multiphasic renal CT: comparison of renal mass enhancement during the corticomedullary and nephrographic phases. Radiology. 1996;200</w:t>
      </w:r>
      <w:r w:rsidRPr="00981822">
        <w:rPr>
          <w:rFonts w:ascii="Times New Roman" w:hAnsi="Times New Roman"/>
          <w:color w:val="000000"/>
          <w:sz w:val="28"/>
          <w:szCs w:val="28"/>
        </w:rPr>
        <w:t>(3)</w:t>
      </w:r>
      <w:r w:rsidRPr="00981822">
        <w:rPr>
          <w:rFonts w:ascii="Times New Roman" w:hAnsi="Times New Roman"/>
          <w:color w:val="000000"/>
          <w:sz w:val="28"/>
          <w:szCs w:val="28"/>
          <w:lang w:val="en-US"/>
        </w:rPr>
        <w:t>:753–8.</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t xml:space="preserve">Blom JH, </w:t>
      </w:r>
      <w:r w:rsidRPr="00981822">
        <w:rPr>
          <w:rFonts w:ascii="Times New Roman" w:hAnsi="Times New Roman"/>
          <w:sz w:val="28"/>
          <w:szCs w:val="28"/>
          <w:lang w:val="en-US"/>
        </w:rPr>
        <w:t>van Poppel H, Maréchal JM, Jacqmin D, Schröder FH, de Prijck L</w:t>
      </w:r>
      <w:r w:rsidRPr="00981822">
        <w:rPr>
          <w:rFonts w:ascii="Times New Roman" w:hAnsi="Times New Roman"/>
          <w:lang w:val="en-US"/>
        </w:rPr>
        <w:t>,</w:t>
      </w:r>
      <w:r w:rsidRPr="00981822">
        <w:rPr>
          <w:rFonts w:ascii="Times New Roman" w:hAnsi="Times New Roman"/>
          <w:color w:val="000000"/>
          <w:sz w:val="28"/>
          <w:szCs w:val="28"/>
          <w:lang w:val="en-US" w:eastAsia="uk-UA"/>
        </w:rPr>
        <w:t xml:space="preserve"> et al. Radical nephrectomy with and without lymph-node dissection: final results of </w:t>
      </w:r>
      <w:r w:rsidRPr="00981822">
        <w:rPr>
          <w:rFonts w:ascii="Times New Roman" w:hAnsi="Times New Roman"/>
          <w:color w:val="000000"/>
          <w:sz w:val="28"/>
          <w:szCs w:val="28"/>
          <w:lang w:val="en-US" w:eastAsia="uk-UA"/>
        </w:rPr>
        <w:lastRenderedPageBreak/>
        <w:t>European Organization for Research and Treatment of Cancer (EORTC) randomized phase 3 trial 30881. Eur Urol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2009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55</w:t>
      </w:r>
      <w:r w:rsidRPr="00981822">
        <w:rPr>
          <w:rFonts w:ascii="Times New Roman" w:hAnsi="Times New Roman"/>
          <w:color w:val="000000"/>
          <w:sz w:val="28"/>
          <w:szCs w:val="28"/>
          <w:lang w:eastAsia="uk-UA"/>
        </w:rPr>
        <w:t>(1)</w:t>
      </w:r>
      <w:r w:rsidRPr="00981822">
        <w:rPr>
          <w:rFonts w:ascii="Times New Roman" w:hAnsi="Times New Roman"/>
          <w:color w:val="000000"/>
          <w:sz w:val="28"/>
          <w:szCs w:val="28"/>
          <w:lang w:val="en-US" w:eastAsia="uk-UA"/>
        </w:rPr>
        <w:t>:28</w:t>
      </w:r>
      <w:r w:rsidRPr="00981822">
        <w:rPr>
          <w:rFonts w:ascii="Times New Roman" w:hAnsi="Times New Roman"/>
          <w:color w:val="000000"/>
          <w:sz w:val="28"/>
          <w:szCs w:val="28"/>
          <w:lang w:eastAsia="uk-UA"/>
        </w:rPr>
        <w:t>–34</w:t>
      </w:r>
      <w:r w:rsidRPr="00981822">
        <w:rPr>
          <w:rFonts w:ascii="Times New Roman" w:hAnsi="Times New Roman"/>
          <w:color w:val="000000"/>
          <w:sz w:val="28"/>
          <w:szCs w:val="28"/>
          <w:lang w:val="en-US" w:eastAsia="uk-UA"/>
        </w:rPr>
        <w:t>.</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Blute M, Prince J, Bultman E, Hinshaw L, Drewry A, Best S, et al. MP44-16 Predictors of non-diagnostic renal mass biopsy. The Journal of Urology. 2015 Apr;193(4):e532.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pl-PL"/>
        </w:rPr>
        <w:t xml:space="preserve">Boffetta P, Fontana L, Stewart P, </w:t>
      </w:r>
      <w:r w:rsidRPr="00981822">
        <w:rPr>
          <w:rFonts w:ascii="Times New Roman" w:hAnsi="Times New Roman"/>
          <w:sz w:val="28"/>
          <w:szCs w:val="28"/>
          <w:lang w:val="pl-PL"/>
        </w:rPr>
        <w:t>Zaridze D, Szeszenia-Dabrowska N, Janout V</w:t>
      </w:r>
      <w:r w:rsidRPr="00981822">
        <w:rPr>
          <w:rFonts w:ascii="Times New Roman" w:hAnsi="Times New Roman"/>
          <w:sz w:val="28"/>
          <w:szCs w:val="28"/>
        </w:rPr>
        <w:t>,</w:t>
      </w:r>
      <w:r w:rsidRPr="00981822">
        <w:rPr>
          <w:rFonts w:ascii="Times New Roman" w:hAnsi="Times New Roman"/>
          <w:color w:val="000000"/>
          <w:sz w:val="28"/>
          <w:szCs w:val="28"/>
          <w:lang w:val="pl-PL"/>
        </w:rPr>
        <w:t xml:space="preserve"> et al. </w:t>
      </w:r>
      <w:r w:rsidRPr="00981822">
        <w:rPr>
          <w:rFonts w:ascii="Times New Roman" w:hAnsi="Times New Roman"/>
          <w:color w:val="000000"/>
          <w:sz w:val="28"/>
          <w:szCs w:val="28"/>
          <w:lang w:val="en-US"/>
        </w:rPr>
        <w:t>Occupational exposure to arsenic, cadmium, chromium, lead and nickel, and renal cell carcinoma: a case–control study from Central and Eastern Europe. Occup Environ Med. 2011Oct;68</w:t>
      </w:r>
      <w:r w:rsidRPr="00981822">
        <w:rPr>
          <w:rFonts w:ascii="Times New Roman" w:hAnsi="Times New Roman"/>
          <w:color w:val="000000"/>
          <w:sz w:val="28"/>
          <w:szCs w:val="28"/>
        </w:rPr>
        <w:t>(10)</w:t>
      </w:r>
      <w:r w:rsidRPr="00981822">
        <w:rPr>
          <w:rFonts w:ascii="Times New Roman" w:hAnsi="Times New Roman"/>
          <w:color w:val="000000"/>
          <w:sz w:val="28"/>
          <w:szCs w:val="28"/>
          <w:lang w:val="en-US"/>
        </w:rPr>
        <w:t>:723–8.</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Boguslawska J, Wojcicka</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Piekielko-Witkowska</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Master</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Nauman</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MiR-224 Targets the 3′UTR of Type 1 5′-Iodothyronine Deiodinase Possibly Contributing to Tissue Hypothyroidism in Renal Cancer. </w:t>
      </w:r>
      <w:r w:rsidRPr="00981822">
        <w:rPr>
          <w:rFonts w:ascii="Times New Roman" w:hAnsi="Times New Roman"/>
          <w:iCs/>
          <w:color w:val="000000"/>
          <w:sz w:val="28"/>
          <w:szCs w:val="28"/>
          <w:lang w:val="en-US" w:eastAsia="uk-UA"/>
        </w:rPr>
        <w:t>PLOS ONE</w:t>
      </w:r>
      <w:r w:rsidRPr="00981822">
        <w:rPr>
          <w:rFonts w:ascii="Times New Roman" w:hAnsi="Times New Roman"/>
          <w:iCs/>
          <w:color w:val="000000"/>
          <w:sz w:val="28"/>
          <w:szCs w:val="28"/>
          <w:lang w:eastAsia="uk-UA"/>
        </w:rPr>
        <w:t>. 2011;</w:t>
      </w:r>
      <w:r w:rsidRPr="00981822">
        <w:rPr>
          <w:rFonts w:ascii="Times New Roman" w:hAnsi="Times New Roman"/>
          <w:color w:val="000000"/>
          <w:sz w:val="28"/>
          <w:szCs w:val="28"/>
          <w:lang w:val="en-US" w:eastAsia="uk-UA"/>
        </w:rPr>
        <w:t>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9):e24541. doi:10.1371/journal.pone.0024541.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Bosniak MA. The Current Radiological Approach to Renal Cysts. </w:t>
      </w:r>
      <w:r w:rsidRPr="00981822">
        <w:rPr>
          <w:rFonts w:ascii="Times New Roman" w:hAnsi="Times New Roman"/>
          <w:iCs/>
          <w:color w:val="000000"/>
          <w:sz w:val="28"/>
          <w:szCs w:val="28"/>
          <w:lang w:val="en-US" w:eastAsia="uk-UA"/>
        </w:rPr>
        <w:t>Radiology</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 xml:space="preserve"> 1986</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158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1):1–10. doi:10.1148/radiology.158.1.3510019.</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Braunagel M, Birnbacher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Willner</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Marschner</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De Marco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Viermetz</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ml:space="preserve">, et al. Qualitative and Quantitative Imaging Evaluation of Renal Cell Carcinoma Subtypes with Grating-Based X-Ray Phase-Contrast CT. </w:t>
      </w:r>
      <w:r w:rsidRPr="00981822">
        <w:rPr>
          <w:rFonts w:ascii="Times New Roman" w:hAnsi="Times New Roman"/>
          <w:iCs/>
          <w:color w:val="000000"/>
          <w:sz w:val="28"/>
          <w:szCs w:val="28"/>
          <w:lang w:val="en-US" w:eastAsia="uk-UA"/>
        </w:rPr>
        <w:t>Scientific Reports</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March 31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7:45400.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Brierley JD,</w:t>
      </w:r>
      <w:r w:rsidRPr="00981822">
        <w:rPr>
          <w:lang w:val="en-US"/>
        </w:rPr>
        <w:t xml:space="preserve"> </w:t>
      </w:r>
      <w:r w:rsidRPr="00981822">
        <w:rPr>
          <w:rFonts w:ascii="Times New Roman" w:hAnsi="Times New Roman"/>
          <w:sz w:val="28"/>
          <w:szCs w:val="28"/>
          <w:lang w:val="en-US"/>
        </w:rPr>
        <w:t>Gospodarowicz MK, Wittekind C, editors.</w:t>
      </w:r>
      <w:r w:rsidRPr="00981822">
        <w:rPr>
          <w:rFonts w:ascii="Times New Roman" w:hAnsi="Times New Roman"/>
          <w:color w:val="000000"/>
          <w:sz w:val="28"/>
          <w:szCs w:val="28"/>
          <w:lang w:val="en-US"/>
        </w:rPr>
        <w:t xml:space="preserve"> TNM classification of malignant tumors. 8th edn. Wiley-Blackwell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2017. 272</w:t>
      </w:r>
      <w:r w:rsidRPr="00981822">
        <w:rPr>
          <w:rFonts w:ascii="Times New Roman" w:hAnsi="Times New Roman"/>
          <w:color w:val="000000"/>
          <w:sz w:val="28"/>
          <w:szCs w:val="28"/>
        </w:rPr>
        <w:t xml:space="preserve"> р</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Broome DR, Girguis MS, Baron PW, Cottrell AC, Kjellin I, Kirk GA. Gadodiamide-associated nephrogenic systemic fibrosis: why radiologists should be concerned. </w:t>
      </w:r>
      <w:r w:rsidRPr="00981822">
        <w:rPr>
          <w:rFonts w:ascii="Times New Roman" w:hAnsi="Times New Roman"/>
          <w:iCs/>
          <w:color w:val="000000"/>
          <w:sz w:val="28"/>
          <w:szCs w:val="28"/>
          <w:lang w:val="en-US" w:eastAsia="uk-UA"/>
        </w:rPr>
        <w:t>AJR</w:t>
      </w:r>
      <w:r w:rsidRPr="00981822">
        <w:rPr>
          <w:rFonts w:ascii="Times New Roman" w:hAnsi="Times New Roman"/>
          <w:color w:val="000000"/>
          <w:sz w:val="28"/>
          <w:szCs w:val="28"/>
          <w:lang w:val="en-US"/>
        </w:rPr>
        <w:t xml:space="preserve"> Am J Roentgenol. 2007;188(2):586–92.</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Cao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Nie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miR-148a Suppresses Human Renal Cell Carcinoma Malignancy by Targeting AKT2. </w:t>
      </w:r>
      <w:r w:rsidRPr="00981822">
        <w:rPr>
          <w:rFonts w:ascii="Times New Roman" w:hAnsi="Times New Roman"/>
          <w:iCs/>
          <w:color w:val="000000"/>
          <w:sz w:val="28"/>
          <w:szCs w:val="28"/>
          <w:lang w:val="en-US" w:eastAsia="uk-UA"/>
        </w:rPr>
        <w:t>Oncol Rep</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:147–54. doi:10.3892/or.2016.5257.</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rPr>
        <w:t>Capitanio U,</w:t>
      </w:r>
      <w:r w:rsidRPr="00981822">
        <w:rPr>
          <w:rFonts w:ascii="Times New Roman" w:hAnsi="Times New Roman"/>
          <w:lang w:val="en-US"/>
        </w:rPr>
        <w:t xml:space="preserve"> </w:t>
      </w:r>
      <w:r w:rsidRPr="00981822">
        <w:rPr>
          <w:rFonts w:ascii="Times New Roman" w:hAnsi="Times New Roman"/>
          <w:sz w:val="28"/>
          <w:szCs w:val="28"/>
          <w:lang w:val="en-US"/>
        </w:rPr>
        <w:t>Becker F, Blute ML, Mulders P, Patard JJ, Russo P,</w:t>
      </w:r>
      <w:r w:rsidRPr="00981822">
        <w:rPr>
          <w:rFonts w:ascii="Times New Roman" w:hAnsi="Times New Roman"/>
          <w:lang w:val="en-US"/>
        </w:rPr>
        <w:t xml:space="preserve"> </w:t>
      </w:r>
      <w:r w:rsidRPr="00981822">
        <w:rPr>
          <w:rFonts w:ascii="Times New Roman" w:hAnsi="Times New Roman"/>
          <w:color w:val="000000"/>
          <w:sz w:val="28"/>
          <w:szCs w:val="28"/>
          <w:lang w:val="en-US"/>
        </w:rPr>
        <w:t>et al. Lymph node dissection in renal cell carcinoma. Eur Urol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w:t>
      </w:r>
      <w:r w:rsidRPr="00981822">
        <w:rPr>
          <w:rFonts w:ascii="Times New Roman" w:hAnsi="Times New Roman"/>
          <w:color w:val="000000"/>
          <w:sz w:val="28"/>
          <w:szCs w:val="28"/>
        </w:rPr>
        <w:t xml:space="preserve">1 </w:t>
      </w:r>
      <w:r w:rsidRPr="00981822">
        <w:rPr>
          <w:rFonts w:ascii="Times New Roman" w:hAnsi="Times New Roman"/>
          <w:sz w:val="28"/>
          <w:szCs w:val="28"/>
          <w:lang w:val="en-US"/>
        </w:rPr>
        <w:t>Dec;60(6):1212</w:t>
      </w:r>
      <w:r w:rsidRPr="00981822">
        <w:rPr>
          <w:rFonts w:ascii="Times New Roman" w:hAnsi="Times New Roman"/>
          <w:sz w:val="28"/>
          <w:szCs w:val="28"/>
        </w:rPr>
        <w:t>–</w:t>
      </w:r>
      <w:r w:rsidRPr="00981822">
        <w:rPr>
          <w:rFonts w:ascii="Times New Roman" w:hAnsi="Times New Roman"/>
          <w:sz w:val="28"/>
          <w:szCs w:val="28"/>
          <w:lang w:val="en-US"/>
        </w:rPr>
        <w:t>20</w:t>
      </w:r>
      <w:r w:rsidRPr="00981822">
        <w:rPr>
          <w:rFonts w:ascii="Times New Roman" w:hAnsi="Times New Roman"/>
          <w:sz w:val="28"/>
          <w:szCs w:val="28"/>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lastRenderedPageBreak/>
        <w:t>Chan MMY, Barnicoat</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Mumtaz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Aitchison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Side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Brittain</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xml:space="preserve">, et al. Cascade Fumarate Hydratase Mutation Screening Allows Early Detection of Kidney Tumour: A Case Report. </w:t>
      </w:r>
      <w:r w:rsidRPr="00981822">
        <w:rPr>
          <w:rFonts w:ascii="Times New Roman" w:hAnsi="Times New Roman"/>
          <w:iCs/>
          <w:color w:val="000000"/>
          <w:sz w:val="28"/>
          <w:szCs w:val="28"/>
          <w:lang w:val="en-US" w:eastAsia="uk-UA"/>
        </w:rPr>
        <w:t>BMC Med Genet</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July</w:t>
      </w:r>
      <w:r w:rsidRPr="00981822">
        <w:rPr>
          <w:rFonts w:ascii="Times New Roman" w:hAnsi="Times New Roman"/>
          <w:color w:val="000000"/>
          <w:sz w:val="28"/>
          <w:szCs w:val="28"/>
          <w:lang w:eastAsia="uk-UA"/>
        </w:rPr>
        <w:t xml:space="preserve"> 26;</w:t>
      </w:r>
      <w:r w:rsidRPr="00981822">
        <w:rPr>
          <w:rFonts w:ascii="Times New Roman" w:hAnsi="Times New Roman"/>
          <w:color w:val="000000"/>
          <w:sz w:val="28"/>
          <w:szCs w:val="28"/>
          <w:lang w:val="en-US" w:eastAsia="uk-UA"/>
        </w:rPr>
        <w:t>18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79. doi:10.1186/s12881-017-0436-1.</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Chen B, Duan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Yin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Tan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Jiang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X. Simultaneously Expressed miR-424 and miR-381 Synergistically Suppress the Proliferation and Survival of Renal Cancer Cells---Cdc2 Activity Is up-Regulated by Targeting WEE1. </w:t>
      </w:r>
      <w:r w:rsidRPr="00981822">
        <w:rPr>
          <w:rFonts w:ascii="Times New Roman" w:hAnsi="Times New Roman"/>
          <w:iCs/>
          <w:color w:val="000000"/>
          <w:sz w:val="28"/>
          <w:szCs w:val="28"/>
          <w:lang w:val="en-US" w:eastAsia="uk-UA"/>
        </w:rPr>
        <w:t>Clinics</w:t>
      </w:r>
      <w:r w:rsidRPr="00981822">
        <w:t xml:space="preserve"> </w:t>
      </w:r>
      <w:r w:rsidRPr="00981822">
        <w:rPr>
          <w:rFonts w:ascii="Times New Roman" w:hAnsi="Times New Roman"/>
          <w:iCs/>
          <w:color w:val="000000"/>
          <w:sz w:val="28"/>
          <w:szCs w:val="28"/>
          <w:lang w:eastAsia="uk-UA"/>
        </w:rPr>
        <w:t xml:space="preserve">(Sao Paulo). 2013 </w:t>
      </w:r>
      <w:r w:rsidRPr="00981822">
        <w:rPr>
          <w:rFonts w:ascii="Times New Roman" w:hAnsi="Times New Roman"/>
          <w:color w:val="000000"/>
          <w:sz w:val="28"/>
          <w:szCs w:val="28"/>
          <w:lang w:val="en-US" w:eastAsia="uk-UA"/>
        </w:rPr>
        <w:t>June 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:825–33..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Chen C, Kang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 Xu</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Shi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Guo</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Wei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Fat Poor Angiomyolipoma Differentiation from Renal Cell Carcinoma at 320-Slice Dynamic Volume CT Perfusion. </w:t>
      </w:r>
      <w:r w:rsidRPr="00981822">
        <w:rPr>
          <w:rFonts w:ascii="Times New Roman" w:hAnsi="Times New Roman"/>
          <w:iCs/>
          <w:color w:val="000000"/>
          <w:sz w:val="28"/>
          <w:szCs w:val="28"/>
          <w:lang w:val="en-US" w:eastAsia="uk-UA"/>
        </w:rPr>
        <w:t>Abdom Radiol</w:t>
      </w:r>
      <w:r w:rsidRPr="00981822">
        <w:rPr>
          <w:rFonts w:ascii="Times New Roman" w:hAnsi="Times New Roman"/>
          <w:iCs/>
          <w:color w:val="000000"/>
          <w:sz w:val="28"/>
          <w:szCs w:val="28"/>
          <w:lang w:eastAsia="uk-UA"/>
        </w:rPr>
        <w:t>. 2017</w:t>
      </w:r>
      <w:r w:rsidRPr="00981822">
        <w:rPr>
          <w:rFonts w:ascii="Times New Roman" w:hAnsi="Times New Roman"/>
          <w:color w:val="000000"/>
          <w:sz w:val="28"/>
          <w:szCs w:val="28"/>
          <w:lang w:val="en-US" w:eastAsia="uk-UA"/>
        </w:rPr>
        <w:t xml:space="preserve"> Aug 21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doi:10.1007/s00261-017-1286-1.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Xu</w:t>
      </w:r>
      <w:r w:rsidRPr="00981822">
        <w:rPr>
          <w:rFonts w:ascii="Times New Roman" w:hAnsi="Times New Roman"/>
          <w:color w:val="000000"/>
          <w:sz w:val="28"/>
          <w:szCs w:val="28"/>
          <w:lang w:eastAsia="uk-UA"/>
        </w:rPr>
        <w:t xml:space="preserve"> В, </w:t>
      </w:r>
      <w:r w:rsidRPr="00981822">
        <w:rPr>
          <w:rFonts w:ascii="Times New Roman" w:hAnsi="Times New Roman"/>
          <w:color w:val="000000"/>
          <w:sz w:val="28"/>
          <w:szCs w:val="28"/>
          <w:lang w:val="en-US" w:eastAsia="uk-UA"/>
        </w:rPr>
        <w:t>Ma</w:t>
      </w:r>
      <w:r w:rsidRPr="00981822">
        <w:rPr>
          <w:rFonts w:ascii="Times New Roman" w:hAnsi="Times New Roman"/>
          <w:color w:val="000000"/>
          <w:sz w:val="28"/>
          <w:szCs w:val="28"/>
          <w:lang w:eastAsia="uk-UA"/>
        </w:rPr>
        <w:t xml:space="preserve"> С, </w:t>
      </w:r>
      <w:r w:rsidRPr="00981822">
        <w:rPr>
          <w:rFonts w:ascii="Times New Roman" w:hAnsi="Times New Roman"/>
          <w:color w:val="000000"/>
          <w:sz w:val="28"/>
          <w:szCs w:val="28"/>
          <w:lang w:val="en-US" w:eastAsia="uk-UA"/>
        </w:rPr>
        <w:t>Zhang</w:t>
      </w:r>
      <w:r w:rsidRPr="00981822">
        <w:rPr>
          <w:rFonts w:ascii="Times New Roman" w:hAnsi="Times New Roman"/>
          <w:color w:val="000000"/>
          <w:sz w:val="28"/>
          <w:szCs w:val="28"/>
          <w:lang w:eastAsia="uk-UA"/>
        </w:rPr>
        <w:t xml:space="preserve"> Н,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Study of 320-Slice Dynamic Volume CT Perfusion in Different Pathologic Types of Kidney Tumor: Preliminary Results. </w:t>
      </w:r>
      <w:r w:rsidRPr="00981822">
        <w:rPr>
          <w:rFonts w:ascii="Times New Roman" w:hAnsi="Times New Roman"/>
          <w:iCs/>
          <w:color w:val="000000"/>
          <w:sz w:val="28"/>
          <w:szCs w:val="28"/>
          <w:lang w:val="en-US" w:eastAsia="uk-UA"/>
        </w:rPr>
        <w:t>PloS One</w:t>
      </w:r>
      <w:r w:rsidRPr="00981822">
        <w:rPr>
          <w:rFonts w:ascii="Times New Roman" w:hAnsi="Times New Roman"/>
          <w:iCs/>
          <w:color w:val="000000"/>
          <w:sz w:val="28"/>
          <w:szCs w:val="28"/>
          <w:lang w:eastAsia="uk-UA"/>
        </w:rPr>
        <w:t>. 2014;</w:t>
      </w:r>
      <w:r w:rsidRPr="00981822">
        <w:rPr>
          <w:rFonts w:ascii="Times New Roman" w:hAnsi="Times New Roman"/>
          <w:color w:val="000000"/>
          <w:sz w:val="28"/>
          <w:szCs w:val="28"/>
          <w:lang w:val="en-US" w:eastAsia="uk-UA"/>
        </w:rPr>
        <w:t>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:e85522. doi:10.1371/journal.pone.0085522.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Chen 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Huhdanpaa</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Desai</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Hwang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Cen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Sherrod</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et al. Whole Lesion Quantitative CT Evaluation of Renal Cell Carcinoma: Differentiation of Clear Cell from Papillary Renal Cell Carcinoma. </w:t>
      </w:r>
      <w:r w:rsidRPr="00981822">
        <w:rPr>
          <w:rFonts w:ascii="Times New Roman" w:hAnsi="Times New Roman"/>
          <w:iCs/>
          <w:color w:val="000000"/>
          <w:sz w:val="28"/>
          <w:szCs w:val="28"/>
          <w:lang w:val="en-US" w:eastAsia="uk-UA"/>
        </w:rPr>
        <w:t>SpringerPlus</w:t>
      </w:r>
      <w:r w:rsidRPr="00981822">
        <w:rPr>
          <w:rFonts w:ascii="Times New Roman" w:hAnsi="Times New Roman"/>
          <w:iCs/>
          <w:color w:val="000000"/>
          <w:sz w:val="28"/>
          <w:szCs w:val="28"/>
          <w:lang w:eastAsia="uk-UA"/>
        </w:rPr>
        <w:t xml:space="preserve">. 2015 </w:t>
      </w:r>
      <w:r w:rsidRPr="00981822">
        <w:rPr>
          <w:rFonts w:ascii="Times New Roman" w:hAnsi="Times New Roman"/>
          <w:sz w:val="28"/>
          <w:szCs w:val="28"/>
        </w:rPr>
        <w:t>Feb 10</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4:66. doi:10.1186/s40064-015-0823-z.</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Chen F,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Şenbabaoğlu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Ciriello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Yang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Reznik</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xml:space="preserve">, et al. Multilevel Genomics-Based Taxonomy of Renal Cell Carcinoma. </w:t>
      </w:r>
      <w:r w:rsidRPr="00981822">
        <w:rPr>
          <w:rFonts w:ascii="Times New Roman" w:hAnsi="Times New Roman"/>
          <w:iCs/>
          <w:color w:val="000000"/>
          <w:sz w:val="28"/>
          <w:szCs w:val="28"/>
          <w:lang w:val="en-US" w:eastAsia="uk-UA"/>
        </w:rPr>
        <w:t>Cell Rep</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Mar 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:2476–89. doi:10.1016/j.celrep.2016.02.024</w:t>
      </w:r>
      <w:r w:rsidRPr="00981822">
        <w:rPr>
          <w:lang w:val="en-US"/>
        </w:rPr>
        <w:t>.</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Chen K, Zeng J, Tang K, Xiao H, Hu J, Huang C, et al. miR-490-5p Suppresses Tumour Growth in Renal Cell Carcinoma through Targeting PIK3CA. </w:t>
      </w:r>
      <w:r w:rsidRPr="00981822">
        <w:rPr>
          <w:rFonts w:ascii="Times New Roman" w:hAnsi="Times New Roman"/>
          <w:iCs/>
          <w:color w:val="000000"/>
          <w:sz w:val="28"/>
          <w:szCs w:val="28"/>
          <w:lang w:val="en-US" w:eastAsia="uk-UA"/>
        </w:rPr>
        <w:t>Biol Cell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Febr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:41–50. doi:10.1111/boc.201500033.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Chen X, Ruan</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Wang</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Han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Lou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miR-129-3p, as a Diagnostic and Prognostic Biomarker for Renal Cell Carcinoma, Attenuates Cell Migration and Invasion via Downregulating Multiple Metastasis-Related Genes. </w:t>
      </w:r>
      <w:r w:rsidRPr="00981822">
        <w:rPr>
          <w:rFonts w:ascii="Times New Roman" w:hAnsi="Times New Roman"/>
          <w:iCs/>
          <w:color w:val="000000"/>
          <w:sz w:val="28"/>
          <w:szCs w:val="28"/>
          <w:lang w:val="en-US" w:eastAsia="uk-UA"/>
        </w:rPr>
        <w:lastRenderedPageBreak/>
        <w:t>J Cancer Res Clin Oncol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Aug</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140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1295–1304. doi:10.1007/s00432-014-1690-7.</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Chen X, Wang X, Ruan A, Han W, Zhao Y, Lu X, et al. miR-141 is a key regulator of renal cell carcinoma proliferation and metastasis by controlling EphA2 expression. Clin Cancer Res. 2014 May 15;20(10):2617–30.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Chen Y, Sun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Rao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 Xu</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Chang</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xml:space="preserve">. Androgen Receptor (AR) Suppresses miRNA-145 to Promote Renal Cell Carcinoma (RCC) Progression Independent of VHL Status. </w:t>
      </w:r>
      <w:r w:rsidRPr="00981822">
        <w:rPr>
          <w:rFonts w:ascii="Times New Roman" w:hAnsi="Times New Roman"/>
          <w:iCs/>
          <w:color w:val="000000"/>
          <w:sz w:val="28"/>
          <w:szCs w:val="28"/>
          <w:lang w:val="en-US" w:eastAsia="uk-UA"/>
        </w:rPr>
        <w:t>Oncotarget</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Oct 13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:31203–15. doi:10.18632/oncotarget.4522.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Dai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Feng</w:t>
      </w:r>
      <w:r w:rsidRPr="00981822">
        <w:rPr>
          <w:rFonts w:ascii="Times New Roman" w:hAnsi="Times New Roman"/>
          <w:color w:val="000000"/>
          <w:sz w:val="28"/>
          <w:szCs w:val="28"/>
          <w:lang w:eastAsia="uk-UA"/>
        </w:rPr>
        <w:t xml:space="preserve"> Х, </w:t>
      </w:r>
      <w:r w:rsidRPr="00981822">
        <w:rPr>
          <w:rFonts w:ascii="Times New Roman" w:hAnsi="Times New Roman"/>
          <w:color w:val="000000"/>
          <w:sz w:val="28"/>
          <w:szCs w:val="28"/>
          <w:lang w:val="en-US" w:eastAsia="uk-UA"/>
        </w:rPr>
        <w:t>Lu</w:t>
      </w:r>
      <w:r w:rsidRPr="00981822">
        <w:rPr>
          <w:rFonts w:ascii="Times New Roman" w:hAnsi="Times New Roman"/>
          <w:color w:val="000000"/>
          <w:sz w:val="28"/>
          <w:szCs w:val="28"/>
          <w:lang w:eastAsia="uk-UA"/>
        </w:rPr>
        <w:t xml:space="preserve"> Н, </w:t>
      </w:r>
      <w:r w:rsidRPr="00981822">
        <w:rPr>
          <w:rFonts w:ascii="Times New Roman" w:hAnsi="Times New Roman"/>
          <w:color w:val="000000"/>
          <w:sz w:val="28"/>
          <w:szCs w:val="28"/>
          <w:lang w:val="en-US" w:eastAsia="uk-UA"/>
        </w:rPr>
        <w:t>Zhou</w:t>
      </w:r>
      <w:r w:rsidRPr="00981822">
        <w:rPr>
          <w:rFonts w:ascii="Times New Roman" w:hAnsi="Times New Roman"/>
          <w:color w:val="000000"/>
          <w:sz w:val="28"/>
          <w:szCs w:val="28"/>
          <w:lang w:eastAsia="uk-UA"/>
        </w:rPr>
        <w:t xml:space="preserve"> С. </w:t>
      </w:r>
      <w:r w:rsidRPr="00981822">
        <w:rPr>
          <w:rFonts w:ascii="Times New Roman" w:hAnsi="Times New Roman"/>
          <w:color w:val="000000"/>
          <w:sz w:val="28"/>
          <w:szCs w:val="28"/>
          <w:lang w:val="en-US" w:eastAsia="uk-UA"/>
        </w:rPr>
        <w:t>Angiogenesis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Renal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Cell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Carcinoma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Perfusion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CT Findings. </w:t>
      </w:r>
      <w:r w:rsidRPr="00981822">
        <w:rPr>
          <w:rFonts w:ascii="Times New Roman" w:hAnsi="Times New Roman"/>
          <w:iCs/>
          <w:color w:val="000000"/>
          <w:sz w:val="28"/>
          <w:szCs w:val="28"/>
          <w:lang w:val="en-US" w:eastAsia="uk-UA"/>
        </w:rPr>
        <w:t>Abdominal Imaging</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:622–8. doi:10.1007/s00261-009-9565-0.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Chen Z, Tang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ZY, He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LF,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DJ,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w:t>
      </w:r>
      <w:r w:rsidRPr="00981822">
        <w:rPr>
          <w:lang w:val="en-US"/>
        </w:rPr>
        <w:t xml:space="preserve"> </w:t>
      </w:r>
      <w:r w:rsidRPr="00981822">
        <w:rPr>
          <w:rFonts w:ascii="Times New Roman" w:hAnsi="Times New Roman"/>
          <w:color w:val="000000"/>
          <w:sz w:val="28"/>
          <w:szCs w:val="28"/>
          <w:lang w:val="en-US" w:eastAsia="uk-UA"/>
        </w:rPr>
        <w:t xml:space="preserve">miRNA-205 Is a Candidate Tumor Suppressor That Targets ZEB2 in Renal Cell Carcinoma. </w:t>
      </w:r>
      <w:r w:rsidRPr="00981822">
        <w:rPr>
          <w:rFonts w:ascii="Times New Roman" w:hAnsi="Times New Roman"/>
          <w:iCs/>
          <w:color w:val="000000"/>
          <w:sz w:val="28"/>
          <w:szCs w:val="28"/>
          <w:lang w:val="en-US" w:eastAsia="uk-UA"/>
        </w:rPr>
        <w:t>Oncol Res Treatment</w:t>
      </w:r>
      <w:r w:rsidRPr="00981822">
        <w:rPr>
          <w:rFonts w:ascii="Times New Roman" w:hAnsi="Times New Roman"/>
          <w:iCs/>
          <w:color w:val="000000"/>
          <w:sz w:val="28"/>
          <w:szCs w:val="28"/>
          <w:lang w:eastAsia="uk-UA"/>
        </w:rPr>
        <w:t>. 2014;</w:t>
      </w:r>
      <w:r w:rsidRPr="00981822">
        <w:rPr>
          <w:rFonts w:ascii="Times New Roman" w:hAnsi="Times New Roman"/>
          <w:color w:val="000000"/>
          <w:sz w:val="28"/>
          <w:szCs w:val="28"/>
          <w:lang w:val="en-US" w:eastAsia="uk-UA"/>
        </w:rPr>
        <w:t>37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:658–64. doi:10.1159/000368792.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Ching BC, Tan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HS, Tan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PH, Toh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CK, Kanesvaran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QS,</w:t>
      </w:r>
      <w:r w:rsidRPr="00981822">
        <w:rPr>
          <w:lang w:val="en-US"/>
        </w:rPr>
        <w:t xml:space="preserve"> </w:t>
      </w:r>
      <w:r w:rsidRPr="00981822">
        <w:rPr>
          <w:rFonts w:ascii="Times New Roman" w:hAnsi="Times New Roman"/>
          <w:color w:val="000000"/>
          <w:sz w:val="28"/>
          <w:szCs w:val="28"/>
          <w:lang w:val="en-US" w:eastAsia="uk-UA"/>
        </w:rPr>
        <w:t xml:space="preserve">et al. Differential Radiologic Characteristics of Renal Tumours on Multiphasic Computed Tomography. </w:t>
      </w:r>
      <w:r w:rsidRPr="00981822">
        <w:rPr>
          <w:rFonts w:ascii="Times New Roman" w:hAnsi="Times New Roman"/>
          <w:iCs/>
          <w:color w:val="000000"/>
          <w:sz w:val="28"/>
          <w:szCs w:val="28"/>
          <w:lang w:val="en-US" w:eastAsia="uk-UA"/>
        </w:rPr>
        <w:t>Sing</w:t>
      </w:r>
      <w:r w:rsidRPr="00981822">
        <w:rPr>
          <w:rFonts w:ascii="Times New Roman" w:hAnsi="Times New Roman"/>
          <w:iCs/>
          <w:color w:val="000000"/>
          <w:sz w:val="28"/>
          <w:szCs w:val="28"/>
          <w:lang w:eastAsia="uk-UA"/>
        </w:rPr>
        <w:t>аро</w:t>
      </w:r>
      <w:r w:rsidRPr="00981822">
        <w:rPr>
          <w:rFonts w:ascii="Times New Roman" w:hAnsi="Times New Roman"/>
          <w:color w:val="000000"/>
          <w:sz w:val="28"/>
          <w:szCs w:val="28"/>
          <w:lang w:val="en-US" w:eastAsia="uk-UA"/>
        </w:rPr>
        <w:t>r</w:t>
      </w:r>
      <w:r w:rsidRPr="00981822">
        <w:rPr>
          <w:rFonts w:ascii="Times New Roman" w:hAnsi="Times New Roman"/>
          <w:color w:val="000000"/>
          <w:sz w:val="28"/>
          <w:szCs w:val="28"/>
          <w:lang w:eastAsia="uk-UA"/>
        </w:rPr>
        <w:t>е</w:t>
      </w:r>
      <w:r w:rsidRPr="00981822">
        <w:rPr>
          <w:rFonts w:ascii="Times New Roman" w:hAnsi="Times New Roman"/>
          <w:iCs/>
          <w:color w:val="000000"/>
          <w:sz w:val="28"/>
          <w:szCs w:val="28"/>
          <w:lang w:val="en-US" w:eastAsia="uk-UA"/>
        </w:rPr>
        <w:t xml:space="preserve"> Med J</w:t>
      </w:r>
      <w:r w:rsidRPr="00981822">
        <w:rPr>
          <w:rFonts w:ascii="Times New Roman" w:hAnsi="Times New Roman"/>
          <w:color w:val="000000"/>
          <w:sz w:val="28"/>
          <w:szCs w:val="28"/>
          <w:lang w:eastAsia="uk-UA"/>
        </w:rPr>
        <w:t>. 2017</w:t>
      </w:r>
      <w:r w:rsidRPr="00981822">
        <w:rPr>
          <w:rFonts w:ascii="Times New Roman" w:hAnsi="Times New Roman"/>
          <w:color w:val="000000"/>
          <w:sz w:val="28"/>
          <w:szCs w:val="28"/>
          <w:lang w:val="en-US" w:eastAsia="uk-UA"/>
        </w:rPr>
        <w:t xml:space="preserve"> </w:t>
      </w:r>
      <w:r w:rsidRPr="00981822">
        <w:rPr>
          <w:rFonts w:ascii="Times New Roman" w:hAnsi="Times New Roman"/>
          <w:sz w:val="28"/>
          <w:szCs w:val="28"/>
          <w:lang w:val="en-US"/>
        </w:rPr>
        <w:t>May;58(5):262</w:t>
      </w:r>
      <w:r w:rsidRPr="00981822">
        <w:rPr>
          <w:rFonts w:ascii="Times New Roman" w:hAnsi="Times New Roman"/>
          <w:sz w:val="28"/>
          <w:szCs w:val="28"/>
        </w:rPr>
        <w:t>–</w:t>
      </w:r>
      <w:r w:rsidRPr="00981822">
        <w:rPr>
          <w:rFonts w:ascii="Times New Roman" w:hAnsi="Times New Roman"/>
          <w:sz w:val="28"/>
          <w:szCs w:val="28"/>
          <w:lang w:val="en-US"/>
        </w:rPr>
        <w:t>6</w:t>
      </w:r>
      <w:r w:rsidRPr="00981822">
        <w:rPr>
          <w:sz w:val="28"/>
          <w:szCs w:val="28"/>
          <w:lang w:val="en-US"/>
        </w:rPr>
        <w:t>.</w:t>
      </w:r>
      <w:r w:rsidRPr="00981822">
        <w:rPr>
          <w:rFonts w:ascii="Times New Roman" w:hAnsi="Times New Roman"/>
          <w:color w:val="000000"/>
          <w:sz w:val="28"/>
          <w:szCs w:val="28"/>
          <w:lang w:val="en-US" w:eastAsia="uk-UA"/>
        </w:rPr>
        <w:t xml:space="preserve"> doi:10.11622/smedj.2016081.</w:t>
      </w:r>
    </w:p>
    <w:p w:rsidR="0061473E" w:rsidRPr="00981822" w:rsidRDefault="0061473E" w:rsidP="00DE6E24">
      <w:pPr>
        <w:pStyle w:val="ListParagraph"/>
        <w:numPr>
          <w:ilvl w:val="0"/>
          <w:numId w:val="9"/>
        </w:numPr>
        <w:spacing w:line="360" w:lineRule="auto"/>
        <w:rPr>
          <w:rFonts w:ascii="Times New Roman" w:hAnsi="Times New Roman"/>
          <w:color w:val="000000"/>
          <w:sz w:val="28"/>
          <w:szCs w:val="28"/>
          <w:lang w:val="en-US"/>
        </w:rPr>
      </w:pPr>
      <w:r w:rsidRPr="00981822">
        <w:rPr>
          <w:rFonts w:ascii="Times New Roman" w:hAnsi="Times New Roman"/>
          <w:color w:val="000000"/>
          <w:sz w:val="28"/>
          <w:szCs w:val="28"/>
          <w:lang w:val="en-US"/>
        </w:rPr>
        <w:t>Cho E, Curhan G, Hankinson SE, Kantoff P, Atkins MB, Stampfer M, et al. Prospective evaluation of analgesic use and risk of renal cell cancer. Arch Int Med. 2011;171(16):1487–93.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Choudhary S,</w:t>
      </w:r>
      <w:r w:rsidRPr="00981822">
        <w:rPr>
          <w:rFonts w:ascii="Times New Roman" w:hAnsi="Times New Roman"/>
          <w:lang w:val="en-US"/>
        </w:rPr>
        <w:t xml:space="preserve"> </w:t>
      </w:r>
      <w:r w:rsidRPr="00981822">
        <w:rPr>
          <w:rFonts w:ascii="Times New Roman" w:hAnsi="Times New Roman"/>
          <w:sz w:val="28"/>
          <w:szCs w:val="28"/>
          <w:lang w:val="en-US"/>
        </w:rPr>
        <w:t>Rajesh A, Mayer NJ, Mulcahy KA, Haroon A</w:t>
      </w:r>
      <w:r w:rsidRPr="00981822">
        <w:rPr>
          <w:rFonts w:ascii="Times New Roman" w:hAnsi="Times New Roman"/>
          <w:sz w:val="28"/>
          <w:szCs w:val="28"/>
        </w:rPr>
        <w:t xml:space="preserve">. </w:t>
      </w:r>
      <w:r w:rsidRPr="00981822">
        <w:rPr>
          <w:rFonts w:ascii="Times New Roman" w:hAnsi="Times New Roman"/>
          <w:color w:val="000000"/>
          <w:sz w:val="28"/>
          <w:szCs w:val="28"/>
          <w:lang w:val="en-US"/>
        </w:rPr>
        <w:t>Renal oncocytoma: CT features cannot reliably distinguish oncocytoma from other renal neoplasms. Clin Radiol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2009</w:t>
      </w:r>
      <w:r w:rsidRPr="00981822">
        <w:rPr>
          <w:rFonts w:ascii="Times New Roman" w:hAnsi="Times New Roman"/>
          <w:color w:val="000000"/>
          <w:sz w:val="28"/>
          <w:szCs w:val="28"/>
        </w:rPr>
        <w:t xml:space="preserve"> </w:t>
      </w:r>
      <w:r w:rsidRPr="00981822">
        <w:rPr>
          <w:rFonts w:ascii="Times New Roman" w:hAnsi="Times New Roman"/>
          <w:sz w:val="28"/>
          <w:szCs w:val="28"/>
          <w:lang w:val="en-US"/>
        </w:rPr>
        <w:t>May;64(5):517</w:t>
      </w:r>
      <w:r w:rsidRPr="00981822">
        <w:rPr>
          <w:rFonts w:ascii="Times New Roman" w:hAnsi="Times New Roman"/>
          <w:sz w:val="28"/>
          <w:szCs w:val="28"/>
        </w:rPr>
        <w:t>–</w:t>
      </w:r>
      <w:r w:rsidRPr="00981822">
        <w:rPr>
          <w:rFonts w:ascii="Times New Roman" w:hAnsi="Times New Roman"/>
          <w:sz w:val="28"/>
          <w:szCs w:val="28"/>
          <w:lang w:val="en-US"/>
        </w:rPr>
        <w:t>22</w:t>
      </w:r>
      <w:r w:rsidRPr="00981822">
        <w:rPr>
          <w:rFonts w:ascii="Times New Roman" w:hAnsi="Times New Roman"/>
        </w:rPr>
        <w:t>.</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Choueiri TK</w:t>
      </w:r>
      <w:r w:rsidRPr="00981822">
        <w:rPr>
          <w:rFonts w:ascii="Times New Roman" w:hAnsi="Times New Roman"/>
          <w:sz w:val="28"/>
          <w:szCs w:val="28"/>
          <w:lang w:val="en-US"/>
        </w:rPr>
        <w:t>, Escudier</w:t>
      </w:r>
      <w:r w:rsidRPr="00981822">
        <w:rPr>
          <w:rFonts w:ascii="Times New Roman" w:hAnsi="Times New Roman"/>
          <w:sz w:val="28"/>
          <w:szCs w:val="28"/>
        </w:rPr>
        <w:t xml:space="preserve"> В</w:t>
      </w:r>
      <w:r w:rsidRPr="00981822">
        <w:rPr>
          <w:rFonts w:ascii="Times New Roman" w:hAnsi="Times New Roman"/>
          <w:sz w:val="28"/>
          <w:szCs w:val="28"/>
          <w:lang w:val="en-US"/>
        </w:rPr>
        <w:t>, Powles</w:t>
      </w:r>
      <w:r w:rsidRPr="00981822">
        <w:rPr>
          <w:rFonts w:ascii="Times New Roman" w:hAnsi="Times New Roman"/>
          <w:sz w:val="28"/>
          <w:szCs w:val="28"/>
        </w:rPr>
        <w:t xml:space="preserve"> Т</w:t>
      </w:r>
      <w:r w:rsidRPr="00981822">
        <w:rPr>
          <w:rFonts w:ascii="Times New Roman" w:hAnsi="Times New Roman"/>
          <w:sz w:val="28"/>
          <w:szCs w:val="28"/>
          <w:lang w:val="en-US"/>
        </w:rPr>
        <w:t>, Mainwaring</w:t>
      </w:r>
      <w:r w:rsidRPr="00981822">
        <w:rPr>
          <w:rFonts w:ascii="Times New Roman" w:hAnsi="Times New Roman"/>
          <w:sz w:val="28"/>
          <w:szCs w:val="28"/>
        </w:rPr>
        <w:t xml:space="preserve"> </w:t>
      </w:r>
      <w:r w:rsidRPr="00981822">
        <w:rPr>
          <w:rFonts w:ascii="Times New Roman" w:hAnsi="Times New Roman"/>
          <w:sz w:val="28"/>
          <w:szCs w:val="28"/>
          <w:lang w:val="en-US"/>
        </w:rPr>
        <w:t>PN, Rini</w:t>
      </w:r>
      <w:r w:rsidRPr="00981822">
        <w:rPr>
          <w:rFonts w:ascii="Times New Roman" w:hAnsi="Times New Roman"/>
          <w:sz w:val="28"/>
          <w:szCs w:val="28"/>
        </w:rPr>
        <w:t xml:space="preserve"> </w:t>
      </w:r>
      <w:r w:rsidRPr="00981822">
        <w:rPr>
          <w:rFonts w:ascii="Times New Roman" w:hAnsi="Times New Roman"/>
          <w:sz w:val="28"/>
          <w:szCs w:val="28"/>
          <w:lang w:val="en-US"/>
        </w:rPr>
        <w:t>BІ,</w:t>
      </w:r>
      <w:r w:rsidRPr="00981822">
        <w:rPr>
          <w:lang w:val="en-US"/>
        </w:rPr>
        <w:t xml:space="preserve"> </w:t>
      </w:r>
      <w:r w:rsidRPr="00981822">
        <w:rPr>
          <w:rFonts w:ascii="Times New Roman" w:hAnsi="Times New Roman"/>
          <w:color w:val="000000"/>
          <w:sz w:val="28"/>
          <w:szCs w:val="28"/>
          <w:lang w:val="en-US"/>
        </w:rPr>
        <w:t>et al. Cabozantinib versus Everolimus in Advanced Renal-Cell Carcinoma. N Engl J Med</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2015</w:t>
      </w:r>
      <w:r w:rsidRPr="00981822">
        <w:rPr>
          <w:rFonts w:ascii="Times New Roman" w:hAnsi="Times New Roman"/>
          <w:color w:val="000000"/>
          <w:sz w:val="28"/>
          <w:szCs w:val="28"/>
        </w:rPr>
        <w:t>;</w:t>
      </w:r>
      <w:r w:rsidRPr="00981822">
        <w:rPr>
          <w:rFonts w:ascii="Times New Roman" w:hAnsi="Times New Roman"/>
          <w:color w:val="000000"/>
          <w:sz w:val="28"/>
          <w:szCs w:val="28"/>
          <w:lang w:val="en-US"/>
        </w:rPr>
        <w:t>373:1814.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lastRenderedPageBreak/>
        <w:t>Choueiri TK, Motzer</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RJ. Systemic Therapy for Metastatic Renal-Cell Carcinoma. N Engl J Med</w:t>
      </w:r>
      <w:r w:rsidRPr="00981822">
        <w:rPr>
          <w:rFonts w:ascii="Times New Roman" w:hAnsi="Times New Roman"/>
          <w:color w:val="000000"/>
          <w:sz w:val="28"/>
          <w:szCs w:val="28"/>
        </w:rPr>
        <w:t xml:space="preserve">. 2017 </w:t>
      </w:r>
      <w:r w:rsidRPr="00981822">
        <w:rPr>
          <w:rFonts w:ascii="Times New Roman" w:hAnsi="Times New Roman"/>
          <w:color w:val="000000"/>
          <w:sz w:val="28"/>
          <w:szCs w:val="28"/>
          <w:lang w:val="en-US"/>
        </w:rPr>
        <w:t>Jan 26</w:t>
      </w:r>
      <w:r w:rsidRPr="00981822">
        <w:rPr>
          <w:rFonts w:ascii="Times New Roman" w:hAnsi="Times New Roman"/>
          <w:color w:val="000000"/>
          <w:sz w:val="28"/>
          <w:szCs w:val="28"/>
        </w:rPr>
        <w:t>;</w:t>
      </w:r>
      <w:r w:rsidRPr="00981822">
        <w:rPr>
          <w:rFonts w:ascii="Times New Roman" w:hAnsi="Times New Roman"/>
          <w:color w:val="000000"/>
          <w:sz w:val="28"/>
          <w:szCs w:val="28"/>
          <w:lang w:val="en-US"/>
        </w:rPr>
        <w:t>376</w:t>
      </w:r>
      <w:r w:rsidRPr="00981822">
        <w:rPr>
          <w:rFonts w:ascii="Times New Roman" w:hAnsi="Times New Roman"/>
          <w:color w:val="000000"/>
          <w:sz w:val="28"/>
          <w:szCs w:val="28"/>
        </w:rPr>
        <w:t>(</w:t>
      </w:r>
      <w:r w:rsidRPr="00981822">
        <w:rPr>
          <w:rFonts w:ascii="Times New Roman" w:hAnsi="Times New Roman"/>
          <w:color w:val="000000"/>
          <w:sz w:val="28"/>
          <w:szCs w:val="28"/>
          <w:lang w:val="en-US"/>
        </w:rPr>
        <w:t>4</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:354–66.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Cobo RM, Bittencourt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LK. History and Importance of the Bosniak Classification for Complex Renal Cysts. </w:t>
      </w:r>
      <w:r w:rsidRPr="00981822">
        <w:rPr>
          <w:rFonts w:ascii="Times New Roman" w:hAnsi="Times New Roman"/>
          <w:iCs/>
          <w:color w:val="000000"/>
          <w:sz w:val="28"/>
          <w:szCs w:val="28"/>
          <w:lang w:val="en-US" w:eastAsia="uk-UA"/>
        </w:rPr>
        <w:t>Radiol Bras</w:t>
      </w:r>
      <w:r w:rsidRPr="00981822">
        <w:rPr>
          <w:rFonts w:ascii="Times New Roman" w:hAnsi="Times New Roman"/>
          <w:iCs/>
          <w:color w:val="000000"/>
          <w:sz w:val="28"/>
          <w:szCs w:val="28"/>
          <w:lang w:eastAsia="uk-UA"/>
        </w:rPr>
        <w:t xml:space="preserve">. 2014 </w:t>
      </w:r>
      <w:r w:rsidRPr="00981822">
        <w:rPr>
          <w:rFonts w:ascii="Times New Roman" w:hAnsi="Times New Roman"/>
          <w:sz w:val="28"/>
          <w:szCs w:val="28"/>
        </w:rPr>
        <w:t>Nov-Dec</w:t>
      </w:r>
      <w:r w:rsidRPr="00981822">
        <w:rPr>
          <w:rFonts w:ascii="Times New Roman" w:hAnsi="Times New Roman"/>
          <w:iCs/>
          <w:color w:val="000000"/>
          <w:sz w:val="28"/>
          <w:szCs w:val="28"/>
          <w:lang w:eastAsia="uk-UA"/>
        </w:rPr>
        <w:t>;</w:t>
      </w:r>
      <w:r w:rsidRPr="00981822">
        <w:rPr>
          <w:rFonts w:ascii="Times New Roman" w:hAnsi="Times New Roman"/>
        </w:rPr>
        <w:t xml:space="preserve"> </w:t>
      </w:r>
      <w:r w:rsidRPr="00981822">
        <w:rPr>
          <w:rFonts w:ascii="Times New Roman" w:hAnsi="Times New Roman"/>
          <w:color w:val="000000"/>
          <w:sz w:val="28"/>
          <w:szCs w:val="28"/>
          <w:lang w:val="en-US" w:eastAsia="uk-UA"/>
        </w:rPr>
        <w:t>47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:IX. doi:10.1590/0100-3984.2014.47.6e3.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Cogliano VJ, Baan R, Straif K, </w:t>
      </w:r>
      <w:r w:rsidRPr="00981822">
        <w:rPr>
          <w:rFonts w:ascii="Times New Roman" w:hAnsi="Times New Roman"/>
          <w:sz w:val="28"/>
          <w:szCs w:val="28"/>
          <w:lang w:val="en-US"/>
        </w:rPr>
        <w:t>Grosse Y, Lauby-Secretan B, El Ghissassi F,</w:t>
      </w:r>
      <w:r w:rsidRPr="00981822">
        <w:rPr>
          <w:rFonts w:ascii="Times New Roman" w:hAnsi="Times New Roman"/>
          <w:color w:val="000000"/>
          <w:sz w:val="28"/>
          <w:szCs w:val="28"/>
          <w:lang w:val="en-US" w:eastAsia="uk-UA"/>
        </w:rPr>
        <w:t xml:space="preserve"> et 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Preventable exposures associated with human cancers(link is external). </w:t>
      </w:r>
      <w:r w:rsidRPr="00981822">
        <w:rPr>
          <w:rFonts w:ascii="Times New Roman" w:hAnsi="Times New Roman"/>
          <w:sz w:val="28"/>
          <w:szCs w:val="28"/>
          <w:lang w:val="en-US"/>
        </w:rPr>
        <w:t>J Natl Cancer Inst. 2011 Dec 21;103(24):1827</w:t>
      </w:r>
      <w:r w:rsidRPr="00981822">
        <w:rPr>
          <w:rFonts w:ascii="Times New Roman" w:hAnsi="Times New Roman"/>
          <w:sz w:val="28"/>
          <w:szCs w:val="28"/>
        </w:rPr>
        <w:t>–</w:t>
      </w:r>
      <w:r w:rsidRPr="00981822">
        <w:rPr>
          <w:rFonts w:ascii="Times New Roman" w:hAnsi="Times New Roman"/>
          <w:sz w:val="28"/>
          <w:szCs w:val="28"/>
          <w:lang w:val="en-US"/>
        </w:rPr>
        <w:t>39</w:t>
      </w:r>
      <w:r w:rsidRPr="00981822">
        <w:rPr>
          <w:rFonts w:ascii="Times New Roman" w:hAnsi="Times New Roman"/>
          <w:sz w:val="28"/>
          <w:szCs w:val="28"/>
        </w:rPr>
        <w:t>.</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Concei</w:t>
      </w:r>
      <w:r w:rsidRPr="00981822">
        <w:rPr>
          <w:rFonts w:ascii="Times New Roman" w:hAnsi="Times New Roman"/>
          <w:color w:val="000000"/>
          <w:sz w:val="28"/>
          <w:szCs w:val="28"/>
          <w:lang w:eastAsia="uk-UA"/>
        </w:rPr>
        <w:t>çã</w:t>
      </w:r>
      <w:r w:rsidRPr="00981822">
        <w:rPr>
          <w:rFonts w:ascii="Times New Roman" w:hAnsi="Times New Roman"/>
          <w:color w:val="000000"/>
          <w:sz w:val="28"/>
          <w:szCs w:val="28"/>
          <w:lang w:val="en-US" w:eastAsia="uk-UA"/>
        </w:rPr>
        <w: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w:t>
      </w:r>
      <w:r w:rsidRPr="00981822">
        <w:rPr>
          <w:rFonts w:ascii="Times New Roman" w:hAnsi="Times New Roman"/>
          <w:color w:val="000000"/>
          <w:sz w:val="28"/>
          <w:szCs w:val="28"/>
          <w:lang w:eastAsia="uk-UA"/>
        </w:rPr>
        <w:t xml:space="preserve">а </w:t>
      </w:r>
      <w:r w:rsidRPr="00981822">
        <w:rPr>
          <w:rFonts w:ascii="Times New Roman" w:hAnsi="Times New Roman"/>
          <w:color w:val="000000"/>
          <w:sz w:val="28"/>
          <w:szCs w:val="28"/>
          <w:lang w:val="en-US" w:eastAsia="uk-UA"/>
        </w:rPr>
        <w:t>Silva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Badial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Valsechi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MC</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Stuqui</w:t>
      </w:r>
      <w:r w:rsidRPr="00981822">
        <w:rPr>
          <w:rFonts w:ascii="Times New Roman" w:hAnsi="Times New Roman"/>
          <w:color w:val="000000"/>
          <w:sz w:val="28"/>
          <w:szCs w:val="28"/>
          <w:lang w:eastAsia="uk-UA"/>
        </w:rPr>
        <w:t xml:space="preserve"> В, </w:t>
      </w:r>
      <w:r w:rsidRPr="00981822">
        <w:rPr>
          <w:rFonts w:ascii="Times New Roman" w:hAnsi="Times New Roman"/>
          <w:color w:val="000000"/>
          <w:sz w:val="28"/>
          <w:szCs w:val="28"/>
          <w:lang w:val="en-US" w:eastAsia="uk-UA"/>
        </w:rPr>
        <w:t>Gon</w:t>
      </w:r>
      <w:r w:rsidRPr="00981822">
        <w:rPr>
          <w:rFonts w:ascii="Times New Roman" w:hAnsi="Times New Roman"/>
          <w:color w:val="000000"/>
          <w:sz w:val="28"/>
          <w:szCs w:val="28"/>
          <w:lang w:eastAsia="uk-UA"/>
        </w:rPr>
        <w:t>ç</w:t>
      </w:r>
      <w:r w:rsidRPr="00981822">
        <w:rPr>
          <w:rFonts w:ascii="Times New Roman" w:hAnsi="Times New Roman"/>
          <w:color w:val="000000"/>
          <w:sz w:val="28"/>
          <w:szCs w:val="28"/>
          <w:lang w:val="en-US" w:eastAsia="uk-UA"/>
        </w:rPr>
        <w:t>alves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rPr>
        <w:t>et</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Downregulation of OCLN and GAS1 in Clear Cell Renal Cell Carcinoma. </w:t>
      </w:r>
      <w:r w:rsidRPr="00981822">
        <w:rPr>
          <w:rFonts w:ascii="Times New Roman" w:hAnsi="Times New Roman"/>
          <w:iCs/>
          <w:color w:val="000000"/>
          <w:sz w:val="28"/>
          <w:szCs w:val="28"/>
          <w:lang w:val="en-US" w:eastAsia="uk-UA"/>
        </w:rPr>
        <w:t>Oncol Reports</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:1487–96.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Cornejo KM, Dong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AG, Wu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CL, Young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RH, Braaten</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rPr>
        <w:t>et</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al</w:t>
      </w:r>
      <w:r w:rsidRPr="00981822">
        <w:rPr>
          <w:rFonts w:ascii="Times New Roman" w:hAnsi="Times New Roman"/>
          <w:color w:val="000000"/>
          <w:sz w:val="28"/>
          <w:szCs w:val="28"/>
          <w:lang w:val="en-US" w:eastAsia="uk-UA"/>
        </w:rPr>
        <w:t xml:space="preserve">. Papillary Renal Cell Carcinoma: Correlation of Tumor Grade and Histologic Characteristics with Clinical Outcome. </w:t>
      </w:r>
      <w:r w:rsidRPr="00981822">
        <w:rPr>
          <w:rFonts w:ascii="Times New Roman" w:hAnsi="Times New Roman"/>
          <w:iCs/>
          <w:color w:val="000000"/>
          <w:sz w:val="28"/>
          <w:szCs w:val="28"/>
          <w:lang w:val="en-US" w:eastAsia="uk-UA"/>
        </w:rPr>
        <w:t>Human Pathol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10):1411–7. doi:10.1016/j.humpath.2015.07.001.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Cornelis F, Tricaud</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Lasserre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AS, Petitpierre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Bernhard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JC, Le Bras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Y, </w:t>
      </w:r>
      <w:r w:rsidRPr="00981822">
        <w:rPr>
          <w:rFonts w:ascii="Times New Roman" w:hAnsi="Times New Roman"/>
          <w:color w:val="000000"/>
          <w:sz w:val="28"/>
          <w:szCs w:val="28"/>
          <w:lang w:val="en-US"/>
        </w:rPr>
        <w:t>et</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al</w:t>
      </w:r>
      <w:r w:rsidRPr="00981822">
        <w:rPr>
          <w:rFonts w:ascii="Times New Roman" w:hAnsi="Times New Roman"/>
          <w:color w:val="000000"/>
          <w:sz w:val="28"/>
          <w:szCs w:val="28"/>
          <w:lang w:val="en-US" w:eastAsia="uk-UA"/>
        </w:rPr>
        <w:t xml:space="preserve">. Multiparametric Magnetic Resonance Imaging for the Differentiation of Low and High Grade Clear Cell Renal Carcinoma. </w:t>
      </w:r>
      <w:r w:rsidRPr="00981822">
        <w:rPr>
          <w:rFonts w:ascii="Times New Roman" w:hAnsi="Times New Roman"/>
          <w:iCs/>
          <w:color w:val="000000"/>
          <w:sz w:val="28"/>
          <w:szCs w:val="28"/>
          <w:lang w:val="en-US" w:eastAsia="uk-UA"/>
        </w:rPr>
        <w:t>Eur Radiol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:24–31. doi:10.1007/s00330-014-3380-x.</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Cornelis F, Tricaud</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Lasserre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AS, Petitpierre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Bernhard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JC, Le Bras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Y, </w:t>
      </w:r>
      <w:r w:rsidRPr="00981822">
        <w:rPr>
          <w:rFonts w:ascii="Times New Roman" w:hAnsi="Times New Roman"/>
          <w:color w:val="000000"/>
          <w:sz w:val="28"/>
          <w:szCs w:val="28"/>
          <w:lang w:val="en-US"/>
        </w:rPr>
        <w:t>et</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al</w:t>
      </w:r>
      <w:r w:rsidRPr="00981822">
        <w:rPr>
          <w:rFonts w:ascii="Times New Roman" w:hAnsi="Times New Roman"/>
          <w:color w:val="000000"/>
          <w:sz w:val="28"/>
          <w:szCs w:val="28"/>
          <w:lang w:val="en-US" w:eastAsia="uk-UA"/>
        </w:rPr>
        <w:t xml:space="preserve">. Routinely Performed Multiparametric Magnetic Resonance Imaging Helps to Differentiate Common Subtypes of Renal Tumours. </w:t>
      </w:r>
      <w:r w:rsidRPr="00981822">
        <w:rPr>
          <w:rFonts w:ascii="Times New Roman" w:hAnsi="Times New Roman"/>
          <w:iCs/>
          <w:color w:val="000000"/>
          <w:sz w:val="28"/>
          <w:szCs w:val="28"/>
          <w:lang w:val="en-US" w:eastAsia="uk-UA"/>
        </w:rPr>
        <w:t>Eur Radiol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5):1068–80. doi:10.1007/s00330-014-3107-z.</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Croce CM</w:t>
      </w:r>
      <w:r w:rsidRPr="00981822">
        <w:rPr>
          <w:rFonts w:ascii="Times New Roman" w:hAnsi="Times New Roman"/>
          <w:color w:val="000000"/>
          <w:sz w:val="28"/>
          <w:szCs w:val="28"/>
          <w:shd w:val="clear" w:color="auto" w:fill="FFFFFF"/>
        </w:rPr>
        <w:t>.</w:t>
      </w:r>
      <w:r w:rsidRPr="00981822">
        <w:rPr>
          <w:rFonts w:ascii="Times New Roman" w:hAnsi="Times New Roman"/>
          <w:color w:val="000000"/>
          <w:sz w:val="28"/>
          <w:szCs w:val="28"/>
          <w:shd w:val="clear" w:color="auto" w:fill="FFFFFF"/>
          <w:lang w:val="en-US"/>
        </w:rPr>
        <w:t xml:space="preserve"> Causes and consequences of microRNA dysregulation in cancer. Nat Rev Genet. </w:t>
      </w:r>
      <w:r w:rsidRPr="00981822">
        <w:rPr>
          <w:rFonts w:ascii="Times New Roman" w:hAnsi="Times New Roman"/>
          <w:color w:val="000000"/>
          <w:sz w:val="28"/>
          <w:szCs w:val="28"/>
          <w:shd w:val="clear" w:color="auto" w:fill="FFFFFF"/>
        </w:rPr>
        <w:t>2009;</w:t>
      </w:r>
      <w:r w:rsidRPr="00981822">
        <w:rPr>
          <w:rFonts w:ascii="Times New Roman" w:hAnsi="Times New Roman"/>
          <w:color w:val="000000"/>
          <w:sz w:val="28"/>
          <w:szCs w:val="28"/>
          <w:shd w:val="clear" w:color="auto" w:fill="FFFFFF"/>
          <w:lang w:val="en-US"/>
        </w:rPr>
        <w:t>10:704–14.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Cui L, Zhou</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Zhao</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Xu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Xu</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xml:space="preserve">, et al. MicroRNA-99a Induces G1-Phase Cell Cycle Arrest and Suppresses Tumorigenicity in Renal Cell Carcinoma. </w:t>
      </w:r>
      <w:r w:rsidRPr="00981822">
        <w:rPr>
          <w:rFonts w:ascii="Times New Roman" w:hAnsi="Times New Roman"/>
          <w:iCs/>
          <w:color w:val="000000"/>
          <w:sz w:val="28"/>
          <w:szCs w:val="28"/>
          <w:lang w:val="en-US" w:eastAsia="uk-UA"/>
        </w:rPr>
        <w:t>BMC Cancer</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Nov 23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12:546. </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lastRenderedPageBreak/>
        <w:t>Dalgliesh GL, Furge K, Greenman C, Chen L, Bignell G, Butler A, et al. Systematic sequencing of renal carcinoma reveals inactivation of histone modifying genes. Nature. 2010;463(7279):360–3.</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Dall’Oglio MF, Antunes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AA, Pompeo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AC, Mosconi</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Leite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KRM, Srougi</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ml:space="preserve">. Prognostic Relevance of the Histological Subtype of Renal Cell Carcinoma. </w:t>
      </w:r>
      <w:r w:rsidRPr="00981822">
        <w:rPr>
          <w:rFonts w:ascii="Times New Roman" w:hAnsi="Times New Roman"/>
          <w:iCs/>
          <w:color w:val="000000"/>
          <w:sz w:val="28"/>
          <w:szCs w:val="28"/>
          <w:lang w:val="en-US" w:eastAsia="uk-UA"/>
        </w:rPr>
        <w:t>Int Braz J Urol</w:t>
      </w:r>
      <w:r w:rsidRPr="00981822">
        <w:rPr>
          <w:rFonts w:ascii="Times New Roman" w:hAnsi="Times New Roman"/>
          <w:iCs/>
          <w:color w:val="000000"/>
          <w:sz w:val="28"/>
          <w:szCs w:val="28"/>
          <w:lang w:eastAsia="uk-UA"/>
        </w:rPr>
        <w:t xml:space="preserve">. 2008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1):3–8.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pl-PL" w:eastAsia="uk-UA"/>
        </w:rPr>
        <w:t>Das CJ, Thingujam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U, Panda</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pl-PL" w:eastAsia="uk-UA"/>
        </w:rPr>
        <w:t>, Sharma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S, Gupta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AK</w:t>
      </w:r>
      <w:r w:rsidRPr="00981822">
        <w:rPr>
          <w:rFonts w:ascii="Times New Roman" w:hAnsi="Times New Roman"/>
          <w:lang w:val="pl-PL"/>
        </w:rPr>
        <w:t xml:space="preserve">. </w:t>
      </w:r>
      <w:r w:rsidRPr="00981822">
        <w:rPr>
          <w:rFonts w:ascii="Times New Roman" w:hAnsi="Times New Roman"/>
          <w:color w:val="000000"/>
          <w:sz w:val="28"/>
          <w:szCs w:val="28"/>
          <w:lang w:val="en-US" w:eastAsia="uk-UA"/>
        </w:rPr>
        <w:t xml:space="preserve">Perfusion Computed Tomography in Renal Cell Carcinoma. </w:t>
      </w:r>
      <w:r w:rsidRPr="00981822">
        <w:rPr>
          <w:rFonts w:ascii="Times New Roman" w:hAnsi="Times New Roman"/>
          <w:iCs/>
          <w:color w:val="000000"/>
          <w:sz w:val="28"/>
          <w:szCs w:val="28"/>
          <w:lang w:val="en-US" w:eastAsia="uk-UA"/>
        </w:rPr>
        <w:t>World J Radiol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July 28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7):170–9. doi:10.4329/wjr.v7.i7.170.</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shd w:val="clear" w:color="auto" w:fill="FFFFFF"/>
          <w:lang w:val="en-US"/>
        </w:rPr>
        <w:t>de Martino M, Hoetzenecker K, Ankersmit HJ,</w:t>
      </w:r>
      <w:r w:rsidRPr="00981822">
        <w:rPr>
          <w:rFonts w:ascii="Times New Roman" w:hAnsi="Times New Roman"/>
          <w:lang w:val="en-US"/>
        </w:rPr>
        <w:t xml:space="preserve"> </w:t>
      </w:r>
      <w:r w:rsidRPr="00981822">
        <w:rPr>
          <w:rFonts w:ascii="Times New Roman" w:hAnsi="Times New Roman"/>
          <w:sz w:val="28"/>
          <w:szCs w:val="28"/>
          <w:lang w:val="en-US"/>
        </w:rPr>
        <w:t>Roth GA, Haitel A, Waldert M,</w:t>
      </w:r>
      <w:r w:rsidRPr="00981822">
        <w:rPr>
          <w:rStyle w:val="element-citation"/>
          <w:rFonts w:ascii="Times New Roman" w:hAnsi="Times New Roman"/>
          <w:color w:val="000000"/>
          <w:sz w:val="28"/>
          <w:szCs w:val="28"/>
          <w:shd w:val="clear" w:color="auto" w:fill="FFFFFF"/>
          <w:lang w:val="en-US"/>
        </w:rPr>
        <w:t xml:space="preserve"> et al. Serum 20S proteasome is elevated in patients with renal cell carcinoma and associated with poor prognosis.</w:t>
      </w:r>
      <w:r w:rsidRPr="00981822">
        <w:rPr>
          <w:rStyle w:val="element-citation"/>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Br J Cancer</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Style w:val="element-citation"/>
          <w:rFonts w:ascii="Times New Roman" w:hAnsi="Times New Roman"/>
          <w:color w:val="000000"/>
          <w:sz w:val="28"/>
          <w:szCs w:val="28"/>
          <w:shd w:val="clear" w:color="auto" w:fill="FFFFFF"/>
          <w:lang w:val="en-US"/>
        </w:rPr>
        <w:t>2012;</w:t>
      </w:r>
      <w:r w:rsidRPr="00981822">
        <w:rPr>
          <w:rStyle w:val="ref-vol"/>
          <w:rFonts w:ascii="Times New Roman" w:hAnsi="Times New Roman"/>
          <w:color w:val="000000"/>
          <w:sz w:val="28"/>
          <w:szCs w:val="28"/>
          <w:shd w:val="clear" w:color="auto" w:fill="FFFFFF"/>
          <w:lang w:val="en-US"/>
        </w:rPr>
        <w:t>106</w:t>
      </w:r>
      <w:r w:rsidRPr="00981822">
        <w:rPr>
          <w:rStyle w:val="element-citation"/>
          <w:rFonts w:ascii="Times New Roman" w:hAnsi="Times New Roman"/>
          <w:color w:val="000000"/>
          <w:sz w:val="28"/>
          <w:szCs w:val="28"/>
          <w:shd w:val="clear" w:color="auto" w:fill="FFFFFF"/>
          <w:lang w:val="en-US"/>
        </w:rPr>
        <w:t>(5):904–8. doi: 10.1038/bjc.2012.20.</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shd w:val="clear" w:color="auto" w:fill="FFFFFF"/>
          <w:lang w:val="en-US"/>
        </w:rPr>
        <w:t xml:space="preserve">de Martino M, Klatte T, Seemann C, </w:t>
      </w:r>
      <w:r w:rsidRPr="00981822">
        <w:rPr>
          <w:rFonts w:ascii="Times New Roman" w:hAnsi="Times New Roman"/>
          <w:sz w:val="28"/>
          <w:szCs w:val="28"/>
          <w:lang w:val="en-US"/>
        </w:rPr>
        <w:t>Waldert M, Haitel A, Schatzl G,</w:t>
      </w:r>
      <w:r w:rsidRPr="00981822">
        <w:rPr>
          <w:rStyle w:val="element-citation"/>
          <w:rFonts w:ascii="Times New Roman" w:hAnsi="Times New Roman"/>
          <w:color w:val="000000"/>
          <w:sz w:val="28"/>
          <w:szCs w:val="28"/>
          <w:shd w:val="clear" w:color="auto" w:fill="FFFFFF"/>
          <w:lang w:val="en-US"/>
        </w:rPr>
        <w:t xml:space="preserve"> et al. Validation of serum C-reactive protein (CRP) as an independent prognostic factor for disease-free survival in patients with localised renal cell carcinoma (RCC)</w:t>
      </w:r>
      <w:r w:rsidRPr="00981822">
        <w:rPr>
          <w:rStyle w:val="element-citation"/>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BJU Int</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Style w:val="element-citation"/>
          <w:rFonts w:ascii="Times New Roman" w:hAnsi="Times New Roman"/>
          <w:color w:val="000000"/>
          <w:sz w:val="28"/>
          <w:szCs w:val="28"/>
          <w:shd w:val="clear" w:color="auto" w:fill="FFFFFF"/>
          <w:lang w:val="en-US"/>
        </w:rPr>
        <w:t>2013;</w:t>
      </w:r>
      <w:r w:rsidRPr="00981822">
        <w:rPr>
          <w:rStyle w:val="ref-vol"/>
          <w:rFonts w:ascii="Times New Roman" w:hAnsi="Times New Roman"/>
          <w:color w:val="000000"/>
          <w:sz w:val="28"/>
          <w:szCs w:val="28"/>
          <w:shd w:val="clear" w:color="auto" w:fill="FFFFFF"/>
          <w:lang w:val="en-US"/>
        </w:rPr>
        <w:t>111</w:t>
      </w:r>
      <w:r w:rsidRPr="00981822">
        <w:rPr>
          <w:rStyle w:val="element-citation"/>
          <w:rFonts w:ascii="Times New Roman" w:hAnsi="Times New Roman"/>
          <w:color w:val="000000"/>
          <w:sz w:val="28"/>
          <w:szCs w:val="28"/>
          <w:shd w:val="clear" w:color="auto" w:fill="FFFFFF"/>
          <w:lang w:val="en-US"/>
        </w:rPr>
        <w:t xml:space="preserve">(8):E348–E353.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Delahunt B, Srigley JR, Montironi R, Egevad L. Advances in renal neoplasia: recommendations from the 2012 International Society of Urological Pathology Consensus Conference. Urology</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2014;83(5):969–74.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Dey N, Das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Ghosh-Choudhury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Mandal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CC, Parekh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DJ, Block</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 xml:space="preserve">microRNA-21 Governs TORC1 Activation in Renal Cancer Cell Proliferation and Invasion. </w:t>
      </w:r>
      <w:r w:rsidRPr="00981822">
        <w:rPr>
          <w:rFonts w:ascii="Times New Roman" w:hAnsi="Times New Roman"/>
          <w:iCs/>
          <w:color w:val="000000"/>
          <w:sz w:val="28"/>
          <w:szCs w:val="28"/>
          <w:lang w:val="en-US" w:eastAsia="uk-UA"/>
        </w:rPr>
        <w:t>PloS One</w:t>
      </w:r>
      <w:r w:rsidRPr="00981822">
        <w:rPr>
          <w:rFonts w:ascii="Times New Roman" w:hAnsi="Times New Roman"/>
          <w:iCs/>
          <w:color w:val="000000"/>
          <w:sz w:val="28"/>
          <w:szCs w:val="28"/>
          <w:lang w:eastAsia="uk-UA"/>
        </w:rPr>
        <w:t>. 2012;</w:t>
      </w:r>
      <w:r w:rsidRPr="00981822">
        <w:rPr>
          <w:rFonts w:ascii="Times New Roman" w:hAnsi="Times New Roman"/>
          <w:color w:val="000000"/>
          <w:sz w:val="28"/>
          <w:szCs w:val="28"/>
          <w:lang w:val="en-US" w:eastAsia="uk-UA"/>
        </w:rPr>
        <w:t>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6):e37366. </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lang w:val="en-US"/>
        </w:rPr>
        <w:t>Di Carlo A. Evaluation of neutrophil gelatinase-associated lipocalin (NGAL), matrix metalloproteinase-9 (MMP-9) and their complex MMP-9/NGAL in sera and urine of patients with kidney tumors.</w:t>
      </w:r>
      <w:r w:rsidRPr="00981822">
        <w:rPr>
          <w:rStyle w:val="element-citation"/>
          <w:rFonts w:ascii="Times New Roman" w:hAnsi="Times New Roman"/>
          <w:color w:val="000000"/>
          <w:sz w:val="28"/>
          <w:szCs w:val="28"/>
        </w:rPr>
        <w:t xml:space="preserve"> </w:t>
      </w:r>
      <w:r w:rsidRPr="00981822">
        <w:rPr>
          <w:rStyle w:val="Emphasis"/>
          <w:rFonts w:ascii="Times New Roman" w:hAnsi="Times New Roman"/>
          <w:iCs w:val="0"/>
          <w:color w:val="000000"/>
          <w:sz w:val="28"/>
          <w:szCs w:val="28"/>
          <w:lang w:val="en-US"/>
        </w:rPr>
        <w:t>Oncol Lett</w:t>
      </w:r>
      <w:r w:rsidRPr="00981822">
        <w:rPr>
          <w:rStyle w:val="ref-journal"/>
          <w:rFonts w:ascii="Times New Roman" w:hAnsi="Times New Roman"/>
          <w:color w:val="000000"/>
          <w:sz w:val="28"/>
          <w:szCs w:val="28"/>
          <w:lang w:val="en-US"/>
        </w:rPr>
        <w:t>.</w:t>
      </w:r>
      <w:r w:rsidRPr="00981822">
        <w:rPr>
          <w:rStyle w:val="ref-journal"/>
          <w:rFonts w:ascii="Times New Roman" w:hAnsi="Times New Roman"/>
          <w:color w:val="000000"/>
          <w:sz w:val="28"/>
          <w:szCs w:val="28"/>
        </w:rPr>
        <w:t xml:space="preserve"> </w:t>
      </w:r>
      <w:r w:rsidRPr="00981822">
        <w:rPr>
          <w:rStyle w:val="element-citation"/>
          <w:rFonts w:ascii="Times New Roman" w:hAnsi="Times New Roman"/>
          <w:color w:val="000000"/>
          <w:sz w:val="28"/>
          <w:szCs w:val="28"/>
          <w:lang w:val="en-US"/>
        </w:rPr>
        <w:t>2013;</w:t>
      </w:r>
      <w:r w:rsidRPr="00981822">
        <w:rPr>
          <w:rStyle w:val="ref-vol"/>
          <w:rFonts w:ascii="Times New Roman" w:hAnsi="Times New Roman"/>
          <w:color w:val="000000"/>
          <w:sz w:val="28"/>
          <w:szCs w:val="28"/>
          <w:lang w:val="en-US"/>
        </w:rPr>
        <w:t>5</w:t>
      </w:r>
      <w:r w:rsidRPr="00981822">
        <w:rPr>
          <w:rStyle w:val="element-citation"/>
          <w:rFonts w:ascii="Times New Roman" w:hAnsi="Times New Roman"/>
          <w:color w:val="000000"/>
          <w:sz w:val="28"/>
          <w:szCs w:val="28"/>
          <w:lang w:val="en-US"/>
        </w:rPr>
        <w:t>(5):1677–81. doi: 10.3892/ol.2013.1252.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Di Carlo A. Matrix metalloproteinase-2 and -9 in the sera and in the urine of human oncocytoma and renal cell carcinoma.</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Oncol Rep</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2012 Sep;</w:t>
      </w:r>
      <w:r w:rsidRPr="00981822">
        <w:rPr>
          <w:rStyle w:val="ref-vol"/>
          <w:rFonts w:ascii="Times New Roman" w:hAnsi="Times New Roman"/>
          <w:color w:val="000000"/>
          <w:sz w:val="28"/>
          <w:szCs w:val="28"/>
          <w:shd w:val="clear" w:color="auto" w:fill="FFFFFF"/>
          <w:lang w:val="en-US"/>
        </w:rPr>
        <w:t>28</w:t>
      </w:r>
      <w:r w:rsidRPr="00981822">
        <w:rPr>
          <w:rFonts w:ascii="Times New Roman" w:hAnsi="Times New Roman"/>
          <w:color w:val="000000"/>
          <w:sz w:val="28"/>
          <w:szCs w:val="28"/>
          <w:shd w:val="clear" w:color="auto" w:fill="FFFFFF"/>
          <w:lang w:val="en-US"/>
        </w:rPr>
        <w:t>(3):1051–6. doi: 10.3892/or.2012.1864.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Dilauro M, Quon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McInnes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MDF, Vakili</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Chung</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Flood</w:t>
      </w:r>
      <w:r w:rsidRPr="00981822">
        <w:rPr>
          <w:rFonts w:ascii="Times New Roman" w:hAnsi="Times New Roman"/>
          <w:color w:val="000000"/>
          <w:sz w:val="28"/>
          <w:szCs w:val="28"/>
          <w:lang w:eastAsia="uk-UA"/>
        </w:rPr>
        <w:t xml:space="preserve"> ТА</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Comparison of Contrast-Enhanced Multiphase Renal Protocol CT Versus MRI for Diagnosis of Papillary Renal Cell Carcinoma.</w:t>
      </w:r>
      <w:r w:rsidRPr="00981822">
        <w:rPr>
          <w:rFonts w:ascii="Times New Roman" w:hAnsi="Times New Roman"/>
          <w:i/>
          <w:iCs/>
          <w:color w:val="000000"/>
          <w:sz w:val="28"/>
          <w:szCs w:val="28"/>
          <w:lang w:val="en-US" w:eastAsia="uk-UA"/>
        </w:rPr>
        <w:t xml:space="preserve"> </w:t>
      </w:r>
      <w:r w:rsidRPr="00981822">
        <w:rPr>
          <w:rFonts w:ascii="Times New Roman" w:hAnsi="Times New Roman"/>
          <w:iCs/>
          <w:color w:val="000000"/>
          <w:sz w:val="28"/>
          <w:szCs w:val="28"/>
          <w:lang w:val="en-US" w:eastAsia="uk-UA"/>
        </w:rPr>
        <w:t>Am</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J Roentgenol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2):319–25. doi:10.2214/AJR.15.14932.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Ding Y, Zeng</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Rao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Chen</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Fu</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J. Comparison of Biexponential and Monoexponential Model of Diffusion-Weighted Imaging for Distinguishing between Common Renal Cell Carcinoma and Fat Poor Angiomyolipoma. </w:t>
      </w:r>
      <w:r w:rsidRPr="00981822">
        <w:rPr>
          <w:rFonts w:ascii="Times New Roman" w:hAnsi="Times New Roman"/>
          <w:iCs/>
          <w:color w:val="000000"/>
          <w:sz w:val="28"/>
          <w:szCs w:val="28"/>
          <w:lang w:val="en-US" w:eastAsia="uk-UA"/>
        </w:rPr>
        <w:t>Korean 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Radiol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Dec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:853–63.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Doberstein K, Steinmeyer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Hartmetz</w:t>
      </w:r>
      <w:r w:rsidRPr="00981822">
        <w:rPr>
          <w:rFonts w:ascii="Times New Roman" w:hAnsi="Times New Roman"/>
          <w:color w:val="000000"/>
          <w:sz w:val="28"/>
          <w:szCs w:val="28"/>
          <w:lang w:eastAsia="uk-UA"/>
        </w:rPr>
        <w:t xml:space="preserve"> А-К</w:t>
      </w:r>
      <w:r w:rsidRPr="00981822">
        <w:rPr>
          <w:rFonts w:ascii="Times New Roman" w:hAnsi="Times New Roman"/>
          <w:color w:val="000000"/>
          <w:sz w:val="28"/>
          <w:szCs w:val="28"/>
          <w:lang w:val="en-US" w:eastAsia="uk-UA"/>
        </w:rPr>
        <w:t>, Eberhardt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Mittelbronn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Harter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PN,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 xml:space="preserve">MicroRNA-145 Targets the Metalloprotease ADAM17 and Is Suppressed in Renal Cell Carcinoma Patients. </w:t>
      </w:r>
      <w:r w:rsidRPr="00981822">
        <w:rPr>
          <w:rFonts w:ascii="Times New Roman" w:hAnsi="Times New Roman"/>
          <w:iCs/>
          <w:color w:val="000000"/>
          <w:sz w:val="28"/>
          <w:szCs w:val="28"/>
          <w:lang w:val="en-US" w:eastAsia="uk-UA"/>
        </w:rPr>
        <w:t>Neoplasia</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:218–30.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Do</w:t>
      </w:r>
      <w:r w:rsidRPr="00981822">
        <w:rPr>
          <w:rFonts w:ascii="Times New Roman" w:hAnsi="Times New Roman"/>
          <w:color w:val="000000"/>
          <w:sz w:val="28"/>
          <w:szCs w:val="28"/>
          <w:lang w:eastAsia="uk-UA"/>
        </w:rPr>
        <w:t>ğ</w:t>
      </w:r>
      <w:r w:rsidRPr="00981822">
        <w:rPr>
          <w:rFonts w:ascii="Times New Roman" w:hAnsi="Times New Roman"/>
          <w:color w:val="000000"/>
          <w:sz w:val="28"/>
          <w:szCs w:val="28"/>
          <w:lang w:val="en-US" w:eastAsia="uk-UA"/>
        </w:rPr>
        <w:t>anay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Kocako</w:t>
      </w:r>
      <w:r w:rsidRPr="00981822">
        <w:rPr>
          <w:rFonts w:ascii="Times New Roman" w:hAnsi="Times New Roman"/>
          <w:color w:val="000000"/>
          <w:sz w:val="28"/>
          <w:szCs w:val="28"/>
          <w:lang w:eastAsia="uk-UA"/>
        </w:rPr>
        <w:t xml:space="preserve">ç Е, </w:t>
      </w:r>
      <w:r w:rsidRPr="00981822">
        <w:rPr>
          <w:rFonts w:ascii="Times New Roman" w:hAnsi="Times New Roman"/>
          <w:color w:val="000000"/>
          <w:sz w:val="28"/>
          <w:szCs w:val="28"/>
          <w:lang w:val="en-US" w:eastAsia="uk-UA"/>
        </w:rPr>
        <w:t>Ci</w:t>
      </w:r>
      <w:r w:rsidRPr="00981822">
        <w:rPr>
          <w:rFonts w:ascii="Times New Roman" w:hAnsi="Times New Roman"/>
          <w:color w:val="000000"/>
          <w:sz w:val="28"/>
          <w:szCs w:val="28"/>
          <w:lang w:eastAsia="uk-UA"/>
        </w:rPr>
        <w:t>ç</w:t>
      </w:r>
      <w:r w:rsidRPr="00981822">
        <w:rPr>
          <w:rFonts w:ascii="Times New Roman" w:hAnsi="Times New Roman"/>
          <w:color w:val="000000"/>
          <w:sz w:val="28"/>
          <w:szCs w:val="28"/>
          <w:lang w:val="en-US" w:eastAsia="uk-UA"/>
        </w:rPr>
        <w:t>ek</w:t>
      </w:r>
      <w:r w:rsidRPr="00981822">
        <w:rPr>
          <w:rFonts w:ascii="Times New Roman" w:hAnsi="Times New Roman"/>
          <w:color w:val="000000"/>
          <w:sz w:val="28"/>
          <w:szCs w:val="28"/>
          <w:lang w:eastAsia="uk-UA"/>
        </w:rPr>
        <w:t>ç</w:t>
      </w:r>
      <w:r w:rsidRPr="00981822">
        <w:rPr>
          <w:rFonts w:ascii="Times New Roman" w:hAnsi="Times New Roman"/>
          <w:color w:val="000000"/>
          <w:sz w:val="28"/>
          <w:szCs w:val="28"/>
          <w:lang w:val="en-US" w:eastAsia="uk-UA"/>
        </w:rPr>
        <w:t>i</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A</w:t>
      </w:r>
      <w:r w:rsidRPr="00981822">
        <w:rPr>
          <w:rFonts w:ascii="Times New Roman" w:hAnsi="Times New Roman"/>
          <w:color w:val="000000"/>
          <w:sz w:val="28"/>
          <w:szCs w:val="28"/>
          <w:lang w:eastAsia="uk-UA"/>
        </w:rPr>
        <w:t>ğ</w:t>
      </w:r>
      <w:r w:rsidRPr="00981822">
        <w:rPr>
          <w:rFonts w:ascii="Times New Roman" w:hAnsi="Times New Roman"/>
          <w:color w:val="000000"/>
          <w:sz w:val="28"/>
          <w:szCs w:val="28"/>
          <w:lang w:val="en-US" w:eastAsia="uk-UA"/>
        </w:rPr>
        <w:t>lami</w:t>
      </w:r>
      <w:r w:rsidRPr="00981822">
        <w:rPr>
          <w:rFonts w:ascii="Times New Roman" w:hAnsi="Times New Roman"/>
          <w:color w:val="000000"/>
          <w:sz w:val="28"/>
          <w:szCs w:val="28"/>
          <w:lang w:eastAsia="uk-UA"/>
        </w:rPr>
        <w:t xml:space="preserve">ş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Akpolat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Orhan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Ability and Utility of Diffusion-Weighted MRI with Different b Values in the Evaluation of Benign and Malignant Renal Lesions. </w:t>
      </w:r>
      <w:r w:rsidRPr="00981822">
        <w:rPr>
          <w:rFonts w:ascii="Times New Roman" w:hAnsi="Times New Roman"/>
          <w:iCs/>
          <w:color w:val="000000"/>
          <w:sz w:val="28"/>
          <w:szCs w:val="28"/>
          <w:lang w:val="en-US" w:eastAsia="uk-UA"/>
        </w:rPr>
        <w:t>Clin Radiol</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5):420–5. doi:10.1016/j.crad.2010.11.013.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Engels EA, Pfeiffer RM, Fraumeni JF, Kasiske BL, Israni AK, Snyder JJ, et al. Spectrum of cancer risk among US solid organ transplant recipients. JAMA. 2011;306:1891–901.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Ertekin E, Amasyalı</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AS, Erol</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Acikgozoglu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Kucukdurmaz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Nayman</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 xml:space="preserve">Role of Contrast Enhancement and Corrected Attenuation Values of Renal Tumors in Predicting Renal Cell Carcinoma (RCC) Subtypes: Protocol for a Triphasic Multi-Slice Computed Tomography (CT) Procedure. </w:t>
      </w:r>
      <w:r w:rsidRPr="00981822">
        <w:rPr>
          <w:rFonts w:ascii="Times New Roman" w:hAnsi="Times New Roman"/>
          <w:iCs/>
          <w:color w:val="000000"/>
          <w:sz w:val="28"/>
          <w:szCs w:val="28"/>
          <w:lang w:val="en-US" w:eastAsia="uk-UA"/>
        </w:rPr>
        <w:t>Polish J Radiol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July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16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82:384–91.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Fan W, Huang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Xiao</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Liang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Z. MicroRNA-22 Is Downregulated in Clear Cell Renal Cell Carcinoma, and Inhibits Cell Growth, Migration and Invasion by Targeting PTEN. </w:t>
      </w:r>
      <w:r w:rsidRPr="00981822">
        <w:rPr>
          <w:rFonts w:ascii="Times New Roman" w:hAnsi="Times New Roman"/>
          <w:iCs/>
          <w:color w:val="000000"/>
          <w:sz w:val="28"/>
          <w:szCs w:val="28"/>
          <w:lang w:val="en-US" w:eastAsia="uk-UA"/>
        </w:rPr>
        <w:t>Mol Med Rep</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Jun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6):4800–6.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Faragalla H, Youssef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YM, Scorilas</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Khalil</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White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NMA, Mejia-Guerrero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 et al. The Clinical Utility of miR-21 as a Diagnostic and Prognostic Marker </w:t>
      </w:r>
      <w:r w:rsidRPr="00981822">
        <w:rPr>
          <w:rFonts w:ascii="Times New Roman" w:hAnsi="Times New Roman"/>
          <w:color w:val="000000"/>
          <w:sz w:val="28"/>
          <w:szCs w:val="28"/>
          <w:lang w:val="en-US" w:eastAsia="uk-UA"/>
        </w:rPr>
        <w:lastRenderedPageBreak/>
        <w:t xml:space="preserve">for Renal Cell Carcinoma. </w:t>
      </w:r>
      <w:r w:rsidRPr="00981822">
        <w:rPr>
          <w:rFonts w:ascii="Times New Roman" w:hAnsi="Times New Roman"/>
          <w:iCs/>
          <w:color w:val="000000"/>
          <w:sz w:val="28"/>
          <w:szCs w:val="28"/>
          <w:lang w:val="en-US" w:eastAsia="uk-UA"/>
        </w:rPr>
        <w:t>J Mol Diagnost</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Jul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4):385–92. doi:10.1016/j.jmoldx.2012.02.003.</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Fayek IS, Habashy HF, Habashy NF. Isolated loco-regional recurrence after radical nephrectomy for renal cell carcinoma: A study of 22 patients. Journal of the Egyptian National Cancer Institute. 2014 Sep;26(3):161–6.</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Fedorko M, Stanik</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Iliev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Redova-Lojova</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Machackova</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Svoboda</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ml:space="preserve">, et al. Combination of MiR-378 and MiR-210 Serum Levels Enables Sensitive Detection of Renal Cell Carcinoma. </w:t>
      </w:r>
      <w:r w:rsidRPr="00981822">
        <w:rPr>
          <w:rFonts w:ascii="Times New Roman" w:hAnsi="Times New Roman"/>
          <w:iCs/>
          <w:color w:val="000000"/>
          <w:sz w:val="28"/>
          <w:szCs w:val="28"/>
          <w:lang w:val="en-US" w:eastAsia="uk-UA"/>
        </w:rPr>
        <w:t>Int</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J Mol Sci</w:t>
      </w:r>
      <w:r w:rsidRPr="00981822">
        <w:rPr>
          <w:rFonts w:ascii="Times New Roman" w:hAnsi="Times New Roman"/>
          <w:iCs/>
          <w:color w:val="000000"/>
          <w:sz w:val="28"/>
          <w:szCs w:val="28"/>
          <w:lang w:eastAsia="uk-UA"/>
        </w:rPr>
        <w:t>. 2015;</w:t>
      </w:r>
      <w:r w:rsidRPr="00981822">
        <w:rPr>
          <w:rFonts w:ascii="Times New Roman" w:hAnsi="Times New Roman"/>
          <w:color w:val="000000"/>
          <w:sz w:val="28"/>
          <w:szCs w:val="28"/>
          <w:lang w:val="en-US" w:eastAsia="uk-UA"/>
        </w:rPr>
        <w:t>16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10):23382–9. doi:10.3390/ijms161023382.</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Feng Q, Fang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Sun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XP, Sun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SH,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RM, 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ZJ</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Renal Clear Cell Carcinoma: Diffusion Tensor Imaging Diagnostic Accuracy and Correlations with Clinical and Histopathological Factors. </w:t>
      </w:r>
      <w:r w:rsidRPr="00981822">
        <w:rPr>
          <w:rFonts w:ascii="Times New Roman" w:hAnsi="Times New Roman"/>
          <w:iCs/>
          <w:color w:val="000000"/>
          <w:sz w:val="28"/>
          <w:szCs w:val="28"/>
          <w:lang w:val="en-US" w:eastAsia="uk-UA"/>
        </w:rPr>
        <w:t>Clin Radiol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Jul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7):560–64.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Ferreira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Reis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Kajiwara</w:t>
      </w:r>
      <w:r w:rsidRPr="00981822">
        <w:rPr>
          <w:rFonts w:ascii="Times New Roman" w:hAnsi="Times New Roman"/>
          <w:color w:val="000000"/>
          <w:sz w:val="28"/>
          <w:szCs w:val="28"/>
          <w:lang w:eastAsia="uk-UA"/>
        </w:rPr>
        <w:t xml:space="preserve"> РР, </w:t>
      </w:r>
      <w:r w:rsidRPr="00981822">
        <w:rPr>
          <w:rFonts w:ascii="Times New Roman" w:hAnsi="Times New Roman"/>
          <w:color w:val="000000"/>
          <w:sz w:val="28"/>
          <w:szCs w:val="28"/>
          <w:lang w:val="en-US" w:eastAsia="uk-UA"/>
        </w:rPr>
        <w:t>Silva GE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Elias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Muglia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VF</w:t>
      </w:r>
      <w:r w:rsidRPr="00981822">
        <w:rPr>
          <w:rFonts w:ascii="Times New Roman" w:hAnsi="Times New Roman"/>
          <w:color w:val="000000"/>
          <w:sz w:val="28"/>
          <w:szCs w:val="28"/>
          <w:lang w:eastAsia="uk-UA"/>
        </w:rPr>
        <w:t>.</w:t>
      </w:r>
      <w:r w:rsidRPr="00981822">
        <w:rPr>
          <w:lang w:val="en-US"/>
        </w:rPr>
        <w:t xml:space="preserve"> </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MRI Evaluation of Complex Renal Cysts Using the Bosniak Classification: A Comparison to CT. </w:t>
      </w:r>
      <w:r w:rsidRPr="00981822">
        <w:rPr>
          <w:rFonts w:ascii="Times New Roman" w:hAnsi="Times New Roman"/>
          <w:iCs/>
          <w:color w:val="000000"/>
          <w:sz w:val="28"/>
          <w:szCs w:val="28"/>
          <w:lang w:val="en-US" w:eastAsia="uk-UA"/>
        </w:rPr>
        <w:t>Abdom Radiol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10):2011–9.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Fischer K, Theil G, Hoda R, Fornara P. Serum amyloid A: a biomarker for renal cancer.</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Anticancer Res</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2012;</w:t>
      </w:r>
      <w:r w:rsidRPr="00981822">
        <w:rPr>
          <w:rStyle w:val="ref-vol"/>
          <w:rFonts w:ascii="Times New Roman" w:hAnsi="Times New Roman"/>
          <w:color w:val="000000"/>
          <w:sz w:val="28"/>
          <w:szCs w:val="28"/>
          <w:shd w:val="clear" w:color="auto" w:fill="FFFFFF"/>
          <w:lang w:val="en-US"/>
        </w:rPr>
        <w:t>32</w:t>
      </w:r>
      <w:r w:rsidRPr="00981822">
        <w:rPr>
          <w:rFonts w:ascii="Times New Roman" w:hAnsi="Times New Roman"/>
          <w:color w:val="000000"/>
          <w:sz w:val="28"/>
          <w:szCs w:val="28"/>
          <w:shd w:val="clear" w:color="auto" w:fill="FFFFFF"/>
          <w:lang w:val="en-US"/>
        </w:rPr>
        <w:t>(5):1801–4.</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Frees S, Kamal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Mohammed M, Knoechlein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Bell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Ziesel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 Neisius</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et al. Differences in Overall and Cancer-Specific Survival of Patients Presenting With Chromophobe Versus Clear Cell Renal Cell Carcinoma: A Propensity Score Matched Analysis. </w:t>
      </w:r>
      <w:r w:rsidRPr="00981822">
        <w:rPr>
          <w:rFonts w:ascii="Times New Roman" w:hAnsi="Times New Roman"/>
          <w:iCs/>
          <w:color w:val="000000"/>
          <w:sz w:val="28"/>
          <w:szCs w:val="28"/>
          <w:lang w:val="en-US" w:eastAsia="uk-UA"/>
        </w:rPr>
        <w:t>Urology</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Dec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98:81–7.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Fritz HKM, Lindgren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Ljungberg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 Axelson</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Dahlbäck</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xml:space="preserve">. The miR(21/10b) Ratio as a Prognostic Marker in Clear Cell Renal Cell Carcinoma. </w:t>
      </w:r>
      <w:r w:rsidRPr="00981822">
        <w:rPr>
          <w:rFonts w:ascii="Times New Roman" w:hAnsi="Times New Roman"/>
          <w:iCs/>
          <w:color w:val="000000"/>
          <w:sz w:val="28"/>
          <w:szCs w:val="28"/>
          <w:lang w:val="en-US" w:eastAsia="uk-UA"/>
        </w:rPr>
        <w:t>Eur J Cancer</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Jul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10):1758–65.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Fuhrman SA, Lasky LC, Limas C. Prognostic</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significance of morphologic parameters in renal cell</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carcinoma. Am J Surg Pathol. 1982</w:t>
      </w:r>
      <w:r w:rsidRPr="00981822">
        <w:rPr>
          <w:rFonts w:ascii="Times New Roman" w:hAnsi="Times New Roman"/>
          <w:color w:val="000000"/>
          <w:sz w:val="28"/>
          <w:szCs w:val="28"/>
        </w:rPr>
        <w:t xml:space="preserve"> </w:t>
      </w:r>
      <w:r w:rsidRPr="00981822">
        <w:rPr>
          <w:rFonts w:ascii="Times New Roman" w:hAnsi="Times New Roman"/>
          <w:sz w:val="28"/>
          <w:szCs w:val="28"/>
        </w:rPr>
        <w:t>Oct;6(7):655–63</w:t>
      </w:r>
      <w:r w:rsidRPr="00981822">
        <w:rPr>
          <w:sz w:val="28"/>
          <w:szCs w:val="28"/>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Fujii Y, Komai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Saito</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Iimura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Yonese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Kawakami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 et al. Incidence of Benign Pathologic Lesions at Partial Nephrectomy for Presumed RCC Renal </w:t>
      </w:r>
      <w:r w:rsidRPr="00981822">
        <w:rPr>
          <w:rFonts w:ascii="Times New Roman" w:hAnsi="Times New Roman"/>
          <w:color w:val="000000"/>
          <w:sz w:val="28"/>
          <w:szCs w:val="28"/>
          <w:lang w:val="en-US" w:eastAsia="uk-UA"/>
        </w:rPr>
        <w:lastRenderedPageBreak/>
        <w:t xml:space="preserve">Masses: Japanese Dual-Center Experience with 176 Consecutive Patients. </w:t>
      </w:r>
      <w:r w:rsidRPr="00981822">
        <w:rPr>
          <w:rFonts w:ascii="Times New Roman" w:hAnsi="Times New Roman"/>
          <w:iCs/>
          <w:color w:val="000000"/>
          <w:sz w:val="28"/>
          <w:szCs w:val="28"/>
          <w:lang w:val="en-US" w:eastAsia="uk-UA"/>
        </w:rPr>
        <w:t>Urology</w:t>
      </w:r>
      <w:r w:rsidRPr="00981822">
        <w:rPr>
          <w:rFonts w:ascii="Times New Roman" w:hAnsi="Times New Roman"/>
          <w:iCs/>
          <w:color w:val="000000"/>
          <w:sz w:val="28"/>
          <w:szCs w:val="28"/>
          <w:lang w:eastAsia="uk-UA"/>
        </w:rPr>
        <w:t xml:space="preserve">. 2008 </w:t>
      </w:r>
      <w:r w:rsidRPr="00981822">
        <w:rPr>
          <w:rFonts w:ascii="Times New Roman" w:hAnsi="Times New Roman"/>
          <w:color w:val="000000"/>
          <w:sz w:val="28"/>
          <w:szCs w:val="28"/>
          <w:lang w:val="en-US" w:eastAsia="uk-UA"/>
        </w:rPr>
        <w:t>Sep</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3):598–602. </w:t>
      </w:r>
    </w:p>
    <w:p w:rsidR="0061473E" w:rsidRPr="00981822" w:rsidRDefault="0061473E" w:rsidP="00DE6E24">
      <w:pPr>
        <w:pStyle w:val="ListParagraph"/>
        <w:numPr>
          <w:ilvl w:val="0"/>
          <w:numId w:val="9"/>
        </w:numPr>
        <w:spacing w:after="0" w:line="360" w:lineRule="auto"/>
        <w:jc w:val="both"/>
        <w:rPr>
          <w:rFonts w:ascii="Times New Roman" w:hAnsi="Times New Roman"/>
          <w:sz w:val="28"/>
          <w:szCs w:val="28"/>
          <w:lang w:val="en-US" w:eastAsia="uk-UA"/>
        </w:rPr>
      </w:pPr>
      <w:r w:rsidRPr="00981822">
        <w:rPr>
          <w:rFonts w:ascii="Times New Roman" w:hAnsi="Times New Roman"/>
          <w:sz w:val="28"/>
          <w:szCs w:val="28"/>
          <w:lang w:val="en-US" w:eastAsia="uk-UA"/>
        </w:rPr>
        <w:t>Fujii Y, Saito K, Iimura Y</w:t>
      </w:r>
      <w:r w:rsidRPr="00981822">
        <w:rPr>
          <w:rFonts w:ascii="Times New Roman" w:hAnsi="Times New Roman"/>
          <w:sz w:val="28"/>
          <w:szCs w:val="28"/>
          <w:lang w:eastAsia="uk-UA"/>
        </w:rPr>
        <w:t>,</w:t>
      </w:r>
      <w:r w:rsidRPr="00981822">
        <w:rPr>
          <w:rFonts w:ascii="Times New Roman" w:hAnsi="Times New Roman"/>
          <w:sz w:val="28"/>
          <w:szCs w:val="28"/>
          <w:lang w:val="en-US" w:eastAsia="uk-UA"/>
        </w:rPr>
        <w:t xml:space="preserve"> et al. Incidence of Benign Pathologic Lesions at Nephrectomy for Renal Masses Presumed to Be Stage I Renal Cell Carcinoma in Japanese Patients: Impact of Sex, Age, and Tumor Size. </w:t>
      </w:r>
      <w:r w:rsidRPr="00981822">
        <w:rPr>
          <w:rFonts w:ascii="Times New Roman" w:hAnsi="Times New Roman"/>
          <w:iCs/>
          <w:sz w:val="28"/>
          <w:szCs w:val="28"/>
          <w:lang w:val="en-US" w:eastAsia="uk-UA"/>
        </w:rPr>
        <w:t>ASCO Meeting Abstracts</w:t>
      </w:r>
      <w:r w:rsidRPr="00981822">
        <w:rPr>
          <w:rFonts w:ascii="Times New Roman" w:hAnsi="Times New Roman"/>
          <w:iCs/>
          <w:sz w:val="28"/>
          <w:szCs w:val="28"/>
          <w:lang w:eastAsia="uk-UA"/>
        </w:rPr>
        <w:t xml:space="preserve">. </w:t>
      </w:r>
      <w:r w:rsidRPr="00981822">
        <w:rPr>
          <w:rFonts w:ascii="Times New Roman" w:hAnsi="Times New Roman"/>
          <w:iCs/>
          <w:sz w:val="28"/>
          <w:szCs w:val="28"/>
          <w:lang w:val="en-US" w:eastAsia="uk-UA"/>
        </w:rPr>
        <w:t>2011</w:t>
      </w:r>
      <w:r w:rsidRPr="00981822">
        <w:rPr>
          <w:rFonts w:ascii="Times New Roman" w:hAnsi="Times New Roman"/>
          <w:iCs/>
          <w:sz w:val="28"/>
          <w:szCs w:val="28"/>
          <w:lang w:eastAsia="uk-UA"/>
        </w:rPr>
        <w:t>;</w:t>
      </w:r>
      <w:r w:rsidRPr="00981822">
        <w:rPr>
          <w:rFonts w:ascii="Times New Roman" w:hAnsi="Times New Roman"/>
          <w:sz w:val="28"/>
          <w:szCs w:val="28"/>
          <w:lang w:val="en-US" w:eastAsia="uk-UA"/>
        </w:rPr>
        <w:t>29</w:t>
      </w:r>
      <w:r w:rsidRPr="00981822">
        <w:rPr>
          <w:rFonts w:ascii="Times New Roman" w:hAnsi="Times New Roman"/>
          <w:sz w:val="28"/>
          <w:szCs w:val="28"/>
          <w:lang w:eastAsia="uk-UA"/>
        </w:rPr>
        <w:t>(7):</w:t>
      </w:r>
      <w:r w:rsidRPr="00981822">
        <w:rPr>
          <w:rFonts w:ascii="Times New Roman" w:hAnsi="Times New Roman"/>
          <w:sz w:val="28"/>
          <w:szCs w:val="28"/>
          <w:lang w:val="en-US" w:eastAsia="uk-UA"/>
        </w:rPr>
        <w:t>374.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Galmiche C, Bernhard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JC, Yacoub</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Ravaud</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Grenier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Cornelis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Is Multiparametric MRI Useful for Differentiating Oncocytomas From Chromophobe Renal Cell Carcinomas?</w:t>
      </w:r>
      <w:r w:rsidRPr="00981822">
        <w:rPr>
          <w:rFonts w:ascii="Times New Roman" w:hAnsi="Times New Roman"/>
          <w:color w:val="000000"/>
          <w:sz w:val="28"/>
          <w:szCs w:val="28"/>
          <w:lang w:eastAsia="uk-UA"/>
        </w:rPr>
        <w:t>.</w:t>
      </w:r>
      <w:r w:rsidRPr="00981822">
        <w:rPr>
          <w:rFonts w:ascii="Times New Roman" w:hAnsi="Times New Roman"/>
          <w:iCs/>
          <w:color w:val="000000"/>
          <w:sz w:val="28"/>
          <w:szCs w:val="28"/>
          <w:lang w:val="en-US" w:eastAsia="uk-UA"/>
        </w:rPr>
        <w:t xml:space="preserve"> </w:t>
      </w:r>
      <w:r w:rsidRPr="00981822">
        <w:rPr>
          <w:rFonts w:ascii="Times New Roman" w:hAnsi="Times New Roman"/>
          <w:sz w:val="28"/>
          <w:szCs w:val="28"/>
          <w:lang w:val="en-US"/>
        </w:rPr>
        <w:t>AJR Am J Roentgenol. 2017 Feb;208(2):343</w:t>
      </w:r>
      <w:r w:rsidRPr="00981822">
        <w:rPr>
          <w:rFonts w:ascii="Times New Roman" w:hAnsi="Times New Roman"/>
          <w:sz w:val="28"/>
          <w:szCs w:val="28"/>
        </w:rPr>
        <w:t>–</w:t>
      </w:r>
      <w:r w:rsidRPr="00981822">
        <w:rPr>
          <w:rFonts w:ascii="Times New Roman" w:hAnsi="Times New Roman"/>
          <w:sz w:val="28"/>
          <w:szCs w:val="28"/>
          <w:lang w:val="en-US"/>
        </w:rPr>
        <w:t>50</w:t>
      </w:r>
      <w:r w:rsidRPr="00981822">
        <w:rPr>
          <w:rFonts w:ascii="Times New Roman" w:hAnsi="Times New Roman"/>
          <w:iCs/>
          <w:color w:val="000000"/>
          <w:sz w:val="28"/>
          <w:szCs w:val="28"/>
          <w:lang w:eastAsia="uk-UA"/>
        </w:rPr>
        <w:t xml:space="preserve">  </w:t>
      </w:r>
      <w:r w:rsidRPr="00981822">
        <w:rPr>
          <w:rFonts w:ascii="Times New Roman" w:hAnsi="Times New Roman"/>
          <w:color w:val="000000"/>
          <w:sz w:val="28"/>
          <w:szCs w:val="28"/>
          <w:lang w:val="en-US" w:eastAsia="uk-UA"/>
        </w:rPr>
        <w:t>doi:10.2214/AJR.16.16832.</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Gao Y, Ma</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Yao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Li</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Fan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Y, et al. miR-155 Regulates the Proliferation and Invasion of Clear Cell Renal Cell Carcinoma Cells by Targeting E2F2. </w:t>
      </w:r>
      <w:r w:rsidRPr="00981822">
        <w:rPr>
          <w:rFonts w:ascii="Times New Roman" w:hAnsi="Times New Roman"/>
          <w:iCs/>
          <w:color w:val="000000"/>
          <w:sz w:val="28"/>
          <w:szCs w:val="28"/>
          <w:lang w:val="en-US" w:eastAsia="uk-UA"/>
        </w:rPr>
        <w:t>Oncotarget</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Apr 12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15):20324–37.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Garant M, Bonaldi VM, Taourel P,</w:t>
      </w:r>
      <w:r w:rsidRPr="00981822">
        <w:rPr>
          <w:rFonts w:ascii="Times New Roman" w:hAnsi="Times New Roman"/>
          <w:lang w:val="en-US"/>
        </w:rPr>
        <w:t xml:space="preserve"> </w:t>
      </w:r>
      <w:r w:rsidRPr="00981822">
        <w:rPr>
          <w:rFonts w:ascii="Times New Roman" w:hAnsi="Times New Roman"/>
          <w:sz w:val="28"/>
          <w:szCs w:val="28"/>
          <w:lang w:val="en-US"/>
        </w:rPr>
        <w:t>Pinsky MF, Bret PM.</w:t>
      </w:r>
      <w:r w:rsidRPr="00981822">
        <w:rPr>
          <w:rFonts w:ascii="Times New Roman" w:hAnsi="Times New Roman"/>
          <w:color w:val="000000"/>
          <w:sz w:val="28"/>
          <w:szCs w:val="28"/>
          <w:lang w:val="en-US"/>
        </w:rPr>
        <w:t xml:space="preserve"> Enhancement patterns of renal masses during multiphase helical CT acquisitions. Abdom Imaging. 1998</w:t>
      </w:r>
      <w:r w:rsidRPr="00981822">
        <w:rPr>
          <w:rFonts w:ascii="Times New Roman" w:hAnsi="Times New Roman"/>
        </w:rPr>
        <w:t xml:space="preserve"> </w:t>
      </w:r>
      <w:r w:rsidRPr="00981822">
        <w:rPr>
          <w:rFonts w:ascii="Times New Roman" w:hAnsi="Times New Roman"/>
          <w:sz w:val="28"/>
          <w:szCs w:val="28"/>
        </w:rPr>
        <w:t>Jul–Aug;23(4):</w:t>
      </w:r>
      <w:r w:rsidRPr="00981822">
        <w:rPr>
          <w:rStyle w:val="highlight"/>
          <w:rFonts w:ascii="Times New Roman" w:hAnsi="Times New Roman"/>
          <w:sz w:val="28"/>
          <w:szCs w:val="28"/>
        </w:rPr>
        <w:t>431–6</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Garcia-Donas J, Esteban E, Leandro-Garcia LJ, </w:t>
      </w:r>
      <w:r w:rsidRPr="00981822">
        <w:rPr>
          <w:rFonts w:ascii="Times New Roman" w:hAnsi="Times New Roman"/>
          <w:sz w:val="28"/>
          <w:szCs w:val="28"/>
          <w:lang w:val="en-US"/>
        </w:rPr>
        <w:t xml:space="preserve">Castellano DE, del Alba AG, Climent MA, </w:t>
      </w:r>
      <w:r w:rsidRPr="00981822">
        <w:rPr>
          <w:rFonts w:ascii="Times New Roman" w:hAnsi="Times New Roman"/>
          <w:color w:val="000000"/>
          <w:sz w:val="28"/>
          <w:szCs w:val="28"/>
          <w:lang w:val="en-US"/>
        </w:rPr>
        <w:t>et al. Single nucleotide polymorphism associations with response and toxic effects in patients with advanced renal-cell carci</w:t>
      </w:r>
      <w:r w:rsidRPr="00981822">
        <w:rPr>
          <w:rFonts w:ascii="Times New Roman" w:hAnsi="Times New Roman"/>
          <w:color w:val="000000"/>
          <w:sz w:val="28"/>
          <w:szCs w:val="28"/>
          <w:lang w:val="en-US"/>
        </w:rPr>
        <w:softHyphen/>
        <w:t>noma treated with first-line sunitinib: a multicentre, observational, prospective study. Lancet Oncol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2011;12(12):1143–50.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García-Figueiras R, Baleato-González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Padhani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AR, Oleaga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Vilanova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JC, Luna</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Proton Magnetic Resonance Spectroscopy in Oncology: The Fingerprints of Cancer?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w:t>
      </w:r>
      <w:r w:rsidRPr="00981822">
        <w:rPr>
          <w:rFonts w:ascii="Times New Roman" w:hAnsi="Times New Roman"/>
          <w:iCs/>
          <w:color w:val="000000"/>
          <w:sz w:val="28"/>
          <w:szCs w:val="28"/>
          <w:lang w:val="en-US" w:eastAsia="uk-UA"/>
        </w:rPr>
        <w:t>Diagnost Int Radiol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1):75–89. </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Gasparre G, Hervouet E, de Laplanche E, Demont J, Pennisi LF, Colombel M, et al. Clonal expansion of mutated mitochondrial DNA is associated with tumor formation and complex I de fi ciency in the benign renal oncocytoma. Hum Mol Genet. 2008;17(7):986–95.</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Gebauer K, Peters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 Dubrowinskaja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Hennenlotter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Abbas</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Scherer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R, et al. Hsa-Mir-124-3 CpG Island Methylation Is Associated with Advanced </w:t>
      </w:r>
      <w:r w:rsidRPr="00981822">
        <w:rPr>
          <w:rFonts w:ascii="Times New Roman" w:hAnsi="Times New Roman"/>
          <w:color w:val="000000"/>
          <w:sz w:val="28"/>
          <w:szCs w:val="28"/>
          <w:lang w:val="en-US" w:eastAsia="uk-UA"/>
        </w:rPr>
        <w:lastRenderedPageBreak/>
        <w:t xml:space="preserve">Tumours and Disease Recurrence of Patients with Clear Cell Renal Cell Carcinoma. </w:t>
      </w:r>
      <w:r w:rsidRPr="00981822">
        <w:rPr>
          <w:rFonts w:ascii="Times New Roman" w:hAnsi="Times New Roman"/>
          <w:iCs/>
          <w:color w:val="000000"/>
          <w:sz w:val="28"/>
          <w:szCs w:val="28"/>
          <w:lang w:val="en-US" w:eastAsia="uk-UA"/>
        </w:rPr>
        <w:t>Br J Cancer</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Jan 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1):131–8.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Goga A, Benz</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xml:space="preserve">. Anti-Oncomir Suppression of Tumor Phenotypes. </w:t>
      </w:r>
      <w:r w:rsidRPr="00981822">
        <w:rPr>
          <w:rFonts w:ascii="Times New Roman" w:hAnsi="Times New Roman"/>
          <w:iCs/>
          <w:color w:val="000000"/>
          <w:sz w:val="28"/>
          <w:szCs w:val="28"/>
          <w:lang w:val="en-US" w:eastAsia="uk-UA"/>
        </w:rPr>
        <w:t>Mol Intervent</w:t>
      </w:r>
      <w:r w:rsidRPr="00981822">
        <w:rPr>
          <w:rFonts w:ascii="Times New Roman" w:hAnsi="Times New Roman"/>
          <w:iCs/>
          <w:color w:val="000000"/>
          <w:sz w:val="28"/>
          <w:szCs w:val="28"/>
          <w:lang w:eastAsia="uk-UA"/>
        </w:rPr>
        <w:t xml:space="preserve">. 2007 </w:t>
      </w:r>
      <w:r w:rsidRPr="00981822">
        <w:rPr>
          <w:rFonts w:ascii="Times New Roman" w:hAnsi="Times New Roman"/>
          <w:color w:val="000000"/>
          <w:sz w:val="28"/>
          <w:szCs w:val="28"/>
          <w:lang w:val="en-US" w:eastAsia="uk-UA"/>
        </w:rPr>
        <w:t>Aug</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4):199–202, 180. doi:10.1124/mi.7.4.6.</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Gokden N, Nappi O, Swanson PE,</w:t>
      </w:r>
      <w:r w:rsidRPr="00981822">
        <w:rPr>
          <w:rFonts w:ascii="Times New Roman" w:hAnsi="Times New Roman"/>
          <w:lang w:val="en-US"/>
        </w:rPr>
        <w:t xml:space="preserve"> </w:t>
      </w:r>
      <w:r w:rsidRPr="00981822">
        <w:rPr>
          <w:rFonts w:ascii="Times New Roman" w:hAnsi="Times New Roman"/>
          <w:sz w:val="28"/>
          <w:szCs w:val="28"/>
          <w:lang w:val="en-US"/>
        </w:rPr>
        <w:t>Pfeifer JD, Vollmer RT, Wick MR,</w:t>
      </w:r>
      <w:r w:rsidRPr="00981822">
        <w:rPr>
          <w:rFonts w:ascii="Times New Roman" w:hAnsi="Times New Roman"/>
          <w:color w:val="000000"/>
          <w:sz w:val="28"/>
          <w:szCs w:val="28"/>
          <w:lang w:val="en-US"/>
        </w:rPr>
        <w:t xml:space="preserve"> et al. Renal cell</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carcinoma with rhabdoid features. Am J Surg Pathol.</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2000;24:1329–38.</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Goto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Oue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Shinmei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Sentani</w:t>
      </w:r>
      <w:r w:rsidRPr="00981822">
        <w:rPr>
          <w:rFonts w:ascii="Times New Roman" w:hAnsi="Times New Roman"/>
          <w:color w:val="000000"/>
          <w:sz w:val="28"/>
          <w:szCs w:val="28"/>
          <w:lang w:eastAsia="uk-UA"/>
        </w:rPr>
        <w:t xml:space="preserve"> К, </w:t>
      </w:r>
      <w:r w:rsidRPr="00981822">
        <w:rPr>
          <w:rFonts w:ascii="Times New Roman" w:hAnsi="Times New Roman"/>
          <w:color w:val="000000"/>
          <w:sz w:val="28"/>
          <w:szCs w:val="28"/>
          <w:lang w:val="en-US" w:eastAsia="uk-UA"/>
        </w:rPr>
        <w:t>Sakamoto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Naito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Expression of miR-486 Is a Potential Prognostic Factor after Nephrectomy in Advanced Renal Cell Carcinoma. </w:t>
      </w:r>
      <w:r w:rsidRPr="00981822">
        <w:rPr>
          <w:rFonts w:ascii="Times New Roman" w:hAnsi="Times New Roman"/>
          <w:iCs/>
          <w:color w:val="000000"/>
          <w:sz w:val="28"/>
          <w:szCs w:val="28"/>
          <w:lang w:val="en-US" w:eastAsia="uk-UA"/>
        </w:rPr>
        <w:t>Mol Clin Oncol</w:t>
      </w:r>
      <w:r w:rsidRPr="00981822">
        <w:rPr>
          <w:rFonts w:ascii="Times New Roman" w:hAnsi="Times New Roman"/>
          <w:iCs/>
          <w:color w:val="000000"/>
          <w:sz w:val="28"/>
          <w:szCs w:val="28"/>
          <w:lang w:eastAsia="uk-UA"/>
        </w:rPr>
        <w:t>. 2013;</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2):235–40.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Gottardo F, 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CG, Ferracin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Calin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GA, Fassan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Bassi</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xml:space="preserve">, et al. Micro-RNA Profiling in Kidney and Bladder Cancers. </w:t>
      </w:r>
      <w:r w:rsidRPr="00981822">
        <w:rPr>
          <w:rFonts w:ascii="Times New Roman" w:hAnsi="Times New Roman"/>
          <w:iCs/>
          <w:color w:val="000000"/>
          <w:sz w:val="28"/>
          <w:szCs w:val="28"/>
          <w:lang w:val="en-US" w:eastAsia="uk-UA"/>
        </w:rPr>
        <w:t>Urol Oncol</w:t>
      </w:r>
      <w:r w:rsidRPr="00981822">
        <w:rPr>
          <w:rFonts w:ascii="Times New Roman" w:hAnsi="Times New Roman"/>
          <w:iCs/>
          <w:color w:val="000000"/>
          <w:sz w:val="28"/>
          <w:szCs w:val="28"/>
          <w:lang w:eastAsia="uk-UA"/>
        </w:rPr>
        <w:t xml:space="preserve">. 2007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5):387–92. doi:10.1016/j.urolonc.2007.01.019.</w:t>
      </w:r>
    </w:p>
    <w:p w:rsidR="0061473E" w:rsidRPr="00981822" w:rsidRDefault="0061473E" w:rsidP="00DE6E24">
      <w:pPr>
        <w:pStyle w:val="ListParagraph"/>
        <w:numPr>
          <w:ilvl w:val="0"/>
          <w:numId w:val="9"/>
        </w:numPr>
        <w:spacing w:after="0" w:line="360" w:lineRule="auto"/>
        <w:jc w:val="both"/>
        <w:rPr>
          <w:rFonts w:ascii="Times New Roman" w:hAnsi="Times New Roman"/>
          <w:sz w:val="28"/>
          <w:szCs w:val="28"/>
          <w:lang w:val="en-US" w:eastAsia="uk-UA"/>
        </w:rPr>
      </w:pPr>
      <w:r w:rsidRPr="00981822">
        <w:rPr>
          <w:rFonts w:ascii="Times New Roman" w:eastAsia="Times New Roman" w:hAnsi="Times New Roman"/>
          <w:sz w:val="28"/>
          <w:szCs w:val="28"/>
          <w:lang w:val="en-US" w:eastAsia="uk-UA"/>
        </w:rPr>
        <w:t>Gowrishankar B, Ibragimova I, Zhou Y, Slifker MJ, Devarajan K, Al-Saleem T, et al. MicroRNA expression signatures of stage, grade, and progression in clear cell RCC. Cancer Biol Ther. 2014 Mar 1;15(3):329–41.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Goyal A, Sharma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Bhalla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AS, Gamanagatti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Seth</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Iyer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VK, et al. Diffusion-Weighted MRI in Renal Cell Carcinoma: A Surrogate Marker for Predicting Nuclear Grade and Histological Subtype. </w:t>
      </w:r>
      <w:r w:rsidRPr="00981822">
        <w:rPr>
          <w:rFonts w:ascii="Times New Roman" w:hAnsi="Times New Roman"/>
          <w:iCs/>
          <w:color w:val="000000"/>
          <w:sz w:val="28"/>
          <w:szCs w:val="28"/>
          <w:lang w:val="en-US" w:eastAsia="uk-UA"/>
        </w:rPr>
        <w:t>Acta Radiol</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Apr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3):349–58. doi:10.1258/ar.2011.110415.</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Goyal A, Sharma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Bhalla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AS, Gamanagatti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Seth</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Diffusion-Weighted MRI in Inflammatory Renal Lesions: All That Glitters Is Not RCC!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w:t>
      </w:r>
      <w:r w:rsidRPr="00981822">
        <w:rPr>
          <w:rFonts w:ascii="Times New Roman" w:hAnsi="Times New Roman"/>
          <w:iCs/>
          <w:color w:val="000000"/>
          <w:sz w:val="28"/>
          <w:szCs w:val="28"/>
          <w:lang w:val="en-US" w:eastAsia="uk-UA"/>
        </w:rPr>
        <w:t>Eur Radiol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1):272–9. doi:10.1007/s00330-012-2577-0.</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t>Graumann O, Osther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SS, Karstoft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Hørlyck</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Osther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PJS. Evaluation of Bosniak Category IIF Complex Renal Cysts. </w:t>
      </w:r>
      <w:r w:rsidRPr="00981822">
        <w:rPr>
          <w:rFonts w:ascii="Times New Roman" w:hAnsi="Times New Roman"/>
          <w:iCs/>
          <w:color w:val="000000"/>
          <w:sz w:val="28"/>
          <w:szCs w:val="28"/>
          <w:lang w:val="en-US" w:eastAsia="uk-UA"/>
        </w:rPr>
        <w:t>Insights into Imaging</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May 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4):471–80. doi:10.1007/s13244-013-0251-y.</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Griffin N, Gore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ME, Sohaib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SA. Imaging in Metastatic Renal Cell Carcinoma.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AJR</w:t>
      </w:r>
      <w:r w:rsidRPr="00981822">
        <w:rPr>
          <w:rFonts w:ascii="Times New Roman" w:hAnsi="Times New Roman"/>
          <w:i/>
          <w:iCs/>
          <w:color w:val="000000"/>
          <w:sz w:val="28"/>
          <w:szCs w:val="28"/>
          <w:lang w:val="en-US" w:eastAsia="uk-UA"/>
        </w:rPr>
        <w:t xml:space="preserve"> </w:t>
      </w:r>
      <w:r w:rsidRPr="00981822">
        <w:rPr>
          <w:rFonts w:ascii="Times New Roman" w:hAnsi="Times New Roman"/>
          <w:iCs/>
          <w:color w:val="000000"/>
          <w:sz w:val="28"/>
          <w:szCs w:val="28"/>
          <w:lang w:val="en-US" w:eastAsia="uk-UA"/>
        </w:rPr>
        <w:t>Am J Roentgenol</w:t>
      </w:r>
      <w:r w:rsidRPr="00981822">
        <w:rPr>
          <w:rFonts w:ascii="Times New Roman" w:hAnsi="Times New Roman"/>
          <w:iCs/>
          <w:color w:val="000000"/>
          <w:sz w:val="28"/>
          <w:szCs w:val="28"/>
          <w:lang w:eastAsia="uk-UA"/>
        </w:rPr>
        <w:t xml:space="preserve">. 2007 </w:t>
      </w:r>
      <w:r w:rsidRPr="00981822">
        <w:rPr>
          <w:rFonts w:ascii="Times New Roman" w:hAnsi="Times New Roman"/>
          <w:color w:val="000000"/>
          <w:sz w:val="28"/>
          <w:szCs w:val="28"/>
          <w:lang w:val="en-US" w:eastAsia="uk-UA"/>
        </w:rPr>
        <w:t>Aug</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189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2):360–70.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lastRenderedPageBreak/>
        <w:t>Grünwald V, Lin</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Kalanovic</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Simantov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R. Early Tumour Shrinkage: A Tool for the Detection of Early Clinical Activity in Metastatic Renal Cell Carcinoma. </w:t>
      </w:r>
      <w:r w:rsidRPr="00981822">
        <w:rPr>
          <w:rFonts w:ascii="Times New Roman" w:hAnsi="Times New Roman"/>
          <w:iCs/>
          <w:color w:val="000000"/>
          <w:sz w:val="28"/>
          <w:szCs w:val="28"/>
          <w:lang w:val="en-US" w:eastAsia="uk-UA"/>
        </w:rPr>
        <w:t>Eur Urol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6):1006–15.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Ha YS, Chung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 Choi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SH, Lee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JN, Kim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HT, Kim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TH, et al. Clinical Significance of Subclassification of Papillary Renal Cell Carcinoma: Comparison of Clinicopathologic Parameters and Oncologic Outcomes Between Papillary Histologic Subtypes 1 and 2 Using the Korean Renal Cell Carcinoma Database. </w:t>
      </w:r>
      <w:r w:rsidRPr="00981822">
        <w:rPr>
          <w:rFonts w:ascii="Times New Roman" w:hAnsi="Times New Roman"/>
          <w:iCs/>
          <w:color w:val="000000"/>
          <w:sz w:val="28"/>
          <w:szCs w:val="28"/>
          <w:lang w:val="en-US" w:eastAsia="uk-UA"/>
        </w:rPr>
        <w:t>Clin Genitourinary Cancer</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Apr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2):e181–6. doi:10.1016/j.clgc.2016.07.020.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Haider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Vosough</w:t>
      </w:r>
      <w:r w:rsidRPr="00981822">
        <w:rPr>
          <w:rFonts w:ascii="Times New Roman" w:hAnsi="Times New Roman"/>
          <w:color w:val="000000"/>
          <w:sz w:val="28"/>
          <w:szCs w:val="28"/>
          <w:lang w:eastAsia="uk-UA"/>
        </w:rPr>
        <w:t xml:space="preserve"> А, </w:t>
      </w:r>
      <w:r w:rsidRPr="00981822">
        <w:rPr>
          <w:rFonts w:ascii="Times New Roman" w:hAnsi="Times New Roman"/>
          <w:color w:val="000000"/>
          <w:sz w:val="28"/>
          <w:szCs w:val="28"/>
          <w:lang w:val="en-US" w:eastAsia="uk-UA"/>
        </w:rPr>
        <w:t>Khalvati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Kiss</w:t>
      </w:r>
      <w:r w:rsidRPr="00981822">
        <w:rPr>
          <w:rFonts w:ascii="Times New Roman" w:hAnsi="Times New Roman"/>
          <w:color w:val="000000"/>
          <w:sz w:val="28"/>
          <w:szCs w:val="28"/>
          <w:lang w:eastAsia="uk-UA"/>
        </w:rPr>
        <w:t xml:space="preserve"> А, </w:t>
      </w:r>
      <w:r w:rsidRPr="00981822">
        <w:rPr>
          <w:rFonts w:ascii="Times New Roman" w:hAnsi="Times New Roman"/>
          <w:color w:val="000000"/>
          <w:sz w:val="28"/>
          <w:szCs w:val="28"/>
          <w:lang w:val="en-US" w:eastAsia="uk-UA"/>
        </w:rPr>
        <w:t>Ganeshan</w:t>
      </w:r>
      <w:r w:rsidRPr="00981822">
        <w:rPr>
          <w:rFonts w:ascii="Times New Roman" w:hAnsi="Times New Roman"/>
          <w:color w:val="000000"/>
          <w:sz w:val="28"/>
          <w:szCs w:val="28"/>
          <w:lang w:eastAsia="uk-UA"/>
        </w:rPr>
        <w:t xml:space="preserve"> В, </w:t>
      </w:r>
      <w:r w:rsidRPr="00981822">
        <w:rPr>
          <w:rFonts w:ascii="Times New Roman" w:hAnsi="Times New Roman"/>
          <w:color w:val="000000"/>
          <w:sz w:val="28"/>
          <w:szCs w:val="28"/>
          <w:lang w:val="en-US" w:eastAsia="uk-UA"/>
        </w:rPr>
        <w:t>Bjarnason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CT Texture Analysis: A Potential Tool for Prediction of Survival in Patients with Metastatic Clear Cell Carcinoma Treated with Sunitinib. </w:t>
      </w:r>
      <w:r w:rsidRPr="00981822">
        <w:rPr>
          <w:rFonts w:ascii="Times New Roman" w:hAnsi="Times New Roman"/>
          <w:iCs/>
          <w:color w:val="000000"/>
          <w:sz w:val="28"/>
          <w:szCs w:val="28"/>
          <w:lang w:val="en-US" w:eastAsia="uk-UA"/>
        </w:rPr>
        <w:t>Imaging Society</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Jan 23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1):4.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Cui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Zhang</w:t>
      </w:r>
      <w:r w:rsidRPr="00981822">
        <w:rPr>
          <w:rFonts w:ascii="Times New Roman" w:hAnsi="Times New Roman"/>
          <w:color w:val="000000"/>
          <w:sz w:val="28"/>
          <w:szCs w:val="28"/>
          <w:lang w:eastAsia="uk-UA"/>
        </w:rPr>
        <w:t xml:space="preserve"> В, </w:t>
      </w:r>
      <w:r w:rsidRPr="00981822">
        <w:rPr>
          <w:rFonts w:ascii="Times New Roman" w:hAnsi="Times New Roman"/>
          <w:color w:val="000000"/>
          <w:sz w:val="28"/>
          <w:szCs w:val="28"/>
          <w:lang w:val="en-US" w:eastAsia="uk-UA"/>
        </w:rPr>
        <w:t>Wang</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Zhou</w:t>
      </w:r>
      <w:r w:rsidRPr="00981822">
        <w:rPr>
          <w:rFonts w:ascii="Times New Roman" w:hAnsi="Times New Roman"/>
          <w:color w:val="000000"/>
          <w:sz w:val="28"/>
          <w:szCs w:val="28"/>
          <w:lang w:eastAsia="uk-UA"/>
        </w:rPr>
        <w:t xml:space="preserve"> Н,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Withdrawn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MiR-99A Suppresses Proliferation, Migration, Invasion and Induces G1-Phase Cell Cycle Arrest via Targeting IGF-1R Pathway in Renal Cell Carcinoma 786-0 and OS-RC-2 Cells. </w:t>
      </w:r>
      <w:r w:rsidRPr="00981822">
        <w:rPr>
          <w:rFonts w:ascii="Times New Roman" w:hAnsi="Times New Roman"/>
          <w:iCs/>
          <w:color w:val="000000"/>
          <w:sz w:val="28"/>
          <w:szCs w:val="28"/>
          <w:lang w:val="en-US" w:eastAsia="uk-UA"/>
        </w:rPr>
        <w:t>Urol</w:t>
      </w:r>
      <w:r w:rsidRPr="00981822">
        <w:rPr>
          <w:rFonts w:ascii="Times New Roman" w:hAnsi="Times New Roman"/>
          <w:iCs/>
          <w:color w:val="000000"/>
          <w:sz w:val="28"/>
          <w:szCs w:val="28"/>
          <w:lang w:eastAsia="uk-UA"/>
        </w:rPr>
        <w:t>. 2017</w:t>
      </w:r>
      <w:r w:rsidRPr="00981822">
        <w:rPr>
          <w:rFonts w:ascii="Arial" w:hAnsi="Arial" w:cs="Arial"/>
          <w:color w:val="000000"/>
          <w:sz w:val="17"/>
          <w:szCs w:val="17"/>
          <w:shd w:val="clear" w:color="auto" w:fill="FFFFFF"/>
          <w:lang w:val="en-US"/>
        </w:rPr>
        <w:t xml:space="preserve"> </w:t>
      </w:r>
      <w:r w:rsidRPr="00981822">
        <w:rPr>
          <w:rFonts w:ascii="Times New Roman" w:hAnsi="Times New Roman"/>
          <w:color w:val="000000"/>
          <w:sz w:val="28"/>
          <w:szCs w:val="28"/>
          <w:shd w:val="clear" w:color="auto" w:fill="FFFFFF"/>
          <w:lang w:val="en-US"/>
        </w:rPr>
        <w:t>Jan 11. pii: S0090-4295(17)</w:t>
      </w:r>
      <w:r w:rsidRPr="00981822">
        <w:rPr>
          <w:rFonts w:ascii="Times New Roman" w:hAnsi="Times New Roman"/>
          <w:color w:val="000000"/>
          <w:sz w:val="28"/>
          <w:szCs w:val="28"/>
          <w:shd w:val="clear" w:color="auto" w:fill="FFFFFF"/>
        </w:rPr>
        <w:t>:</w:t>
      </w:r>
      <w:r w:rsidRPr="00981822">
        <w:rPr>
          <w:rFonts w:ascii="Times New Roman" w:hAnsi="Times New Roman"/>
          <w:color w:val="000000"/>
          <w:sz w:val="28"/>
          <w:szCs w:val="28"/>
          <w:shd w:val="clear" w:color="auto" w:fill="FFFFFF"/>
          <w:lang w:val="en-US"/>
        </w:rPr>
        <w:t>30015</w:t>
      </w:r>
      <w:r w:rsidRPr="00981822">
        <w:rPr>
          <w:rStyle w:val="highlight"/>
          <w:rFonts w:ascii="Times New Roman" w:hAnsi="Times New Roman"/>
          <w:sz w:val="28"/>
          <w:szCs w:val="28"/>
        </w:rPr>
        <w:t>–</w:t>
      </w:r>
      <w:r w:rsidRPr="00981822">
        <w:rPr>
          <w:rFonts w:ascii="Times New Roman" w:hAnsi="Times New Roman"/>
          <w:color w:val="000000"/>
          <w:sz w:val="28"/>
          <w:szCs w:val="28"/>
          <w:shd w:val="clear" w:color="auto" w:fill="FFFFFF"/>
          <w:lang w:val="en-US"/>
        </w:rPr>
        <w:t>8</w:t>
      </w:r>
      <w:r w:rsidRPr="00981822">
        <w:rPr>
          <w:rFonts w:ascii="Times New Roman" w:hAnsi="Times New Roman"/>
          <w:color w:val="000000"/>
          <w:sz w:val="28"/>
          <w:szCs w:val="28"/>
          <w:lang w:val="en-US" w:eastAsia="uk-UA"/>
        </w:rPr>
        <w:t>. doi:10.1016/j.urology.2017.01.003.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sz w:val="28"/>
          <w:szCs w:val="28"/>
        </w:rPr>
        <w:t>Hassanen O, Ghieda U, Eltomey MA. Contrast enhanced MRI and Diffusion Weighted Imaging (DWI) in the evaluation of renal cell carcinoma and differentiation of its subtypes. The Egyptian Journal of Radiology and Nuclear Medicine [Internet]. 2017 May 24 [cited 2017 Dec 18]; Available from: http://www.sciencedirect.com/science/article/ pii/S0378603X17300694</w:t>
      </w:r>
    </w:p>
    <w:p w:rsidR="0061473E" w:rsidRPr="00981822" w:rsidRDefault="0061473E" w:rsidP="00DE6E24">
      <w:pPr>
        <w:pStyle w:val="ListParagraph"/>
        <w:numPr>
          <w:ilvl w:val="0"/>
          <w:numId w:val="9"/>
        </w:numPr>
        <w:spacing w:after="0" w:line="360" w:lineRule="auto"/>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He H,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Xu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 et al. MicroRNA Expression Profiling in Clear Cell Renal Cell Carcinoma: Identification and Functional Validation of Key miRNAs. </w:t>
      </w:r>
      <w:r w:rsidRPr="00981822">
        <w:rPr>
          <w:rFonts w:ascii="Times New Roman" w:hAnsi="Times New Roman"/>
          <w:iCs/>
          <w:color w:val="000000"/>
          <w:sz w:val="28"/>
          <w:szCs w:val="28"/>
          <w:lang w:val="en-US" w:eastAsia="uk-UA"/>
        </w:rPr>
        <w:t>PloS One</w:t>
      </w:r>
      <w:r w:rsidRPr="00981822">
        <w:rPr>
          <w:rFonts w:ascii="Times New Roman" w:hAnsi="Times New Roman"/>
          <w:iCs/>
          <w:color w:val="000000"/>
          <w:sz w:val="28"/>
          <w:szCs w:val="28"/>
          <w:lang w:eastAsia="uk-UA"/>
        </w:rPr>
        <w:t>. 2015;</w:t>
      </w:r>
      <w:r w:rsidRPr="00981822">
        <w:rPr>
          <w:rFonts w:ascii="Times New Roman" w:hAnsi="Times New Roman"/>
          <w:color w:val="000000"/>
          <w:sz w:val="28"/>
          <w:szCs w:val="28"/>
          <w:lang w:val="en-US" w:eastAsia="uk-UA"/>
        </w:rPr>
        <w:t>10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5):e0125672. doi:10.1371/journal.pone.0125672.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Hecht EM, Israel GM, Krinsky GA,</w:t>
      </w:r>
      <w:r w:rsidRPr="00981822">
        <w:rPr>
          <w:rFonts w:ascii="Times New Roman" w:hAnsi="Times New Roman"/>
          <w:lang w:val="en-US"/>
        </w:rPr>
        <w:t xml:space="preserve"> </w:t>
      </w:r>
      <w:r w:rsidRPr="00981822">
        <w:rPr>
          <w:rFonts w:ascii="Times New Roman" w:hAnsi="Times New Roman"/>
          <w:sz w:val="28"/>
          <w:szCs w:val="28"/>
          <w:shd w:val="clear" w:color="auto" w:fill="FFFFFF"/>
          <w:lang w:val="en-US"/>
        </w:rPr>
        <w:t>Hahn WY</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Kim DC</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Belitskaya-Levy I</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lang w:val="en-US"/>
        </w:rPr>
        <w:t xml:space="preserve"> et al. Renal masses: quantitative analysis of enhancement with signal intensity </w:t>
      </w:r>
      <w:r w:rsidRPr="00981822">
        <w:rPr>
          <w:rFonts w:ascii="Times New Roman" w:hAnsi="Times New Roman"/>
          <w:color w:val="000000"/>
          <w:sz w:val="28"/>
          <w:szCs w:val="28"/>
          <w:lang w:val="en-US"/>
        </w:rPr>
        <w:lastRenderedPageBreak/>
        <w:t>measurements versus qualitative analysis of enhancement with image subtraction for diagnosing malignancy at MR imaging. Radiology. 2004</w:t>
      </w:r>
      <w:r w:rsidRPr="00981822">
        <w:rPr>
          <w:rFonts w:ascii="Times New Roman" w:hAnsi="Times New Roman"/>
          <w:color w:val="000000"/>
          <w:sz w:val="17"/>
          <w:szCs w:val="17"/>
          <w:shd w:val="clear" w:color="auto" w:fill="FFFFFF"/>
        </w:rPr>
        <w:t xml:space="preserve"> </w:t>
      </w:r>
      <w:r w:rsidRPr="00981822">
        <w:rPr>
          <w:rFonts w:ascii="Times New Roman" w:hAnsi="Times New Roman"/>
          <w:color w:val="000000"/>
          <w:sz w:val="28"/>
          <w:szCs w:val="28"/>
          <w:shd w:val="clear" w:color="auto" w:fill="FFFFFF"/>
        </w:rPr>
        <w:t>Aug;232(2):373</w:t>
      </w:r>
      <w:r w:rsidRPr="00981822">
        <w:rPr>
          <w:rFonts w:ascii="Times New Roman" w:hAnsi="Times New Roman"/>
          <w:color w:val="000000"/>
          <w:sz w:val="28"/>
          <w:szCs w:val="28"/>
          <w:lang w:val="en-US"/>
        </w:rPr>
        <w:t>–</w:t>
      </w:r>
      <w:r w:rsidRPr="00981822">
        <w:rPr>
          <w:rFonts w:ascii="Times New Roman" w:hAnsi="Times New Roman"/>
          <w:color w:val="000000"/>
          <w:sz w:val="28"/>
          <w:szCs w:val="28"/>
          <w:shd w:val="clear" w:color="auto" w:fill="FFFFFF"/>
        </w:rPr>
        <w:t>8</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after="0" w:line="360" w:lineRule="auto"/>
        <w:jc w:val="both"/>
        <w:rPr>
          <w:rFonts w:ascii="Times New Roman" w:hAnsi="Times New Roman"/>
          <w:sz w:val="28"/>
          <w:szCs w:val="28"/>
          <w:lang w:val="en-US" w:eastAsia="uk-UA"/>
        </w:rPr>
      </w:pPr>
      <w:r w:rsidRPr="00981822">
        <w:rPr>
          <w:rFonts w:ascii="Times New Roman" w:eastAsia="Times New Roman" w:hAnsi="Times New Roman"/>
          <w:sz w:val="28"/>
          <w:szCs w:val="28"/>
          <w:lang w:val="en-US" w:eastAsia="uk-UA"/>
        </w:rPr>
        <w:t>Heinzelmann J, Henning B, Sanjmyatav J, Posorski N, Steiner T, Wunderlich H, et al. Specific miRNA signatures are associated with metastasis and poor prognosis in clear cell renal cell carcinoma. World J Urol. 2011 Jun;29(3):367–73.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Hélénon O, Correas JM, Balleyquier C,</w:t>
      </w:r>
      <w:r w:rsidRPr="00981822">
        <w:rPr>
          <w:rFonts w:ascii="Times New Roman" w:hAnsi="Times New Roman"/>
          <w:color w:val="000000"/>
          <w:sz w:val="18"/>
          <w:szCs w:val="18"/>
          <w:shd w:val="clear" w:color="auto" w:fill="FFFFFF"/>
        </w:rPr>
        <w:t xml:space="preserve"> </w:t>
      </w:r>
      <w:r w:rsidRPr="00981822">
        <w:rPr>
          <w:rFonts w:ascii="Times New Roman" w:hAnsi="Times New Roman"/>
          <w:sz w:val="28"/>
          <w:szCs w:val="28"/>
          <w:shd w:val="clear" w:color="auto" w:fill="FFFFFF"/>
          <w:lang w:val="en-US"/>
        </w:rPr>
        <w:t>Ghouadni M</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Cornud F</w:t>
      </w:r>
      <w:r w:rsidRPr="00981822">
        <w:rPr>
          <w:rFonts w:ascii="Times New Roman" w:hAnsi="Times New Roman"/>
          <w:sz w:val="28"/>
          <w:szCs w:val="28"/>
          <w:lang w:val="en-US"/>
        </w:rPr>
        <w:t>.</w:t>
      </w:r>
      <w:r w:rsidRPr="00981822">
        <w:rPr>
          <w:rFonts w:ascii="Times New Roman" w:hAnsi="Times New Roman"/>
          <w:lang w:val="en-US"/>
        </w:rPr>
        <w:t xml:space="preserve"> </w:t>
      </w:r>
      <w:r w:rsidRPr="00981822">
        <w:rPr>
          <w:rFonts w:ascii="Times New Roman" w:hAnsi="Times New Roman"/>
          <w:color w:val="000000"/>
          <w:sz w:val="28"/>
          <w:szCs w:val="28"/>
          <w:lang w:val="en-US"/>
        </w:rPr>
        <w:t>Ultrasound of renal tumors. Eur Radiol.</w:t>
      </w:r>
      <w:r w:rsidRPr="00981822">
        <w:rPr>
          <w:rFonts w:ascii="Times New Roman" w:hAnsi="Times New Roman"/>
          <w:color w:val="000000"/>
          <w:sz w:val="17"/>
          <w:szCs w:val="17"/>
          <w:shd w:val="clear" w:color="auto" w:fill="FFFFFF"/>
        </w:rPr>
        <w:t xml:space="preserve"> </w:t>
      </w:r>
      <w:r w:rsidRPr="00981822">
        <w:rPr>
          <w:rFonts w:ascii="Times New Roman" w:hAnsi="Times New Roman"/>
          <w:color w:val="000000"/>
          <w:sz w:val="28"/>
          <w:szCs w:val="28"/>
          <w:shd w:val="clear" w:color="auto" w:fill="FFFFFF"/>
          <w:lang w:val="en-US"/>
        </w:rPr>
        <w:t>2001;11(10):1890</w:t>
      </w:r>
      <w:r w:rsidRPr="00981822">
        <w:rPr>
          <w:rFonts w:ascii="Times New Roman" w:hAnsi="Times New Roman"/>
          <w:color w:val="000000"/>
          <w:sz w:val="28"/>
          <w:szCs w:val="28"/>
          <w:lang w:val="en-US"/>
        </w:rPr>
        <w:t>–</w:t>
      </w:r>
      <w:r w:rsidRPr="00981822">
        <w:rPr>
          <w:rFonts w:ascii="Times New Roman" w:hAnsi="Times New Roman"/>
          <w:color w:val="000000"/>
          <w:sz w:val="28"/>
          <w:szCs w:val="28"/>
          <w:shd w:val="clear" w:color="auto" w:fill="FFFFFF"/>
          <w:lang w:val="en-US"/>
        </w:rPr>
        <w:t>901</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Hell MP, Thoma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CR, Fankhauser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Christinat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Weber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TC, Krek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W. miR-28-5p Promotes Chromosomal Instability in VHL-Associated Cancers by Inhibiting Mad2 Translation. </w:t>
      </w:r>
      <w:r w:rsidRPr="00981822">
        <w:rPr>
          <w:rFonts w:ascii="Times New Roman" w:hAnsi="Times New Roman"/>
          <w:iCs/>
          <w:color w:val="000000"/>
          <w:sz w:val="28"/>
          <w:szCs w:val="28"/>
          <w:lang w:val="en-US" w:eastAsia="uk-UA"/>
        </w:rPr>
        <w:t>Cancer Res</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May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9):2432–43. doi:10.1158/0008-5472.CAN-13-2041.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Herts BR, Coll DM, Novick AC,</w:t>
      </w:r>
      <w:r w:rsidRPr="00981822">
        <w:rPr>
          <w:rFonts w:ascii="Times New Roman" w:hAnsi="Times New Roman"/>
          <w:color w:val="000000"/>
          <w:sz w:val="18"/>
          <w:szCs w:val="18"/>
          <w:shd w:val="clear" w:color="auto" w:fill="FFFFFF"/>
          <w:lang w:val="en-US"/>
        </w:rPr>
        <w:t xml:space="preserve"> </w:t>
      </w:r>
      <w:r w:rsidRPr="00981822">
        <w:rPr>
          <w:rFonts w:ascii="Times New Roman" w:hAnsi="Times New Roman"/>
          <w:sz w:val="28"/>
          <w:szCs w:val="28"/>
          <w:shd w:val="clear" w:color="auto" w:fill="FFFFFF"/>
          <w:lang w:val="en-US"/>
        </w:rPr>
        <w:t>Obuchowski N</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Linnell G</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Wirth SL</w:t>
      </w:r>
      <w:r w:rsidRPr="00981822">
        <w:rPr>
          <w:rFonts w:ascii="Times New Roman" w:hAnsi="Times New Roman"/>
          <w:sz w:val="28"/>
          <w:szCs w:val="28"/>
          <w:lang w:val="en-US"/>
        </w:rPr>
        <w:t>,</w:t>
      </w:r>
      <w:r w:rsidRPr="00981822">
        <w:rPr>
          <w:rFonts w:ascii="Times New Roman" w:hAnsi="Times New Roman"/>
          <w:color w:val="000000"/>
          <w:sz w:val="28"/>
          <w:szCs w:val="28"/>
          <w:lang w:val="en-US"/>
        </w:rPr>
        <w:t xml:space="preserve"> et al. Enhancement characteristics of papillary renal neoplasms revealed on triphasic helical CT of the kidneys. AJR Am J Roentgenol.</w:t>
      </w:r>
      <w:r w:rsidRPr="00981822">
        <w:rPr>
          <w:rFonts w:ascii="Times New Roman" w:hAnsi="Times New Roman"/>
          <w:color w:val="000000"/>
          <w:sz w:val="17"/>
          <w:szCs w:val="17"/>
          <w:shd w:val="clear" w:color="auto" w:fill="FFFFFF"/>
        </w:rPr>
        <w:t xml:space="preserve"> </w:t>
      </w:r>
      <w:r w:rsidRPr="00981822">
        <w:rPr>
          <w:rFonts w:ascii="Times New Roman" w:hAnsi="Times New Roman"/>
          <w:color w:val="000000"/>
          <w:sz w:val="28"/>
          <w:szCs w:val="28"/>
          <w:shd w:val="clear" w:color="auto" w:fill="FFFFFF"/>
          <w:lang w:val="en-US"/>
        </w:rPr>
        <w:t xml:space="preserve">2002 </w:t>
      </w:r>
      <w:r w:rsidRPr="00981822">
        <w:rPr>
          <w:rFonts w:ascii="Times New Roman" w:hAnsi="Times New Roman"/>
          <w:color w:val="000000"/>
          <w:sz w:val="28"/>
          <w:szCs w:val="28"/>
          <w:shd w:val="clear" w:color="auto" w:fill="FFFFFF"/>
        </w:rPr>
        <w:t>Feb;178(2):367</w:t>
      </w:r>
      <w:r w:rsidRPr="00981822">
        <w:rPr>
          <w:rFonts w:ascii="Times New Roman" w:hAnsi="Times New Roman"/>
          <w:color w:val="000000"/>
          <w:sz w:val="28"/>
          <w:szCs w:val="28"/>
          <w:lang w:val="en-US"/>
        </w:rPr>
        <w:t>–</w:t>
      </w:r>
      <w:r w:rsidRPr="00981822">
        <w:rPr>
          <w:rFonts w:ascii="Times New Roman" w:hAnsi="Times New Roman"/>
          <w:color w:val="000000"/>
          <w:sz w:val="28"/>
          <w:szCs w:val="28"/>
          <w:shd w:val="clear" w:color="auto" w:fill="FFFFFF"/>
        </w:rPr>
        <w:t>72</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Herts BR, Einstein DM, Paushter DM. Spiral CT of the abdomen: artifacts and potential pitfalls. Am J Roentgenol. 1993;161:1185–90.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Hidaka H, Seki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Yoshino</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Yamasaki</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Yamada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Nohata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Tumor Suppressive microRNA-1285 Regulates Novel Molecular Targets: Aberrant Expression and Functional Significance in Renal Cell Carcinoma. </w:t>
      </w:r>
      <w:r w:rsidRPr="00981822">
        <w:rPr>
          <w:rFonts w:ascii="Times New Roman" w:hAnsi="Times New Roman"/>
          <w:iCs/>
          <w:color w:val="000000"/>
          <w:sz w:val="28"/>
          <w:szCs w:val="28"/>
          <w:lang w:val="en-US" w:eastAsia="uk-UA"/>
        </w:rPr>
        <w:t>Oncotarget</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1):44–57.</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Hildebrandt MT, Gu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Lin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Ye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Tan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Tamboli</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Hsa-miR-9 Methylation Status Is Associated with Cancer Development and Metastatic Recurrence in Patients with Clear Cell Renal Cell Carcinoma. </w:t>
      </w:r>
      <w:r w:rsidRPr="00981822">
        <w:rPr>
          <w:rFonts w:ascii="Times New Roman" w:hAnsi="Times New Roman"/>
          <w:iCs/>
          <w:color w:val="000000"/>
          <w:sz w:val="28"/>
          <w:szCs w:val="28"/>
          <w:lang w:val="en-US" w:eastAsia="uk-UA"/>
        </w:rPr>
        <w:t>Oncogene</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Oct 21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42):5724–8. doi:10.1038/onc.2010.305.</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Hindman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Ngo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Genega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Melamed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Wei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Braza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Angiomyolipoma with Minimal Fat: Can It Be Differentiated from Clear Cell Renal Cell Carcinoma by Using Standard MR Techniques?</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w:t>
      </w:r>
      <w:r w:rsidRPr="00981822">
        <w:rPr>
          <w:rFonts w:ascii="Times New Roman" w:hAnsi="Times New Roman"/>
          <w:iCs/>
          <w:color w:val="000000"/>
          <w:sz w:val="28"/>
          <w:szCs w:val="28"/>
          <w:lang w:val="en-US" w:eastAsia="uk-UA"/>
        </w:rPr>
        <w:t>Radiol</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Nov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265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2):468–77. doi:10.1148/radiol.12112087.</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pl-PL" w:eastAsia="uk-UA"/>
        </w:rPr>
        <w:lastRenderedPageBreak/>
        <w:t>Hindman NM, Hecht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EM, Bosniak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 xml:space="preserve">MA. </w:t>
      </w:r>
      <w:r w:rsidRPr="00981822">
        <w:rPr>
          <w:rFonts w:ascii="Times New Roman" w:hAnsi="Times New Roman"/>
          <w:color w:val="000000"/>
          <w:sz w:val="28"/>
          <w:szCs w:val="28"/>
          <w:lang w:val="en-US" w:eastAsia="uk-UA"/>
        </w:rPr>
        <w:t xml:space="preserve">Follow-up for Bosniak Category 2F Cystic Renal Lesions. </w:t>
      </w:r>
      <w:r w:rsidRPr="00981822">
        <w:rPr>
          <w:rFonts w:ascii="Times New Roman" w:hAnsi="Times New Roman"/>
          <w:iCs/>
          <w:color w:val="000000"/>
          <w:sz w:val="28"/>
          <w:szCs w:val="28"/>
          <w:lang w:val="en-US" w:eastAsia="uk-UA"/>
        </w:rPr>
        <w:t>Radiol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Apr 25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272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3):757–66.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Hirata H, Hinoda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Ueno</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Nakajima</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Ishii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Dahiya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R. MicroRNA-1826 Directly Targets Beta-Catenin (CTNNB1) and MEK1 (MAP2K1) in VHL-Inactivated Renal Cancer. </w:t>
      </w:r>
      <w:r w:rsidRPr="00981822">
        <w:rPr>
          <w:rFonts w:ascii="Times New Roman" w:hAnsi="Times New Roman"/>
          <w:iCs/>
          <w:color w:val="000000"/>
          <w:sz w:val="28"/>
          <w:szCs w:val="28"/>
          <w:lang w:val="en-US" w:eastAsia="uk-UA"/>
        </w:rPr>
        <w:t>Carcinogenesis</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Mar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3):501–8. doi:10.1093/carcin/bgr302.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Ho VB, Allen SF, Hood MN, </w:t>
      </w:r>
      <w:r w:rsidRPr="00981822">
        <w:rPr>
          <w:rFonts w:ascii="Times New Roman" w:hAnsi="Times New Roman"/>
          <w:sz w:val="28"/>
          <w:szCs w:val="28"/>
          <w:shd w:val="clear" w:color="auto" w:fill="FFFFFF"/>
          <w:lang w:val="en-US"/>
        </w:rPr>
        <w:t>Choyke PL</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lang w:val="en-US"/>
        </w:rPr>
        <w:t xml:space="preserve"> Renal masses: quantitative assessment of enhancement with dynamic MR imaging. Radiology.</w:t>
      </w:r>
      <w:r w:rsidRPr="00981822">
        <w:rPr>
          <w:rFonts w:ascii="Times New Roman" w:hAnsi="Times New Roman"/>
          <w:color w:val="000000"/>
          <w:sz w:val="17"/>
          <w:szCs w:val="17"/>
          <w:shd w:val="clear" w:color="auto" w:fill="FFFFFF"/>
          <w:lang w:val="en-US"/>
        </w:rPr>
        <w:t xml:space="preserve"> </w:t>
      </w:r>
      <w:r w:rsidRPr="00981822">
        <w:rPr>
          <w:rFonts w:ascii="Times New Roman" w:hAnsi="Times New Roman"/>
          <w:color w:val="000000"/>
          <w:sz w:val="28"/>
          <w:szCs w:val="28"/>
          <w:lang w:val="en-US"/>
        </w:rPr>
        <w:t xml:space="preserve">2002 </w:t>
      </w:r>
      <w:r w:rsidRPr="00981822">
        <w:rPr>
          <w:rFonts w:ascii="Times New Roman" w:hAnsi="Times New Roman"/>
          <w:color w:val="000000"/>
          <w:sz w:val="28"/>
          <w:szCs w:val="28"/>
          <w:shd w:val="clear" w:color="auto" w:fill="FFFFFF"/>
          <w:lang w:val="en-US"/>
        </w:rPr>
        <w:t>Sep;224(3):695</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shd w:val="clear" w:color="auto" w:fill="FFFFFF"/>
          <w:lang w:val="en-US"/>
        </w:rPr>
        <w:t>700</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shd w:val="clear" w:color="auto" w:fill="FFFFFF"/>
          <w:lang w:val="en-US"/>
        </w:rPr>
        <w:t xml:space="preserve">Hofbauer SL, Stangl KI, de Martino M, </w:t>
      </w:r>
      <w:r w:rsidRPr="00981822">
        <w:rPr>
          <w:rFonts w:ascii="Times New Roman" w:hAnsi="Times New Roman"/>
          <w:sz w:val="28"/>
          <w:szCs w:val="28"/>
          <w:shd w:val="clear" w:color="auto" w:fill="FFFFFF"/>
          <w:lang w:val="en-US"/>
        </w:rPr>
        <w:t>Lucca I</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Haitel A</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Shariat SF</w:t>
      </w:r>
      <w:r w:rsidRPr="00981822">
        <w:rPr>
          <w:rStyle w:val="element-citation"/>
          <w:rFonts w:ascii="Times New Roman" w:hAnsi="Times New Roman"/>
          <w:color w:val="000000"/>
          <w:sz w:val="28"/>
          <w:szCs w:val="28"/>
          <w:shd w:val="clear" w:color="auto" w:fill="FFFFFF"/>
          <w:lang w:val="en-US"/>
        </w:rPr>
        <w:t>, et al. Pretherapeutic gamma-glutamyltransferase is an independent prognostic factor for patients with renal cell carcinoma.</w:t>
      </w:r>
      <w:r w:rsidRPr="00981822">
        <w:rPr>
          <w:rStyle w:val="element-citation"/>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Br J Cancer</w:t>
      </w:r>
      <w:r w:rsidRPr="00981822">
        <w:rPr>
          <w:rStyle w:val="ref-journal"/>
          <w:rFonts w:ascii="Times New Roman" w:hAnsi="Times New Roman"/>
          <w:color w:val="000000"/>
          <w:sz w:val="28"/>
          <w:szCs w:val="28"/>
          <w:shd w:val="clear" w:color="auto" w:fill="FFFFFF"/>
          <w:lang w:val="en-US"/>
        </w:rPr>
        <w:t>.</w:t>
      </w:r>
      <w:r w:rsidRPr="00981822">
        <w:rPr>
          <w:rFonts w:ascii="Times New Roman" w:hAnsi="Times New Roman"/>
          <w:color w:val="000000"/>
          <w:sz w:val="17"/>
          <w:szCs w:val="17"/>
          <w:shd w:val="clear" w:color="auto" w:fill="FFFFFF"/>
        </w:rPr>
        <w:t xml:space="preserve"> </w:t>
      </w:r>
      <w:r w:rsidRPr="00981822">
        <w:rPr>
          <w:rStyle w:val="element-citation"/>
          <w:rFonts w:ascii="Times New Roman" w:hAnsi="Times New Roman"/>
          <w:color w:val="000000"/>
          <w:sz w:val="28"/>
          <w:szCs w:val="28"/>
          <w:shd w:val="clear" w:color="auto" w:fill="FFFFFF"/>
          <w:lang w:val="en-US"/>
        </w:rPr>
        <w:t xml:space="preserve">2014 </w:t>
      </w:r>
      <w:r w:rsidRPr="00981822">
        <w:rPr>
          <w:rFonts w:ascii="Times New Roman" w:hAnsi="Times New Roman"/>
          <w:color w:val="000000"/>
          <w:sz w:val="28"/>
          <w:szCs w:val="28"/>
          <w:shd w:val="clear" w:color="auto" w:fill="FFFFFF"/>
        </w:rPr>
        <w:t>Oct 14;111(8):1526</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shd w:val="clear" w:color="auto" w:fill="FFFFFF"/>
        </w:rPr>
        <w:t>31</w:t>
      </w:r>
      <w:r w:rsidRPr="00981822">
        <w:rPr>
          <w:rStyle w:val="element-citation"/>
          <w:rFonts w:ascii="Times New Roman" w:hAnsi="Times New Roman"/>
          <w:color w:val="000000"/>
          <w:sz w:val="28"/>
          <w:szCs w:val="28"/>
          <w:shd w:val="clear" w:color="auto" w:fill="FFFFFF"/>
          <w:lang w:val="en-US"/>
        </w:rPr>
        <w:t>. doi: 10.1038/bjc.2014.450.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Hong Q, Li</w:t>
      </w:r>
      <w:r w:rsidRPr="00981822">
        <w:rPr>
          <w:rFonts w:ascii="Times New Roman" w:hAnsi="Times New Roman"/>
          <w:color w:val="000000"/>
          <w:sz w:val="28"/>
          <w:szCs w:val="28"/>
          <w:lang w:eastAsia="uk-UA"/>
        </w:rPr>
        <w:t xml:space="preserve"> О</w:t>
      </w:r>
      <w:r w:rsidRPr="00981822">
        <w:rPr>
          <w:rFonts w:ascii="Times New Roman" w:hAnsi="Times New Roman"/>
          <w:color w:val="000000"/>
          <w:sz w:val="28"/>
          <w:szCs w:val="28"/>
          <w:lang w:val="en-US" w:eastAsia="uk-UA"/>
        </w:rPr>
        <w:t>, Zheng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Xiao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WZ,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Wu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LncRNA HOTAIR Regulates HIF-1α/AXL Signaling through Inhibition of miR-217 in Renal Cell Carcinoma. </w:t>
      </w:r>
      <w:r w:rsidRPr="00981822">
        <w:rPr>
          <w:rFonts w:ascii="Times New Roman" w:hAnsi="Times New Roman"/>
          <w:iCs/>
          <w:color w:val="000000"/>
          <w:sz w:val="28"/>
          <w:szCs w:val="28"/>
          <w:lang w:val="en-US" w:eastAsia="uk-UA"/>
        </w:rPr>
        <w:t>Cell Death Dis</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May 11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5):e2772.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 xml:space="preserve">Hong SK, Jeong CW, Park JH, </w:t>
      </w:r>
      <w:r w:rsidRPr="00981822">
        <w:rPr>
          <w:rFonts w:ascii="Times New Roman" w:hAnsi="Times New Roman"/>
          <w:sz w:val="28"/>
          <w:szCs w:val="28"/>
          <w:shd w:val="clear" w:color="auto" w:fill="FFFFFF"/>
          <w:lang w:val="en-US"/>
        </w:rPr>
        <w:t>Kim HS</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Kwak C</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Choe G</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18"/>
          <w:szCs w:val="18"/>
          <w:shd w:val="clear" w:color="auto" w:fill="FFFFFF"/>
        </w:rPr>
        <w:t xml:space="preserve"> </w:t>
      </w:r>
      <w:r w:rsidRPr="00981822">
        <w:rPr>
          <w:rFonts w:ascii="Times New Roman" w:hAnsi="Times New Roman"/>
          <w:color w:val="000000"/>
          <w:sz w:val="28"/>
          <w:szCs w:val="28"/>
          <w:lang w:val="en-US"/>
        </w:rPr>
        <w:t>et al. Application of</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simplified Fuhrman grading system in clear-cell renal</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cell carcinoma. BJU Int. 2011</w:t>
      </w:r>
      <w:r w:rsidRPr="00981822">
        <w:rPr>
          <w:rFonts w:ascii="Times New Roman" w:hAnsi="Times New Roman"/>
          <w:color w:val="000000"/>
          <w:sz w:val="17"/>
          <w:szCs w:val="17"/>
          <w:shd w:val="clear" w:color="auto" w:fill="FFFFFF"/>
        </w:rPr>
        <w:t xml:space="preserve"> </w:t>
      </w:r>
      <w:r w:rsidRPr="00981822">
        <w:rPr>
          <w:rFonts w:ascii="Times New Roman" w:hAnsi="Times New Roman"/>
          <w:color w:val="000000"/>
          <w:sz w:val="28"/>
          <w:szCs w:val="28"/>
          <w:shd w:val="clear" w:color="auto" w:fill="FFFFFF"/>
        </w:rPr>
        <w:t>Feb;107(3):409</w:t>
      </w:r>
      <w:r w:rsidRPr="00981822">
        <w:rPr>
          <w:rFonts w:ascii="Times New Roman" w:hAnsi="Times New Roman"/>
          <w:color w:val="000000"/>
          <w:sz w:val="28"/>
          <w:szCs w:val="28"/>
          <w:lang w:val="en-US"/>
        </w:rPr>
        <w:t>–</w:t>
      </w:r>
      <w:r w:rsidRPr="00981822">
        <w:rPr>
          <w:rFonts w:ascii="Times New Roman" w:hAnsi="Times New Roman"/>
          <w:color w:val="000000"/>
          <w:sz w:val="28"/>
          <w:szCs w:val="28"/>
          <w:shd w:val="clear" w:color="auto" w:fill="FFFFFF"/>
        </w:rPr>
        <w:t>15</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pl-PL"/>
        </w:rPr>
        <w:t xml:space="preserve">Hoque MO, Begum S, Topaloglu O, Jeronimo C, Mambo E, Westra WH, et al. </w:t>
      </w:r>
      <w:r w:rsidRPr="00981822">
        <w:rPr>
          <w:rFonts w:ascii="Times New Roman" w:hAnsi="Times New Roman"/>
          <w:color w:val="000000"/>
          <w:sz w:val="28"/>
          <w:szCs w:val="28"/>
          <w:lang w:val="en-US"/>
        </w:rPr>
        <w:t>Quantitative detection of promoter hypermethylation of multiple genes in the tumor, urine, and serum DNA of patients with renal cancer. Cancer Res. 2004;64(15):5511–7.</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Hötker AM, Mazaheri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Wibmer</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Karlo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CA, Zheng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Moskowitz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CS,</w:t>
      </w:r>
      <w:r w:rsidRPr="00981822">
        <w:rPr>
          <w:lang w:val="en-US"/>
        </w:rPr>
        <w:t xml:space="preserve">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 xml:space="preserve">Differentiation of Clear Cell Renal Cell Carcinoma From Other Renal Cortical Tumors by Use of a Quantitative Multiparametric MRI Approach. AJR </w:t>
      </w:r>
      <w:r w:rsidRPr="00981822">
        <w:rPr>
          <w:rFonts w:ascii="Times New Roman" w:hAnsi="Times New Roman"/>
          <w:iCs/>
          <w:color w:val="000000"/>
          <w:sz w:val="28"/>
          <w:szCs w:val="28"/>
          <w:lang w:val="en-US" w:eastAsia="uk-UA"/>
        </w:rPr>
        <w:t>Am J Roentgenol</w:t>
      </w:r>
      <w:r w:rsidRPr="00981822">
        <w:rPr>
          <w:rFonts w:ascii="Times New Roman" w:hAnsi="Times New Roman"/>
          <w:iCs/>
          <w:color w:val="000000"/>
          <w:sz w:val="28"/>
          <w:szCs w:val="28"/>
          <w:lang w:eastAsia="uk-UA"/>
        </w:rPr>
        <w:t>. 2017</w:t>
      </w:r>
      <w:r w:rsidRPr="00981822">
        <w:rPr>
          <w:rFonts w:ascii="Times New Roman" w:hAnsi="Times New Roman"/>
          <w:iCs/>
          <w:color w:val="000000"/>
          <w:sz w:val="28"/>
          <w:szCs w:val="28"/>
          <w:lang w:val="en-US" w:eastAsia="uk-UA"/>
        </w:rPr>
        <w:t xml:space="preserve"> </w:t>
      </w:r>
      <w:r w:rsidRPr="00981822">
        <w:rPr>
          <w:rFonts w:ascii="Times New Roman" w:hAnsi="Times New Roman"/>
          <w:color w:val="000000"/>
          <w:sz w:val="28"/>
          <w:szCs w:val="28"/>
          <w:shd w:val="clear" w:color="auto" w:fill="FFFFFF"/>
          <w:lang w:val="en-US"/>
        </w:rPr>
        <w:t>Mar;208(3):W85</w:t>
      </w:r>
      <w:r w:rsidRPr="00981822">
        <w:rPr>
          <w:rFonts w:ascii="Times New Roman" w:hAnsi="Times New Roman"/>
          <w:color w:val="000000"/>
          <w:sz w:val="28"/>
          <w:szCs w:val="28"/>
          <w:lang w:val="en-US"/>
        </w:rPr>
        <w:t>–</w:t>
      </w:r>
      <w:r w:rsidRPr="00981822">
        <w:rPr>
          <w:rFonts w:ascii="Times New Roman" w:hAnsi="Times New Roman"/>
          <w:color w:val="000000"/>
          <w:sz w:val="28"/>
          <w:szCs w:val="28"/>
          <w:shd w:val="clear" w:color="auto" w:fill="FFFFFF"/>
          <w:lang w:val="en-US"/>
        </w:rPr>
        <w:t>W91.</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 xml:space="preserve">Howlader N, Noone AM, Krapcho M, Miller D, Bishop K, Kosary CL,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shd w:val="clear" w:color="auto" w:fill="FFFFFF"/>
          <w:lang w:val="en-US"/>
        </w:rPr>
        <w:t>SEER Cancer Statistics Review, 1975-2014, National Cancer Institute. Bethesda, MD, 2017:1-12</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Hu G, Lai</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Liu</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Guo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Liu</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xml:space="preserve">, et al. miR-203a Regulates Proliferation, Migration, and Apoptosis by Targeting Glycogen Synthase Kinase-3β in Human Renal Cell Carcinoma. </w:t>
      </w:r>
      <w:r w:rsidRPr="00981822">
        <w:rPr>
          <w:rFonts w:ascii="Times New Roman" w:hAnsi="Times New Roman"/>
          <w:iCs/>
          <w:color w:val="000000"/>
          <w:sz w:val="28"/>
          <w:szCs w:val="28"/>
          <w:lang w:val="en-US" w:eastAsia="uk-UA"/>
        </w:rPr>
        <w:t>Tumour Biol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Nov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:11443–53. doi:10.1007/s13277-014-2476-x.</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Huang J, Dong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BJ,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Kong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Xue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W, et al. miR-199a-3p Inhibits Hepatocyte Growth Factor/C-Met Signaling in Renal Cancer Carcinoma. </w:t>
      </w:r>
      <w:r w:rsidRPr="00981822">
        <w:rPr>
          <w:rFonts w:ascii="Times New Roman" w:hAnsi="Times New Roman"/>
          <w:iCs/>
          <w:color w:val="000000"/>
          <w:sz w:val="28"/>
          <w:szCs w:val="28"/>
          <w:lang w:val="en-US" w:eastAsia="uk-UA"/>
        </w:rPr>
        <w:t>Tumor Biol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June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6):5833–43.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Huang J, Yao</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Dong</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 Xue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Hypoxia-Induced Downregulation of miR-30c Promotes Epithelial-Mesenchymal Transition in Human Renal Cell Carcinoma. </w:t>
      </w:r>
      <w:r w:rsidRPr="00981822">
        <w:rPr>
          <w:rFonts w:ascii="Times New Roman" w:hAnsi="Times New Roman"/>
          <w:iCs/>
          <w:color w:val="000000"/>
          <w:sz w:val="28"/>
          <w:szCs w:val="28"/>
          <w:lang w:val="en-US" w:eastAsia="uk-UA"/>
        </w:rPr>
        <w:t>Cancer Sci</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Dec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:1609–17. doi:10.1111/cas.12291.</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lang w:val="en-US"/>
        </w:rPr>
        <w:t>Huang S, Rhee E, Patel H, Park E, Kaswick J. Urinary NMP-22 and renal cell carcinoma.</w:t>
      </w:r>
      <w:r w:rsidRPr="00981822">
        <w:rPr>
          <w:rStyle w:val="element-citation"/>
          <w:rFonts w:ascii="Times New Roman" w:hAnsi="Times New Roman"/>
          <w:color w:val="000000"/>
          <w:sz w:val="28"/>
          <w:szCs w:val="28"/>
        </w:rPr>
        <w:t xml:space="preserve"> </w:t>
      </w:r>
      <w:r w:rsidRPr="00981822">
        <w:rPr>
          <w:rStyle w:val="Emphasis"/>
          <w:rFonts w:ascii="Times New Roman" w:hAnsi="Times New Roman"/>
          <w:iCs w:val="0"/>
          <w:color w:val="000000"/>
          <w:sz w:val="28"/>
          <w:szCs w:val="28"/>
          <w:lang w:val="en-US"/>
        </w:rPr>
        <w:t>Urology</w:t>
      </w:r>
      <w:r w:rsidRPr="00981822">
        <w:rPr>
          <w:rStyle w:val="ref-journal"/>
          <w:rFonts w:ascii="Times New Roman" w:hAnsi="Times New Roman"/>
          <w:color w:val="000000"/>
          <w:sz w:val="28"/>
          <w:szCs w:val="28"/>
          <w:lang w:val="en-US"/>
        </w:rPr>
        <w:t>.</w:t>
      </w:r>
      <w:r w:rsidRPr="00981822">
        <w:rPr>
          <w:rStyle w:val="ref-journal"/>
          <w:rFonts w:ascii="Times New Roman" w:hAnsi="Times New Roman"/>
          <w:color w:val="000000"/>
          <w:sz w:val="28"/>
          <w:szCs w:val="28"/>
        </w:rPr>
        <w:t xml:space="preserve"> </w:t>
      </w:r>
      <w:r w:rsidRPr="00981822">
        <w:rPr>
          <w:rStyle w:val="element-citation"/>
          <w:rFonts w:ascii="Times New Roman" w:hAnsi="Times New Roman"/>
          <w:color w:val="000000"/>
          <w:sz w:val="28"/>
          <w:szCs w:val="28"/>
          <w:lang w:val="en-US"/>
        </w:rPr>
        <w:t>2000;</w:t>
      </w:r>
      <w:r w:rsidRPr="00981822">
        <w:rPr>
          <w:rStyle w:val="ref-vol"/>
          <w:rFonts w:ascii="Times New Roman" w:hAnsi="Times New Roman"/>
          <w:color w:val="000000"/>
          <w:sz w:val="28"/>
          <w:szCs w:val="28"/>
          <w:lang w:val="en-US"/>
        </w:rPr>
        <w:t>55</w:t>
      </w:r>
      <w:r w:rsidRPr="00981822">
        <w:rPr>
          <w:rStyle w:val="element-citation"/>
          <w:rFonts w:ascii="Times New Roman" w:hAnsi="Times New Roman"/>
          <w:color w:val="000000"/>
          <w:sz w:val="28"/>
          <w:szCs w:val="28"/>
          <w:lang w:val="en-US"/>
        </w:rPr>
        <w:t xml:space="preserve">(2):227–30.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t>Hueper KMG, Rodt</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Gwinner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Lehner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Wacker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Galanski</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ml:space="preserve">, et al. Diffusion Tensor Imaging and Tractography for Assessment of Renal Allograft Dysfunction-Initial Results. </w:t>
      </w:r>
      <w:r w:rsidRPr="00981822">
        <w:rPr>
          <w:rFonts w:ascii="Times New Roman" w:hAnsi="Times New Roman"/>
          <w:iCs/>
          <w:color w:val="000000"/>
          <w:sz w:val="28"/>
          <w:szCs w:val="28"/>
          <w:lang w:val="en-US" w:eastAsia="uk-UA"/>
        </w:rPr>
        <w:t>Eur Radiol</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Nov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11):2427–33. https://doi.org/10.1007/s00330-011-2189-0.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Hunt JD, van der Hel OL, McMillan GP, Boffetta P, Brennan P. Renal cell carcinoma in relation to cigarette smoking: meta-analysis of 24 studies. Int J Cancer. 2005;114(1):101–8.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IARC Working Group</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IARC</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monographs</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on</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the</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evaluation</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of</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carcinogenic</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risks</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to</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humans</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tobacco</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smoke</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and</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involuntary</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smoking, vol 83. Lyon: World Health Organization International Agency for Research on Cancer; 2004. p. 339–70.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Inci E, Hocaoglu</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Aydin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Cimilli</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xml:space="preserve">. Diffusion-Weighted Magnetic Resonance Imaging in Evaluation of Primary Solid and Cystic Renal Masses Using the Bosniak Classification. </w:t>
      </w:r>
      <w:r w:rsidRPr="00981822">
        <w:rPr>
          <w:rFonts w:ascii="Times New Roman" w:hAnsi="Times New Roman"/>
          <w:iCs/>
          <w:color w:val="000000"/>
          <w:sz w:val="28"/>
          <w:szCs w:val="28"/>
          <w:lang w:val="en-US" w:eastAsia="uk-UA"/>
        </w:rPr>
        <w:t>Eur J Radiol</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81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5):815–20. doi:10.1016/j.ejrad.2011.02.024.</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lastRenderedPageBreak/>
        <w:t xml:space="preserve">Isbarn H, Patard JJ, Lughezzani G, </w:t>
      </w:r>
      <w:r w:rsidRPr="00981822">
        <w:rPr>
          <w:rFonts w:ascii="Times New Roman" w:hAnsi="Times New Roman"/>
          <w:sz w:val="28"/>
          <w:szCs w:val="28"/>
          <w:shd w:val="clear" w:color="auto" w:fill="FFFFFF"/>
          <w:lang w:val="en-US"/>
        </w:rPr>
        <w:t>Rioux-Leclercq N</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Crépel M</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Cindolo L</w:t>
      </w:r>
      <w:r w:rsidRPr="00981822">
        <w:rPr>
          <w:rFonts w:ascii="Times New Roman" w:hAnsi="Times New Roman"/>
          <w:sz w:val="28"/>
          <w:szCs w:val="28"/>
          <w:lang w:val="en-US"/>
        </w:rPr>
        <w:t>,</w:t>
      </w:r>
      <w:r w:rsidRPr="00981822">
        <w:rPr>
          <w:rFonts w:ascii="Times New Roman" w:hAnsi="Times New Roman"/>
          <w:color w:val="000000"/>
          <w:sz w:val="28"/>
          <w:szCs w:val="28"/>
          <w:lang w:val="en-US"/>
        </w:rPr>
        <w:t xml:space="preserve"> et al. Limited</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prognostic value of tumor necrosis in patients with</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renal cell carcinoma. Urology. 2010</w:t>
      </w:r>
      <w:r w:rsidRPr="00981822">
        <w:rPr>
          <w:rFonts w:ascii="Times New Roman" w:hAnsi="Times New Roman"/>
          <w:color w:val="000000"/>
          <w:sz w:val="17"/>
          <w:szCs w:val="17"/>
          <w:shd w:val="clear" w:color="auto" w:fill="FFFFFF"/>
        </w:rPr>
        <w:t xml:space="preserve"> </w:t>
      </w:r>
      <w:r w:rsidRPr="00981822">
        <w:rPr>
          <w:rFonts w:ascii="Times New Roman" w:hAnsi="Times New Roman"/>
          <w:color w:val="000000"/>
          <w:sz w:val="28"/>
          <w:szCs w:val="28"/>
          <w:shd w:val="clear" w:color="auto" w:fill="FFFFFF"/>
        </w:rPr>
        <w:t>Jun;75(6):1378</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shd w:val="clear" w:color="auto" w:fill="FFFFFF"/>
        </w:rPr>
        <w:t>84</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Ishigami K, Pakalniskis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MG, Leite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LV, Lee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DK, Holanda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DG, Rajput</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ml:space="preserve">. Characterization of Renal Cell Carcinoma, Oncocytoma, and Lipid-Poor Angiomyolipoma by Unenhanced, Nephrographic, and Delayed Phase Contrast-Enhanced Computed Tomography. </w:t>
      </w:r>
      <w:r w:rsidRPr="00981822">
        <w:rPr>
          <w:rFonts w:ascii="Times New Roman" w:hAnsi="Times New Roman"/>
          <w:iCs/>
          <w:color w:val="000000"/>
          <w:sz w:val="28"/>
          <w:szCs w:val="28"/>
          <w:lang w:val="en-US" w:eastAsia="uk-UA"/>
        </w:rPr>
        <w:t>Clin Imaging</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:76–84. doi:10.1016/j.clinimag.2014.09.008.</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Ishihara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Seki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Inoguchi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Yoshino</w:t>
      </w:r>
      <w:r w:rsidRPr="00981822">
        <w:rPr>
          <w:rFonts w:ascii="Times New Roman" w:hAnsi="Times New Roman"/>
          <w:color w:val="000000"/>
          <w:sz w:val="28"/>
          <w:szCs w:val="28"/>
          <w:lang w:eastAsia="uk-UA"/>
        </w:rPr>
        <w:t xml:space="preserve"> Н, </w:t>
      </w:r>
      <w:r w:rsidRPr="00981822">
        <w:rPr>
          <w:rFonts w:ascii="Times New Roman" w:hAnsi="Times New Roman"/>
          <w:color w:val="000000"/>
          <w:sz w:val="28"/>
          <w:szCs w:val="28"/>
          <w:lang w:val="en-US" w:eastAsia="uk-UA"/>
        </w:rPr>
        <w:t>Tatarano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Yamada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Expression of the Tumor Suppressive miRNA-23b/27b Cluster Is a Good Prognostic Marker in Clear Cell Renal Cell Carcinoma.</w:t>
      </w:r>
      <w:r w:rsidRPr="00981822">
        <w:rPr>
          <w:rFonts w:ascii="Times New Roman" w:hAnsi="Times New Roman"/>
          <w:iCs/>
          <w:color w:val="000000"/>
          <w:sz w:val="28"/>
          <w:szCs w:val="28"/>
          <w:lang w:val="en-US" w:eastAsia="uk-UA"/>
        </w:rPr>
        <w:t xml:space="preserve"> J Urol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192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6):1822–30. doi:10.1016/j.juro.2014.07.001.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Israel GM, Bosniak MA. How I do it: evaluating renal masses. Radiology. 2005;236:441–50. </w:t>
      </w:r>
      <w:r w:rsidRPr="00981822">
        <w:rPr>
          <w:rFonts w:ascii="Times New Roman" w:hAnsi="Times New Roman"/>
          <w:color w:val="000000"/>
          <w:sz w:val="28"/>
          <w:szCs w:val="28"/>
          <w:lang w:val="en-US" w:eastAsia="uk-UA"/>
        </w:rPr>
        <w:t>doi:</w:t>
      </w:r>
      <w:r w:rsidRPr="00981822">
        <w:rPr>
          <w:rFonts w:ascii="Times New Roman" w:hAnsi="Times New Roman"/>
          <w:color w:val="000000"/>
          <w:sz w:val="28"/>
          <w:szCs w:val="28"/>
          <w:lang w:val="en-US"/>
        </w:rPr>
        <w:t>10.1148/radiol.2362040218</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Israel GM, Bosniak</w:t>
      </w:r>
      <w:r w:rsidRPr="00981822">
        <w:rPr>
          <w:rFonts w:ascii="Times New Roman" w:hAnsi="Times New Roman"/>
          <w:color w:val="000000"/>
          <w:sz w:val="28"/>
          <w:szCs w:val="28"/>
          <w:lang w:eastAsia="uk-UA"/>
        </w:rPr>
        <w:t xml:space="preserve"> МА</w:t>
      </w:r>
      <w:r w:rsidRPr="00981822">
        <w:rPr>
          <w:rFonts w:ascii="Times New Roman" w:hAnsi="Times New Roman"/>
          <w:color w:val="000000"/>
          <w:sz w:val="28"/>
          <w:szCs w:val="28"/>
          <w:lang w:val="en-US" w:eastAsia="uk-UA"/>
        </w:rPr>
        <w:t xml:space="preserve">. An Update of the Bosniak Renal Cyst Classification System. </w:t>
      </w:r>
      <w:r w:rsidRPr="00981822">
        <w:rPr>
          <w:rFonts w:ascii="Times New Roman" w:hAnsi="Times New Roman"/>
          <w:iCs/>
          <w:color w:val="000000"/>
          <w:sz w:val="28"/>
          <w:szCs w:val="28"/>
          <w:lang w:val="en-US" w:eastAsia="uk-UA"/>
        </w:rPr>
        <w:t>Urol</w:t>
      </w:r>
      <w:r w:rsidRPr="00981822">
        <w:rPr>
          <w:rFonts w:ascii="Times New Roman" w:hAnsi="Times New Roman"/>
          <w:iCs/>
          <w:color w:val="000000"/>
          <w:sz w:val="28"/>
          <w:szCs w:val="28"/>
          <w:lang w:eastAsia="uk-UA"/>
        </w:rPr>
        <w:t>. 2005</w:t>
      </w:r>
      <w:r w:rsidRPr="00981822">
        <w:rPr>
          <w:rFonts w:ascii="Times New Roman" w:hAnsi="Times New Roman"/>
          <w:color w:val="000000"/>
          <w:sz w:val="28"/>
          <w:szCs w:val="28"/>
          <w:lang w:val="en-US" w:eastAsia="uk-UA"/>
        </w:rPr>
        <w:t xml:space="preserve"> Sep</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3):484–8. doi:10.1016/j.urology.2005.04.003.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Ito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Kondo</w:t>
      </w:r>
      <w:r w:rsidRPr="00981822">
        <w:rPr>
          <w:rFonts w:ascii="Times New Roman" w:hAnsi="Times New Roman"/>
          <w:color w:val="000000"/>
          <w:sz w:val="28"/>
          <w:szCs w:val="28"/>
          <w:lang w:eastAsia="uk-UA"/>
        </w:rPr>
        <w:t xml:space="preserve"> К, </w:t>
      </w:r>
      <w:r w:rsidRPr="00981822">
        <w:rPr>
          <w:rFonts w:ascii="Times New Roman" w:hAnsi="Times New Roman"/>
          <w:color w:val="000000"/>
          <w:sz w:val="28"/>
          <w:szCs w:val="28"/>
          <w:lang w:val="en-US" w:eastAsia="uk-UA"/>
        </w:rPr>
        <w:t>Kawahara</w:t>
      </w:r>
      <w:r w:rsidRPr="00981822">
        <w:rPr>
          <w:rFonts w:ascii="Times New Roman" w:hAnsi="Times New Roman"/>
          <w:color w:val="000000"/>
          <w:sz w:val="28"/>
          <w:szCs w:val="28"/>
          <w:lang w:eastAsia="uk-UA"/>
        </w:rPr>
        <w:t xml:space="preserve"> Т, </w:t>
      </w:r>
      <w:r w:rsidRPr="00981822">
        <w:rPr>
          <w:rFonts w:ascii="Times New Roman" w:hAnsi="Times New Roman"/>
          <w:color w:val="000000"/>
          <w:sz w:val="28"/>
          <w:szCs w:val="28"/>
          <w:lang w:val="en-US" w:eastAsia="uk-UA"/>
        </w:rPr>
        <w:t>Kaneta</w:t>
      </w:r>
      <w:r w:rsidRPr="00981822">
        <w:rPr>
          <w:rFonts w:ascii="Times New Roman" w:hAnsi="Times New Roman"/>
          <w:color w:val="000000"/>
          <w:sz w:val="28"/>
          <w:szCs w:val="28"/>
          <w:lang w:eastAsia="uk-UA"/>
        </w:rPr>
        <w:t xml:space="preserve"> Т, </w:t>
      </w:r>
      <w:r w:rsidRPr="00981822">
        <w:rPr>
          <w:rFonts w:ascii="Times New Roman" w:hAnsi="Times New Roman"/>
          <w:color w:val="000000"/>
          <w:sz w:val="28"/>
          <w:szCs w:val="28"/>
          <w:lang w:val="en-US" w:eastAsia="uk-UA"/>
        </w:rPr>
        <w:t>Tateishi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Ueno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One-Month Assessment of Renal Cell Carcinoma Treated by Everolimus Using FDG PET/CT Predicts Progression-Free and Overall Survival. </w:t>
      </w:r>
      <w:r w:rsidRPr="00981822">
        <w:rPr>
          <w:rFonts w:ascii="Times New Roman" w:hAnsi="Times New Roman"/>
          <w:iCs/>
          <w:color w:val="000000"/>
          <w:sz w:val="28"/>
          <w:szCs w:val="28"/>
          <w:lang w:val="en-US" w:eastAsia="uk-UA"/>
        </w:rPr>
        <w:t>Cancer Chemother Pharmacol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5):855–61. </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Ivan M, Kondo K, Yang H, Kim W, Valiando J, Ohh M, et al. HIFalpha targeted for VHL-mediated destruction by proline hydroxylation: implications for O2 sensing. Science. 2001;292(5516):464–8.</w:t>
      </w:r>
    </w:p>
    <w:p w:rsidR="0061473E" w:rsidRPr="00981822" w:rsidRDefault="0061473E" w:rsidP="00DE6E24">
      <w:pPr>
        <w:pStyle w:val="ListParagraph"/>
        <w:numPr>
          <w:ilvl w:val="0"/>
          <w:numId w:val="9"/>
        </w:numPr>
        <w:spacing w:after="0" w:line="360" w:lineRule="auto"/>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Iwamoto H, Kanda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Sejima</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Osaki</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Okada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Takenaka</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Serum miR-210 as a Potential Biomarker of Early Clear Cell Renal Cell Carcinoma. </w:t>
      </w:r>
      <w:r w:rsidRPr="00981822">
        <w:rPr>
          <w:rFonts w:ascii="Times New Roman" w:hAnsi="Times New Roman"/>
          <w:iCs/>
          <w:color w:val="000000"/>
          <w:sz w:val="28"/>
          <w:szCs w:val="28"/>
          <w:lang w:val="en-US" w:eastAsia="uk-UA"/>
        </w:rPr>
        <w:t>Int 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Oncol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1):53–8. doi:10.3892/ijo.2013.2169.</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Jaakkola P, Mole DR, Tian YM, Wilson MI, Gielbert J, Gaskell SJ, et al. Targeting of HIF-alpha to the von Hippel-Lindau ubiquitylation complex by O2-regulated prolyl hydroxylation. Science. 2001;292(5516):468–72.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lastRenderedPageBreak/>
        <w:t>Jaganjac S, Schefe</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L, Avdagić</w:t>
      </w:r>
      <w:r w:rsidRPr="00981822">
        <w:rPr>
          <w:rFonts w:ascii="Times New Roman" w:hAnsi="Times New Roman"/>
          <w:color w:val="000000"/>
          <w:sz w:val="28"/>
          <w:szCs w:val="28"/>
        </w:rPr>
        <w:t xml:space="preserve"> Е</w:t>
      </w:r>
      <w:r w:rsidRPr="00981822">
        <w:rPr>
          <w:rFonts w:ascii="Times New Roman" w:hAnsi="Times New Roman"/>
          <w:color w:val="000000"/>
          <w:sz w:val="28"/>
          <w:szCs w:val="28"/>
          <w:lang w:val="en-US"/>
        </w:rPr>
        <w:t>, Spahović</w:t>
      </w:r>
      <w:r w:rsidRPr="00981822">
        <w:rPr>
          <w:rFonts w:ascii="Times New Roman" w:hAnsi="Times New Roman"/>
          <w:color w:val="000000"/>
          <w:sz w:val="28"/>
          <w:szCs w:val="28"/>
        </w:rPr>
        <w:t xml:space="preserve"> Н</w:t>
      </w:r>
      <w:r w:rsidRPr="00981822">
        <w:rPr>
          <w:rFonts w:ascii="Times New Roman" w:hAnsi="Times New Roman"/>
          <w:color w:val="000000"/>
          <w:sz w:val="28"/>
          <w:szCs w:val="28"/>
          <w:lang w:val="en-US"/>
        </w:rPr>
        <w:t>, Hiros</w:t>
      </w:r>
      <w:r w:rsidRPr="00981822">
        <w:rPr>
          <w:rFonts w:ascii="Times New Roman" w:hAnsi="Times New Roman"/>
          <w:color w:val="000000"/>
          <w:sz w:val="28"/>
          <w:szCs w:val="28"/>
        </w:rPr>
        <w:t xml:space="preserve"> М</w:t>
      </w:r>
      <w:r w:rsidRPr="00981822">
        <w:rPr>
          <w:rFonts w:ascii="Times New Roman" w:hAnsi="Times New Roman"/>
          <w:color w:val="000000"/>
          <w:sz w:val="28"/>
          <w:szCs w:val="28"/>
          <w:lang w:val="en-US"/>
        </w:rPr>
        <w:t>. Preoperative Kidney Tumor Embolization as Procedure for Therapy of Advanced Kidney Cancer. J Soc Med Inform Bosnia Herzegovina. 2014</w:t>
      </w:r>
      <w:r w:rsidRPr="00981822">
        <w:rPr>
          <w:rFonts w:ascii="Times New Roman" w:hAnsi="Times New Roman"/>
          <w:color w:val="000000"/>
          <w:sz w:val="28"/>
          <w:szCs w:val="28"/>
        </w:rPr>
        <w:t>;22(5):</w:t>
      </w:r>
      <w:r w:rsidRPr="00981822">
        <w:rPr>
          <w:rFonts w:ascii="Times New Roman" w:hAnsi="Times New Roman"/>
          <w:color w:val="000000"/>
          <w:sz w:val="28"/>
          <w:szCs w:val="28"/>
          <w:lang w:val="en-US"/>
        </w:rPr>
        <w:t>302–5.</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Jain Y, Liew</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Taylor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MB, Bonington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SC. Is Dual-Phase Abdominal CT Necessary for the Optimal Detection of Metastases from Renal Cell Carcinoma?</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w:t>
      </w:r>
      <w:r w:rsidRPr="00981822">
        <w:rPr>
          <w:rFonts w:ascii="Times New Roman" w:hAnsi="Times New Roman"/>
          <w:iCs/>
          <w:color w:val="000000"/>
          <w:sz w:val="28"/>
          <w:szCs w:val="28"/>
          <w:lang w:val="en-US" w:eastAsia="uk-UA"/>
        </w:rPr>
        <w:t>Clin Radiol</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Nov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11):1055–9.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Jeong CJ, Park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BK, Park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JJ, Kim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CK. Unenhanced CT and MRI Parameters That Can Be Used to Reliably Predict Fat-Invisible Angiomyolipoma.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AJR</w:t>
      </w:r>
      <w:r w:rsidRPr="00981822">
        <w:rPr>
          <w:rFonts w:ascii="Times New Roman" w:hAnsi="Times New Roman"/>
          <w:i/>
          <w:iCs/>
          <w:color w:val="000000"/>
          <w:sz w:val="28"/>
          <w:szCs w:val="28"/>
          <w:lang w:val="en-US" w:eastAsia="uk-UA"/>
        </w:rPr>
        <w:t xml:space="preserve"> </w:t>
      </w:r>
      <w:r w:rsidRPr="00981822">
        <w:rPr>
          <w:rFonts w:ascii="Times New Roman" w:hAnsi="Times New Roman"/>
          <w:iCs/>
          <w:color w:val="000000"/>
          <w:sz w:val="28"/>
          <w:szCs w:val="28"/>
          <w:lang w:val="en-US" w:eastAsia="uk-UA"/>
        </w:rPr>
        <w:t>Am J Roentgenol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2):340–7.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Jhaveri KS, Elmi</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Hosseini-Nik</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Hedgire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Evans</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Jewett</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 al. Predictive Value of Chemical-Shift MRI in Distinguishing Clear Cell Renal Cell Carcinoma From Non-Clear Cell Renal Cell Carcinoma and Minimal-Fat Angiomyolipoma.</w:t>
      </w:r>
      <w:r w:rsidRPr="00981822">
        <w:rPr>
          <w:rFonts w:ascii="Times New Roman" w:hAnsi="Times New Roman"/>
          <w:i/>
          <w:iCs/>
          <w:color w:val="000000"/>
          <w:sz w:val="28"/>
          <w:szCs w:val="28"/>
          <w:lang w:val="en-US" w:eastAsia="uk-UA"/>
        </w:rPr>
        <w:t xml:space="preserve"> </w:t>
      </w:r>
      <w:r w:rsidRPr="00981822">
        <w:rPr>
          <w:rFonts w:ascii="Times New Roman" w:hAnsi="Times New Roman"/>
          <w:color w:val="000000"/>
          <w:sz w:val="28"/>
          <w:szCs w:val="28"/>
          <w:lang w:val="en-US" w:eastAsia="uk-UA"/>
        </w:rPr>
        <w:t>AJR</w:t>
      </w:r>
      <w:r w:rsidRPr="00981822">
        <w:rPr>
          <w:rFonts w:ascii="Times New Roman" w:hAnsi="Times New Roman"/>
          <w:iCs/>
          <w:color w:val="000000"/>
          <w:sz w:val="28"/>
          <w:szCs w:val="28"/>
          <w:lang w:val="en-US" w:eastAsia="uk-UA"/>
        </w:rPr>
        <w:t xml:space="preserve"> Am J Roentgenol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July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1):W79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86. doi:10.2214/AJR.14.13245.</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Jin L,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He</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Hu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Chen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et al. Identification of miR</w:t>
      </w:r>
      <w:r w:rsidRPr="00981822">
        <w:rPr>
          <w:rFonts w:ascii="Times New Roman" w:hAnsi="Times New Roman"/>
          <w:color w:val="000000"/>
          <w:sz w:val="28"/>
          <w:szCs w:val="28"/>
          <w:lang w:val="en-US" w:eastAsia="uk-UA"/>
        </w:rPr>
        <w:noBreakHyphen/>
        <w:t xml:space="preserve">30b as an Oncogene in Renal Cell Carcinoma. </w:t>
      </w:r>
      <w:r w:rsidRPr="00981822">
        <w:rPr>
          <w:rFonts w:ascii="Times New Roman" w:hAnsi="Times New Roman"/>
          <w:iCs/>
          <w:color w:val="000000"/>
          <w:sz w:val="28"/>
          <w:szCs w:val="28"/>
          <w:lang w:val="en-US" w:eastAsia="uk-UA"/>
        </w:rPr>
        <w:t>Mol Med Reports</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4):1837–46. doi:10.3892/mmr.2017.6197.</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Jin L,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He</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Hu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Chen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et al. miR</w:t>
      </w:r>
      <w:r w:rsidRPr="00981822">
        <w:rPr>
          <w:rFonts w:ascii="Times New Roman" w:hAnsi="Times New Roman"/>
          <w:color w:val="000000"/>
          <w:sz w:val="28"/>
          <w:szCs w:val="28"/>
          <w:lang w:val="en-US" w:eastAsia="uk-UA"/>
        </w:rPr>
        <w:noBreakHyphen/>
        <w:t>15a</w:t>
      </w:r>
      <w:r w:rsidRPr="00981822">
        <w:rPr>
          <w:rFonts w:ascii="Times New Roman" w:hAnsi="Times New Roman"/>
          <w:color w:val="000000"/>
          <w:sz w:val="28"/>
          <w:szCs w:val="28"/>
          <w:lang w:val="en-US" w:eastAsia="uk-UA"/>
        </w:rPr>
        <w:noBreakHyphen/>
        <w:t xml:space="preserve">5p Acts as an Oncogene in Renal Cell Carcinoma. </w:t>
      </w:r>
      <w:r w:rsidRPr="00981822">
        <w:rPr>
          <w:rFonts w:ascii="Times New Roman" w:hAnsi="Times New Roman"/>
          <w:iCs/>
          <w:color w:val="000000"/>
          <w:sz w:val="28"/>
          <w:szCs w:val="28"/>
          <w:lang w:val="en-US" w:eastAsia="uk-UA"/>
        </w:rPr>
        <w:t>Mol Med Reports</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3):1379–86. doi:10.3892/mmr.2017.6121.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Jin L, Li</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He</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Hu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et al. Identification of miR</w:t>
      </w:r>
      <w:r w:rsidRPr="00981822">
        <w:rPr>
          <w:rFonts w:ascii="Times New Roman" w:hAnsi="Times New Roman"/>
          <w:color w:val="000000"/>
          <w:sz w:val="28"/>
          <w:szCs w:val="28"/>
          <w:lang w:val="en-US" w:eastAsia="uk-UA"/>
        </w:rPr>
        <w:noBreakHyphen/>
        <w:t>195</w:t>
      </w:r>
      <w:r w:rsidRPr="00981822">
        <w:rPr>
          <w:rFonts w:ascii="Times New Roman" w:hAnsi="Times New Roman"/>
          <w:color w:val="000000"/>
          <w:sz w:val="28"/>
          <w:szCs w:val="28"/>
          <w:lang w:val="en-US" w:eastAsia="uk-UA"/>
        </w:rPr>
        <w:noBreakHyphen/>
        <w:t xml:space="preserve">3p as an Oncogene in RCC. </w:t>
      </w:r>
      <w:r w:rsidRPr="00981822">
        <w:rPr>
          <w:rFonts w:ascii="Times New Roman" w:hAnsi="Times New Roman"/>
          <w:iCs/>
          <w:color w:val="000000"/>
          <w:sz w:val="28"/>
          <w:szCs w:val="28"/>
          <w:lang w:val="en-US" w:eastAsia="uk-UA"/>
        </w:rPr>
        <w:t>Mol Med Reports</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4):1916–24. doi:10.3892/mmr.2017.6198.</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 xml:space="preserve">Joseph RW, </w:t>
      </w:r>
      <w:r w:rsidRPr="00981822">
        <w:rPr>
          <w:rFonts w:ascii="Times New Roman" w:hAnsi="Times New Roman"/>
          <w:sz w:val="28"/>
          <w:szCs w:val="28"/>
          <w:shd w:val="clear" w:color="auto" w:fill="FFFFFF"/>
          <w:lang w:val="en-US"/>
        </w:rPr>
        <w:t>Kapur P</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Serie DJ</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Parasramka M</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Ho TH</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Cheville JC</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lang w:val="en-US"/>
        </w:rPr>
        <w:t xml:space="preserve"> et al. Clear Cell Renal Cell Carcinoma Subtypes Identified by BAP1 and PBRM1 Expression. J Urol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2016</w:t>
      </w:r>
      <w:r w:rsidRPr="00981822">
        <w:rPr>
          <w:rFonts w:ascii="Times New Roman" w:hAnsi="Times New Roman"/>
          <w:color w:val="000000"/>
          <w:sz w:val="17"/>
          <w:szCs w:val="17"/>
          <w:shd w:val="clear" w:color="auto" w:fill="FFFFFF"/>
        </w:rPr>
        <w:t xml:space="preserve">  </w:t>
      </w:r>
      <w:r w:rsidRPr="00981822">
        <w:rPr>
          <w:rFonts w:ascii="Times New Roman" w:hAnsi="Times New Roman"/>
          <w:color w:val="000000"/>
          <w:sz w:val="28"/>
          <w:szCs w:val="28"/>
          <w:shd w:val="clear" w:color="auto" w:fill="FFFFFF"/>
        </w:rPr>
        <w:t>Jan;195(1):180</w:t>
      </w:r>
      <w:r w:rsidRPr="00981822">
        <w:rPr>
          <w:rFonts w:ascii="Times New Roman" w:hAnsi="Times New Roman"/>
          <w:color w:val="000000"/>
          <w:sz w:val="28"/>
          <w:szCs w:val="28"/>
          <w:lang w:val="en-US"/>
        </w:rPr>
        <w:t>–</w:t>
      </w:r>
      <w:r w:rsidRPr="00981822">
        <w:rPr>
          <w:rFonts w:ascii="Times New Roman" w:hAnsi="Times New Roman"/>
          <w:color w:val="000000"/>
          <w:sz w:val="28"/>
          <w:szCs w:val="28"/>
          <w:shd w:val="clear" w:color="auto" w:fill="FFFFFF"/>
        </w:rPr>
        <w:t>7</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Jung SG, Choi KU, Lee SD, Lee ZZ, Chung MK. The relationship between B7-H4 expression and clinicopathological characteristics in clinical stage T1 conventional renal cell carcinoma. Korean J Urol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2011;52(2):90–5</w:t>
      </w:r>
      <w:r w:rsidRPr="00981822">
        <w:rPr>
          <w:rFonts w:ascii="Times New Roman" w:hAnsi="Times New Roman"/>
          <w:color w:val="000000"/>
          <w:sz w:val="28"/>
          <w:szCs w:val="28"/>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lastRenderedPageBreak/>
        <w:t xml:space="preserve">Kanal E, </w:t>
      </w:r>
      <w:r w:rsidRPr="00981822">
        <w:rPr>
          <w:rFonts w:ascii="Times New Roman" w:hAnsi="Times New Roman"/>
          <w:sz w:val="28"/>
          <w:szCs w:val="28"/>
          <w:lang w:val="en-US"/>
        </w:rPr>
        <w:t>Barkovich AJ, Bell C, Borgstede JP, Bradley WG Jr, Froelich JW,</w:t>
      </w:r>
      <w:r w:rsidRPr="00981822">
        <w:rPr>
          <w:rFonts w:ascii="Times New Roman" w:hAnsi="Times New Roman"/>
          <w:lang w:val="en-US"/>
        </w:rPr>
        <w:t xml:space="preserve"> </w:t>
      </w:r>
      <w:r w:rsidRPr="00981822">
        <w:rPr>
          <w:rFonts w:ascii="Times New Roman" w:hAnsi="Times New Roman"/>
          <w:color w:val="000000"/>
          <w:sz w:val="28"/>
          <w:szCs w:val="28"/>
          <w:lang w:val="en-US" w:eastAsia="uk-UA"/>
        </w:rPr>
        <w:t>et al. ACR Guidance Document on MR Safe Practices: 2013.</w:t>
      </w:r>
      <w:r w:rsidRPr="00981822">
        <w:rPr>
          <w:rFonts w:ascii="Times New Roman" w:hAnsi="Times New Roman"/>
          <w:color w:val="000000"/>
          <w:sz w:val="28"/>
          <w:szCs w:val="28"/>
          <w:lang w:eastAsia="uk-UA"/>
        </w:rPr>
        <w:t xml:space="preserve"> </w:t>
      </w:r>
      <w:r w:rsidRPr="00981822">
        <w:rPr>
          <w:rFonts w:ascii="Times New Roman" w:hAnsi="Times New Roman"/>
          <w:iCs/>
          <w:color w:val="000000"/>
          <w:sz w:val="28"/>
          <w:szCs w:val="28"/>
          <w:lang w:val="en-US" w:eastAsia="uk-UA"/>
        </w:rPr>
        <w:t>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Magn Reson Imaging.</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3):501–30. doi:10.1002/jmri.24011.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Kanal E, Barkovich AJ, Bell C,</w:t>
      </w:r>
      <w:r w:rsidRPr="00981822">
        <w:rPr>
          <w:rFonts w:ascii="Times New Roman" w:hAnsi="Times New Roman"/>
          <w:color w:val="000000"/>
          <w:sz w:val="18"/>
          <w:szCs w:val="18"/>
          <w:shd w:val="clear" w:color="auto" w:fill="FFFFFF"/>
        </w:rPr>
        <w:t xml:space="preserve"> </w:t>
      </w:r>
      <w:r w:rsidRPr="00981822">
        <w:rPr>
          <w:rFonts w:ascii="Times New Roman" w:hAnsi="Times New Roman"/>
          <w:sz w:val="28"/>
          <w:szCs w:val="28"/>
          <w:shd w:val="clear" w:color="auto" w:fill="FFFFFF"/>
          <w:lang w:val="en-US"/>
        </w:rPr>
        <w:t>Borgstede JP</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Bradley WG Jr</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Froelich JW</w:t>
      </w:r>
      <w:r w:rsidRPr="00981822">
        <w:rPr>
          <w:rFonts w:ascii="Times New Roman" w:hAnsi="Times New Roman"/>
          <w:color w:val="000000"/>
          <w:sz w:val="28"/>
          <w:szCs w:val="28"/>
          <w:shd w:val="clear" w:color="auto" w:fill="FFFFFF"/>
          <w:lang w:val="en-US"/>
        </w:rPr>
        <w:t>,</w:t>
      </w:r>
      <w:r w:rsidRPr="00981822">
        <w:rPr>
          <w:rFonts w:ascii="Times New Roman" w:hAnsi="Times New Roman"/>
          <w:color w:val="000000"/>
          <w:sz w:val="28"/>
          <w:szCs w:val="28"/>
          <w:lang w:val="en-US"/>
        </w:rPr>
        <w:t xml:space="preserve"> et al. ACR guidance document for safe MR practices: 2007. AJR Am J Roentgenol. 2007</w:t>
      </w:r>
      <w:r w:rsidRPr="00981822">
        <w:rPr>
          <w:rFonts w:ascii="Times New Roman" w:hAnsi="Times New Roman"/>
          <w:color w:val="000000"/>
          <w:sz w:val="28"/>
          <w:szCs w:val="28"/>
        </w:rPr>
        <w:t xml:space="preserve"> </w:t>
      </w:r>
      <w:r w:rsidRPr="00981822">
        <w:rPr>
          <w:rFonts w:ascii="Times New Roman" w:hAnsi="Times New Roman"/>
          <w:color w:val="000000"/>
          <w:sz w:val="17"/>
          <w:szCs w:val="17"/>
          <w:shd w:val="clear" w:color="auto" w:fill="FFFFFF"/>
          <w:lang w:val="en-US"/>
        </w:rPr>
        <w:t xml:space="preserve"> </w:t>
      </w:r>
      <w:r w:rsidRPr="00981822">
        <w:rPr>
          <w:rFonts w:ascii="Times New Roman" w:hAnsi="Times New Roman"/>
          <w:color w:val="000000"/>
          <w:sz w:val="28"/>
          <w:szCs w:val="28"/>
          <w:shd w:val="clear" w:color="auto" w:fill="FFFFFF"/>
          <w:lang w:val="en-US"/>
        </w:rPr>
        <w:t>Jun;188(6):1447</w:t>
      </w:r>
      <w:r w:rsidRPr="00981822">
        <w:rPr>
          <w:rFonts w:ascii="Times New Roman" w:hAnsi="Times New Roman"/>
          <w:color w:val="000000"/>
          <w:sz w:val="28"/>
          <w:szCs w:val="28"/>
          <w:lang w:val="en-US"/>
        </w:rPr>
        <w:t>–</w:t>
      </w:r>
      <w:r w:rsidRPr="00981822">
        <w:rPr>
          <w:rFonts w:ascii="Times New Roman" w:hAnsi="Times New Roman"/>
          <w:color w:val="000000"/>
          <w:sz w:val="28"/>
          <w:szCs w:val="28"/>
          <w:shd w:val="clear" w:color="auto" w:fill="FFFFFF"/>
          <w:lang w:val="en-US"/>
        </w:rPr>
        <w:t>74.</w:t>
      </w:r>
      <w:r w:rsidRPr="00981822">
        <w:rPr>
          <w:rFonts w:ascii="Times New Roman" w:hAnsi="Times New Roman"/>
          <w:color w:val="000000"/>
          <w:sz w:val="28"/>
          <w:szCs w:val="28"/>
          <w:lang w:val="en-US"/>
        </w:rPr>
        <w:t xml:space="preserve">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eastAsia="uk-UA"/>
        </w:rPr>
        <w:t>Kang DE, White RL, Zuger JH, Sasser HC, Teigland CM. Clinical Use of Fluorodeoxyglucose F 18 Positron Emission Tomography for Detection of Renal Cell Carcinoma.</w:t>
      </w:r>
      <w:r w:rsidRPr="00981822">
        <w:rPr>
          <w:rFonts w:ascii="Times New Roman" w:hAnsi="Times New Roman"/>
          <w:iCs/>
          <w:color w:val="000000"/>
          <w:sz w:val="28"/>
          <w:szCs w:val="28"/>
          <w:lang w:eastAsia="uk-UA"/>
        </w:rPr>
        <w:t xml:space="preserve"> J Urol. 2004 </w:t>
      </w:r>
      <w:r w:rsidRPr="00981822">
        <w:rPr>
          <w:rFonts w:ascii="Times New Roman" w:hAnsi="Times New Roman"/>
          <w:color w:val="000000"/>
          <w:sz w:val="28"/>
          <w:szCs w:val="28"/>
          <w:lang w:eastAsia="uk-UA"/>
        </w:rPr>
        <w:t xml:space="preserve">May;171(5):1806–9.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Kapur P, Pena-Llopis S, Christie A, Zhrebker L, Pavia-Jimenez A</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et al. Effects on survival of BAP1 and PBRM1 mutations in sporadic clear-cell renal-cell carcinoma: a retrospective analysis with independent validation. Lancet Oncol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2013</w:t>
      </w:r>
      <w:r w:rsidRPr="00981822">
        <w:rPr>
          <w:rFonts w:ascii="Times New Roman" w:hAnsi="Times New Roman"/>
          <w:color w:val="000000"/>
          <w:sz w:val="28"/>
          <w:szCs w:val="28"/>
        </w:rPr>
        <w:t>;</w:t>
      </w:r>
      <w:r w:rsidRPr="00981822">
        <w:rPr>
          <w:rFonts w:ascii="Times New Roman" w:hAnsi="Times New Roman"/>
          <w:color w:val="000000"/>
          <w:sz w:val="28"/>
          <w:szCs w:val="28"/>
          <w:lang w:val="en-US"/>
        </w:rPr>
        <w:t>14</w:t>
      </w:r>
      <w:r w:rsidRPr="00981822">
        <w:rPr>
          <w:rFonts w:ascii="Times New Roman" w:hAnsi="Times New Roman"/>
          <w:color w:val="000000"/>
          <w:sz w:val="28"/>
          <w:szCs w:val="28"/>
        </w:rPr>
        <w:t>(2)</w:t>
      </w:r>
      <w:r w:rsidRPr="00981822">
        <w:rPr>
          <w:rFonts w:ascii="Times New Roman" w:hAnsi="Times New Roman"/>
          <w:color w:val="000000"/>
          <w:sz w:val="28"/>
          <w:szCs w:val="28"/>
          <w:lang w:val="en-US"/>
        </w:rPr>
        <w:t>:159</w:t>
      </w:r>
      <w:r w:rsidRPr="00981822">
        <w:rPr>
          <w:rFonts w:ascii="Times New Roman" w:hAnsi="Times New Roman"/>
          <w:color w:val="000000"/>
          <w:sz w:val="28"/>
          <w:szCs w:val="28"/>
          <w:lang w:eastAsia="uk-UA"/>
        </w:rPr>
        <w:t>–</w:t>
      </w:r>
      <w:r w:rsidRPr="00981822">
        <w:rPr>
          <w:rFonts w:ascii="Times New Roman" w:hAnsi="Times New Roman"/>
          <w:color w:val="000000"/>
          <w:sz w:val="28"/>
          <w:szCs w:val="28"/>
        </w:rPr>
        <w:t>67</w:t>
      </w:r>
      <w:r w:rsidRPr="00981822">
        <w:rPr>
          <w:rFonts w:ascii="Times New Roman" w:hAnsi="Times New Roman"/>
          <w:color w:val="000000"/>
          <w:sz w:val="28"/>
          <w:szCs w:val="28"/>
          <w:lang w:val="en-US"/>
        </w:rPr>
        <w:t xml:space="preserve">.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Karlo CA, Donati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OF, Burger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IA, Zheng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Moskowitz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CS, Hricak</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MR Imaging of Renal Cortical Tumours: Qualitative and Quantitative Chemical Shift Imaging Parameters. </w:t>
      </w:r>
      <w:r w:rsidRPr="00981822">
        <w:rPr>
          <w:rFonts w:ascii="Times New Roman" w:hAnsi="Times New Roman"/>
          <w:iCs/>
          <w:color w:val="000000"/>
          <w:sz w:val="28"/>
          <w:szCs w:val="28"/>
          <w:lang w:val="en-US" w:eastAsia="uk-UA"/>
        </w:rPr>
        <w:t>Eur Radiol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June</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6):1738–44. doi:10.1007/s00330-012-2758-x.</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Kawakami K, Enokida</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Chiyomaru</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Tatarano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Yoshino</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Kagara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I, et al. The Functional Significance of miR-1 and miR-133a in Renal Cell Carcinoma. </w:t>
      </w:r>
      <w:r w:rsidRPr="00981822">
        <w:rPr>
          <w:rFonts w:ascii="Times New Roman" w:hAnsi="Times New Roman"/>
          <w:iCs/>
          <w:color w:val="000000"/>
          <w:sz w:val="28"/>
          <w:szCs w:val="28"/>
          <w:lang w:val="en-US" w:eastAsia="uk-UA"/>
        </w:rPr>
        <w:t>Eur J Cancer</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Apr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6):827–36.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Kaya K, Ayan S, Gokce G, Kilicarslan H, Yildiz E, Gultekin EY. Urinary nuclear matrix protein 22 for diagnosis of renal cell carcinoma.</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Scand J Urol Nephrol</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2005;</w:t>
      </w:r>
      <w:r w:rsidRPr="00981822">
        <w:rPr>
          <w:rStyle w:val="ref-vol"/>
          <w:rFonts w:ascii="Times New Roman" w:hAnsi="Times New Roman"/>
          <w:color w:val="000000"/>
          <w:sz w:val="28"/>
          <w:szCs w:val="28"/>
          <w:shd w:val="clear" w:color="auto" w:fill="FFFFFF"/>
          <w:lang w:val="en-US"/>
        </w:rPr>
        <w:t>39</w:t>
      </w:r>
      <w:r w:rsidRPr="00981822">
        <w:rPr>
          <w:rFonts w:ascii="Times New Roman" w:hAnsi="Times New Roman"/>
          <w:color w:val="000000"/>
          <w:sz w:val="28"/>
          <w:szCs w:val="28"/>
          <w:shd w:val="clear" w:color="auto" w:fill="FFFFFF"/>
          <w:lang w:val="en-US"/>
        </w:rPr>
        <w:t>(1):25–9.</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Keegan KA,</w:t>
      </w:r>
      <w:r w:rsidRPr="00981822">
        <w:rPr>
          <w:rFonts w:ascii="Times New Roman" w:hAnsi="Times New Roman"/>
          <w:lang w:val="en-US"/>
        </w:rPr>
        <w:t xml:space="preserve"> </w:t>
      </w:r>
      <w:r w:rsidRPr="00981822">
        <w:rPr>
          <w:rFonts w:ascii="Times New Roman" w:hAnsi="Times New Roman"/>
          <w:sz w:val="28"/>
          <w:szCs w:val="28"/>
          <w:lang w:val="en-US"/>
        </w:rPr>
        <w:t>Schupp CW, Chamie K, Hellenthal NJ, Evans CP, Koppie TM</w:t>
      </w:r>
      <w:r w:rsidRPr="00981822">
        <w:rPr>
          <w:rFonts w:ascii="Times New Roman" w:hAnsi="Times New Roman"/>
          <w:color w:val="000000"/>
          <w:sz w:val="28"/>
          <w:szCs w:val="28"/>
          <w:lang w:val="en-US"/>
        </w:rPr>
        <w:t xml:space="preserve"> Histopathology of surgically treated renal cell carcinoma: survival differences by subtype and stage. J Urol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2012</w:t>
      </w:r>
      <w:r w:rsidRPr="00981822">
        <w:rPr>
          <w:rFonts w:ascii="Times New Roman" w:hAnsi="Times New Roman"/>
          <w:lang w:val="en-US"/>
        </w:rPr>
        <w:t xml:space="preserve"> </w:t>
      </w:r>
      <w:r w:rsidRPr="00981822">
        <w:rPr>
          <w:rFonts w:ascii="Times New Roman" w:hAnsi="Times New Roman"/>
          <w:sz w:val="28"/>
          <w:szCs w:val="28"/>
          <w:lang w:val="en-US"/>
        </w:rPr>
        <w:t>Aug;188(2):391</w:t>
      </w:r>
      <w:r w:rsidRPr="00981822">
        <w:rPr>
          <w:rFonts w:ascii="Times New Roman" w:hAnsi="Times New Roman"/>
          <w:sz w:val="28"/>
          <w:szCs w:val="28"/>
        </w:rPr>
        <w:t>–</w:t>
      </w:r>
      <w:r w:rsidRPr="00981822">
        <w:rPr>
          <w:rFonts w:ascii="Times New Roman" w:hAnsi="Times New Roman"/>
          <w:sz w:val="28"/>
          <w:szCs w:val="28"/>
          <w:lang w:val="en-US"/>
        </w:rPr>
        <w:t>7</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Kenkel D, Barth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BK, Piccirelli</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Filli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Finkenstädt</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Reiner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Simultaneous Multislice Diffusion-Weighted Imaging of the Kidney: A </w:t>
      </w:r>
      <w:r w:rsidRPr="00981822">
        <w:rPr>
          <w:rFonts w:ascii="Times New Roman" w:hAnsi="Times New Roman"/>
          <w:color w:val="000000"/>
          <w:sz w:val="28"/>
          <w:szCs w:val="28"/>
          <w:lang w:val="en-US" w:eastAsia="uk-UA"/>
        </w:rPr>
        <w:lastRenderedPageBreak/>
        <w:t xml:space="preserve">Systematic Analysis of Image Quality. </w:t>
      </w:r>
      <w:r w:rsidRPr="00981822">
        <w:rPr>
          <w:rFonts w:ascii="Times New Roman" w:hAnsi="Times New Roman"/>
          <w:iCs/>
          <w:color w:val="000000"/>
          <w:sz w:val="28"/>
          <w:szCs w:val="28"/>
          <w:lang w:val="en-US" w:eastAsia="uk-UA"/>
        </w:rPr>
        <w:t>Investigative Radiol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3):163–9. doi:10.1097/RLI.0000000000000323.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Keskin S, Güven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Keskin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Özbiner</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Kerimoğlu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Ü, Yeşildağ</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Strain Elastography in the Characterization of Renal Cell Carcinoma and Angiomyolipoma. </w:t>
      </w:r>
      <w:r w:rsidRPr="00981822">
        <w:rPr>
          <w:rFonts w:ascii="Times New Roman" w:hAnsi="Times New Roman"/>
          <w:iCs/>
          <w:color w:val="000000"/>
          <w:sz w:val="28"/>
          <w:szCs w:val="28"/>
          <w:lang w:val="en-US" w:eastAsia="uk-UA"/>
        </w:rPr>
        <w:t>Canad Urol Assoc J=J De l’Assoc Des Urol Du Canada</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1–2):e67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71. doi:10.5489/cuaj.2349.</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Khandani AH, Rathmell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WK. Positron Emission Tomography in Renal Cell Carcinoma: An Imaging Biomarker in Development. </w:t>
      </w:r>
      <w:r w:rsidRPr="00981822">
        <w:rPr>
          <w:rFonts w:ascii="Times New Roman" w:hAnsi="Times New Roman"/>
          <w:iCs/>
          <w:color w:val="000000"/>
          <w:sz w:val="28"/>
          <w:szCs w:val="28"/>
          <w:lang w:val="en-US" w:eastAsia="uk-UA"/>
        </w:rPr>
        <w:t>Seminars Nuclear Med</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July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4):221–30.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Khella HWZ, Bakhet</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Allo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Jewett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w:t>
      </w:r>
      <w:r w:rsidRPr="00981822">
        <w:rPr>
          <w:rFonts w:ascii="Times New Roman" w:hAnsi="Times New Roman"/>
          <w:color w:val="000000"/>
          <w:sz w:val="28"/>
          <w:szCs w:val="28"/>
          <w:lang w:eastAsia="uk-UA"/>
        </w:rPr>
        <w:t>А</w:t>
      </w:r>
      <w:r w:rsidRPr="00981822">
        <w:rPr>
          <w:rFonts w:ascii="Times New Roman" w:hAnsi="Times New Roman"/>
          <w:color w:val="000000"/>
          <w:sz w:val="28"/>
          <w:szCs w:val="28"/>
          <w:lang w:val="en-US" w:eastAsia="uk-UA"/>
        </w:rPr>
        <w:t xml:space="preserve">S, Girgis AH, Latif A,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 xml:space="preserve">miR-192, miR-194 and miR-215: A Convergent microRNA Network Suppressing Tumor Progression in Renal Cell Carcinoma. </w:t>
      </w:r>
      <w:r w:rsidRPr="00981822">
        <w:rPr>
          <w:rFonts w:ascii="Times New Roman" w:hAnsi="Times New Roman"/>
          <w:iCs/>
          <w:color w:val="000000"/>
          <w:sz w:val="28"/>
          <w:szCs w:val="28"/>
          <w:lang w:val="en-US" w:eastAsia="uk-UA"/>
        </w:rPr>
        <w:t>Carcinogenesis</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 xml:space="preserve">Oct </w:t>
      </w:r>
      <w:r w:rsidRPr="00981822">
        <w:rPr>
          <w:rFonts w:ascii="Times New Roman" w:hAnsi="Times New Roman"/>
          <w:color w:val="000000"/>
          <w:sz w:val="28"/>
          <w:szCs w:val="28"/>
          <w:lang w:eastAsia="uk-UA"/>
        </w:rPr>
        <w:t>1;</w:t>
      </w:r>
      <w:r w:rsidRPr="00981822">
        <w:rPr>
          <w:rFonts w:ascii="Times New Roman" w:hAnsi="Times New Roman"/>
          <w:color w:val="000000"/>
          <w:sz w:val="28"/>
          <w:szCs w:val="28"/>
          <w:lang w:val="en-US" w:eastAsia="uk-UA"/>
        </w:rPr>
        <w:t>34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10):2231–9. doi:10.1093/carcin/bgt184.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Kilickesmez O, Inci</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Atilla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Tasdelen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Yetimoğlu</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Yencilek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F, et al. Diffusion-Weighted Imaging of the Renal and Adrenal Lesions. </w:t>
      </w:r>
      <w:r w:rsidRPr="00981822">
        <w:rPr>
          <w:rFonts w:ascii="Times New Roman" w:hAnsi="Times New Roman"/>
          <w:iCs/>
          <w:color w:val="000000"/>
          <w:sz w:val="28"/>
          <w:szCs w:val="28"/>
          <w:lang w:val="en-US" w:eastAsia="uk-UA"/>
        </w:rPr>
        <w:t>J Comp Ass Tomogr</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6):828–33.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Kim CW, Shanbhogue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KP, Schreiber-Zinaman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Deng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FM, Rosenkrantz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AB. Visual Assessment of the Intensity and Pattern of T1 Hyperintensity on MRI to Differentiate Hemorrhagic Renal Cysts From Renal Cell Carcinoma. </w:t>
      </w:r>
      <w:r w:rsidRPr="00981822">
        <w:rPr>
          <w:rFonts w:ascii="Times New Roman" w:hAnsi="Times New Roman"/>
          <w:color w:val="000000"/>
          <w:sz w:val="28"/>
          <w:szCs w:val="28"/>
          <w:lang w:val="en-US"/>
        </w:rPr>
        <w:t>AJR</w:t>
      </w:r>
      <w:r w:rsidRPr="00981822">
        <w:rPr>
          <w:rFonts w:ascii="Times New Roman" w:hAnsi="Times New Roman"/>
          <w:iCs/>
          <w:color w:val="000000"/>
          <w:sz w:val="28"/>
          <w:szCs w:val="28"/>
          <w:lang w:val="en-US" w:eastAsia="uk-UA"/>
        </w:rPr>
        <w:t xml:space="preserve"> Am J Roentgenol</w:t>
      </w:r>
      <w:r w:rsidRPr="00981822">
        <w:rPr>
          <w:rFonts w:ascii="Times New Roman" w:hAnsi="Times New Roman"/>
          <w:iCs/>
          <w:color w:val="000000"/>
          <w:sz w:val="28"/>
          <w:szCs w:val="28"/>
          <w:lang w:eastAsia="uk-UA"/>
        </w:rPr>
        <w:t>. 2017</w:t>
      </w:r>
      <w:r w:rsidRPr="00981822">
        <w:rPr>
          <w:lang w:val="en-US"/>
        </w:rPr>
        <w:t xml:space="preserve"> </w:t>
      </w:r>
      <w:r w:rsidRPr="00981822">
        <w:rPr>
          <w:rFonts w:ascii="Times New Roman" w:hAnsi="Times New Roman"/>
          <w:sz w:val="28"/>
          <w:szCs w:val="28"/>
          <w:lang w:val="en-US"/>
        </w:rPr>
        <w:t>Feb;208(2):337</w:t>
      </w:r>
      <w:r w:rsidRPr="00981822">
        <w:rPr>
          <w:rFonts w:ascii="Times New Roman" w:hAnsi="Times New Roman"/>
          <w:sz w:val="28"/>
          <w:szCs w:val="28"/>
        </w:rPr>
        <w:t>–</w:t>
      </w:r>
      <w:r w:rsidRPr="00981822">
        <w:rPr>
          <w:rFonts w:ascii="Times New Roman" w:hAnsi="Times New Roman"/>
          <w:sz w:val="28"/>
          <w:szCs w:val="28"/>
          <w:lang w:val="en-US"/>
        </w:rPr>
        <w:t>42</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Kim MH, Lee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SY, Lee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SE, Yang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MS, Jung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 Park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CM, et al. Anaphylaxis to Iodinated Contrast Media: Clinical Characteristics Related with Development of Anaphylactic Shock.</w:t>
      </w:r>
      <w:r w:rsidRPr="00981822">
        <w:rPr>
          <w:rFonts w:ascii="Times New Roman" w:hAnsi="Times New Roman"/>
          <w:iCs/>
          <w:color w:val="000000"/>
          <w:sz w:val="28"/>
          <w:szCs w:val="28"/>
          <w:lang w:val="en-US" w:eastAsia="uk-UA"/>
        </w:rPr>
        <w:t xml:space="preserve"> PloS One</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Jun 16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w:t>
      </w:r>
      <w:r w:rsidRPr="00981822">
        <w:rPr>
          <w:rFonts w:ascii="Times New Roman" w:hAnsi="Times New Roman"/>
          <w:color w:val="000000"/>
          <w:sz w:val="28"/>
          <w:szCs w:val="28"/>
          <w:lang w:eastAsia="uk-UA"/>
        </w:rPr>
        <w:t>:</w:t>
      </w:r>
      <w:r w:rsidRPr="00981822">
        <w:rPr>
          <w:lang w:val="en-US"/>
        </w:rPr>
        <w:t xml:space="preserve"> </w:t>
      </w:r>
      <w:r w:rsidRPr="00981822">
        <w:rPr>
          <w:rFonts w:ascii="Times New Roman" w:hAnsi="Times New Roman"/>
          <w:sz w:val="28"/>
          <w:szCs w:val="28"/>
          <w:lang w:val="en-US"/>
        </w:rPr>
        <w:t>e100154</w:t>
      </w:r>
      <w:r w:rsidRPr="00981822">
        <w:rPr>
          <w:rFonts w:ascii="Times New Roman" w:hAnsi="Times New Roman"/>
          <w:sz w:val="28"/>
          <w:szCs w:val="28"/>
        </w:rPr>
        <w: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doi:10.1371/journal.pone.0100154.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Kim SH, Park WS, Park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EY, Park</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Joo J, Joung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et al. The Prognostic Value of BAP1, PBRM1, pS6, PTEN, TGase2, PD-L1, CA9, PSMA, and Ki-67 Tissue Markers in Localized Renal Cell Carcinoma: A Retrospective Study of Tissue Microarrays Using Immunohistochemistry. </w:t>
      </w:r>
      <w:r w:rsidRPr="00981822">
        <w:rPr>
          <w:rFonts w:ascii="Times New Roman" w:hAnsi="Times New Roman"/>
          <w:iCs/>
          <w:color w:val="000000"/>
          <w:sz w:val="28"/>
          <w:szCs w:val="28"/>
          <w:lang w:val="en-US" w:eastAsia="uk-UA"/>
        </w:rPr>
        <w:t>PloS One</w:t>
      </w:r>
      <w:r w:rsidRPr="00981822">
        <w:rPr>
          <w:rFonts w:ascii="Times New Roman" w:hAnsi="Times New Roman"/>
          <w:iCs/>
          <w:color w:val="000000"/>
          <w:sz w:val="28"/>
          <w:szCs w:val="28"/>
          <w:lang w:eastAsia="uk-UA"/>
        </w:rPr>
        <w:t xml:space="preserve">. 2017 </w:t>
      </w:r>
      <w:r w:rsidRPr="00981822">
        <w:rPr>
          <w:rFonts w:ascii="Times New Roman" w:hAnsi="Times New Roman"/>
          <w:sz w:val="28"/>
          <w:szCs w:val="28"/>
        </w:rPr>
        <w:t>Jun 27</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12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6):e0179610.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lastRenderedPageBreak/>
        <w:t>Kim SY, Woo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Hwang SI, Moon MH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Sung CK, Lee HJ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Usefulness of Resistive Index on Spectral Doppler Ultrasonography in the Detection of Renal Cell Carcinoma in Patients with End-Stage Renal Disease. </w:t>
      </w:r>
      <w:r w:rsidRPr="00981822">
        <w:rPr>
          <w:rFonts w:ascii="Times New Roman" w:hAnsi="Times New Roman"/>
          <w:iCs/>
          <w:color w:val="000000"/>
          <w:sz w:val="28"/>
          <w:szCs w:val="28"/>
          <w:lang w:val="en-US" w:eastAsia="uk-UA"/>
        </w:rPr>
        <w:t>Ultrasonography</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:136–42.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Kingsley PB, Monahan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WG. Selection of the Optimum b Factor for Diffusion-Weighted Magnetic Resonance Imaging Assessment of Ischemic Stroke. </w:t>
      </w:r>
      <w:r w:rsidRPr="00981822">
        <w:rPr>
          <w:rFonts w:ascii="Times New Roman" w:hAnsi="Times New Roman"/>
          <w:iCs/>
          <w:color w:val="000000"/>
          <w:sz w:val="28"/>
          <w:szCs w:val="28"/>
          <w:lang w:val="en-US" w:eastAsia="uk-UA"/>
        </w:rPr>
        <w:t>Magnet Resonance Med</w:t>
      </w:r>
      <w:r w:rsidRPr="00981822">
        <w:rPr>
          <w:rFonts w:ascii="Times New Roman" w:hAnsi="Times New Roman"/>
          <w:iCs/>
          <w:color w:val="000000"/>
          <w:sz w:val="28"/>
          <w:szCs w:val="28"/>
          <w:lang w:eastAsia="uk-UA"/>
        </w:rPr>
        <w:t xml:space="preserve">. 2004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5):996–1001.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Kitamura H, Fujimoto H, Tobisu K, </w:t>
      </w:r>
      <w:r w:rsidRPr="00981822">
        <w:rPr>
          <w:rFonts w:ascii="Times New Roman" w:hAnsi="Times New Roman"/>
          <w:sz w:val="28"/>
          <w:szCs w:val="28"/>
          <w:lang w:val="en-US"/>
        </w:rPr>
        <w:t>Mizuguchi Y, Maeda T, Matsuoka N</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et al. Dynamic computed tomography and color Doppler ultrasound of renal parenchymal neoplasms: correlation with histopathological findings. Jpn J Clin Oncol. 2004</w:t>
      </w:r>
      <w:r w:rsidRPr="00981822">
        <w:rPr>
          <w:rFonts w:ascii="Times New Roman" w:hAnsi="Times New Roman"/>
          <w:sz w:val="28"/>
          <w:szCs w:val="28"/>
        </w:rPr>
        <w:t xml:space="preserve"> Feb;34(2):78–81</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Kohlhapp FJ, Mitra AK, Lengyel E, Peter ME. microRNAs as mediators and communicators between cancer cells and the tumor micro-environment. Oncogene. 2015 Nov 26;34(48):5857–68.</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Kohn</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L</w:t>
      </w:r>
      <w:r w:rsidRPr="00981822">
        <w:rPr>
          <w:rFonts w:ascii="Times New Roman" w:hAnsi="Times New Roman"/>
          <w:color w:val="000000"/>
          <w:sz w:val="28"/>
          <w:szCs w:val="28"/>
        </w:rPr>
        <w:t xml:space="preserve">, </w:t>
      </w:r>
      <w:r w:rsidRPr="00981822">
        <w:rPr>
          <w:rFonts w:ascii="Times New Roman" w:hAnsi="Times New Roman"/>
          <w:sz w:val="28"/>
          <w:szCs w:val="28"/>
          <w:lang w:val="en-US"/>
        </w:rPr>
        <w:t>Svenson</w:t>
      </w:r>
      <w:r w:rsidRPr="00981822">
        <w:rPr>
          <w:rFonts w:ascii="Times New Roman" w:hAnsi="Times New Roman"/>
          <w:sz w:val="28"/>
          <w:szCs w:val="28"/>
        </w:rPr>
        <w:t xml:space="preserve"> </w:t>
      </w:r>
      <w:r w:rsidRPr="00981822">
        <w:rPr>
          <w:rFonts w:ascii="Times New Roman" w:hAnsi="Times New Roman"/>
          <w:sz w:val="28"/>
          <w:szCs w:val="28"/>
          <w:lang w:val="en-US"/>
        </w:rPr>
        <w:t>U</w:t>
      </w:r>
      <w:r w:rsidRPr="00981822">
        <w:rPr>
          <w:rFonts w:ascii="Times New Roman" w:hAnsi="Times New Roman"/>
          <w:sz w:val="28"/>
          <w:szCs w:val="28"/>
        </w:rPr>
        <w:t xml:space="preserve">, </w:t>
      </w:r>
      <w:r w:rsidRPr="00981822">
        <w:rPr>
          <w:rFonts w:ascii="Times New Roman" w:hAnsi="Times New Roman"/>
          <w:sz w:val="28"/>
          <w:szCs w:val="28"/>
          <w:lang w:val="en-US"/>
        </w:rPr>
        <w:t>Ljungberg</w:t>
      </w:r>
      <w:r w:rsidRPr="00981822">
        <w:rPr>
          <w:rFonts w:ascii="Times New Roman" w:hAnsi="Times New Roman"/>
          <w:sz w:val="28"/>
          <w:szCs w:val="28"/>
        </w:rPr>
        <w:t xml:space="preserve"> </w:t>
      </w:r>
      <w:r w:rsidRPr="00981822">
        <w:rPr>
          <w:rFonts w:ascii="Times New Roman" w:hAnsi="Times New Roman"/>
          <w:sz w:val="28"/>
          <w:szCs w:val="28"/>
          <w:lang w:val="en-US"/>
        </w:rPr>
        <w:t>B</w:t>
      </w:r>
      <w:r w:rsidRPr="00981822">
        <w:rPr>
          <w:rFonts w:ascii="Times New Roman" w:hAnsi="Times New Roman"/>
          <w:sz w:val="28"/>
          <w:szCs w:val="28"/>
        </w:rPr>
        <w:t xml:space="preserve">, </w:t>
      </w:r>
      <w:r w:rsidRPr="00981822">
        <w:rPr>
          <w:rFonts w:ascii="Times New Roman" w:hAnsi="Times New Roman"/>
          <w:sz w:val="28"/>
          <w:szCs w:val="28"/>
          <w:lang w:val="en-US"/>
        </w:rPr>
        <w:t>Roos</w:t>
      </w:r>
      <w:r w:rsidRPr="00981822">
        <w:rPr>
          <w:rFonts w:ascii="Times New Roman" w:hAnsi="Times New Roman"/>
          <w:sz w:val="28"/>
          <w:szCs w:val="28"/>
        </w:rPr>
        <w:t xml:space="preserve"> </w:t>
      </w:r>
      <w:r w:rsidRPr="00981822">
        <w:rPr>
          <w:rFonts w:ascii="Times New Roman" w:hAnsi="Times New Roman"/>
          <w:sz w:val="28"/>
          <w:szCs w:val="28"/>
          <w:lang w:val="en-US"/>
        </w:rPr>
        <w:t>G</w:t>
      </w:r>
      <w:r w:rsidRPr="00981822">
        <w:rPr>
          <w:rFonts w:ascii="Times New Roman" w:hAnsi="Times New Roman"/>
          <w:sz w:val="28"/>
          <w:szCs w:val="28"/>
        </w:rPr>
        <w:t>.</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Specific genomic aberrations predict survival, but low mutation rate in cancer hot spots, in clear cell renal cell carcinoma. Appl Immunohistochem Mol Morphol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2015</w:t>
      </w:r>
      <w:r w:rsidRPr="00981822">
        <w:rPr>
          <w:rFonts w:ascii="Times New Roman" w:hAnsi="Times New Roman"/>
          <w:lang w:val="en-US"/>
        </w:rPr>
        <w:t xml:space="preserve"> </w:t>
      </w:r>
      <w:r w:rsidRPr="00981822">
        <w:rPr>
          <w:rFonts w:ascii="Times New Roman" w:hAnsi="Times New Roman"/>
          <w:sz w:val="28"/>
          <w:szCs w:val="28"/>
          <w:lang w:val="en-US"/>
        </w:rPr>
        <w:t>May-Jun;23(5):334</w:t>
      </w:r>
      <w:r w:rsidRPr="00981822">
        <w:rPr>
          <w:rFonts w:ascii="Times New Roman" w:hAnsi="Times New Roman"/>
          <w:sz w:val="28"/>
          <w:szCs w:val="28"/>
        </w:rPr>
        <w:t>–</w:t>
      </w:r>
      <w:r w:rsidRPr="00981822">
        <w:rPr>
          <w:rFonts w:ascii="Times New Roman" w:hAnsi="Times New Roman"/>
          <w:sz w:val="28"/>
          <w:szCs w:val="28"/>
          <w:lang w:val="en-US"/>
        </w:rPr>
        <w:t>42</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Kovacs G. Molecular differential pathology of renal cell tumours. Histopathology. 1993</w:t>
      </w:r>
      <w:r w:rsidRPr="00981822">
        <w:rPr>
          <w:rFonts w:ascii="Times New Roman" w:hAnsi="Times New Roman"/>
        </w:rPr>
        <w:t xml:space="preserve"> </w:t>
      </w:r>
      <w:r w:rsidRPr="00981822">
        <w:rPr>
          <w:rFonts w:ascii="Times New Roman" w:hAnsi="Times New Roman"/>
          <w:sz w:val="28"/>
          <w:szCs w:val="28"/>
        </w:rPr>
        <w:t>Jan;22(1):</w:t>
      </w:r>
      <w:r w:rsidRPr="00981822">
        <w:rPr>
          <w:rStyle w:val="highlight"/>
          <w:rFonts w:ascii="Times New Roman" w:hAnsi="Times New Roman"/>
          <w:sz w:val="28"/>
          <w:szCs w:val="28"/>
        </w:rPr>
        <w:t>1–8</w:t>
      </w:r>
      <w:r w:rsidRPr="00981822">
        <w:rPr>
          <w:rFonts w:ascii="Times New Roman" w:hAnsi="Times New Roman"/>
          <w:color w:val="000000"/>
          <w:sz w:val="28"/>
          <w:szCs w:val="28"/>
          <w:lang w:val="en-US"/>
        </w:rPr>
        <w:t>.</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Krajewski KM, Nishino</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Ramaiya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NH, Choueiri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TK. RECIST 1.1 Compared with RECIST 1.0 in Patients with Advanced Renal Cell Carcinoma Receiving Vascular Endothelial Growth Factor-Targeted Therapy.</w:t>
      </w:r>
      <w:r w:rsidRPr="00981822">
        <w:rPr>
          <w:rFonts w:ascii="Times New Roman" w:hAnsi="Times New Roman"/>
          <w:iCs/>
          <w:color w:val="000000"/>
          <w:sz w:val="28"/>
          <w:szCs w:val="28"/>
          <w:lang w:val="en-US" w:eastAsia="uk-UA"/>
        </w:rPr>
        <w:t xml:space="preserve"> </w:t>
      </w:r>
      <w:r w:rsidRPr="00981822">
        <w:rPr>
          <w:rFonts w:ascii="Times New Roman" w:hAnsi="Times New Roman"/>
          <w:color w:val="000000"/>
          <w:sz w:val="28"/>
          <w:szCs w:val="28"/>
          <w:lang w:val="en-US"/>
        </w:rPr>
        <w:t>AJR</w:t>
      </w:r>
      <w:r w:rsidRPr="00981822">
        <w:rPr>
          <w:rFonts w:ascii="Times New Roman" w:hAnsi="Times New Roman"/>
          <w:iCs/>
          <w:color w:val="000000"/>
          <w:sz w:val="28"/>
          <w:szCs w:val="28"/>
          <w:lang w:val="en-US" w:eastAsia="uk-UA"/>
        </w:rPr>
        <w:t xml:space="preserve"> Am J Roentgenol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3):W282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8.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Kreshover JE, </w:t>
      </w:r>
      <w:r w:rsidRPr="00981822">
        <w:rPr>
          <w:rFonts w:ascii="Times New Roman" w:hAnsi="Times New Roman"/>
          <w:sz w:val="28"/>
          <w:szCs w:val="28"/>
          <w:lang w:val="en-US"/>
        </w:rPr>
        <w:t>Richstone L, Kavoussi LR.</w:t>
      </w:r>
      <w:r w:rsidRPr="00981822">
        <w:rPr>
          <w:rFonts w:ascii="Times New Roman" w:hAnsi="Times New Roman"/>
          <w:color w:val="000000"/>
          <w:sz w:val="28"/>
          <w:szCs w:val="28"/>
          <w:lang w:val="en-US"/>
        </w:rPr>
        <w:t xml:space="preserve"> Renal cell recurrence for T1 tumors after laparoscopic partial nephrectomy. J Endourol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2013</w:t>
      </w:r>
      <w:r w:rsidRPr="00981822">
        <w:rPr>
          <w:rFonts w:ascii="Times New Roman" w:hAnsi="Times New Roman"/>
        </w:rPr>
        <w:t xml:space="preserve"> </w:t>
      </w:r>
      <w:r w:rsidRPr="00981822">
        <w:rPr>
          <w:rFonts w:ascii="Times New Roman" w:hAnsi="Times New Roman"/>
          <w:sz w:val="28"/>
          <w:szCs w:val="28"/>
        </w:rPr>
        <w:t>Dec;27(12):1468–70</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Kumar Y, Bhatia</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Das</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Kathpalia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AS. Unusual Appearance of Perirenal Fibrosis in Renal Cell Carcinoma Simulating a Tumour. </w:t>
      </w:r>
      <w:r w:rsidRPr="00981822">
        <w:rPr>
          <w:rFonts w:ascii="Times New Roman" w:hAnsi="Times New Roman"/>
          <w:iCs/>
          <w:color w:val="000000"/>
          <w:sz w:val="28"/>
          <w:szCs w:val="28"/>
          <w:lang w:val="en-US" w:eastAsia="uk-UA"/>
        </w:rPr>
        <w:t>Jap J Clin Oncol</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10):677–81. </w:t>
      </w:r>
      <w:r w:rsidRPr="00981822">
        <w:rPr>
          <w:rFonts w:ascii="Times New Roman" w:hAnsi="Times New Roman"/>
          <w:sz w:val="28"/>
          <w:szCs w:val="28"/>
          <w:lang w:val="en-US" w:eastAsia="uk-UA"/>
        </w:rPr>
        <w:t>https://doi.org/10.1093/jjco/hyp072</w:t>
      </w:r>
      <w:r w:rsidRPr="00981822">
        <w:rPr>
          <w:rFonts w:ascii="Times New Roman" w:hAnsi="Times New Roman"/>
          <w:color w:val="000000"/>
          <w:sz w:val="28"/>
          <w:szCs w:val="28"/>
          <w:lang w:val="en-US" w:eastAsia="uk-UA"/>
        </w:rPr>
        <w:t>.</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Kuthi L, Jenei</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Hajdu</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Németh</w:t>
      </w:r>
      <w:r w:rsidRPr="00981822">
        <w:rPr>
          <w:rFonts w:ascii="Times New Roman" w:hAnsi="Times New Roman"/>
          <w:color w:val="000000"/>
          <w:sz w:val="28"/>
          <w:szCs w:val="28"/>
          <w:lang w:eastAsia="uk-UA"/>
        </w:rPr>
        <w:t xml:space="preserve"> І</w:t>
      </w:r>
      <w:r w:rsidRPr="00981822">
        <w:rPr>
          <w:rFonts w:ascii="Times New Roman" w:hAnsi="Times New Roman"/>
          <w:color w:val="000000"/>
          <w:sz w:val="28"/>
          <w:szCs w:val="28"/>
          <w:lang w:val="en-US" w:eastAsia="uk-UA"/>
        </w:rPr>
        <w:t>, Varga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Bajory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Prognostic Factors for Renal Cell Carcinoma Subtypes Diagnosed According to the 2016 </w:t>
      </w:r>
      <w:r w:rsidRPr="00981822">
        <w:rPr>
          <w:rFonts w:ascii="Times New Roman" w:hAnsi="Times New Roman"/>
          <w:color w:val="000000"/>
          <w:sz w:val="28"/>
          <w:szCs w:val="28"/>
          <w:lang w:val="en-US" w:eastAsia="uk-UA"/>
        </w:rPr>
        <w:lastRenderedPageBreak/>
        <w:t xml:space="preserve">WHO Renal Tumor Classification: A Study Involving 928 Patients. </w:t>
      </w:r>
      <w:r w:rsidRPr="00981822">
        <w:rPr>
          <w:rFonts w:ascii="Times New Roman" w:hAnsi="Times New Roman"/>
          <w:iCs/>
          <w:color w:val="000000"/>
          <w:sz w:val="28"/>
          <w:szCs w:val="28"/>
          <w:lang w:val="en-US" w:eastAsia="uk-UA"/>
        </w:rPr>
        <w:t>Pathol Oncol Res</w:t>
      </w:r>
      <w:r w:rsidRPr="00981822">
        <w:rPr>
          <w:rFonts w:ascii="Times New Roman" w:hAnsi="Times New Roman"/>
          <w:iCs/>
          <w:color w:val="000000"/>
          <w:sz w:val="28"/>
          <w:szCs w:val="28"/>
          <w:lang w:eastAsia="uk-UA"/>
        </w:rPr>
        <w:t xml:space="preserve">. </w:t>
      </w:r>
      <w:r w:rsidRPr="00981822">
        <w:rPr>
          <w:rFonts w:ascii="Times New Roman" w:hAnsi="Times New Roman"/>
          <w:sz w:val="28"/>
          <w:szCs w:val="28"/>
          <w:lang w:val="en-US"/>
        </w:rPr>
        <w:t>2017 Jul;23(3):689</w:t>
      </w:r>
      <w:r w:rsidRPr="00981822">
        <w:rPr>
          <w:rFonts w:ascii="Times New Roman" w:hAnsi="Times New Roman"/>
          <w:sz w:val="28"/>
          <w:szCs w:val="28"/>
        </w:rPr>
        <w:t>–</w:t>
      </w:r>
      <w:r w:rsidRPr="00981822">
        <w:rPr>
          <w:rFonts w:ascii="Times New Roman" w:hAnsi="Times New Roman"/>
          <w:sz w:val="28"/>
          <w:szCs w:val="28"/>
          <w:lang w:val="en-US"/>
        </w:rPr>
        <w:t>98</w:t>
      </w:r>
      <w:r w:rsidRPr="00981822">
        <w:rPr>
          <w:rFonts w:ascii="Times New Roman" w:hAnsi="Times New Roman"/>
          <w:color w:val="000000"/>
          <w:sz w:val="28"/>
          <w:szCs w:val="28"/>
          <w:lang w:val="en-US" w:eastAsia="uk-UA"/>
        </w:rPr>
        <w:t xml:space="preserve">. </w:t>
      </w:r>
    </w:p>
    <w:p w:rsidR="0061473E" w:rsidRPr="00981822" w:rsidRDefault="0061473E" w:rsidP="00DE6E24">
      <w:pPr>
        <w:pStyle w:val="NoSpacing"/>
        <w:numPr>
          <w:ilvl w:val="0"/>
          <w:numId w:val="9"/>
        </w:numPr>
        <w:spacing w:line="360" w:lineRule="auto"/>
        <w:rPr>
          <w:rFonts w:ascii="Times New Roman" w:hAnsi="Times New Roman"/>
          <w:color w:val="000000"/>
          <w:sz w:val="28"/>
          <w:szCs w:val="28"/>
        </w:rPr>
      </w:pPr>
      <w:r w:rsidRPr="00981822">
        <w:rPr>
          <w:rFonts w:ascii="Times New Roman" w:hAnsi="Times New Roman"/>
          <w:color w:val="000000"/>
          <w:sz w:val="28"/>
          <w:szCs w:val="28"/>
          <w:lang w:val="en-US" w:eastAsia="uk-UA"/>
        </w:rPr>
        <w:t>Lang EK, Macchia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RJ, Gayle</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Richter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Watson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RA, Thomas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R, et al. CT-Guided Biopsy of Indeterminate Renal Cystic Masses (Bosniak 3 and 2F): Accuracy and Impact on Clinical Management. </w:t>
      </w:r>
      <w:r w:rsidRPr="00981822">
        <w:rPr>
          <w:rFonts w:ascii="Times New Roman" w:hAnsi="Times New Roman"/>
          <w:iCs/>
          <w:color w:val="000000"/>
          <w:sz w:val="28"/>
          <w:szCs w:val="28"/>
          <w:lang w:val="en-US" w:eastAsia="uk-UA"/>
        </w:rPr>
        <w:t>Eur Radiol</w:t>
      </w:r>
      <w:r w:rsidRPr="00981822">
        <w:rPr>
          <w:rFonts w:ascii="Times New Roman" w:hAnsi="Times New Roman"/>
          <w:iCs/>
          <w:color w:val="000000"/>
          <w:sz w:val="28"/>
          <w:szCs w:val="28"/>
          <w:lang w:eastAsia="uk-UA"/>
        </w:rPr>
        <w:t xml:space="preserve">. 2002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 2518–24. doi:10.1007/s00330-001-1292-z.</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Lang EK, Thomas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Davis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Shore</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Ruiz-Deya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Macchia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Multiphasic Helical CT Criteria for Differentiation of Recurrent Neoplasm and Desmoplastic Reaction after Laparoscopic Resection of Renal Mass Lesions. </w:t>
      </w:r>
      <w:r w:rsidRPr="00981822">
        <w:rPr>
          <w:rFonts w:ascii="Times New Roman" w:hAnsi="Times New Roman"/>
          <w:iCs/>
          <w:color w:val="000000"/>
          <w:sz w:val="28"/>
          <w:szCs w:val="28"/>
          <w:lang w:val="en-US" w:eastAsia="uk-UA"/>
        </w:rPr>
        <w:t>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Endourol</w:t>
      </w:r>
      <w:r w:rsidRPr="00981822">
        <w:rPr>
          <w:rFonts w:ascii="Times New Roman" w:hAnsi="Times New Roman"/>
          <w:iCs/>
          <w:color w:val="000000"/>
          <w:sz w:val="28"/>
          <w:szCs w:val="28"/>
          <w:lang w:eastAsia="uk-UA"/>
        </w:rPr>
        <w:t xml:space="preserve">. 2004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2):167–71.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Style w:val="mixed-citation"/>
          <w:rFonts w:ascii="Times New Roman" w:hAnsi="Times New Roman"/>
          <w:color w:val="000000"/>
          <w:sz w:val="28"/>
          <w:szCs w:val="28"/>
          <w:lang w:val="en-US"/>
        </w:rPr>
        <w:t xml:space="preserve">Lassau N, Vilgrain V, Taieb S, Lacroix J, Aziza R, Cuinet M, et al. </w:t>
      </w:r>
      <w:r w:rsidRPr="00981822">
        <w:rPr>
          <w:rStyle w:val="ref-title"/>
          <w:rFonts w:ascii="Times New Roman" w:hAnsi="Times New Roman"/>
          <w:color w:val="000000"/>
          <w:sz w:val="28"/>
          <w:szCs w:val="28"/>
          <w:lang w:val="en-US"/>
        </w:rPr>
        <w:t>Evaluation with DCE-US of antiangiogenic treatments in 539 patients allowing the selection of one surrogate marker correlated to overall survival</w:t>
      </w:r>
      <w:r w:rsidRPr="00981822">
        <w:rPr>
          <w:rStyle w:val="mixed-citation"/>
          <w:rFonts w:ascii="Times New Roman" w:hAnsi="Times New Roman"/>
          <w:color w:val="000000"/>
          <w:sz w:val="28"/>
          <w:szCs w:val="28"/>
          <w:lang w:val="en-US"/>
        </w:rPr>
        <w:t>.</w:t>
      </w:r>
      <w:r w:rsidRPr="00981822">
        <w:rPr>
          <w:rStyle w:val="mixed-citation"/>
          <w:rFonts w:ascii="Times New Roman" w:hAnsi="Times New Roman"/>
          <w:color w:val="000000"/>
          <w:sz w:val="28"/>
          <w:szCs w:val="28"/>
        </w:rPr>
        <w:t xml:space="preserve"> </w:t>
      </w:r>
      <w:r w:rsidRPr="00981822">
        <w:rPr>
          <w:rStyle w:val="ref-journal"/>
          <w:rFonts w:ascii="Times New Roman" w:hAnsi="Times New Roman"/>
          <w:color w:val="000000"/>
          <w:sz w:val="28"/>
          <w:szCs w:val="28"/>
          <w:lang w:val="en-US"/>
        </w:rPr>
        <w:t>J Clin Oncol</w:t>
      </w:r>
      <w:r w:rsidRPr="00981822">
        <w:rPr>
          <w:rStyle w:val="mixed-citation"/>
          <w:rFonts w:ascii="Times New Roman" w:hAnsi="Times New Roman"/>
          <w:color w:val="000000"/>
          <w:sz w:val="28"/>
          <w:szCs w:val="28"/>
        </w:rPr>
        <w:t>. 2012;</w:t>
      </w:r>
      <w:r w:rsidRPr="00981822">
        <w:rPr>
          <w:rStyle w:val="ref-vol"/>
          <w:rFonts w:ascii="Times New Roman" w:hAnsi="Times New Roman"/>
          <w:color w:val="000000"/>
          <w:sz w:val="28"/>
          <w:szCs w:val="28"/>
          <w:lang w:val="en-US"/>
        </w:rPr>
        <w:t>30</w:t>
      </w:r>
      <w:r w:rsidRPr="00981822">
        <w:rPr>
          <w:rStyle w:val="mixed-citation"/>
          <w:rFonts w:ascii="Times New Roman" w:hAnsi="Times New Roman"/>
          <w:color w:val="000000"/>
          <w:sz w:val="28"/>
          <w:szCs w:val="28"/>
          <w:lang w:val="en-US"/>
        </w:rPr>
        <w:t>(</w:t>
      </w:r>
      <w:r w:rsidRPr="00981822">
        <w:rPr>
          <w:rStyle w:val="ref-iss"/>
          <w:rFonts w:ascii="Times New Roman" w:hAnsi="Times New Roman"/>
          <w:color w:val="000000"/>
          <w:sz w:val="28"/>
          <w:szCs w:val="28"/>
          <w:lang w:val="en-US"/>
        </w:rPr>
        <w:t>Suppl.</w:t>
      </w:r>
      <w:r w:rsidRPr="00981822">
        <w:rPr>
          <w:rStyle w:val="mixed-citation"/>
          <w:rFonts w:ascii="Times New Roman" w:hAnsi="Times New Roman"/>
          <w:color w:val="000000"/>
          <w:sz w:val="28"/>
          <w:szCs w:val="28"/>
          <w:lang w:val="en-US"/>
        </w:rPr>
        <w:t>):abstract 4618.</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Lassel EA, Rao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Schwenke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 Schoenberg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SO, Michaely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HJ. Diffusion-Weighted Imaging of Focal Renal Lesions: A Meta-Analysis. </w:t>
      </w:r>
      <w:r w:rsidRPr="00981822">
        <w:rPr>
          <w:rFonts w:ascii="Times New Roman" w:hAnsi="Times New Roman"/>
          <w:iCs/>
          <w:color w:val="000000"/>
          <w:sz w:val="28"/>
          <w:szCs w:val="28"/>
          <w:lang w:val="en-US" w:eastAsia="uk-UA"/>
        </w:rPr>
        <w:t>Eur Radiol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1):241–9. doi:10.1007/s00330-013-3004-x.</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shd w:val="clear" w:color="auto" w:fill="FFFFFF"/>
          <w:lang w:val="en-US"/>
        </w:rPr>
        <w:t>Lavdas</w:t>
      </w:r>
      <w:r w:rsidRPr="00981822">
        <w:rPr>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ED, Rockall</w:t>
      </w:r>
      <w:r w:rsidRPr="00981822">
        <w:rPr>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AG, Honeyfield</w:t>
      </w:r>
      <w:r w:rsidRPr="00981822">
        <w:rPr>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L, Kozlowski</w:t>
      </w:r>
      <w:r w:rsidRPr="00981822">
        <w:rPr>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K, Aboagye</w:t>
      </w:r>
      <w:r w:rsidRPr="00981822">
        <w:rPr>
          <w:rFonts w:ascii="Times New Roman" w:hAnsi="Times New Roman"/>
          <w:color w:val="000000"/>
          <w:sz w:val="28"/>
          <w:szCs w:val="28"/>
          <w:shd w:val="clear" w:color="auto" w:fill="FFFFFF"/>
        </w:rPr>
        <w:t xml:space="preserve"> Е</w:t>
      </w:r>
      <w:r w:rsidRPr="00981822">
        <w:rPr>
          <w:rFonts w:ascii="Times New Roman" w:hAnsi="Times New Roman"/>
          <w:color w:val="000000"/>
          <w:sz w:val="28"/>
          <w:szCs w:val="28"/>
          <w:shd w:val="clear" w:color="auto" w:fill="FFFFFF"/>
          <w:lang w:val="en-US"/>
        </w:rPr>
        <w:t>, Sharma</w:t>
      </w:r>
      <w:r w:rsidRPr="00981822">
        <w:rPr>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 xml:space="preserve">R. </w:t>
      </w:r>
      <w:r w:rsidRPr="00981822">
        <w:rPr>
          <w:rFonts w:ascii="Times New Roman" w:hAnsi="Times New Roman"/>
          <w:color w:val="000000"/>
          <w:sz w:val="28"/>
          <w:szCs w:val="28"/>
          <w:lang w:val="en-US" w:eastAsia="uk-UA"/>
        </w:rPr>
        <w:t>Histogram Analysis of ADC from Whole-Body DW-MRI (WB DW-MRI) to Predict Very Early Response to Chemotherapy in Patients with Metastatic Colorectal Cancer (MCRC): Preliminary Results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[Internet] European Congress of Radiology</w:t>
      </w:r>
      <w:r w:rsidRPr="00981822">
        <w:rPr>
          <w:rFonts w:ascii="Times New Roman" w:hAnsi="Times New Roman"/>
          <w:color w:val="000000"/>
          <w:sz w:val="28"/>
          <w:szCs w:val="28"/>
          <w:lang w:eastAsia="uk-UA"/>
        </w:rPr>
        <w:t xml:space="preserve">; 2017 </w:t>
      </w:r>
      <w:r w:rsidRPr="00981822">
        <w:rPr>
          <w:rFonts w:ascii="Times New Roman" w:hAnsi="Times New Roman"/>
          <w:color w:val="000000"/>
          <w:sz w:val="28"/>
          <w:szCs w:val="28"/>
          <w:lang w:val="en-US" w:eastAsia="uk-UA"/>
        </w:rPr>
        <w:t>[updated 2017 April 23, cited 2017 April 23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Available from: </w:t>
      </w:r>
      <w:r w:rsidRPr="00981822">
        <w:rPr>
          <w:rFonts w:ascii="Times New Roman" w:hAnsi="Times New Roman"/>
          <w:sz w:val="28"/>
          <w:szCs w:val="28"/>
          <w:lang w:val="en-US" w:eastAsia="uk-UA"/>
        </w:rPr>
        <w:t>https://goo.gl/FdkTSR</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pl-PL" w:eastAsia="uk-UA"/>
        </w:rPr>
        <w:t>Lee C, Park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J-W, Suh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JH, Nam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KH, Moon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 xml:space="preserve">KC. </w:t>
      </w:r>
      <w:r w:rsidRPr="00981822">
        <w:rPr>
          <w:rFonts w:ascii="Times New Roman" w:hAnsi="Times New Roman"/>
          <w:color w:val="000000"/>
          <w:sz w:val="28"/>
          <w:szCs w:val="28"/>
          <w:lang w:val="en-US" w:eastAsia="uk-UA"/>
        </w:rPr>
        <w:t xml:space="preserve">Histologic Variations and Immunohistochemical Features of Metastatic Clear Cell Renal Cell Carcinoma. </w:t>
      </w:r>
      <w:r w:rsidRPr="00981822">
        <w:rPr>
          <w:rFonts w:ascii="Times New Roman" w:hAnsi="Times New Roman"/>
          <w:iCs/>
          <w:color w:val="000000"/>
          <w:sz w:val="28"/>
          <w:szCs w:val="28"/>
          <w:lang w:val="en-US" w:eastAsia="uk-UA"/>
        </w:rPr>
        <w:t>Korean J Pathol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5):426–32. doi:10.4132/KoreanJPathol.2013.47.5.426.</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Leibovich BC, Lohse CM, Crispen PL, Boorjian SA, Thompson RH, Blute ML, et al. Histological subtype is an independent predictor of outcome for patients with renal cell carcinoma. J Urol. 2010 Apr;183(4):1309–15.</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lastRenderedPageBreak/>
        <w:t>Leveridge MJ, Finelli A, Kachura JR, Evans A, Chung H, Shiff DA, et al. Outcomes of small renal mass needle core biopsy, nondiagnostic percutaneous biopsy, and the role of repeat biopsy. Eur Urol. 2011;60(3):578–84.</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Li G, Feng G, Gentil-Perret A, Genin C, Tostain J. Serum carbonic anhydrase 9 level is associated with postoperative recurrence of conventional renal cell cancer. J Urol. 2008 Aug;180(2):510-513; discussion 513-514.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Liang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Monoexponential, Biexponential, and Stretched Exponential Diffusion-Weighted Imaging Models: Quantitative Biomarkers for Differentiating Renal Clear Cell Carcinoma and Minimal Fat Angiomyolipoma. </w:t>
      </w:r>
      <w:r w:rsidRPr="00981822">
        <w:rPr>
          <w:rFonts w:ascii="Times New Roman" w:hAnsi="Times New Roman"/>
          <w:iCs/>
          <w:color w:val="000000"/>
          <w:sz w:val="28"/>
          <w:szCs w:val="28"/>
          <w:lang w:val="en-US" w:eastAsia="uk-UA"/>
        </w:rPr>
        <w:t>J Magn Reson Imaging</w:t>
      </w:r>
      <w:r w:rsidRPr="00981822">
        <w:rPr>
          <w:rFonts w:ascii="Times New Roman" w:hAnsi="Times New Roman"/>
          <w:iCs/>
          <w:color w:val="000000"/>
          <w:sz w:val="28"/>
          <w:szCs w:val="28"/>
          <w:lang w:eastAsia="uk-UA"/>
        </w:rPr>
        <w:t xml:space="preserve">. </w:t>
      </w:r>
      <w:r w:rsidRPr="00981822">
        <w:rPr>
          <w:rFonts w:ascii="Times New Roman" w:hAnsi="Times New Roman"/>
          <w:sz w:val="28"/>
          <w:szCs w:val="28"/>
          <w:lang w:val="en-US"/>
        </w:rPr>
        <w:t>2017 Jul;46(1):240</w:t>
      </w:r>
      <w:r w:rsidRPr="00981822">
        <w:rPr>
          <w:rFonts w:ascii="Times New Roman" w:hAnsi="Times New Roman"/>
          <w:sz w:val="28"/>
          <w:szCs w:val="28"/>
        </w:rPr>
        <w:t>–</w:t>
      </w:r>
      <w:r w:rsidRPr="00981822">
        <w:rPr>
          <w:rFonts w:ascii="Times New Roman" w:hAnsi="Times New Roman"/>
          <w:sz w:val="28"/>
          <w:szCs w:val="28"/>
          <w:lang w:val="en-US"/>
        </w:rPr>
        <w:t>7</w:t>
      </w:r>
      <w:r w:rsidRPr="00981822">
        <w:rPr>
          <w:rFonts w:ascii="Times New Roman" w:hAnsi="Times New Roman"/>
          <w:color w:val="000000"/>
          <w:sz w:val="28"/>
          <w:szCs w:val="28"/>
          <w:lang w:val="en-US" w:eastAsia="uk-UA"/>
        </w:rPr>
        <w:t>.</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Li H, Zhao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 Huang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QY, Huang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JZ, Chi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LS,</w:t>
      </w:r>
      <w:r w:rsidRPr="00981822">
        <w:rPr>
          <w:rFonts w:ascii="Times New Roman" w:hAnsi="Times New Roman"/>
          <w:color w:val="000000"/>
          <w:sz w:val="28"/>
          <w:szCs w:val="28"/>
          <w:lang w:val="en-US"/>
        </w:rPr>
        <w:t xml:space="preserve"> et al.</w:t>
      </w:r>
      <w:r w:rsidRPr="00981822">
        <w:rPr>
          <w:rFonts w:ascii="Times New Roman" w:hAnsi="Times New Roman"/>
          <w:color w:val="000000"/>
          <w:sz w:val="28"/>
          <w:szCs w:val="28"/>
          <w:lang w:val="en-US" w:eastAsia="uk-UA"/>
        </w:rPr>
        <w:t xml:space="preserve"> MicroRNA-217, down-Regulated in Clear Cell Renal Cell Carcinoma and Associated with Lower Survival, Suppresses Cell Proliferation and Migration. </w:t>
      </w:r>
      <w:r w:rsidRPr="00981822">
        <w:rPr>
          <w:rFonts w:ascii="Times New Roman" w:hAnsi="Times New Roman"/>
          <w:iCs/>
          <w:color w:val="000000"/>
          <w:sz w:val="28"/>
          <w:szCs w:val="28"/>
          <w:lang w:val="en-US" w:eastAsia="uk-UA"/>
        </w:rPr>
        <w:t>Neoplasma</w:t>
      </w:r>
      <w:r w:rsidRPr="00981822">
        <w:rPr>
          <w:rFonts w:ascii="Times New Roman" w:hAnsi="Times New Roman"/>
          <w:iCs/>
          <w:color w:val="000000"/>
          <w:sz w:val="28"/>
          <w:szCs w:val="28"/>
          <w:lang w:eastAsia="uk-UA"/>
        </w:rPr>
        <w:t>. 2013;</w:t>
      </w:r>
      <w:r w:rsidRPr="00981822">
        <w:rPr>
          <w:rFonts w:ascii="Times New Roman" w:hAnsi="Times New Roman"/>
          <w:color w:val="000000"/>
          <w:sz w:val="28"/>
          <w:szCs w:val="28"/>
          <w:lang w:val="en-US" w:eastAsia="uk-UA"/>
        </w:rPr>
        <w:t>60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5):511–5. doi:10.4149/neo_2013_066.</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Li L,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LX, Xu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GL, Yang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Gao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QL, Niu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H, et al. Bio-Informatics Analysis of Renal Carcinoma Gene Matrix Metalloproteinase-7. </w:t>
      </w:r>
      <w:r w:rsidRPr="00981822">
        <w:rPr>
          <w:rFonts w:ascii="Times New Roman" w:hAnsi="Times New Roman"/>
          <w:iCs/>
          <w:color w:val="000000"/>
          <w:sz w:val="28"/>
          <w:szCs w:val="28"/>
          <w:lang w:val="en-US" w:eastAsia="uk-UA"/>
        </w:rPr>
        <w:t>Indian J Cancer</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1):13–8. doi:10.4103/0019-509X.180835.</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Li S, Chen</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Zhong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Zhao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X. microRNA-155 Silencing Inhibits Proliferation and Migration and Induces Apoptosis by Upregulating BACH1 in Renal Cancer Cells. </w:t>
      </w:r>
      <w:r w:rsidRPr="00981822">
        <w:rPr>
          <w:rFonts w:ascii="Times New Roman" w:hAnsi="Times New Roman"/>
          <w:iCs/>
          <w:color w:val="000000"/>
          <w:sz w:val="28"/>
          <w:szCs w:val="28"/>
          <w:lang w:val="en-US" w:eastAsia="uk-UA"/>
        </w:rPr>
        <w:t>Mol Med Rep</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 (2): 949–54. doi:10.3892/mmr.2012.779.</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Li XS, Yao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Gong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 Yu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He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 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LQ,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Growth Pattern of Renal Cell Carcinoma (RCC) in Patients with Delayed Surgical Intervention. </w:t>
      </w:r>
      <w:r w:rsidRPr="00981822">
        <w:rPr>
          <w:rFonts w:ascii="Times New Roman" w:hAnsi="Times New Roman"/>
          <w:iCs/>
          <w:color w:val="000000"/>
          <w:sz w:val="28"/>
          <w:szCs w:val="28"/>
          <w:lang w:val="en-US" w:eastAsia="uk-UA"/>
        </w:rPr>
        <w:t>J Cancer Res Clin Oncol</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138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2):269–74.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Li Y,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Jin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LU, 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Su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Z, et al. Oncogenic microRNA-142-3p Is Associated with Cellular Migration, Proliferation and Apoptosis in Renal Cell Carcinoma. </w:t>
      </w:r>
      <w:r w:rsidRPr="00981822">
        <w:rPr>
          <w:rFonts w:ascii="Times New Roman" w:hAnsi="Times New Roman"/>
          <w:iCs/>
          <w:color w:val="000000"/>
          <w:sz w:val="28"/>
          <w:szCs w:val="28"/>
          <w:lang w:val="en-US" w:eastAsia="uk-UA"/>
        </w:rPr>
        <w:t>Oncol Let</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2):1235–41.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Li Yi,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Su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Jin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L, et al. MicroRNA-106b Functions as an Oncogene in Renal Cell Carcinoma by Affecting Cell Proliferation, Migration and Apoptosis. </w:t>
      </w:r>
      <w:r w:rsidRPr="00981822">
        <w:rPr>
          <w:rFonts w:ascii="Times New Roman" w:hAnsi="Times New Roman"/>
          <w:iCs/>
          <w:color w:val="000000"/>
          <w:sz w:val="28"/>
          <w:szCs w:val="28"/>
          <w:lang w:val="en-US" w:eastAsia="uk-UA"/>
        </w:rPr>
        <w:t>Mol Med Rep</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2):1420–26.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Lian JH,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WH,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JQ,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YH,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Y. MicroRNA-122 Promotes Proliferation, Invasion and Migration of Renal Cell Carcinoma Cells through the PI3K/Akt Signaling Pathway. </w:t>
      </w:r>
      <w:r w:rsidRPr="00981822">
        <w:rPr>
          <w:rFonts w:ascii="Times New Roman" w:hAnsi="Times New Roman"/>
          <w:iCs/>
          <w:color w:val="000000"/>
          <w:sz w:val="28"/>
          <w:szCs w:val="28"/>
          <w:lang w:val="en-US" w:eastAsia="uk-UA"/>
        </w:rPr>
        <w:t>Asian Pac J Cancer Prev</w:t>
      </w:r>
      <w:r w:rsidRPr="00981822">
        <w:rPr>
          <w:rFonts w:ascii="Times New Roman" w:hAnsi="Times New Roman"/>
          <w:iCs/>
          <w:color w:val="000000"/>
          <w:sz w:val="28"/>
          <w:szCs w:val="28"/>
          <w:lang w:eastAsia="uk-UA"/>
        </w:rPr>
        <w:t>. 2013;</w:t>
      </w:r>
      <w:r w:rsidRPr="00981822">
        <w:rPr>
          <w:rFonts w:ascii="Times New Roman" w:hAnsi="Times New Roman"/>
          <w:color w:val="000000"/>
          <w:sz w:val="28"/>
          <w:szCs w:val="28"/>
          <w:lang w:val="en-US" w:eastAsia="uk-UA"/>
        </w:rPr>
        <w:t>14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9):5017–21.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Liang J,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Jiang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Xiang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MiR-138 Induces Renal Carcinoma Cell Senescence by Targeting EZH2 and Is Downregulated in Human Clear Cell Renal Cell Carcinoma. </w:t>
      </w:r>
      <w:r w:rsidRPr="00981822">
        <w:rPr>
          <w:rFonts w:ascii="Times New Roman" w:hAnsi="Times New Roman"/>
          <w:iCs/>
          <w:color w:val="000000"/>
          <w:sz w:val="28"/>
          <w:szCs w:val="28"/>
          <w:lang w:val="en-US" w:eastAsia="uk-UA"/>
        </w:rPr>
        <w:t>Oncol Res Feat Preclin Clin Cancer Ther</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Jan 10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2):83–91.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Lichner Z, Mejia-Guerrero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Ignacak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 Krizova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 Bao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TT, Girgis</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HF, et al. Pleiotropic Action of Renal Cell Carcinoma-Dysregulated miRNAs on Hypoxia-Related Signaling Pathways.</w:t>
      </w:r>
      <w:r w:rsidRPr="00981822">
        <w:rPr>
          <w:rFonts w:ascii="Times New Roman" w:hAnsi="Times New Roman"/>
          <w:iCs/>
          <w:color w:val="000000"/>
          <w:sz w:val="28"/>
          <w:szCs w:val="28"/>
          <w:lang w:val="en-US" w:eastAsia="uk-UA"/>
        </w:rPr>
        <w:t xml:space="preserve"> Am J Pathol</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180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4):1675–87. doi:10.1016/j.ajpath.2011.12.030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Lim HK, Lee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JH, Baek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HJ, Kim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Lee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 Park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 et al. Is Diffusion-Weighted MRI Useful for Differentiation of Small Non-Necrotic Cervical Lymph Nodes in Patients with Head and Neck Malignancies?</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w:t>
      </w:r>
      <w:r w:rsidRPr="00981822">
        <w:rPr>
          <w:rFonts w:ascii="Times New Roman" w:hAnsi="Times New Roman"/>
          <w:iCs/>
          <w:color w:val="000000"/>
          <w:sz w:val="28"/>
          <w:szCs w:val="28"/>
          <w:lang w:val="en-US" w:eastAsia="uk-UA"/>
        </w:rPr>
        <w:t>Korean J Radiol</w:t>
      </w:r>
      <w:r w:rsidRPr="00981822">
        <w:rPr>
          <w:rFonts w:ascii="Times New Roman" w:hAnsi="Times New Roman"/>
          <w:iCs/>
          <w:color w:val="000000"/>
          <w:sz w:val="28"/>
          <w:szCs w:val="28"/>
          <w:lang w:eastAsia="uk-UA"/>
        </w:rPr>
        <w:t>. 2014;</w:t>
      </w:r>
      <w:r w:rsidRPr="00981822">
        <w:rPr>
          <w:rFonts w:ascii="Times New Roman" w:hAnsi="Times New Roman"/>
          <w:color w:val="000000"/>
          <w:sz w:val="28"/>
          <w:szCs w:val="28"/>
          <w:lang w:val="en-US" w:eastAsia="uk-UA"/>
        </w:rPr>
        <w:t>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6):810–6. </w:t>
      </w:r>
      <w:r w:rsidRPr="00981822">
        <w:rPr>
          <w:rFonts w:ascii="Times New Roman" w:hAnsi="Times New Roman"/>
          <w:sz w:val="28"/>
          <w:szCs w:val="28"/>
          <w:lang w:val="en-US" w:eastAsia="uk-UA"/>
        </w:rPr>
        <w:t>https://doi.org/10.3348/kjr.2014.15.6.810</w:t>
      </w:r>
      <w:r w:rsidRPr="00981822">
        <w:rPr>
          <w:rFonts w:ascii="Times New Roman" w:hAnsi="Times New Roman"/>
          <w:color w:val="000000"/>
          <w:sz w:val="28"/>
          <w:szCs w:val="28"/>
          <w:lang w:val="en-US" w:eastAsia="uk-UA"/>
        </w:rPr>
        <w:t>.</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Lin SY, Linehan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JA, Wilson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TG, Hoon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DSB. Emerging Utility of Urinary Cell-Free Nucleic Acid Biomarkers for Prostate, Bladder, and Renal Cancers. </w:t>
      </w:r>
      <w:r w:rsidRPr="00981822">
        <w:rPr>
          <w:rFonts w:ascii="Times New Roman" w:hAnsi="Times New Roman"/>
          <w:iCs/>
          <w:color w:val="000000"/>
          <w:sz w:val="28"/>
          <w:szCs w:val="28"/>
          <w:lang w:val="en-US" w:eastAsia="uk-UA"/>
        </w:rPr>
        <w:t>Eur Urol Focus</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3):265–72. </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Linehan WM, Ricketts CJ. The metabolic basis of kidney cancer. Semin Cancer Biol 2013</w:t>
      </w:r>
      <w:r w:rsidRPr="00981822">
        <w:t xml:space="preserve"> </w:t>
      </w:r>
      <w:r w:rsidRPr="00981822">
        <w:rPr>
          <w:rFonts w:ascii="Times New Roman" w:hAnsi="Times New Roman"/>
          <w:sz w:val="28"/>
          <w:szCs w:val="28"/>
        </w:rPr>
        <w:t>Feb</w:t>
      </w:r>
      <w:r w:rsidRPr="00981822">
        <w:rPr>
          <w:rFonts w:ascii="Times New Roman" w:hAnsi="Times New Roman"/>
          <w:color w:val="000000"/>
          <w:sz w:val="28"/>
          <w:szCs w:val="28"/>
          <w:lang w:val="en-US"/>
        </w:rPr>
        <w:t>;23</w:t>
      </w:r>
      <w:r w:rsidRPr="00981822">
        <w:rPr>
          <w:rFonts w:ascii="Times New Roman" w:hAnsi="Times New Roman"/>
          <w:color w:val="000000"/>
          <w:sz w:val="28"/>
          <w:szCs w:val="28"/>
        </w:rPr>
        <w:t>(1)</w:t>
      </w:r>
      <w:r w:rsidRPr="00981822">
        <w:rPr>
          <w:rFonts w:ascii="Times New Roman" w:hAnsi="Times New Roman"/>
          <w:color w:val="000000"/>
          <w:sz w:val="28"/>
          <w:szCs w:val="28"/>
          <w:lang w:val="en-US"/>
        </w:rPr>
        <w:t>:46–55.</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Link RE, Bhayani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SB, Allaf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ME, Varkarakis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 Inagaki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 Rogers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 et al. Exploring the Learning Curve, Pathological Outcomes and Perioperative Morbidity of Laparoscopic Partial Nephrectomy Performed for Renal Mass.</w:t>
      </w:r>
      <w:r w:rsidRPr="00981822">
        <w:rPr>
          <w:rFonts w:ascii="Times New Roman" w:hAnsi="Times New Roman"/>
          <w:iCs/>
          <w:color w:val="000000"/>
          <w:sz w:val="28"/>
          <w:szCs w:val="28"/>
          <w:lang w:val="en-US" w:eastAsia="uk-UA"/>
        </w:rPr>
        <w:t xml:space="preserve"> J Urol</w:t>
      </w:r>
      <w:r w:rsidRPr="00981822">
        <w:rPr>
          <w:rFonts w:ascii="Times New Roman" w:hAnsi="Times New Roman"/>
          <w:iCs/>
          <w:color w:val="000000"/>
          <w:sz w:val="28"/>
          <w:szCs w:val="28"/>
          <w:lang w:eastAsia="uk-UA"/>
        </w:rPr>
        <w:t xml:space="preserve">. 2005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173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5):1690–4.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Liu W, Zabirnyk</w:t>
      </w:r>
      <w:r w:rsidRPr="00981822">
        <w:rPr>
          <w:rFonts w:ascii="Times New Roman" w:hAnsi="Times New Roman"/>
          <w:color w:val="000000"/>
          <w:sz w:val="28"/>
          <w:szCs w:val="28"/>
          <w:lang w:eastAsia="uk-UA"/>
        </w:rPr>
        <w:t xml:space="preserve"> О</w:t>
      </w:r>
      <w:r w:rsidRPr="00981822">
        <w:rPr>
          <w:rFonts w:ascii="Times New Roman" w:hAnsi="Times New Roman"/>
          <w:color w:val="000000"/>
          <w:sz w:val="28"/>
          <w:szCs w:val="28"/>
          <w:lang w:val="en-US" w:eastAsia="uk-UA"/>
        </w:rPr>
        <w:t>, Wang</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Shiao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YH, Nickerson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ML, Khalil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 et al. miR-23b Targets Proline Oxidase, a Novel Tumor Suppressor Protein in Renal Cancer. </w:t>
      </w:r>
      <w:r w:rsidRPr="00981822">
        <w:rPr>
          <w:rFonts w:ascii="Times New Roman" w:hAnsi="Times New Roman"/>
          <w:iCs/>
          <w:color w:val="000000"/>
          <w:sz w:val="28"/>
          <w:szCs w:val="28"/>
          <w:lang w:val="en-US" w:eastAsia="uk-UA"/>
        </w:rPr>
        <w:t>Oncogene</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Sep 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35):4914–24.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lastRenderedPageBreak/>
        <w:t>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Zou</w:t>
      </w:r>
      <w:r w:rsidRPr="00981822">
        <w:rPr>
          <w:rFonts w:ascii="Times New Roman" w:hAnsi="Times New Roman"/>
          <w:color w:val="000000"/>
          <w:sz w:val="28"/>
          <w:szCs w:val="28"/>
          <w:lang w:eastAsia="uk-UA"/>
        </w:rPr>
        <w:t xml:space="preserve"> Х, </w:t>
      </w:r>
      <w:r w:rsidRPr="00981822">
        <w:rPr>
          <w:rFonts w:ascii="Times New Roman" w:hAnsi="Times New Roman"/>
          <w:color w:val="000000"/>
          <w:sz w:val="28"/>
          <w:szCs w:val="28"/>
          <w:lang w:val="en-US" w:eastAsia="uk-UA"/>
        </w:rPr>
        <w:t>Chen</w:t>
      </w:r>
      <w:r w:rsidRPr="00981822">
        <w:rPr>
          <w:rFonts w:ascii="Times New Roman" w:hAnsi="Times New Roman"/>
          <w:color w:val="000000"/>
          <w:sz w:val="28"/>
          <w:szCs w:val="28"/>
          <w:lang w:eastAsia="uk-UA"/>
        </w:rPr>
        <w:t xml:space="preserve"> Н, </w:t>
      </w:r>
      <w:r w:rsidRPr="00981822">
        <w:rPr>
          <w:rFonts w:ascii="Times New Roman" w:hAnsi="Times New Roman"/>
          <w:color w:val="000000"/>
          <w:sz w:val="28"/>
          <w:szCs w:val="28"/>
          <w:lang w:val="en-US" w:eastAsia="uk-UA"/>
        </w:rPr>
        <w:t>Fang</w:t>
      </w:r>
      <w:r w:rsidRPr="00981822">
        <w:rPr>
          <w:rFonts w:ascii="Times New Roman" w:hAnsi="Times New Roman"/>
          <w:color w:val="000000"/>
          <w:sz w:val="28"/>
          <w:szCs w:val="28"/>
          <w:lang w:eastAsia="uk-UA"/>
        </w:rPr>
        <w:t xml:space="preserve"> Х, </w:t>
      </w:r>
      <w:r w:rsidRPr="00981822">
        <w:rPr>
          <w:rFonts w:ascii="Times New Roman" w:hAnsi="Times New Roman"/>
          <w:color w:val="000000"/>
          <w:sz w:val="28"/>
          <w:szCs w:val="28"/>
          <w:lang w:val="en-US" w:eastAsia="uk-UA"/>
        </w:rPr>
        <w:t>Hu</w:t>
      </w:r>
      <w:r w:rsidRPr="00981822">
        <w:rPr>
          <w:rFonts w:ascii="Times New Roman" w:hAnsi="Times New Roman"/>
          <w:color w:val="000000"/>
          <w:sz w:val="28"/>
          <w:szCs w:val="28"/>
          <w:lang w:eastAsia="uk-UA"/>
        </w:rPr>
        <w:t xml:space="preserve"> Х, </w:t>
      </w:r>
      <w:r w:rsidRPr="00981822">
        <w:rPr>
          <w:rFonts w:ascii="Times New Roman" w:hAnsi="Times New Roman"/>
          <w:color w:val="000000"/>
          <w:sz w:val="28"/>
          <w:szCs w:val="28"/>
          <w:lang w:val="en-US" w:eastAsia="uk-UA"/>
        </w:rPr>
        <w:t>Sun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Diagnostic</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value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mult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detector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for papillary renal cell carcinoma and chromophobe renal cell carcinoma. </w:t>
      </w:r>
      <w:r w:rsidRPr="00981822">
        <w:rPr>
          <w:rFonts w:ascii="Times New Roman" w:hAnsi="Times New Roman"/>
          <w:iCs/>
          <w:color w:val="000000"/>
          <w:sz w:val="28"/>
          <w:szCs w:val="28"/>
          <w:lang w:val="en-US" w:eastAsia="uk-UA"/>
        </w:rPr>
        <w:t>Chinese J Oncol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Jan</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37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:52–6.</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Liu Z, Lu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Xiao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Lu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Upregulation of miR-21 Expression Is a Valuable Predicator of Advanced Clinicopathological Features and Poor Prognosis in Patients with Renal Cell Carcinoma through the p53/p21</w:t>
      </w:r>
      <w:r w:rsidRPr="00981822">
        <w:rPr>
          <w:rFonts w:ascii="Times New Roman" w:hAnsi="Times New Roman"/>
          <w:color w:val="000000"/>
          <w:sz w:val="28"/>
          <w:szCs w:val="28"/>
          <w:lang w:val="en-US" w:eastAsia="uk-UA"/>
        </w:rPr>
        <w:noBreakHyphen/>
        <w:t>cyclin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E2</w:t>
      </w:r>
      <w:r w:rsidRPr="00981822">
        <w:rPr>
          <w:rFonts w:ascii="Times New Roman" w:hAnsi="Times New Roman"/>
          <w:color w:val="000000"/>
          <w:sz w:val="28"/>
          <w:szCs w:val="28"/>
          <w:lang w:val="en-US" w:eastAsia="uk-UA"/>
        </w:rPr>
        <w:noBreakHyphen/>
        <w:t xml:space="preserve">Bax/Caspase-3 Signaling Pathway. </w:t>
      </w:r>
      <w:r w:rsidRPr="00981822">
        <w:rPr>
          <w:rFonts w:ascii="Times New Roman" w:hAnsi="Times New Roman"/>
          <w:iCs/>
          <w:color w:val="000000"/>
          <w:sz w:val="28"/>
          <w:szCs w:val="28"/>
          <w:lang w:val="en-US" w:eastAsia="uk-UA"/>
        </w:rPr>
        <w:t>Oncol Rep</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3):1437–44. doi:10.3892/or.2017.5402.</w:t>
      </w:r>
    </w:p>
    <w:p w:rsidR="0061473E" w:rsidRPr="00981822" w:rsidRDefault="0061473E" w:rsidP="00DE6E24">
      <w:pPr>
        <w:pStyle w:val="ListParagraph"/>
        <w:numPr>
          <w:ilvl w:val="0"/>
          <w:numId w:val="9"/>
        </w:numPr>
        <w:spacing w:after="0" w:line="360" w:lineRule="auto"/>
        <w:jc w:val="both"/>
        <w:rPr>
          <w:rFonts w:ascii="Times New Roman" w:hAnsi="Times New Roman"/>
          <w:sz w:val="28"/>
          <w:szCs w:val="28"/>
          <w:lang w:val="en-US" w:eastAsia="uk-UA"/>
        </w:rPr>
      </w:pPr>
      <w:r w:rsidRPr="00981822">
        <w:rPr>
          <w:rFonts w:ascii="Times New Roman" w:hAnsi="Times New Roman"/>
          <w:color w:val="000000"/>
          <w:sz w:val="28"/>
          <w:szCs w:val="28"/>
          <w:lang w:eastAsia="uk-UA"/>
        </w:rPr>
        <w:t>Ljungberg B, Albiges L, Bensalah K, Bex A, Giles RH, Hora M, et al.</w:t>
      </w:r>
      <w:r w:rsidRPr="00981822">
        <w:rPr>
          <w:rFonts w:ascii="Times New Roman" w:hAnsi="Times New Roman"/>
          <w:color w:val="000000"/>
          <w:sz w:val="28"/>
          <w:szCs w:val="28"/>
          <w:lang w:val="en-US" w:eastAsia="uk-UA"/>
        </w:rPr>
        <w:t xml:space="preserve"> EAU Guidelines on Renal Cell Carcinoma 2017. Arnhem: European Association of Urology; 2017. p.1-66.</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Lu Q, Huang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BJ, Xue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LY, Fan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PL,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w:t>
      </w:r>
      <w:r w:rsidRPr="00981822">
        <w:rPr>
          <w:rFonts w:ascii="Times New Roman" w:hAnsi="Times New Roman"/>
          <w:color w:val="000000"/>
          <w:sz w:val="28"/>
          <w:szCs w:val="28"/>
          <w:lang w:eastAsia="uk-UA"/>
        </w:rPr>
        <w:t>Р</w:t>
      </w:r>
      <w:r w:rsidRPr="00981822">
        <w:rPr>
          <w:rFonts w:ascii="Times New Roman" w:hAnsi="Times New Roman"/>
          <w:color w:val="000000"/>
          <w:sz w:val="28"/>
          <w:szCs w:val="28"/>
          <w:lang w:val="en-US" w:eastAsia="uk-UA"/>
        </w:rPr>
        <w:t>. Differentiation of Renal Tumor Histotypes: Usefulness of Quantitative Analysis of Contrast-Enhanced Ultrasound.</w:t>
      </w:r>
      <w:r w:rsidRPr="00981822">
        <w:rPr>
          <w:rFonts w:ascii="Times New Roman" w:hAnsi="Times New Roman"/>
          <w:iCs/>
          <w:color w:val="000000"/>
          <w:sz w:val="28"/>
          <w:szCs w:val="28"/>
          <w:lang w:val="en-US" w:eastAsia="uk-UA"/>
        </w:rPr>
        <w:t xml:space="preserve"> AJR Am J Roentgenol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Sep</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3):W335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42. doi:10.2214/AJR.14.14204.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Lu R, Ji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 Zhai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 Zhao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 Jiang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miR-145 Functions as Tumor Suppressor and Targets Two Oncogenes, ANGPT2 and NEDD9, in Renal Cell Carcinoma. </w:t>
      </w:r>
      <w:r w:rsidRPr="00981822">
        <w:rPr>
          <w:rFonts w:ascii="Times New Roman" w:hAnsi="Times New Roman"/>
          <w:iCs/>
          <w:color w:val="000000"/>
          <w:sz w:val="28"/>
          <w:szCs w:val="28"/>
          <w:lang w:val="en-US" w:eastAsia="uk-UA"/>
        </w:rPr>
        <w:t>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Cancer Res Clin Oncol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Mar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140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3):387–97. doi:10.1007/s00432-013-1577-z.</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Lubensky IA, Schmidt L, Zhuang Z, Weirich G, Pack S, Zambrano N, et al. Hereditary and sporadic papillary renal carcinomas with c-met mutations share a distinct morphological phenotype. Am J Pathol. 1999;155(2):517–26.</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Lv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Huang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Mao</w:t>
      </w:r>
      <w:r w:rsidRPr="00981822">
        <w:rPr>
          <w:rFonts w:ascii="Times New Roman" w:hAnsi="Times New Roman"/>
          <w:color w:val="000000"/>
          <w:sz w:val="28"/>
          <w:szCs w:val="28"/>
          <w:lang w:eastAsia="uk-UA"/>
        </w:rPr>
        <w:t xml:space="preserve"> Н, </w:t>
      </w:r>
      <w:r w:rsidRPr="00981822">
        <w:rPr>
          <w:rFonts w:ascii="Times New Roman" w:hAnsi="Times New Roman"/>
          <w:color w:val="000000"/>
          <w:sz w:val="28"/>
          <w:szCs w:val="28"/>
          <w:lang w:val="en-US" w:eastAsia="uk-UA"/>
        </w:rPr>
        <w:t>Li</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Li</w:t>
      </w:r>
      <w:r w:rsidRPr="00981822">
        <w:rPr>
          <w:rFonts w:ascii="Times New Roman" w:hAnsi="Times New Roman"/>
          <w:color w:val="000000"/>
          <w:sz w:val="28"/>
          <w:szCs w:val="28"/>
          <w:lang w:eastAsia="uk-UA"/>
        </w:rPr>
        <w:t xml:space="preserve"> Х, </w:t>
      </w:r>
      <w:r w:rsidRPr="00981822">
        <w:rPr>
          <w:rFonts w:ascii="Times New Roman" w:hAnsi="Times New Roman"/>
          <w:color w:val="000000"/>
          <w:sz w:val="28"/>
          <w:szCs w:val="28"/>
          <w:lang w:val="en-US" w:eastAsia="uk-UA"/>
        </w:rPr>
        <w:t>Yang</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MicroRNA-21 Is Overexpressed in Renal Cell Carcinoma.</w:t>
      </w:r>
      <w:r w:rsidRPr="00981822">
        <w:rPr>
          <w:rFonts w:ascii="Times New Roman" w:hAnsi="Times New Roman"/>
          <w:iCs/>
          <w:color w:val="000000"/>
          <w:sz w:val="28"/>
          <w:szCs w:val="28"/>
          <w:lang w:val="en-US" w:eastAsia="uk-UA"/>
        </w:rPr>
        <w:t xml:space="preserve"> Int J Biol Mark</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Jun 28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:201–7. doi:10.5301/JBM.2013.10831.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Ma C, Lu</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Sun</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xml:space="preserve">. Clinicopathological and Prognostic Significance of Survivin Expression in Renal Cancer Patients: A Meta-Analysis. </w:t>
      </w:r>
      <w:r w:rsidRPr="00981822">
        <w:rPr>
          <w:rFonts w:ascii="Times New Roman" w:hAnsi="Times New Roman"/>
          <w:iCs/>
          <w:color w:val="000000"/>
          <w:sz w:val="28"/>
          <w:szCs w:val="28"/>
          <w:lang w:val="en-US" w:eastAsia="uk-UA"/>
        </w:rPr>
        <w:t>Postgraduate Med J</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1098):186–92.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lastRenderedPageBreak/>
        <w:t>Ma Q, Peng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Wang</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Zheng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miR-19a Correlates with Poor Prognosis of Clear Cell Renal Cell Carcinoma Patients via Promoting Cell Proliferation and Suppressing PTEN/SMAD4 Expression. </w:t>
      </w:r>
      <w:r w:rsidRPr="00981822">
        <w:rPr>
          <w:rFonts w:ascii="Times New Roman" w:hAnsi="Times New Roman"/>
          <w:iCs/>
          <w:color w:val="000000"/>
          <w:sz w:val="28"/>
          <w:szCs w:val="28"/>
          <w:lang w:val="en-US" w:eastAsia="uk-UA"/>
        </w:rPr>
        <w:t>Int J Oncol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6):2589–99.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Machackova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Mlcochova</w:t>
      </w:r>
      <w:r w:rsidRPr="00981822">
        <w:rPr>
          <w:rFonts w:ascii="Times New Roman" w:hAnsi="Times New Roman"/>
          <w:color w:val="000000"/>
          <w:sz w:val="28"/>
          <w:szCs w:val="28"/>
          <w:lang w:eastAsia="uk-UA"/>
        </w:rPr>
        <w:t xml:space="preserve"> Н, </w:t>
      </w:r>
      <w:r w:rsidRPr="00981822">
        <w:rPr>
          <w:rFonts w:ascii="Times New Roman" w:hAnsi="Times New Roman"/>
          <w:color w:val="000000"/>
          <w:sz w:val="28"/>
          <w:szCs w:val="28"/>
          <w:lang w:val="en-US" w:eastAsia="uk-UA"/>
        </w:rPr>
        <w:t>Stanik</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Dolezel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Fedorko</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Pacik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MiR-429 Is Linked to Metastasis and Poor Prognosis in Renal Cell Carcinoma by Affecting Epithelial-Mesenchymal Transition. </w:t>
      </w:r>
      <w:r w:rsidRPr="00981822">
        <w:rPr>
          <w:rFonts w:ascii="Times New Roman" w:hAnsi="Times New Roman"/>
          <w:iCs/>
          <w:color w:val="000000"/>
          <w:sz w:val="28"/>
          <w:szCs w:val="28"/>
          <w:lang w:val="en-US" w:eastAsia="uk-UA"/>
        </w:rPr>
        <w:t>Tumour Biol</w:t>
      </w:r>
      <w:r w:rsidRPr="00981822">
        <w:rPr>
          <w:rFonts w:ascii="Times New Roman" w:hAnsi="Times New Roman"/>
          <w:iCs/>
          <w:color w:val="000000"/>
          <w:sz w:val="28"/>
          <w:szCs w:val="28"/>
          <w:lang w:eastAsia="uk-UA"/>
        </w:rPr>
        <w:t>.</w:t>
      </w:r>
      <w:r w:rsidRPr="00981822">
        <w:rPr>
          <w:rFonts w:ascii="Times New Roman" w:hAnsi="Times New Roman"/>
          <w:iCs/>
          <w:color w:val="000000"/>
          <w:sz w:val="28"/>
          <w:szCs w:val="28"/>
          <w:lang w:val="en-US" w:eastAsia="uk-UA"/>
        </w:rPr>
        <w:t xml:space="preserve"> </w:t>
      </w:r>
      <w:r w:rsidRPr="00981822">
        <w:rPr>
          <w:rFonts w:ascii="Times New Roman" w:hAnsi="Times New Roman"/>
          <w:iCs/>
          <w:color w:val="000000"/>
          <w:sz w:val="28"/>
          <w:szCs w:val="28"/>
          <w:lang w:eastAsia="uk-UA"/>
        </w:rPr>
        <w:t xml:space="preserve">2016 </w:t>
      </w:r>
      <w:r w:rsidRPr="00981822">
        <w:rPr>
          <w:rFonts w:ascii="Times New Roman" w:hAnsi="Times New Roman"/>
          <w:color w:val="000000"/>
          <w:sz w:val="28"/>
          <w:szCs w:val="28"/>
          <w:lang w:val="en-US" w:eastAsia="uk-UA"/>
        </w:rPr>
        <w:t>Nov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11):14653–8. doi:10.1007/s13277-016-5310-9.</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Madbouly</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K</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Al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Qahtani</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SM</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Ghazwani</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Y</w:t>
      </w:r>
      <w:r w:rsidRPr="00981822">
        <w:rPr>
          <w:rFonts w:ascii="Times New Roman" w:hAnsi="Times New Roman"/>
          <w:color w:val="000000"/>
          <w:sz w:val="28"/>
          <w:szCs w:val="28"/>
        </w:rPr>
        <w: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rPr>
        <w:t>Al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Shaibani</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S</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Mansi</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MK</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Microvascular tumor invasion:</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prognostic significance in low-stage renal cell</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carcinoma. Urology. 2007</w:t>
      </w:r>
      <w:r w:rsidRPr="00981822">
        <w:t xml:space="preserve"> </w:t>
      </w:r>
      <w:r w:rsidRPr="00981822">
        <w:rPr>
          <w:rFonts w:ascii="Times New Roman" w:hAnsi="Times New Roman"/>
          <w:sz w:val="28"/>
          <w:szCs w:val="28"/>
        </w:rPr>
        <w:t>Apr;69(4)</w:t>
      </w:r>
      <w:r w:rsidRPr="00981822">
        <w:rPr>
          <w:rFonts w:ascii="Times New Roman" w:hAnsi="Times New Roman"/>
          <w:color w:val="000000"/>
          <w:sz w:val="28"/>
          <w:szCs w:val="28"/>
          <w:lang w:val="en-US"/>
        </w:rPr>
        <w:t>:670–4.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Mains JR, Donskov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Pedersen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EM, Madsen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HHT, Rasmussen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F. Dynamic Contrast-Enhanced Computed Tomography as a Potential Biomarker in Patients with Metastatic Renal Cell Carcinoma: Preliminary Results from the Danish Renal Cancer Group Study-1. </w:t>
      </w:r>
      <w:r w:rsidRPr="00981822">
        <w:rPr>
          <w:rFonts w:ascii="Times New Roman" w:hAnsi="Times New Roman"/>
          <w:iCs/>
          <w:color w:val="000000"/>
          <w:sz w:val="28"/>
          <w:szCs w:val="28"/>
          <w:lang w:val="en-US" w:eastAsia="uk-UA"/>
        </w:rPr>
        <w:t>Inv Radiol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Sep</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9):601–7. doi:10.1097/RLI.0000000000000058.</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Majid S, Saini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Dar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AA, Hirata</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Shahryari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 Tanaka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Y, et al. MicroRNA-205 Inhibits Src-Mediated Oncogenic Pathways in Renal Cancer. </w:t>
      </w:r>
      <w:r w:rsidRPr="00981822">
        <w:rPr>
          <w:rFonts w:ascii="Times New Roman" w:hAnsi="Times New Roman"/>
          <w:iCs/>
          <w:color w:val="000000"/>
          <w:sz w:val="28"/>
          <w:szCs w:val="28"/>
          <w:lang w:val="en-US" w:eastAsia="uk-UA"/>
        </w:rPr>
        <w:t>Cancer Res</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Apr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7):2611–21.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Marconi L, Dabestani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Lam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TB, Hofmann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Stewart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Norrie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J, et al. Systematic Review and Meta-Analysis of Diagnostic Accuracy of Percutaneous Renal Tumour Biopsy. </w:t>
      </w:r>
      <w:r w:rsidRPr="00981822">
        <w:rPr>
          <w:rFonts w:ascii="Times New Roman" w:hAnsi="Times New Roman"/>
          <w:iCs/>
          <w:color w:val="000000"/>
          <w:sz w:val="28"/>
          <w:szCs w:val="28"/>
          <w:lang w:val="en-US" w:eastAsia="uk-UA"/>
        </w:rPr>
        <w:t>Eur Urol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4):660–73.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Marple JT, MacDougall M, Chonko AM. Renal cancer complicating acquired cystic kidney disease. J Am Soc Nephrol. 1994</w:t>
      </w:r>
      <w:r w:rsidRPr="00981822">
        <w:t xml:space="preserve"> </w:t>
      </w:r>
      <w:r w:rsidRPr="00981822">
        <w:rPr>
          <w:rFonts w:ascii="Times New Roman" w:hAnsi="Times New Roman"/>
          <w:sz w:val="28"/>
          <w:szCs w:val="28"/>
        </w:rPr>
        <w:t>Jun;</w:t>
      </w:r>
      <w:r w:rsidRPr="00981822">
        <w:rPr>
          <w:rStyle w:val="highlight"/>
          <w:rFonts w:ascii="Times New Roman" w:hAnsi="Times New Roman"/>
          <w:sz w:val="28"/>
          <w:szCs w:val="28"/>
        </w:rPr>
        <w:t>4</w:t>
      </w:r>
      <w:r w:rsidRPr="00981822">
        <w:rPr>
          <w:rFonts w:ascii="Times New Roman" w:hAnsi="Times New Roman"/>
          <w:sz w:val="28"/>
          <w:szCs w:val="28"/>
        </w:rPr>
        <w:t>(12)</w:t>
      </w:r>
      <w:r w:rsidRPr="00981822">
        <w:rPr>
          <w:rFonts w:ascii="Times New Roman" w:hAnsi="Times New Roman"/>
          <w:color w:val="000000"/>
          <w:sz w:val="28"/>
          <w:szCs w:val="28"/>
          <w:lang w:val="en-US"/>
        </w:rPr>
        <w:t>:1951–6.</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Mathews JD, Forsythe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AV, Brady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Butler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MW, Goergen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SK, Byrnes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GB, et al. Cancer Risk in 680,000 People Exposed to Computed Tomography Scans in Childhood or Adolescence: Data Linkage Study of 11 Million Australians.</w:t>
      </w:r>
      <w:r w:rsidRPr="00981822">
        <w:rPr>
          <w:rFonts w:ascii="Times New Roman" w:hAnsi="Times New Roman"/>
          <w:color w:val="000000"/>
          <w:sz w:val="28"/>
          <w:szCs w:val="28"/>
          <w:lang w:eastAsia="uk-UA"/>
        </w:rPr>
        <w:t xml:space="preserve"> </w:t>
      </w:r>
      <w:r w:rsidRPr="00981822">
        <w:rPr>
          <w:rFonts w:ascii="Times New Roman" w:hAnsi="Times New Roman"/>
          <w:iCs/>
          <w:color w:val="000000"/>
          <w:sz w:val="28"/>
          <w:szCs w:val="28"/>
          <w:lang w:val="en-US" w:eastAsia="uk-UA"/>
        </w:rPr>
        <w:t>BMJ</w:t>
      </w:r>
      <w:r w:rsidRPr="00981822">
        <w:rPr>
          <w:rFonts w:ascii="Times New Roman" w:hAnsi="Times New Roman"/>
          <w:iCs/>
          <w:color w:val="000000"/>
          <w:sz w:val="28"/>
          <w:szCs w:val="28"/>
          <w:lang w:eastAsia="uk-UA"/>
        </w:rPr>
        <w:t>.</w:t>
      </w:r>
      <w:r w:rsidRPr="00981822">
        <w:rPr>
          <w:rFonts w:ascii="Times New Roman" w:hAnsi="Times New Roman"/>
          <w:iCs/>
          <w:color w:val="000000"/>
          <w:sz w:val="28"/>
          <w:szCs w:val="28"/>
          <w:lang w:val="en-US" w:eastAsia="uk-UA"/>
        </w:rPr>
        <w:t xml:space="preserve"> </w:t>
      </w:r>
      <w:r w:rsidRPr="00981822">
        <w:rPr>
          <w:rFonts w:ascii="Times New Roman" w:hAnsi="Times New Roman"/>
          <w:iCs/>
          <w:color w:val="000000"/>
          <w:sz w:val="28"/>
          <w:szCs w:val="28"/>
          <w:lang w:eastAsia="uk-UA"/>
        </w:rPr>
        <w:t xml:space="preserve">2013 </w:t>
      </w:r>
      <w:r w:rsidRPr="00981822">
        <w:rPr>
          <w:rFonts w:ascii="Times New Roman" w:hAnsi="Times New Roman"/>
          <w:color w:val="000000"/>
          <w:sz w:val="28"/>
          <w:szCs w:val="28"/>
          <w:lang w:val="en-US" w:eastAsia="uk-UA"/>
        </w:rPr>
        <w:t>May 21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346:f2360.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Maurer MH, Härmä</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KH, Thoeny</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xml:space="preserve">. Diffusion-Weighted Genitourinary Imaging. </w:t>
      </w:r>
      <w:r w:rsidRPr="00981822">
        <w:rPr>
          <w:rFonts w:ascii="Times New Roman" w:hAnsi="Times New Roman"/>
          <w:iCs/>
          <w:color w:val="000000"/>
          <w:sz w:val="28"/>
          <w:szCs w:val="28"/>
          <w:lang w:val="en-US" w:eastAsia="uk-UA"/>
        </w:rPr>
        <w:t>Radiol Clin North Am</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2):393–411. </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lastRenderedPageBreak/>
        <w:t>Maynard MA, Ohh M. Von Hippel-Lindau tumor suppressor protein and hypoxia-inducible factor in kidney cancer. Am J Nephrol. 2004</w:t>
      </w:r>
      <w:r w:rsidRPr="00981822">
        <w:rPr>
          <w:lang w:val="en-US"/>
        </w:rPr>
        <w:t xml:space="preserve"> </w:t>
      </w:r>
      <w:r w:rsidRPr="00981822">
        <w:rPr>
          <w:rFonts w:ascii="Times New Roman" w:hAnsi="Times New Roman"/>
          <w:sz w:val="28"/>
          <w:szCs w:val="28"/>
          <w:lang w:val="en-US"/>
        </w:rPr>
        <w:t>Jan-Feb;24(1)</w:t>
      </w:r>
      <w:r w:rsidRPr="00981822">
        <w:rPr>
          <w:rFonts w:ascii="Times New Roman" w:hAnsi="Times New Roman"/>
          <w:color w:val="000000"/>
          <w:sz w:val="28"/>
          <w:szCs w:val="28"/>
          <w:lang w:val="en-US"/>
        </w:rPr>
        <w:t>:1–13.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Miah S, Dudziec</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Drayton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RM, Zlotta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AR, Morgan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SL, Rosario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An Evaluation of Urinary MicroRNA Reveals a High Sensitivity for Bladder Cancer. </w:t>
      </w:r>
      <w:r w:rsidRPr="00981822">
        <w:rPr>
          <w:rFonts w:ascii="Times New Roman" w:hAnsi="Times New Roman"/>
          <w:iCs/>
          <w:color w:val="000000"/>
          <w:sz w:val="28"/>
          <w:szCs w:val="28"/>
          <w:lang w:val="en-US" w:eastAsia="uk-UA"/>
        </w:rPr>
        <w:t>Br J Cancer</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Jun 26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1):123–8.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 xml:space="preserve">Minardi D, </w:t>
      </w:r>
      <w:r w:rsidRPr="00981822">
        <w:rPr>
          <w:rFonts w:ascii="Times New Roman" w:hAnsi="Times New Roman"/>
          <w:sz w:val="28"/>
          <w:szCs w:val="28"/>
          <w:lang w:val="en-US"/>
        </w:rPr>
        <w:t>Lucarini G, Milanese G, Di Primio R, Montironi R, Muzzonigro G</w:t>
      </w:r>
      <w:r w:rsidRPr="00981822">
        <w:rPr>
          <w:rFonts w:ascii="Times New Roman" w:hAnsi="Times New Roman"/>
          <w:sz w:val="28"/>
          <w:szCs w:val="28"/>
        </w:rPr>
        <w:t>.</w:t>
      </w:r>
      <w:r w:rsidRPr="00981822">
        <w:rPr>
          <w:rFonts w:ascii="Times New Roman" w:hAnsi="Times New Roman"/>
          <w:sz w:val="28"/>
          <w:szCs w:val="28"/>
          <w:vertAlign w:val="superscript"/>
        </w:rPr>
        <w:t>.</w:t>
      </w:r>
      <w:r w:rsidRPr="00981822">
        <w:rPr>
          <w:rFonts w:ascii="Times New Roman" w:hAnsi="Times New Roman"/>
          <w:color w:val="000000"/>
          <w:sz w:val="28"/>
          <w:szCs w:val="28"/>
          <w:lang w:val="en-US"/>
        </w:rPr>
        <w:t>Loss of nuclear BAP1 protein expression is a marker of poor prognosis in patients with clear cell renal cell carcinoma. Urol Oncol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2016</w:t>
      </w:r>
      <w:r w:rsidRPr="00981822">
        <w:rPr>
          <w:rFonts w:ascii="Times New Roman" w:hAnsi="Times New Roman"/>
          <w:lang w:val="en-US"/>
        </w:rPr>
        <w:t xml:space="preserve"> </w:t>
      </w:r>
      <w:r w:rsidRPr="00981822">
        <w:rPr>
          <w:rFonts w:ascii="Times New Roman" w:hAnsi="Times New Roman"/>
          <w:sz w:val="28"/>
          <w:szCs w:val="28"/>
          <w:lang w:val="en-US"/>
        </w:rPr>
        <w:t>Aug;34(8):338.e11</w:t>
      </w:r>
      <w:r w:rsidRPr="00981822">
        <w:rPr>
          <w:rFonts w:ascii="Times New Roman" w:hAnsi="Times New Roman"/>
          <w:sz w:val="28"/>
          <w:szCs w:val="28"/>
        </w:rPr>
        <w:t>–</w:t>
      </w:r>
      <w:r w:rsidRPr="00981822">
        <w:rPr>
          <w:rFonts w:ascii="Times New Roman" w:hAnsi="Times New Roman"/>
          <w:sz w:val="28"/>
          <w:szCs w:val="28"/>
          <w:lang w:val="en-US"/>
        </w:rPr>
        <w:t>8</w:t>
      </w:r>
      <w:r w:rsidRPr="00981822">
        <w:rPr>
          <w:rFonts w:ascii="Times New Roman" w:hAnsi="Times New Roman"/>
          <w:color w:val="000000"/>
          <w:sz w:val="28"/>
          <w:szCs w:val="28"/>
          <w:lang w:val="en-US"/>
        </w:rPr>
        <w:t xml:space="preserve">.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Mittal A, Poudel B, Pandeya DR, Gupta SP, Sathian B, Yadav SK. Serum amyloid a as an independent prognostic factor for renal cell carcinoma</w:t>
      </w:r>
      <w:r w:rsidRPr="00981822">
        <w:rPr>
          <w:rFonts w:ascii="Times New Roman" w:hAnsi="Times New Roman"/>
          <w:color w:val="000000"/>
          <w:sz w:val="28"/>
          <w:szCs w:val="28"/>
          <w:shd w:val="clear" w:color="auto" w:fill="FFFFFF"/>
        </w:rPr>
        <w:t>--</w:t>
      </w:r>
      <w:r w:rsidRPr="00981822">
        <w:rPr>
          <w:rFonts w:ascii="Times New Roman" w:hAnsi="Times New Roman"/>
          <w:color w:val="000000"/>
          <w:sz w:val="28"/>
          <w:szCs w:val="28"/>
          <w:shd w:val="clear" w:color="auto" w:fill="FFFFFF"/>
          <w:lang w:val="en-US"/>
        </w:rPr>
        <w:t>a hospital based study from the western region of nepal.</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Asian Pacific J Cancer Prevent</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2012;</w:t>
      </w:r>
      <w:r w:rsidRPr="00981822">
        <w:rPr>
          <w:rStyle w:val="ref-vol"/>
          <w:rFonts w:ascii="Times New Roman" w:hAnsi="Times New Roman"/>
          <w:color w:val="000000"/>
          <w:sz w:val="28"/>
          <w:szCs w:val="28"/>
          <w:shd w:val="clear" w:color="auto" w:fill="FFFFFF"/>
          <w:lang w:val="en-US"/>
        </w:rPr>
        <w:t>13</w:t>
      </w:r>
      <w:r w:rsidRPr="00981822">
        <w:rPr>
          <w:rFonts w:ascii="Times New Roman" w:hAnsi="Times New Roman"/>
          <w:color w:val="000000"/>
          <w:sz w:val="28"/>
          <w:szCs w:val="28"/>
          <w:shd w:val="clear" w:color="auto" w:fill="FFFFFF"/>
          <w:lang w:val="en-US"/>
        </w:rPr>
        <w:t>(5):2253–5.</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pl-PL" w:eastAsia="uk-UA"/>
        </w:rPr>
        <w:t>Mizukami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Ueda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Mizumoto</w:t>
      </w:r>
      <w:r w:rsidRPr="00981822">
        <w:rPr>
          <w:rFonts w:ascii="Times New Roman" w:hAnsi="Times New Roman"/>
          <w:color w:val="000000"/>
          <w:sz w:val="28"/>
          <w:szCs w:val="28"/>
          <w:lang w:eastAsia="uk-UA"/>
        </w:rPr>
        <w:t xml:space="preserve"> А, </w:t>
      </w:r>
      <w:r w:rsidRPr="00981822">
        <w:rPr>
          <w:rFonts w:ascii="Times New Roman" w:hAnsi="Times New Roman"/>
          <w:color w:val="000000"/>
          <w:sz w:val="28"/>
          <w:szCs w:val="28"/>
          <w:lang w:val="pl-PL" w:eastAsia="uk-UA"/>
        </w:rPr>
        <w:t>Sasada</w:t>
      </w:r>
      <w:r w:rsidRPr="00981822">
        <w:rPr>
          <w:rFonts w:ascii="Times New Roman" w:hAnsi="Times New Roman"/>
          <w:color w:val="000000"/>
          <w:sz w:val="28"/>
          <w:szCs w:val="28"/>
          <w:lang w:eastAsia="uk-UA"/>
        </w:rPr>
        <w:t xml:space="preserve"> Т, </w:t>
      </w:r>
      <w:r w:rsidRPr="00981822">
        <w:rPr>
          <w:rFonts w:ascii="Times New Roman" w:hAnsi="Times New Roman"/>
          <w:color w:val="000000"/>
          <w:sz w:val="28"/>
          <w:szCs w:val="28"/>
          <w:lang w:val="pl-PL" w:eastAsia="uk-UA"/>
        </w:rPr>
        <w:t>Okumura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Kohno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et 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Diffusion-Weighted Magnetic Resonance Imaging for Detecting Lymph Node Metastasis of Rectal Cancer. </w:t>
      </w:r>
      <w:r w:rsidRPr="00981822">
        <w:rPr>
          <w:rFonts w:ascii="Times New Roman" w:hAnsi="Times New Roman"/>
          <w:iCs/>
          <w:color w:val="000000"/>
          <w:sz w:val="28"/>
          <w:szCs w:val="28"/>
          <w:lang w:val="en-US" w:eastAsia="uk-UA"/>
        </w:rPr>
        <w:t>World J Surg</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4):895–9.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Moch H, Cubilla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 Humphrey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PA, Reuter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VE, Ulbright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TM. The 2016 WHO Classification of Tumours of the Urinary System and Male Genital Organs-Part A: Renal, Penile, and Testicular Tumours. </w:t>
      </w:r>
      <w:r w:rsidRPr="00981822">
        <w:rPr>
          <w:rFonts w:ascii="Times New Roman" w:hAnsi="Times New Roman"/>
          <w:iCs/>
          <w:color w:val="000000"/>
          <w:sz w:val="28"/>
          <w:szCs w:val="28"/>
          <w:lang w:val="en-US" w:eastAsia="uk-UA"/>
        </w:rPr>
        <w:t>Eur Urol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Jul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1):93–105. doi:10.1016/j.eururo.2016.02.029.</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Moch H, Srigley J, Delahunt B, Montironi R, Egevad L, Tan PH. Biomarkers in renal cancer. Virchows Arch</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2014</w:t>
      </w:r>
      <w:r w:rsidRPr="00981822">
        <w:rPr>
          <w:lang w:val="en-US"/>
        </w:rPr>
        <w:t xml:space="preserve"> </w:t>
      </w:r>
      <w:r w:rsidRPr="00981822">
        <w:rPr>
          <w:rFonts w:ascii="Times New Roman" w:hAnsi="Times New Roman"/>
          <w:sz w:val="28"/>
          <w:szCs w:val="28"/>
          <w:lang w:val="en-US"/>
        </w:rPr>
        <w:t>Mar</w:t>
      </w:r>
      <w:r w:rsidRPr="00981822">
        <w:rPr>
          <w:rFonts w:ascii="Times New Roman" w:hAnsi="Times New Roman"/>
          <w:color w:val="000000"/>
          <w:sz w:val="28"/>
          <w:szCs w:val="28"/>
          <w:lang w:val="en-US"/>
        </w:rPr>
        <w:t xml:space="preserve">;464(3):359–65.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Moore LE, Boffetta P, Karami S, </w:t>
      </w:r>
      <w:r w:rsidRPr="00981822">
        <w:rPr>
          <w:rFonts w:ascii="Times New Roman" w:hAnsi="Times New Roman"/>
          <w:sz w:val="28"/>
          <w:szCs w:val="28"/>
          <w:lang w:val="en-US"/>
        </w:rPr>
        <w:t>Brennan P, Stewart PS, Hung R,</w:t>
      </w:r>
      <w:r w:rsidRPr="00981822">
        <w:rPr>
          <w:rFonts w:ascii="Times New Roman" w:hAnsi="Times New Roman"/>
          <w:color w:val="000000"/>
          <w:sz w:val="28"/>
          <w:szCs w:val="28"/>
          <w:lang w:val="en-US"/>
        </w:rPr>
        <w:t xml:space="preserve"> et al. Occupational trichloroethylene exposure and renal carcinoma risk: evidence of genetic susceptibility by reductive metabolism gene variants. Cancer Res. 2010</w:t>
      </w:r>
      <w:r w:rsidRPr="00981822">
        <w:rPr>
          <w:rFonts w:ascii="Times New Roman" w:hAnsi="Times New Roman"/>
          <w:lang w:val="en-US"/>
        </w:rPr>
        <w:t xml:space="preserve"> </w:t>
      </w:r>
      <w:r w:rsidRPr="00981822">
        <w:rPr>
          <w:rFonts w:ascii="Times New Roman" w:hAnsi="Times New Roman"/>
          <w:sz w:val="28"/>
          <w:szCs w:val="28"/>
          <w:lang w:val="en-US"/>
        </w:rPr>
        <w:t>Aug 15;70(16)</w:t>
      </w:r>
      <w:r w:rsidRPr="00981822">
        <w:rPr>
          <w:rFonts w:ascii="Times New Roman" w:hAnsi="Times New Roman"/>
          <w:color w:val="000000"/>
          <w:sz w:val="28"/>
          <w:szCs w:val="28"/>
          <w:lang w:val="en-US"/>
        </w:rPr>
        <w:t xml:space="preserve">:6527–36. </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lang w:val="en-US"/>
        </w:rPr>
        <w:t>Morrissey JJ, Kharasch ED. The specificity of urinary aquaporin 1 and perilipin 2 to screen for renal cell carcinoma.</w:t>
      </w:r>
      <w:r w:rsidRPr="00981822">
        <w:rPr>
          <w:rStyle w:val="element-citation"/>
          <w:rFonts w:ascii="Times New Roman" w:hAnsi="Times New Roman"/>
          <w:color w:val="000000"/>
          <w:sz w:val="28"/>
          <w:szCs w:val="28"/>
        </w:rPr>
        <w:t xml:space="preserve"> </w:t>
      </w:r>
      <w:r w:rsidRPr="00981822">
        <w:rPr>
          <w:rStyle w:val="Emphasis"/>
          <w:rFonts w:ascii="Times New Roman" w:hAnsi="Times New Roman"/>
          <w:iCs w:val="0"/>
          <w:color w:val="000000"/>
          <w:sz w:val="28"/>
          <w:szCs w:val="28"/>
          <w:lang w:val="en-US"/>
        </w:rPr>
        <w:t>J</w:t>
      </w:r>
      <w:r w:rsidRPr="00981822">
        <w:rPr>
          <w:rStyle w:val="Emphasis"/>
          <w:rFonts w:ascii="Times New Roman" w:hAnsi="Times New Roman"/>
          <w:iCs w:val="0"/>
          <w:color w:val="000000"/>
          <w:sz w:val="28"/>
          <w:szCs w:val="28"/>
        </w:rPr>
        <w:t xml:space="preserve"> </w:t>
      </w:r>
      <w:r w:rsidRPr="00981822">
        <w:rPr>
          <w:rStyle w:val="Emphasis"/>
          <w:rFonts w:ascii="Times New Roman" w:hAnsi="Times New Roman"/>
          <w:iCs w:val="0"/>
          <w:color w:val="000000"/>
          <w:sz w:val="28"/>
          <w:szCs w:val="28"/>
          <w:lang w:val="en-US"/>
        </w:rPr>
        <w:t>Urol</w:t>
      </w:r>
      <w:r w:rsidRPr="00981822">
        <w:rPr>
          <w:rStyle w:val="ref-journal"/>
          <w:rFonts w:ascii="Times New Roman" w:hAnsi="Times New Roman"/>
          <w:color w:val="000000"/>
          <w:sz w:val="28"/>
          <w:szCs w:val="28"/>
          <w:lang w:val="en-US"/>
        </w:rPr>
        <w:t>.</w:t>
      </w:r>
      <w:r w:rsidRPr="00981822">
        <w:rPr>
          <w:rStyle w:val="ref-journal"/>
          <w:rFonts w:ascii="Times New Roman" w:hAnsi="Times New Roman"/>
          <w:color w:val="000000"/>
          <w:sz w:val="28"/>
          <w:szCs w:val="28"/>
        </w:rPr>
        <w:t xml:space="preserve"> </w:t>
      </w:r>
      <w:r w:rsidRPr="00981822">
        <w:rPr>
          <w:rStyle w:val="element-citation"/>
          <w:rFonts w:ascii="Times New Roman" w:hAnsi="Times New Roman"/>
          <w:color w:val="000000"/>
          <w:sz w:val="28"/>
          <w:szCs w:val="28"/>
          <w:lang w:val="en-US"/>
        </w:rPr>
        <w:t>2013</w:t>
      </w:r>
      <w:r w:rsidRPr="00981822">
        <w:t xml:space="preserve"> </w:t>
      </w:r>
      <w:r w:rsidRPr="00981822">
        <w:rPr>
          <w:rFonts w:ascii="Times New Roman" w:hAnsi="Times New Roman"/>
          <w:sz w:val="28"/>
          <w:szCs w:val="28"/>
        </w:rPr>
        <w:t>May</w:t>
      </w:r>
      <w:r w:rsidRPr="00981822">
        <w:rPr>
          <w:rStyle w:val="element-citation"/>
          <w:rFonts w:ascii="Times New Roman" w:hAnsi="Times New Roman"/>
          <w:color w:val="000000"/>
          <w:sz w:val="28"/>
          <w:szCs w:val="28"/>
          <w:lang w:val="en-US"/>
        </w:rPr>
        <w:t>;</w:t>
      </w:r>
      <w:r w:rsidRPr="00981822">
        <w:rPr>
          <w:rStyle w:val="ref-vol"/>
          <w:rFonts w:ascii="Times New Roman" w:hAnsi="Times New Roman"/>
          <w:color w:val="000000"/>
          <w:sz w:val="28"/>
          <w:szCs w:val="28"/>
          <w:lang w:val="en-US"/>
        </w:rPr>
        <w:t>189</w:t>
      </w:r>
      <w:r w:rsidRPr="00981822">
        <w:rPr>
          <w:rStyle w:val="element-citation"/>
          <w:rFonts w:ascii="Times New Roman" w:hAnsi="Times New Roman"/>
          <w:color w:val="000000"/>
          <w:sz w:val="28"/>
          <w:szCs w:val="28"/>
          <w:lang w:val="en-US"/>
        </w:rPr>
        <w:t>(5):1913–20. doi: 10.1016/j.juro.2012.11.034.</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lang w:val="en-US"/>
        </w:rPr>
        <w:lastRenderedPageBreak/>
        <w:t>Morrissey JJ, London AN, Lambert MC, Kharasch ED. Sensitivity and specificity of urinary neutrophil gelatinase-associated lipocalin and kidney injury molecule-1 for the diagnosis of renal cell carcinoma.</w:t>
      </w:r>
      <w:r w:rsidRPr="00981822">
        <w:rPr>
          <w:rStyle w:val="Emphasis"/>
          <w:rFonts w:ascii="Times New Roman" w:hAnsi="Times New Roman"/>
          <w:iCs w:val="0"/>
          <w:color w:val="000000"/>
          <w:sz w:val="28"/>
          <w:szCs w:val="28"/>
          <w:lang w:val="en-US"/>
        </w:rPr>
        <w:t xml:space="preserve"> Am J Nephrol</w:t>
      </w:r>
      <w:r w:rsidRPr="00981822">
        <w:rPr>
          <w:rStyle w:val="ref-journal"/>
          <w:rFonts w:ascii="Times New Roman" w:hAnsi="Times New Roman"/>
          <w:color w:val="000000"/>
          <w:sz w:val="28"/>
          <w:szCs w:val="28"/>
          <w:lang w:val="en-US"/>
        </w:rPr>
        <w:t>.</w:t>
      </w:r>
      <w:r w:rsidRPr="00981822">
        <w:rPr>
          <w:rStyle w:val="ref-journal"/>
          <w:rFonts w:ascii="Times New Roman" w:hAnsi="Times New Roman"/>
          <w:color w:val="000000"/>
          <w:sz w:val="28"/>
          <w:szCs w:val="28"/>
        </w:rPr>
        <w:t xml:space="preserve"> </w:t>
      </w:r>
      <w:r w:rsidRPr="00981822">
        <w:rPr>
          <w:rStyle w:val="element-citation"/>
          <w:rFonts w:ascii="Times New Roman" w:hAnsi="Times New Roman"/>
          <w:color w:val="000000"/>
          <w:sz w:val="28"/>
          <w:szCs w:val="28"/>
          <w:lang w:val="en-US"/>
        </w:rPr>
        <w:t>2011;</w:t>
      </w:r>
      <w:r w:rsidRPr="00981822">
        <w:rPr>
          <w:rStyle w:val="ref-vol"/>
          <w:rFonts w:ascii="Times New Roman" w:hAnsi="Times New Roman"/>
          <w:color w:val="000000"/>
          <w:sz w:val="28"/>
          <w:szCs w:val="28"/>
          <w:lang w:val="en-US"/>
        </w:rPr>
        <w:t>34</w:t>
      </w:r>
      <w:r w:rsidRPr="00981822">
        <w:rPr>
          <w:rStyle w:val="element-citation"/>
          <w:rFonts w:ascii="Times New Roman" w:hAnsi="Times New Roman"/>
          <w:color w:val="000000"/>
          <w:sz w:val="28"/>
          <w:szCs w:val="28"/>
          <w:lang w:val="en-US"/>
        </w:rPr>
        <w:t>(5):391–8. doi: 10.1159/000330851.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Morrissey JJ, Mellnick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VM, Luo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Siegel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MJ, Figenshau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RS, Bhayani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Evaluation of Urine Aquaporin-1 and Perilipin-2 Concentrations as Biomarkers to Screen for Renal Cell Carcinoma: A Prospective Cohort Study. </w:t>
      </w:r>
      <w:r w:rsidRPr="00981822">
        <w:rPr>
          <w:rFonts w:ascii="Times New Roman" w:hAnsi="Times New Roman"/>
          <w:iCs/>
          <w:color w:val="000000"/>
          <w:sz w:val="28"/>
          <w:szCs w:val="28"/>
          <w:lang w:val="en-US" w:eastAsia="uk-UA"/>
        </w:rPr>
        <w:t>JAMA Oncol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2):204–12. </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lang w:val="en-US"/>
        </w:rPr>
        <w:t xml:space="preserve">Morrissey JJ, Mobley J, Song J, </w:t>
      </w:r>
      <w:r w:rsidRPr="00981822">
        <w:rPr>
          <w:rFonts w:ascii="Times New Roman" w:hAnsi="Times New Roman"/>
          <w:sz w:val="28"/>
          <w:szCs w:val="28"/>
          <w:lang w:val="en-US"/>
        </w:rPr>
        <w:t>Vetter J, Luo J, Bhayani S</w:t>
      </w:r>
      <w:r w:rsidRPr="00981822">
        <w:rPr>
          <w:rFonts w:ascii="Times New Roman" w:hAnsi="Times New Roman"/>
          <w:sz w:val="28"/>
          <w:szCs w:val="28"/>
        </w:rPr>
        <w:t>,</w:t>
      </w:r>
      <w:r w:rsidRPr="00981822">
        <w:rPr>
          <w:rStyle w:val="element-citation"/>
          <w:rFonts w:ascii="Times New Roman" w:hAnsi="Times New Roman"/>
          <w:color w:val="000000"/>
          <w:sz w:val="28"/>
          <w:szCs w:val="28"/>
          <w:lang w:val="en-US"/>
        </w:rPr>
        <w:t xml:space="preserve"> et al. Urinary concentrations of aquaporin-1 and perilipin-2 in patients with renal cell carcinoma correlate with tumor size and stage but not grade.</w:t>
      </w:r>
      <w:r w:rsidRPr="00981822">
        <w:rPr>
          <w:rStyle w:val="element-citation"/>
          <w:rFonts w:ascii="Times New Roman" w:hAnsi="Times New Roman"/>
          <w:color w:val="000000"/>
          <w:sz w:val="28"/>
          <w:szCs w:val="28"/>
        </w:rPr>
        <w:t xml:space="preserve"> </w:t>
      </w:r>
      <w:r w:rsidRPr="00981822">
        <w:rPr>
          <w:rStyle w:val="Emphasis"/>
          <w:rFonts w:ascii="Times New Roman" w:hAnsi="Times New Roman"/>
          <w:iCs w:val="0"/>
          <w:color w:val="000000"/>
          <w:sz w:val="28"/>
          <w:szCs w:val="28"/>
          <w:lang w:val="en-US"/>
        </w:rPr>
        <w:t>Urology</w:t>
      </w:r>
      <w:r w:rsidRPr="00981822">
        <w:rPr>
          <w:rStyle w:val="ref-journal"/>
          <w:rFonts w:ascii="Times New Roman" w:hAnsi="Times New Roman"/>
          <w:color w:val="000000"/>
          <w:sz w:val="28"/>
          <w:szCs w:val="28"/>
          <w:lang w:val="en-US"/>
        </w:rPr>
        <w:t>.</w:t>
      </w:r>
      <w:r w:rsidRPr="00981822">
        <w:rPr>
          <w:rStyle w:val="ref-journal"/>
          <w:rFonts w:ascii="Times New Roman" w:hAnsi="Times New Roman"/>
          <w:color w:val="000000"/>
          <w:sz w:val="28"/>
          <w:szCs w:val="28"/>
        </w:rPr>
        <w:t xml:space="preserve"> </w:t>
      </w:r>
      <w:r w:rsidRPr="00981822">
        <w:rPr>
          <w:rStyle w:val="element-citation"/>
          <w:rFonts w:ascii="Times New Roman" w:hAnsi="Times New Roman"/>
          <w:color w:val="000000"/>
          <w:sz w:val="28"/>
          <w:szCs w:val="28"/>
          <w:lang w:val="en-US"/>
        </w:rPr>
        <w:t>2014</w:t>
      </w:r>
      <w:r w:rsidRPr="00981822">
        <w:rPr>
          <w:rFonts w:ascii="Times New Roman" w:hAnsi="Times New Roman"/>
        </w:rPr>
        <w:t xml:space="preserve"> </w:t>
      </w:r>
      <w:r w:rsidRPr="00981822">
        <w:rPr>
          <w:rFonts w:ascii="Times New Roman" w:hAnsi="Times New Roman"/>
          <w:sz w:val="28"/>
          <w:szCs w:val="28"/>
        </w:rPr>
        <w:t>Jan</w:t>
      </w:r>
      <w:r w:rsidRPr="00981822">
        <w:rPr>
          <w:rStyle w:val="element-citation"/>
          <w:rFonts w:ascii="Times New Roman" w:hAnsi="Times New Roman"/>
          <w:color w:val="000000"/>
          <w:sz w:val="28"/>
          <w:szCs w:val="28"/>
          <w:lang w:val="en-US"/>
        </w:rPr>
        <w:t>;</w:t>
      </w:r>
      <w:r w:rsidRPr="00981822">
        <w:rPr>
          <w:rStyle w:val="ref-vol"/>
          <w:rFonts w:ascii="Times New Roman" w:hAnsi="Times New Roman"/>
          <w:color w:val="000000"/>
          <w:sz w:val="28"/>
          <w:szCs w:val="28"/>
          <w:lang w:val="en-US"/>
        </w:rPr>
        <w:t>83</w:t>
      </w:r>
      <w:r w:rsidRPr="00981822">
        <w:rPr>
          <w:rStyle w:val="element-citation"/>
          <w:rFonts w:ascii="Times New Roman" w:hAnsi="Times New Roman"/>
          <w:color w:val="000000"/>
          <w:sz w:val="28"/>
          <w:szCs w:val="28"/>
          <w:lang w:val="en-US"/>
        </w:rPr>
        <w:t>(1):256.e9–14. doi: 10.1016/j.urology.2013.09.026.</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 xml:space="preserve">Motzer RJ, </w:t>
      </w:r>
      <w:r w:rsidRPr="00981822">
        <w:rPr>
          <w:rFonts w:ascii="Times New Roman" w:hAnsi="Times New Roman"/>
          <w:sz w:val="28"/>
          <w:szCs w:val="28"/>
          <w:lang w:val="en-US"/>
        </w:rPr>
        <w:t>Escudier B, McDermott DF, George S, Hammers HJ, Srinivas S,</w:t>
      </w:r>
      <w:r w:rsidRPr="00981822">
        <w:rPr>
          <w:rFonts w:ascii="Times New Roman" w:hAnsi="Times New Roman"/>
          <w:color w:val="000000"/>
          <w:sz w:val="28"/>
          <w:szCs w:val="28"/>
          <w:lang w:val="en-US"/>
        </w:rPr>
        <w:t xml:space="preserve"> et al. Nivolumab versus Everolimus in Advanced Renal-Cell Carcinoma. N Engl J Med</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2015</w:t>
      </w:r>
      <w:r w:rsidRPr="00981822">
        <w:rPr>
          <w:rFonts w:ascii="Times New Roman" w:hAnsi="Times New Roman"/>
          <w:lang w:val="en-US"/>
        </w:rPr>
        <w:t xml:space="preserve"> </w:t>
      </w:r>
      <w:r w:rsidRPr="00981822">
        <w:rPr>
          <w:rFonts w:ascii="Times New Roman" w:hAnsi="Times New Roman"/>
          <w:sz w:val="28"/>
          <w:szCs w:val="28"/>
          <w:lang w:val="en-US"/>
        </w:rPr>
        <w:t>Nov 5;373(19):1803</w:t>
      </w:r>
      <w:r w:rsidRPr="00981822">
        <w:rPr>
          <w:rFonts w:ascii="Times New Roman" w:hAnsi="Times New Roman"/>
          <w:sz w:val="28"/>
          <w:szCs w:val="28"/>
        </w:rPr>
        <w:t>–</w:t>
      </w:r>
      <w:r w:rsidRPr="00981822">
        <w:rPr>
          <w:rFonts w:ascii="Times New Roman" w:hAnsi="Times New Roman"/>
          <w:sz w:val="28"/>
          <w:szCs w:val="28"/>
          <w:lang w:val="en-US"/>
        </w:rPr>
        <w:t>13</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Muglia VF, Westphalen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AC. Bosniak Classification for Complex Renal Cysts: History and Critical Analysis. </w:t>
      </w:r>
      <w:r w:rsidRPr="00981822">
        <w:rPr>
          <w:rFonts w:ascii="Times New Roman" w:hAnsi="Times New Roman"/>
          <w:iCs/>
          <w:color w:val="000000"/>
          <w:sz w:val="28"/>
          <w:szCs w:val="28"/>
          <w:lang w:val="en-US" w:eastAsia="uk-UA"/>
        </w:rPr>
        <w:t>Radiol Bras</w:t>
      </w:r>
      <w:r w:rsidRPr="00981822">
        <w:rPr>
          <w:rFonts w:ascii="Times New Roman" w:hAnsi="Times New Roman"/>
          <w:iCs/>
          <w:color w:val="000000"/>
          <w:sz w:val="28"/>
          <w:szCs w:val="28"/>
          <w:lang w:eastAsia="uk-UA"/>
        </w:rPr>
        <w:t>. 2014;</w:t>
      </w:r>
      <w:r w:rsidRPr="00981822">
        <w:rPr>
          <w:rFonts w:ascii="Times New Roman" w:hAnsi="Times New Roman"/>
          <w:color w:val="000000"/>
          <w:sz w:val="28"/>
          <w:szCs w:val="28"/>
          <w:lang w:val="en-US" w:eastAsia="uk-UA"/>
        </w:rPr>
        <w:t>47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6):368–73. doi:10.1590/0100-3984.2013.1797.</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t>Muller A, Rouvière</w:t>
      </w:r>
      <w:r w:rsidRPr="00981822">
        <w:rPr>
          <w:rFonts w:ascii="Times New Roman" w:hAnsi="Times New Roman"/>
          <w:color w:val="000000"/>
          <w:sz w:val="28"/>
          <w:szCs w:val="28"/>
          <w:lang w:eastAsia="uk-UA"/>
        </w:rPr>
        <w:t xml:space="preserve"> О</w:t>
      </w:r>
      <w:r w:rsidRPr="00981822">
        <w:rPr>
          <w:rFonts w:ascii="Times New Roman" w:hAnsi="Times New Roman"/>
          <w:color w:val="000000"/>
          <w:sz w:val="28"/>
          <w:szCs w:val="28"/>
          <w:lang w:val="en-US" w:eastAsia="uk-UA"/>
        </w:rPr>
        <w:t>. Renal Artery Embolization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indications, Technical Approaches and Outcomes. </w:t>
      </w:r>
      <w:r w:rsidRPr="00981822">
        <w:rPr>
          <w:rFonts w:ascii="Times New Roman" w:hAnsi="Times New Roman"/>
          <w:iCs/>
          <w:color w:val="000000"/>
          <w:sz w:val="28"/>
          <w:szCs w:val="28"/>
          <w:lang w:val="en-US" w:eastAsia="uk-UA"/>
        </w:rPr>
        <w:t>Nat Rev Nephrol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5):288–301. doi:10.1038/nrneph.2014.231.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Murray CA, Quon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McInnes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MDF, van der Pol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CB, Hakim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 Flood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 al. Evaluation of T1-Weighted MRI to Detect Intratumoral Hemorrhage Within Papillary Renal Cell Carcinoma as a Feature Differentiating From Angiomyolipoma Without Visible Fat</w:t>
      </w:r>
      <w:r w:rsidRPr="00981822">
        <w:rPr>
          <w:rFonts w:ascii="Times New Roman" w:hAnsi="Times New Roman"/>
          <w:iCs/>
          <w:color w:val="000000"/>
          <w:sz w:val="28"/>
          <w:szCs w:val="28"/>
          <w:lang w:val="en-US" w:eastAsia="uk-UA"/>
        </w:rPr>
        <w:t>. AJR Am 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Roentgenol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Sep</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3):585–91. doi:10.2214/AJR.16.16062.</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rPr>
        <w:t xml:space="preserve">Mytsyk YO, Borys YB, </w:t>
      </w:r>
      <w:r w:rsidRPr="00981822">
        <w:rPr>
          <w:rFonts w:ascii="Times New Roman" w:hAnsi="Times New Roman"/>
          <w:sz w:val="28"/>
          <w:szCs w:val="28"/>
          <w:lang w:val="en-US"/>
        </w:rPr>
        <w:t>Dosenko VE,</w:t>
      </w:r>
      <w:r w:rsidRPr="00981822">
        <w:rPr>
          <w:rFonts w:ascii="Times New Roman" w:hAnsi="Times New Roman"/>
          <w:color w:val="000000"/>
          <w:sz w:val="28"/>
          <w:szCs w:val="28"/>
          <w:lang w:val="en-US"/>
        </w:rPr>
        <w:t xml:space="preserve"> </w:t>
      </w:r>
      <w:r w:rsidRPr="00981822">
        <w:rPr>
          <w:rFonts w:ascii="Times New Roman" w:hAnsi="Times New Roman"/>
          <w:sz w:val="28"/>
          <w:szCs w:val="28"/>
        </w:rPr>
        <w:t xml:space="preserve">Datz IV, </w:t>
      </w:r>
      <w:r w:rsidRPr="00981822">
        <w:rPr>
          <w:rFonts w:ascii="Times New Roman" w:hAnsi="Times New Roman"/>
          <w:sz w:val="28"/>
          <w:szCs w:val="28"/>
          <w:shd w:val="clear" w:color="auto" w:fill="FFFFFF"/>
        </w:rPr>
        <w:t xml:space="preserve">Diychuk </w:t>
      </w:r>
      <w:r w:rsidRPr="00981822">
        <w:rPr>
          <w:rFonts w:ascii="Times New Roman" w:hAnsi="Times New Roman"/>
          <w:sz w:val="28"/>
          <w:szCs w:val="28"/>
          <w:shd w:val="clear" w:color="auto" w:fill="FFFFFF"/>
          <w:lang w:val="en-US"/>
        </w:rPr>
        <w:t>YP</w:t>
      </w:r>
      <w:r w:rsidRPr="00981822">
        <w:rPr>
          <w:rFonts w:ascii="Times New Roman" w:hAnsi="Times New Roman"/>
          <w:sz w:val="28"/>
          <w:szCs w:val="28"/>
          <w:shd w:val="clear" w:color="auto" w:fill="FFFFFF"/>
        </w:rPr>
        <w:t>,</w:t>
      </w:r>
      <w:r w:rsidRPr="00981822">
        <w:rPr>
          <w:rFonts w:ascii="Times New Roman" w:hAnsi="Times New Roman"/>
          <w:color w:val="000000"/>
          <w:sz w:val="28"/>
          <w:szCs w:val="28"/>
          <w:lang w:val="en-US"/>
        </w:rPr>
        <w:t xml:space="preserve"> </w:t>
      </w:r>
      <w:r w:rsidRPr="00981822">
        <w:rPr>
          <w:rFonts w:ascii="Times New Roman" w:hAnsi="Times New Roman"/>
          <w:sz w:val="28"/>
          <w:szCs w:val="28"/>
          <w:shd w:val="clear" w:color="auto" w:fill="FFFFFF"/>
        </w:rPr>
        <w:t xml:space="preserve">Kowalskyy </w:t>
      </w:r>
      <w:r w:rsidRPr="00981822">
        <w:rPr>
          <w:rFonts w:ascii="Times New Roman" w:hAnsi="Times New Roman"/>
          <w:sz w:val="28"/>
          <w:szCs w:val="28"/>
          <w:shd w:val="clear" w:color="auto" w:fill="FFFFFF"/>
          <w:lang w:val="en-US"/>
        </w:rPr>
        <w:t>VV, et al.</w:t>
      </w:r>
      <w:r w:rsidRPr="00981822">
        <w:rPr>
          <w:rFonts w:ascii="Times New Roman" w:hAnsi="Times New Roman"/>
          <w:color w:val="000000"/>
          <w:sz w:val="28"/>
          <w:szCs w:val="28"/>
        </w:rPr>
        <w:t xml:space="preserve"> </w:t>
      </w:r>
      <w:r w:rsidRPr="00981822">
        <w:rPr>
          <w:rFonts w:ascii="Times New Roman" w:hAnsi="Times New Roman"/>
          <w:sz w:val="28"/>
          <w:szCs w:val="28"/>
          <w:lang w:val="en-US"/>
        </w:rPr>
        <w:t>Radiogenomics of renal cell carcinoma: our clinical experience</w:t>
      </w:r>
      <w:r w:rsidRPr="00981822">
        <w:rPr>
          <w:rFonts w:ascii="Times New Roman" w:hAnsi="Times New Roman"/>
          <w:sz w:val="28"/>
          <w:szCs w:val="28"/>
        </w:rPr>
        <w:t>.</w:t>
      </w:r>
      <w:r w:rsidRPr="00981822">
        <w:rPr>
          <w:rFonts w:ascii="Times New Roman" w:hAnsi="Times New Roman"/>
          <w:color w:val="000000"/>
          <w:sz w:val="28"/>
          <w:szCs w:val="28"/>
        </w:rPr>
        <w:t xml:space="preserve"> </w:t>
      </w:r>
      <w:r w:rsidRPr="00981822">
        <w:rPr>
          <w:rFonts w:ascii="Times New Roman" w:hAnsi="Times New Roman"/>
          <w:color w:val="000000"/>
          <w:sz w:val="28"/>
          <w:szCs w:val="28"/>
        </w:rPr>
        <w:lastRenderedPageBreak/>
        <w:t>Експериментальна та клінічна фізіологія і біохімія.</w:t>
      </w:r>
      <w:r w:rsidRPr="00981822">
        <w:rPr>
          <w:rFonts w:ascii="Times New Roman" w:hAnsi="Times New Roman"/>
          <w:color w:val="000000"/>
          <w:sz w:val="28"/>
          <w:szCs w:val="28"/>
          <w:lang w:val="en-US"/>
        </w:rPr>
        <w:t xml:space="preserve"> 2017 </w:t>
      </w:r>
      <w:r w:rsidRPr="00981822">
        <w:rPr>
          <w:rFonts w:ascii="Times New Roman" w:hAnsi="Times New Roman"/>
          <w:color w:val="000000"/>
          <w:sz w:val="28"/>
          <w:szCs w:val="28"/>
        </w:rPr>
        <w:t xml:space="preserve">Лют 23; 80(4): </w:t>
      </w:r>
      <w:r w:rsidRPr="00981822">
        <w:rPr>
          <w:rFonts w:ascii="Times New Roman" w:hAnsi="Times New Roman"/>
          <w:sz w:val="28"/>
          <w:szCs w:val="28"/>
        </w:rPr>
        <w:t>50-53</w:t>
      </w:r>
      <w:r w:rsidRPr="00981822">
        <w:rPr>
          <w:rFonts w:ascii="Times New Roman" w:hAnsi="Times New Roman"/>
          <w:color w:val="000000"/>
          <w:sz w:val="28"/>
          <w:szCs w:val="28"/>
        </w:rPr>
        <w:t>.</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shd w:val="clear" w:color="auto" w:fill="FFFFFF"/>
          <w:lang w:val="en-US"/>
        </w:rPr>
        <w:t xml:space="preserve">Mytsyk YO, </w:t>
      </w:r>
      <w:r w:rsidRPr="00981822">
        <w:rPr>
          <w:rFonts w:ascii="Times New Roman" w:hAnsi="Times New Roman"/>
          <w:sz w:val="28"/>
          <w:szCs w:val="28"/>
          <w:shd w:val="clear" w:color="auto" w:fill="FFFFFF"/>
        </w:rPr>
        <w:t>Borys Y</w:t>
      </w:r>
      <w:r w:rsidRPr="00981822">
        <w:rPr>
          <w:rFonts w:ascii="Times New Roman" w:hAnsi="Times New Roman"/>
          <w:sz w:val="28"/>
          <w:szCs w:val="28"/>
          <w:shd w:val="clear" w:color="auto" w:fill="FFFFFF"/>
          <w:lang w:val="en-US"/>
        </w:rPr>
        <w:t>B</w:t>
      </w:r>
      <w:r w:rsidRPr="00981822">
        <w:rPr>
          <w:rFonts w:ascii="Times New Roman" w:hAnsi="Times New Roman"/>
          <w:sz w:val="28"/>
          <w:szCs w:val="28"/>
          <w:shd w:val="clear" w:color="auto" w:fill="FFFFFF"/>
        </w:rPr>
        <w:t xml:space="preserve">, </w:t>
      </w:r>
      <w:r w:rsidRPr="00981822">
        <w:rPr>
          <w:rFonts w:ascii="Times New Roman" w:hAnsi="Times New Roman"/>
          <w:sz w:val="28"/>
          <w:szCs w:val="28"/>
          <w:lang w:val="en-US"/>
        </w:rPr>
        <w:t>Dosenko VE,</w:t>
      </w:r>
      <w:r w:rsidRPr="00981822">
        <w:rPr>
          <w:rFonts w:ascii="Times New Roman" w:hAnsi="Times New Roman"/>
          <w:sz w:val="28"/>
          <w:szCs w:val="28"/>
          <w:shd w:val="clear" w:color="auto" w:fill="FFFFFF"/>
          <w:lang w:val="en-US"/>
        </w:rPr>
        <w:t xml:space="preserve"> </w:t>
      </w:r>
      <w:r w:rsidRPr="00981822">
        <w:rPr>
          <w:rFonts w:ascii="Times New Roman" w:hAnsi="Times New Roman"/>
          <w:sz w:val="28"/>
          <w:szCs w:val="28"/>
          <w:shd w:val="clear" w:color="auto" w:fill="FFFFFF"/>
        </w:rPr>
        <w:t xml:space="preserve">Diychuk </w:t>
      </w:r>
      <w:r w:rsidRPr="00981822">
        <w:rPr>
          <w:rFonts w:ascii="Times New Roman" w:hAnsi="Times New Roman"/>
          <w:sz w:val="28"/>
          <w:szCs w:val="28"/>
          <w:shd w:val="clear" w:color="auto" w:fill="FFFFFF"/>
          <w:lang w:val="en-US"/>
        </w:rPr>
        <w:t>YP</w:t>
      </w:r>
      <w:r w:rsidRPr="00981822">
        <w:rPr>
          <w:rFonts w:ascii="Times New Roman" w:hAnsi="Times New Roman"/>
          <w:sz w:val="28"/>
          <w:szCs w:val="28"/>
          <w:shd w:val="clear" w:color="auto" w:fill="FFFFFF"/>
        </w:rPr>
        <w:t>,</w:t>
      </w:r>
      <w:r w:rsidRPr="00981822">
        <w:rPr>
          <w:rFonts w:ascii="Times New Roman" w:hAnsi="Times New Roman"/>
          <w:sz w:val="28"/>
          <w:szCs w:val="28"/>
          <w:shd w:val="clear" w:color="auto" w:fill="FFFFFF"/>
          <w:lang w:val="en-US"/>
        </w:rPr>
        <w:t xml:space="preserve"> </w:t>
      </w:r>
      <w:r w:rsidRPr="00981822">
        <w:rPr>
          <w:rFonts w:ascii="Times New Roman" w:hAnsi="Times New Roman"/>
          <w:sz w:val="28"/>
          <w:szCs w:val="28"/>
          <w:shd w:val="clear" w:color="auto" w:fill="FFFFFF"/>
        </w:rPr>
        <w:t xml:space="preserve">Kowalskyy </w:t>
      </w:r>
      <w:r w:rsidRPr="00981822">
        <w:rPr>
          <w:rFonts w:ascii="Times New Roman" w:hAnsi="Times New Roman"/>
          <w:sz w:val="28"/>
          <w:szCs w:val="28"/>
          <w:shd w:val="clear" w:color="auto" w:fill="FFFFFF"/>
          <w:lang w:val="en-US"/>
        </w:rPr>
        <w:t xml:space="preserve">VV, Pasichnyk SM, et al. </w:t>
      </w:r>
      <w:r w:rsidRPr="00981822">
        <w:rPr>
          <w:rFonts w:ascii="Times New Roman" w:hAnsi="Times New Roman"/>
          <w:color w:val="000000"/>
          <w:sz w:val="28"/>
          <w:szCs w:val="28"/>
          <w:lang w:val="en-US"/>
        </w:rPr>
        <w:t xml:space="preserve">A role of microRNAs in pathogenesis of renal cell carcinoma. </w:t>
      </w:r>
      <w:r w:rsidRPr="00981822">
        <w:rPr>
          <w:rFonts w:ascii="Times New Roman" w:hAnsi="Times New Roman"/>
          <w:color w:val="000000"/>
          <w:sz w:val="28"/>
          <w:szCs w:val="28"/>
        </w:rPr>
        <w:t>Експериментальна та клінічна фізіологія і біохімія</w:t>
      </w:r>
      <w:r w:rsidRPr="00981822">
        <w:rPr>
          <w:rFonts w:ascii="Times New Roman" w:hAnsi="Times New Roman"/>
          <w:color w:val="000000"/>
          <w:sz w:val="28"/>
          <w:szCs w:val="28"/>
          <w:lang w:val="en-US"/>
        </w:rPr>
        <w:t xml:space="preserve">. 2017 </w:t>
      </w:r>
      <w:r w:rsidRPr="00981822">
        <w:rPr>
          <w:rFonts w:ascii="Times New Roman" w:hAnsi="Times New Roman"/>
          <w:color w:val="000000"/>
          <w:sz w:val="28"/>
          <w:szCs w:val="28"/>
        </w:rPr>
        <w:t xml:space="preserve">Вер 12; 79(3): </w:t>
      </w:r>
      <w:r w:rsidRPr="00981822">
        <w:rPr>
          <w:rFonts w:ascii="Times New Roman" w:hAnsi="Times New Roman"/>
          <w:sz w:val="28"/>
          <w:szCs w:val="28"/>
        </w:rPr>
        <w:t>50-53</w:t>
      </w:r>
      <w:r w:rsidRPr="00981822">
        <w:rPr>
          <w:rFonts w:ascii="Times New Roman" w:hAnsi="Times New Roman"/>
          <w:color w:val="000000"/>
          <w:sz w:val="28"/>
          <w:szCs w:val="28"/>
        </w:rPr>
        <w:t>.</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rPr>
        <w:t>Mytsyk YO, Borys YB, Dutka IY,</w:t>
      </w:r>
      <w:r w:rsidRPr="00981822">
        <w:rPr>
          <w:rFonts w:ascii="Times New Roman" w:hAnsi="Times New Roman"/>
          <w:color w:val="000000"/>
          <w:sz w:val="28"/>
          <w:szCs w:val="28"/>
        </w:rPr>
        <w:t xml:space="preserve"> </w:t>
      </w:r>
      <w:r w:rsidRPr="00981822">
        <w:rPr>
          <w:rFonts w:ascii="Times New Roman" w:hAnsi="Times New Roman"/>
          <w:sz w:val="28"/>
          <w:szCs w:val="28"/>
        </w:rPr>
        <w:t>Datz IV, Motrynets NP, Kucher AR</w:t>
      </w:r>
      <w:r w:rsidRPr="00981822">
        <w:rPr>
          <w:rFonts w:ascii="Times New Roman" w:hAnsi="Times New Roman"/>
          <w:sz w:val="28"/>
          <w:szCs w:val="28"/>
          <w:lang w:val="en-US"/>
        </w:rPr>
        <w:t>, et al.</w:t>
      </w:r>
      <w:r w:rsidRPr="00981822">
        <w:rPr>
          <w:rFonts w:ascii="Times New Roman" w:hAnsi="Times New Roman"/>
          <w:sz w:val="28"/>
          <w:szCs w:val="28"/>
        </w:rPr>
        <w:t xml:space="preserve"> </w:t>
      </w:r>
      <w:r w:rsidRPr="00981822">
        <w:rPr>
          <w:rFonts w:ascii="Times New Roman" w:hAnsi="Times New Roman"/>
          <w:sz w:val="28"/>
          <w:szCs w:val="28"/>
          <w:lang w:val="en-US"/>
        </w:rPr>
        <w:t>Application of the diffusion-weighted MRI for prediction of the intraoperative blood loss during the nephrectomy in patients with renal cell carcinoma after embolization of renal artery</w:t>
      </w:r>
      <w:r w:rsidRPr="00981822">
        <w:rPr>
          <w:rFonts w:ascii="Times New Roman" w:hAnsi="Times New Roman"/>
          <w:sz w:val="28"/>
          <w:szCs w:val="28"/>
        </w:rPr>
        <w:t xml:space="preserve">. </w:t>
      </w:r>
      <w:r w:rsidRPr="00981822">
        <w:rPr>
          <w:rFonts w:ascii="Times New Roman" w:hAnsi="Times New Roman"/>
          <w:color w:val="000000"/>
          <w:sz w:val="28"/>
          <w:szCs w:val="28"/>
          <w:lang w:val="en-US"/>
        </w:rPr>
        <w:t>Inter Collegas</w:t>
      </w:r>
      <w:r w:rsidRPr="00981822">
        <w:rPr>
          <w:rFonts w:ascii="Times New Roman" w:hAnsi="Times New Roman"/>
          <w:color w:val="000000"/>
          <w:sz w:val="28"/>
          <w:szCs w:val="28"/>
        </w:rPr>
        <w:t>. 2017 Гру 23; 4(4): 158-163.</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 xml:space="preserve">Mytsyk YO, </w:t>
      </w:r>
      <w:r w:rsidRPr="00981822">
        <w:rPr>
          <w:rFonts w:ascii="Times New Roman" w:hAnsi="Times New Roman"/>
          <w:sz w:val="28"/>
          <w:szCs w:val="28"/>
          <w:shd w:val="clear" w:color="auto" w:fill="FFFFFF"/>
          <w:lang w:val="en-US"/>
        </w:rPr>
        <w:t>Borys YB, Dutka IY, Komnatska IM, Datz IV, Shatynska-Mytsyk IS. Diffusion-weighted imaging of the renal cell carcinoma: applicability and limitations of the apparent diffusion coefficient in differential diagnostics of the malignant renal lesions. Insights into Imaging Supplement 6(1). Materials of European Congress of Radiology 2015 Mar 4-8; Vienna, Austria; 2015; p.304.</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 xml:space="preserve">Mytsyk YO, </w:t>
      </w:r>
      <w:r w:rsidRPr="00981822">
        <w:rPr>
          <w:rFonts w:ascii="Times New Roman" w:hAnsi="Times New Roman"/>
          <w:sz w:val="28"/>
          <w:szCs w:val="28"/>
          <w:shd w:val="clear" w:color="auto" w:fill="FFFFFF"/>
          <w:lang w:val="en-US"/>
        </w:rPr>
        <w:t>Borys YB, Dutka IY, Komnatska IM, Datz IV, Shatynska-Mytsyk IS, et al. The application of the diffusion-weighted MRI and the apparent diffusion coefficient in differential diagnostics of the renal masses: the possibilities and the limitations in prediction of the histologic subtype and grade. European Urology Supplements 14(2). Materials of Congress of European Association of Urology 2015 Mar 20-24; Madrid, Spain; p. 419.</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 xml:space="preserve">Mytsyk YO, </w:t>
      </w:r>
      <w:r w:rsidRPr="00981822">
        <w:rPr>
          <w:rFonts w:ascii="Times New Roman" w:hAnsi="Times New Roman"/>
          <w:sz w:val="28"/>
          <w:szCs w:val="28"/>
          <w:shd w:val="clear" w:color="auto" w:fill="FFFFFF"/>
          <w:lang w:val="en-US"/>
        </w:rPr>
        <w:t>Borys YB, Dutka IY, Komnatska IM,</w:t>
      </w:r>
      <w:r w:rsidRPr="00981822">
        <w:rPr>
          <w:rFonts w:ascii="Times New Roman" w:hAnsi="Times New Roman"/>
          <w:sz w:val="28"/>
          <w:szCs w:val="28"/>
          <w:lang w:val="en-US"/>
        </w:rPr>
        <w:t xml:space="preserve"> Mytsyk OI, </w:t>
      </w:r>
      <w:r w:rsidRPr="00981822">
        <w:rPr>
          <w:rFonts w:ascii="Times New Roman" w:hAnsi="Times New Roman"/>
          <w:sz w:val="28"/>
          <w:szCs w:val="28"/>
          <w:shd w:val="clear" w:color="auto" w:fill="FFFFFF"/>
          <w:lang w:val="en-US"/>
        </w:rPr>
        <w:t xml:space="preserve">Chernova NV. </w:t>
      </w:r>
      <w:r w:rsidRPr="00981822">
        <w:rPr>
          <w:rFonts w:ascii="Times New Roman" w:eastAsia="Times New Roman" w:hAnsi="Times New Roman"/>
          <w:bCs/>
          <w:sz w:val="28"/>
          <w:szCs w:val="28"/>
          <w:shd w:val="clear" w:color="auto" w:fill="FFFFFF"/>
          <w:lang w:val="en-US" w:eastAsia="x-none"/>
        </w:rPr>
        <w:t xml:space="preserve">Investigation of the renal lesions using the diffusion-weighted magnetic resonance imaging and the apparent diffusion coefficient. </w:t>
      </w:r>
      <w:r w:rsidRPr="00981822">
        <w:rPr>
          <w:rFonts w:ascii="Times New Roman" w:hAnsi="Times New Roman"/>
          <w:sz w:val="28"/>
          <w:szCs w:val="28"/>
          <w:shd w:val="clear" w:color="auto" w:fill="FFFFFF"/>
          <w:lang w:val="en-US"/>
        </w:rPr>
        <w:t xml:space="preserve">Central European Journal of Urology Supplement 1. </w:t>
      </w:r>
      <w:r w:rsidRPr="00981822">
        <w:rPr>
          <w:rFonts w:ascii="Times New Roman" w:eastAsia="Times New Roman" w:hAnsi="Times New Roman"/>
          <w:bCs/>
          <w:sz w:val="28"/>
          <w:szCs w:val="28"/>
          <w:shd w:val="clear" w:color="auto" w:fill="FFFFFF"/>
          <w:lang w:val="en-US" w:eastAsia="x-none"/>
        </w:rPr>
        <w:t xml:space="preserve">Materials of the 46-th Scientific Congress of the Polish Urological Association; 2016 Jun 22-24; </w:t>
      </w:r>
      <w:r w:rsidRPr="00981822">
        <w:rPr>
          <w:rFonts w:ascii="Times New Roman" w:hAnsi="Times New Roman"/>
          <w:sz w:val="28"/>
          <w:szCs w:val="28"/>
          <w:lang w:val="en-US" w:eastAsia="uk-UA"/>
        </w:rPr>
        <w:t>Katowice, Poland; p. 20.</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 xml:space="preserve">Mytsyk YO, </w:t>
      </w:r>
      <w:r w:rsidRPr="00981822">
        <w:rPr>
          <w:rFonts w:ascii="Times New Roman" w:hAnsi="Times New Roman"/>
          <w:sz w:val="28"/>
          <w:szCs w:val="28"/>
          <w:shd w:val="clear" w:color="auto" w:fill="FFFFFF"/>
          <w:lang w:val="en-US"/>
        </w:rPr>
        <w:t>Borys YB, Komnatska IM, Dutka IY, Shatynska-Mytsyk IS. Value of the diffusion-weighted MRI in the differential diagnostics of malignant and benign kidney neoplasms–our clinical experience. Pol J Radiol. 2014 Sep 1; 79:290-5</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lastRenderedPageBreak/>
        <w:t xml:space="preserve">Mytsyk YO, Dosenko VE, Borys YB, </w:t>
      </w:r>
      <w:r w:rsidRPr="00981822">
        <w:rPr>
          <w:rFonts w:ascii="Times New Roman" w:hAnsi="Times New Roman"/>
          <w:color w:val="000000"/>
          <w:sz w:val="28"/>
          <w:szCs w:val="28"/>
          <w:lang w:val="en-US"/>
        </w:rPr>
        <w:t>Datz IV,</w:t>
      </w:r>
      <w:r w:rsidRPr="00981822">
        <w:rPr>
          <w:rFonts w:ascii="Times New Roman" w:hAnsi="Times New Roman"/>
          <w:sz w:val="28"/>
          <w:szCs w:val="28"/>
          <w:lang w:val="en-US"/>
        </w:rPr>
        <w:t xml:space="preserve"> Pasichnyk SM. </w:t>
      </w:r>
      <w:r w:rsidRPr="00981822">
        <w:rPr>
          <w:rFonts w:ascii="Times New Roman" w:hAnsi="Times New Roman"/>
          <w:bCs/>
          <w:sz w:val="28"/>
          <w:szCs w:val="28"/>
          <w:lang w:val="en-US" w:eastAsia="uk-UA"/>
        </w:rPr>
        <w:t>Diagnostic value of measured in urine MicroRNA-15a in patients with the renal cell carcinoma.</w:t>
      </w:r>
      <w:r w:rsidRPr="00981822">
        <w:rPr>
          <w:rFonts w:ascii="Times New Roman" w:hAnsi="Times New Roman"/>
          <w:sz w:val="28"/>
          <w:szCs w:val="28"/>
          <w:lang w:val="en-US" w:eastAsia="uk-UA"/>
        </w:rPr>
        <w:t xml:space="preserve"> Materials of the 47 Congress of Polish Society of Urology; 2017 Jun 21; Katowice; p. 77.</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Mytsyk YO,</w:t>
      </w:r>
      <w:r w:rsidRPr="00981822">
        <w:rPr>
          <w:rFonts w:ascii="Times New Roman" w:hAnsi="Times New Roman"/>
          <w:sz w:val="28"/>
          <w:szCs w:val="28"/>
          <w:shd w:val="clear" w:color="auto" w:fill="FFFFFF"/>
          <w:lang w:val="en-US"/>
        </w:rPr>
        <w:t xml:space="preserve"> Dutka IY, Borys YB, </w:t>
      </w:r>
      <w:r w:rsidRPr="00981822">
        <w:rPr>
          <w:rFonts w:ascii="Times New Roman" w:hAnsi="Times New Roman"/>
          <w:sz w:val="28"/>
          <w:szCs w:val="28"/>
          <w:shd w:val="clear" w:color="auto" w:fill="FFFFFF"/>
        </w:rPr>
        <w:t xml:space="preserve">Diychuk </w:t>
      </w:r>
      <w:r w:rsidRPr="00981822">
        <w:rPr>
          <w:rFonts w:ascii="Times New Roman" w:hAnsi="Times New Roman"/>
          <w:sz w:val="28"/>
          <w:szCs w:val="28"/>
          <w:shd w:val="clear" w:color="auto" w:fill="FFFFFF"/>
          <w:lang w:val="en-US"/>
        </w:rPr>
        <w:t>YP</w:t>
      </w:r>
      <w:r w:rsidRPr="00981822">
        <w:rPr>
          <w:rFonts w:ascii="Times New Roman" w:hAnsi="Times New Roman"/>
          <w:sz w:val="28"/>
          <w:szCs w:val="28"/>
          <w:shd w:val="clear" w:color="auto" w:fill="FFFFFF"/>
        </w:rPr>
        <w:t>,</w:t>
      </w:r>
      <w:r w:rsidRPr="00981822">
        <w:rPr>
          <w:rFonts w:ascii="Times New Roman" w:hAnsi="Times New Roman"/>
          <w:sz w:val="28"/>
          <w:szCs w:val="28"/>
          <w:shd w:val="clear" w:color="auto" w:fill="FFFFFF"/>
          <w:lang w:val="en-US"/>
        </w:rPr>
        <w:t xml:space="preserve"> </w:t>
      </w:r>
      <w:r w:rsidRPr="00981822">
        <w:rPr>
          <w:rFonts w:ascii="Times New Roman" w:hAnsi="Times New Roman"/>
          <w:sz w:val="28"/>
          <w:szCs w:val="28"/>
          <w:shd w:val="clear" w:color="auto" w:fill="FFFFFF"/>
        </w:rPr>
        <w:t xml:space="preserve">Kowalskyy </w:t>
      </w:r>
      <w:r w:rsidRPr="00981822">
        <w:rPr>
          <w:rFonts w:ascii="Times New Roman" w:hAnsi="Times New Roman"/>
          <w:sz w:val="28"/>
          <w:szCs w:val="28"/>
          <w:shd w:val="clear" w:color="auto" w:fill="FFFFFF"/>
          <w:lang w:val="en-US"/>
        </w:rPr>
        <w:t xml:space="preserve">VV, Pasichnyk SM, et al. </w:t>
      </w:r>
      <w:r w:rsidRPr="00981822">
        <w:rPr>
          <w:rFonts w:ascii="Times New Roman" w:hAnsi="Times New Roman"/>
          <w:color w:val="000000"/>
          <w:sz w:val="28"/>
          <w:szCs w:val="28"/>
          <w:shd w:val="clear" w:color="auto" w:fill="FFFFFF"/>
          <w:lang w:val="en-US"/>
        </w:rPr>
        <w:t xml:space="preserve">Potential of application of the apparent diffusion coefficient as the imaging biomarker of the clear cell renal cell carcinoma of various grades of differentiation. </w:t>
      </w:r>
      <w:r w:rsidRPr="00981822">
        <w:rPr>
          <w:rFonts w:ascii="Times New Roman" w:eastAsia="Times New Roman" w:hAnsi="Times New Roman"/>
          <w:color w:val="000000"/>
          <w:sz w:val="28"/>
          <w:szCs w:val="28"/>
          <w:lang w:eastAsia="uk-UA"/>
        </w:rPr>
        <w:t>European Journal of Medical Technologies</w:t>
      </w:r>
      <w:r w:rsidRPr="00981822">
        <w:rPr>
          <w:rFonts w:ascii="Times New Roman" w:eastAsia="Times New Roman" w:hAnsi="Times New Roman"/>
          <w:color w:val="000000"/>
          <w:sz w:val="28"/>
          <w:szCs w:val="28"/>
          <w:lang w:val="en-US" w:eastAsia="uk-UA"/>
        </w:rPr>
        <w:t xml:space="preserve">. 2017 Sept 21; </w:t>
      </w:r>
      <w:r w:rsidRPr="00981822">
        <w:rPr>
          <w:rFonts w:ascii="Times New Roman" w:eastAsia="Times New Roman" w:hAnsi="Times New Roman"/>
          <w:color w:val="000000"/>
          <w:sz w:val="28"/>
          <w:szCs w:val="28"/>
          <w:lang w:eastAsia="uk-UA"/>
        </w:rPr>
        <w:t>3(16): 52-57.</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Mytsyk YO,</w:t>
      </w:r>
      <w:r w:rsidRPr="00981822">
        <w:rPr>
          <w:rFonts w:ascii="Times New Roman" w:hAnsi="Times New Roman"/>
          <w:sz w:val="28"/>
          <w:szCs w:val="28"/>
          <w:shd w:val="clear" w:color="auto" w:fill="FFFFFF"/>
          <w:lang w:val="en-US"/>
        </w:rPr>
        <w:t xml:space="preserve"> Dutka IY, Borys YB, Komnatska IM, Shatynska-Mytsyk IM, Farrooqi AA. Using the diffusion-weighted MRI for differentiation of the malignant and benign renal neoplasms. Advances in Urological Practice. 2016 Mar 13; 1: 23-32.</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Mytsyk YO,</w:t>
      </w:r>
      <w:r w:rsidRPr="00981822">
        <w:rPr>
          <w:rFonts w:ascii="Times New Roman" w:hAnsi="Times New Roman"/>
          <w:sz w:val="28"/>
          <w:szCs w:val="28"/>
          <w:shd w:val="clear" w:color="auto" w:fill="FFFFFF"/>
          <w:lang w:val="en-US"/>
        </w:rPr>
        <w:t xml:space="preserve"> Dutka IY, Borys YB, Komnatska IM, Shatynska-Mytsyk IM, Farrooqi AA, et al. </w:t>
      </w:r>
      <w:r w:rsidRPr="00981822">
        <w:rPr>
          <w:rFonts w:ascii="Times New Roman" w:hAnsi="Times New Roman"/>
          <w:bCs/>
          <w:sz w:val="28"/>
          <w:szCs w:val="28"/>
          <w:shd w:val="clear" w:color="auto" w:fill="FFFFFF"/>
          <w:lang w:val="en-US" w:eastAsia="x-none"/>
        </w:rPr>
        <w:t>Renal cell carcinoma: applicability of the apparent coefficient of the diffusion‑weighted estimated by MRI for improving their</w:t>
      </w:r>
      <w:r w:rsidRPr="00981822">
        <w:rPr>
          <w:rFonts w:ascii="Times New Roman" w:hAnsi="Times New Roman"/>
          <w:color w:val="000000"/>
          <w:sz w:val="28"/>
          <w:szCs w:val="28"/>
          <w:lang w:val="en-US"/>
        </w:rPr>
        <w:t xml:space="preserve"> </w:t>
      </w:r>
      <w:r w:rsidRPr="00981822">
        <w:rPr>
          <w:rFonts w:ascii="Times New Roman" w:hAnsi="Times New Roman"/>
          <w:bCs/>
          <w:sz w:val="28"/>
          <w:szCs w:val="28"/>
          <w:shd w:val="clear" w:color="auto" w:fill="FFFFFF"/>
          <w:lang w:val="en-US" w:eastAsia="x-none"/>
        </w:rPr>
        <w:t>differential diagnosis, histologic subtyping, and differentiation grade.</w:t>
      </w:r>
      <w:r w:rsidRPr="00981822">
        <w:rPr>
          <w:rFonts w:ascii="Times New Roman" w:hAnsi="Times New Roman"/>
          <w:color w:val="000000"/>
          <w:sz w:val="28"/>
          <w:szCs w:val="28"/>
          <w:lang w:val="en-US"/>
        </w:rPr>
        <w:t xml:space="preserve"> </w:t>
      </w:r>
      <w:r w:rsidRPr="00981822">
        <w:rPr>
          <w:rFonts w:ascii="Times New Roman" w:hAnsi="Times New Roman"/>
          <w:sz w:val="28"/>
          <w:szCs w:val="28"/>
          <w:shd w:val="clear" w:color="auto" w:fill="FFFFFF"/>
        </w:rPr>
        <w:t>Int Urol Nephrol</w:t>
      </w:r>
      <w:r w:rsidRPr="00981822">
        <w:rPr>
          <w:rFonts w:ascii="Times New Roman" w:hAnsi="Times New Roman"/>
          <w:sz w:val="28"/>
          <w:szCs w:val="28"/>
          <w:shd w:val="clear" w:color="auto" w:fill="FFFFFF"/>
          <w:lang w:val="en-US"/>
        </w:rPr>
        <w:t>. 2017 Feb 12; 49(2):215-224.</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Mytsyk YO,</w:t>
      </w:r>
      <w:r w:rsidRPr="00981822">
        <w:rPr>
          <w:rFonts w:ascii="Times New Roman" w:hAnsi="Times New Roman"/>
          <w:sz w:val="28"/>
          <w:szCs w:val="28"/>
          <w:shd w:val="clear" w:color="auto" w:fill="FFFFFF"/>
          <w:lang w:val="en-US"/>
        </w:rPr>
        <w:t xml:space="preserve"> </w:t>
      </w:r>
      <w:r w:rsidRPr="00981822">
        <w:rPr>
          <w:rFonts w:ascii="Times New Roman" w:hAnsi="Times New Roman"/>
          <w:sz w:val="28"/>
          <w:szCs w:val="28"/>
          <w:shd w:val="clear" w:color="auto" w:fill="FFFFFF"/>
        </w:rPr>
        <w:t xml:space="preserve">Dutka IY, Borys YB, </w:t>
      </w:r>
      <w:r w:rsidRPr="00981822">
        <w:rPr>
          <w:rFonts w:ascii="Times New Roman" w:hAnsi="Times New Roman"/>
          <w:sz w:val="28"/>
          <w:szCs w:val="28"/>
          <w:shd w:val="clear" w:color="auto" w:fill="FFFFFF"/>
          <w:lang w:val="en-US"/>
        </w:rPr>
        <w:t>Maksymovych</w:t>
      </w:r>
      <w:r w:rsidRPr="00981822">
        <w:rPr>
          <w:rFonts w:ascii="Times New Roman" w:hAnsi="Times New Roman"/>
          <w:sz w:val="28"/>
          <w:szCs w:val="28"/>
          <w:shd w:val="clear" w:color="auto" w:fill="FFFFFF"/>
        </w:rPr>
        <w:t xml:space="preserve"> </w:t>
      </w:r>
      <w:r w:rsidRPr="00981822">
        <w:rPr>
          <w:rFonts w:ascii="Times New Roman" w:hAnsi="Times New Roman"/>
          <w:sz w:val="28"/>
          <w:szCs w:val="28"/>
          <w:shd w:val="clear" w:color="auto" w:fill="FFFFFF"/>
          <w:lang w:val="en-US"/>
        </w:rPr>
        <w:t>I</w:t>
      </w:r>
      <w:r w:rsidRPr="00981822">
        <w:rPr>
          <w:rFonts w:ascii="Times New Roman" w:hAnsi="Times New Roman"/>
          <w:sz w:val="28"/>
          <w:szCs w:val="28"/>
          <w:shd w:val="clear" w:color="auto" w:fill="FFFFFF"/>
        </w:rPr>
        <w:t>R,</w:t>
      </w:r>
      <w:r w:rsidRPr="00981822">
        <w:rPr>
          <w:rFonts w:ascii="Times New Roman" w:hAnsi="Times New Roman"/>
          <w:sz w:val="28"/>
          <w:szCs w:val="28"/>
          <w:shd w:val="clear" w:color="auto" w:fill="FFFFFF"/>
          <w:lang w:val="en-US"/>
        </w:rPr>
        <w:t xml:space="preserve"> </w:t>
      </w:r>
      <w:r w:rsidRPr="00981822">
        <w:rPr>
          <w:rFonts w:ascii="Times New Roman" w:hAnsi="Times New Roman"/>
          <w:sz w:val="28"/>
          <w:szCs w:val="28"/>
          <w:shd w:val="clear" w:color="auto" w:fill="FFFFFF"/>
        </w:rPr>
        <w:t xml:space="preserve">Caprnda </w:t>
      </w:r>
      <w:r w:rsidRPr="00981822">
        <w:rPr>
          <w:rFonts w:ascii="Times New Roman" w:hAnsi="Times New Roman"/>
          <w:sz w:val="28"/>
          <w:szCs w:val="28"/>
          <w:shd w:val="clear" w:color="auto" w:fill="FFFFFF"/>
          <w:lang w:val="en-US"/>
        </w:rPr>
        <w:t>M</w:t>
      </w:r>
      <w:r w:rsidRPr="00981822">
        <w:rPr>
          <w:rFonts w:ascii="Times New Roman" w:hAnsi="Times New Roman"/>
          <w:sz w:val="28"/>
          <w:szCs w:val="28"/>
          <w:shd w:val="clear" w:color="auto" w:fill="FFFFFF"/>
        </w:rPr>
        <w:t>,</w:t>
      </w:r>
      <w:r w:rsidRPr="00981822">
        <w:rPr>
          <w:rFonts w:ascii="Times New Roman" w:hAnsi="Times New Roman"/>
          <w:sz w:val="28"/>
          <w:szCs w:val="28"/>
          <w:shd w:val="clear" w:color="auto" w:fill="FFFFFF"/>
          <w:lang w:val="en-US"/>
        </w:rPr>
        <w:t xml:space="preserve"> </w:t>
      </w:r>
      <w:r w:rsidRPr="00981822">
        <w:rPr>
          <w:rFonts w:ascii="Times New Roman" w:hAnsi="Times New Roman"/>
          <w:sz w:val="28"/>
          <w:szCs w:val="28"/>
          <w:shd w:val="clear" w:color="auto" w:fill="FFFFFF"/>
        </w:rPr>
        <w:t>Gazdikova</w:t>
      </w:r>
      <w:r w:rsidRPr="00981822">
        <w:rPr>
          <w:rFonts w:ascii="Times New Roman" w:hAnsi="Times New Roman"/>
          <w:sz w:val="28"/>
          <w:szCs w:val="28"/>
          <w:shd w:val="clear" w:color="auto" w:fill="FFFFFF"/>
          <w:lang w:val="en-US"/>
        </w:rPr>
        <w:t xml:space="preserve"> K, et al. </w:t>
      </w:r>
      <w:r w:rsidRPr="00981822">
        <w:rPr>
          <w:rFonts w:ascii="Times New Roman" w:hAnsi="Times New Roman"/>
          <w:color w:val="000000"/>
          <w:sz w:val="28"/>
          <w:szCs w:val="28"/>
          <w:shd w:val="clear" w:color="auto" w:fill="FFFFFF"/>
          <w:lang w:val="en-US"/>
        </w:rPr>
        <w:t>Differential diagnosis of the small renal masses: role of the apparent diffusion coefficient of the diffusion-weighted MRI.</w:t>
      </w:r>
      <w:r w:rsidRPr="00981822">
        <w:rPr>
          <w:rFonts w:ascii="Times New Roman" w:hAnsi="Times New Roman"/>
          <w:sz w:val="28"/>
          <w:szCs w:val="28"/>
          <w:lang w:eastAsia="uk-UA"/>
        </w:rPr>
        <w:t xml:space="preserve"> Int Urol Nephrol. 2018 Feb</w:t>
      </w:r>
      <w:r w:rsidRPr="00981822">
        <w:rPr>
          <w:rFonts w:ascii="Times New Roman" w:hAnsi="Times New Roman"/>
          <w:sz w:val="28"/>
          <w:szCs w:val="28"/>
          <w:lang w:val="en-US" w:eastAsia="uk-UA"/>
        </w:rPr>
        <w:t xml:space="preserve"> 1</w:t>
      </w:r>
      <w:r w:rsidRPr="00981822">
        <w:rPr>
          <w:rFonts w:ascii="Times New Roman" w:hAnsi="Times New Roman"/>
          <w:sz w:val="28"/>
          <w:szCs w:val="28"/>
          <w:lang w:eastAsia="uk-UA"/>
        </w:rPr>
        <w:t>;50(2):197-204.</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 xml:space="preserve">Mytsyk YO, </w:t>
      </w:r>
      <w:r w:rsidRPr="00981822">
        <w:rPr>
          <w:rFonts w:ascii="Times New Roman" w:hAnsi="Times New Roman"/>
          <w:sz w:val="28"/>
          <w:szCs w:val="28"/>
          <w:shd w:val="clear" w:color="auto" w:fill="FFFFFF"/>
          <w:lang w:val="en-US"/>
        </w:rPr>
        <w:t xml:space="preserve">Dutka IY, Komnatska IM, Górecki A, Borys YB, Shatynska -Mytsyk IS. Diffusion-weighted MRI of kidney in the diagnosis of clear cell renal cell carcinoma of various grades of differentiation. Journal of Pre-Clinical and Clinical Research. 2015 Jun 18: 9(1):30-35. </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Mytsyk YO. The differential diagnostics of the malignant renal lesions: the Application of the diffusion-weighted imaging of the renal cell carcinoma [Internet]. Medtube;</w:t>
      </w:r>
      <w:r w:rsidRPr="00981822">
        <w:rPr>
          <w:rFonts w:ascii="Times New Roman" w:hAnsi="Times New Roman"/>
          <w:color w:val="000000"/>
          <w:sz w:val="28"/>
          <w:szCs w:val="28"/>
          <w:lang w:val="en-US"/>
        </w:rPr>
        <w:t xml:space="preserve"> 2015 [updated 2015 June 12; cited 2015 June 12]. Available from: </w:t>
      </w:r>
      <w:r w:rsidRPr="00981822">
        <w:rPr>
          <w:rFonts w:ascii="Times New Roman" w:hAnsi="Times New Roman"/>
          <w:sz w:val="28"/>
          <w:szCs w:val="28"/>
        </w:rPr>
        <w:t>https://medtube.net/urology/medical-documents/17039-the-differential-</w:t>
      </w:r>
      <w:r w:rsidRPr="00981822">
        <w:rPr>
          <w:rFonts w:ascii="Times New Roman" w:hAnsi="Times New Roman"/>
          <w:sz w:val="28"/>
          <w:szCs w:val="28"/>
        </w:rPr>
        <w:lastRenderedPageBreak/>
        <w:t>diagnostics-of-the-malignant-renal-lesions-the-application-of-the-diffusion-weighted-imaging-of-the-renal-cell-carcinoma</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Mytsyk YO</w:t>
      </w:r>
      <w:r w:rsidRPr="00981822">
        <w:rPr>
          <w:rFonts w:ascii="Times New Roman" w:hAnsi="Times New Roman"/>
          <w:sz w:val="28"/>
          <w:szCs w:val="28"/>
        </w:rPr>
        <w:t xml:space="preserve">. </w:t>
      </w:r>
      <w:r w:rsidRPr="00981822">
        <w:rPr>
          <w:rFonts w:ascii="Times New Roman" w:hAnsi="Times New Roman"/>
          <w:color w:val="000000"/>
          <w:sz w:val="28"/>
          <w:szCs w:val="28"/>
        </w:rPr>
        <w:t>The morbidity and mortality rates in patients with renal cell carcinoma in Ukraine. Експериментальна та клінічна фізіологія і біохімія. 2015 Сер 23; 71(3): 67-71.</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hAnsi="Times New Roman"/>
          <w:sz w:val="28"/>
          <w:szCs w:val="28"/>
          <w:lang w:val="en-US"/>
        </w:rPr>
        <w:t>Mytsyk YO</w:t>
      </w:r>
      <w:r w:rsidRPr="00981822">
        <w:rPr>
          <w:rFonts w:ascii="Times New Roman" w:hAnsi="Times New Roman"/>
          <w:sz w:val="28"/>
          <w:szCs w:val="28"/>
        </w:rPr>
        <w:t xml:space="preserve">. The role of the diffusion-weighted MRI in the differential diagnostics of the clear cell renal cell carcinoma of different Fuhrman grades. </w:t>
      </w:r>
      <w:r w:rsidRPr="00981822">
        <w:rPr>
          <w:rFonts w:ascii="Times New Roman" w:hAnsi="Times New Roman"/>
          <w:color w:val="000000"/>
          <w:sz w:val="28"/>
          <w:szCs w:val="28"/>
        </w:rPr>
        <w:t>Медицина транспорту України. 2015 Бер 01; 53(1): 9-14.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Nakada C, Matsuura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 Tsukamoto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Tanigawa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 Yoshimoto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 Narimatsu</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et al. Genome-Wide microRNA Expression Profiling in Renal Cell Carcinoma: Significant down-Regulation of miR-141 and miR-200c.</w:t>
      </w:r>
      <w:r w:rsidRPr="00981822">
        <w:rPr>
          <w:rFonts w:ascii="Times New Roman" w:hAnsi="Times New Roman"/>
          <w:iCs/>
          <w:color w:val="000000"/>
          <w:sz w:val="28"/>
          <w:szCs w:val="28"/>
          <w:lang w:val="en-US" w:eastAsia="uk-UA"/>
        </w:rPr>
        <w:t xml:space="preserve"> J Pathol</w:t>
      </w:r>
      <w:r w:rsidRPr="00981822">
        <w:rPr>
          <w:rFonts w:ascii="Times New Roman" w:hAnsi="Times New Roman"/>
          <w:iCs/>
          <w:color w:val="000000"/>
          <w:sz w:val="28"/>
          <w:szCs w:val="28"/>
          <w:lang w:eastAsia="uk-UA"/>
        </w:rPr>
        <w:t xml:space="preserve">. 2008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216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4):418–27. doi:10.1002/path.2437.</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Nakada C, Tsukamoto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Matsuura</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Nguyen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TL, Hijiya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Uchida</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Overexpression of miR-210, a Downstream Target of HIF1α, Causes Centrosome Amplification in Renal Carcinoma Cells. </w:t>
      </w:r>
      <w:r w:rsidRPr="00981822">
        <w:rPr>
          <w:rFonts w:ascii="Times New Roman" w:hAnsi="Times New Roman"/>
          <w:iCs/>
          <w:color w:val="000000"/>
          <w:sz w:val="28"/>
          <w:szCs w:val="28"/>
          <w:lang w:val="en-US" w:eastAsia="uk-UA"/>
        </w:rPr>
        <w:t>J Pathol</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Jun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224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:280–8. doi:10.1002/path.2860.</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Nakata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Uemura</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Sato</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Fujita</w:t>
      </w:r>
      <w:r w:rsidRPr="00981822">
        <w:rPr>
          <w:rFonts w:ascii="Times New Roman" w:hAnsi="Times New Roman"/>
          <w:color w:val="000000"/>
          <w:sz w:val="28"/>
          <w:szCs w:val="28"/>
          <w:lang w:eastAsia="uk-UA"/>
        </w:rPr>
        <w:t xml:space="preserve"> К, </w:t>
      </w:r>
      <w:r w:rsidRPr="00981822">
        <w:rPr>
          <w:rFonts w:ascii="Times New Roman" w:hAnsi="Times New Roman"/>
          <w:color w:val="000000"/>
          <w:sz w:val="28"/>
          <w:szCs w:val="28"/>
          <w:lang w:val="en-US" w:eastAsia="uk-UA"/>
        </w:rPr>
        <w:t>Jingushi</w:t>
      </w:r>
      <w:r w:rsidRPr="00981822">
        <w:rPr>
          <w:rFonts w:ascii="Times New Roman" w:hAnsi="Times New Roman"/>
          <w:color w:val="000000"/>
          <w:sz w:val="28"/>
          <w:szCs w:val="28"/>
          <w:lang w:eastAsia="uk-UA"/>
        </w:rPr>
        <w:t xml:space="preserve"> К, </w:t>
      </w:r>
      <w:r w:rsidRPr="00981822">
        <w:rPr>
          <w:rFonts w:ascii="Times New Roman" w:hAnsi="Times New Roman"/>
          <w:color w:val="000000"/>
          <w:sz w:val="28"/>
          <w:szCs w:val="28"/>
          <w:lang w:val="en-US" w:eastAsia="uk-UA"/>
        </w:rPr>
        <w:t>Ueda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 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Expression of miR-27a-3p Is an Independent Predictive Factor for Recurrence in Clear Cell Renal Cell Carcinoma. </w:t>
      </w:r>
      <w:r w:rsidRPr="00981822">
        <w:rPr>
          <w:rFonts w:ascii="Times New Roman" w:hAnsi="Times New Roman"/>
          <w:iCs/>
          <w:color w:val="000000"/>
          <w:sz w:val="28"/>
          <w:szCs w:val="28"/>
          <w:lang w:val="en-US" w:eastAsia="uk-UA"/>
        </w:rPr>
        <w:t>Oncotarget</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Aug 28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25):21645–54. doi:10.18632/oncotarget.4064.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Nathan P, Vinayan</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Imaging Techniques as Predictive and Prognostic Biomarkers in Renal Cell Carcinoma. </w:t>
      </w:r>
      <w:r w:rsidRPr="00981822">
        <w:rPr>
          <w:rFonts w:ascii="Times New Roman" w:hAnsi="Times New Roman"/>
          <w:iCs/>
          <w:color w:val="000000"/>
          <w:sz w:val="28"/>
          <w:szCs w:val="28"/>
          <w:lang w:val="en-US" w:eastAsia="uk-UA"/>
        </w:rPr>
        <w:t>Ther Adv Med Oncol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:119–31. doi:10.1177/1758834012463624.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Nathan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Vinayan</w:t>
      </w:r>
      <w:r w:rsidRPr="00981822">
        <w:rPr>
          <w:rFonts w:ascii="Times New Roman" w:hAnsi="Times New Roman"/>
          <w:color w:val="000000"/>
          <w:sz w:val="28"/>
          <w:szCs w:val="28"/>
          <w:lang w:eastAsia="uk-UA"/>
        </w:rPr>
        <w:t xml:space="preserve"> А, </w:t>
      </w:r>
      <w:r w:rsidRPr="00981822">
        <w:rPr>
          <w:rFonts w:ascii="Times New Roman" w:hAnsi="Times New Roman"/>
          <w:color w:val="000000"/>
          <w:sz w:val="28"/>
          <w:szCs w:val="28"/>
          <w:lang w:val="en-US" w:eastAsia="uk-UA"/>
        </w:rPr>
        <w:t>Stott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Juttla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Goh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CT Response Assessment Combining Reduction in Both Size and Arterial Phase Density Correlates with Time to Progression in Metastatic Renal Cancer Patients Treated with Targeted Therapies. </w:t>
      </w:r>
      <w:r w:rsidRPr="00981822">
        <w:rPr>
          <w:rFonts w:ascii="Times New Roman" w:hAnsi="Times New Roman"/>
          <w:iCs/>
          <w:color w:val="000000"/>
          <w:sz w:val="28"/>
          <w:szCs w:val="28"/>
          <w:lang w:val="en-US" w:eastAsia="uk-UA"/>
        </w:rPr>
        <w:t>Cancer Biol Ther</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1):15–9.</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Neal CS, Michael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MZ, Rawlings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LH, Van der Hoek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MB, Gleadle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JM. The VHL-Dependent Regulation of microRNAs in Renal Cancer. </w:t>
      </w:r>
      <w:r w:rsidRPr="00981822">
        <w:rPr>
          <w:rFonts w:ascii="Times New Roman" w:hAnsi="Times New Roman"/>
          <w:iCs/>
          <w:color w:val="000000"/>
          <w:sz w:val="28"/>
          <w:szCs w:val="28"/>
          <w:lang w:val="en-US" w:eastAsia="uk-UA"/>
        </w:rPr>
        <w:t>BMC Med</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Oct 21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8:64. doi:10.1186/1741-7015-8-64.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lastRenderedPageBreak/>
        <w:t xml:space="preserve">Nisman B, Yutkin V, Nechushtan H, </w:t>
      </w:r>
      <w:r w:rsidRPr="00981822">
        <w:rPr>
          <w:rFonts w:ascii="Times New Roman" w:hAnsi="Times New Roman"/>
          <w:sz w:val="28"/>
          <w:szCs w:val="28"/>
          <w:lang w:val="en-US"/>
        </w:rPr>
        <w:t>Gofrit ON, Peretz T, Gronowitz S,</w:t>
      </w:r>
      <w:r w:rsidRPr="00981822">
        <w:rPr>
          <w:rFonts w:ascii="Times New Roman" w:hAnsi="Times New Roman"/>
        </w:rPr>
        <w:t xml:space="preserve"> </w:t>
      </w:r>
      <w:r w:rsidRPr="00981822">
        <w:rPr>
          <w:rFonts w:ascii="Times New Roman" w:hAnsi="Times New Roman"/>
          <w:color w:val="000000"/>
          <w:sz w:val="28"/>
          <w:szCs w:val="28"/>
          <w:shd w:val="clear" w:color="auto" w:fill="FFFFFF"/>
          <w:lang w:val="en-US"/>
        </w:rPr>
        <w:t>et al. Circulating tumor M2 pyruvate kinase and thymidine kinase 1 are potential predictors for disease recurrence in renal cell carcinoma after nephrectomy.</w:t>
      </w:r>
      <w:r w:rsidRPr="00981822">
        <w:rPr>
          <w:rFonts w:ascii="Times New Roman" w:hAnsi="Times New Roman"/>
          <w:color w:val="000000"/>
          <w:sz w:val="28"/>
          <w:szCs w:val="28"/>
          <w:shd w:val="clear" w:color="auto" w:fill="FFFFFF"/>
        </w:rPr>
        <w:t xml:space="preserve"> </w:t>
      </w:r>
      <w:r w:rsidRPr="00BA3D6E">
        <w:rPr>
          <w:rStyle w:val="Emphasis"/>
          <w:rFonts w:ascii="Times New Roman" w:hAnsi="Times New Roman"/>
          <w:i w:val="0"/>
          <w:iCs w:val="0"/>
          <w:color w:val="000000"/>
          <w:sz w:val="28"/>
          <w:szCs w:val="28"/>
          <w:shd w:val="clear" w:color="auto" w:fill="FFFFFF"/>
          <w:lang w:val="en-US"/>
        </w:rPr>
        <w:t>Urology</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2010</w:t>
      </w:r>
      <w:r w:rsidRPr="00981822">
        <w:rPr>
          <w:rFonts w:ascii="Times New Roman" w:hAnsi="Times New Roman"/>
        </w:rPr>
        <w:t xml:space="preserve"> </w:t>
      </w:r>
      <w:r w:rsidRPr="00981822">
        <w:rPr>
          <w:rFonts w:ascii="Times New Roman" w:hAnsi="Times New Roman"/>
          <w:sz w:val="28"/>
          <w:szCs w:val="28"/>
        </w:rPr>
        <w:t>Aug</w:t>
      </w:r>
      <w:r w:rsidRPr="00981822">
        <w:rPr>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76</w:t>
      </w:r>
      <w:r w:rsidRPr="00981822">
        <w:rPr>
          <w:rFonts w:ascii="Times New Roman" w:hAnsi="Times New Roman"/>
          <w:color w:val="000000"/>
          <w:sz w:val="28"/>
          <w:szCs w:val="28"/>
          <w:shd w:val="clear" w:color="auto" w:fill="FFFFFF"/>
          <w:lang w:val="en-US"/>
        </w:rPr>
        <w:t>(2):513.e1–6.</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t>Notohamiprodjo M, Glaser</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Herrmann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KA, Dietrich</w:t>
      </w:r>
      <w:r w:rsidRPr="00981822">
        <w:rPr>
          <w:rFonts w:ascii="Times New Roman" w:hAnsi="Times New Roman"/>
          <w:color w:val="000000"/>
          <w:sz w:val="28"/>
          <w:szCs w:val="28"/>
          <w:lang w:eastAsia="uk-UA"/>
        </w:rPr>
        <w:t xml:space="preserve"> О</w:t>
      </w:r>
      <w:r w:rsidRPr="00981822">
        <w:rPr>
          <w:rFonts w:ascii="Times New Roman" w:hAnsi="Times New Roman"/>
          <w:color w:val="000000"/>
          <w:sz w:val="28"/>
          <w:szCs w:val="28"/>
          <w:lang w:val="en-US" w:eastAsia="uk-UA"/>
        </w:rPr>
        <w:t>, Attenberger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UI, Reiser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Diffusion Tensor Imaging of the Kidney with Parallel Imaging: Initial Clinical Experience. </w:t>
      </w:r>
      <w:r w:rsidRPr="00981822">
        <w:rPr>
          <w:rFonts w:ascii="Times New Roman" w:hAnsi="Times New Roman"/>
          <w:iCs/>
          <w:color w:val="000000"/>
          <w:sz w:val="28"/>
          <w:szCs w:val="28"/>
          <w:lang w:val="en-US" w:eastAsia="uk-UA"/>
        </w:rPr>
        <w:t>Invest Radiol</w:t>
      </w:r>
      <w:r w:rsidRPr="00981822">
        <w:rPr>
          <w:rFonts w:ascii="Times New Roman" w:hAnsi="Times New Roman"/>
          <w:iCs/>
          <w:color w:val="000000"/>
          <w:sz w:val="28"/>
          <w:szCs w:val="28"/>
          <w:lang w:eastAsia="uk-UA"/>
        </w:rPr>
        <w:t xml:space="preserve">. 2008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10):677–85. </w:t>
      </w:r>
      <w:r w:rsidRPr="00981822">
        <w:rPr>
          <w:rFonts w:ascii="Times New Roman" w:hAnsi="Times New Roman"/>
          <w:sz w:val="28"/>
          <w:szCs w:val="28"/>
          <w:lang w:val="en-US" w:eastAsia="uk-UA"/>
        </w:rPr>
        <w:t>https://doi.org/10.1097/RLI.0b013e31817d14e6</w:t>
      </w:r>
      <w:r w:rsidRPr="00981822">
        <w:rPr>
          <w:rFonts w:ascii="Times New Roman" w:hAnsi="Times New Roman"/>
          <w:color w:val="000000"/>
          <w:sz w:val="28"/>
          <w:szCs w:val="28"/>
          <w:lang w:val="en-US" w:eastAsia="uk-UA"/>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Notohamiprodjo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Sourbron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Staehler</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Michaely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Attenberger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UI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Schmidt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GP</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Measuring Perfusion and Permeability in Renal Cell Carcinoma with Dynamic Contrast-Enhanced MRI: A Pilot Study. </w:t>
      </w:r>
      <w:r w:rsidRPr="00981822">
        <w:rPr>
          <w:rFonts w:ascii="Times New Roman" w:hAnsi="Times New Roman"/>
          <w:iCs/>
          <w:color w:val="000000"/>
          <w:sz w:val="28"/>
          <w:szCs w:val="28"/>
          <w:lang w:val="en-US" w:eastAsia="uk-UA"/>
        </w:rPr>
        <w:t>J Magnet Resonance Imaging</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2):490–501.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Novara G, Martignoni G, Artibani W, Ficarra V.</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Grading systems in renal cell carcinoma. J Urol.</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2007</w:t>
      </w:r>
      <w:r w:rsidRPr="00981822">
        <w:rPr>
          <w:rFonts w:ascii="Times New Roman" w:hAnsi="Times New Roman"/>
        </w:rPr>
        <w:t xml:space="preserve"> </w:t>
      </w:r>
      <w:r w:rsidRPr="00981822">
        <w:rPr>
          <w:rFonts w:ascii="Times New Roman" w:hAnsi="Times New Roman"/>
          <w:sz w:val="28"/>
          <w:szCs w:val="28"/>
        </w:rPr>
        <w:t>Feb;</w:t>
      </w:r>
      <w:r w:rsidRPr="00981822">
        <w:rPr>
          <w:rStyle w:val="highlight"/>
          <w:rFonts w:ascii="Times New Roman" w:hAnsi="Times New Roman"/>
          <w:sz w:val="28"/>
          <w:szCs w:val="28"/>
        </w:rPr>
        <w:t>177</w:t>
      </w:r>
      <w:r w:rsidRPr="00981822">
        <w:rPr>
          <w:rFonts w:ascii="Times New Roman" w:hAnsi="Times New Roman"/>
          <w:sz w:val="28"/>
          <w:szCs w:val="28"/>
        </w:rPr>
        <w:t>(2)</w:t>
      </w:r>
      <w:r w:rsidRPr="00981822">
        <w:rPr>
          <w:rFonts w:ascii="Times New Roman" w:hAnsi="Times New Roman"/>
          <w:color w:val="000000"/>
          <w:sz w:val="28"/>
          <w:szCs w:val="28"/>
          <w:lang w:val="en-US"/>
        </w:rPr>
        <w:t>:430–6.</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Oh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Sung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Sim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KC</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Park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Correlation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of CT Imaging Features and Tumor Size with Fuhrman Grade of Clear Cell Renal Cell Carcinoma. </w:t>
      </w:r>
      <w:r w:rsidRPr="00981822">
        <w:rPr>
          <w:rFonts w:ascii="Times New Roman" w:hAnsi="Times New Roman"/>
          <w:iCs/>
          <w:color w:val="000000"/>
          <w:sz w:val="28"/>
          <w:szCs w:val="28"/>
          <w:lang w:val="en-US" w:eastAsia="uk-UA"/>
        </w:rPr>
        <w:t>Acta Radiol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Mar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3):376–84.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Oliva MR, Glickman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JN, Zou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KH, Teo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SY, Mortelé</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KJ, Rocha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al. Renal Cell Carcinoma: T1 and T2 Signal Intensity Characteristics of Papillary and Clear Cell Types Correlated with Pathology. AJR </w:t>
      </w:r>
      <w:r w:rsidRPr="00981822">
        <w:rPr>
          <w:rFonts w:ascii="Times New Roman" w:hAnsi="Times New Roman"/>
          <w:iCs/>
          <w:color w:val="000000"/>
          <w:sz w:val="28"/>
          <w:szCs w:val="28"/>
          <w:lang w:val="en-US" w:eastAsia="uk-UA"/>
        </w:rPr>
        <w:t>Am J Roentgenol</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Jun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192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6):1524–30. doi:10.2214/AJR.08.1727.</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Oosterwijk E, Rathmell WK, Junker K, </w:t>
      </w:r>
      <w:r w:rsidRPr="00981822">
        <w:rPr>
          <w:rFonts w:ascii="Times New Roman" w:hAnsi="Times New Roman"/>
          <w:sz w:val="28"/>
          <w:szCs w:val="28"/>
          <w:lang w:val="en-US"/>
        </w:rPr>
        <w:t>Brannon AR, Pouliot F, Finley DS,</w:t>
      </w:r>
      <w:r w:rsidRPr="00981822">
        <w:rPr>
          <w:rFonts w:ascii="Times New Roman" w:hAnsi="Times New Roman"/>
        </w:rPr>
        <w:t xml:space="preserve"> </w:t>
      </w:r>
      <w:r w:rsidRPr="00981822">
        <w:rPr>
          <w:rFonts w:ascii="Times New Roman" w:hAnsi="Times New Roman"/>
          <w:color w:val="000000"/>
          <w:sz w:val="28"/>
          <w:szCs w:val="28"/>
          <w:lang w:val="en-US"/>
        </w:rPr>
        <w:t>et al. Basic research in kidney cancer. Eur Urol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2011</w:t>
      </w:r>
      <w:r w:rsidRPr="00981822">
        <w:rPr>
          <w:rFonts w:ascii="Times New Roman" w:hAnsi="Times New Roman"/>
          <w:lang w:val="en-US"/>
        </w:rPr>
        <w:t xml:space="preserve"> </w:t>
      </w:r>
      <w:r w:rsidRPr="00981822">
        <w:rPr>
          <w:rFonts w:ascii="Times New Roman" w:hAnsi="Times New Roman"/>
          <w:sz w:val="28"/>
          <w:szCs w:val="28"/>
          <w:lang w:val="en-US"/>
        </w:rPr>
        <w:t>Oct</w:t>
      </w:r>
      <w:r w:rsidRPr="00981822">
        <w:rPr>
          <w:rFonts w:ascii="Times New Roman" w:hAnsi="Times New Roman"/>
          <w:color w:val="000000"/>
          <w:sz w:val="28"/>
          <w:szCs w:val="28"/>
          <w:lang w:val="en-US"/>
        </w:rPr>
        <w:t>;60(4):622–33.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Oz Atalay F, Vuruskan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BA, Vuruskan</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xml:space="preserve">. Significance of Amyloid A Immunoexpression in the Prognosis of Renal Cell Carcinoma. </w:t>
      </w:r>
      <w:r w:rsidRPr="00981822">
        <w:rPr>
          <w:rFonts w:ascii="Times New Roman" w:hAnsi="Times New Roman"/>
          <w:iCs/>
          <w:color w:val="000000"/>
          <w:sz w:val="28"/>
          <w:szCs w:val="28"/>
          <w:lang w:val="en-US" w:eastAsia="uk-UA"/>
        </w:rPr>
        <w:t>Acta Pathol Microbiol Immunol Scand</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4):257–62.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Ozcan A, Zhai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Hamilton</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Shen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SS, Ro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JY, Krishnan</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al. PAX-2 in the Diagnosis of Primary Renal Tumors: Immunohistochemical Comparison </w:t>
      </w:r>
      <w:r w:rsidRPr="00981822">
        <w:rPr>
          <w:rFonts w:ascii="Times New Roman" w:hAnsi="Times New Roman"/>
          <w:color w:val="000000"/>
          <w:sz w:val="28"/>
          <w:szCs w:val="28"/>
          <w:lang w:val="en-US" w:eastAsia="uk-UA"/>
        </w:rPr>
        <w:lastRenderedPageBreak/>
        <w:t xml:space="preserve">With Renal Cell Carcinoma Marker Antigen and Kidney-Specific Cadherin. </w:t>
      </w:r>
      <w:r w:rsidRPr="00981822">
        <w:rPr>
          <w:rFonts w:ascii="Times New Roman" w:hAnsi="Times New Roman"/>
          <w:iCs/>
          <w:color w:val="000000"/>
          <w:sz w:val="28"/>
          <w:szCs w:val="28"/>
          <w:lang w:val="en-US" w:eastAsia="uk-UA"/>
        </w:rPr>
        <w:t>Am J Clin Pathol</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131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3):393–404. </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lang w:val="en-US"/>
        </w:rPr>
        <w:t>Ozer G, Altinel M, Kocak B, Yazicioglu A, Gonenc F. Value of urinary NMP-22 in patients with renal cell carcinoma.</w:t>
      </w:r>
      <w:r w:rsidRPr="00981822">
        <w:rPr>
          <w:rStyle w:val="element-citation"/>
          <w:rFonts w:ascii="Times New Roman" w:hAnsi="Times New Roman"/>
          <w:color w:val="000000"/>
          <w:sz w:val="28"/>
          <w:szCs w:val="28"/>
        </w:rPr>
        <w:t xml:space="preserve"> </w:t>
      </w:r>
      <w:r w:rsidRPr="00981822">
        <w:rPr>
          <w:rStyle w:val="Emphasis"/>
          <w:rFonts w:ascii="Times New Roman" w:hAnsi="Times New Roman"/>
          <w:iCs w:val="0"/>
          <w:color w:val="000000"/>
          <w:sz w:val="28"/>
          <w:szCs w:val="28"/>
          <w:lang w:val="en-US"/>
        </w:rPr>
        <w:t>Urology</w:t>
      </w:r>
      <w:r w:rsidRPr="00981822">
        <w:rPr>
          <w:rStyle w:val="ref-journal"/>
          <w:rFonts w:ascii="Times New Roman" w:hAnsi="Times New Roman"/>
          <w:color w:val="000000"/>
          <w:sz w:val="28"/>
          <w:szCs w:val="28"/>
          <w:lang w:val="en-US"/>
        </w:rPr>
        <w:t>.</w:t>
      </w:r>
      <w:r w:rsidRPr="00981822">
        <w:rPr>
          <w:rStyle w:val="ref-journal"/>
          <w:rFonts w:ascii="Times New Roman" w:hAnsi="Times New Roman"/>
          <w:color w:val="000000"/>
          <w:sz w:val="28"/>
          <w:szCs w:val="28"/>
        </w:rPr>
        <w:t xml:space="preserve"> </w:t>
      </w:r>
      <w:r w:rsidRPr="00981822">
        <w:rPr>
          <w:rStyle w:val="element-citation"/>
          <w:rFonts w:ascii="Times New Roman" w:hAnsi="Times New Roman"/>
          <w:color w:val="000000"/>
          <w:sz w:val="28"/>
          <w:szCs w:val="28"/>
          <w:lang w:val="en-US"/>
        </w:rPr>
        <w:t>2002</w:t>
      </w:r>
      <w:r w:rsidRPr="00981822">
        <w:t xml:space="preserve"> </w:t>
      </w:r>
      <w:r w:rsidRPr="00981822">
        <w:rPr>
          <w:rFonts w:ascii="Times New Roman" w:hAnsi="Times New Roman"/>
          <w:sz w:val="28"/>
          <w:szCs w:val="28"/>
        </w:rPr>
        <w:t>Oct</w:t>
      </w:r>
      <w:r w:rsidRPr="00981822">
        <w:rPr>
          <w:rStyle w:val="element-citation"/>
          <w:rFonts w:ascii="Times New Roman" w:hAnsi="Times New Roman"/>
          <w:color w:val="000000"/>
          <w:sz w:val="28"/>
          <w:szCs w:val="28"/>
          <w:lang w:val="en-US"/>
        </w:rPr>
        <w:t>;</w:t>
      </w:r>
      <w:r w:rsidRPr="00981822">
        <w:rPr>
          <w:rStyle w:val="ref-vol"/>
          <w:rFonts w:ascii="Times New Roman" w:hAnsi="Times New Roman"/>
          <w:color w:val="000000"/>
          <w:sz w:val="28"/>
          <w:szCs w:val="28"/>
          <w:lang w:val="en-US"/>
        </w:rPr>
        <w:t>60</w:t>
      </w:r>
      <w:r w:rsidRPr="00981822">
        <w:rPr>
          <w:rStyle w:val="element-citation"/>
          <w:rFonts w:ascii="Times New Roman" w:hAnsi="Times New Roman"/>
          <w:color w:val="000000"/>
          <w:sz w:val="28"/>
          <w:szCs w:val="28"/>
          <w:lang w:val="en-US"/>
        </w:rPr>
        <w:t>(4):593–7. doi: 10.1016/s0090-4295(02)01857-5.</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eastAsia="uk-UA"/>
        </w:rPr>
        <w:t>Ö</w:t>
      </w:r>
      <w:r w:rsidRPr="00981822">
        <w:rPr>
          <w:rFonts w:ascii="Times New Roman" w:hAnsi="Times New Roman"/>
          <w:color w:val="000000"/>
          <w:sz w:val="28"/>
          <w:szCs w:val="28"/>
          <w:lang w:val="en-US" w:eastAsia="uk-UA"/>
        </w:rPr>
        <w:t>zt</w:t>
      </w:r>
      <w:r w:rsidRPr="00981822">
        <w:rPr>
          <w:rFonts w:ascii="Times New Roman" w:hAnsi="Times New Roman"/>
          <w:color w:val="000000"/>
          <w:sz w:val="28"/>
          <w:szCs w:val="28"/>
          <w:lang w:eastAsia="uk-UA"/>
        </w:rPr>
        <w:t>ü</w:t>
      </w:r>
      <w:r w:rsidRPr="00981822">
        <w:rPr>
          <w:rFonts w:ascii="Times New Roman" w:hAnsi="Times New Roman"/>
          <w:color w:val="000000"/>
          <w:sz w:val="28"/>
          <w:szCs w:val="28"/>
          <w:lang w:val="en-US" w:eastAsia="uk-UA"/>
        </w:rPr>
        <w:t>rk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Ekinci</w:t>
      </w:r>
      <w:r w:rsidRPr="00981822">
        <w:rPr>
          <w:rFonts w:ascii="Times New Roman" w:hAnsi="Times New Roman"/>
          <w:color w:val="000000"/>
          <w:sz w:val="28"/>
          <w:szCs w:val="28"/>
          <w:lang w:eastAsia="uk-UA"/>
        </w:rPr>
        <w:t xml:space="preserve"> А, </w:t>
      </w:r>
      <w:r w:rsidRPr="00981822">
        <w:rPr>
          <w:rFonts w:ascii="Times New Roman" w:hAnsi="Times New Roman"/>
          <w:color w:val="000000"/>
          <w:sz w:val="28"/>
          <w:szCs w:val="28"/>
          <w:lang w:val="en-US" w:eastAsia="uk-UA"/>
        </w:rPr>
        <w:t>Elbir</w:t>
      </w:r>
      <w:r w:rsidRPr="00981822">
        <w:rPr>
          <w:rFonts w:ascii="Times New Roman" w:hAnsi="Times New Roman"/>
          <w:color w:val="000000"/>
          <w:sz w:val="28"/>
          <w:szCs w:val="28"/>
          <w:lang w:eastAsia="uk-UA"/>
        </w:rPr>
        <w:t xml:space="preserve"> Ş</w:t>
      </w:r>
      <w:r w:rsidRPr="00981822">
        <w:rPr>
          <w:rFonts w:ascii="Times New Roman" w:hAnsi="Times New Roman"/>
          <w:color w:val="000000"/>
          <w:sz w:val="28"/>
          <w:szCs w:val="28"/>
          <w:lang w:val="en-US" w:eastAsia="uk-UA"/>
        </w:rPr>
        <w:t>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Okur</w:t>
      </w:r>
      <w:r w:rsidRPr="00981822">
        <w:rPr>
          <w:rFonts w:ascii="Times New Roman" w:hAnsi="Times New Roman"/>
          <w:color w:val="000000"/>
          <w:sz w:val="28"/>
          <w:szCs w:val="28"/>
          <w:lang w:eastAsia="uk-UA"/>
        </w:rPr>
        <w:t xml:space="preserve"> А, </w:t>
      </w:r>
      <w:r w:rsidRPr="00981822">
        <w:rPr>
          <w:rFonts w:ascii="Times New Roman" w:hAnsi="Times New Roman"/>
          <w:color w:val="000000"/>
          <w:sz w:val="28"/>
          <w:szCs w:val="28"/>
          <w:lang w:val="en-US" w:eastAsia="uk-UA"/>
        </w:rPr>
        <w:t>Do</w:t>
      </w:r>
      <w:r w:rsidRPr="00981822">
        <w:rPr>
          <w:rFonts w:ascii="Times New Roman" w:hAnsi="Times New Roman"/>
          <w:color w:val="000000"/>
          <w:sz w:val="28"/>
          <w:szCs w:val="28"/>
          <w:lang w:eastAsia="uk-UA"/>
        </w:rPr>
        <w:t>ğ</w:t>
      </w:r>
      <w:r w:rsidRPr="00981822">
        <w:rPr>
          <w:rFonts w:ascii="Times New Roman" w:hAnsi="Times New Roman"/>
          <w:color w:val="000000"/>
          <w:sz w:val="28"/>
          <w:szCs w:val="28"/>
          <w:lang w:val="en-US" w:eastAsia="uk-UA"/>
        </w:rPr>
        <w:t>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Karahan</w:t>
      </w:r>
      <w:r w:rsidRPr="00981822">
        <w:rPr>
          <w:rFonts w:ascii="Times New Roman" w:hAnsi="Times New Roman"/>
          <w:color w:val="000000"/>
          <w:sz w:val="28"/>
          <w:szCs w:val="28"/>
          <w:lang w:eastAsia="uk-UA"/>
        </w:rPr>
        <w:t xml:space="preserve"> Ö</w:t>
      </w:r>
      <w:r w:rsidRPr="00981822">
        <w:rPr>
          <w:rFonts w:ascii="Times New Roman" w:hAnsi="Times New Roman"/>
          <w:color w:val="000000"/>
          <w:sz w:val="28"/>
          <w:szCs w:val="28"/>
          <w:lang w:val="en-US" w:eastAsia="uk-UA"/>
        </w:rPr>
        <w:t>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Usefulness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Apparent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Diffusion Coefficient of Diffusion-Weighted Imaging for Differential Diagnosis of Primary Solid and Cystic Renal Masses. </w:t>
      </w:r>
      <w:r w:rsidRPr="00981822">
        <w:rPr>
          <w:rFonts w:ascii="Times New Roman" w:hAnsi="Times New Roman"/>
          <w:iCs/>
          <w:color w:val="000000"/>
          <w:sz w:val="28"/>
          <w:szCs w:val="28"/>
          <w:lang w:val="en-US" w:eastAsia="uk-UA"/>
        </w:rPr>
        <w:t>Polish J Radiol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Apr 13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82:209–15.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Palmowski M, Schifferdecker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 Zwick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Macher-Goeppinger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Laue</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Haferkamp</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al. Tumor Perfusion Assessed by Dynamic Contrast-Enhanced MRI Correlates to the Grading of Renal Cell Carcinoma: Initial Results. </w:t>
      </w:r>
      <w:r w:rsidRPr="00981822">
        <w:rPr>
          <w:rFonts w:ascii="Times New Roman" w:hAnsi="Times New Roman"/>
          <w:iCs/>
          <w:color w:val="000000"/>
          <w:sz w:val="28"/>
          <w:szCs w:val="28"/>
          <w:lang w:val="en-US" w:eastAsia="uk-UA"/>
        </w:rPr>
        <w:t>Eur J Radiol</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Jun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3):e176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80. </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shd w:val="clear" w:color="auto" w:fill="FFFFFF"/>
          <w:lang w:val="en-US"/>
        </w:rPr>
        <w:t>Papworth K, Bergh A, Grankvist K, Ljungberg B, Sandlund J, Rasmuson T. Osteopontin but not parathyroid hormone-related protein predicts prognosis in human renal cell carcinoma.</w:t>
      </w:r>
      <w:r w:rsidRPr="00981822">
        <w:rPr>
          <w:rStyle w:val="element-citation"/>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Acta Oncologica</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Style w:val="element-citation"/>
          <w:rFonts w:ascii="Times New Roman" w:hAnsi="Times New Roman"/>
          <w:color w:val="000000"/>
          <w:sz w:val="28"/>
          <w:szCs w:val="28"/>
          <w:shd w:val="clear" w:color="auto" w:fill="FFFFFF"/>
          <w:lang w:val="en-US"/>
        </w:rPr>
        <w:t>2013</w:t>
      </w:r>
      <w:r w:rsidRPr="00981822">
        <w:rPr>
          <w:rFonts w:ascii="Times New Roman" w:hAnsi="Times New Roman"/>
        </w:rPr>
        <w:t xml:space="preserve"> </w:t>
      </w:r>
      <w:r w:rsidRPr="00981822">
        <w:rPr>
          <w:rFonts w:ascii="Times New Roman" w:hAnsi="Times New Roman"/>
          <w:sz w:val="28"/>
          <w:szCs w:val="28"/>
        </w:rPr>
        <w:t>Jan</w:t>
      </w:r>
      <w:r w:rsidRPr="00981822">
        <w:rPr>
          <w:rStyle w:val="element-citation"/>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52</w:t>
      </w:r>
      <w:r w:rsidRPr="00981822">
        <w:rPr>
          <w:rStyle w:val="element-citation"/>
          <w:rFonts w:ascii="Times New Roman" w:hAnsi="Times New Roman"/>
          <w:color w:val="000000"/>
          <w:sz w:val="28"/>
          <w:szCs w:val="28"/>
          <w:shd w:val="clear" w:color="auto" w:fill="FFFFFF"/>
          <w:lang w:val="en-US"/>
        </w:rPr>
        <w:t>(1):159–65. doi: 10.3109/0284186x.2012.693623.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Park BK, Kim SH, Choi HJ. Characterization of renal cell carcinoma using agent detection imaging: comparison with gray-scale ultrasound. Korean J Radiol. 2005</w:t>
      </w:r>
      <w:r w:rsidRPr="00981822">
        <w:rPr>
          <w:rFonts w:ascii="Times New Roman" w:hAnsi="Times New Roman"/>
        </w:rPr>
        <w:t xml:space="preserve"> </w:t>
      </w:r>
      <w:r w:rsidRPr="00981822">
        <w:rPr>
          <w:rFonts w:ascii="Times New Roman" w:hAnsi="Times New Roman"/>
          <w:sz w:val="28"/>
          <w:szCs w:val="28"/>
        </w:rPr>
        <w:t>Jul-Sep;</w:t>
      </w:r>
      <w:r w:rsidRPr="00981822">
        <w:rPr>
          <w:rStyle w:val="highlight"/>
          <w:rFonts w:ascii="Times New Roman" w:hAnsi="Times New Roman"/>
          <w:sz w:val="28"/>
          <w:szCs w:val="28"/>
        </w:rPr>
        <w:t>6</w:t>
      </w:r>
      <w:r w:rsidRPr="00981822">
        <w:rPr>
          <w:rFonts w:ascii="Times New Roman" w:hAnsi="Times New Roman"/>
          <w:sz w:val="28"/>
          <w:szCs w:val="28"/>
        </w:rPr>
        <w:t>(3)</w:t>
      </w:r>
      <w:r w:rsidRPr="00981822">
        <w:rPr>
          <w:rFonts w:ascii="Times New Roman" w:hAnsi="Times New Roman"/>
          <w:color w:val="000000"/>
          <w:sz w:val="28"/>
          <w:szCs w:val="28"/>
          <w:lang w:val="en-US"/>
        </w:rPr>
        <w:t>:173–8.</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Park JJ, Kim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CK. Small (&lt; 4 Cm) Renal Tumors With Predominantly Low Signal Intensity on T2-Weighted Images: Differentiation of Minimal-Fat Angiomyolipoma From Renal Cell Carcinoma. AJR </w:t>
      </w:r>
      <w:r w:rsidRPr="00981822">
        <w:rPr>
          <w:rFonts w:ascii="Times New Roman" w:hAnsi="Times New Roman"/>
          <w:iCs/>
          <w:color w:val="000000"/>
          <w:sz w:val="28"/>
          <w:szCs w:val="28"/>
          <w:lang w:val="en-US" w:eastAsia="uk-UA"/>
        </w:rPr>
        <w:t>Am J Roentgenol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Nov 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1):124–30. doi:10.2214/AJR.16.16102.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pl-PL" w:eastAsia="uk-UA"/>
        </w:rPr>
        <w:t>Patel HD, Druskin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SC, Rowe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SP, Pierorazio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PM, Gorin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MA, Allaf</w:t>
      </w:r>
      <w:r w:rsidRPr="00981822">
        <w:rPr>
          <w:rFonts w:ascii="Times New Roman" w:hAnsi="Times New Roman"/>
          <w:color w:val="000000"/>
          <w:sz w:val="28"/>
          <w:szCs w:val="28"/>
          <w:lang w:eastAsia="uk-UA"/>
        </w:rPr>
        <w:t xml:space="preserve"> МЕ</w:t>
      </w:r>
      <w:r w:rsidRPr="00981822">
        <w:rPr>
          <w:rFonts w:ascii="Times New Roman" w:hAnsi="Times New Roman"/>
          <w:color w:val="000000"/>
          <w:sz w:val="28"/>
          <w:szCs w:val="28"/>
          <w:lang w:val="pl-PL" w:eastAsia="uk-UA"/>
        </w:rPr>
        <w:t xml:space="preserve">. </w:t>
      </w:r>
      <w:r w:rsidRPr="00981822">
        <w:rPr>
          <w:rFonts w:ascii="Times New Roman" w:hAnsi="Times New Roman"/>
          <w:color w:val="000000"/>
          <w:sz w:val="28"/>
          <w:szCs w:val="28"/>
          <w:lang w:val="en-US" w:eastAsia="uk-UA"/>
        </w:rPr>
        <w:t xml:space="preserve">Surgical Histopathology for Suspected Oncocytoma on Renal Mass Biopsy: A Systematic Review and Meta-Analysis. </w:t>
      </w:r>
      <w:r w:rsidRPr="00981822">
        <w:rPr>
          <w:rFonts w:ascii="Times New Roman" w:hAnsi="Times New Roman"/>
          <w:iCs/>
          <w:color w:val="000000"/>
          <w:sz w:val="28"/>
          <w:szCs w:val="28"/>
          <w:lang w:val="en-US" w:eastAsia="uk-UA"/>
        </w:rPr>
        <w:t>BJU Int</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May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5):661–6. doi:10.1111/bju.13763.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Patel HD, Johnson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MH, Pierorazio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PM, Sozio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SM, Sharma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Iyoha</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et al. Diagnostic Accuracy and Risks of Biopsy in the Diagnosis of a Renal Mass </w:t>
      </w:r>
      <w:r w:rsidRPr="00981822">
        <w:rPr>
          <w:rFonts w:ascii="Times New Roman" w:hAnsi="Times New Roman"/>
          <w:color w:val="000000"/>
          <w:sz w:val="28"/>
          <w:szCs w:val="28"/>
          <w:lang w:val="en-US" w:eastAsia="uk-UA"/>
        </w:rPr>
        <w:lastRenderedPageBreak/>
        <w:t>Suspicious for Localized Renal Cell Carcinoma: Systematic Review of the Literature.</w:t>
      </w:r>
      <w:r w:rsidRPr="00981822">
        <w:rPr>
          <w:rFonts w:ascii="Times New Roman" w:hAnsi="Times New Roman"/>
          <w:color w:val="000000"/>
          <w:sz w:val="28"/>
          <w:szCs w:val="28"/>
          <w:lang w:eastAsia="uk-UA"/>
        </w:rPr>
        <w:t xml:space="preserve"> </w:t>
      </w:r>
      <w:r w:rsidRPr="00981822">
        <w:rPr>
          <w:rFonts w:ascii="Times New Roman" w:hAnsi="Times New Roman"/>
          <w:iCs/>
          <w:color w:val="000000"/>
          <w:sz w:val="28"/>
          <w:szCs w:val="28"/>
          <w:lang w:val="en-US" w:eastAsia="uk-UA"/>
        </w:rPr>
        <w:t>J Urol</w:t>
      </w:r>
      <w:r w:rsidRPr="00981822">
        <w:rPr>
          <w:rFonts w:ascii="Times New Roman" w:hAnsi="Times New Roman"/>
          <w:iCs/>
          <w:color w:val="000000"/>
          <w:sz w:val="28"/>
          <w:szCs w:val="28"/>
          <w:lang w:eastAsia="uk-UA"/>
        </w:rPr>
        <w:t>. 2016</w:t>
      </w:r>
      <w:r w:rsidRPr="00981822">
        <w:t xml:space="preserve"> </w:t>
      </w:r>
      <w:r w:rsidRPr="00981822">
        <w:rPr>
          <w:rFonts w:ascii="Times New Roman" w:hAnsi="Times New Roman"/>
          <w:sz w:val="28"/>
          <w:szCs w:val="28"/>
        </w:rPr>
        <w:t>May;195(5):1340–7</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Paudyal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Paudyal</w:t>
      </w:r>
      <w:r w:rsidRPr="00981822">
        <w:rPr>
          <w:rFonts w:ascii="Times New Roman" w:hAnsi="Times New Roman"/>
          <w:color w:val="000000"/>
          <w:sz w:val="28"/>
          <w:szCs w:val="28"/>
          <w:lang w:eastAsia="uk-UA"/>
        </w:rPr>
        <w:t xml:space="preserve"> Р, </w:t>
      </w:r>
      <w:r w:rsidRPr="00981822">
        <w:rPr>
          <w:rFonts w:ascii="Times New Roman" w:hAnsi="Times New Roman"/>
          <w:color w:val="000000"/>
          <w:sz w:val="28"/>
          <w:szCs w:val="28"/>
          <w:lang w:val="en-US" w:eastAsia="uk-UA"/>
        </w:rPr>
        <w:t>Tsushima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Oriuchi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Amanuma</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Miyazaki</w:t>
      </w:r>
      <w:r w:rsidRPr="00981822">
        <w:rPr>
          <w:rFonts w:ascii="Times New Roman" w:hAnsi="Times New Roman"/>
          <w:color w:val="000000"/>
          <w:sz w:val="28"/>
          <w:szCs w:val="28"/>
          <w:lang w:eastAsia="uk-UA"/>
        </w:rPr>
        <w:t xml:space="preserve"> М, </w:t>
      </w:r>
      <w:r w:rsidRPr="00981822">
        <w:rPr>
          <w:rFonts w:ascii="Times New Roman" w:hAnsi="Times New Roman"/>
          <w:color w:val="000000"/>
          <w:sz w:val="28"/>
          <w:szCs w:val="28"/>
          <w:lang w:val="en-US" w:eastAsia="uk-UA"/>
        </w:rPr>
        <w:t>et 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The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Role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of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the ADC Value in the Characterisation of Renal Carcinoma by Diffusion-Weighted MRI.</w:t>
      </w:r>
      <w:r w:rsidRPr="00981822">
        <w:rPr>
          <w:rFonts w:ascii="Times New Roman" w:hAnsi="Times New Roman"/>
          <w:iCs/>
          <w:color w:val="000000"/>
          <w:sz w:val="28"/>
          <w:szCs w:val="28"/>
          <w:lang w:val="en-US" w:eastAsia="uk-UA"/>
        </w:rPr>
        <w:t xml:space="preserve"> Br J Radiol</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 xml:space="preserve"> 1;</w:t>
      </w:r>
      <w:r w:rsidRPr="00981822">
        <w:rPr>
          <w:rFonts w:ascii="Times New Roman" w:hAnsi="Times New Roman"/>
          <w:color w:val="000000"/>
          <w:sz w:val="28"/>
          <w:szCs w:val="28"/>
          <w:lang w:val="en-US" w:eastAsia="uk-UA"/>
        </w:rPr>
        <w:t>83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988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336–43. doi:10.1259/bjr/74949757.</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Pedrosa I, Alsop</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DC, Rofsky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NM. Magnetic Resonance Imaging as a Biomarker in Renal Cell Carcinoma. </w:t>
      </w:r>
      <w:r w:rsidRPr="00981822">
        <w:rPr>
          <w:rFonts w:ascii="Times New Roman" w:hAnsi="Times New Roman"/>
          <w:iCs/>
          <w:color w:val="000000"/>
          <w:sz w:val="28"/>
          <w:szCs w:val="28"/>
          <w:lang w:val="en-US" w:eastAsia="uk-UA"/>
        </w:rPr>
        <w:t>Cancer</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May 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Suppl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2334–45. doi:10.1002/cncr.24237.</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Pei X, Li</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Zhan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Yu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Wei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 Guan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L, et al. Enhanced IMP3 Expression Activates NF-кB Pathway and Promotes Renal Cell Carcinoma Progression. </w:t>
      </w:r>
      <w:r w:rsidRPr="00981822">
        <w:rPr>
          <w:rFonts w:ascii="Times New Roman" w:hAnsi="Times New Roman"/>
          <w:iCs/>
          <w:color w:val="000000"/>
          <w:sz w:val="28"/>
          <w:szCs w:val="28"/>
          <w:lang w:val="en-US" w:eastAsia="uk-UA"/>
        </w:rPr>
        <w:t>PloS One</w:t>
      </w:r>
      <w:r w:rsidRPr="00981822">
        <w:rPr>
          <w:rFonts w:ascii="Times New Roman" w:hAnsi="Times New Roman"/>
          <w:iCs/>
          <w:color w:val="000000"/>
          <w:sz w:val="28"/>
          <w:szCs w:val="28"/>
          <w:lang w:eastAsia="uk-UA"/>
        </w:rPr>
        <w:t>. 2015;</w:t>
      </w:r>
      <w:r w:rsidRPr="00981822">
        <w:rPr>
          <w:rFonts w:ascii="Times New Roman" w:hAnsi="Times New Roman"/>
          <w:color w:val="000000"/>
          <w:sz w:val="28"/>
          <w:szCs w:val="28"/>
          <w:lang w:val="en-US" w:eastAsia="uk-UA"/>
        </w:rPr>
        <w:t>10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e0124338.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Perez-Lopez R, Mateo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Mossop</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Blackledge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MD, Collins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DJ, Rata</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ml:space="preserve">, et al. Diffusion-Weighted Imaging as a Treatment Response Biomarker for Evaluating Bone Metastases in Prostate Cancer: A Pilot Study. </w:t>
      </w:r>
      <w:r w:rsidRPr="00981822">
        <w:rPr>
          <w:rFonts w:ascii="Times New Roman" w:hAnsi="Times New Roman"/>
          <w:iCs/>
          <w:color w:val="000000"/>
          <w:sz w:val="28"/>
          <w:szCs w:val="28"/>
          <w:lang w:val="en-US" w:eastAsia="uk-UA"/>
        </w:rPr>
        <w:t>Radiology</w:t>
      </w:r>
      <w:r w:rsidRPr="00981822">
        <w:rPr>
          <w:rFonts w:ascii="Times New Roman" w:hAnsi="Times New Roman"/>
        </w:rPr>
        <w:t>.</w:t>
      </w:r>
      <w:r w:rsidRPr="00981822">
        <w:rPr>
          <w:rFonts w:ascii="Times New Roman" w:hAnsi="Times New Roman"/>
          <w:lang w:val="en-US"/>
        </w:rPr>
        <w:t xml:space="preserve"> </w:t>
      </w:r>
      <w:r w:rsidRPr="00981822">
        <w:rPr>
          <w:rFonts w:ascii="Times New Roman" w:hAnsi="Times New Roman"/>
          <w:sz w:val="28"/>
          <w:szCs w:val="28"/>
          <w:lang w:val="en-US"/>
        </w:rPr>
        <w:t>2017 Apr;283(1):168</w:t>
      </w:r>
      <w:r w:rsidRPr="00981822">
        <w:rPr>
          <w:rFonts w:ascii="Times New Roman" w:hAnsi="Times New Roman"/>
          <w:sz w:val="28"/>
          <w:szCs w:val="28"/>
        </w:rPr>
        <w:t>–</w:t>
      </w:r>
      <w:r w:rsidRPr="00981822">
        <w:rPr>
          <w:rFonts w:ascii="Times New Roman" w:hAnsi="Times New Roman"/>
          <w:sz w:val="28"/>
          <w:szCs w:val="28"/>
          <w:lang w:val="en-US"/>
        </w:rPr>
        <w:t>77</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Petillo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Kort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Anema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Furge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The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MicroRNA Profiling of Human Kidney Cancer Subtypes. </w:t>
      </w:r>
      <w:r w:rsidRPr="00981822">
        <w:rPr>
          <w:rFonts w:ascii="Times New Roman" w:hAnsi="Times New Roman"/>
          <w:iCs/>
          <w:color w:val="000000"/>
          <w:sz w:val="28"/>
          <w:szCs w:val="28"/>
          <w:lang w:val="en-US" w:eastAsia="uk-UA"/>
        </w:rPr>
        <w:t>Int J Oncol</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Jul</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109–14.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Péus D, Newcomb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Hofer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 Appraisal of the Karnofsky Performance Status and Proposal of a Simple Algorithmic System for Its Evaluation. </w:t>
      </w:r>
      <w:r w:rsidRPr="00981822">
        <w:rPr>
          <w:rFonts w:ascii="Times New Roman" w:hAnsi="Times New Roman"/>
          <w:iCs/>
          <w:color w:val="000000"/>
          <w:sz w:val="28"/>
          <w:szCs w:val="28"/>
          <w:lang w:val="en-US" w:eastAsia="uk-UA"/>
        </w:rPr>
        <w:t>BMC Med Inform Decision Making</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Jul 19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13:72.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Pischon T, Lahmann PH, Boeing H, </w:t>
      </w:r>
      <w:r w:rsidRPr="00981822">
        <w:rPr>
          <w:rFonts w:ascii="Times New Roman" w:hAnsi="Times New Roman"/>
          <w:sz w:val="28"/>
          <w:szCs w:val="28"/>
          <w:lang w:val="en-US"/>
        </w:rPr>
        <w:t>Tjønneland A, Halkjaer J, Overvad K</w:t>
      </w:r>
      <w:r w:rsidRPr="00981822">
        <w:rPr>
          <w:rFonts w:ascii="Times New Roman" w:hAnsi="Times New Roman"/>
          <w:lang w:val="en-US"/>
        </w:rPr>
        <w:t xml:space="preserve">, </w:t>
      </w:r>
      <w:r w:rsidRPr="00981822">
        <w:rPr>
          <w:rFonts w:ascii="Times New Roman" w:hAnsi="Times New Roman"/>
          <w:color w:val="000000"/>
          <w:sz w:val="28"/>
          <w:szCs w:val="28"/>
          <w:lang w:val="en-US"/>
        </w:rPr>
        <w:t>et al. Body size and risk of renal cell carcinoma in the European prospective investigation into cancer and nutrition (EPIC). Int J Cancer. 2006</w:t>
      </w:r>
      <w:r w:rsidRPr="00981822">
        <w:rPr>
          <w:rFonts w:ascii="Times New Roman" w:hAnsi="Times New Roman"/>
        </w:rPr>
        <w:t xml:space="preserve"> </w:t>
      </w:r>
      <w:r w:rsidRPr="00981822">
        <w:rPr>
          <w:rFonts w:ascii="Times New Roman" w:hAnsi="Times New Roman"/>
          <w:sz w:val="28"/>
          <w:szCs w:val="28"/>
        </w:rPr>
        <w:t>Feb 1</w:t>
      </w:r>
      <w:r w:rsidRPr="00981822">
        <w:rPr>
          <w:rFonts w:ascii="Times New Roman" w:hAnsi="Times New Roman"/>
          <w:color w:val="000000"/>
          <w:sz w:val="28"/>
          <w:szCs w:val="28"/>
          <w:lang w:val="en-US"/>
        </w:rPr>
        <w:t xml:space="preserve">;118(3):728–38.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Pramick M, Ziober</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Bing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Z. Useful Immunohistochemical Panel for Differentiating Clear Cell Papillary Renal Cell Carcinoma from Its Mimics. </w:t>
      </w:r>
      <w:r w:rsidRPr="00981822">
        <w:rPr>
          <w:rFonts w:ascii="Times New Roman" w:hAnsi="Times New Roman"/>
          <w:iCs/>
          <w:color w:val="000000"/>
          <w:sz w:val="28"/>
          <w:szCs w:val="28"/>
          <w:lang w:val="en-US" w:eastAsia="uk-UA"/>
        </w:rPr>
        <w:t>Ann Diag Pathol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5):437–40. </w:t>
      </w:r>
    </w:p>
    <w:p w:rsidR="0061473E" w:rsidRPr="00981822" w:rsidRDefault="0061473E" w:rsidP="00DE6E24">
      <w:pPr>
        <w:pStyle w:val="ListParagraph"/>
        <w:numPr>
          <w:ilvl w:val="0"/>
          <w:numId w:val="9"/>
        </w:numPr>
        <w:spacing w:line="360" w:lineRule="auto"/>
        <w:jc w:val="both"/>
        <w:rPr>
          <w:rStyle w:val="element-citation"/>
          <w:rFonts w:ascii="Times New Roman" w:hAnsi="Times New Roman"/>
          <w:color w:val="000000"/>
          <w:sz w:val="28"/>
          <w:szCs w:val="28"/>
          <w:lang w:val="en-US"/>
        </w:rPr>
      </w:pPr>
      <w:r w:rsidRPr="00981822">
        <w:rPr>
          <w:rStyle w:val="element-citation"/>
          <w:rFonts w:ascii="Times New Roman" w:hAnsi="Times New Roman"/>
          <w:color w:val="000000"/>
          <w:sz w:val="28"/>
          <w:szCs w:val="28"/>
          <w:shd w:val="clear" w:color="auto" w:fill="FFFFFF"/>
          <w:lang w:val="en-US"/>
        </w:rPr>
        <w:lastRenderedPageBreak/>
        <w:t xml:space="preserve">Rajandram R, Yap NY, Pailoor J, </w:t>
      </w:r>
      <w:r w:rsidRPr="00981822">
        <w:rPr>
          <w:rFonts w:ascii="Times New Roman" w:hAnsi="Times New Roman"/>
          <w:sz w:val="28"/>
          <w:szCs w:val="28"/>
          <w:lang w:val="en-US"/>
        </w:rPr>
        <w:t>Razack AH, Ng KL, Ong TA</w:t>
      </w:r>
      <w:r w:rsidRPr="00981822">
        <w:rPr>
          <w:rFonts w:ascii="Times New Roman" w:hAnsi="Times New Roman"/>
        </w:rPr>
        <w:t xml:space="preserve">, </w:t>
      </w:r>
      <w:r w:rsidRPr="00981822">
        <w:rPr>
          <w:rStyle w:val="element-citation"/>
          <w:rFonts w:ascii="Times New Roman" w:hAnsi="Times New Roman"/>
          <w:color w:val="000000"/>
          <w:sz w:val="28"/>
          <w:szCs w:val="28"/>
          <w:shd w:val="clear" w:color="auto" w:fill="FFFFFF"/>
          <w:lang w:val="en-US"/>
        </w:rPr>
        <w:t>et al. Tumour necrosis factor receptor-associated factor-1 (TRAF-1) expression is increased in renal cell carcinoma patient serum but decreased in cancer tissue compared with normal.</w:t>
      </w:r>
      <w:r w:rsidRPr="00981822">
        <w:rPr>
          <w:rStyle w:val="element-citation"/>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Pathology</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Style w:val="element-citation"/>
          <w:rFonts w:ascii="Times New Roman" w:hAnsi="Times New Roman"/>
          <w:color w:val="000000"/>
          <w:sz w:val="28"/>
          <w:szCs w:val="28"/>
          <w:shd w:val="clear" w:color="auto" w:fill="FFFFFF"/>
          <w:lang w:val="en-US"/>
        </w:rPr>
        <w:t>2014</w:t>
      </w:r>
      <w:r w:rsidRPr="00981822">
        <w:rPr>
          <w:rFonts w:ascii="Times New Roman" w:hAnsi="Times New Roman"/>
        </w:rPr>
        <w:t xml:space="preserve"> </w:t>
      </w:r>
      <w:r w:rsidRPr="00981822">
        <w:rPr>
          <w:rFonts w:ascii="Times New Roman" w:hAnsi="Times New Roman"/>
          <w:sz w:val="28"/>
          <w:szCs w:val="28"/>
        </w:rPr>
        <w:t>Oct</w:t>
      </w:r>
      <w:r w:rsidRPr="00981822">
        <w:rPr>
          <w:rStyle w:val="element-citation"/>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46</w:t>
      </w:r>
      <w:r w:rsidRPr="00981822">
        <w:rPr>
          <w:rStyle w:val="element-citation"/>
          <w:rFonts w:ascii="Times New Roman" w:hAnsi="Times New Roman"/>
          <w:color w:val="000000"/>
          <w:sz w:val="28"/>
          <w:szCs w:val="28"/>
          <w:shd w:val="clear" w:color="auto" w:fill="FFFFFF"/>
          <w:lang w:val="en-US"/>
        </w:rPr>
        <w:t xml:space="preserve">(6):518–22.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Ramaswamy SR, Darcy</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MD. Arterial Embolization for the Treatment of Renal Masses and Traumatic Renal Injuries. Tech Vas</w:t>
      </w:r>
      <w:r w:rsidRPr="00981822">
        <w:rPr>
          <w:rFonts w:ascii="Times New Roman" w:hAnsi="Times New Roman"/>
          <w:color w:val="000000"/>
          <w:sz w:val="28"/>
          <w:szCs w:val="28"/>
        </w:rPr>
        <w:t>с</w:t>
      </w:r>
      <w:r w:rsidRPr="00981822">
        <w:rPr>
          <w:rFonts w:ascii="Times New Roman" w:hAnsi="Times New Roman"/>
          <w:color w:val="000000"/>
          <w:sz w:val="28"/>
          <w:szCs w:val="28"/>
          <w:lang w:val="en-US"/>
        </w:rPr>
        <w:t xml:space="preserve"> In</w:t>
      </w:r>
      <w:r w:rsidRPr="00981822">
        <w:rPr>
          <w:rFonts w:ascii="Times New Roman" w:hAnsi="Times New Roman"/>
          <w:sz w:val="28"/>
          <w:szCs w:val="28"/>
          <w:lang w:val="en-US"/>
        </w:rPr>
        <w:t>t</w:t>
      </w:r>
      <w:hyperlink r:id="rId124" w:tooltip="Techniques in vascular and interventional radiology." w:history="1">
        <w:r w:rsidRPr="00981822">
          <w:rPr>
            <w:rStyle w:val="Hyperlink"/>
            <w:rFonts w:ascii="Times New Roman" w:hAnsi="Times New Roman"/>
            <w:sz w:val="28"/>
            <w:szCs w:val="28"/>
            <w:lang w:val="en-US"/>
          </w:rPr>
          <w:t>erv</w:t>
        </w:r>
      </w:hyperlink>
      <w:r w:rsidRPr="00981822">
        <w:rPr>
          <w:rFonts w:ascii="Times New Roman" w:hAnsi="Times New Roman"/>
          <w:color w:val="000000"/>
          <w:sz w:val="28"/>
          <w:szCs w:val="28"/>
          <w:lang w:val="en-US"/>
        </w:rPr>
        <w:t xml:space="preserve"> Radiol. 2016</w:t>
      </w:r>
      <w:r w:rsidRPr="00981822">
        <w:t xml:space="preserve"> </w:t>
      </w:r>
      <w:r w:rsidRPr="00981822">
        <w:rPr>
          <w:rFonts w:ascii="Times New Roman" w:hAnsi="Times New Roman"/>
          <w:sz w:val="28"/>
          <w:szCs w:val="28"/>
        </w:rPr>
        <w:t>Sep</w:t>
      </w:r>
      <w:r w:rsidRPr="00981822">
        <w:rPr>
          <w:rFonts w:ascii="Times New Roman" w:hAnsi="Times New Roman"/>
          <w:color w:val="000000"/>
          <w:sz w:val="28"/>
          <w:szCs w:val="28"/>
        </w:rPr>
        <w:t>;19(</w:t>
      </w:r>
      <w:r w:rsidRPr="00981822">
        <w:rPr>
          <w:rFonts w:ascii="Times New Roman" w:hAnsi="Times New Roman"/>
          <w:color w:val="000000"/>
          <w:sz w:val="28"/>
          <w:szCs w:val="28"/>
          <w:lang w:val="en-US"/>
        </w:rPr>
        <w:t>3</w:t>
      </w:r>
      <w:r w:rsidRPr="00981822">
        <w:rPr>
          <w:rFonts w:ascii="Times New Roman" w:hAnsi="Times New Roman"/>
          <w:color w:val="000000"/>
          <w:sz w:val="28"/>
          <w:szCs w:val="28"/>
        </w:rPr>
        <w:t>):</w:t>
      </w:r>
      <w:r w:rsidRPr="00981822">
        <w:rPr>
          <w:rFonts w:ascii="Times New Roman" w:hAnsi="Times New Roman"/>
          <w:color w:val="000000"/>
          <w:sz w:val="28"/>
          <w:szCs w:val="28"/>
          <w:lang w:val="en-US"/>
        </w:rPr>
        <w:t>203–10.</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Rechsteiner MP, von Teichman A, Nowicka A, Sulser T, Schraml P, Moch H. VHL gene mutations and their effects on hypoxia inducible factor HIFalpha: identification of potential driver and passenger mutations. Cancer Res. 2011;71(16):5500–11.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Redova 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Poprach</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Besse</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Iliev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Nekvindova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Lakomy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R, et al. MiR-210 Expression in Tumor Tissue and in Vitro Effects of Its Silencing in Renal Cell Carcinoma. </w:t>
      </w:r>
      <w:r w:rsidRPr="00981822">
        <w:rPr>
          <w:rFonts w:ascii="Times New Roman" w:hAnsi="Times New Roman"/>
          <w:iCs/>
          <w:color w:val="000000"/>
          <w:sz w:val="28"/>
          <w:szCs w:val="28"/>
          <w:lang w:val="en-US" w:eastAsia="uk-UA"/>
        </w:rPr>
        <w:t>Tumor Biol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1):481–91.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Redova M, Poprach</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Nekvindova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Iliev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Radova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Lakomy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R, et al. Circulating miR-378 and miR-451 in Serum Are Potential Biomarkers for Renal Cell Carcinoma. </w:t>
      </w:r>
      <w:r w:rsidRPr="00981822">
        <w:rPr>
          <w:rFonts w:ascii="Times New Roman" w:hAnsi="Times New Roman"/>
          <w:iCs/>
          <w:color w:val="000000"/>
          <w:sz w:val="28"/>
          <w:szCs w:val="28"/>
          <w:lang w:val="en-US" w:eastAsia="uk-UA"/>
        </w:rPr>
        <w:t>J Trans Med</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Mar 22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10:55.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Reiner CS, Roessle</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Thiesler</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Eberli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Klotz</w:t>
      </w:r>
      <w:r w:rsidRPr="00981822">
        <w:rPr>
          <w:rFonts w:ascii="Times New Roman" w:hAnsi="Times New Roman"/>
          <w:color w:val="000000"/>
          <w:sz w:val="28"/>
          <w:szCs w:val="28"/>
          <w:lang w:eastAsia="uk-UA"/>
        </w:rPr>
        <w:t xml:space="preserve"> Е</w:t>
      </w:r>
      <w:r w:rsidRPr="00981822">
        <w:rPr>
          <w:rFonts w:ascii="Times New Roman" w:hAnsi="Times New Roman"/>
          <w:color w:val="000000"/>
          <w:sz w:val="28"/>
          <w:szCs w:val="28"/>
          <w:lang w:val="en-US" w:eastAsia="uk-UA"/>
        </w:rPr>
        <w:t>, Frauenfelder</w:t>
      </w:r>
      <w:r w:rsidRPr="00981822">
        <w:rPr>
          <w:rFonts w:ascii="Times New Roman" w:hAnsi="Times New Roman"/>
          <w:color w:val="000000"/>
          <w:sz w:val="28"/>
          <w:szCs w:val="28"/>
          <w:lang w:eastAsia="uk-UA"/>
        </w:rPr>
        <w:t xml:space="preserve"> Т</w:t>
      </w:r>
      <w:r w:rsidRPr="00981822">
        <w:rPr>
          <w:rFonts w:ascii="Times New Roman" w:hAnsi="Times New Roman"/>
          <w:color w:val="000000"/>
          <w:sz w:val="28"/>
          <w:szCs w:val="28"/>
          <w:lang w:val="en-US" w:eastAsia="uk-UA"/>
        </w:rPr>
        <w:t xml:space="preserve">, et al. Computed Tomography Perfusion Imaging of Renal Cell Carcinoma: Systematic Comparison with Histopathological Angiogenic and Prognostic Markers. </w:t>
      </w:r>
      <w:r w:rsidRPr="00981822">
        <w:rPr>
          <w:rFonts w:ascii="Times New Roman" w:hAnsi="Times New Roman"/>
          <w:iCs/>
          <w:color w:val="000000"/>
          <w:sz w:val="28"/>
          <w:szCs w:val="28"/>
          <w:lang w:val="en-US" w:eastAsia="uk-UA"/>
        </w:rPr>
        <w:t>Invest Radiol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4):183–91.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Ren A, Cai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Shang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YN, 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ES, Huang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ZG,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W, et al. Differentiation of Renal Oncocytoma and Renal Clear Cell Carcinoma Using Relative CT Enhancement Ratio. </w:t>
      </w:r>
      <w:r w:rsidRPr="00981822">
        <w:rPr>
          <w:rFonts w:ascii="Times New Roman" w:hAnsi="Times New Roman"/>
          <w:iCs/>
          <w:color w:val="000000"/>
          <w:sz w:val="28"/>
          <w:szCs w:val="28"/>
          <w:lang w:val="en-US" w:eastAsia="uk-UA"/>
        </w:rPr>
        <w:t>Chin Med J</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Jan 20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2):175–9. doi:10.4103/0366-6999.149190.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Richard PO, </w:t>
      </w:r>
      <w:r w:rsidRPr="00981822">
        <w:rPr>
          <w:rFonts w:ascii="Times New Roman" w:hAnsi="Times New Roman"/>
          <w:sz w:val="28"/>
          <w:szCs w:val="28"/>
          <w:lang w:val="en-US"/>
        </w:rPr>
        <w:t>Jewett MA, Bhatt JR, Kachura JR, Evans AJ, Zlotta AR</w:t>
      </w:r>
      <w:r w:rsidRPr="00981822">
        <w:rPr>
          <w:rFonts w:ascii="Times New Roman" w:hAnsi="Times New Roman"/>
          <w:sz w:val="28"/>
          <w:szCs w:val="28"/>
        </w:rPr>
        <w:t>,</w:t>
      </w:r>
      <w:r w:rsidRPr="00981822">
        <w:rPr>
          <w:rFonts w:ascii="Times New Roman" w:hAnsi="Times New Roman"/>
        </w:rPr>
        <w:t xml:space="preserve"> </w:t>
      </w:r>
      <w:r w:rsidRPr="00981822">
        <w:rPr>
          <w:rFonts w:ascii="Times New Roman" w:hAnsi="Times New Roman"/>
          <w:color w:val="000000"/>
          <w:sz w:val="28"/>
          <w:szCs w:val="28"/>
          <w:lang w:val="en-US"/>
        </w:rPr>
        <w:t>et al. Renal Tumor Biopsy for Small Renal Masses: A Single-center 13-year Experience. Eur Urol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2015</w:t>
      </w:r>
      <w:r w:rsidRPr="00981822">
        <w:rPr>
          <w:rFonts w:ascii="Times New Roman" w:hAnsi="Times New Roman"/>
        </w:rPr>
        <w:t xml:space="preserve"> </w:t>
      </w:r>
      <w:r w:rsidRPr="00981822">
        <w:rPr>
          <w:rFonts w:ascii="Times New Roman" w:hAnsi="Times New Roman"/>
          <w:sz w:val="28"/>
          <w:szCs w:val="28"/>
        </w:rPr>
        <w:t>Dec;</w:t>
      </w:r>
      <w:r w:rsidRPr="00981822">
        <w:rPr>
          <w:rStyle w:val="highlight"/>
          <w:rFonts w:ascii="Times New Roman" w:hAnsi="Times New Roman"/>
          <w:sz w:val="28"/>
          <w:szCs w:val="28"/>
        </w:rPr>
        <w:t>68</w:t>
      </w:r>
      <w:r w:rsidRPr="00981822">
        <w:rPr>
          <w:rFonts w:ascii="Times New Roman" w:hAnsi="Times New Roman"/>
          <w:sz w:val="28"/>
          <w:szCs w:val="28"/>
        </w:rPr>
        <w:t>(6):</w:t>
      </w:r>
      <w:r w:rsidRPr="00981822">
        <w:rPr>
          <w:rStyle w:val="highlight"/>
          <w:rFonts w:ascii="Times New Roman" w:hAnsi="Times New Roman"/>
          <w:sz w:val="28"/>
          <w:szCs w:val="28"/>
        </w:rPr>
        <w:t>1007</w:t>
      </w:r>
      <w:r w:rsidRPr="00981822">
        <w:rPr>
          <w:rFonts w:ascii="Times New Roman" w:hAnsi="Times New Roman"/>
          <w:sz w:val="28"/>
          <w:szCs w:val="28"/>
        </w:rPr>
        <w:t>–13</w:t>
      </w:r>
      <w:r w:rsidRPr="00981822">
        <w:rPr>
          <w:rFonts w:ascii="Times New Roman" w:hAnsi="Times New Roman"/>
          <w:color w:val="000000"/>
          <w:sz w:val="28"/>
          <w:szCs w:val="28"/>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lastRenderedPageBreak/>
        <w:t>Righi V, Mucci</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Schenetti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Tosi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MR, Grigioni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WF, Corti</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xml:space="preserve">, et al. Ex Vivo HR-MAS Magnetic Resonance Spectroscopy of Normal and Malignant Human Renal Tissues. </w:t>
      </w:r>
      <w:r w:rsidRPr="00981822">
        <w:rPr>
          <w:rFonts w:ascii="Times New Roman" w:hAnsi="Times New Roman"/>
          <w:iCs/>
          <w:color w:val="000000"/>
          <w:sz w:val="28"/>
          <w:szCs w:val="28"/>
          <w:lang w:val="en-US" w:eastAsia="uk-UA"/>
        </w:rPr>
        <w:t>Anticancer Res</w:t>
      </w:r>
      <w:r w:rsidRPr="00981822">
        <w:rPr>
          <w:rFonts w:ascii="Times New Roman" w:hAnsi="Times New Roman"/>
          <w:iCs/>
          <w:color w:val="000000"/>
          <w:sz w:val="28"/>
          <w:szCs w:val="28"/>
          <w:lang w:eastAsia="uk-UA"/>
        </w:rPr>
        <w:t xml:space="preserve">. 2007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5A):3195–3204.</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 xml:space="preserve">Rioux-Leclercq N, Karakiewicz PI, Trinh QD, </w:t>
      </w:r>
      <w:r w:rsidRPr="00981822">
        <w:rPr>
          <w:rFonts w:ascii="Times New Roman" w:hAnsi="Times New Roman"/>
          <w:sz w:val="28"/>
          <w:szCs w:val="28"/>
          <w:lang w:val="en-US"/>
        </w:rPr>
        <w:t>Ficarra V, Cindolo L, de la Taille A</w:t>
      </w:r>
      <w:r w:rsidRPr="00981822">
        <w:rPr>
          <w:rFonts w:ascii="Times New Roman" w:hAnsi="Times New Roman"/>
          <w:sz w:val="28"/>
          <w:szCs w:val="28"/>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Prognostic ability of simplified nuclear grading of</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renal cell carcinoma. Cancer. 2007</w:t>
      </w:r>
      <w:r w:rsidRPr="00981822">
        <w:rPr>
          <w:rFonts w:ascii="Times New Roman" w:hAnsi="Times New Roman"/>
        </w:rPr>
        <w:t xml:space="preserve"> </w:t>
      </w:r>
      <w:r w:rsidRPr="00981822">
        <w:rPr>
          <w:rFonts w:ascii="Times New Roman" w:hAnsi="Times New Roman"/>
          <w:sz w:val="28"/>
          <w:szCs w:val="28"/>
        </w:rPr>
        <w:t>Mar 1</w:t>
      </w:r>
      <w:r w:rsidRPr="00981822">
        <w:rPr>
          <w:rFonts w:ascii="Times New Roman" w:hAnsi="Times New Roman"/>
          <w:color w:val="000000"/>
          <w:sz w:val="28"/>
          <w:szCs w:val="28"/>
          <w:lang w:val="en-US"/>
        </w:rPr>
        <w:t>;109</w:t>
      </w:r>
      <w:r w:rsidRPr="00981822">
        <w:rPr>
          <w:rFonts w:ascii="Times New Roman" w:hAnsi="Times New Roman"/>
          <w:color w:val="000000"/>
          <w:sz w:val="28"/>
          <w:szCs w:val="28"/>
        </w:rPr>
        <w:t>(5)</w:t>
      </w:r>
      <w:r w:rsidRPr="00981822">
        <w:rPr>
          <w:rFonts w:ascii="Times New Roman" w:hAnsi="Times New Roman"/>
          <w:color w:val="000000"/>
          <w:sz w:val="28"/>
          <w:szCs w:val="28"/>
          <w:lang w:val="en-US"/>
        </w:rPr>
        <w:t>:868–74.</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Roberts AM, Ohh M. Beyond the hypoxia-inducible factor-centric tumour suppressor model of von Hippel-Lindau. Curr Opin Oncol. 2008;20(1):83–9.</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Robinson SP, Boult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KR, Vasudev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NS, Reynolds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AR. Monitoring the Vascular Response and Resistance to Sunitinib in Renal Cell Carcinoma In Vivo with Susceptibility Contrast MRI. </w:t>
      </w:r>
      <w:r w:rsidRPr="00981822">
        <w:rPr>
          <w:rFonts w:ascii="Times New Roman" w:hAnsi="Times New Roman"/>
          <w:iCs/>
          <w:color w:val="000000"/>
          <w:sz w:val="28"/>
          <w:szCs w:val="28"/>
          <w:lang w:val="en-US" w:eastAsia="uk-UA"/>
        </w:rPr>
        <w:t>Cancer Res</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Aug</w:t>
      </w:r>
      <w:r w:rsidRPr="00981822">
        <w:rPr>
          <w:rFonts w:ascii="Times New Roman" w:hAnsi="Times New Roman"/>
          <w:color w:val="000000"/>
          <w:sz w:val="28"/>
          <w:szCs w:val="28"/>
          <w:lang w:eastAsia="uk-UA"/>
        </w:rPr>
        <w:t xml:space="preserve"> 1;</w:t>
      </w:r>
      <w:r w:rsidRPr="00981822">
        <w:rPr>
          <w:rFonts w:ascii="Times New Roman" w:hAnsi="Times New Roman"/>
          <w:color w:val="000000"/>
          <w:sz w:val="28"/>
          <w:szCs w:val="28"/>
          <w:lang w:val="en-US" w:eastAsia="uk-UA"/>
        </w:rPr>
        <w:t>77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15):4127–34. </w:t>
      </w:r>
      <w:r w:rsidRPr="00981822">
        <w:rPr>
          <w:rFonts w:ascii="Times New Roman" w:hAnsi="Times New Roman"/>
          <w:sz w:val="28"/>
          <w:szCs w:val="28"/>
          <w:lang w:val="en-US" w:eastAsia="uk-UA"/>
        </w:rPr>
        <w:t>https://doi.org/10.1158/0008-5472.CAN-17-0248</w:t>
      </w:r>
      <w:r w:rsidRPr="00981822">
        <w:rPr>
          <w:rFonts w:ascii="Times New Roman" w:hAnsi="Times New Roman"/>
          <w:color w:val="000000"/>
          <w:sz w:val="28"/>
          <w:szCs w:val="28"/>
          <w:lang w:val="en-US" w:eastAsia="uk-UA"/>
        </w:rPr>
        <w:t>.</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Rosen MA. Use of Modified RECIST Criteria to Improve Response Assessment in Targeted Therapies: Challenges and Opportunities. </w:t>
      </w:r>
      <w:r w:rsidRPr="00981822">
        <w:rPr>
          <w:rFonts w:ascii="Times New Roman" w:hAnsi="Times New Roman"/>
          <w:iCs/>
          <w:color w:val="000000"/>
          <w:sz w:val="28"/>
          <w:szCs w:val="28"/>
          <w:lang w:val="en-US" w:eastAsia="uk-UA"/>
        </w:rPr>
        <w:t>Cancer Biol Ther</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1):20–2.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Rosenkrantz AB, </w:t>
      </w:r>
      <w:r w:rsidRPr="00981822">
        <w:rPr>
          <w:rFonts w:ascii="Times New Roman" w:hAnsi="Times New Roman"/>
          <w:sz w:val="28"/>
          <w:szCs w:val="28"/>
          <w:lang w:val="en-US"/>
        </w:rPr>
        <w:t>Hindman N, Fitzgerald EF, Niver BE, Melamed J, Babb JS.</w:t>
      </w:r>
      <w:r w:rsidRPr="00981822">
        <w:rPr>
          <w:rFonts w:ascii="Times New Roman" w:hAnsi="Times New Roman"/>
          <w:color w:val="000000"/>
          <w:sz w:val="28"/>
          <w:szCs w:val="28"/>
          <w:lang w:val="en-US"/>
        </w:rPr>
        <w:t xml:space="preserve"> MRI features of renal oncocytoma and chromophobe renal cell carcinoma. </w:t>
      </w:r>
      <w:r w:rsidRPr="00981822">
        <w:rPr>
          <w:rFonts w:ascii="Times New Roman" w:hAnsi="Times New Roman"/>
          <w:color w:val="000000"/>
          <w:sz w:val="28"/>
          <w:szCs w:val="28"/>
          <w:lang w:val="en-US" w:eastAsia="uk-UA"/>
        </w:rPr>
        <w:t>AJR</w:t>
      </w:r>
      <w:r w:rsidRPr="00981822">
        <w:rPr>
          <w:rFonts w:ascii="Times New Roman" w:hAnsi="Times New Roman"/>
          <w:color w:val="000000"/>
          <w:sz w:val="28"/>
          <w:szCs w:val="28"/>
          <w:lang w:val="en-US"/>
        </w:rPr>
        <w:t xml:space="preserve"> Am J Roentgenol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2010</w:t>
      </w:r>
      <w:r w:rsidRPr="00981822">
        <w:rPr>
          <w:rFonts w:ascii="Times New Roman" w:hAnsi="Times New Roman"/>
          <w:lang w:val="en-US"/>
        </w:rPr>
        <w:t xml:space="preserve"> </w:t>
      </w:r>
      <w:r w:rsidRPr="00981822">
        <w:rPr>
          <w:rFonts w:ascii="Times New Roman" w:hAnsi="Times New Roman"/>
          <w:sz w:val="28"/>
          <w:szCs w:val="28"/>
          <w:lang w:val="en-US"/>
        </w:rPr>
        <w:t>Dec;195(6):W421</w:t>
      </w:r>
      <w:r w:rsidRPr="00981822">
        <w:rPr>
          <w:rFonts w:ascii="Times New Roman" w:hAnsi="Times New Roman"/>
          <w:sz w:val="28"/>
          <w:szCs w:val="28"/>
        </w:rPr>
        <w:t>–</w:t>
      </w:r>
      <w:r w:rsidRPr="00981822">
        <w:rPr>
          <w:rFonts w:ascii="Times New Roman" w:hAnsi="Times New Roman"/>
          <w:sz w:val="28"/>
          <w:szCs w:val="28"/>
          <w:lang w:val="en-US"/>
        </w:rPr>
        <w:t>7</w:t>
      </w:r>
      <w:r w:rsidRPr="00981822">
        <w:rPr>
          <w:rFonts w:ascii="Times New Roman" w:hAnsi="Times New Roman"/>
          <w:color w:val="000000"/>
          <w:sz w:val="28"/>
          <w:szCs w:val="28"/>
          <w:lang w:val="en-US"/>
        </w:rPr>
        <w:t>.</w:t>
      </w:r>
      <w:r w:rsidRPr="00981822">
        <w:rPr>
          <w:rFonts w:ascii="Times New Roman" w:hAnsi="Times New Roman"/>
          <w:color w:val="000000"/>
          <w:lang w:val="en-US"/>
        </w:rPr>
        <w:t xml:space="preserve">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Rosenkrantz AB, Niver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BE, Fitzgerald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EF, Babb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JS, Chandarana</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Melamed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J. Utility of the Apparent Diffusion Coefficient for Distinguishing Clear Cell Renal Cell Carcinoma of Low and High Nuclear Grade. AJR </w:t>
      </w:r>
      <w:r w:rsidRPr="00981822">
        <w:rPr>
          <w:rFonts w:ascii="Times New Roman" w:hAnsi="Times New Roman"/>
          <w:iCs/>
          <w:color w:val="000000"/>
          <w:sz w:val="28"/>
          <w:szCs w:val="28"/>
          <w:lang w:val="en-US" w:eastAsia="uk-UA"/>
        </w:rPr>
        <w:t>Am</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J Roentgenol</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Nov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195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5):W344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51. </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Sabatino M, Kim-Schulze S, Panelli MC, Stroncek D, Wang E, Taback B, et al. Serum vascular endothelial growth factor and fibronectin predict clinical response to high-dose interleukin-2 therapy. J Clin Oncol. 2009 Jun 1;27(16):2645–52.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Sadowski EA, Bennett LK, Chan MR, </w:t>
      </w:r>
      <w:r w:rsidRPr="00981822">
        <w:rPr>
          <w:rFonts w:ascii="Times New Roman" w:hAnsi="Times New Roman"/>
          <w:sz w:val="28"/>
          <w:szCs w:val="28"/>
          <w:lang w:val="en-US"/>
        </w:rPr>
        <w:t>Wentland AL, Garrett AL, Garrett RW</w:t>
      </w:r>
      <w:r w:rsidRPr="00981822">
        <w:t xml:space="preserve">, </w:t>
      </w:r>
      <w:r w:rsidRPr="00981822">
        <w:rPr>
          <w:rFonts w:ascii="Times New Roman" w:hAnsi="Times New Roman"/>
          <w:color w:val="000000"/>
          <w:sz w:val="28"/>
          <w:szCs w:val="28"/>
          <w:lang w:val="en-US"/>
        </w:rPr>
        <w:t>et al. Nephrogenic systemic fibrosis: risk factors and incidence estimation. Radiology. 2007</w:t>
      </w:r>
      <w:r w:rsidRPr="00981822">
        <w:rPr>
          <w:lang w:val="en-US"/>
        </w:rPr>
        <w:t xml:space="preserve"> </w:t>
      </w:r>
      <w:r w:rsidRPr="00981822">
        <w:rPr>
          <w:rFonts w:ascii="Times New Roman" w:hAnsi="Times New Roman"/>
          <w:sz w:val="28"/>
          <w:szCs w:val="28"/>
          <w:lang w:val="en-US"/>
        </w:rPr>
        <w:t>Apr</w:t>
      </w:r>
      <w:r w:rsidRPr="00981822">
        <w:rPr>
          <w:rFonts w:ascii="Times New Roman" w:hAnsi="Times New Roman"/>
          <w:color w:val="000000"/>
          <w:sz w:val="28"/>
          <w:szCs w:val="28"/>
          <w:lang w:val="en-US"/>
        </w:rPr>
        <w:t>;243(1):148–57.</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Saini S, Yamamura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Majid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Shahryari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 Hirata</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Tanaka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et 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MicroRNA-708 Induces Apoptosis and Suppresses Tumorigenicity in Renal Cancer Cells. </w:t>
      </w:r>
      <w:r w:rsidRPr="00981822">
        <w:rPr>
          <w:rFonts w:ascii="Times New Roman" w:hAnsi="Times New Roman"/>
          <w:iCs/>
          <w:color w:val="000000"/>
          <w:sz w:val="28"/>
          <w:szCs w:val="28"/>
          <w:lang w:val="en-US" w:eastAsia="uk-UA"/>
        </w:rPr>
        <w:t>Cancer Res</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Oct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19):6208–19.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Salinas-Sánchez AS, Serrano-Oviedo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Nam-Cha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SY, Roche-Losada</w:t>
      </w:r>
      <w:r w:rsidRPr="00981822">
        <w:rPr>
          <w:rFonts w:ascii="Times New Roman" w:hAnsi="Times New Roman"/>
          <w:color w:val="000000"/>
          <w:sz w:val="28"/>
          <w:szCs w:val="28"/>
          <w:lang w:eastAsia="uk-UA"/>
        </w:rPr>
        <w:t xml:space="preserve"> О</w:t>
      </w:r>
      <w:r w:rsidRPr="00981822">
        <w:rPr>
          <w:rFonts w:ascii="Times New Roman" w:hAnsi="Times New Roman"/>
          <w:color w:val="000000"/>
          <w:sz w:val="28"/>
          <w:szCs w:val="28"/>
          <w:lang w:val="en-US" w:eastAsia="uk-UA"/>
        </w:rPr>
        <w:t>, Sánchez-Prieto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Giménez-Bachs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JM. Prognostic Value of the VHL, HIF-1á, and VEGF Signaling Pathway and Associated MAPK (ERK1/2 and ERK5) Pathways in Clear-Cell Renal Cell Carcinoma. A Long-Term Study. </w:t>
      </w:r>
      <w:r w:rsidRPr="00981822">
        <w:rPr>
          <w:rFonts w:ascii="Times New Roman" w:hAnsi="Times New Roman"/>
          <w:iCs/>
          <w:color w:val="000000"/>
          <w:sz w:val="28"/>
          <w:szCs w:val="28"/>
          <w:lang w:val="en-US" w:eastAsia="uk-UA"/>
        </w:rPr>
        <w:t>Clin Genitourinary Cancer</w:t>
      </w:r>
      <w:r w:rsidRPr="00981822">
        <w:rPr>
          <w:rFonts w:ascii="Times New Roman" w:hAnsi="Times New Roman"/>
          <w:color w:val="000000"/>
          <w:sz w:val="28"/>
          <w:szCs w:val="28"/>
          <w:lang w:eastAsia="uk-UA"/>
        </w:rPr>
        <w:t xml:space="preserve">. </w:t>
      </w:r>
      <w:r w:rsidRPr="00981822">
        <w:rPr>
          <w:rFonts w:ascii="Times New Roman" w:hAnsi="Times New Roman"/>
          <w:sz w:val="28"/>
          <w:szCs w:val="28"/>
          <w:lang w:val="en-US"/>
        </w:rPr>
        <w:t>2017 Dec;15(6):e923</w:t>
      </w:r>
      <w:r w:rsidRPr="00981822">
        <w:rPr>
          <w:rFonts w:ascii="Times New Roman" w:hAnsi="Times New Roman"/>
          <w:sz w:val="28"/>
          <w:szCs w:val="28"/>
        </w:rPr>
        <w:t>–</w:t>
      </w:r>
      <w:r w:rsidRPr="00981822">
        <w:rPr>
          <w:rFonts w:ascii="Times New Roman" w:hAnsi="Times New Roman"/>
          <w:sz w:val="28"/>
          <w:szCs w:val="28"/>
          <w:lang w:val="en-US"/>
        </w:rPr>
        <w:t>33</w:t>
      </w:r>
      <w:r w:rsidRPr="00981822">
        <w:t xml:space="preserve">. </w:t>
      </w:r>
    </w:p>
    <w:p w:rsidR="0061473E" w:rsidRPr="00981822" w:rsidRDefault="0061473E" w:rsidP="00DE6E24">
      <w:pPr>
        <w:pStyle w:val="ListParagraph"/>
        <w:numPr>
          <w:ilvl w:val="0"/>
          <w:numId w:val="9"/>
        </w:numPr>
        <w:spacing w:line="360" w:lineRule="auto"/>
        <w:jc w:val="both"/>
        <w:rPr>
          <w:rFonts w:ascii="Times New Roman" w:hAnsi="Times New Roman"/>
          <w:sz w:val="28"/>
          <w:szCs w:val="28"/>
        </w:rPr>
      </w:pPr>
      <w:r w:rsidRPr="00981822">
        <w:rPr>
          <w:rFonts w:ascii="Times New Roman" w:hAnsi="Times New Roman"/>
          <w:sz w:val="28"/>
          <w:szCs w:val="28"/>
          <w:lang w:val="en-US"/>
        </w:rPr>
        <w:t>Sawada N, Inoue M, Sasazuki S, Iwasaki M, Yamaji T, Shimazu T, et al. Body mass index and subsequent risk of kidney cancer: a prospective cohort study in Japan. Ann Epidemiol. 2010</w:t>
      </w:r>
      <w:r w:rsidRPr="00981822">
        <w:rPr>
          <w:rFonts w:ascii="Times New Roman" w:hAnsi="Times New Roman"/>
          <w:sz w:val="28"/>
          <w:szCs w:val="28"/>
        </w:rPr>
        <w:t xml:space="preserve"> Jun</w:t>
      </w:r>
      <w:r w:rsidRPr="00981822">
        <w:rPr>
          <w:rFonts w:ascii="Times New Roman" w:hAnsi="Times New Roman"/>
          <w:sz w:val="28"/>
          <w:szCs w:val="28"/>
          <w:lang w:val="en-US"/>
        </w:rPr>
        <w:t xml:space="preserve">;20(6):466–72.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Schwartz MJ, Smith</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EB, Trost</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DW, Vaughan</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ED. Renal Artery Embolization: Clinical Indications and Experience from over 100 Cases. BJU Int. 2007</w:t>
      </w:r>
      <w:r w:rsidRPr="00981822">
        <w:rPr>
          <w:rFonts w:ascii="Times New Roman" w:hAnsi="Times New Roman"/>
          <w:sz w:val="28"/>
          <w:szCs w:val="28"/>
        </w:rPr>
        <w:t xml:space="preserve"> Apr</w:t>
      </w:r>
      <w:r w:rsidRPr="00981822">
        <w:rPr>
          <w:rFonts w:ascii="Times New Roman" w:hAnsi="Times New Roman"/>
          <w:color w:val="000000"/>
          <w:sz w:val="28"/>
          <w:szCs w:val="28"/>
        </w:rPr>
        <w:t>;99(</w:t>
      </w:r>
      <w:r w:rsidRPr="00981822">
        <w:rPr>
          <w:rFonts w:ascii="Times New Roman" w:hAnsi="Times New Roman"/>
          <w:color w:val="000000"/>
          <w:sz w:val="28"/>
          <w:szCs w:val="28"/>
          <w:lang w:val="en-US"/>
        </w:rPr>
        <w:t>4</w:t>
      </w:r>
      <w:r w:rsidRPr="00981822">
        <w:rPr>
          <w:rFonts w:ascii="Times New Roman" w:hAnsi="Times New Roman"/>
          <w:color w:val="000000"/>
          <w:sz w:val="28"/>
          <w:szCs w:val="28"/>
        </w:rPr>
        <w:t>):</w:t>
      </w:r>
      <w:r w:rsidRPr="00981822">
        <w:rPr>
          <w:rFonts w:ascii="Times New Roman" w:hAnsi="Times New Roman"/>
          <w:color w:val="000000"/>
          <w:sz w:val="28"/>
          <w:szCs w:val="28"/>
          <w:lang w:val="en-US"/>
        </w:rPr>
        <w:t>881–6.</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Serrano-Oviedo L, Giménez-Bachs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JM, Nam-Cha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SY, Cimas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FJ, García-Cano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Sánchez-Prieto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Implication of VHL, ERK5, and HIF-1alpha in Clear Cell Renal Cell Carcinoma: Molecular Basis. </w:t>
      </w:r>
      <w:r w:rsidRPr="00981822">
        <w:rPr>
          <w:rFonts w:ascii="Times New Roman" w:hAnsi="Times New Roman"/>
          <w:iCs/>
          <w:color w:val="000000"/>
          <w:sz w:val="28"/>
          <w:szCs w:val="28"/>
          <w:lang w:val="en-US" w:eastAsia="uk-UA"/>
        </w:rPr>
        <w:t>Urol Oncol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3):114.e15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e22. doi:10.1016/j.urolonc.2016.10.010.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Sevcenco S, Heinz-Peer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Ponhold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Javor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Kuehhas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FE, Klingler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HC,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 xml:space="preserve">Utility and Limitations of 3-Tesla Diffusion-Weighted Magnetic Resonance Imaging for Differentiation of Renal Tumors. </w:t>
      </w:r>
      <w:r w:rsidRPr="00981822">
        <w:rPr>
          <w:rFonts w:ascii="Times New Roman" w:hAnsi="Times New Roman"/>
          <w:iCs/>
          <w:color w:val="000000"/>
          <w:sz w:val="28"/>
          <w:szCs w:val="28"/>
          <w:lang w:val="en-US" w:eastAsia="uk-UA"/>
        </w:rPr>
        <w:t>Eur 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Radiol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Jun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83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6):909–13. doi:10.1016/j.ejrad.2014.02.026.</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Sevcenco S, Krssak</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Javor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 Ponhold</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Kuehhas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FE, Fajkovic</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eastAsia="uk-UA"/>
        </w:rPr>
        <w:t xml:space="preserve">Diagnosis of Renal Tumors by in Vivo Proton Magnetic Resonance Spectroscopy. </w:t>
      </w:r>
      <w:r w:rsidRPr="00981822">
        <w:rPr>
          <w:rFonts w:ascii="Times New Roman" w:hAnsi="Times New Roman"/>
          <w:iCs/>
          <w:color w:val="000000"/>
          <w:sz w:val="28"/>
          <w:szCs w:val="28"/>
          <w:lang w:val="en-US" w:eastAsia="uk-UA"/>
        </w:rPr>
        <w:t>World J Urol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Jan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1):17–23. doi:10.1007/s00345-014-1272-y.</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Sevcenco S, Spick</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Helbich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TH, Heinz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Shariat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SF, Klingler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HC, </w:t>
      </w:r>
      <w:r w:rsidRPr="00981822">
        <w:rPr>
          <w:rFonts w:ascii="Times New Roman" w:hAnsi="Times New Roman"/>
          <w:color w:val="000000"/>
          <w:sz w:val="28"/>
          <w:szCs w:val="28"/>
          <w:lang w:val="en-US"/>
        </w:rPr>
        <w:t>et al.</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eastAsia="uk-UA"/>
        </w:rPr>
        <w:t xml:space="preserve">Malignancy Rates and Diagnostic Performance of the Bosniak Classification for the Diagnosis of Cystic Renal Lesions in Computed Tomography – a Systematic </w:t>
      </w:r>
      <w:r w:rsidRPr="00981822">
        <w:rPr>
          <w:rFonts w:ascii="Times New Roman" w:hAnsi="Times New Roman"/>
          <w:color w:val="000000"/>
          <w:sz w:val="28"/>
          <w:szCs w:val="28"/>
          <w:lang w:val="en-US" w:eastAsia="uk-UA"/>
        </w:rPr>
        <w:lastRenderedPageBreak/>
        <w:t xml:space="preserve">Review and Meta-Analysis. </w:t>
      </w:r>
      <w:r w:rsidRPr="00981822">
        <w:rPr>
          <w:rFonts w:ascii="Times New Roman" w:hAnsi="Times New Roman"/>
          <w:iCs/>
          <w:color w:val="000000"/>
          <w:sz w:val="28"/>
          <w:szCs w:val="28"/>
          <w:lang w:val="en-US" w:eastAsia="uk-UA"/>
        </w:rPr>
        <w:t>Eur Radiol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Jun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6):2239–47. doi:10.1007/s00330-016-4631-9.</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Shen H, 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 Li</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Yang</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xml:space="preserve">. The Prognostic Value of Vascular Endothelial Growth Factor in Patients with Renal Cell Carcinoma: A Systematic Review of the Literature and Meta-Analysis. </w:t>
      </w:r>
      <w:r w:rsidRPr="00981822">
        <w:rPr>
          <w:rFonts w:ascii="Times New Roman" w:hAnsi="Times New Roman"/>
          <w:iCs/>
          <w:color w:val="000000"/>
          <w:sz w:val="28"/>
          <w:szCs w:val="28"/>
          <w:lang w:val="en-US" w:eastAsia="uk-UA"/>
        </w:rPr>
        <w:t>Clin Invest Med</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Apr 26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2):E40–8.</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Shen L, 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Liu</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Yang</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xml:space="preserve">. Comparison of Biexponential and Monoexponential DWI in Evaluation of Fuhrman Grading of Clear Cell Renal Cell Carcinoma. </w:t>
      </w:r>
      <w:r w:rsidRPr="00981822">
        <w:rPr>
          <w:rFonts w:ascii="Times New Roman" w:hAnsi="Times New Roman"/>
          <w:iCs/>
          <w:color w:val="000000"/>
          <w:sz w:val="28"/>
          <w:szCs w:val="28"/>
          <w:lang w:val="en-US" w:eastAsia="uk-UA"/>
        </w:rPr>
        <w:t>Diagn Interv Radiol</w:t>
      </w:r>
      <w:r w:rsidRPr="00981822">
        <w:rPr>
          <w:rFonts w:ascii="Times New Roman" w:hAnsi="Times New Roman"/>
          <w:iCs/>
          <w:color w:val="000000"/>
          <w:sz w:val="28"/>
          <w:szCs w:val="28"/>
          <w:lang w:eastAsia="uk-UA"/>
        </w:rPr>
        <w:t xml:space="preserve">. </w:t>
      </w:r>
      <w:r w:rsidRPr="00981822">
        <w:rPr>
          <w:rFonts w:ascii="Times New Roman" w:hAnsi="Times New Roman"/>
          <w:sz w:val="28"/>
          <w:szCs w:val="28"/>
          <w:lang w:val="en-US"/>
        </w:rPr>
        <w:t>2017 Mar-Apr;23(2):100</w:t>
      </w:r>
      <w:r w:rsidRPr="00981822">
        <w:rPr>
          <w:rFonts w:ascii="Times New Roman" w:hAnsi="Times New Roman"/>
          <w:sz w:val="28"/>
          <w:szCs w:val="28"/>
        </w:rPr>
        <w:t>–</w:t>
      </w:r>
      <w:r w:rsidRPr="00981822">
        <w:rPr>
          <w:rFonts w:ascii="Times New Roman" w:hAnsi="Times New Roman"/>
          <w:sz w:val="28"/>
          <w:szCs w:val="28"/>
          <w:lang w:val="en-US"/>
        </w:rPr>
        <w:t>5</w:t>
      </w:r>
      <w:r w:rsidRPr="00981822">
        <w:rPr>
          <w:rFonts w:ascii="Times New Roman" w:hAnsi="Times New Roman"/>
          <w:sz w:val="28"/>
          <w:szCs w:val="28"/>
        </w:rPr>
        <w:t>.</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Shinagare AB, Vikram R, Jaffe C, Akin O, Kirby J, Huang E, et al. Radiogenomics of clear cell renal cell carcinoma: preliminary findings of The Cancer Genome Atlas-Renal Cell Carcinoma (TCGA-RCC) Imaging Research Group. Abdom Imaging. 2015 Aug;40(6):1684–92.</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Shinmei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Sakamoto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Goto</w:t>
      </w:r>
      <w:r w:rsidRPr="00981822">
        <w:rPr>
          <w:rFonts w:ascii="Times New Roman" w:hAnsi="Times New Roman"/>
          <w:color w:val="000000"/>
          <w:sz w:val="28"/>
          <w:szCs w:val="28"/>
          <w:lang w:eastAsia="uk-UA"/>
        </w:rPr>
        <w:t xml:space="preserve"> К, </w:t>
      </w:r>
      <w:r w:rsidRPr="00981822">
        <w:rPr>
          <w:rFonts w:ascii="Times New Roman" w:hAnsi="Times New Roman"/>
          <w:color w:val="000000"/>
          <w:sz w:val="28"/>
          <w:szCs w:val="28"/>
          <w:lang w:val="en-US" w:eastAsia="uk-UA"/>
        </w:rPr>
        <w:t>Sentani</w:t>
      </w:r>
      <w:r w:rsidRPr="00981822">
        <w:rPr>
          <w:rFonts w:ascii="Times New Roman" w:hAnsi="Times New Roman"/>
          <w:color w:val="000000"/>
          <w:sz w:val="28"/>
          <w:szCs w:val="28"/>
          <w:lang w:eastAsia="uk-UA"/>
        </w:rPr>
        <w:t xml:space="preserve"> К, </w:t>
      </w:r>
      <w:r w:rsidRPr="00981822">
        <w:rPr>
          <w:rFonts w:ascii="Times New Roman" w:hAnsi="Times New Roman"/>
          <w:color w:val="000000"/>
          <w:sz w:val="28"/>
          <w:szCs w:val="28"/>
          <w:lang w:val="en-US" w:eastAsia="uk-UA"/>
        </w:rPr>
        <w:t>Anami</w:t>
      </w:r>
      <w:r w:rsidRPr="00981822">
        <w:rPr>
          <w:rFonts w:ascii="Times New Roman" w:hAnsi="Times New Roman"/>
          <w:color w:val="000000"/>
          <w:sz w:val="28"/>
          <w:szCs w:val="28"/>
          <w:lang w:eastAsia="uk-UA"/>
        </w:rPr>
        <w:t xml:space="preserve"> К, </w:t>
      </w:r>
      <w:r w:rsidRPr="00981822">
        <w:rPr>
          <w:rFonts w:ascii="Times New Roman" w:hAnsi="Times New Roman"/>
          <w:color w:val="000000"/>
          <w:sz w:val="28"/>
          <w:szCs w:val="28"/>
          <w:lang w:val="en-US" w:eastAsia="uk-UA"/>
        </w:rPr>
        <w:t>Hayashi</w:t>
      </w:r>
      <w:r w:rsidRPr="00981822">
        <w:rPr>
          <w:rFonts w:ascii="Times New Roman" w:hAnsi="Times New Roman"/>
          <w:color w:val="000000"/>
          <w:sz w:val="28"/>
          <w:szCs w:val="28"/>
          <w:lang w:eastAsia="uk-UA"/>
        </w:rPr>
        <w:t xml:space="preserve"> Т,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MicroRNA-155 Is a Predictive Marker for Survival in Patients with Clear Cell Renal Cell Carcinoma: MiR-155 in Renal Cell Carcinoma. </w:t>
      </w:r>
      <w:r w:rsidRPr="00981822">
        <w:rPr>
          <w:rFonts w:ascii="Times New Roman" w:hAnsi="Times New Roman"/>
          <w:iCs/>
          <w:color w:val="000000"/>
          <w:sz w:val="28"/>
          <w:szCs w:val="28"/>
          <w:lang w:val="en-US" w:eastAsia="uk-UA"/>
        </w:rPr>
        <w:t>Int 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Urol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5):468–77. doi:10.1111/j.1442-2042.2012.03182.x.</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Sim SH, Messenger MP, Gregory WM, </w:t>
      </w:r>
      <w:r w:rsidRPr="00981822">
        <w:rPr>
          <w:rFonts w:ascii="Times New Roman" w:hAnsi="Times New Roman"/>
          <w:sz w:val="28"/>
          <w:szCs w:val="28"/>
          <w:lang w:val="en-US"/>
        </w:rPr>
        <w:t>Wind TC, Vasudev NS, Cartledge J,</w:t>
      </w:r>
      <w:r w:rsidRPr="00981822">
        <w:t xml:space="preserve"> </w:t>
      </w:r>
      <w:r w:rsidRPr="00981822">
        <w:rPr>
          <w:rFonts w:ascii="Times New Roman" w:hAnsi="Times New Roman"/>
          <w:color w:val="000000"/>
          <w:sz w:val="28"/>
          <w:szCs w:val="28"/>
          <w:lang w:val="en-US"/>
        </w:rPr>
        <w:t>et al. Prognostic utility of pre-operative cir</w:t>
      </w:r>
      <w:r w:rsidRPr="00981822">
        <w:rPr>
          <w:rFonts w:ascii="Times New Roman" w:hAnsi="Times New Roman"/>
          <w:color w:val="000000"/>
          <w:sz w:val="28"/>
          <w:szCs w:val="28"/>
          <w:lang w:val="en-US"/>
        </w:rPr>
        <w:softHyphen/>
        <w:t>culating osteopontin, carbonic anhydrase IX and CRP in renal cell carcinoma. Br J Cancer</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2012</w:t>
      </w:r>
      <w:r w:rsidRPr="00981822">
        <w:rPr>
          <w:lang w:val="en-US"/>
        </w:rPr>
        <w:t xml:space="preserve"> </w:t>
      </w:r>
      <w:r w:rsidRPr="00981822">
        <w:rPr>
          <w:rFonts w:ascii="Times New Roman" w:hAnsi="Times New Roman"/>
          <w:sz w:val="28"/>
          <w:szCs w:val="28"/>
          <w:lang w:val="en-US"/>
        </w:rPr>
        <w:t>Sep 25</w:t>
      </w:r>
      <w:r w:rsidRPr="00981822">
        <w:rPr>
          <w:rFonts w:ascii="Times New Roman" w:hAnsi="Times New Roman"/>
          <w:color w:val="000000"/>
          <w:sz w:val="28"/>
          <w:szCs w:val="28"/>
          <w:lang w:val="en-US"/>
        </w:rPr>
        <w:t>;107(7):1131–7.</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Simpfendorfer C, Herts BR, Motta-Ramirez GA, Lockwood DS, </w:t>
      </w:r>
      <w:r w:rsidRPr="00981822">
        <w:rPr>
          <w:rFonts w:ascii="Times New Roman" w:hAnsi="Times New Roman"/>
          <w:sz w:val="28"/>
          <w:szCs w:val="28"/>
          <w:lang w:val="en-US"/>
        </w:rPr>
        <w:t>Zhou M, Leiber M</w:t>
      </w:r>
      <w:r w:rsidRPr="00981822">
        <w:rPr>
          <w:rFonts w:ascii="Times New Roman" w:hAnsi="Times New Roman"/>
          <w:sz w:val="28"/>
          <w:szCs w:val="28"/>
        </w:rPr>
        <w:t xml:space="preserve">, </w:t>
      </w:r>
      <w:r w:rsidRPr="00981822">
        <w:rPr>
          <w:rFonts w:ascii="Times New Roman" w:hAnsi="Times New Roman"/>
          <w:color w:val="000000"/>
          <w:sz w:val="28"/>
          <w:szCs w:val="28"/>
          <w:lang w:val="en-US"/>
        </w:rPr>
        <w:t>et al. Angiomyolipoma with minimal fat on MDCT: can pixel counts aid diagnosis? AJR Am J Roentgenol. 2009</w:t>
      </w:r>
      <w:r w:rsidRPr="00981822">
        <w:rPr>
          <w:rFonts w:ascii="Times New Roman" w:hAnsi="Times New Roman"/>
        </w:rPr>
        <w:t xml:space="preserve"> </w:t>
      </w:r>
      <w:r w:rsidRPr="00981822">
        <w:rPr>
          <w:rFonts w:ascii="Times New Roman" w:hAnsi="Times New Roman"/>
          <w:sz w:val="28"/>
          <w:szCs w:val="28"/>
        </w:rPr>
        <w:t>Feb;192(2)</w:t>
      </w:r>
      <w:r w:rsidRPr="00981822">
        <w:rPr>
          <w:rFonts w:ascii="Times New Roman" w:hAnsi="Times New Roman"/>
          <w:color w:val="000000"/>
          <w:sz w:val="28"/>
          <w:szCs w:val="28"/>
          <w:lang w:val="en-US"/>
        </w:rPr>
        <w:t>:438–43.</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Slaby O, Jancovicova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Lakomy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Svoboda</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Poprach</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Fabian</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Expression of miRNA-106b in Conventional Renal Cell Carcinoma Is a Potential Marker for Prediction of Early Metastasis after Nephrectomy. </w:t>
      </w:r>
      <w:r w:rsidRPr="00981822">
        <w:rPr>
          <w:rFonts w:ascii="Times New Roman" w:hAnsi="Times New Roman"/>
          <w:iCs/>
          <w:color w:val="000000"/>
          <w:sz w:val="28"/>
          <w:szCs w:val="28"/>
          <w:lang w:val="en-US" w:eastAsia="uk-UA"/>
        </w:rPr>
        <w:t>J Exp Clin Cancer Res</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eastAsia="uk-UA"/>
        </w:rPr>
        <w:t xml:space="preserve">2010 </w:t>
      </w:r>
      <w:r w:rsidRPr="00981822">
        <w:rPr>
          <w:rFonts w:ascii="Times New Roman" w:hAnsi="Times New Roman"/>
          <w:color w:val="000000"/>
          <w:sz w:val="28"/>
          <w:szCs w:val="28"/>
          <w:lang w:val="en-US" w:eastAsia="uk-UA"/>
        </w:rPr>
        <w:t>Jul 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29:90. doi:10.1186/1756-9966-29-90.</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Smith AD, Lieber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ML, Shah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SN. Assessing Tumor Response and Detecting Recurrence in Metastatic Renal Cell Carcinoma on Targeted Therapy: </w:t>
      </w:r>
      <w:r w:rsidRPr="00981822">
        <w:rPr>
          <w:rFonts w:ascii="Times New Roman" w:hAnsi="Times New Roman"/>
          <w:color w:val="000000"/>
          <w:sz w:val="28"/>
          <w:szCs w:val="28"/>
          <w:lang w:val="en-US" w:eastAsia="uk-UA"/>
        </w:rPr>
        <w:lastRenderedPageBreak/>
        <w:t xml:space="preserve">Importance of Size and Attenuation on Contrast-Enhanced CT. AJR </w:t>
      </w:r>
      <w:r w:rsidRPr="00981822">
        <w:rPr>
          <w:rFonts w:ascii="Times New Roman" w:hAnsi="Times New Roman"/>
          <w:iCs/>
          <w:color w:val="000000"/>
          <w:sz w:val="28"/>
          <w:szCs w:val="28"/>
          <w:lang w:val="en-US" w:eastAsia="uk-UA"/>
        </w:rPr>
        <w:t>Am J Roentgenol</w:t>
      </w:r>
      <w:r w:rsidRPr="00981822">
        <w:rPr>
          <w:rFonts w:ascii="Times New Roman" w:hAnsi="Times New Roman"/>
          <w:iCs/>
          <w:color w:val="000000"/>
          <w:sz w:val="28"/>
          <w:szCs w:val="28"/>
          <w:lang w:eastAsia="uk-UA"/>
        </w:rPr>
        <w:t xml:space="preserve">. 2010 </w:t>
      </w:r>
      <w:r w:rsidRPr="00981822">
        <w:rPr>
          <w:rFonts w:ascii="Times New Roman" w:hAnsi="Times New Roman"/>
          <w:color w:val="000000"/>
          <w:sz w:val="28"/>
          <w:szCs w:val="28"/>
          <w:lang w:val="en-US" w:eastAsia="uk-UA"/>
        </w:rPr>
        <w:t>Jan 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194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1):157–65.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eastAsia="uk-UA"/>
        </w:rPr>
        <w:t xml:space="preserve">Smith AD, Remer EM, Cox KL, Lieber ML, Allen BC, Shah SN,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Bosniak Category IIF and III Cystic Renal Lesions: Outcomes and Associations. </w:t>
      </w:r>
      <w:r w:rsidRPr="00981822">
        <w:rPr>
          <w:rFonts w:ascii="Times New Roman" w:hAnsi="Times New Roman"/>
          <w:iCs/>
          <w:color w:val="000000"/>
          <w:sz w:val="28"/>
          <w:szCs w:val="28"/>
          <w:lang w:eastAsia="uk-UA"/>
        </w:rPr>
        <w:t>Radiology</w:t>
      </w:r>
      <w:r w:rsidRPr="00981822">
        <w:rPr>
          <w:rFonts w:ascii="Times New Roman" w:hAnsi="Times New Roman"/>
          <w:color w:val="000000"/>
          <w:sz w:val="28"/>
          <w:szCs w:val="28"/>
          <w:lang w:eastAsia="uk-UA"/>
        </w:rPr>
        <w:t xml:space="preserve">. 2012 Jan 1;262(1):152–60.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Song T, Zhang</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Wang</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Wu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Cai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Gao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MiR-138 Suppresses Expression of Hypoxia-Inducible Factor 1α (HIF-1α) in Clear Cell Renal Cell Carcinoma 786-O Cells. </w:t>
      </w:r>
      <w:r w:rsidRPr="00981822">
        <w:rPr>
          <w:rFonts w:ascii="Times New Roman" w:hAnsi="Times New Roman"/>
          <w:iCs/>
          <w:color w:val="000000"/>
          <w:sz w:val="28"/>
          <w:szCs w:val="28"/>
          <w:lang w:val="en-US" w:eastAsia="uk-UA"/>
        </w:rPr>
        <w:t>Asian Pacific J Cancer Prevent</w:t>
      </w:r>
      <w:r w:rsidRPr="00981822">
        <w:rPr>
          <w:rFonts w:ascii="Times New Roman" w:hAnsi="Times New Roman"/>
          <w:iCs/>
          <w:color w:val="000000"/>
          <w:sz w:val="28"/>
          <w:szCs w:val="28"/>
          <w:lang w:eastAsia="uk-UA"/>
        </w:rPr>
        <w:t>. 2011;</w:t>
      </w:r>
      <w:r w:rsidRPr="00981822">
        <w:rPr>
          <w:rFonts w:ascii="Times New Roman" w:hAnsi="Times New Roman"/>
          <w:color w:val="000000"/>
          <w:sz w:val="28"/>
          <w:szCs w:val="28"/>
          <w:lang w:val="en-US" w:eastAsia="uk-UA"/>
        </w:rPr>
        <w:t>12</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5):1307–11.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 xml:space="preserve">Steffens S, Köhler A, Rudolph R, </w:t>
      </w:r>
      <w:r w:rsidRPr="00981822">
        <w:rPr>
          <w:rFonts w:ascii="Times New Roman" w:hAnsi="Times New Roman"/>
          <w:sz w:val="28"/>
          <w:szCs w:val="28"/>
          <w:lang w:val="en-US"/>
        </w:rPr>
        <w:t>Eggers H, Seidel C, Janssen M</w:t>
      </w:r>
      <w:r w:rsidRPr="00981822">
        <w:rPr>
          <w:rFonts w:ascii="Times New Roman" w:hAnsi="Times New Roman"/>
        </w:rPr>
        <w:t xml:space="preserve">, </w:t>
      </w:r>
      <w:r w:rsidRPr="00981822">
        <w:rPr>
          <w:rFonts w:ascii="Times New Roman" w:hAnsi="Times New Roman"/>
          <w:color w:val="000000"/>
          <w:sz w:val="28"/>
          <w:szCs w:val="28"/>
          <w:shd w:val="clear" w:color="auto" w:fill="FFFFFF"/>
          <w:lang w:val="en-US"/>
        </w:rPr>
        <w:t>et al. Validation of CRP as prognostic marker for renal cell carcinoma in a large series of patients.</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BMC Cancer</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2012</w:t>
      </w:r>
      <w:r w:rsidRPr="00981822">
        <w:rPr>
          <w:rFonts w:ascii="Times New Roman" w:hAnsi="Times New Roman"/>
          <w:lang w:val="en-US"/>
        </w:rPr>
        <w:t xml:space="preserve"> </w:t>
      </w:r>
      <w:r w:rsidRPr="00981822">
        <w:rPr>
          <w:rFonts w:ascii="Times New Roman" w:hAnsi="Times New Roman"/>
          <w:sz w:val="28"/>
          <w:szCs w:val="28"/>
          <w:lang w:val="en-US"/>
        </w:rPr>
        <w:t>Sep 8</w:t>
      </w:r>
      <w:r w:rsidRPr="00981822">
        <w:rPr>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12</w:t>
      </w:r>
      <w:r w:rsidRPr="00981822">
        <w:rPr>
          <w:rStyle w:val="ref-vol"/>
          <w:rFonts w:ascii="Times New Roman" w:hAnsi="Times New Roman"/>
          <w:color w:val="000000"/>
          <w:sz w:val="28"/>
          <w:szCs w:val="28"/>
          <w:shd w:val="clear" w:color="auto" w:fill="FFFFFF"/>
        </w:rPr>
        <w:t>:</w:t>
      </w:r>
      <w:r w:rsidRPr="00981822">
        <w:rPr>
          <w:rStyle w:val="ref-vol"/>
          <w:rFonts w:ascii="Times New Roman" w:hAnsi="Times New Roman"/>
          <w:color w:val="000000"/>
          <w:sz w:val="28"/>
          <w:szCs w:val="28"/>
          <w:shd w:val="clear" w:color="auto" w:fill="FFFFFF"/>
          <w:lang w:val="en-US"/>
        </w:rPr>
        <w:t>399</w:t>
      </w:r>
      <w:r w:rsidRPr="00981822">
        <w:rPr>
          <w:rStyle w:val="ref-vol"/>
          <w:rFonts w:ascii="Times New Roman" w:hAnsi="Times New Roman"/>
          <w:color w:val="000000"/>
          <w:sz w:val="28"/>
          <w:szCs w:val="28"/>
          <w:shd w:val="clear" w:color="auto" w:fill="FFFFFF"/>
        </w:rPr>
        <w:t>.</w:t>
      </w:r>
      <w:r w:rsidRPr="00981822">
        <w:rPr>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doi: 10.1186/1471-2407-12-399.</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eastAsia="uk-UA"/>
        </w:rPr>
        <w:t xml:space="preserve">Süllentrop F, Hahn J, Moka D. In Vitro and In Vivo (1)H-MR Spectroscopic Examination of the Renal Cell Carcinoma. </w:t>
      </w:r>
      <w:r w:rsidRPr="00981822">
        <w:rPr>
          <w:rFonts w:ascii="Times New Roman" w:hAnsi="Times New Roman"/>
          <w:iCs/>
          <w:color w:val="000000"/>
          <w:sz w:val="28"/>
          <w:szCs w:val="28"/>
          <w:lang w:eastAsia="uk-UA"/>
        </w:rPr>
        <w:t>Int J Biomed Sci. 2012</w:t>
      </w:r>
      <w:r w:rsidRPr="00981822">
        <w:rPr>
          <w:rFonts w:ascii="Times New Roman" w:hAnsi="Times New Roman"/>
          <w:color w:val="000000"/>
          <w:sz w:val="28"/>
          <w:szCs w:val="28"/>
          <w:lang w:eastAsia="uk-UA"/>
        </w:rPr>
        <w:t xml:space="preserve"> Jun;8(2):94–108.</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Sun M, Lughezzani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Jeldres</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Isbarn</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Shariat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SF, Arjane</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xml:space="preserve">, et al. A Proposal for Reclassification of the Fuhrman Grading System in Patients with Clear Cell Renal Cell Carcinoma. </w:t>
      </w:r>
      <w:r w:rsidRPr="00981822">
        <w:rPr>
          <w:rFonts w:ascii="Times New Roman" w:hAnsi="Times New Roman"/>
          <w:iCs/>
          <w:color w:val="000000"/>
          <w:sz w:val="28"/>
          <w:szCs w:val="28"/>
          <w:lang w:val="en-US" w:eastAsia="uk-UA"/>
        </w:rPr>
        <w:t>Eur Urol</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Nov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5):775–81. </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Sun M, Thuret R, Abdollah F, </w:t>
      </w:r>
      <w:r w:rsidRPr="00981822">
        <w:rPr>
          <w:rFonts w:ascii="Times New Roman" w:hAnsi="Times New Roman"/>
          <w:sz w:val="28"/>
          <w:szCs w:val="28"/>
          <w:lang w:val="en-US"/>
        </w:rPr>
        <w:t>Lughezzani G, Schmitges J, Tian Z, Shariat SF,</w:t>
      </w:r>
      <w:r w:rsidRPr="00981822">
        <w:rPr>
          <w:rFonts w:ascii="Times New Roman" w:hAnsi="Times New Roman"/>
        </w:rPr>
        <w:t xml:space="preserve"> </w:t>
      </w:r>
      <w:r w:rsidRPr="00981822">
        <w:rPr>
          <w:rFonts w:ascii="Times New Roman" w:hAnsi="Times New Roman"/>
          <w:color w:val="000000"/>
          <w:sz w:val="28"/>
          <w:szCs w:val="28"/>
          <w:lang w:val="en-US"/>
        </w:rPr>
        <w:t>et al. Age-adjusted incidence,</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mortality, and survival rates of stage</w:t>
      </w:r>
      <w:r w:rsidRPr="00981822">
        <w:rPr>
          <w:rFonts w:ascii="Times New Roman" w:hAnsi="Times New Roman"/>
          <w:color w:val="000000"/>
          <w:sz w:val="28"/>
          <w:szCs w:val="28"/>
        </w:rPr>
        <w:t>-</w:t>
      </w:r>
      <w:r w:rsidRPr="00981822">
        <w:rPr>
          <w:rFonts w:ascii="Times New Roman" w:hAnsi="Times New Roman"/>
          <w:color w:val="000000"/>
          <w:sz w:val="28"/>
          <w:szCs w:val="28"/>
          <w:lang w:val="en-US"/>
        </w:rPr>
        <w:t>specific</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renal cell carcinoma in North America: a trend analysis.</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Eur Urol. 2011</w:t>
      </w:r>
      <w:r w:rsidRPr="00981822">
        <w:rPr>
          <w:rFonts w:ascii="Times New Roman" w:hAnsi="Times New Roman"/>
          <w:sz w:val="28"/>
          <w:szCs w:val="28"/>
        </w:rPr>
        <w:t xml:space="preserve"> Jan</w:t>
      </w:r>
      <w:r w:rsidRPr="00981822">
        <w:rPr>
          <w:rFonts w:ascii="Times New Roman" w:hAnsi="Times New Roman"/>
          <w:color w:val="000000"/>
          <w:sz w:val="28"/>
          <w:szCs w:val="28"/>
          <w:lang w:val="en-US"/>
        </w:rPr>
        <w:t>;59(1):135–41.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Sun Maryellen RM, Ngo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Genega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EM, Atkins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MB, Finn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ME, Rofsky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NM,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 xml:space="preserve">Renal Cell Carcinoma: Dynamic Contrast-Enhanced MR Imaging for Differentiation of Tumor Subtypes-Correlation with Pathologic Findings. </w:t>
      </w:r>
      <w:r w:rsidRPr="00981822">
        <w:rPr>
          <w:rFonts w:ascii="Times New Roman" w:hAnsi="Times New Roman"/>
          <w:iCs/>
          <w:color w:val="000000"/>
          <w:sz w:val="28"/>
          <w:szCs w:val="28"/>
          <w:lang w:val="en-US" w:eastAsia="uk-UA"/>
        </w:rPr>
        <w:t>Radiology</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250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3):793–802.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Sun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Zhu</w:t>
      </w:r>
      <w:r w:rsidRPr="00981822">
        <w:rPr>
          <w:rFonts w:ascii="Times New Roman" w:hAnsi="Times New Roman"/>
          <w:color w:val="000000"/>
          <w:sz w:val="28"/>
          <w:szCs w:val="28"/>
          <w:lang w:eastAsia="uk-UA"/>
        </w:rPr>
        <w:t xml:space="preserve"> Х, </w:t>
      </w:r>
      <w:r w:rsidRPr="00981822">
        <w:rPr>
          <w:rFonts w:ascii="Times New Roman" w:hAnsi="Times New Roman"/>
          <w:color w:val="000000"/>
          <w:sz w:val="28"/>
          <w:szCs w:val="28"/>
          <w:lang w:val="en-US" w:eastAsia="uk-UA"/>
        </w:rPr>
        <w:t>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Liu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sz w:val="28"/>
          <w:szCs w:val="28"/>
        </w:rPr>
        <w:t>Pengcheng S, Ziqi W, Luyao Y, Xiangwei Z, Liang L, Yuwei L</w:t>
      </w:r>
      <w:r w:rsidRPr="00981822">
        <w:rPr>
          <w:rFonts w:ascii="Times New Roman" w:hAnsi="Times New Roman"/>
          <w:vertAlign w:val="superscript"/>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MicroRNA-497</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Suppress Renal Cell Carcinoma by Targeting VEGFR-2 in ACHN Cells. </w:t>
      </w:r>
      <w:r w:rsidRPr="00981822">
        <w:rPr>
          <w:rFonts w:ascii="Times New Roman" w:hAnsi="Times New Roman"/>
          <w:iCs/>
          <w:color w:val="000000"/>
          <w:sz w:val="28"/>
          <w:szCs w:val="28"/>
          <w:lang w:val="en-US" w:eastAsia="uk-UA"/>
        </w:rPr>
        <w:t>Biosci Rep</w:t>
      </w:r>
      <w:r w:rsidRPr="00981822">
        <w:rPr>
          <w:rFonts w:ascii="Times New Roman" w:hAnsi="Times New Roman"/>
          <w:color w:val="000000"/>
          <w:sz w:val="28"/>
          <w:szCs w:val="28"/>
          <w:lang w:eastAsia="uk-UA"/>
        </w:rPr>
        <w:t>. 2017</w:t>
      </w:r>
      <w:r w:rsidRPr="00981822">
        <w:rPr>
          <w:rFonts w:ascii="Times New Roman" w:hAnsi="Times New Roman"/>
          <w:color w:val="000000"/>
          <w:sz w:val="28"/>
          <w:szCs w:val="28"/>
          <w:lang w:val="en-US" w:eastAsia="uk-UA"/>
        </w:rPr>
        <w:t xml:space="preserve"> </w:t>
      </w:r>
      <w:r w:rsidRPr="00981822">
        <w:rPr>
          <w:rFonts w:ascii="Times New Roman" w:hAnsi="Times New Roman"/>
          <w:sz w:val="28"/>
          <w:szCs w:val="28"/>
          <w:lang w:val="en-US"/>
        </w:rPr>
        <w:t>May 19;37(3). pii: BSR20170270</w:t>
      </w:r>
      <w:r w:rsidRPr="00981822">
        <w:rPr>
          <w:rFonts w:ascii="Times New Roman" w:hAnsi="Times New Roman"/>
          <w:color w:val="000000"/>
          <w:sz w:val="28"/>
          <w:szCs w:val="28"/>
          <w:lang w:val="en-US" w:eastAsia="uk-UA"/>
        </w:rPr>
        <w:t>. doi:10.1042/BSR20170270.</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lastRenderedPageBreak/>
        <w:t>Sureka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Lal</w:t>
      </w:r>
      <w:r w:rsidRPr="00981822">
        <w:rPr>
          <w:rFonts w:ascii="Times New Roman" w:hAnsi="Times New Roman"/>
          <w:color w:val="000000"/>
          <w:sz w:val="28"/>
          <w:szCs w:val="28"/>
          <w:lang w:eastAsia="uk-UA"/>
        </w:rPr>
        <w:t xml:space="preserve"> А, </w:t>
      </w:r>
      <w:r w:rsidRPr="00981822">
        <w:rPr>
          <w:rFonts w:ascii="Times New Roman" w:hAnsi="Times New Roman"/>
          <w:color w:val="000000"/>
          <w:sz w:val="28"/>
          <w:szCs w:val="28"/>
          <w:lang w:val="en-US" w:eastAsia="uk-UA"/>
        </w:rPr>
        <w:t>Khandelwal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Joshi</w:t>
      </w:r>
      <w:r w:rsidRPr="00981822">
        <w:rPr>
          <w:rFonts w:ascii="Times New Roman" w:hAnsi="Times New Roman"/>
          <w:color w:val="000000"/>
          <w:sz w:val="28"/>
          <w:szCs w:val="28"/>
          <w:lang w:eastAsia="uk-UA"/>
        </w:rPr>
        <w:t xml:space="preserve"> К, </w:t>
      </w:r>
      <w:r w:rsidRPr="00981822">
        <w:rPr>
          <w:rFonts w:ascii="Times New Roman" w:hAnsi="Times New Roman"/>
          <w:color w:val="000000"/>
          <w:sz w:val="28"/>
          <w:szCs w:val="28"/>
          <w:lang w:val="en-US" w:eastAsia="uk-UA"/>
        </w:rPr>
        <w:t>Singh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SK</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Agarwal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Dynamic Computed Tomography and Doppler Findings in Different Subtypes of Renal Cell Carcinoma with Their Histopathological Correlation.</w:t>
      </w:r>
      <w:r w:rsidRPr="00981822">
        <w:rPr>
          <w:rFonts w:ascii="Times New Roman" w:hAnsi="Times New Roman"/>
          <w:color w:val="000000"/>
          <w:sz w:val="28"/>
          <w:szCs w:val="28"/>
          <w:lang w:eastAsia="uk-UA"/>
        </w:rPr>
        <w:t xml:space="preserve"> </w:t>
      </w:r>
      <w:r w:rsidRPr="00981822">
        <w:rPr>
          <w:rFonts w:ascii="Times New Roman" w:hAnsi="Times New Roman"/>
          <w:iCs/>
          <w:color w:val="000000"/>
          <w:sz w:val="28"/>
          <w:szCs w:val="28"/>
          <w:lang w:val="en-US" w:eastAsia="uk-UA"/>
        </w:rPr>
        <w:t>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Cancer Res Ther</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Sep</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3):552–7.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 xml:space="preserve">Takacova M, Bartosova M, Skvarkova L, </w:t>
      </w:r>
      <w:r w:rsidRPr="00981822">
        <w:rPr>
          <w:rFonts w:ascii="Times New Roman" w:hAnsi="Times New Roman"/>
          <w:sz w:val="28"/>
          <w:szCs w:val="28"/>
          <w:lang w:val="en-US"/>
        </w:rPr>
        <w:t>Zatovicova M, Vidlickova I, Csaderova L</w:t>
      </w:r>
      <w:r w:rsidRPr="00981822">
        <w:rPr>
          <w:rFonts w:ascii="Times New Roman" w:hAnsi="Times New Roman"/>
          <w:sz w:val="28"/>
          <w:szCs w:val="28"/>
        </w:rPr>
        <w:t xml:space="preserve">, </w:t>
      </w:r>
      <w:r w:rsidRPr="00981822">
        <w:rPr>
          <w:rFonts w:ascii="Times New Roman" w:hAnsi="Times New Roman"/>
          <w:color w:val="000000"/>
          <w:sz w:val="28"/>
          <w:szCs w:val="28"/>
          <w:shd w:val="clear" w:color="auto" w:fill="FFFFFF"/>
          <w:lang w:val="en-US"/>
        </w:rPr>
        <w:t>et al. Carbonic anhydrase IX is a clinically significant tissue and serum biomarker associated with renal cell carcinoma.</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Oncol Lett</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2013</w:t>
      </w:r>
      <w:r w:rsidRPr="00981822">
        <w:rPr>
          <w:rFonts w:ascii="Times New Roman" w:hAnsi="Times New Roman"/>
        </w:rPr>
        <w:t xml:space="preserve"> </w:t>
      </w:r>
      <w:r w:rsidRPr="00981822">
        <w:rPr>
          <w:rFonts w:ascii="Times New Roman" w:hAnsi="Times New Roman"/>
          <w:sz w:val="28"/>
          <w:szCs w:val="28"/>
        </w:rPr>
        <w:t>Jan</w:t>
      </w:r>
      <w:r w:rsidRPr="00981822">
        <w:rPr>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5</w:t>
      </w:r>
      <w:r w:rsidRPr="00981822">
        <w:rPr>
          <w:rFonts w:ascii="Times New Roman" w:hAnsi="Times New Roman"/>
          <w:color w:val="000000"/>
          <w:sz w:val="28"/>
          <w:szCs w:val="28"/>
          <w:shd w:val="clear" w:color="auto" w:fill="FFFFFF"/>
          <w:lang w:val="en-US"/>
        </w:rPr>
        <w:t>(1):191–7. doi: 10.3892/ol.2012.1001.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Tan PH, Cheng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Rioux-Leclercq</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Merino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MJ, Netto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Reuter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VE, Shen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SS, et al. Renal Tumors: Diagnostic and Prognostic Biomarkers.</w:t>
      </w:r>
      <w:r w:rsidRPr="00981822">
        <w:rPr>
          <w:rFonts w:ascii="Times New Roman" w:hAnsi="Times New Roman"/>
          <w:iCs/>
          <w:color w:val="000000"/>
          <w:sz w:val="28"/>
          <w:szCs w:val="28"/>
          <w:lang w:val="en-US" w:eastAsia="uk-UA"/>
        </w:rPr>
        <w:t xml:space="preserve"> Am J Surg Pathol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Oct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10):1518–31.</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 xml:space="preserve">Tanaka T, Kitamura H, Torigoe T, </w:t>
      </w:r>
      <w:r w:rsidRPr="00981822">
        <w:rPr>
          <w:rFonts w:ascii="Times New Roman" w:hAnsi="Times New Roman"/>
          <w:sz w:val="28"/>
          <w:szCs w:val="28"/>
          <w:lang w:val="en-US"/>
        </w:rPr>
        <w:t>Hirohashi Y, Sato E, Masumori N</w:t>
      </w:r>
      <w:r w:rsidRPr="00981822">
        <w:rPr>
          <w:rFonts w:ascii="Times New Roman" w:hAnsi="Times New Roman"/>
          <w:sz w:val="28"/>
          <w:szCs w:val="28"/>
        </w:rPr>
        <w:t>,</w:t>
      </w:r>
      <w:r w:rsidRPr="00981822">
        <w:rPr>
          <w:rFonts w:ascii="Times New Roman" w:hAnsi="Times New Roman"/>
        </w:rPr>
        <w:t xml:space="preserve"> </w:t>
      </w:r>
      <w:r w:rsidRPr="00981822">
        <w:rPr>
          <w:rFonts w:ascii="Times New Roman" w:hAnsi="Times New Roman"/>
          <w:color w:val="000000"/>
          <w:sz w:val="28"/>
          <w:szCs w:val="28"/>
          <w:shd w:val="clear" w:color="auto" w:fill="FFFFFF"/>
          <w:lang w:val="en-US"/>
        </w:rPr>
        <w:t>et al. Autoantibody against hypoxia-inducible factor prolyl hydroxylase-3 is a potential serological marker for renal cell carcinoma.</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J Cancer Res Clin Oncol</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2011</w:t>
      </w:r>
      <w:r w:rsidRPr="00981822">
        <w:rPr>
          <w:rFonts w:ascii="Times New Roman" w:hAnsi="Times New Roman"/>
        </w:rPr>
        <w:t xml:space="preserve"> </w:t>
      </w:r>
      <w:r w:rsidRPr="00981822">
        <w:rPr>
          <w:rFonts w:ascii="Times New Roman" w:hAnsi="Times New Roman"/>
          <w:sz w:val="28"/>
          <w:szCs w:val="28"/>
        </w:rPr>
        <w:t>May</w:t>
      </w:r>
      <w:r w:rsidRPr="00981822">
        <w:rPr>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137</w:t>
      </w:r>
      <w:r w:rsidRPr="00981822">
        <w:rPr>
          <w:rFonts w:ascii="Times New Roman" w:hAnsi="Times New Roman"/>
          <w:color w:val="000000"/>
          <w:sz w:val="28"/>
          <w:szCs w:val="28"/>
          <w:shd w:val="clear" w:color="auto" w:fill="FFFFFF"/>
          <w:lang w:val="en-US"/>
        </w:rPr>
        <w:t>(5):789–94. doi: 10.1007/s00432-010-0940-6.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Teixeira AL, Ferreira</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Silva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Gomes</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Dias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 Santos</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JI, et al. Higher Circulating Expression Levels of miR-221 Associated with Poor Overall Survival in Renal Cell Carcinoma Patients. </w:t>
      </w:r>
      <w:r w:rsidRPr="00981822">
        <w:rPr>
          <w:rFonts w:ascii="Times New Roman" w:hAnsi="Times New Roman"/>
          <w:iCs/>
          <w:color w:val="000000"/>
          <w:sz w:val="28"/>
          <w:szCs w:val="28"/>
          <w:lang w:val="en-US" w:eastAsia="uk-UA"/>
        </w:rPr>
        <w:t>Tumour Biol</w:t>
      </w:r>
      <w:r w:rsidRPr="00981822">
        <w:rPr>
          <w:rFonts w:ascii="Times New Roman" w:hAnsi="Times New Roman"/>
          <w:iCs/>
          <w:color w:val="000000"/>
          <w:sz w:val="28"/>
          <w:szCs w:val="28"/>
          <w:lang w:eastAsia="uk-UA"/>
        </w:rPr>
        <w:t>.</w:t>
      </w:r>
      <w:r w:rsidRPr="00981822">
        <w:rPr>
          <w:rFonts w:ascii="Times New Roman" w:hAnsi="Times New Roman"/>
          <w:iCs/>
          <w:color w:val="000000"/>
          <w:sz w:val="28"/>
          <w:szCs w:val="28"/>
          <w:lang w:val="en-US" w:eastAsia="uk-UA"/>
        </w:rPr>
        <w:t xml:space="preserve"> </w:t>
      </w:r>
      <w:r w:rsidRPr="00981822">
        <w:rPr>
          <w:rFonts w:ascii="Times New Roman" w:hAnsi="Times New Roman"/>
          <w:iCs/>
          <w:color w:val="000000"/>
          <w:sz w:val="28"/>
          <w:szCs w:val="28"/>
          <w:lang w:eastAsia="uk-UA"/>
        </w:rPr>
        <w:t xml:space="preserve">2014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5):4057–66. doi:10.1007/s13277-013-1531-3.</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 xml:space="preserve">Toiyama D, Takaha N, Shinnoh M, </w:t>
      </w:r>
      <w:r w:rsidRPr="00981822">
        <w:rPr>
          <w:rFonts w:ascii="Times New Roman" w:hAnsi="Times New Roman"/>
          <w:sz w:val="28"/>
          <w:szCs w:val="28"/>
          <w:lang w:val="en-US"/>
        </w:rPr>
        <w:t>Ueda T, Kimura Y, Nakamura T</w:t>
      </w:r>
      <w:r w:rsidRPr="00981822">
        <w:rPr>
          <w:rFonts w:ascii="Times New Roman" w:hAnsi="Times New Roman"/>
          <w:sz w:val="28"/>
          <w:szCs w:val="28"/>
        </w:rPr>
        <w:t>,</w:t>
      </w:r>
      <w:r w:rsidRPr="00981822">
        <w:rPr>
          <w:rStyle w:val="highlight"/>
          <w:rFonts w:ascii="Times New Roman" w:hAnsi="Times New Roman"/>
          <w:vertAlign w:val="superscript"/>
        </w:rPr>
        <w:t xml:space="preserve"> </w:t>
      </w:r>
      <w:r w:rsidRPr="00981822">
        <w:rPr>
          <w:rFonts w:ascii="Times New Roman" w:hAnsi="Times New Roman"/>
          <w:color w:val="000000"/>
          <w:sz w:val="28"/>
          <w:szCs w:val="28"/>
          <w:shd w:val="clear" w:color="auto" w:fill="FFFFFF"/>
          <w:lang w:val="en-US"/>
        </w:rPr>
        <w:t>et al. Significance of serum tumor necrosis factor-related apoptosis-inducing ligand as a prognostic biomarker for renal cell carcinoma.</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Mol Clin Oncol</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2013</w:t>
      </w:r>
      <w:r w:rsidRPr="00981822">
        <w:rPr>
          <w:rFonts w:ascii="Times New Roman" w:hAnsi="Times New Roman"/>
        </w:rPr>
        <w:t xml:space="preserve"> </w:t>
      </w:r>
      <w:r w:rsidRPr="00981822">
        <w:rPr>
          <w:rFonts w:ascii="Times New Roman" w:hAnsi="Times New Roman"/>
          <w:sz w:val="28"/>
          <w:szCs w:val="28"/>
        </w:rPr>
        <w:t>Jan</w:t>
      </w:r>
      <w:r w:rsidRPr="00981822">
        <w:rPr>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1</w:t>
      </w:r>
      <w:r w:rsidRPr="00981822">
        <w:rPr>
          <w:rFonts w:ascii="Times New Roman" w:hAnsi="Times New Roman"/>
          <w:color w:val="000000"/>
          <w:sz w:val="28"/>
          <w:szCs w:val="28"/>
          <w:shd w:val="clear" w:color="auto" w:fill="FFFFFF"/>
          <w:lang w:val="en-US"/>
        </w:rPr>
        <w:t>(1):69–74.</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Toma MI, Grosser M, Herr A, Aust DE, Meye A, Hoefling C, et al. Loss of heterozygosity and copy number abnormality in clear cell renal cell carcinoma discovered by high-density affymetrix 10 K single nucleotide polymorphism mapping array. Neoplasia. 2008;10(7):634–42.</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Tomlinson IP, Alam NA, Rowan AJ, Barclay E, Jaeger EE, Kelsell D, et al. Germline mutations in FH predispose to dominantly inherited uterine fibroids, </w:t>
      </w:r>
      <w:r w:rsidRPr="00981822">
        <w:rPr>
          <w:rFonts w:ascii="Times New Roman" w:hAnsi="Times New Roman"/>
          <w:color w:val="000000"/>
          <w:sz w:val="28"/>
          <w:szCs w:val="28"/>
          <w:lang w:val="en-US"/>
        </w:rPr>
        <w:lastRenderedPageBreak/>
        <w:t>skin leiomyomata and papillary renal cell cancer. Nat Genet. 2002</w:t>
      </w:r>
      <w:r w:rsidRPr="00981822">
        <w:t xml:space="preserve"> </w:t>
      </w:r>
      <w:r w:rsidRPr="00981822">
        <w:rPr>
          <w:rFonts w:ascii="Times New Roman" w:hAnsi="Times New Roman"/>
          <w:sz w:val="28"/>
          <w:szCs w:val="28"/>
        </w:rPr>
        <w:t>Apr</w:t>
      </w:r>
      <w:r w:rsidRPr="00981822">
        <w:rPr>
          <w:rFonts w:ascii="Times New Roman" w:hAnsi="Times New Roman"/>
          <w:color w:val="000000"/>
          <w:sz w:val="28"/>
          <w:szCs w:val="28"/>
          <w:lang w:val="en-US"/>
        </w:rPr>
        <w:t>;30(4):406–10.</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t>Tosi MR, Rodriguez-Estrada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MT, Lercker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Poerio</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Trinchero</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Reggiani</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Magnetic Resonance Spectroscopy and Chromatographic Methods Identify Altered Lipid</w:t>
      </w:r>
      <w:r w:rsidRPr="00981822">
        <w:rPr>
          <w:rFonts w:ascii="Times New Roman" w:hAnsi="Times New Roman"/>
          <w:color w:val="000000"/>
          <w:sz w:val="24"/>
          <w:szCs w:val="24"/>
          <w:lang w:eastAsia="uk-UA"/>
        </w:rPr>
        <w:t xml:space="preserve"> </w:t>
      </w:r>
      <w:r w:rsidRPr="00981822">
        <w:rPr>
          <w:rFonts w:ascii="Times New Roman" w:hAnsi="Times New Roman"/>
          <w:color w:val="000000"/>
          <w:sz w:val="28"/>
          <w:szCs w:val="28"/>
          <w:lang w:eastAsia="uk-UA"/>
        </w:rPr>
        <w:t xml:space="preserve">Composition in Human Renal Neoplasms. </w:t>
      </w:r>
      <w:r w:rsidRPr="00981822">
        <w:rPr>
          <w:rFonts w:ascii="Times New Roman" w:hAnsi="Times New Roman"/>
          <w:iCs/>
          <w:color w:val="000000"/>
          <w:sz w:val="28"/>
          <w:szCs w:val="28"/>
          <w:lang w:eastAsia="uk-UA"/>
        </w:rPr>
        <w:t xml:space="preserve">Int J Mol Med. 2004 </w:t>
      </w:r>
      <w:r w:rsidRPr="00981822">
        <w:rPr>
          <w:rFonts w:ascii="Times New Roman" w:hAnsi="Times New Roman"/>
          <w:color w:val="000000"/>
          <w:sz w:val="28"/>
          <w:szCs w:val="28"/>
          <w:lang w:eastAsia="uk-UA"/>
        </w:rPr>
        <w:t>Jul;14(1):93–100</w:t>
      </w:r>
      <w:r w:rsidRPr="00981822">
        <w:rPr>
          <w:rFonts w:ascii="Times New Roman" w:hAnsi="Times New Roman"/>
          <w:color w:val="000000"/>
          <w:sz w:val="24"/>
          <w:szCs w:val="24"/>
          <w:lang w:eastAsia="uk-UA"/>
        </w:rPr>
        <w:t>.</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Tsivian M</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w:t>
      </w:r>
      <w:r w:rsidRPr="00981822">
        <w:rPr>
          <w:rFonts w:ascii="Times New Roman" w:hAnsi="Times New Roman"/>
          <w:sz w:val="28"/>
          <w:szCs w:val="28"/>
          <w:lang w:val="en-US"/>
        </w:rPr>
        <w:t>Rampersaud EN Jr, del Pilar Laguna Pes M, Joniau S, Leveillee RJ, Shingleton WB</w:t>
      </w:r>
      <w:r w:rsidRPr="00981822">
        <w:rPr>
          <w:rFonts w:ascii="Times New Roman" w:hAnsi="Times New Roman"/>
          <w:sz w:val="28"/>
          <w:szCs w:val="28"/>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Small renal mass biopsy –how, what and when: report from an international consensus panel. BJU Int</w:t>
      </w:r>
      <w:r w:rsidRPr="00981822">
        <w:rPr>
          <w:rFonts w:ascii="Times New Roman" w:hAnsi="Times New Roman"/>
          <w:color w:val="000000"/>
          <w:sz w:val="28"/>
          <w:szCs w:val="28"/>
        </w:rPr>
        <w:t>. 2014</w:t>
      </w:r>
      <w:r w:rsidRPr="00981822">
        <w:rPr>
          <w:rFonts w:ascii="Times New Roman" w:hAnsi="Times New Roman"/>
          <w:sz w:val="28"/>
          <w:szCs w:val="28"/>
        </w:rPr>
        <w:t xml:space="preserve"> Jun</w:t>
      </w:r>
      <w:r w:rsidRPr="00981822">
        <w:rPr>
          <w:rFonts w:ascii="Times New Roman" w:hAnsi="Times New Roman"/>
          <w:color w:val="000000"/>
          <w:sz w:val="28"/>
          <w:szCs w:val="28"/>
        </w:rPr>
        <w:t>;</w:t>
      </w:r>
      <w:r w:rsidRPr="00981822">
        <w:rPr>
          <w:rFonts w:ascii="Times New Roman" w:hAnsi="Times New Roman"/>
          <w:color w:val="000000"/>
          <w:sz w:val="28"/>
          <w:szCs w:val="28"/>
          <w:lang w:val="en-US"/>
        </w:rPr>
        <w:t>113(6):854–63</w:t>
      </w:r>
      <w:r w:rsidRPr="00981822">
        <w:rPr>
          <w:rFonts w:ascii="Times New Roman" w:hAnsi="Times New Roman"/>
          <w:color w:val="000000"/>
          <w:sz w:val="28"/>
          <w:szCs w:val="28"/>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Tugnoli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Reggiani</w:t>
      </w:r>
      <w:r w:rsidRPr="00981822">
        <w:rPr>
          <w:rFonts w:ascii="Times New Roman" w:hAnsi="Times New Roman"/>
          <w:color w:val="000000"/>
          <w:sz w:val="28"/>
          <w:szCs w:val="28"/>
          <w:lang w:eastAsia="uk-UA"/>
        </w:rPr>
        <w:t xml:space="preserve"> А, </w:t>
      </w:r>
      <w:r w:rsidRPr="00981822">
        <w:rPr>
          <w:rFonts w:ascii="Times New Roman" w:hAnsi="Times New Roman"/>
          <w:color w:val="000000"/>
          <w:sz w:val="28"/>
          <w:szCs w:val="28"/>
          <w:lang w:val="en-US" w:eastAsia="uk-UA"/>
        </w:rPr>
        <w:t>Beghelli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Tomaselli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Trinchero</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Tosi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MR. Magnetic Resonance Spectroscopy and High Performance Liquid Chromatography of Neoplastic Human Renal Tissues. </w:t>
      </w:r>
      <w:r w:rsidRPr="00981822">
        <w:rPr>
          <w:rFonts w:ascii="Times New Roman" w:hAnsi="Times New Roman"/>
          <w:iCs/>
          <w:color w:val="000000"/>
          <w:sz w:val="28"/>
          <w:szCs w:val="28"/>
          <w:lang w:val="en-US" w:eastAsia="uk-UA"/>
        </w:rPr>
        <w:t>Anticancer Res</w:t>
      </w:r>
      <w:r w:rsidRPr="00981822">
        <w:rPr>
          <w:rFonts w:ascii="Times New Roman" w:hAnsi="Times New Roman"/>
          <w:iCs/>
          <w:color w:val="000000"/>
          <w:sz w:val="28"/>
          <w:szCs w:val="28"/>
          <w:lang w:eastAsia="uk-UA"/>
        </w:rPr>
        <w:t xml:space="preserve">. 2003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2B):1541–8.</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Tuppen HA, Blakely EL, Turnbull DM, Taylor RW. Mitochondrial DNA mutations and human disease. Biochim Biophys Acta. 2010;1797(2):113–28.</w:t>
      </w:r>
    </w:p>
    <w:p w:rsidR="0061473E" w:rsidRPr="00981822" w:rsidRDefault="0061473E" w:rsidP="00DE6E24">
      <w:pPr>
        <w:pStyle w:val="ListParagraph"/>
        <w:numPr>
          <w:ilvl w:val="0"/>
          <w:numId w:val="9"/>
        </w:numPr>
        <w:spacing w:after="0" w:line="360" w:lineRule="auto"/>
        <w:rPr>
          <w:rFonts w:ascii="Times New Roman" w:hAnsi="Times New Roman"/>
          <w:color w:val="000000"/>
          <w:sz w:val="28"/>
          <w:szCs w:val="28"/>
          <w:lang w:eastAsia="uk-UA"/>
        </w:rPr>
      </w:pPr>
      <w:r w:rsidRPr="00981822">
        <w:rPr>
          <w:rFonts w:ascii="Times New Roman" w:hAnsi="Times New Roman"/>
          <w:color w:val="000000"/>
          <w:sz w:val="28"/>
          <w:szCs w:val="28"/>
          <w:lang w:val="en-US"/>
        </w:rPr>
        <w:t>U.S. Food and Drug Administration. What are the Radiation Risks from CT? [Internet]; 2013 [updated 2013 July 19; cited 2017 Nov 16]. Available from:</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https://goo.gl/xmgWYM</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Ueno K, Hirata</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Shahryari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Zaman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MS, Singh</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val="en-US"/>
        </w:rPr>
        <w:t>et</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al</w:t>
      </w:r>
      <w:r w:rsidRPr="00981822">
        <w:rPr>
          <w:rFonts w:ascii="Times New Roman" w:hAnsi="Times New Roman"/>
          <w:color w:val="000000"/>
          <w:sz w:val="28"/>
          <w:szCs w:val="28"/>
        </w:rPr>
        <w:t>.</w:t>
      </w:r>
      <w:r w:rsidRPr="00981822">
        <w:rPr>
          <w:rFonts w:ascii="Times New Roman" w:hAnsi="Times New Roman"/>
          <w:color w:val="000000"/>
          <w:sz w:val="28"/>
          <w:szCs w:val="28"/>
          <w:lang w:val="en-US" w:eastAsia="uk-UA"/>
        </w:rPr>
        <w:t xml:space="preserve"> Tumour Suppressor microRNA-584 Directly Targets Oncogene Rock-1 and Decreases Invasion Ability in Human Clear Cell Renal Cell Carcinoma. </w:t>
      </w:r>
      <w:r w:rsidRPr="00981822">
        <w:rPr>
          <w:rFonts w:ascii="Times New Roman" w:hAnsi="Times New Roman"/>
          <w:iCs/>
          <w:color w:val="000000"/>
          <w:sz w:val="28"/>
          <w:szCs w:val="28"/>
          <w:lang w:val="en-US" w:eastAsia="uk-UA"/>
        </w:rPr>
        <w:t>British J Cancer</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Jan 18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2):308–15.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US Department of Health and Human Services. The health consequence of smoking: a report of the surgeon general. Atlanta: Centers for Disease Control and Prevention, National Center for Chronic Disease Prevention and Health Promotion, Office on Smoking and Health; 2004:1-20.</w:t>
      </w:r>
    </w:p>
    <w:p w:rsidR="0061473E" w:rsidRPr="00981822" w:rsidRDefault="0061473E" w:rsidP="00DE6E24">
      <w:pPr>
        <w:pStyle w:val="NoSpacing"/>
        <w:numPr>
          <w:ilvl w:val="0"/>
          <w:numId w:val="9"/>
        </w:numPr>
        <w:spacing w:line="360" w:lineRule="auto"/>
        <w:jc w:val="both"/>
        <w:rPr>
          <w:rFonts w:ascii="Times New Roman" w:hAnsi="Times New Roman"/>
          <w:sz w:val="28"/>
          <w:szCs w:val="28"/>
        </w:rPr>
      </w:pPr>
      <w:r w:rsidRPr="00981822">
        <w:rPr>
          <w:rFonts w:ascii="Times New Roman" w:hAnsi="Times New Roman"/>
          <w:sz w:val="28"/>
          <w:szCs w:val="28"/>
          <w:lang w:val="en-US" w:eastAsia="uk-UA"/>
        </w:rPr>
        <w:t>Vadana</w:t>
      </w:r>
      <w:r w:rsidRPr="00981822">
        <w:rPr>
          <w:rFonts w:ascii="Times New Roman" w:hAnsi="Times New Roman"/>
          <w:sz w:val="28"/>
          <w:szCs w:val="28"/>
          <w:lang w:eastAsia="uk-UA"/>
        </w:rPr>
        <w:t xml:space="preserve"> </w:t>
      </w:r>
      <w:r w:rsidRPr="00981822">
        <w:rPr>
          <w:rFonts w:ascii="Times New Roman" w:hAnsi="Times New Roman"/>
          <w:sz w:val="28"/>
          <w:szCs w:val="28"/>
          <w:lang w:val="en-US" w:eastAsia="uk-UA"/>
        </w:rPr>
        <w:t>BMK</w:t>
      </w:r>
      <w:r w:rsidRPr="00981822">
        <w:rPr>
          <w:rFonts w:ascii="Times New Roman" w:hAnsi="Times New Roman"/>
          <w:sz w:val="28"/>
          <w:szCs w:val="28"/>
          <w:lang w:eastAsia="uk-UA"/>
        </w:rPr>
        <w:t xml:space="preserve">, </w:t>
      </w:r>
      <w:r w:rsidRPr="00981822">
        <w:rPr>
          <w:rFonts w:ascii="Times New Roman" w:hAnsi="Times New Roman"/>
          <w:sz w:val="28"/>
          <w:szCs w:val="28"/>
          <w:lang w:val="en-US" w:eastAsia="uk-UA"/>
        </w:rPr>
        <w:t>Pasumarthy</w:t>
      </w:r>
      <w:r w:rsidRPr="00981822">
        <w:rPr>
          <w:rFonts w:ascii="Times New Roman" w:hAnsi="Times New Roman"/>
          <w:sz w:val="28"/>
          <w:szCs w:val="28"/>
          <w:lang w:eastAsia="uk-UA"/>
        </w:rPr>
        <w:t xml:space="preserve"> А, </w:t>
      </w:r>
      <w:r w:rsidRPr="00981822">
        <w:rPr>
          <w:rFonts w:ascii="Times New Roman" w:hAnsi="Times New Roman"/>
          <w:sz w:val="28"/>
          <w:szCs w:val="28"/>
          <w:lang w:val="en-US" w:eastAsia="uk-UA"/>
        </w:rPr>
        <w:t>Penumalli</w:t>
      </w:r>
      <w:r w:rsidRPr="00981822">
        <w:rPr>
          <w:rFonts w:ascii="Times New Roman" w:hAnsi="Times New Roman"/>
          <w:sz w:val="28"/>
          <w:szCs w:val="28"/>
          <w:lang w:eastAsia="uk-UA"/>
        </w:rPr>
        <w:t xml:space="preserve"> </w:t>
      </w:r>
      <w:r w:rsidRPr="00981822">
        <w:rPr>
          <w:rFonts w:ascii="Times New Roman" w:hAnsi="Times New Roman"/>
          <w:sz w:val="28"/>
          <w:szCs w:val="28"/>
          <w:lang w:val="en-US" w:eastAsia="uk-UA"/>
        </w:rPr>
        <w:t>N</w:t>
      </w:r>
      <w:r w:rsidRPr="00981822">
        <w:rPr>
          <w:rFonts w:ascii="Times New Roman" w:hAnsi="Times New Roman"/>
          <w:sz w:val="28"/>
          <w:szCs w:val="28"/>
          <w:lang w:eastAsia="uk-UA"/>
        </w:rPr>
        <w:t xml:space="preserve">, </w:t>
      </w:r>
      <w:r w:rsidRPr="00981822">
        <w:rPr>
          <w:rFonts w:ascii="Times New Roman" w:hAnsi="Times New Roman"/>
          <w:sz w:val="28"/>
          <w:szCs w:val="28"/>
          <w:lang w:val="en-US" w:eastAsia="uk-UA"/>
        </w:rPr>
        <w:t>Bellapa</w:t>
      </w:r>
      <w:r w:rsidRPr="00981822">
        <w:rPr>
          <w:rFonts w:ascii="Times New Roman" w:hAnsi="Times New Roman"/>
          <w:sz w:val="28"/>
          <w:szCs w:val="28"/>
          <w:lang w:eastAsia="uk-UA"/>
        </w:rPr>
        <w:t xml:space="preserve"> </w:t>
      </w:r>
      <w:r w:rsidRPr="00981822">
        <w:rPr>
          <w:rFonts w:ascii="Times New Roman" w:hAnsi="Times New Roman"/>
          <w:sz w:val="28"/>
          <w:szCs w:val="28"/>
          <w:lang w:val="en-US" w:eastAsia="uk-UA"/>
        </w:rPr>
        <w:t>NC</w:t>
      </w:r>
      <w:r w:rsidRPr="00981822">
        <w:rPr>
          <w:rFonts w:ascii="Times New Roman" w:hAnsi="Times New Roman"/>
          <w:sz w:val="28"/>
          <w:szCs w:val="28"/>
          <w:lang w:eastAsia="uk-UA"/>
        </w:rPr>
        <w:t xml:space="preserve">. </w:t>
      </w:r>
      <w:r w:rsidRPr="00981822">
        <w:rPr>
          <w:rFonts w:ascii="Times New Roman" w:hAnsi="Times New Roman"/>
          <w:sz w:val="28"/>
          <w:szCs w:val="28"/>
          <w:lang w:val="en-US" w:eastAsia="uk-UA"/>
        </w:rPr>
        <w:t xml:space="preserve">Renal Venous Doppler Study in Obstructive Uropathy. </w:t>
      </w:r>
      <w:r w:rsidRPr="00981822">
        <w:rPr>
          <w:rFonts w:ascii="Times New Roman" w:hAnsi="Times New Roman"/>
          <w:iCs/>
          <w:sz w:val="28"/>
          <w:szCs w:val="28"/>
          <w:lang w:val="en-US" w:eastAsia="uk-UA"/>
        </w:rPr>
        <w:t>J Clin Diag Res</w:t>
      </w:r>
      <w:r w:rsidRPr="00981822">
        <w:rPr>
          <w:rFonts w:ascii="Times New Roman" w:hAnsi="Times New Roman"/>
          <w:iCs/>
          <w:sz w:val="28"/>
          <w:szCs w:val="28"/>
          <w:lang w:eastAsia="uk-UA"/>
        </w:rPr>
        <w:t xml:space="preserve">. 2015 </w:t>
      </w:r>
      <w:r w:rsidRPr="00981822">
        <w:rPr>
          <w:rFonts w:ascii="Times New Roman" w:hAnsi="Times New Roman"/>
          <w:sz w:val="28"/>
          <w:szCs w:val="28"/>
          <w:lang w:val="en-US" w:eastAsia="uk-UA"/>
        </w:rPr>
        <w:t>Nov</w:t>
      </w:r>
      <w:r w:rsidRPr="00981822">
        <w:rPr>
          <w:rFonts w:ascii="Times New Roman" w:hAnsi="Times New Roman"/>
          <w:sz w:val="28"/>
          <w:szCs w:val="28"/>
          <w:lang w:eastAsia="uk-UA"/>
        </w:rPr>
        <w:t>;</w:t>
      </w:r>
      <w:r w:rsidRPr="00981822">
        <w:rPr>
          <w:rFonts w:ascii="Times New Roman" w:hAnsi="Times New Roman"/>
          <w:sz w:val="28"/>
          <w:szCs w:val="28"/>
          <w:lang w:val="en-US" w:eastAsia="uk-UA"/>
        </w:rPr>
        <w:t>9</w:t>
      </w:r>
      <w:r w:rsidRPr="00981822">
        <w:rPr>
          <w:rFonts w:ascii="Times New Roman" w:hAnsi="Times New Roman"/>
          <w:sz w:val="28"/>
          <w:szCs w:val="28"/>
          <w:lang w:eastAsia="uk-UA"/>
        </w:rPr>
        <w:t>(</w:t>
      </w:r>
      <w:r w:rsidRPr="00981822">
        <w:rPr>
          <w:rFonts w:ascii="Times New Roman" w:hAnsi="Times New Roman"/>
          <w:sz w:val="28"/>
          <w:szCs w:val="28"/>
          <w:lang w:val="en-US" w:eastAsia="uk-UA"/>
        </w:rPr>
        <w:t>11): TC13</w:t>
      </w:r>
      <w:r w:rsidRPr="00981822">
        <w:rPr>
          <w:rFonts w:ascii="Times New Roman" w:hAnsi="Times New Roman"/>
          <w:sz w:val="28"/>
          <w:szCs w:val="28"/>
          <w:lang w:eastAsia="uk-UA"/>
        </w:rPr>
        <w:t>–</w:t>
      </w:r>
      <w:r w:rsidRPr="00981822">
        <w:rPr>
          <w:rFonts w:ascii="Times New Roman" w:hAnsi="Times New Roman"/>
          <w:sz w:val="28"/>
          <w:szCs w:val="28"/>
          <w:lang w:val="en-US" w:eastAsia="uk-UA"/>
        </w:rPr>
        <w:t>5. https://doi.org/10.7860/JCDR/2015/15546.6794.</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lastRenderedPageBreak/>
        <w:t>Varela I, Tarpey P, Raine K, Huang D, Ong CK, Stephens P, et al. Exome sequencing identifies frequent mutation of the SWI/SNF complex gene PBRM1 in renal carcinoma. Nature. 2011;469(7331):539–42.</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Veltri A, </w:t>
      </w:r>
      <w:r w:rsidRPr="00981822">
        <w:rPr>
          <w:rFonts w:ascii="Times New Roman" w:hAnsi="Times New Roman"/>
          <w:sz w:val="28"/>
          <w:szCs w:val="28"/>
          <w:lang w:val="en-US"/>
        </w:rPr>
        <w:t>Garetto I, Tosetti I, Busso M, Volpe A, Pacchioni D</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et al. Diagnostic accuracy and clinical impact of imaging-guided needle biopsy of renal masses. Retrospective analysis on 150 cases. Eur Radiol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2011</w:t>
      </w:r>
      <w:r w:rsidRPr="00981822">
        <w:rPr>
          <w:rFonts w:ascii="Times New Roman" w:hAnsi="Times New Roman"/>
        </w:rPr>
        <w:t xml:space="preserve"> </w:t>
      </w:r>
      <w:r w:rsidRPr="00981822">
        <w:rPr>
          <w:rFonts w:ascii="Times New Roman" w:hAnsi="Times New Roman"/>
          <w:sz w:val="28"/>
          <w:szCs w:val="28"/>
        </w:rPr>
        <w:t>Feb;21(2):393–401</w:t>
      </w:r>
      <w:r w:rsidRPr="00981822">
        <w:rPr>
          <w:rFonts w:ascii="Times New Roman" w:hAnsi="Times New Roman"/>
          <w:color w:val="000000"/>
          <w:sz w:val="28"/>
          <w:szCs w:val="28"/>
          <w:lang w:val="en-US"/>
        </w:rPr>
        <w:t>.</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Vergho D, Kneitz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Rosenwald</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Scherer</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Spahn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Burger</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xml:space="preserve">, et al. Combination of Expression Levels of miR-21 and miR-126 Is Associated with Cancer-Specific Survival in Clear-Cell Renal Cell Carcinoma. </w:t>
      </w:r>
      <w:r w:rsidRPr="00981822">
        <w:rPr>
          <w:rFonts w:ascii="Times New Roman" w:hAnsi="Times New Roman"/>
          <w:iCs/>
          <w:color w:val="000000"/>
          <w:sz w:val="28"/>
          <w:szCs w:val="28"/>
          <w:lang w:val="en-US" w:eastAsia="uk-UA"/>
        </w:rPr>
        <w:t>BMC Cancer</w:t>
      </w:r>
      <w:r w:rsidRPr="00981822">
        <w:rPr>
          <w:rFonts w:ascii="Times New Roman" w:hAnsi="Times New Roman"/>
          <w:iCs/>
          <w:color w:val="000000"/>
          <w:sz w:val="28"/>
          <w:szCs w:val="28"/>
          <w:lang w:eastAsia="uk-UA"/>
        </w:rPr>
        <w:t>. 2014</w:t>
      </w:r>
      <w:r w:rsidRPr="00981822">
        <w:rPr>
          <w:rFonts w:ascii="Times New Roman" w:hAnsi="Times New Roman"/>
        </w:rPr>
        <w:t xml:space="preserve"> </w:t>
      </w:r>
      <w:r w:rsidRPr="00981822">
        <w:rPr>
          <w:rFonts w:ascii="Times New Roman" w:hAnsi="Times New Roman"/>
          <w:sz w:val="28"/>
          <w:szCs w:val="28"/>
        </w:rPr>
        <w:t>Jan 15</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14:25. doi:10.1186/1471-2407-14-25.</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von Brandenstein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 Pandarakalam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JJ, Kroon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Loeser</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Herden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Braun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 Wendland</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et al. MicroRNA 15a, Inversely Correlated to PKCα, Is a Potential Marker to Differentiate between Benign and Malignant Renal Tumors in Biopsy and Urine Samples.</w:t>
      </w:r>
      <w:r w:rsidRPr="00981822">
        <w:rPr>
          <w:rFonts w:ascii="Times New Roman" w:hAnsi="Times New Roman"/>
          <w:i/>
          <w:iCs/>
          <w:color w:val="000000"/>
          <w:sz w:val="28"/>
          <w:szCs w:val="28"/>
          <w:lang w:val="en-US" w:eastAsia="uk-UA"/>
        </w:rPr>
        <w:t xml:space="preserve"> </w:t>
      </w:r>
      <w:r w:rsidRPr="00981822">
        <w:rPr>
          <w:rFonts w:ascii="Times New Roman" w:hAnsi="Times New Roman"/>
          <w:iCs/>
          <w:color w:val="000000"/>
          <w:sz w:val="28"/>
          <w:szCs w:val="28"/>
          <w:lang w:val="en-US" w:eastAsia="uk-UA"/>
        </w:rPr>
        <w:t>Am J Pathol</w:t>
      </w:r>
      <w:r w:rsidRPr="00981822">
        <w:rPr>
          <w:rFonts w:ascii="Times New Roman" w:hAnsi="Times New Roman"/>
          <w:iCs/>
          <w:color w:val="000000"/>
          <w:sz w:val="28"/>
          <w:szCs w:val="28"/>
          <w:lang w:eastAsia="uk-UA"/>
        </w:rPr>
        <w:t xml:space="preserve">. </w:t>
      </w:r>
      <w:r w:rsidRPr="00981822">
        <w:rPr>
          <w:rFonts w:ascii="Times New Roman" w:hAnsi="Times New Roman"/>
          <w:color w:val="000000"/>
          <w:sz w:val="28"/>
          <w:szCs w:val="28"/>
          <w:lang w:val="en-US" w:eastAsia="uk-UA"/>
        </w:rPr>
        <w:t>2012 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180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5):1787–97.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Wah TM, </w:t>
      </w:r>
      <w:r w:rsidRPr="00981822">
        <w:rPr>
          <w:rFonts w:ascii="Times New Roman" w:hAnsi="Times New Roman"/>
          <w:sz w:val="28"/>
          <w:szCs w:val="28"/>
          <w:lang w:val="en-US"/>
        </w:rPr>
        <w:t>Irving HC, Gregory W, Cartledge J, Joyce AD, Selby PJ</w:t>
      </w:r>
      <w:r w:rsidRPr="00981822">
        <w:rPr>
          <w:rFonts w:ascii="Times New Roman" w:hAnsi="Times New Roman"/>
          <w:lang w:val="en-US"/>
        </w:rPr>
        <w:t>.</w:t>
      </w:r>
      <w:r w:rsidRPr="00981822">
        <w:rPr>
          <w:rFonts w:ascii="Times New Roman" w:hAnsi="Times New Roman"/>
          <w:color w:val="000000"/>
          <w:sz w:val="28"/>
          <w:szCs w:val="28"/>
          <w:lang w:val="en-US"/>
        </w:rPr>
        <w:t xml:space="preserve"> Radiofrequency ablation (RFA) of renal cell carcinoma (RCC): experience in 200 tumours. BJU Int</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2014</w:t>
      </w:r>
      <w:r w:rsidRPr="00981822">
        <w:rPr>
          <w:rFonts w:ascii="Times New Roman" w:hAnsi="Times New Roman"/>
        </w:rPr>
        <w:t xml:space="preserve"> </w:t>
      </w:r>
      <w:r w:rsidRPr="00981822">
        <w:rPr>
          <w:rFonts w:ascii="Times New Roman" w:hAnsi="Times New Roman"/>
          <w:sz w:val="28"/>
          <w:szCs w:val="28"/>
        </w:rPr>
        <w:t>Mar;113(3):</w:t>
      </w:r>
      <w:r w:rsidRPr="00981822">
        <w:rPr>
          <w:rStyle w:val="highlight"/>
          <w:rFonts w:ascii="Times New Roman" w:hAnsi="Times New Roman"/>
          <w:sz w:val="28"/>
          <w:szCs w:val="28"/>
        </w:rPr>
        <w:t>416</w:t>
      </w:r>
      <w:r w:rsidRPr="00981822">
        <w:rPr>
          <w:rFonts w:ascii="Times New Roman" w:hAnsi="Times New Roman"/>
          <w:sz w:val="28"/>
          <w:szCs w:val="28"/>
        </w:rPr>
        <w:t>–28</w:t>
      </w:r>
      <w:r w:rsidRPr="00981822">
        <w:rPr>
          <w:rFonts w:ascii="Times New Roman" w:hAnsi="Times New Roman"/>
          <w:color w:val="000000"/>
          <w:sz w:val="28"/>
          <w:szCs w:val="28"/>
          <w:lang w:val="en-US"/>
        </w:rPr>
        <w:t>.</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Wahl RL, Jacene</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Kasamon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MA. Lodge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Y. From RECIST to PERCIST: Evolving Considerations for PET Response Criteria in Solid Tumors. </w:t>
      </w:r>
      <w:r w:rsidRPr="00981822">
        <w:rPr>
          <w:rFonts w:ascii="Times New Roman" w:hAnsi="Times New Roman"/>
          <w:iCs/>
          <w:color w:val="000000"/>
          <w:sz w:val="28"/>
          <w:szCs w:val="28"/>
          <w:lang w:val="en-US" w:eastAsia="uk-UA"/>
        </w:rPr>
        <w:t>J Nuclear Med</w:t>
      </w:r>
      <w:r w:rsidRPr="00981822">
        <w:rPr>
          <w:rFonts w:ascii="Times New Roman" w:hAnsi="Times New Roman"/>
          <w:iCs/>
          <w:color w:val="000000"/>
          <w:sz w:val="28"/>
          <w:szCs w:val="28"/>
          <w:lang w:eastAsia="uk-UA"/>
        </w:rPr>
        <w:t xml:space="preserve">. 2009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Suppl 1):122S–50S.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Wang C, Tang</w:t>
      </w:r>
      <w:r w:rsidRPr="00981822">
        <w:rPr>
          <w:rFonts w:ascii="Times New Roman" w:hAnsi="Times New Roman"/>
          <w:color w:val="000000"/>
          <w:sz w:val="28"/>
          <w:szCs w:val="28"/>
          <w:lang w:eastAsia="uk-UA"/>
        </w:rPr>
        <w:t xml:space="preserve"> К</w:t>
      </w:r>
      <w:r w:rsidRPr="00981822">
        <w:rPr>
          <w:rFonts w:ascii="Times New Roman" w:hAnsi="Times New Roman"/>
          <w:color w:val="000000"/>
          <w:sz w:val="28"/>
          <w:szCs w:val="28"/>
          <w:lang w:val="en-US" w:eastAsia="uk-UA"/>
        </w:rPr>
        <w:t>, 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Xu</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Ye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Z. Targeted p21(WAF1/CIP1) Activation by miR-1236 Inhibits Cell Proliferation and Correlates with Favorable Survival in Renal Cell Carcinoma. </w:t>
      </w:r>
      <w:r w:rsidRPr="00981822">
        <w:rPr>
          <w:rFonts w:ascii="Times New Roman" w:hAnsi="Times New Roman"/>
          <w:iCs/>
          <w:color w:val="000000"/>
          <w:sz w:val="28"/>
          <w:szCs w:val="28"/>
          <w:lang w:val="en-US" w:eastAsia="uk-UA"/>
        </w:rPr>
        <w:t>Urologic Oncol</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2):59.e23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34. doi:10.1016/j.urolonc.2015.08.014.</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Wang G,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Meng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Chen</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Zhuang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L. Overexpression of microRNA-100 Predicts an Unfavorable Prognosis in Renal Cell Carcinoma. </w:t>
      </w:r>
      <w:r w:rsidRPr="00981822">
        <w:rPr>
          <w:rFonts w:ascii="Times New Roman" w:hAnsi="Times New Roman"/>
          <w:iCs/>
          <w:color w:val="000000"/>
          <w:sz w:val="28"/>
          <w:szCs w:val="28"/>
          <w:lang w:val="en-US" w:eastAsia="uk-UA"/>
        </w:rPr>
        <w:t>Int Urol Nephrol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Apr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2):373–9.</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lastRenderedPageBreak/>
        <w:t>Wang HY, Su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Н</w:t>
      </w:r>
      <w:r w:rsidRPr="00981822">
        <w:rPr>
          <w:rFonts w:ascii="Times New Roman" w:hAnsi="Times New Roman"/>
          <w:color w:val="000000"/>
          <w:sz w:val="28"/>
          <w:szCs w:val="28"/>
          <w:lang w:val="en-US" w:eastAsia="uk-UA"/>
        </w:rPr>
        <w:t>, Xu</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Huang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 Sun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Р</w:t>
      </w:r>
      <w:r w:rsidRPr="00981822">
        <w:rPr>
          <w:rFonts w:ascii="Times New Roman" w:hAnsi="Times New Roman"/>
          <w:color w:val="000000"/>
          <w:sz w:val="28"/>
          <w:szCs w:val="28"/>
          <w:lang w:val="en-US" w:eastAsia="uk-UA"/>
        </w:rPr>
        <w:t>,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YW, et al. Dynamic Contrast-Enhanced MRI in Renal Tumors: Common Subtype Differentiation Using Pharmacokinetics. </w:t>
      </w:r>
      <w:r w:rsidRPr="00981822">
        <w:rPr>
          <w:rFonts w:ascii="Times New Roman" w:hAnsi="Times New Roman"/>
          <w:iCs/>
          <w:color w:val="000000"/>
          <w:sz w:val="28"/>
          <w:szCs w:val="28"/>
          <w:lang w:val="en-US" w:eastAsia="uk-UA"/>
        </w:rPr>
        <w:t>Scient Rep</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eastAsia="uk-UA"/>
        </w:rPr>
        <w:t xml:space="preserve">2017 </w:t>
      </w:r>
      <w:r w:rsidRPr="00981822">
        <w:rPr>
          <w:rFonts w:ascii="Times New Roman" w:hAnsi="Times New Roman"/>
          <w:color w:val="000000"/>
          <w:sz w:val="28"/>
          <w:szCs w:val="28"/>
          <w:lang w:val="en-US" w:eastAsia="uk-UA"/>
        </w:rPr>
        <w:t>Jun 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1):3117.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Wang X, Chen</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Xiao</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Xu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 et 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microRNA-200c Modulates the Epithelial-to-Mesenchymal Transition in Human Renal Cell Carcinoma Metastasis. </w:t>
      </w:r>
      <w:r w:rsidRPr="00981822">
        <w:rPr>
          <w:rFonts w:ascii="Times New Roman" w:hAnsi="Times New Roman"/>
          <w:iCs/>
          <w:color w:val="000000"/>
          <w:sz w:val="28"/>
          <w:szCs w:val="28"/>
          <w:lang w:val="en-US" w:eastAsia="uk-UA"/>
        </w:rPr>
        <w:t>Oncol Rep</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Aug</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2):643–50. </w:t>
      </w:r>
    </w:p>
    <w:p w:rsidR="0061473E" w:rsidRPr="00981822" w:rsidRDefault="0061473E" w:rsidP="00DE6E24">
      <w:pPr>
        <w:pStyle w:val="ListParagraph"/>
        <w:numPr>
          <w:ilvl w:val="0"/>
          <w:numId w:val="9"/>
        </w:numPr>
        <w:spacing w:after="0" w:line="360" w:lineRule="auto"/>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Wang Z, Kim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TB, Peng</w:t>
      </w:r>
      <w:r w:rsidRPr="00981822">
        <w:rPr>
          <w:rFonts w:ascii="Times New Roman" w:hAnsi="Times New Roman"/>
          <w:color w:val="000000"/>
          <w:sz w:val="28"/>
          <w:szCs w:val="28"/>
          <w:lang w:eastAsia="uk-UA"/>
        </w:rPr>
        <w:t xml:space="preserve"> В</w:t>
      </w:r>
      <w:r w:rsidRPr="00981822">
        <w:rPr>
          <w:rFonts w:ascii="Times New Roman" w:hAnsi="Times New Roman"/>
          <w:color w:val="000000"/>
          <w:sz w:val="28"/>
          <w:szCs w:val="28"/>
          <w:lang w:val="en-US" w:eastAsia="uk-UA"/>
        </w:rPr>
        <w:t>, Karam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JA, Creighton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CJ, Joon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AY, et al. Sarcomatoid Renal Cell Carcinoma Has a Distinct Molecular Pathogenesis, Driver Mutation Profile and Transcriptional Landscape. </w:t>
      </w:r>
      <w:r w:rsidRPr="00981822">
        <w:rPr>
          <w:rFonts w:ascii="Times New Roman" w:hAnsi="Times New Roman"/>
          <w:iCs/>
          <w:color w:val="000000"/>
          <w:sz w:val="28"/>
          <w:szCs w:val="28"/>
          <w:lang w:val="en-US" w:eastAsia="uk-UA"/>
        </w:rPr>
        <w:t>Clin Cancer Res</w:t>
      </w:r>
      <w:r w:rsidRPr="00981822">
        <w:rPr>
          <w:rFonts w:ascii="Times New Roman" w:hAnsi="Times New Roman"/>
          <w:iCs/>
          <w:color w:val="000000"/>
          <w:sz w:val="28"/>
          <w:szCs w:val="28"/>
          <w:lang w:eastAsia="uk-UA"/>
        </w:rPr>
        <w:t xml:space="preserve">. 2017 </w:t>
      </w:r>
      <w:r w:rsidRPr="00981822">
        <w:rPr>
          <w:rFonts w:ascii="Times New Roman" w:hAnsi="Times New Roman"/>
          <w:sz w:val="28"/>
          <w:szCs w:val="28"/>
        </w:rPr>
        <w:t>Nov 1;23(21):6686–96</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Wang Z, Qin</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Zhang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Han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Tao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Cao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Q, et al. MiR-122 Promotes Renal Cancer Cell Proliferation by Targeting Sprouty2. </w:t>
      </w:r>
      <w:r w:rsidRPr="00981822">
        <w:rPr>
          <w:rFonts w:ascii="Times New Roman" w:hAnsi="Times New Roman"/>
          <w:iCs/>
          <w:color w:val="000000"/>
          <w:sz w:val="28"/>
          <w:szCs w:val="28"/>
          <w:lang w:val="en-US" w:eastAsia="uk-UA"/>
        </w:rPr>
        <w:t>Tumour Biol</w:t>
      </w:r>
      <w:r w:rsidRPr="00981822">
        <w:rPr>
          <w:rFonts w:ascii="Times New Roman" w:hAnsi="Times New Roman"/>
          <w:iCs/>
          <w:color w:val="000000"/>
          <w:sz w:val="28"/>
          <w:szCs w:val="28"/>
          <w:lang w:eastAsia="uk-UA"/>
        </w:rPr>
        <w:t xml:space="preserve">. 2017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2):1010428317691184. doi:10.1177/1010428317691184.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Wei C,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Ye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ZQ, Chen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ZQ. miR-206 Inhibits Renal Cell Cancer Growth by Targeting GAK. </w:t>
      </w:r>
      <w:r w:rsidRPr="00981822">
        <w:rPr>
          <w:rFonts w:ascii="Times New Roman" w:hAnsi="Times New Roman"/>
          <w:iCs/>
          <w:color w:val="000000"/>
          <w:sz w:val="28"/>
          <w:szCs w:val="28"/>
          <w:lang w:val="en-US" w:eastAsia="uk-UA"/>
        </w:rPr>
        <w:t>J Huazhong Univ Sci Technol. Med Sci</w:t>
      </w:r>
      <w:r w:rsidRPr="00981822">
        <w:rPr>
          <w:rFonts w:ascii="Times New Roman" w:hAnsi="Times New Roman"/>
          <w:iCs/>
          <w:color w:val="000000"/>
          <w:sz w:val="28"/>
          <w:szCs w:val="28"/>
          <w:lang w:eastAsia="uk-UA"/>
        </w:rPr>
        <w:t>. 2016</w:t>
      </w:r>
      <w:r w:rsidRPr="00981822">
        <w:rPr>
          <w:rFonts w:ascii="Times New Roman" w:hAnsi="Times New Roman"/>
          <w:iCs/>
          <w:color w:val="000000"/>
          <w:sz w:val="28"/>
          <w:szCs w:val="28"/>
          <w:lang w:val="en-US" w:eastAsia="uk-UA"/>
        </w:rPr>
        <w:t xml:space="preserve">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6):852–8. doi:10.1007/s11596-016-1674-8.</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rPr>
        <w:t xml:space="preserve">Wei JH, </w:t>
      </w:r>
      <w:r w:rsidRPr="00981822">
        <w:rPr>
          <w:rFonts w:ascii="Times New Roman" w:hAnsi="Times New Roman"/>
          <w:sz w:val="28"/>
          <w:szCs w:val="28"/>
          <w:lang w:val="en-US"/>
        </w:rPr>
        <w:t>Haddad A, Wu KJ, Zhao HW, Kapur P, Zhang ZL</w:t>
      </w:r>
      <w:r w:rsidRPr="00981822">
        <w:rPr>
          <w:rFonts w:ascii="Times New Roman" w:hAnsi="Times New Roman"/>
          <w:color w:val="000000"/>
          <w:sz w:val="28"/>
          <w:szCs w:val="28"/>
          <w:lang w:val="en-US"/>
        </w:rPr>
        <w:t>,</w:t>
      </w:r>
      <w:r w:rsidRPr="00981822">
        <w:rPr>
          <w:rStyle w:val="highlight"/>
          <w:rFonts w:ascii="Times New Roman" w:hAnsi="Times New Roman"/>
          <w:vertAlign w:val="superscript"/>
        </w:rPr>
        <w:t xml:space="preserve"> </w:t>
      </w:r>
      <w:r w:rsidRPr="00981822">
        <w:rPr>
          <w:rFonts w:ascii="Times New Roman" w:hAnsi="Times New Roman"/>
          <w:color w:val="000000"/>
          <w:sz w:val="28"/>
          <w:szCs w:val="28"/>
          <w:lang w:val="en-US"/>
        </w:rPr>
        <w:t>et al. A CpG-methylation-based assay to predict survival in clear cell renal cell carcinoma. Nat Commun</w:t>
      </w:r>
      <w:r w:rsidRPr="00981822">
        <w:rPr>
          <w:rFonts w:ascii="Times New Roman" w:hAnsi="Times New Roman"/>
          <w:color w:val="000000"/>
          <w:sz w:val="28"/>
          <w:szCs w:val="28"/>
        </w:rPr>
        <w:t xml:space="preserve">. </w:t>
      </w:r>
      <w:r w:rsidRPr="00981822">
        <w:rPr>
          <w:rFonts w:ascii="Times New Roman" w:hAnsi="Times New Roman"/>
          <w:color w:val="000000"/>
          <w:sz w:val="28"/>
          <w:szCs w:val="28"/>
          <w:lang w:val="en-US"/>
        </w:rPr>
        <w:t>2015</w:t>
      </w:r>
      <w:r w:rsidRPr="00981822">
        <w:rPr>
          <w:rFonts w:ascii="Times New Roman" w:hAnsi="Times New Roman"/>
        </w:rPr>
        <w:t xml:space="preserve"> </w:t>
      </w:r>
      <w:r w:rsidRPr="00981822">
        <w:rPr>
          <w:rFonts w:ascii="Times New Roman" w:hAnsi="Times New Roman"/>
          <w:sz w:val="28"/>
          <w:szCs w:val="28"/>
        </w:rPr>
        <w:t>Oct 30</w:t>
      </w:r>
      <w:r w:rsidRPr="00981822">
        <w:rPr>
          <w:rFonts w:ascii="Times New Roman" w:hAnsi="Times New Roman"/>
          <w:color w:val="000000"/>
          <w:sz w:val="28"/>
          <w:szCs w:val="28"/>
        </w:rPr>
        <w:t>;</w:t>
      </w:r>
      <w:r w:rsidRPr="00981822">
        <w:rPr>
          <w:rFonts w:ascii="Times New Roman" w:hAnsi="Times New Roman"/>
          <w:color w:val="000000"/>
          <w:sz w:val="28"/>
          <w:szCs w:val="28"/>
          <w:lang w:val="en-US"/>
        </w:rPr>
        <w:t>6:8699.</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Weikert S, Boeing H, Pischon T, </w:t>
      </w:r>
      <w:r w:rsidRPr="00981822">
        <w:rPr>
          <w:rFonts w:ascii="Times New Roman" w:hAnsi="Times New Roman"/>
          <w:sz w:val="28"/>
          <w:szCs w:val="28"/>
          <w:lang w:val="en-US"/>
        </w:rPr>
        <w:t>Weikert C, Olsen A, Tjonneland A</w:t>
      </w:r>
      <w:r w:rsidRPr="00981822">
        <w:rPr>
          <w:rFonts w:ascii="Times New Roman" w:hAnsi="Times New Roman"/>
          <w:sz w:val="28"/>
          <w:szCs w:val="28"/>
        </w:rPr>
        <w:t>,</w:t>
      </w:r>
      <w:r w:rsidRPr="00981822">
        <w:rPr>
          <w:rFonts w:ascii="Times New Roman" w:hAnsi="Times New Roman"/>
        </w:rPr>
        <w:t xml:space="preserve"> </w:t>
      </w:r>
      <w:r w:rsidRPr="00981822">
        <w:rPr>
          <w:rFonts w:ascii="Times New Roman" w:hAnsi="Times New Roman"/>
          <w:color w:val="000000"/>
          <w:sz w:val="28"/>
          <w:szCs w:val="28"/>
          <w:lang w:val="en-US"/>
        </w:rPr>
        <w:t>et al. Blood pressure and risk of renal cell carcinoma in the European prospective investigation into cancer and nutrition. Am J Epidemiol. 2008</w:t>
      </w:r>
      <w:r w:rsidRPr="00981822">
        <w:rPr>
          <w:rFonts w:ascii="Times New Roman" w:hAnsi="Times New Roman"/>
        </w:rPr>
        <w:t xml:space="preserve"> </w:t>
      </w:r>
      <w:r w:rsidRPr="00981822">
        <w:rPr>
          <w:rFonts w:ascii="Times New Roman" w:hAnsi="Times New Roman"/>
          <w:sz w:val="28"/>
          <w:szCs w:val="28"/>
        </w:rPr>
        <w:t>Feb 15</w:t>
      </w:r>
      <w:r w:rsidRPr="00981822">
        <w:rPr>
          <w:rFonts w:ascii="Times New Roman" w:hAnsi="Times New Roman"/>
          <w:color w:val="000000"/>
          <w:sz w:val="28"/>
          <w:szCs w:val="28"/>
          <w:lang w:val="en-US"/>
        </w:rPr>
        <w:t xml:space="preserve">;167(4):438–46.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Wen Z, Sun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 Wang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Diagnostic Utility of Diffusion</w:t>
      </w:r>
      <w:r w:rsidRPr="00981822">
        <w:rPr>
          <w:rFonts w:ascii="Times New Roman" w:hAnsi="Times New Roman"/>
          <w:color w:val="000000"/>
          <w:sz w:val="28"/>
          <w:szCs w:val="28"/>
          <w:lang w:val="en-US" w:eastAsia="uk-UA"/>
        </w:rPr>
        <w:noBreakHyphen/>
        <w:t xml:space="preserve">weighted Magnetic Resonance Imaging in Two Common Renal Tumors. </w:t>
      </w:r>
      <w:r w:rsidRPr="00981822">
        <w:rPr>
          <w:rFonts w:ascii="Times New Roman" w:hAnsi="Times New Roman"/>
          <w:iCs/>
          <w:color w:val="000000"/>
          <w:sz w:val="28"/>
          <w:szCs w:val="28"/>
          <w:lang w:val="en-US" w:eastAsia="uk-UA"/>
        </w:rPr>
        <w:t>Oncol Lett</w:t>
      </w:r>
      <w:r w:rsidRPr="00981822">
        <w:rPr>
          <w:rFonts w:ascii="Times New Roman" w:hAnsi="Times New Roman"/>
          <w:iCs/>
          <w:color w:val="000000"/>
          <w:sz w:val="28"/>
          <w:szCs w:val="28"/>
          <w:lang w:eastAsia="uk-UA"/>
        </w:rPr>
        <w:t xml:space="preserve">. </w:t>
      </w:r>
      <w:r w:rsidRPr="00981822">
        <w:rPr>
          <w:rFonts w:ascii="Times New Roman" w:hAnsi="Times New Roman"/>
          <w:sz w:val="28"/>
          <w:szCs w:val="28"/>
          <w:lang w:val="en-US"/>
        </w:rPr>
        <w:t>2015 Oct;10(4):2565</w:t>
      </w:r>
      <w:r w:rsidRPr="00981822">
        <w:rPr>
          <w:rFonts w:ascii="Times New Roman" w:hAnsi="Times New Roman"/>
          <w:sz w:val="28"/>
          <w:szCs w:val="28"/>
        </w:rPr>
        <w:t>–</w:t>
      </w:r>
      <w:r w:rsidRPr="00981822">
        <w:rPr>
          <w:rFonts w:ascii="Times New Roman" w:hAnsi="Times New Roman"/>
          <w:sz w:val="28"/>
          <w:szCs w:val="28"/>
          <w:lang w:val="en-US"/>
        </w:rPr>
        <w:t>8</w:t>
      </w:r>
      <w:r w:rsidRPr="00981822">
        <w:rPr>
          <w:rFonts w:ascii="Times New Roman" w:hAnsi="Times New Roman"/>
        </w:rPr>
        <w:t xml:space="preserve">. </w:t>
      </w:r>
      <w:r w:rsidRPr="00981822">
        <w:rPr>
          <w:rFonts w:ascii="Times New Roman" w:hAnsi="Times New Roman"/>
          <w:color w:val="000000"/>
          <w:sz w:val="28"/>
          <w:szCs w:val="28"/>
          <w:lang w:val="en-US" w:eastAsia="uk-UA"/>
        </w:rPr>
        <w:t xml:space="preserve"> doi:10.3892/ol.2015.3605.</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Whaley JM, Naglich J, Gelbert L, Hsia YE, Lamiell JM, Green JS, et al. Germ-line mutations in the von Hippel-Lindau tumor-suppressor gene are similar to somatic von Hippel-Lindau aberrations in sporadic renal cell carcinoma. Am J Hum Genet. 1994</w:t>
      </w:r>
      <w:r w:rsidRPr="00981822">
        <w:t xml:space="preserve"> </w:t>
      </w:r>
      <w:r w:rsidRPr="00981822">
        <w:rPr>
          <w:rFonts w:ascii="Times New Roman" w:hAnsi="Times New Roman"/>
          <w:sz w:val="28"/>
          <w:szCs w:val="28"/>
        </w:rPr>
        <w:t>Dec</w:t>
      </w:r>
      <w:r w:rsidRPr="00981822">
        <w:rPr>
          <w:rFonts w:ascii="Times New Roman" w:hAnsi="Times New Roman"/>
          <w:color w:val="000000"/>
          <w:sz w:val="28"/>
          <w:szCs w:val="28"/>
          <w:lang w:val="en-US"/>
        </w:rPr>
        <w:t>;55(6):1092–102.</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White NM, Bao</w:t>
      </w:r>
      <w:r w:rsidRPr="00981822">
        <w:rPr>
          <w:rFonts w:ascii="Times New Roman" w:hAnsi="Times New Roman"/>
          <w:color w:val="000000"/>
          <w:sz w:val="28"/>
          <w:szCs w:val="28"/>
          <w:lang w:eastAsia="uk-UA"/>
        </w:rPr>
        <w:t xml:space="preserve"> ТТ</w:t>
      </w:r>
      <w:r w:rsidRPr="00981822">
        <w:rPr>
          <w:rFonts w:ascii="Times New Roman" w:hAnsi="Times New Roman"/>
          <w:color w:val="000000"/>
          <w:sz w:val="28"/>
          <w:szCs w:val="28"/>
          <w:lang w:val="en-US" w:eastAsia="uk-UA"/>
        </w:rPr>
        <w:t>, Grigull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Youssef</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YM, Girgis</w:t>
      </w:r>
      <w:r w:rsidRPr="00981822">
        <w:rPr>
          <w:rFonts w:ascii="Times New Roman" w:hAnsi="Times New Roman"/>
          <w:color w:val="000000"/>
          <w:sz w:val="28"/>
          <w:szCs w:val="28"/>
          <w:lang w:eastAsia="uk-UA"/>
        </w:rPr>
        <w:t xml:space="preserve"> А</w:t>
      </w:r>
      <w:r w:rsidRPr="00981822">
        <w:rPr>
          <w:rFonts w:ascii="Times New Roman" w:hAnsi="Times New Roman"/>
          <w:color w:val="000000"/>
          <w:sz w:val="28"/>
          <w:szCs w:val="28"/>
          <w:lang w:val="en-US" w:eastAsia="uk-UA"/>
        </w:rPr>
        <w:t>, Diamandis</w:t>
      </w:r>
      <w:r w:rsidRPr="00981822">
        <w:rPr>
          <w:rFonts w:ascii="Times New Roman" w:hAnsi="Times New Roman"/>
          <w:color w:val="000000"/>
          <w:sz w:val="28"/>
          <w:szCs w:val="28"/>
          <w:lang w:eastAsia="uk-UA"/>
        </w:rPr>
        <w:t xml:space="preserve"> М</w:t>
      </w:r>
      <w:r w:rsidRPr="00981822">
        <w:rPr>
          <w:rFonts w:ascii="Times New Roman" w:hAnsi="Times New Roman"/>
          <w:color w:val="000000"/>
          <w:sz w:val="28"/>
          <w:szCs w:val="28"/>
          <w:lang w:val="en-US" w:eastAsia="uk-UA"/>
        </w:rPr>
        <w:t>, et al. miRNA Profiling for Clear Cell Renal Cell Carcinoma: Biomarker Discovery and Identification of Potential Controls and Consequences of miRNA Dysregulation.</w:t>
      </w:r>
      <w:r w:rsidRPr="00981822">
        <w:rPr>
          <w:rFonts w:ascii="Times New Roman" w:hAnsi="Times New Roman"/>
          <w:iCs/>
          <w:color w:val="000000"/>
          <w:sz w:val="28"/>
          <w:szCs w:val="28"/>
          <w:lang w:val="en-US" w:eastAsia="uk-UA"/>
        </w:rPr>
        <w:t xml:space="preserve"> J Urol</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Sept</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186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3):1077–83.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White NM, Masui O, Desouza LV,</w:t>
      </w:r>
      <w:r w:rsidRPr="00981822">
        <w:rPr>
          <w:rFonts w:ascii="Times New Roman" w:hAnsi="Times New Roman"/>
          <w:sz w:val="28"/>
          <w:szCs w:val="28"/>
          <w:lang w:val="en-US"/>
        </w:rPr>
        <w:t xml:space="preserve"> Krakovska O, Metias S, Romaschin AD,</w:t>
      </w:r>
      <w:r w:rsidRPr="00981822">
        <w:rPr>
          <w:rFonts w:ascii="Times New Roman" w:hAnsi="Times New Roman"/>
          <w:color w:val="000000"/>
          <w:sz w:val="28"/>
          <w:szCs w:val="28"/>
          <w:shd w:val="clear" w:color="auto" w:fill="FFFFFF"/>
          <w:lang w:val="en-US"/>
        </w:rPr>
        <w:t xml:space="preserve"> et al. Quantitative proteomic analysis reveals potential diagnostic markers and pathways involved in pathogenesis of renal cell carcinoma.</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Oncotarget</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2014</w:t>
      </w:r>
      <w:r w:rsidRPr="00981822">
        <w:rPr>
          <w:rFonts w:ascii="Times New Roman" w:hAnsi="Times New Roman"/>
          <w:sz w:val="28"/>
          <w:szCs w:val="28"/>
          <w:lang w:val="en-US"/>
        </w:rPr>
        <w:t xml:space="preserve"> Jan 30</w:t>
      </w:r>
      <w:r w:rsidRPr="00981822">
        <w:rPr>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5</w:t>
      </w:r>
      <w:r w:rsidRPr="00981822">
        <w:rPr>
          <w:rFonts w:ascii="Times New Roman" w:hAnsi="Times New Roman"/>
          <w:color w:val="000000"/>
          <w:sz w:val="28"/>
          <w:szCs w:val="28"/>
          <w:shd w:val="clear" w:color="auto" w:fill="FFFFFF"/>
          <w:lang w:val="en-US"/>
        </w:rPr>
        <w:t>(2):506–18.</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 xml:space="preserve">WHO International Programme on Chemical Safety Biomarkers and Risk Assessment: Concepts and Principles </w:t>
      </w:r>
      <w:r w:rsidRPr="00981822">
        <w:rPr>
          <w:rFonts w:ascii="Times New Roman" w:hAnsi="Times New Roman"/>
          <w:color w:val="000000"/>
          <w:sz w:val="28"/>
          <w:szCs w:val="28"/>
          <w:lang w:val="en-US"/>
        </w:rPr>
        <w:t>[Internet]</w:t>
      </w:r>
      <w:r w:rsidRPr="00981822">
        <w:rPr>
          <w:rFonts w:ascii="Times New Roman" w:hAnsi="Times New Roman"/>
          <w:color w:val="000000"/>
          <w:sz w:val="28"/>
          <w:szCs w:val="28"/>
          <w:shd w:val="clear" w:color="auto" w:fill="FFFFFF"/>
          <w:lang w:val="en-US"/>
        </w:rPr>
        <w:t>. 1993 [updated 1993 Nov 14; cited 2017 Dec 23]. Available from:</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http://www.inchem.org/documents/ehc/ehc/ehc155.htm</w:t>
      </w:r>
      <w:r w:rsidRPr="00981822">
        <w:rPr>
          <w:rFonts w:ascii="Times New Roman" w:hAnsi="Times New Roman"/>
          <w:color w:val="000000"/>
          <w:sz w:val="28"/>
          <w:szCs w:val="28"/>
          <w:shd w:val="clear" w:color="auto" w:fill="FFFFFF"/>
          <w:lang w:val="en-US"/>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t xml:space="preserve">WHO International Programme on Chemical Safety Biomarkers in Risk Assessment: Validity and Validation </w:t>
      </w:r>
      <w:r w:rsidRPr="00981822">
        <w:rPr>
          <w:rFonts w:ascii="Times New Roman" w:hAnsi="Times New Roman"/>
          <w:color w:val="000000"/>
          <w:sz w:val="28"/>
          <w:szCs w:val="28"/>
          <w:lang w:val="en-US"/>
        </w:rPr>
        <w:t>[Internet]</w:t>
      </w:r>
      <w:r w:rsidRPr="00981822">
        <w:rPr>
          <w:rFonts w:ascii="Times New Roman" w:hAnsi="Times New Roman"/>
          <w:color w:val="000000"/>
          <w:sz w:val="28"/>
          <w:szCs w:val="28"/>
          <w:shd w:val="clear" w:color="auto" w:fill="FFFFFF"/>
          <w:lang w:val="en-US"/>
        </w:rPr>
        <w:t>. 2001 [updated 2001 Sep 14; cited 2017 Dec 23]. Available from:</w:t>
      </w:r>
      <w:r w:rsidRPr="00981822">
        <w:rPr>
          <w:rFonts w:ascii="Times New Roman" w:hAnsi="Times New Roman"/>
          <w:color w:val="000000"/>
          <w:sz w:val="28"/>
          <w:szCs w:val="28"/>
          <w:shd w:val="clear" w:color="auto" w:fill="FFFFFF"/>
        </w:rPr>
        <w:t xml:space="preserve"> </w:t>
      </w:r>
      <w:r w:rsidRPr="00981822">
        <w:rPr>
          <w:rFonts w:ascii="Times New Roman" w:hAnsi="Times New Roman"/>
          <w:sz w:val="28"/>
          <w:szCs w:val="28"/>
          <w:shd w:val="clear" w:color="auto" w:fill="FFFFFF"/>
          <w:lang w:val="en-US"/>
        </w:rPr>
        <w:t>http://www.inchem.org/documents/ehc/ehc/ehc222.htm</w:t>
      </w:r>
      <w:r w:rsidRPr="00981822">
        <w:rPr>
          <w:rFonts w:ascii="Times New Roman" w:hAnsi="Times New Roman"/>
          <w:color w:val="000000"/>
          <w:sz w:val="28"/>
          <w:szCs w:val="28"/>
          <w:shd w:val="clear" w:color="auto" w:fill="FFFFFF"/>
          <w:lang w:val="en-US"/>
        </w:rPr>
        <w:t>.</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World Health Organization (WHO). Cancer incidence and mortality worldwide [Internet]. Globocan 2008 </w:t>
      </w:r>
      <w:r w:rsidRPr="00981822">
        <w:rPr>
          <w:rFonts w:ascii="Times New Roman" w:hAnsi="Times New Roman"/>
          <w:color w:val="000000"/>
          <w:sz w:val="28"/>
          <w:szCs w:val="28"/>
          <w:shd w:val="clear" w:color="auto" w:fill="FFFFFF"/>
          <w:lang w:val="en-US"/>
        </w:rPr>
        <w:t>[updated 2008 Nov 24; cited 2017 Dec 23]. Available from: http://www-dep.iarc.fr/</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Wu D, Pan</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 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Fan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Qu</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xml:space="preserve">. </w:t>
      </w:r>
      <w:r w:rsidRPr="00981822">
        <w:rPr>
          <w:rFonts w:ascii="Times New Roman" w:hAnsi="Times New Roman"/>
          <w:color w:val="000000"/>
          <w:sz w:val="28"/>
          <w:szCs w:val="28"/>
          <w:lang w:eastAsia="uk-UA"/>
        </w:rPr>
        <w:t>М</w:t>
      </w:r>
      <w:r w:rsidRPr="00981822">
        <w:rPr>
          <w:rFonts w:ascii="Times New Roman" w:hAnsi="Times New Roman"/>
          <w:color w:val="000000"/>
          <w:sz w:val="28"/>
          <w:szCs w:val="28"/>
          <w:lang w:val="en-US" w:eastAsia="uk-UA"/>
        </w:rPr>
        <w:t xml:space="preserve">icroRNA-133b Downregulation and Inhibition of Cell Proliferation, Migration and Invasion by Targeting Matrix Metallopeptidase-9 in Renal Cell Carcinoma. </w:t>
      </w:r>
      <w:r w:rsidRPr="00981822">
        <w:rPr>
          <w:rFonts w:ascii="Times New Roman" w:hAnsi="Times New Roman"/>
          <w:iCs/>
          <w:color w:val="000000"/>
          <w:sz w:val="28"/>
          <w:szCs w:val="28"/>
          <w:lang w:val="en-US" w:eastAsia="uk-UA"/>
        </w:rPr>
        <w:t>Mol Med Rep</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Jun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6):2491–8. </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 xml:space="preserve">Wu Y, Liu J, del Rio AM, Page DC, Alagoz O, Peissig P, et al. Developing a clinical utility framework to evaluate prediction models in radiogenomics. Proc SPIE Int Soc Opt Eng [Internet]. 2015 Feb 21 [cited 2017 Jan 27];9416. Available from: </w:t>
      </w:r>
      <w:r w:rsidRPr="003C2D2A">
        <w:rPr>
          <w:rFonts w:ascii="Times New Roman" w:eastAsia="Times New Roman" w:hAnsi="Times New Roman"/>
          <w:color w:val="000000" w:themeColor="text1"/>
          <w:sz w:val="28"/>
          <w:szCs w:val="28"/>
          <w:lang w:val="en-US" w:eastAsia="uk-UA"/>
        </w:rPr>
        <w:t>http://www.ncbi.nlm.nih.gov/pmc/articles/PMC4834184/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Wulfken LM, Moritz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 Ohlmann</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Holdenrieder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Jung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V, Becker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F, et al. MicroRNAs in Renal Cell Carcinoma: Diagnostic Implications of Serum miR-1233 Levels. </w:t>
      </w:r>
      <w:r w:rsidRPr="00981822">
        <w:rPr>
          <w:rFonts w:ascii="Times New Roman" w:hAnsi="Times New Roman"/>
          <w:iCs/>
          <w:color w:val="000000"/>
          <w:sz w:val="28"/>
          <w:szCs w:val="28"/>
          <w:lang w:val="en-US" w:eastAsia="uk-UA"/>
        </w:rPr>
        <w:t>PloS One</w:t>
      </w:r>
      <w:r w:rsidRPr="00981822">
        <w:rPr>
          <w:rFonts w:ascii="Times New Roman" w:hAnsi="Times New Roman"/>
          <w:iCs/>
          <w:color w:val="000000"/>
          <w:sz w:val="28"/>
          <w:szCs w:val="28"/>
          <w:lang w:eastAsia="uk-UA"/>
        </w:rPr>
        <w:t>. 2011;</w:t>
      </w:r>
      <w:r w:rsidRPr="00981822">
        <w:rPr>
          <w:rFonts w:ascii="Times New Roman" w:hAnsi="Times New Roman"/>
          <w:color w:val="000000"/>
          <w:sz w:val="28"/>
          <w:szCs w:val="28"/>
          <w:lang w:val="en-US" w:eastAsia="uk-UA"/>
        </w:rPr>
        <w:t>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9):e25787.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Xiao H, Xiao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Cao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 Li</w:t>
      </w:r>
      <w:r w:rsidRPr="00981822">
        <w:rPr>
          <w:rFonts w:ascii="Times New Roman" w:hAnsi="Times New Roman"/>
          <w:color w:val="000000"/>
          <w:sz w:val="28"/>
          <w:szCs w:val="28"/>
          <w:lang w:eastAsia="uk-UA"/>
        </w:rPr>
        <w:t xml:space="preserve"> Н</w:t>
      </w:r>
      <w:r w:rsidRPr="00981822">
        <w:rPr>
          <w:rFonts w:ascii="Times New Roman" w:hAnsi="Times New Roman"/>
          <w:color w:val="000000"/>
          <w:sz w:val="28"/>
          <w:szCs w:val="28"/>
          <w:lang w:val="en-US" w:eastAsia="uk-UA"/>
        </w:rPr>
        <w:t>, Guan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 Guo</w:t>
      </w:r>
      <w:r w:rsidRPr="00981822">
        <w:rPr>
          <w:rFonts w:ascii="Times New Roman" w:hAnsi="Times New Roman"/>
          <w:color w:val="000000"/>
          <w:sz w:val="28"/>
          <w:szCs w:val="28"/>
          <w:lang w:eastAsia="uk-UA"/>
        </w:rPr>
        <w:t xml:space="preserve"> Х</w:t>
      </w:r>
      <w:r w:rsidRPr="00981822">
        <w:rPr>
          <w:rFonts w:ascii="Times New Roman" w:hAnsi="Times New Roman"/>
          <w:color w:val="000000"/>
          <w:sz w:val="28"/>
          <w:szCs w:val="28"/>
          <w:lang w:val="en-US" w:eastAsia="uk-UA"/>
        </w:rPr>
        <w:t>, et al. miR-206 Functions as a Novel Cell Cycle Regulator and Tumor Suppressor in Clear-Cell Renal Cell Carcinoma.</w:t>
      </w:r>
      <w:r w:rsidRPr="00981822">
        <w:rPr>
          <w:rFonts w:ascii="Times New Roman" w:hAnsi="Times New Roman"/>
          <w:color w:val="000000"/>
          <w:sz w:val="28"/>
          <w:szCs w:val="28"/>
          <w:lang w:eastAsia="uk-UA"/>
        </w:rPr>
        <w:t xml:space="preserve"> </w:t>
      </w:r>
      <w:r w:rsidRPr="00981822">
        <w:rPr>
          <w:rFonts w:ascii="Times New Roman" w:hAnsi="Times New Roman"/>
          <w:iCs/>
          <w:color w:val="000000"/>
          <w:sz w:val="28"/>
          <w:szCs w:val="28"/>
          <w:lang w:val="en-US" w:eastAsia="uk-UA"/>
        </w:rPr>
        <w:t>Cancer Lett</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Apr 28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374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1):107–16.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Xiao X</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 Tang</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Xiao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 Fu</w:t>
      </w:r>
      <w:r w:rsidRPr="00981822">
        <w:rPr>
          <w:rFonts w:ascii="Times New Roman" w:hAnsi="Times New Roman"/>
          <w:color w:val="000000"/>
          <w:sz w:val="28"/>
          <w:szCs w:val="28"/>
          <w:lang w:eastAsia="uk-UA"/>
        </w:rPr>
        <w:t xml:space="preserve"> С</w:t>
      </w:r>
      <w:r w:rsidRPr="00981822">
        <w:rPr>
          <w:rFonts w:ascii="Times New Roman" w:hAnsi="Times New Roman"/>
          <w:color w:val="000000"/>
          <w:sz w:val="28"/>
          <w:szCs w:val="28"/>
          <w:lang w:val="en-US" w:eastAsia="uk-UA"/>
        </w:rPr>
        <w:t>, Yu</w:t>
      </w:r>
      <w:r w:rsidRPr="00981822">
        <w:rPr>
          <w:rFonts w:ascii="Times New Roman" w:hAnsi="Times New Roman"/>
          <w:color w:val="000000"/>
          <w:sz w:val="28"/>
          <w:szCs w:val="28"/>
          <w:lang w:eastAsia="uk-UA"/>
        </w:rPr>
        <w:t xml:space="preserve"> Р</w:t>
      </w:r>
      <w:r w:rsidRPr="00981822">
        <w:rPr>
          <w:rFonts w:ascii="Times New Roman" w:hAnsi="Times New Roman"/>
          <w:color w:val="000000"/>
          <w:sz w:val="28"/>
          <w:szCs w:val="28"/>
          <w:lang w:val="en-US" w:eastAsia="uk-UA"/>
        </w:rPr>
        <w:t xml:space="preserve">. Enhancement of Proliferation and Invasion by MicroRNA-590-5p via Targeting PBRM1 in Clear Cell Renal Carcinoma Cells. </w:t>
      </w:r>
      <w:r w:rsidRPr="00981822">
        <w:rPr>
          <w:rFonts w:ascii="Times New Roman" w:hAnsi="Times New Roman"/>
          <w:iCs/>
          <w:color w:val="000000"/>
          <w:sz w:val="28"/>
          <w:szCs w:val="28"/>
          <w:lang w:val="en-US" w:eastAsia="uk-UA"/>
        </w:rPr>
        <w:t>Oncol</w:t>
      </w:r>
      <w:r w:rsidRPr="00981822">
        <w:rPr>
          <w:rFonts w:ascii="Times New Roman" w:hAnsi="Times New Roman"/>
          <w:iCs/>
          <w:color w:val="000000"/>
          <w:sz w:val="28"/>
          <w:szCs w:val="28"/>
          <w:lang w:eastAsia="uk-UA"/>
        </w:rPr>
        <w:t>.</w:t>
      </w:r>
      <w:r w:rsidRPr="00981822">
        <w:rPr>
          <w:rFonts w:ascii="Times New Roman" w:hAnsi="Times New Roman"/>
          <w:iCs/>
          <w:color w:val="000000"/>
          <w:sz w:val="28"/>
          <w:szCs w:val="28"/>
          <w:lang w:val="en-US" w:eastAsia="uk-UA"/>
        </w:rPr>
        <w:t xml:space="preserve"> Res</w:t>
      </w:r>
      <w:r w:rsidRPr="00981822">
        <w:rPr>
          <w:rFonts w:ascii="Times New Roman" w:hAnsi="Times New Roman"/>
          <w:iCs/>
          <w:color w:val="000000"/>
          <w:sz w:val="28"/>
          <w:szCs w:val="28"/>
          <w:lang w:eastAsia="uk-UA"/>
        </w:rPr>
        <w:t>. 2013;</w:t>
      </w:r>
      <w:r w:rsidRPr="00981822">
        <w:rPr>
          <w:rFonts w:ascii="Times New Roman" w:hAnsi="Times New Roman"/>
          <w:color w:val="000000"/>
          <w:sz w:val="28"/>
          <w:szCs w:val="28"/>
          <w:lang w:val="en-US" w:eastAsia="uk-UA"/>
        </w:rPr>
        <w:t>20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11):537–44.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t>Xie</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P</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Yang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Yuan 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Lipid</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Poor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Renal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Angiomyolipoma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Differentiation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from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Clear</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Cell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Renal Cell Carcinoma Using Wash-in and Washout Characteristics on Contrast-Enhanced Computed Tomography.</w:t>
      </w:r>
      <w:r w:rsidRPr="00981822">
        <w:rPr>
          <w:rFonts w:ascii="Times New Roman" w:hAnsi="Times New Roman"/>
          <w:color w:val="000000"/>
          <w:sz w:val="28"/>
          <w:szCs w:val="28"/>
          <w:lang w:eastAsia="uk-UA"/>
        </w:rPr>
        <w:t xml:space="preserve"> </w:t>
      </w:r>
      <w:r w:rsidRPr="00981822">
        <w:rPr>
          <w:rFonts w:ascii="Times New Roman" w:hAnsi="Times New Roman"/>
          <w:iCs/>
          <w:color w:val="000000"/>
          <w:sz w:val="28"/>
          <w:szCs w:val="28"/>
          <w:lang w:val="en-US" w:eastAsia="uk-UA"/>
        </w:rPr>
        <w:t>Oncol</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Lett</w:t>
      </w:r>
      <w:r w:rsidRPr="00981822">
        <w:rPr>
          <w:rFonts w:ascii="Times New Roman" w:hAnsi="Times New Roman"/>
          <w:iCs/>
          <w:color w:val="000000"/>
          <w:sz w:val="28"/>
          <w:szCs w:val="28"/>
          <w:lang w:eastAsia="uk-UA"/>
        </w:rPr>
        <w:t>.</w:t>
      </w:r>
      <w:r w:rsidRPr="00981822">
        <w:t xml:space="preserve"> </w:t>
      </w:r>
      <w:r w:rsidRPr="00981822">
        <w:rPr>
          <w:rFonts w:ascii="Times New Roman" w:hAnsi="Times New Roman"/>
          <w:sz w:val="28"/>
          <w:szCs w:val="28"/>
        </w:rPr>
        <w:t>2016 Mar;11(3):2327–31</w:t>
      </w:r>
      <w:r w:rsidRPr="00981822">
        <w:t>.</w:t>
      </w:r>
      <w:r w:rsidRPr="00981822">
        <w:rPr>
          <w:rFonts w:ascii="Times New Roman" w:hAnsi="Times New Roman"/>
          <w:iCs/>
          <w:color w:val="000000"/>
          <w:sz w:val="28"/>
          <w:szCs w:val="28"/>
          <w:lang w:eastAsia="uk-UA"/>
        </w:rPr>
        <w:t xml:space="preserve"> </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doi</w:t>
      </w:r>
      <w:r w:rsidRPr="00981822">
        <w:rPr>
          <w:rFonts w:ascii="Times New Roman" w:hAnsi="Times New Roman"/>
          <w:color w:val="000000"/>
          <w:sz w:val="28"/>
          <w:szCs w:val="28"/>
          <w:lang w:eastAsia="uk-UA"/>
        </w:rPr>
        <w:t>:10.3892/</w:t>
      </w:r>
      <w:r w:rsidRPr="00981822">
        <w:rPr>
          <w:rFonts w:ascii="Times New Roman" w:hAnsi="Times New Roman"/>
          <w:color w:val="000000"/>
          <w:sz w:val="28"/>
          <w:szCs w:val="28"/>
          <w:lang w:val="en-US" w:eastAsia="uk-UA"/>
        </w:rPr>
        <w:t>ol</w:t>
      </w:r>
      <w:r w:rsidRPr="00981822">
        <w:rPr>
          <w:rFonts w:ascii="Times New Roman" w:hAnsi="Times New Roman"/>
          <w:color w:val="000000"/>
          <w:sz w:val="28"/>
          <w:szCs w:val="28"/>
          <w:lang w:eastAsia="uk-UA"/>
        </w:rPr>
        <w:t>.2016.4214.</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Xie W, Wang L, Sheng H, Qiu J, Zhang D, Zhang L, et al. Metformin Induces Growth Inhibition and Cell Cycle Arrest by Upregulating MicroRNA34a in Renal Cancer Cells. Med Sci Monit. 2017 Jan 3;23:29–37.</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Xu CF, Bing NX, Ball HA, et al. Pazopanib efficacy in renal cell carcinoma: evidence for predictive genetic markers in angiogenesis-related and exposure-related genes. J Clin Oncol</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2011;29(18):2557–64.</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 xml:space="preserve">Xu CF, Johnson T, Garcia-Donas J, </w:t>
      </w:r>
      <w:r w:rsidRPr="00981822">
        <w:rPr>
          <w:rFonts w:ascii="Times New Roman" w:hAnsi="Times New Roman"/>
          <w:sz w:val="28"/>
          <w:szCs w:val="28"/>
          <w:lang w:val="en-US"/>
        </w:rPr>
        <w:t>Choueiri TK, Sternberg CN, Davis ID</w:t>
      </w:r>
      <w:r w:rsidRPr="00981822">
        <w:rPr>
          <w:rFonts w:ascii="Times New Roman" w:hAnsi="Times New Roman"/>
          <w:lang w:val="en-US"/>
        </w:rPr>
        <w:t>,</w:t>
      </w:r>
      <w:r w:rsidRPr="00981822">
        <w:rPr>
          <w:rFonts w:ascii="Times New Roman" w:hAnsi="Times New Roman"/>
          <w:vertAlign w:val="superscript"/>
          <w:lang w:val="en-US"/>
        </w:rPr>
        <w:t xml:space="preserve">, </w:t>
      </w:r>
      <w:r w:rsidRPr="00981822">
        <w:rPr>
          <w:rFonts w:ascii="Times New Roman" w:hAnsi="Times New Roman"/>
          <w:color w:val="000000"/>
          <w:sz w:val="28"/>
          <w:szCs w:val="28"/>
          <w:lang w:val="en-US"/>
        </w:rPr>
        <w:t>et al. IL8 polymorphisms and overall survival in pazopanib- or sunitinib-treated patients with renal cell carcinoma. Br J Cancer</w:t>
      </w:r>
      <w:r w:rsidRPr="00981822">
        <w:rPr>
          <w:rFonts w:ascii="Times New Roman" w:hAnsi="Times New Roman"/>
          <w:color w:val="000000"/>
          <w:sz w:val="28"/>
          <w:szCs w:val="28"/>
        </w:rPr>
        <w:t>.</w:t>
      </w:r>
      <w:r w:rsidRPr="00981822">
        <w:rPr>
          <w:rFonts w:ascii="Times New Roman" w:hAnsi="Times New Roman"/>
          <w:color w:val="000000"/>
          <w:sz w:val="28"/>
          <w:szCs w:val="28"/>
          <w:lang w:val="en-US"/>
        </w:rPr>
        <w:t xml:space="preserve"> 2015</w:t>
      </w:r>
      <w:r w:rsidRPr="00981822">
        <w:rPr>
          <w:rFonts w:ascii="Times New Roman" w:hAnsi="Times New Roman"/>
          <w:lang w:val="en-US"/>
        </w:rPr>
        <w:t xml:space="preserve"> </w:t>
      </w:r>
      <w:r w:rsidRPr="00981822">
        <w:rPr>
          <w:rFonts w:ascii="Times New Roman" w:hAnsi="Times New Roman"/>
          <w:sz w:val="28"/>
          <w:szCs w:val="28"/>
          <w:lang w:val="en-US"/>
        </w:rPr>
        <w:t>Mar 31</w:t>
      </w:r>
      <w:r w:rsidRPr="00981822">
        <w:rPr>
          <w:rFonts w:ascii="Times New Roman" w:hAnsi="Times New Roman"/>
          <w:color w:val="000000"/>
          <w:sz w:val="28"/>
          <w:szCs w:val="28"/>
          <w:lang w:val="en-US"/>
        </w:rPr>
        <w:t>;112(7):1190–8.</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Xu X, Wang P, Ma L, Shao Z, Zhang M. [Diffusion weighted imaging and perfusion weighted imaging in the differential diagnosis of benign and malignant renal masses on 3.0 T MRI]. </w:t>
      </w:r>
      <w:r w:rsidRPr="00981822">
        <w:rPr>
          <w:rFonts w:ascii="Times New Roman" w:hAnsi="Times New Roman"/>
          <w:iCs/>
          <w:color w:val="000000"/>
          <w:sz w:val="28"/>
          <w:szCs w:val="28"/>
          <w:lang w:val="en-US" w:eastAsia="uk-UA"/>
        </w:rPr>
        <w:t xml:space="preserve">Zhonghua Yi Xue Za Zhi. </w:t>
      </w:r>
      <w:r w:rsidRPr="00981822">
        <w:rPr>
          <w:rFonts w:ascii="Times New Roman" w:hAnsi="Times New Roman"/>
          <w:color w:val="000000"/>
          <w:sz w:val="28"/>
          <w:szCs w:val="28"/>
          <w:lang w:val="en-US" w:eastAsia="uk-UA"/>
        </w:rPr>
        <w:t>2015 Jan 20;95(3):200–4.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pl-PL" w:eastAsia="uk-UA"/>
        </w:rPr>
        <w:t xml:space="preserve">Xu X, Wu J, Li S, Hu Z, Xu X, Zhu Y, et al. </w:t>
      </w:r>
      <w:r w:rsidRPr="00981822">
        <w:rPr>
          <w:rFonts w:ascii="Times New Roman" w:hAnsi="Times New Roman"/>
          <w:color w:val="000000"/>
          <w:sz w:val="28"/>
          <w:szCs w:val="28"/>
          <w:lang w:val="en-US" w:eastAsia="uk-UA"/>
        </w:rPr>
        <w:t xml:space="preserve">Downregulation of microRNA-182-5p Contributes to Renal Cell Carcinoma Proliferation via Activating the AKT/FOXO3a Signaling Pathway. </w:t>
      </w:r>
      <w:r w:rsidRPr="00981822">
        <w:rPr>
          <w:rFonts w:ascii="Times New Roman" w:hAnsi="Times New Roman"/>
          <w:iCs/>
          <w:color w:val="000000"/>
          <w:sz w:val="28"/>
          <w:szCs w:val="28"/>
          <w:lang w:val="en-US" w:eastAsia="uk-UA"/>
        </w:rPr>
        <w:t>Mol Cancer.</w:t>
      </w:r>
      <w:r w:rsidRPr="00981822">
        <w:rPr>
          <w:rFonts w:ascii="Times New Roman" w:hAnsi="Times New Roman"/>
          <w:iCs/>
          <w:color w:val="000000"/>
          <w:sz w:val="28"/>
          <w:szCs w:val="28"/>
          <w:lang w:eastAsia="uk-UA"/>
        </w:rPr>
        <w:t xml:space="preserve"> 2014</w:t>
      </w:r>
      <w:r w:rsidRPr="00981822">
        <w:t xml:space="preserve"> </w:t>
      </w:r>
      <w:r w:rsidRPr="00981822">
        <w:rPr>
          <w:rFonts w:ascii="Times New Roman" w:hAnsi="Times New Roman"/>
          <w:sz w:val="28"/>
          <w:szCs w:val="28"/>
        </w:rPr>
        <w:t>May 17</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13:109. doi:10.1186/1476-4598-13-109.</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Xu Y, Zhu J, Lei Z, Wan L, Zhu X, Ye F, et al. Expression and Functional Role of miR-29b in Renal Cell Carcinoma. </w:t>
      </w:r>
      <w:r w:rsidRPr="00981822">
        <w:rPr>
          <w:rFonts w:ascii="Times New Roman" w:hAnsi="Times New Roman"/>
          <w:iCs/>
          <w:color w:val="000000"/>
          <w:sz w:val="28"/>
          <w:szCs w:val="28"/>
          <w:lang w:val="en-US" w:eastAsia="uk-UA"/>
        </w:rPr>
        <w:t>Int J Clin Exp Pathol.</w:t>
      </w:r>
      <w:r w:rsidRPr="00981822">
        <w:rPr>
          <w:rFonts w:ascii="Times New Roman" w:hAnsi="Times New Roman"/>
          <w:iCs/>
          <w:color w:val="000000"/>
          <w:sz w:val="28"/>
          <w:szCs w:val="28"/>
          <w:lang w:eastAsia="uk-UA"/>
        </w:rPr>
        <w:t xml:space="preserve"> 2015;</w:t>
      </w:r>
      <w:r w:rsidRPr="00981822">
        <w:rPr>
          <w:rFonts w:ascii="Times New Roman" w:hAnsi="Times New Roman"/>
          <w:color w:val="000000"/>
          <w:sz w:val="28"/>
          <w:szCs w:val="28"/>
          <w:lang w:val="en-US" w:eastAsia="uk-UA"/>
        </w:rPr>
        <w:t>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11):14161–70.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 xml:space="preserve">Yadav S, </w:t>
      </w:r>
      <w:r w:rsidRPr="00981822">
        <w:rPr>
          <w:rFonts w:ascii="Times New Roman" w:hAnsi="Times New Roman"/>
          <w:sz w:val="28"/>
          <w:szCs w:val="28"/>
          <w:lang w:val="en-US"/>
        </w:rPr>
        <w:t>Khandelwal M, Seth A, Saini AK, Dogra PN, Sharma A.</w:t>
      </w:r>
      <w:r w:rsidRPr="00981822">
        <w:rPr>
          <w:rFonts w:ascii="Times New Roman" w:hAnsi="Times New Roman"/>
          <w:sz w:val="28"/>
          <w:szCs w:val="28"/>
          <w:vertAlign w:val="superscript"/>
          <w:lang w:val="en-US"/>
        </w:rPr>
        <w:t>.</w:t>
      </w:r>
      <w:r w:rsidRPr="00981822">
        <w:rPr>
          <w:rFonts w:ascii="Times New Roman" w:hAnsi="Times New Roman"/>
          <w:vertAlign w:val="superscript"/>
          <w:lang w:val="en-US"/>
        </w:rPr>
        <w:t xml:space="preserve"> </w:t>
      </w:r>
      <w:r w:rsidRPr="00981822">
        <w:rPr>
          <w:rFonts w:ascii="Times New Roman" w:hAnsi="Times New Roman"/>
          <w:color w:val="000000"/>
          <w:sz w:val="28"/>
          <w:szCs w:val="28"/>
          <w:lang w:val="en-US" w:eastAsia="uk-UA"/>
        </w:rPr>
        <w:t xml:space="preserve">Serum microRNA Expression Profiling: Potential Diagnostic Implications of a Panel of Serum microRNAs for Clear Cell Renal Cell Cancer. </w:t>
      </w:r>
      <w:r w:rsidRPr="00981822">
        <w:rPr>
          <w:rFonts w:ascii="Times New Roman" w:hAnsi="Times New Roman"/>
          <w:iCs/>
          <w:color w:val="000000"/>
          <w:sz w:val="28"/>
          <w:szCs w:val="28"/>
          <w:lang w:val="en-US" w:eastAsia="uk-UA"/>
        </w:rPr>
        <w:t>Urology</w:t>
      </w:r>
      <w:r w:rsidRPr="00981822">
        <w:rPr>
          <w:rFonts w:ascii="Times New Roman" w:hAnsi="Times New Roman"/>
          <w:color w:val="000000"/>
          <w:sz w:val="28"/>
          <w:szCs w:val="28"/>
          <w:lang w:val="en-US" w:eastAsia="uk-UA"/>
        </w:rPr>
        <w:t xml:space="preserve">. </w:t>
      </w:r>
      <w:r w:rsidRPr="00981822">
        <w:rPr>
          <w:rFonts w:ascii="Times New Roman" w:hAnsi="Times New Roman"/>
          <w:sz w:val="28"/>
          <w:szCs w:val="28"/>
          <w:lang w:val="en-US"/>
        </w:rPr>
        <w:t>2017 Jun;104:64</w:t>
      </w:r>
      <w:r w:rsidRPr="00981822">
        <w:rPr>
          <w:rFonts w:ascii="Times New Roman" w:hAnsi="Times New Roman"/>
          <w:sz w:val="28"/>
          <w:szCs w:val="28"/>
        </w:rPr>
        <w:t>–</w:t>
      </w:r>
      <w:r w:rsidRPr="00981822">
        <w:rPr>
          <w:rFonts w:ascii="Times New Roman" w:hAnsi="Times New Roman"/>
          <w:sz w:val="28"/>
          <w:szCs w:val="28"/>
          <w:lang w:val="en-US"/>
        </w:rPr>
        <w:t>9</w:t>
      </w:r>
      <w:r w:rsidRPr="00981822">
        <w:rPr>
          <w:rFonts w:ascii="Times New Roman" w:hAnsi="Times New Roman"/>
          <w:color w:val="000000"/>
          <w:sz w:val="28"/>
          <w:szCs w:val="28"/>
          <w:lang w:val="en-US" w:eastAsia="uk-UA"/>
        </w:rPr>
        <w:t>. doi:10.1016/j.urology.2017.03.013.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Yamada Y, </w:t>
      </w:r>
      <w:r w:rsidRPr="00981822">
        <w:rPr>
          <w:rFonts w:ascii="Times New Roman" w:hAnsi="Times New Roman"/>
          <w:sz w:val="28"/>
          <w:szCs w:val="28"/>
          <w:lang w:val="en-US"/>
        </w:rPr>
        <w:t>Hidaka H, Seki N, Yoshino H, Yamasaki T, Itesako T</w:t>
      </w:r>
      <w:r w:rsidRPr="00981822">
        <w:rPr>
          <w:rFonts w:ascii="Times New Roman" w:hAnsi="Times New Roman"/>
          <w:lang w:val="en-US"/>
        </w:rPr>
        <w:t xml:space="preserve">, </w:t>
      </w:r>
      <w:r w:rsidRPr="00981822">
        <w:rPr>
          <w:rFonts w:ascii="Times New Roman" w:hAnsi="Times New Roman"/>
          <w:color w:val="000000"/>
          <w:sz w:val="28"/>
          <w:szCs w:val="28"/>
          <w:lang w:val="en-US" w:eastAsia="uk-UA"/>
        </w:rPr>
        <w:t xml:space="preserve">et al. Tumor-Suppressive microRNA-135a Inhibits Cancer Cell Proliferation by Targeting the c-MYC Oncogene in Renal Cell Carcinoma. </w:t>
      </w:r>
      <w:r w:rsidRPr="00981822">
        <w:rPr>
          <w:rFonts w:ascii="Times New Roman" w:hAnsi="Times New Roman"/>
          <w:iCs/>
          <w:color w:val="000000"/>
          <w:sz w:val="28"/>
          <w:szCs w:val="28"/>
          <w:lang w:val="en-US" w:eastAsia="uk-UA"/>
        </w:rPr>
        <w:t>Cancer Sci</w:t>
      </w:r>
      <w:r w:rsidRPr="00981822">
        <w:rPr>
          <w:rFonts w:ascii="Times New Roman" w:hAnsi="Times New Roman"/>
          <w:iCs/>
          <w:color w:val="000000"/>
          <w:sz w:val="28"/>
          <w:szCs w:val="28"/>
          <w:lang w:eastAsia="uk-UA"/>
        </w:rPr>
        <w:t>. 2013</w:t>
      </w:r>
      <w:r w:rsidRPr="00981822">
        <w:rPr>
          <w:rFonts w:ascii="Times New Roman" w:hAnsi="Times New Roman"/>
          <w:color w:val="000000"/>
          <w:sz w:val="28"/>
          <w:szCs w:val="28"/>
          <w:lang w:val="en-US" w:eastAsia="uk-UA"/>
        </w:rPr>
        <w:t xml:space="preserve"> Mar</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104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3):304–12.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 xml:space="preserve">Yamaguchi K, Schacht D, Nakazono T, Irie H, Abe H. Diffusion Weighted Images of Metastatic as Compared with Nonmetastatic Axillary Lymph Nodes in Patients with Newly Diagnosed Breast Cancer. </w:t>
      </w:r>
      <w:r w:rsidRPr="00981822">
        <w:rPr>
          <w:rFonts w:ascii="Times New Roman" w:hAnsi="Times New Roman"/>
          <w:iCs/>
          <w:color w:val="000000"/>
          <w:sz w:val="28"/>
          <w:szCs w:val="28"/>
          <w:lang w:val="en-US" w:eastAsia="uk-UA"/>
        </w:rPr>
        <w:t>J Mag</w:t>
      </w:r>
      <w:hyperlink r:id="rId125" w:tooltip="Journal of magnetic resonance imaging : JMRI." w:history="1">
        <w:r w:rsidRPr="00981822">
          <w:rPr>
            <w:rStyle w:val="Hyperlink"/>
            <w:rFonts w:ascii="Times New Roman" w:hAnsi="Times New Roman"/>
            <w:lang w:val="en-US"/>
          </w:rPr>
          <w:t>.</w:t>
        </w:r>
      </w:hyperlink>
      <w:r w:rsidRPr="00981822">
        <w:rPr>
          <w:rFonts w:ascii="Times New Roman" w:hAnsi="Times New Roman"/>
          <w:lang w:val="en-US"/>
        </w:rPr>
        <w:t xml:space="preserve"> </w:t>
      </w:r>
      <w:r w:rsidRPr="00981822">
        <w:rPr>
          <w:rFonts w:ascii="Times New Roman" w:hAnsi="Times New Roman"/>
          <w:iCs/>
          <w:color w:val="000000"/>
          <w:sz w:val="28"/>
          <w:szCs w:val="28"/>
          <w:lang w:val="en-US" w:eastAsia="uk-UA"/>
        </w:rPr>
        <w:t>Reson Imaging</w:t>
      </w:r>
      <w:r w:rsidRPr="00981822">
        <w:rPr>
          <w:rFonts w:ascii="Times New Roman" w:hAnsi="Times New Roman"/>
          <w:iCs/>
          <w:color w:val="000000"/>
          <w:sz w:val="28"/>
          <w:szCs w:val="28"/>
          <w:lang w:eastAsia="uk-UA"/>
        </w:rPr>
        <w:t xml:space="preserve">. </w:t>
      </w:r>
      <w:r w:rsidRPr="00981822">
        <w:rPr>
          <w:rFonts w:ascii="Times New Roman" w:hAnsi="Times New Roman"/>
          <w:sz w:val="28"/>
          <w:szCs w:val="28"/>
        </w:rPr>
        <w:t xml:space="preserve">2015 </w:t>
      </w:r>
      <w:r w:rsidRPr="00981822">
        <w:rPr>
          <w:rFonts w:ascii="Times New Roman" w:hAnsi="Times New Roman"/>
          <w:sz w:val="28"/>
          <w:szCs w:val="28"/>
          <w:lang w:val="en-US"/>
        </w:rPr>
        <w:t>Sep</w:t>
      </w:r>
      <w:r w:rsidRPr="00981822">
        <w:rPr>
          <w:rFonts w:ascii="Times New Roman" w:hAnsi="Times New Roman"/>
          <w:sz w:val="28"/>
          <w:szCs w:val="28"/>
        </w:rPr>
        <w:t>;42(3):771–8</w:t>
      </w:r>
      <w:r w:rsidRPr="00981822">
        <w:rPr>
          <w:rFonts w:ascii="Times New Roman" w:hAnsi="Times New Roman"/>
        </w:rPr>
        <w:t>.</w:t>
      </w:r>
      <w:r w:rsidRPr="00981822">
        <w:rPr>
          <w:rFonts w:ascii="Times New Roman" w:hAnsi="Times New Roman"/>
          <w:color w:val="000000"/>
          <w:sz w:val="28"/>
          <w:szCs w:val="28"/>
          <w:lang w:eastAsia="uk-UA"/>
        </w:rPr>
        <w:t xml:space="preserve">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Yamasaki T, Seki N, Yamada Y, Yoshino H, Hidaka H, Chiyomaru 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 Tumor Suppressive microRNA</w:t>
      </w:r>
      <w:r w:rsidRPr="00981822">
        <w:rPr>
          <w:rFonts w:ascii="Times New Roman" w:hAnsi="Times New Roman"/>
          <w:color w:val="000000"/>
          <w:sz w:val="28"/>
          <w:szCs w:val="28"/>
          <w:lang w:val="en-US" w:eastAsia="uk-UA"/>
        </w:rPr>
        <w:noBreakHyphen/>
        <w:t xml:space="preserve">138 Contributes to Cell Migration and Invasion through Its Targeting of Vimentin in Renal Cell Carcinoma. </w:t>
      </w:r>
      <w:r w:rsidRPr="00981822">
        <w:rPr>
          <w:rFonts w:ascii="Times New Roman" w:hAnsi="Times New Roman"/>
          <w:iCs/>
          <w:color w:val="000000"/>
          <w:sz w:val="28"/>
          <w:szCs w:val="28"/>
          <w:lang w:val="en-US" w:eastAsia="uk-UA"/>
        </w:rPr>
        <w:t>Int J Oncol</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Sep</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41</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3):805–17. doi:10.3892/ijo.2012.1543.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Yamasaki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Seki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N</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Yoshino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Itesako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Hidaka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Yamada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MicroRNA-218 Inhibits Cell Migration and Invasion in Renal Cell Carcinoma through Targeting Caveolin-2 Involved in Focal Adhesion Pathway.</w:t>
      </w:r>
      <w:r w:rsidRPr="00981822">
        <w:rPr>
          <w:rFonts w:ascii="Times New Roman" w:hAnsi="Times New Roman"/>
          <w:iCs/>
          <w:color w:val="000000"/>
          <w:sz w:val="28"/>
          <w:szCs w:val="28"/>
          <w:lang w:val="en-US" w:eastAsia="uk-UA"/>
        </w:rPr>
        <w:t xml:space="preserve"> 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Urology</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Sep</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190</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3):1059–68.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Yamasaki T, Seki N, Yoshino H, Itesako T, Yamada Y, Tatarano S, et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Tumor-Suppressive microRNA-1291 Directly Regulates Glucose Transporter 1 in Renal Cell Carcinoma. </w:t>
      </w:r>
      <w:r w:rsidRPr="00981822">
        <w:rPr>
          <w:rFonts w:ascii="Times New Roman" w:hAnsi="Times New Roman"/>
          <w:iCs/>
          <w:color w:val="000000"/>
          <w:sz w:val="28"/>
          <w:szCs w:val="28"/>
          <w:lang w:val="en-US" w:eastAsia="uk-UA"/>
        </w:rPr>
        <w:t>Cancer Sci</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Nov</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11):1411–9. doi:10.1111/cas.12240.</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rPr>
        <w:t>Yang C, Asthagiri AR, Iyer RR, Lu J, Xu DS, Ksendzovsky A, et al. Missense mutations in the NF2 gene result in the quantitative loss of merlin protein and minimally affect protein intrinsic function. Proc Natl Acad Sci USA. 2011;108(12):4980–5.</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shd w:val="clear" w:color="auto" w:fill="FFFFFF"/>
          <w:lang w:val="en-US"/>
        </w:rPr>
        <w:lastRenderedPageBreak/>
        <w:t xml:space="preserve">Yildiz I, Sen F, Kilic L, </w:t>
      </w:r>
      <w:r w:rsidRPr="00981822">
        <w:rPr>
          <w:rFonts w:ascii="Times New Roman" w:hAnsi="Times New Roman"/>
          <w:sz w:val="28"/>
          <w:szCs w:val="28"/>
          <w:lang w:val="en-US"/>
        </w:rPr>
        <w:t>Keskin S, Duranyildiz D, Bilgin E,</w:t>
      </w:r>
      <w:r w:rsidRPr="00981822">
        <w:rPr>
          <w:rFonts w:ascii="Times New Roman" w:hAnsi="Times New Roman"/>
          <w:color w:val="000000"/>
          <w:sz w:val="28"/>
          <w:szCs w:val="28"/>
          <w:shd w:val="clear" w:color="auto" w:fill="FFFFFF"/>
          <w:lang w:val="en-US"/>
        </w:rPr>
        <w:t xml:space="preserve"> et al. Serum m65 as a biomarker for metastatic renal cell carcinoma.</w:t>
      </w:r>
      <w:r w:rsidRPr="00981822">
        <w:rPr>
          <w:rFonts w:ascii="Times New Roman" w:hAnsi="Times New Roman"/>
          <w:color w:val="000000"/>
          <w:sz w:val="28"/>
          <w:szCs w:val="28"/>
          <w:shd w:val="clear" w:color="auto" w:fill="FFFFFF"/>
        </w:rPr>
        <w:t xml:space="preserve"> </w:t>
      </w:r>
      <w:r w:rsidRPr="00981822">
        <w:rPr>
          <w:rStyle w:val="Emphasis"/>
          <w:rFonts w:ascii="Times New Roman" w:hAnsi="Times New Roman"/>
          <w:iCs w:val="0"/>
          <w:color w:val="000000"/>
          <w:sz w:val="28"/>
          <w:szCs w:val="28"/>
          <w:shd w:val="clear" w:color="auto" w:fill="FFFFFF"/>
          <w:lang w:val="en-US"/>
        </w:rPr>
        <w:t>Clin Genitourin Cancer</w:t>
      </w:r>
      <w:r w:rsidRPr="00981822">
        <w:rPr>
          <w:rStyle w:val="ref-journal"/>
          <w:rFonts w:ascii="Times New Roman" w:hAnsi="Times New Roman"/>
          <w:color w:val="000000"/>
          <w:sz w:val="28"/>
          <w:szCs w:val="28"/>
          <w:shd w:val="clear" w:color="auto" w:fill="FFFFFF"/>
          <w:lang w:val="en-US"/>
        </w:rPr>
        <w:t>.</w:t>
      </w:r>
      <w:r w:rsidRPr="00981822">
        <w:rPr>
          <w:rStyle w:val="ref-journal"/>
          <w:rFonts w:ascii="Times New Roman" w:hAnsi="Times New Roman"/>
          <w:color w:val="000000"/>
          <w:sz w:val="28"/>
          <w:szCs w:val="28"/>
          <w:shd w:val="clear" w:color="auto" w:fill="FFFFFF"/>
        </w:rPr>
        <w:t xml:space="preserve"> </w:t>
      </w:r>
      <w:r w:rsidRPr="00981822">
        <w:rPr>
          <w:rFonts w:ascii="Times New Roman" w:hAnsi="Times New Roman"/>
          <w:color w:val="000000"/>
          <w:sz w:val="28"/>
          <w:szCs w:val="28"/>
          <w:shd w:val="clear" w:color="auto" w:fill="FFFFFF"/>
          <w:lang w:val="en-US"/>
        </w:rPr>
        <w:t>2013</w:t>
      </w:r>
      <w:r w:rsidRPr="00981822">
        <w:rPr>
          <w:rFonts w:ascii="Times New Roman" w:hAnsi="Times New Roman"/>
        </w:rPr>
        <w:t xml:space="preserve"> </w:t>
      </w:r>
      <w:r w:rsidRPr="00981822">
        <w:rPr>
          <w:rFonts w:ascii="Times New Roman" w:hAnsi="Times New Roman"/>
          <w:sz w:val="28"/>
          <w:szCs w:val="28"/>
        </w:rPr>
        <w:t>Sep</w:t>
      </w:r>
      <w:r w:rsidRPr="00981822">
        <w:rPr>
          <w:rFonts w:ascii="Times New Roman" w:hAnsi="Times New Roman"/>
          <w:color w:val="000000"/>
          <w:sz w:val="28"/>
          <w:szCs w:val="28"/>
          <w:shd w:val="clear" w:color="auto" w:fill="FFFFFF"/>
          <w:lang w:val="en-US"/>
        </w:rPr>
        <w:t>;</w:t>
      </w:r>
      <w:r w:rsidRPr="00981822">
        <w:rPr>
          <w:rStyle w:val="ref-vol"/>
          <w:rFonts w:ascii="Times New Roman" w:hAnsi="Times New Roman"/>
          <w:color w:val="000000"/>
          <w:sz w:val="28"/>
          <w:szCs w:val="28"/>
          <w:shd w:val="clear" w:color="auto" w:fill="FFFFFF"/>
          <w:lang w:val="en-US"/>
        </w:rPr>
        <w:t>11</w:t>
      </w:r>
      <w:r w:rsidRPr="00981822">
        <w:rPr>
          <w:rFonts w:ascii="Times New Roman" w:hAnsi="Times New Roman"/>
          <w:color w:val="000000"/>
          <w:sz w:val="28"/>
          <w:szCs w:val="28"/>
          <w:shd w:val="clear" w:color="auto" w:fill="FFFFFF"/>
          <w:lang w:val="en-US"/>
        </w:rPr>
        <w:t>(3):290–6. doi: 10.1016/j.clgc.2013.01.001.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Yoshino H, Enokida H, ItesakoT, Kojima S, Kinoshita T, Tatarano S, </w:t>
      </w:r>
      <w:r w:rsidRPr="00981822">
        <w:rPr>
          <w:rFonts w:ascii="Times New Roman" w:hAnsi="Times New Roman"/>
          <w:color w:val="000000"/>
          <w:sz w:val="28"/>
          <w:szCs w:val="28"/>
          <w:shd w:val="clear" w:color="auto" w:fill="FFFFFF"/>
          <w:lang w:val="en-US"/>
        </w:rPr>
        <w:t xml:space="preserve">et al. </w:t>
      </w:r>
      <w:r w:rsidRPr="00981822">
        <w:rPr>
          <w:rFonts w:ascii="Times New Roman" w:hAnsi="Times New Roman"/>
          <w:color w:val="000000"/>
          <w:sz w:val="28"/>
          <w:szCs w:val="28"/>
          <w:lang w:val="en-US" w:eastAsia="uk-UA"/>
        </w:rPr>
        <w:t xml:space="preserve">Tumor-Suppressive microRNA-143/145 Cluster Targets Hexokinase-2 in Renal Cell Carcinoma. </w:t>
      </w:r>
      <w:r w:rsidRPr="00981822">
        <w:rPr>
          <w:rFonts w:ascii="Times New Roman" w:hAnsi="Times New Roman"/>
          <w:iCs/>
          <w:color w:val="000000"/>
          <w:sz w:val="28"/>
          <w:szCs w:val="28"/>
          <w:lang w:val="en-US" w:eastAsia="uk-UA"/>
        </w:rPr>
        <w:t>Cancer Sci</w:t>
      </w:r>
      <w:r w:rsidRPr="00981822">
        <w:rPr>
          <w:rFonts w:ascii="Times New Roman" w:hAnsi="Times New Roman"/>
          <w:iCs/>
          <w:color w:val="000000"/>
          <w:sz w:val="28"/>
          <w:szCs w:val="28"/>
          <w:lang w:eastAsia="uk-UA"/>
        </w:rPr>
        <w:t>. 2013</w:t>
      </w:r>
      <w:r w:rsidRPr="00981822">
        <w:rPr>
          <w:rFonts w:ascii="Times New Roman" w:hAnsi="Times New Roman"/>
          <w:color w:val="000000"/>
          <w:sz w:val="28"/>
          <w:szCs w:val="28"/>
          <w:lang w:val="en-US" w:eastAsia="uk-UA"/>
        </w:rPr>
        <w:t xml:space="preserve"> 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104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12):1567–74.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Young JR, Coy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H, Douek M, Lo P, Sayre J, Pantuck AJ,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Type 1 Papillary Renal Cell Carcinoma: Differentiation from Type 2 Papillary RCC on Multiphasic MDCT. </w:t>
      </w:r>
      <w:r w:rsidRPr="00981822">
        <w:rPr>
          <w:rFonts w:ascii="Times New Roman" w:hAnsi="Times New Roman"/>
          <w:iCs/>
          <w:color w:val="000000"/>
          <w:sz w:val="28"/>
          <w:szCs w:val="28"/>
          <w:lang w:val="en-US" w:eastAsia="uk-UA"/>
        </w:rPr>
        <w:t>Abdom Radiol</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(NY)</w:t>
      </w:r>
      <w:r w:rsidRPr="00981822">
        <w:t>.</w:t>
      </w:r>
      <w:r w:rsidRPr="00981822">
        <w:rPr>
          <w:lang w:val="en-US"/>
        </w:rPr>
        <w:t xml:space="preserve"> </w:t>
      </w:r>
      <w:r w:rsidRPr="00981822">
        <w:rPr>
          <w:rFonts w:ascii="Times New Roman" w:hAnsi="Times New Roman"/>
          <w:sz w:val="28"/>
          <w:szCs w:val="28"/>
          <w:lang w:val="en-US"/>
        </w:rPr>
        <w:t>2017 Jul;42(7):1911</w:t>
      </w:r>
      <w:r w:rsidRPr="00981822">
        <w:rPr>
          <w:rFonts w:ascii="Times New Roman" w:hAnsi="Times New Roman"/>
          <w:sz w:val="28"/>
          <w:szCs w:val="28"/>
        </w:rPr>
        <w:t>–</w:t>
      </w:r>
      <w:r w:rsidRPr="00981822">
        <w:rPr>
          <w:rFonts w:ascii="Times New Roman" w:hAnsi="Times New Roman"/>
          <w:sz w:val="28"/>
          <w:szCs w:val="28"/>
          <w:lang w:val="en-US"/>
        </w:rPr>
        <w:t>8</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Young JR, </w:t>
      </w:r>
      <w:r w:rsidRPr="00981822">
        <w:rPr>
          <w:rFonts w:ascii="Times New Roman" w:hAnsi="Times New Roman"/>
          <w:sz w:val="28"/>
          <w:szCs w:val="28"/>
          <w:lang w:val="en-US"/>
        </w:rPr>
        <w:t>Coy H, Kim HJ, Douek M, Lo P, Pantuck AJ,</w:t>
      </w:r>
      <w:r w:rsidRPr="00981822">
        <w:rPr>
          <w:rFonts w:ascii="Times New Roman" w:hAnsi="Times New Roman"/>
          <w:sz w:val="28"/>
          <w:szCs w:val="28"/>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Performance of Relative Enhancement on Multiphasic MRI for the Differentiation of Clear Cell Renal Cell Carcinoma (RCC) From Papillary and Chromophobe RCC Subtypes and Oncocytoma. AJR </w:t>
      </w:r>
      <w:r w:rsidRPr="00981822">
        <w:rPr>
          <w:rFonts w:ascii="Times New Roman" w:hAnsi="Times New Roman"/>
          <w:iCs/>
          <w:color w:val="000000"/>
          <w:sz w:val="28"/>
          <w:szCs w:val="28"/>
          <w:lang w:val="en-US" w:eastAsia="uk-UA"/>
        </w:rPr>
        <w:t>Am J Roentgenol</w:t>
      </w:r>
      <w:r w:rsidRPr="00981822">
        <w:rPr>
          <w:rFonts w:ascii="Times New Roman" w:hAnsi="Times New Roman"/>
          <w:iCs/>
          <w:color w:val="000000"/>
          <w:sz w:val="28"/>
          <w:szCs w:val="28"/>
          <w:lang w:eastAsia="uk-UA"/>
        </w:rPr>
        <w:t xml:space="preserve">. </w:t>
      </w:r>
      <w:r w:rsidRPr="00981822">
        <w:rPr>
          <w:rFonts w:ascii="Times New Roman" w:hAnsi="Times New Roman"/>
          <w:sz w:val="28"/>
          <w:szCs w:val="28"/>
          <w:lang w:val="en-US"/>
        </w:rPr>
        <w:t>2017 Apr;208(4):812</w:t>
      </w:r>
      <w:r w:rsidRPr="00981822">
        <w:rPr>
          <w:rFonts w:ascii="Times New Roman" w:hAnsi="Times New Roman"/>
          <w:sz w:val="28"/>
          <w:szCs w:val="28"/>
        </w:rPr>
        <w:t>–</w:t>
      </w:r>
      <w:r w:rsidRPr="00981822">
        <w:rPr>
          <w:rFonts w:ascii="Times New Roman" w:hAnsi="Times New Roman"/>
          <w:sz w:val="28"/>
          <w:szCs w:val="28"/>
          <w:lang w:val="en-US"/>
        </w:rPr>
        <w:t>9</w:t>
      </w:r>
      <w:r w:rsidRPr="00981822">
        <w:rPr>
          <w:rFonts w:ascii="Times New Roman" w:hAnsi="Times New Roman"/>
          <w:lang w:val="en-US"/>
        </w:rPr>
        <w:t>.</w:t>
      </w:r>
      <w:r w:rsidRPr="00981822">
        <w:rPr>
          <w:rFonts w:ascii="Times New Roman" w:hAnsi="Times New Roman"/>
          <w:color w:val="000000"/>
          <w:sz w:val="28"/>
          <w:szCs w:val="28"/>
          <w:lang w:val="en-US" w:eastAsia="uk-UA"/>
        </w:rPr>
        <w:t xml:space="preserve"> doi:10.2214/AJR.16.17152.</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Young JR, Young JA, Margolis DJA, Sauk S, Pantuck AJ, Sayre J, et al. Clear cell renal cell carcinoma: identifying the gain of chromosome 20 on multiphasic MDCT. Abdom Radiol (NY). 2016 Nov;41(11):2175–81.</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Youssef YM, </w:t>
      </w:r>
      <w:r w:rsidRPr="00981822">
        <w:rPr>
          <w:rFonts w:ascii="Times New Roman" w:hAnsi="Times New Roman"/>
          <w:sz w:val="28"/>
          <w:szCs w:val="28"/>
          <w:lang w:val="en-US"/>
        </w:rPr>
        <w:t>White NM, Grigull J, Krizova A, Samy C, Mejia-Guerrero S</w:t>
      </w:r>
      <w:r w:rsidRPr="00981822">
        <w:rPr>
          <w:rFonts w:ascii="Times New Roman" w:hAnsi="Times New Roman"/>
          <w:sz w:val="28"/>
          <w:szCs w:val="28"/>
        </w:rPr>
        <w:t>,</w:t>
      </w:r>
      <w:r w:rsidRPr="00981822">
        <w:rPr>
          <w:rFonts w:ascii="Times New Roman" w:hAnsi="Times New Roman"/>
        </w:rPr>
        <w:t xml:space="preserve">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Accurate Molecular Classification of Kidney Cancer Subtypes Using microRNA Signature. </w:t>
      </w:r>
      <w:r w:rsidRPr="00981822">
        <w:rPr>
          <w:rFonts w:ascii="Times New Roman" w:hAnsi="Times New Roman"/>
          <w:iCs/>
          <w:color w:val="000000"/>
          <w:sz w:val="28"/>
          <w:szCs w:val="28"/>
          <w:lang w:val="en-US" w:eastAsia="uk-UA"/>
        </w:rPr>
        <w:t>Eur Urol</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59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5):721–30.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Yu H, Lin X, Wang F, Zhang B, Wang W, Shi H, </w:t>
      </w:r>
      <w:r w:rsidRPr="00981822">
        <w:rPr>
          <w:rFonts w:ascii="Times New Roman" w:hAnsi="Times New Roman"/>
          <w:color w:val="000000"/>
          <w:sz w:val="28"/>
          <w:szCs w:val="28"/>
          <w:lang w:val="en-US"/>
        </w:rPr>
        <w:t>et al</w:t>
      </w:r>
      <w:r w:rsidRPr="00981822">
        <w:rPr>
          <w:rFonts w:ascii="Times New Roman" w:hAnsi="Times New Roman"/>
          <w:color w:val="000000"/>
          <w:sz w:val="28"/>
          <w:szCs w:val="28"/>
          <w:lang w:val="en-US" w:eastAsia="uk-UA"/>
        </w:rPr>
        <w:t xml:space="preserve">. Proliferation Inhibition and the Underlying Molecular Mechanisms of microRNA-30d in Renal Carcinoma Cells. </w:t>
      </w:r>
      <w:r w:rsidRPr="00981822">
        <w:rPr>
          <w:rFonts w:ascii="Times New Roman" w:hAnsi="Times New Roman"/>
          <w:iCs/>
          <w:color w:val="000000"/>
          <w:sz w:val="28"/>
          <w:szCs w:val="28"/>
          <w:lang w:val="en-US" w:eastAsia="uk-UA"/>
        </w:rPr>
        <w:t>Oncol Lett</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3):799–804.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pl-PL" w:eastAsia="uk-UA"/>
        </w:rPr>
        <w:t xml:space="preserve">Yu Z, Ni L, Chen D, Zhang Q, Su Z, Wang Y, et al. </w:t>
      </w:r>
      <w:r w:rsidRPr="00981822">
        <w:rPr>
          <w:rFonts w:ascii="Times New Roman" w:hAnsi="Times New Roman"/>
          <w:color w:val="000000"/>
          <w:sz w:val="28"/>
          <w:szCs w:val="28"/>
          <w:lang w:val="en-US" w:eastAsia="uk-UA"/>
        </w:rPr>
        <w:t xml:space="preserve">Identification of miR-7 as an Oncogene in Renal Cell Carcinoma. </w:t>
      </w:r>
      <w:r w:rsidRPr="00981822">
        <w:rPr>
          <w:rFonts w:ascii="Times New Roman" w:hAnsi="Times New Roman"/>
          <w:iCs/>
          <w:color w:val="000000"/>
          <w:sz w:val="28"/>
          <w:szCs w:val="28"/>
          <w:lang w:val="en-US" w:eastAsia="uk-UA"/>
        </w:rPr>
        <w:t>J Mol Histol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6):669–77. doi:10.1007/s10735-013-9516-5.</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Yuan Q, Kapur P, Zhang Y, Xi Y, Carvo I, Signoretti S, et al. Intratumor Heterogeneity of Perfusion and Diffusion in Clear-Cell Renal Cell Carcinoma: Correlation With Tumor Cellularity. </w:t>
      </w:r>
      <w:r w:rsidRPr="00981822">
        <w:rPr>
          <w:rFonts w:ascii="Times New Roman" w:hAnsi="Times New Roman"/>
          <w:iCs/>
          <w:color w:val="000000"/>
          <w:sz w:val="28"/>
          <w:szCs w:val="28"/>
          <w:lang w:val="en-US" w:eastAsia="uk-UA"/>
        </w:rPr>
        <w:t>Clin Genitourin Cancer</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6):e585–94. doi:10.1016/j.clgc.2016.04.007.</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 xml:space="preserve">Zhai Q, </w:t>
      </w:r>
      <w:r w:rsidRPr="00981822">
        <w:rPr>
          <w:rFonts w:ascii="Times New Roman" w:hAnsi="Times New Roman"/>
          <w:sz w:val="28"/>
          <w:szCs w:val="28"/>
          <w:lang w:val="en-US"/>
        </w:rPr>
        <w:t xml:space="preserve">Zhou L, Zhao C, Wan J, Yu Z, Guo X, </w:t>
      </w:r>
      <w:r w:rsidRPr="00981822">
        <w:rPr>
          <w:rFonts w:ascii="Times New Roman" w:hAnsi="Times New Roman"/>
          <w:color w:val="000000"/>
          <w:sz w:val="28"/>
          <w:szCs w:val="28"/>
          <w:lang w:val="en-US" w:eastAsia="uk-UA"/>
        </w:rPr>
        <w:t xml:space="preserve">et al. Identification of miR-508-3p and miR-509-3p That Are Associated with Cell Invasion and Migration and Involved in the Apoptosis of Renal Cell Carcinoma. </w:t>
      </w:r>
      <w:r w:rsidRPr="00981822">
        <w:rPr>
          <w:rFonts w:ascii="Times New Roman" w:hAnsi="Times New Roman"/>
          <w:iCs/>
          <w:color w:val="000000"/>
          <w:sz w:val="28"/>
          <w:szCs w:val="28"/>
          <w:lang w:val="en-US" w:eastAsia="uk-UA"/>
        </w:rPr>
        <w:t>Biochem Biophys Res Commun</w:t>
      </w:r>
      <w:r w:rsidRPr="00981822">
        <w:rPr>
          <w:rFonts w:ascii="Times New Roman" w:hAnsi="Times New Roman"/>
          <w:iCs/>
          <w:color w:val="000000"/>
          <w:sz w:val="28"/>
          <w:szCs w:val="28"/>
          <w:lang w:eastAsia="uk-UA"/>
        </w:rPr>
        <w:t xml:space="preserve">. 2012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 xml:space="preserve"> 23;</w:t>
      </w:r>
      <w:r w:rsidRPr="00981822">
        <w:rPr>
          <w:rFonts w:ascii="Times New Roman" w:hAnsi="Times New Roman"/>
          <w:color w:val="000000"/>
          <w:sz w:val="28"/>
          <w:szCs w:val="28"/>
          <w:lang w:val="en-US" w:eastAsia="uk-UA"/>
        </w:rPr>
        <w:t>419</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4):621–6. doi:10.1016/j.bbrc.2012.02.060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Zhang A, Liu Y, Shen Y, Xu Y, Li X. miR-21 Modulates Cell Apoptosis by Targeting Multiple Genes in Renal Cell Carcinoma. </w:t>
      </w:r>
      <w:r w:rsidRPr="00981822">
        <w:rPr>
          <w:rFonts w:ascii="Times New Roman" w:hAnsi="Times New Roman"/>
          <w:iCs/>
          <w:color w:val="000000"/>
          <w:sz w:val="28"/>
          <w:szCs w:val="28"/>
          <w:lang w:val="en-US" w:eastAsia="uk-UA"/>
        </w:rPr>
        <w:t>Urology</w:t>
      </w:r>
      <w:r w:rsidRPr="00981822">
        <w:rPr>
          <w:rFonts w:ascii="Times New Roman" w:hAnsi="Times New Roman"/>
          <w:iCs/>
          <w:color w:val="000000"/>
          <w:sz w:val="28"/>
          <w:szCs w:val="28"/>
          <w:lang w:eastAsia="uk-UA"/>
        </w:rPr>
        <w:t xml:space="preserve">. 2011 </w:t>
      </w:r>
      <w:r w:rsidRPr="00981822">
        <w:rPr>
          <w:rFonts w:ascii="Times New Roman" w:hAnsi="Times New Roman"/>
          <w:color w:val="000000"/>
          <w:sz w:val="28"/>
          <w:szCs w:val="28"/>
          <w:lang w:val="en-US" w:eastAsia="uk-UA"/>
        </w:rPr>
        <w:t>Aug</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2):474.e13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e19. doi:10.1016/j.urology.2011.03.030.</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Zhang C, Mo R, Yin B, Zhou L, Liu Y, Fan J. Tumor Suppressor microRNA-34a Inhibits Cell Proliferation by Targeting Notch1 in Renal Cell Carcinoma. </w:t>
      </w:r>
      <w:r w:rsidRPr="00981822">
        <w:rPr>
          <w:rFonts w:ascii="Times New Roman" w:hAnsi="Times New Roman"/>
          <w:iCs/>
          <w:color w:val="000000"/>
          <w:sz w:val="28"/>
          <w:szCs w:val="28"/>
          <w:lang w:val="en-US" w:eastAsia="uk-UA"/>
        </w:rPr>
        <w:t>Oncol Lett</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May</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5):1689–94. </w:t>
      </w:r>
    </w:p>
    <w:p w:rsidR="0061473E" w:rsidRPr="00981822" w:rsidRDefault="0061473E" w:rsidP="00DE6E24">
      <w:pPr>
        <w:pStyle w:val="ListParagraph"/>
        <w:numPr>
          <w:ilvl w:val="0"/>
          <w:numId w:val="9"/>
        </w:numPr>
        <w:spacing w:after="0" w:line="360" w:lineRule="auto"/>
        <w:jc w:val="both"/>
        <w:rPr>
          <w:rFonts w:ascii="Times New Roman" w:eastAsia="Times New Roman" w:hAnsi="Times New Roman"/>
          <w:sz w:val="28"/>
          <w:szCs w:val="28"/>
          <w:lang w:val="en-US" w:eastAsia="uk-UA"/>
        </w:rPr>
      </w:pPr>
      <w:r w:rsidRPr="00981822">
        <w:rPr>
          <w:rFonts w:ascii="Times New Roman" w:eastAsia="Times New Roman" w:hAnsi="Times New Roman"/>
          <w:sz w:val="28"/>
          <w:szCs w:val="28"/>
          <w:lang w:val="en-US" w:eastAsia="uk-UA"/>
        </w:rPr>
        <w:t>Zhang G-M, Luo L, Ding X-M, Dong D-H, Li B, Ma X-C, et al. MicroRNA-126 inhibits tumor cell invasion and metastasis by downregulating ROCK1 in renal cell carcinoma. Molecular Medicine Reports. 2016 Jun 1;13(6):5029–36.</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Zhang H, Wu Y, Xue W, Zuo P, Oesingmann N, Gan Q, et al. Arterial Spin Labelling MRI for Detecting Pseudocapsule Defects and Predicting Renal Capsule Invasion in Renal Cell Carcinoma. </w:t>
      </w:r>
      <w:r w:rsidRPr="00981822">
        <w:rPr>
          <w:rFonts w:ascii="Times New Roman" w:hAnsi="Times New Roman"/>
          <w:iCs/>
          <w:color w:val="000000"/>
          <w:sz w:val="28"/>
          <w:szCs w:val="28"/>
          <w:lang w:val="en-US" w:eastAsia="uk-UA"/>
        </w:rPr>
        <w:t>Clin Radiol</w:t>
      </w:r>
      <w:r w:rsidRPr="00981822">
        <w:rPr>
          <w:rFonts w:ascii="Times New Roman" w:hAnsi="Times New Roman"/>
          <w:iCs/>
          <w:color w:val="000000"/>
          <w:sz w:val="28"/>
          <w:szCs w:val="28"/>
          <w:lang w:eastAsia="uk-UA"/>
        </w:rPr>
        <w:t xml:space="preserve">. 2017 </w:t>
      </w:r>
      <w:r w:rsidRPr="00981822">
        <w:rPr>
          <w:rFonts w:ascii="Times New Roman" w:hAnsi="Times New Roman"/>
          <w:sz w:val="28"/>
          <w:szCs w:val="28"/>
        </w:rPr>
        <w:t>Nov;72(11):936–43</w:t>
      </w:r>
      <w:r w:rsidRPr="00981822">
        <w:rPr>
          <w:rFonts w:ascii="Times New Roman" w:hAnsi="Times New Roman"/>
          <w:color w:val="000000"/>
          <w:sz w:val="28"/>
          <w:szCs w:val="28"/>
          <w:lang w:val="en-US" w:eastAsia="uk-UA"/>
        </w:rPr>
        <w:t>. doi:10.1016/j.crad.2017.06.003.</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Zhang S, Hong Z, Li Q, Lei J, Huang H, Liu Q. Effect of MicroRNA-218 on the Viability, Apoptosis and Invasion of Renal Cell Carcinoma Cells under Hypoxia by Targeted Downregulation of CXCR7 Expression. </w:t>
      </w:r>
      <w:r w:rsidRPr="00981822">
        <w:rPr>
          <w:rFonts w:ascii="Times New Roman" w:hAnsi="Times New Roman"/>
          <w:iCs/>
          <w:color w:val="000000"/>
          <w:sz w:val="28"/>
          <w:szCs w:val="28"/>
          <w:lang w:val="en-US" w:eastAsia="uk-UA"/>
        </w:rPr>
        <w:t>Biomed Pharmacother</w:t>
      </w:r>
      <w:r w:rsidRPr="00981822">
        <w:rPr>
          <w:rFonts w:ascii="Times New Roman" w:hAnsi="Times New Roman"/>
          <w:iCs/>
          <w:color w:val="000000"/>
          <w:sz w:val="28"/>
          <w:szCs w:val="28"/>
          <w:lang w:eastAsia="uk-UA"/>
        </w:rPr>
        <w:t>.</w:t>
      </w:r>
      <w:r w:rsidRPr="00981822">
        <w:rPr>
          <w:lang w:val="en-US"/>
        </w:rPr>
        <w:t xml:space="preserve"> </w:t>
      </w:r>
      <w:r w:rsidRPr="00981822">
        <w:rPr>
          <w:rFonts w:ascii="Times New Roman" w:hAnsi="Times New Roman"/>
          <w:sz w:val="28"/>
          <w:szCs w:val="28"/>
          <w:lang w:val="en-US"/>
        </w:rPr>
        <w:t>2016 May;80:213</w:t>
      </w:r>
      <w:r w:rsidRPr="00981822">
        <w:rPr>
          <w:rFonts w:ascii="Times New Roman" w:hAnsi="Times New Roman"/>
          <w:sz w:val="28"/>
          <w:szCs w:val="28"/>
        </w:rPr>
        <w:t>–</w:t>
      </w:r>
      <w:r w:rsidRPr="00981822">
        <w:rPr>
          <w:rFonts w:ascii="Times New Roman" w:hAnsi="Times New Roman"/>
          <w:sz w:val="28"/>
          <w:szCs w:val="28"/>
          <w:lang w:val="en-US"/>
        </w:rPr>
        <w:t>9</w:t>
      </w:r>
      <w:r w:rsidRPr="00981822">
        <w:rPr>
          <w:rFonts w:ascii="Times New Roman" w:hAnsi="Times New Roman"/>
          <w:color w:val="000000"/>
          <w:sz w:val="28"/>
          <w:szCs w:val="28"/>
          <w:lang w:val="en-US" w:eastAsia="uk-UA"/>
        </w:rPr>
        <w:t>.</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Zhang Y, Kapur P, Yuan Q, Xi Y, Carvo I, Signoretti S, et al. Tumor Vascularity in Renal Masses: Correlation of Arterial Spin-Labeled and Dynamic Contrast-Enhanced Magnetic Resonance Imaging Assessments. </w:t>
      </w:r>
      <w:r w:rsidRPr="00981822">
        <w:rPr>
          <w:rFonts w:ascii="Times New Roman" w:hAnsi="Times New Roman"/>
          <w:iCs/>
          <w:color w:val="000000"/>
          <w:sz w:val="28"/>
          <w:szCs w:val="28"/>
          <w:lang w:val="en-US" w:eastAsia="uk-UA"/>
        </w:rPr>
        <w:t>Clin Genitourin Cancer</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1):e25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36.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 xml:space="preserve">ZhangWB, Pan ZQ, Yang QS, Zheng XM. Tumor Suppressive miR-509-5p Contributes to Cell Migration, Proliferation and Antiapoptosis in Renal Cell Carcinoma. </w:t>
      </w:r>
      <w:r w:rsidRPr="00981822">
        <w:rPr>
          <w:rFonts w:ascii="Times New Roman" w:hAnsi="Times New Roman"/>
          <w:iCs/>
          <w:color w:val="000000"/>
          <w:sz w:val="28"/>
          <w:szCs w:val="28"/>
          <w:lang w:val="en-US" w:eastAsia="uk-UA"/>
        </w:rPr>
        <w:t>Ir J Med Sci</w:t>
      </w:r>
      <w:r w:rsidRPr="00981822">
        <w:rPr>
          <w:rFonts w:ascii="Times New Roman" w:hAnsi="Times New Roman"/>
          <w:color w:val="000000"/>
          <w:sz w:val="28"/>
          <w:szCs w:val="28"/>
          <w:lang w:val="en-US" w:eastAsia="uk-UA"/>
        </w:rPr>
        <w:t xml:space="preserve"> </w:t>
      </w:r>
      <w:r w:rsidRPr="00981822">
        <w:rPr>
          <w:rFonts w:ascii="Times New Roman" w:hAnsi="Times New Roman"/>
          <w:sz w:val="28"/>
          <w:szCs w:val="28"/>
          <w:lang w:val="en-US"/>
        </w:rPr>
        <w:t>2013 Dec;182(4):621</w:t>
      </w:r>
      <w:r w:rsidRPr="00981822">
        <w:rPr>
          <w:rFonts w:ascii="Times New Roman" w:hAnsi="Times New Roman"/>
          <w:sz w:val="28"/>
          <w:szCs w:val="28"/>
        </w:rPr>
        <w:t>–</w:t>
      </w:r>
      <w:r w:rsidRPr="00981822">
        <w:rPr>
          <w:rFonts w:ascii="Times New Roman" w:hAnsi="Times New Roman"/>
          <w:sz w:val="28"/>
          <w:szCs w:val="28"/>
          <w:lang w:val="en-US"/>
        </w:rPr>
        <w:t>7</w:t>
      </w:r>
      <w:r w:rsidRPr="00981822">
        <w:rPr>
          <w:rFonts w:ascii="Times New Roman" w:hAnsi="Times New Roman"/>
          <w:color w:val="000000"/>
          <w:sz w:val="28"/>
          <w:szCs w:val="28"/>
          <w:lang w:val="en-US" w:eastAsia="uk-UA"/>
        </w:rPr>
        <w:t xml:space="preserve">. </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lastRenderedPageBreak/>
        <w:t xml:space="preserve">Zhao A, Li G, Péoc’h M, Genin C, Gigante M. Serum miR-210 as a Novel Biomarker for Molecular Diagnosis of Clear Cell Renal Cell Carcinoma. </w:t>
      </w:r>
      <w:r w:rsidRPr="00981822">
        <w:rPr>
          <w:rFonts w:ascii="Times New Roman" w:hAnsi="Times New Roman"/>
          <w:iCs/>
          <w:color w:val="000000"/>
          <w:sz w:val="28"/>
          <w:szCs w:val="28"/>
          <w:lang w:val="en-US" w:eastAsia="uk-UA"/>
        </w:rPr>
        <w:t>Exp Mol Pathol</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Feb</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94</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1):115–20.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pl-PL" w:eastAsia="uk-UA"/>
        </w:rPr>
        <w:t>Zhao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Lei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T</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Xu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C</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Li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H</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Ma</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W</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Yang Y</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pl-PL" w:eastAsia="uk-UA"/>
        </w:rPr>
        <w:t>et al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MicroRNA-187, down-Regulated in Clear Cell Renal Cell Carcinoma and Associated with Lower Survival, Inhibits Cell Growth and Migration Though Targeting B7-H3. </w:t>
      </w:r>
      <w:r w:rsidRPr="00981822">
        <w:rPr>
          <w:rFonts w:ascii="Times New Roman" w:hAnsi="Times New Roman"/>
          <w:iCs/>
          <w:color w:val="000000"/>
          <w:sz w:val="28"/>
          <w:szCs w:val="28"/>
          <w:lang w:val="en-US" w:eastAsia="uk-UA"/>
        </w:rPr>
        <w:t>Biochem Biophys Res Commun</w:t>
      </w:r>
      <w:r w:rsidRPr="00981822">
        <w:rPr>
          <w:rFonts w:ascii="Times New Roman" w:hAnsi="Times New Roman"/>
          <w:iCs/>
          <w:color w:val="000000"/>
          <w:sz w:val="28"/>
          <w:szCs w:val="28"/>
          <w:lang w:eastAsia="uk-UA"/>
        </w:rPr>
        <w:t xml:space="preserve">. 2013 </w:t>
      </w:r>
      <w:r w:rsidRPr="00981822">
        <w:rPr>
          <w:rFonts w:ascii="Times New Roman" w:hAnsi="Times New Roman"/>
          <w:color w:val="000000"/>
          <w:sz w:val="28"/>
          <w:szCs w:val="28"/>
          <w:lang w:val="en-US" w:eastAsia="uk-UA"/>
        </w:rPr>
        <w:t>Aug 23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438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2):439–44. </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 xml:space="preserve">Zhao JJ, Chen PJ, Duan RQ, Li KJ, Wang YZ, Li Y. Up-Regulation of miR-630 in Clear Cell Renal Cell Carcinoma Is Associated with Lower Overall Survival. </w:t>
      </w:r>
      <w:r w:rsidRPr="00981822">
        <w:rPr>
          <w:rFonts w:ascii="Times New Roman" w:hAnsi="Times New Roman"/>
          <w:iCs/>
          <w:color w:val="000000"/>
          <w:sz w:val="28"/>
          <w:szCs w:val="28"/>
          <w:lang w:val="en-US" w:eastAsia="uk-UA"/>
        </w:rPr>
        <w:t>Int J Clin Exp Pathol</w:t>
      </w:r>
      <w:r w:rsidRPr="00981822">
        <w:rPr>
          <w:rFonts w:ascii="Times New Roman" w:hAnsi="Times New Roman"/>
          <w:iCs/>
          <w:color w:val="000000"/>
          <w:sz w:val="28"/>
          <w:szCs w:val="28"/>
          <w:lang w:eastAsia="uk-UA"/>
        </w:rPr>
        <w:t>. 2014;</w:t>
      </w:r>
      <w:r w:rsidRPr="00981822">
        <w:rPr>
          <w:rFonts w:ascii="Times New Roman" w:hAnsi="Times New Roman"/>
          <w:color w:val="000000"/>
          <w:sz w:val="28"/>
          <w:szCs w:val="28"/>
          <w:lang w:val="en-US" w:eastAsia="uk-UA"/>
        </w:rPr>
        <w:t>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6):3318–23.</w:t>
      </w:r>
    </w:p>
    <w:p w:rsidR="0061473E" w:rsidRPr="00981822" w:rsidRDefault="0061473E" w:rsidP="00DE6E24">
      <w:pPr>
        <w:pStyle w:val="NoSpacing"/>
        <w:numPr>
          <w:ilvl w:val="0"/>
          <w:numId w:val="9"/>
        </w:numPr>
        <w:spacing w:line="360" w:lineRule="auto"/>
        <w:jc w:val="both"/>
        <w:rPr>
          <w:rFonts w:ascii="Times New Roman" w:hAnsi="Times New Roman"/>
          <w:color w:val="000000"/>
          <w:sz w:val="28"/>
          <w:szCs w:val="28"/>
          <w:lang w:eastAsia="uk-UA"/>
        </w:rPr>
      </w:pPr>
      <w:r w:rsidRPr="00981822">
        <w:rPr>
          <w:rFonts w:ascii="Times New Roman" w:hAnsi="Times New Roman"/>
          <w:color w:val="000000"/>
          <w:sz w:val="28"/>
          <w:szCs w:val="28"/>
          <w:lang w:val="en-US" w:eastAsia="uk-UA"/>
        </w:rPr>
        <w:t>Zhao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Zhao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Z</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Du X</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Down-Regulation of miR-497 Is Associated with Poor Prognosis in Renal Cancer. </w:t>
      </w:r>
      <w:r w:rsidRPr="00981822">
        <w:rPr>
          <w:rFonts w:ascii="Times New Roman" w:hAnsi="Times New Roman"/>
          <w:iCs/>
          <w:color w:val="000000"/>
          <w:sz w:val="28"/>
          <w:szCs w:val="28"/>
          <w:lang w:val="en-US" w:eastAsia="uk-UA"/>
        </w:rPr>
        <w:t>Int J Clin Exp Pathol</w:t>
      </w:r>
      <w:r w:rsidRPr="00981822">
        <w:rPr>
          <w:rFonts w:ascii="Times New Roman" w:hAnsi="Times New Roman"/>
          <w:iCs/>
          <w:color w:val="000000"/>
          <w:sz w:val="28"/>
          <w:szCs w:val="28"/>
          <w:lang w:eastAsia="uk-UA"/>
        </w:rPr>
        <w:t>. 2015</w:t>
      </w:r>
      <w:r w:rsidRPr="00981822">
        <w:t xml:space="preserve"> </w:t>
      </w:r>
      <w:r w:rsidRPr="00981822">
        <w:rPr>
          <w:rFonts w:ascii="Times New Roman" w:hAnsi="Times New Roman"/>
          <w:sz w:val="28"/>
          <w:szCs w:val="28"/>
        </w:rPr>
        <w:t xml:space="preserve">Jan </w:t>
      </w:r>
      <w:r w:rsidRPr="00981822">
        <w:rPr>
          <w:rStyle w:val="highlight"/>
          <w:rFonts w:ascii="Times New Roman" w:hAnsi="Times New Roman"/>
          <w:sz w:val="28"/>
          <w:szCs w:val="28"/>
        </w:rPr>
        <w:t>1</w:t>
      </w:r>
      <w:r w:rsidRPr="00981822">
        <w:rPr>
          <w:rFonts w:ascii="Times New Roman" w:hAnsi="Times New Roman"/>
          <w:iCs/>
          <w:color w:val="000000"/>
          <w:sz w:val="28"/>
          <w:szCs w:val="28"/>
          <w:lang w:eastAsia="uk-UA"/>
        </w:rPr>
        <w:t>;</w:t>
      </w:r>
      <w:r w:rsidRPr="00981822">
        <w:rPr>
          <w:rFonts w:ascii="Times New Roman" w:hAnsi="Times New Roman"/>
          <w:color w:val="000000"/>
          <w:sz w:val="28"/>
          <w:szCs w:val="28"/>
          <w:lang w:val="en-US" w:eastAsia="uk-UA"/>
        </w:rPr>
        <w:t>8</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1):758–</w:t>
      </w:r>
      <w:r w:rsidRPr="00981822">
        <w:rPr>
          <w:rFonts w:ascii="Times New Roman" w:hAnsi="Times New Roman"/>
          <w:color w:val="000000"/>
          <w:sz w:val="28"/>
          <w:szCs w:val="28"/>
          <w:lang w:eastAsia="uk-UA"/>
        </w:rPr>
        <w:t>64.</w:t>
      </w:r>
    </w:p>
    <w:p w:rsidR="0061473E" w:rsidRPr="00981822" w:rsidRDefault="0061473E" w:rsidP="00DE6E24">
      <w:pPr>
        <w:pStyle w:val="ListParagraph"/>
        <w:numPr>
          <w:ilvl w:val="0"/>
          <w:numId w:val="9"/>
        </w:numPr>
        <w:spacing w:after="0" w:line="360" w:lineRule="auto"/>
        <w:jc w:val="both"/>
        <w:rPr>
          <w:rFonts w:ascii="Times New Roman" w:hAnsi="Times New Roman"/>
          <w:color w:val="000000"/>
          <w:sz w:val="28"/>
          <w:szCs w:val="28"/>
          <w:lang w:val="en-US" w:eastAsia="uk-UA"/>
        </w:rPr>
      </w:pPr>
      <w:r w:rsidRPr="00981822">
        <w:rPr>
          <w:rFonts w:ascii="Times New Roman" w:hAnsi="Times New Roman"/>
          <w:color w:val="000000"/>
          <w:sz w:val="28"/>
          <w:szCs w:val="28"/>
          <w:lang w:val="en-US" w:eastAsia="uk-UA"/>
        </w:rPr>
        <w:t>Zhou</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W</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Bi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X</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Gao</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G</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Sun L</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miRNA-133b and miRNA-135a Induce Apoptosis via the JAK2/STAT3 Signaling Pathway in Human Renal Carcinoma Cells. </w:t>
      </w:r>
      <w:r w:rsidRPr="00981822">
        <w:rPr>
          <w:rFonts w:ascii="Times New Roman" w:hAnsi="Times New Roman"/>
          <w:iCs/>
          <w:color w:val="000000"/>
          <w:sz w:val="28"/>
          <w:szCs w:val="28"/>
          <w:lang w:val="en-US" w:eastAsia="uk-UA"/>
        </w:rPr>
        <w:t>Biomed</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Pharmacother</w:t>
      </w:r>
      <w:r w:rsidRPr="00981822">
        <w:rPr>
          <w:rFonts w:ascii="Times New Roman" w:hAnsi="Times New Roman"/>
          <w:iCs/>
          <w:color w:val="000000"/>
          <w:sz w:val="28"/>
          <w:szCs w:val="28"/>
          <w:lang w:eastAsia="uk-UA"/>
        </w:rPr>
        <w:t xml:space="preserve">. 2016 </w:t>
      </w:r>
      <w:r w:rsidRPr="00981822">
        <w:rPr>
          <w:rFonts w:ascii="Times New Roman" w:hAnsi="Times New Roman"/>
          <w:color w:val="000000"/>
          <w:sz w:val="28"/>
          <w:szCs w:val="28"/>
          <w:lang w:val="en-US" w:eastAsia="uk-UA"/>
        </w:rPr>
        <w:t>Dec</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84:722–9.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Zhu YH, Wang X, Zhang J, Chen YH, Kong W, Huang YR. Low Enhancement on Multiphase Contrast-Enhanced CT Images: An Independent Predictor of the Presence of High Tumor Grade of Clear Cell Renal Cell Carcinoma. </w:t>
      </w:r>
      <w:r w:rsidRPr="00981822">
        <w:rPr>
          <w:rFonts w:ascii="Times New Roman" w:hAnsi="Times New Roman"/>
          <w:iCs/>
          <w:color w:val="000000"/>
          <w:sz w:val="28"/>
          <w:szCs w:val="28"/>
          <w:lang w:val="en-US" w:eastAsia="uk-UA"/>
        </w:rPr>
        <w:t>AJR. Am J Roentgenol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Sep</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203</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3):W295</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300. doi:10.2214/AJR.13.12297.</w:t>
      </w:r>
    </w:p>
    <w:p w:rsidR="0061473E" w:rsidRPr="00981822" w:rsidRDefault="0061473E" w:rsidP="00DE6E24">
      <w:pPr>
        <w:pStyle w:val="ListParagraph"/>
        <w:numPr>
          <w:ilvl w:val="0"/>
          <w:numId w:val="9"/>
        </w:numPr>
        <w:autoSpaceDE w:val="0"/>
        <w:autoSpaceDN w:val="0"/>
        <w:adjustRightInd w:val="0"/>
        <w:spacing w:after="0"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 xml:space="preserve">Znaor A, Lortet-Tieulent J, Laversanne M, Jemal A, Bray F. International Variations and Trends in Renal Cell Carcinoma Incidence and Mortality. </w:t>
      </w:r>
      <w:r w:rsidRPr="00981822">
        <w:rPr>
          <w:rFonts w:ascii="Times New Roman" w:hAnsi="Times New Roman"/>
          <w:iCs/>
          <w:color w:val="000000"/>
          <w:sz w:val="28"/>
          <w:szCs w:val="28"/>
          <w:lang w:val="en-US" w:eastAsia="uk-UA"/>
        </w:rPr>
        <w:t>Eur Urol</w:t>
      </w:r>
      <w:r w:rsidRPr="00981822">
        <w:rPr>
          <w:rFonts w:ascii="Times New Roman" w:hAnsi="Times New Roman"/>
          <w:iCs/>
          <w:color w:val="000000"/>
          <w:sz w:val="28"/>
          <w:szCs w:val="28"/>
          <w:lang w:eastAsia="uk-UA"/>
        </w:rPr>
        <w:t xml:space="preserve">. 2015 </w:t>
      </w:r>
      <w:r w:rsidRPr="00981822">
        <w:rPr>
          <w:rFonts w:ascii="Times New Roman" w:hAnsi="Times New Roman"/>
          <w:color w:val="000000"/>
          <w:sz w:val="28"/>
          <w:szCs w:val="28"/>
          <w:lang w:val="en-US" w:eastAsia="uk-UA"/>
        </w:rPr>
        <w:t>Mar</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67</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 xml:space="preserve">3):519–30. </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lang w:val="en-US"/>
        </w:rPr>
      </w:pPr>
      <w:r w:rsidRPr="00981822">
        <w:rPr>
          <w:rFonts w:ascii="Times New Roman" w:hAnsi="Times New Roman"/>
          <w:color w:val="000000"/>
          <w:sz w:val="28"/>
          <w:szCs w:val="28"/>
          <w:lang w:val="en-US" w:eastAsia="uk-UA"/>
        </w:rPr>
        <w:t>Zokalj</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I</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Marotti M</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Kolari</w:t>
      </w:r>
      <w:r w:rsidRPr="00981822">
        <w:rPr>
          <w:rFonts w:ascii="Times New Roman" w:hAnsi="Times New Roman"/>
          <w:color w:val="000000"/>
          <w:sz w:val="28"/>
          <w:szCs w:val="28"/>
          <w:lang w:eastAsia="uk-UA"/>
        </w:rPr>
        <w:t>ć</w:t>
      </w:r>
      <w:r w:rsidRPr="00981822">
        <w:rPr>
          <w:rFonts w:ascii="Times New Roman" w:hAnsi="Times New Roman"/>
          <w:color w:val="000000"/>
          <w:sz w:val="28"/>
          <w:szCs w:val="28"/>
          <w:lang w:val="en-US" w:eastAsia="uk-UA"/>
        </w:rPr>
        <w:t xml:space="preserve"> B</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 xml:space="preserve">Pretreatment Differentiation of Renal Cell Carcinoma Subtypes by CT: The Influence of Different Tumor Enhancement Measurement Approaches. </w:t>
      </w:r>
      <w:r w:rsidRPr="00981822">
        <w:rPr>
          <w:rFonts w:ascii="Times New Roman" w:hAnsi="Times New Roman"/>
          <w:iCs/>
          <w:color w:val="000000"/>
          <w:sz w:val="28"/>
          <w:szCs w:val="28"/>
          <w:lang w:val="en-US" w:eastAsia="uk-UA"/>
        </w:rPr>
        <w:t>Int Urol Nephrol</w:t>
      </w:r>
      <w:r w:rsidRPr="00981822">
        <w:rPr>
          <w:rFonts w:ascii="Times New Roman" w:hAnsi="Times New Roman"/>
          <w:iCs/>
          <w:color w:val="000000"/>
          <w:sz w:val="28"/>
          <w:szCs w:val="28"/>
          <w:lang w:eastAsia="uk-UA"/>
        </w:rPr>
        <w:t xml:space="preserve">. 2014 </w:t>
      </w:r>
      <w:r w:rsidRPr="00981822">
        <w:rPr>
          <w:rFonts w:ascii="Times New Roman" w:hAnsi="Times New Roman"/>
          <w:color w:val="000000"/>
          <w:sz w:val="28"/>
          <w:szCs w:val="28"/>
          <w:lang w:val="en-US" w:eastAsia="uk-UA"/>
        </w:rPr>
        <w:t>Jun</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46</w:t>
      </w:r>
      <w:r w:rsidRPr="00981822">
        <w:rPr>
          <w:rFonts w:ascii="Times New Roman" w:hAnsi="Times New Roman"/>
          <w:color w:val="000000"/>
          <w:sz w:val="28"/>
          <w:szCs w:val="28"/>
          <w:lang w:eastAsia="uk-UA"/>
        </w:rPr>
        <w:t>(</w:t>
      </w:r>
      <w:r w:rsidRPr="00981822">
        <w:rPr>
          <w:rFonts w:ascii="Times New Roman" w:hAnsi="Times New Roman"/>
          <w:color w:val="000000"/>
          <w:sz w:val="28"/>
          <w:szCs w:val="28"/>
          <w:lang w:val="en-US" w:eastAsia="uk-UA"/>
        </w:rPr>
        <w:t>6):1089–1100. doi:10.1007/s11255-013-0631-8.</w:t>
      </w:r>
    </w:p>
    <w:p w:rsidR="0061473E" w:rsidRPr="00981822" w:rsidRDefault="0061473E" w:rsidP="00DE6E24">
      <w:pPr>
        <w:pStyle w:val="ListParagraph"/>
        <w:numPr>
          <w:ilvl w:val="0"/>
          <w:numId w:val="9"/>
        </w:numPr>
        <w:spacing w:line="360" w:lineRule="auto"/>
        <w:jc w:val="both"/>
        <w:rPr>
          <w:rFonts w:ascii="Times New Roman" w:hAnsi="Times New Roman"/>
          <w:color w:val="000000"/>
          <w:sz w:val="28"/>
          <w:szCs w:val="28"/>
        </w:rPr>
      </w:pPr>
      <w:r w:rsidRPr="00981822">
        <w:rPr>
          <w:rFonts w:ascii="Times New Roman" w:hAnsi="Times New Roman"/>
          <w:color w:val="000000"/>
          <w:sz w:val="28"/>
          <w:szCs w:val="28"/>
          <w:lang w:val="en-US" w:eastAsia="uk-UA"/>
        </w:rPr>
        <w:t xml:space="preserve">Zurita AJ, Gagnon RC, Liu Y, Tran HT, Figlin RA, Hutson TE, </w:t>
      </w:r>
      <w:r w:rsidRPr="00981822">
        <w:rPr>
          <w:rFonts w:ascii="Times New Roman" w:hAnsi="Times New Roman"/>
          <w:color w:val="000000"/>
          <w:sz w:val="28"/>
          <w:szCs w:val="28"/>
          <w:lang w:val="en-US"/>
        </w:rPr>
        <w:t xml:space="preserve">et al. </w:t>
      </w:r>
      <w:r w:rsidRPr="00981822">
        <w:rPr>
          <w:rFonts w:ascii="Times New Roman" w:hAnsi="Times New Roman"/>
          <w:color w:val="000000"/>
          <w:sz w:val="28"/>
          <w:szCs w:val="28"/>
          <w:lang w:val="en-US" w:eastAsia="uk-UA"/>
        </w:rPr>
        <w:t xml:space="preserve">Integrating Cytokines and Angiogenic Factors and Tumour Bulk with Selected </w:t>
      </w:r>
      <w:r w:rsidRPr="00981822">
        <w:rPr>
          <w:rFonts w:ascii="Times New Roman" w:hAnsi="Times New Roman"/>
          <w:color w:val="000000"/>
          <w:sz w:val="28"/>
          <w:szCs w:val="28"/>
          <w:lang w:val="en-US" w:eastAsia="uk-UA"/>
        </w:rPr>
        <w:lastRenderedPageBreak/>
        <w:t xml:space="preserve">Clinical Criteria Improves Determination of Prognosis in Advanced Renal Cell Carcinoma. </w:t>
      </w:r>
      <w:r w:rsidRPr="00981822">
        <w:rPr>
          <w:rFonts w:ascii="Times New Roman" w:hAnsi="Times New Roman"/>
          <w:iCs/>
          <w:color w:val="000000"/>
          <w:sz w:val="28"/>
          <w:szCs w:val="28"/>
          <w:lang w:val="en-US" w:eastAsia="uk-UA"/>
        </w:rPr>
        <w:t>Br</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J</w:t>
      </w:r>
      <w:r w:rsidRPr="00981822">
        <w:rPr>
          <w:rFonts w:ascii="Times New Roman" w:hAnsi="Times New Roman"/>
          <w:iCs/>
          <w:color w:val="000000"/>
          <w:sz w:val="28"/>
          <w:szCs w:val="28"/>
          <w:lang w:eastAsia="uk-UA"/>
        </w:rPr>
        <w:t xml:space="preserve"> </w:t>
      </w:r>
      <w:r w:rsidRPr="00981822">
        <w:rPr>
          <w:rFonts w:ascii="Times New Roman" w:hAnsi="Times New Roman"/>
          <w:iCs/>
          <w:color w:val="000000"/>
          <w:sz w:val="28"/>
          <w:szCs w:val="28"/>
          <w:lang w:val="en-US" w:eastAsia="uk-UA"/>
        </w:rPr>
        <w:t>Cancer</w:t>
      </w:r>
      <w:r w:rsidRPr="00981822">
        <w:rPr>
          <w:rFonts w:ascii="Times New Roman" w:hAnsi="Times New Roman"/>
          <w:color w:val="000000"/>
          <w:sz w:val="28"/>
          <w:szCs w:val="28"/>
          <w:lang w:eastAsia="uk-UA"/>
        </w:rPr>
        <w:t xml:space="preserve">. 2017 </w:t>
      </w:r>
      <w:r w:rsidRPr="00981822">
        <w:rPr>
          <w:rFonts w:ascii="Times New Roman" w:hAnsi="Times New Roman"/>
          <w:sz w:val="28"/>
          <w:szCs w:val="28"/>
        </w:rPr>
        <w:t>Aug 8;117(4):478–84</w:t>
      </w:r>
      <w:r w:rsidRPr="00981822">
        <w:rPr>
          <w:rFonts w:ascii="Times New Roman" w:hAnsi="Times New Roman"/>
          <w:color w:val="000000"/>
          <w:sz w:val="28"/>
          <w:szCs w:val="28"/>
          <w:lang w:eastAsia="uk-UA"/>
        </w:rPr>
        <w:t xml:space="preserve">. </w:t>
      </w:r>
      <w:r w:rsidRPr="00981822">
        <w:rPr>
          <w:rFonts w:ascii="Times New Roman" w:hAnsi="Times New Roman"/>
          <w:color w:val="000000"/>
          <w:sz w:val="28"/>
          <w:szCs w:val="28"/>
          <w:lang w:val="en-US" w:eastAsia="uk-UA"/>
        </w:rPr>
        <w:t>doi</w:t>
      </w:r>
      <w:r w:rsidRPr="00981822">
        <w:rPr>
          <w:rFonts w:ascii="Times New Roman" w:hAnsi="Times New Roman"/>
          <w:color w:val="000000"/>
          <w:sz w:val="28"/>
          <w:szCs w:val="28"/>
          <w:lang w:eastAsia="uk-UA"/>
        </w:rPr>
        <w:t>:10.1038/</w:t>
      </w:r>
      <w:r w:rsidRPr="00981822">
        <w:rPr>
          <w:rFonts w:ascii="Times New Roman" w:hAnsi="Times New Roman"/>
          <w:color w:val="000000"/>
          <w:sz w:val="28"/>
          <w:szCs w:val="28"/>
          <w:lang w:val="en-US" w:eastAsia="uk-UA"/>
        </w:rPr>
        <w:t>bjc</w:t>
      </w:r>
      <w:r w:rsidRPr="00981822">
        <w:rPr>
          <w:rFonts w:ascii="Times New Roman" w:hAnsi="Times New Roman"/>
          <w:color w:val="000000"/>
          <w:sz w:val="28"/>
          <w:szCs w:val="28"/>
          <w:lang w:eastAsia="uk-UA"/>
        </w:rPr>
        <w:t>.2017.206.</w:t>
      </w:r>
    </w:p>
    <w:p w:rsidR="0061473E" w:rsidRDefault="0061473E" w:rsidP="00001C78">
      <w:pPr>
        <w:spacing w:line="360" w:lineRule="auto"/>
        <w:ind w:firstLine="708"/>
        <w:jc w:val="both"/>
        <w:rPr>
          <w:rFonts w:ascii="Times New Roman" w:hAnsi="Times New Roman" w:cs="Times New Roman"/>
          <w:sz w:val="28"/>
          <w:szCs w:val="28"/>
        </w:rPr>
      </w:pPr>
    </w:p>
    <w:p w:rsidR="0061473E" w:rsidRDefault="0061473E" w:rsidP="00001C78">
      <w:pPr>
        <w:spacing w:line="360" w:lineRule="auto"/>
        <w:ind w:firstLine="708"/>
        <w:jc w:val="both"/>
        <w:rPr>
          <w:rFonts w:ascii="Times New Roman" w:hAnsi="Times New Roman" w:cs="Times New Roman"/>
          <w:sz w:val="28"/>
          <w:szCs w:val="28"/>
        </w:rPr>
      </w:pPr>
    </w:p>
    <w:p w:rsidR="0061473E" w:rsidRDefault="0061473E" w:rsidP="00001C78">
      <w:pPr>
        <w:spacing w:line="360" w:lineRule="auto"/>
        <w:ind w:firstLine="708"/>
        <w:jc w:val="both"/>
        <w:rPr>
          <w:rFonts w:ascii="Times New Roman" w:hAnsi="Times New Roman" w:cs="Times New Roman"/>
          <w:sz w:val="28"/>
          <w:szCs w:val="28"/>
        </w:rPr>
      </w:pPr>
    </w:p>
    <w:p w:rsidR="0061473E" w:rsidRDefault="0061473E"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Default="00AF30BA" w:rsidP="00001C78">
      <w:pPr>
        <w:spacing w:line="360" w:lineRule="auto"/>
        <w:ind w:firstLine="708"/>
        <w:jc w:val="both"/>
        <w:rPr>
          <w:rFonts w:ascii="Times New Roman" w:hAnsi="Times New Roman" w:cs="Times New Roman"/>
          <w:sz w:val="28"/>
          <w:szCs w:val="28"/>
        </w:rPr>
      </w:pPr>
    </w:p>
    <w:p w:rsidR="00AF30BA" w:rsidRPr="003B100D" w:rsidRDefault="00AF30BA" w:rsidP="00AF30BA">
      <w:pPr>
        <w:spacing w:line="360" w:lineRule="auto"/>
        <w:jc w:val="center"/>
        <w:rPr>
          <w:rFonts w:ascii="Times New Roman" w:eastAsia="Times New Roman" w:hAnsi="Times New Roman"/>
          <w:b/>
          <w:sz w:val="28"/>
          <w:szCs w:val="28"/>
          <w:lang w:eastAsia="ru-RU"/>
        </w:rPr>
      </w:pPr>
      <w:r w:rsidRPr="003B100D">
        <w:rPr>
          <w:rFonts w:ascii="Times New Roman" w:eastAsia="Times New Roman" w:hAnsi="Times New Roman"/>
          <w:b/>
          <w:sz w:val="28"/>
          <w:szCs w:val="28"/>
          <w:lang w:eastAsia="ru-RU"/>
        </w:rPr>
        <w:lastRenderedPageBreak/>
        <w:t>ДОДАТКИ</w:t>
      </w:r>
    </w:p>
    <w:p w:rsidR="001C129B" w:rsidRDefault="001C129B" w:rsidP="001C129B">
      <w:pPr>
        <w:spacing w:after="0" w:line="360" w:lineRule="auto"/>
        <w:jc w:val="center"/>
        <w:rPr>
          <w:rFonts w:ascii="Times New Roman" w:eastAsia="Times New Roman" w:hAnsi="Times New Roman"/>
          <w:b/>
          <w:caps/>
          <w:sz w:val="28"/>
          <w:szCs w:val="28"/>
          <w:lang w:eastAsia="ru-RU"/>
        </w:rPr>
      </w:pPr>
    </w:p>
    <w:p w:rsidR="00AF30BA" w:rsidRPr="001C129B" w:rsidRDefault="001C129B" w:rsidP="001C129B">
      <w:pPr>
        <w:spacing w:after="0" w:line="360" w:lineRule="auto"/>
        <w:jc w:val="center"/>
        <w:rPr>
          <w:rFonts w:ascii="Times New Roman" w:eastAsia="Times New Roman" w:hAnsi="Times New Roman"/>
          <w:b/>
          <w:caps/>
          <w:sz w:val="28"/>
          <w:szCs w:val="28"/>
          <w:lang w:eastAsia="ru-RU"/>
        </w:rPr>
      </w:pPr>
      <w:r>
        <w:rPr>
          <w:rFonts w:ascii="Times New Roman" w:eastAsia="Times New Roman" w:hAnsi="Times New Roman"/>
          <w:b/>
          <w:caps/>
          <w:sz w:val="28"/>
          <w:szCs w:val="28"/>
          <w:lang w:eastAsia="ru-RU"/>
        </w:rPr>
        <w:t>Додаток А</w:t>
      </w:r>
    </w:p>
    <w:p w:rsidR="007B5A1D" w:rsidRPr="00372DBA" w:rsidRDefault="007B5A1D" w:rsidP="007B5A1D">
      <w:pPr>
        <w:spacing w:line="360" w:lineRule="auto"/>
        <w:jc w:val="center"/>
        <w:rPr>
          <w:rFonts w:ascii="Times New Roman" w:eastAsia="Times New Roman" w:hAnsi="Times New Roman" w:cs="Times New Roman"/>
          <w:b/>
          <w:bCs/>
          <w:sz w:val="28"/>
          <w:szCs w:val="28"/>
          <w:lang w:eastAsia="ru-RU"/>
        </w:rPr>
      </w:pPr>
      <w:r w:rsidRPr="00372DBA">
        <w:rPr>
          <w:rFonts w:ascii="Times New Roman" w:eastAsia="Times New Roman" w:hAnsi="Times New Roman" w:cs="Times New Roman"/>
          <w:b/>
          <w:bCs/>
          <w:sz w:val="28"/>
          <w:szCs w:val="28"/>
          <w:lang w:eastAsia="ru-RU"/>
        </w:rPr>
        <w:t>СПИСОК ПРАЦЬ, ОПУБЛІКОВАНИХ ЗА ТЕМОЮ ДИСЕРТАЦІЇ</w:t>
      </w:r>
    </w:p>
    <w:p w:rsidR="007B5A1D" w:rsidRPr="007B5A1D" w:rsidRDefault="007B5A1D" w:rsidP="007B5A1D">
      <w:pPr>
        <w:spacing w:line="360" w:lineRule="auto"/>
        <w:contextualSpacing/>
        <w:jc w:val="both"/>
        <w:rPr>
          <w:rFonts w:ascii="Times New Roman" w:hAnsi="Times New Roman" w:cs="Times New Roman"/>
          <w:sz w:val="28"/>
          <w:szCs w:val="28"/>
        </w:rPr>
      </w:pPr>
      <w:r w:rsidRPr="007B5A1D">
        <w:rPr>
          <w:rFonts w:ascii="Times New Roman" w:hAnsi="Times New Roman" w:cs="Times New Roman"/>
          <w:sz w:val="28"/>
          <w:szCs w:val="28"/>
        </w:rPr>
        <w:t>Наукові праці, в яких опубліковані основні наукові результати дисертації:</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Борис ЮБ, Комнацька ІМ, Дутка ІЮ, Шатинська-Мицик ІС. Значення дифузійно-зважених зображень магнітно-резонансної томографії у диференційній діагностиці злоякісних новоутворів нирок. </w:t>
      </w:r>
      <w:r w:rsidRPr="00372DBA">
        <w:rPr>
          <w:rFonts w:ascii="Times New Roman" w:hAnsi="Times New Roman" w:cs="Times New Roman"/>
          <w:color w:val="000000"/>
          <w:sz w:val="28"/>
          <w:szCs w:val="28"/>
        </w:rPr>
        <w:t>Експериментальна та клінічна фізіологія і біохімія. 2014 Вер 23;   67(3/1): 32-35</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Динаміка показників захворюваності та смертності на рак нирки в Україні сучасний стан проблеми. </w:t>
      </w:r>
      <w:r w:rsidRPr="00372DBA">
        <w:rPr>
          <w:rFonts w:ascii="Times New Roman" w:hAnsi="Times New Roman" w:cs="Times New Roman"/>
          <w:color w:val="000000"/>
          <w:sz w:val="28"/>
          <w:szCs w:val="28"/>
        </w:rPr>
        <w:t>Шпитальна Хірургія. Шпитальна Хірургія. 2015 Трав 14; 2: 77-82</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Борис ЮБ, Дутка ІЮ, Комнацька ІМ, Лозинський РМ, Шатинська-Мицик ІС. Застосування дифузійно-зважених зображень МРТ для діагностики світлоклітинного раку нирки різного </w:t>
      </w:r>
      <w:r>
        <w:rPr>
          <w:rFonts w:ascii="Times New Roman" w:hAnsi="Times New Roman" w:cs="Times New Roman"/>
          <w:sz w:val="28"/>
          <w:szCs w:val="28"/>
        </w:rPr>
        <w:t>ступеня</w:t>
      </w:r>
      <w:r w:rsidRPr="00372DBA">
        <w:rPr>
          <w:rFonts w:ascii="Times New Roman" w:hAnsi="Times New Roman" w:cs="Times New Roman"/>
          <w:sz w:val="28"/>
          <w:szCs w:val="28"/>
        </w:rPr>
        <w:t xml:space="preserve"> диференціації. </w:t>
      </w:r>
      <w:r w:rsidRPr="00372DBA">
        <w:rPr>
          <w:rFonts w:ascii="Times New Roman" w:hAnsi="Times New Roman" w:cs="Times New Roman"/>
          <w:color w:val="000000"/>
          <w:sz w:val="28"/>
          <w:szCs w:val="28"/>
        </w:rPr>
        <w:t>Урологія. 2014 Груд 12; 71(4): 23-29</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rPr>
        <w:t xml:space="preserve">. The role of the diffusion-weighted MRI in the differential diagnostics of the clear cell renal cell carcinoma of different Fuhrman grades. </w:t>
      </w:r>
      <w:r w:rsidRPr="00372DBA">
        <w:rPr>
          <w:rFonts w:ascii="Times New Roman" w:hAnsi="Times New Roman" w:cs="Times New Roman"/>
          <w:color w:val="000000"/>
          <w:sz w:val="28"/>
          <w:szCs w:val="28"/>
        </w:rPr>
        <w:t>Медицина транспорту України. 2015 Бер 01; 53(1): 9-14</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rPr>
        <w:t xml:space="preserve">. </w:t>
      </w:r>
      <w:r w:rsidRPr="00372DBA">
        <w:rPr>
          <w:rFonts w:ascii="Times New Roman" w:hAnsi="Times New Roman" w:cs="Times New Roman"/>
          <w:color w:val="000000"/>
          <w:sz w:val="28"/>
          <w:szCs w:val="28"/>
        </w:rPr>
        <w:t>The morbidity and mortality rates in patients with renal cell carcinoma in Ukraine. Експериментальна та клінічна фізіологія і біохімія. 2015 Сер 23; 71(3): 67-71</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 Дутка ІЮ, Борис ЮБ, Дац І</w:t>
      </w:r>
      <w:r>
        <w:rPr>
          <w:rFonts w:ascii="Times New Roman" w:hAnsi="Times New Roman" w:cs="Times New Roman"/>
          <w:sz w:val="28"/>
          <w:szCs w:val="28"/>
        </w:rPr>
        <w:t xml:space="preserve">В, Сало ВМ, Комнацька ІМ. </w:t>
      </w:r>
      <w:r w:rsidRPr="00372DBA">
        <w:rPr>
          <w:rFonts w:ascii="Times New Roman" w:hAnsi="Times New Roman" w:cs="Times New Roman"/>
          <w:sz w:val="28"/>
          <w:szCs w:val="28"/>
        </w:rPr>
        <w:t xml:space="preserve">Застосування  променевих біомаркерів МРТ для передбачення інтраопераційної крововтрати при виконанні радикальної нефректомії у </w:t>
      </w:r>
      <w:r w:rsidRPr="00372DBA">
        <w:rPr>
          <w:rFonts w:ascii="Times New Roman" w:hAnsi="Times New Roman" w:cs="Times New Roman"/>
          <w:sz w:val="28"/>
          <w:szCs w:val="28"/>
        </w:rPr>
        <w:lastRenderedPageBreak/>
        <w:t xml:space="preserve">хворих із нирково-клітинним раком після селективної емболізації. </w:t>
      </w:r>
      <w:r w:rsidRPr="00372DBA">
        <w:rPr>
          <w:rFonts w:ascii="Times New Roman" w:hAnsi="Times New Roman" w:cs="Times New Roman"/>
          <w:color w:val="000000"/>
          <w:sz w:val="28"/>
          <w:szCs w:val="28"/>
        </w:rPr>
        <w:t>Експериментальна та клінічна фізіологія і біохімія. 2016 Лют 10; 76(4): 53-59</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 Досенко ВЄ, Борис ЮБ, Дац ІВ, Ільчишин ОС, Чернова НВ</w:t>
      </w:r>
      <w:r>
        <w:rPr>
          <w:rFonts w:ascii="Times New Roman" w:hAnsi="Times New Roman" w:cs="Times New Roman"/>
          <w:sz w:val="28"/>
          <w:szCs w:val="28"/>
        </w:rPr>
        <w:t>.</w:t>
      </w:r>
      <w:r w:rsidRPr="00372DBA">
        <w:rPr>
          <w:rFonts w:ascii="Times New Roman" w:hAnsi="Times New Roman" w:cs="Times New Roman"/>
          <w:sz w:val="28"/>
          <w:szCs w:val="28"/>
        </w:rPr>
        <w:t xml:space="preserve"> Можливість застосування мікроРНК-15а, визначеної у сечі, для діагностики нирково-клітинного раку. </w:t>
      </w:r>
      <w:r w:rsidRPr="00372DBA">
        <w:rPr>
          <w:rFonts w:ascii="Times New Roman" w:hAnsi="Times New Roman" w:cs="Times New Roman"/>
          <w:color w:val="000000"/>
          <w:sz w:val="28"/>
          <w:szCs w:val="28"/>
        </w:rPr>
        <w:t>Експериментальна та клінічна фізіологія і біохімія. 2017 Лют 16; 77(1): 49-53</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Використання дифузійно-зваженої МРТ у діагностиці раку нирки. </w:t>
      </w:r>
      <w:r w:rsidRPr="00372DBA">
        <w:rPr>
          <w:rFonts w:ascii="Times New Roman" w:hAnsi="Times New Roman" w:cs="Times New Roman"/>
          <w:color w:val="000000"/>
          <w:sz w:val="28"/>
          <w:szCs w:val="28"/>
        </w:rPr>
        <w:t>Шпитальна Хірургія. 2015 Бер 23; 1: 82-85</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Досенко ВЄ, Борис ЮБ, Іллюк ПО, Максимович ІР, Чернова НВ. Застосування експресії мікроРНК-15а визначеної в тканинах пухлини у якості прогностичного біомаркеру нирково-клітинного раку. </w:t>
      </w:r>
      <w:r w:rsidRPr="00372DBA">
        <w:rPr>
          <w:rFonts w:ascii="Times New Roman" w:hAnsi="Times New Roman" w:cs="Times New Roman"/>
          <w:bCs/>
          <w:sz w:val="28"/>
          <w:szCs w:val="28"/>
          <w:lang w:eastAsia="uk-UA"/>
        </w:rPr>
        <w:t>Урологія. 2017 Вер 12; 21(3): 39-48</w:t>
      </w:r>
      <w:r>
        <w:rPr>
          <w:rFonts w:ascii="Times New Roman" w:hAnsi="Times New Roman" w:cs="Times New Roman"/>
          <w:bCs/>
          <w:sz w:val="28"/>
          <w:szCs w:val="28"/>
          <w:lang w:eastAsia="uk-UA"/>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bCs/>
          <w:sz w:val="28"/>
          <w:szCs w:val="28"/>
          <w:lang w:eastAsia="uk-UA"/>
        </w:rPr>
        <w:t>.</w:t>
      </w:r>
    </w:p>
    <w:p w:rsidR="007B5A1D" w:rsidRPr="00372DBA" w:rsidRDefault="007B5A1D" w:rsidP="001C129B">
      <w:pPr>
        <w:pStyle w:val="NoSpacing"/>
        <w:numPr>
          <w:ilvl w:val="0"/>
          <w:numId w:val="21"/>
        </w:numPr>
        <w:spacing w:after="160"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w:t>
      </w:r>
      <w:r w:rsidRPr="00372DBA">
        <w:rPr>
          <w:rFonts w:ascii="Times New Roman" w:eastAsia="Newton-Regular" w:hAnsi="Times New Roman" w:cs="Times New Roman"/>
          <w:sz w:val="28"/>
          <w:szCs w:val="28"/>
        </w:rPr>
        <w:t xml:space="preserve">Дутка ІЮ, Борис ЮБ,  Комнацька ІМ, Шатинська-Мицик ІС, Лозинський РМ. </w:t>
      </w:r>
      <w:r w:rsidRPr="00372DBA">
        <w:rPr>
          <w:rFonts w:ascii="Times New Roman" w:hAnsi="Times New Roman" w:cs="Times New Roman"/>
          <w:bCs/>
          <w:sz w:val="28"/>
          <w:szCs w:val="28"/>
        </w:rPr>
        <w:t xml:space="preserve">Використання дифузійно-зважених зображень МРТ у діагностиці солідних ниркових новоутворів. </w:t>
      </w:r>
      <w:r w:rsidRPr="00372DBA">
        <w:rPr>
          <w:rFonts w:ascii="Times New Roman" w:hAnsi="Times New Roman" w:cs="Times New Roman"/>
          <w:sz w:val="28"/>
          <w:szCs w:val="28"/>
        </w:rPr>
        <w:t>Клиничесская онкология. 2015 Бер 21; 1(17): 1-4</w:t>
      </w:r>
      <w:r>
        <w:rPr>
          <w:rFonts w:ascii="Times New Roman" w:hAnsi="Times New Roman" w:cs="Times New Roman"/>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Досенко ВЄ, Борис ЮБ, Древицька ТІ. Роль МікроРНК-15а у діагностиці нирково-клітинного раку. </w:t>
      </w:r>
      <w:r w:rsidRPr="00372DBA">
        <w:rPr>
          <w:rFonts w:ascii="Times New Roman" w:hAnsi="Times New Roman" w:cs="Times New Roman"/>
          <w:color w:val="000000"/>
          <w:sz w:val="28"/>
          <w:szCs w:val="28"/>
        </w:rPr>
        <w:t>Експериментальна та клінічна фізіологія і біохімія. 2017 Бер 21; 78(2/1): 53-59</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 Дутка ІЮ, Борис ЮБ, Дац ІВ,</w:t>
      </w:r>
      <w:r w:rsidRPr="00372DBA">
        <w:rPr>
          <w:rFonts w:ascii="Times New Roman" w:hAnsi="Times New Roman" w:cs="Times New Roman"/>
          <w:color w:val="000000"/>
          <w:sz w:val="28"/>
          <w:szCs w:val="28"/>
        </w:rPr>
        <w:t xml:space="preserve"> </w:t>
      </w:r>
      <w:r w:rsidRPr="00372DBA">
        <w:rPr>
          <w:rFonts w:ascii="Times New Roman" w:hAnsi="Times New Roman" w:cs="Times New Roman"/>
          <w:sz w:val="28"/>
          <w:szCs w:val="28"/>
        </w:rPr>
        <w:t xml:space="preserve">Комнацька ІМ, Шатинська-Мицик ІС. Особливості використання вимірюваного коефіцієнта дифузії </w:t>
      </w:r>
      <w:r w:rsidRPr="00372DBA">
        <w:rPr>
          <w:rFonts w:ascii="Times New Roman" w:hAnsi="Times New Roman" w:cs="Times New Roman"/>
          <w:sz w:val="28"/>
          <w:szCs w:val="28"/>
        </w:rPr>
        <w:lastRenderedPageBreak/>
        <w:t xml:space="preserve">дифузійно-зважених зображень МРТ у діагностиці світлоклітинного раку нирки різних ступенів ядерної атипії за Fuhrman. </w:t>
      </w:r>
      <w:r w:rsidRPr="00372DBA">
        <w:rPr>
          <w:rFonts w:ascii="Times New Roman" w:hAnsi="Times New Roman" w:cs="Times New Roman"/>
          <w:color w:val="000000"/>
          <w:sz w:val="28"/>
          <w:szCs w:val="28"/>
        </w:rPr>
        <w:t>Експериментальна та клінічна фізіологія і біохімія. 2015 Трав 12; 70 (2): 106-110</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shd w:val="clear" w:color="auto" w:fill="FFFFFF"/>
          <w:lang w:val="en-US"/>
        </w:rPr>
        <w:t>Mytsyk</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YO</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Borys Y</w:t>
      </w:r>
      <w:r w:rsidRPr="00372DBA">
        <w:rPr>
          <w:rFonts w:ascii="Times New Roman" w:hAnsi="Times New Roman" w:cs="Times New Roman"/>
          <w:sz w:val="28"/>
          <w:szCs w:val="28"/>
          <w:shd w:val="clear" w:color="auto" w:fill="FFFFFF"/>
          <w:lang w:val="en-US"/>
        </w:rPr>
        <w:t>B</w:t>
      </w:r>
      <w:r w:rsidRPr="00372DBA">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lang w:val="en-US"/>
        </w:rPr>
        <w:t>Dosenko</w:t>
      </w:r>
      <w:r w:rsidRPr="009E6C7E">
        <w:rPr>
          <w:rFonts w:ascii="Times New Roman" w:hAnsi="Times New Roman" w:cs="Times New Roman"/>
          <w:sz w:val="28"/>
          <w:szCs w:val="28"/>
        </w:rPr>
        <w:t xml:space="preserve"> </w:t>
      </w:r>
      <w:r w:rsidRPr="00372DBA">
        <w:rPr>
          <w:rFonts w:ascii="Times New Roman" w:hAnsi="Times New Roman" w:cs="Times New Roman"/>
          <w:sz w:val="28"/>
          <w:szCs w:val="28"/>
          <w:lang w:val="en-US"/>
        </w:rPr>
        <w:t>VE</w:t>
      </w:r>
      <w:r w:rsidRPr="009E6C7E">
        <w:rPr>
          <w:rFonts w:ascii="Times New Roman" w:hAnsi="Times New Roman" w:cs="Times New Roman"/>
          <w:sz w:val="28"/>
          <w:szCs w:val="28"/>
        </w:rPr>
        <w:t>,</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 xml:space="preserve">Diychuk </w:t>
      </w:r>
      <w:r w:rsidRPr="00372DBA">
        <w:rPr>
          <w:rFonts w:ascii="Times New Roman" w:hAnsi="Times New Roman" w:cs="Times New Roman"/>
          <w:sz w:val="28"/>
          <w:szCs w:val="28"/>
          <w:shd w:val="clear" w:color="auto" w:fill="FFFFFF"/>
          <w:lang w:val="en-US"/>
        </w:rPr>
        <w:t>YP</w:t>
      </w:r>
      <w:r w:rsidRPr="00372DBA">
        <w:rPr>
          <w:rFonts w:ascii="Times New Roman" w:hAnsi="Times New Roman" w:cs="Times New Roman"/>
          <w:sz w:val="28"/>
          <w:szCs w:val="28"/>
          <w:shd w:val="clear" w:color="auto" w:fill="FFFFFF"/>
        </w:rPr>
        <w:t>,</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 xml:space="preserve">Kowalskyy </w:t>
      </w:r>
      <w:r w:rsidRPr="00372DBA">
        <w:rPr>
          <w:rFonts w:ascii="Times New Roman" w:hAnsi="Times New Roman" w:cs="Times New Roman"/>
          <w:sz w:val="28"/>
          <w:szCs w:val="28"/>
          <w:shd w:val="clear" w:color="auto" w:fill="FFFFFF"/>
          <w:lang w:val="en-US"/>
        </w:rPr>
        <w:t>VV</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Pasichnyk</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SM</w:t>
      </w:r>
      <w:r w:rsidRPr="009E6C7E">
        <w:rPr>
          <w:rFonts w:ascii="Times New Roman" w:hAnsi="Times New Roman" w:cs="Times New Roman"/>
          <w:sz w:val="28"/>
          <w:szCs w:val="28"/>
          <w:shd w:val="clear" w:color="auto" w:fill="FFFFFF"/>
        </w:rPr>
        <w:t xml:space="preserve">. </w:t>
      </w:r>
      <w:r w:rsidRPr="00372DBA">
        <w:rPr>
          <w:rFonts w:ascii="Times New Roman" w:hAnsi="Times New Roman" w:cs="Times New Roman"/>
          <w:color w:val="000000"/>
          <w:sz w:val="28"/>
          <w:szCs w:val="28"/>
          <w:lang w:val="en-US"/>
        </w:rPr>
        <w:t xml:space="preserve">A role of microRNAs in pathogenesis of renal cell carcinoma. </w:t>
      </w:r>
      <w:r w:rsidRPr="00372DBA">
        <w:rPr>
          <w:rFonts w:ascii="Times New Roman" w:hAnsi="Times New Roman" w:cs="Times New Roman"/>
          <w:color w:val="000000"/>
          <w:sz w:val="28"/>
          <w:szCs w:val="28"/>
        </w:rPr>
        <w:t>Експериментальна та клінічна фізіологія і біохімія</w:t>
      </w:r>
      <w:r w:rsidRPr="00372DBA">
        <w:rPr>
          <w:rFonts w:ascii="Times New Roman" w:hAnsi="Times New Roman" w:cs="Times New Roman"/>
          <w:color w:val="000000"/>
          <w:sz w:val="28"/>
          <w:szCs w:val="28"/>
          <w:lang w:val="en-US"/>
        </w:rPr>
        <w:t xml:space="preserve">. 2017 </w:t>
      </w:r>
      <w:r w:rsidRPr="00372DBA">
        <w:rPr>
          <w:rFonts w:ascii="Times New Roman" w:hAnsi="Times New Roman" w:cs="Times New Roman"/>
          <w:color w:val="000000"/>
          <w:sz w:val="28"/>
          <w:szCs w:val="28"/>
        </w:rPr>
        <w:t xml:space="preserve">Вер 12; 79(3): </w:t>
      </w:r>
      <w:r w:rsidRPr="00372DBA">
        <w:rPr>
          <w:rFonts w:ascii="Times New Roman" w:hAnsi="Times New Roman" w:cs="Times New Roman"/>
          <w:sz w:val="28"/>
          <w:szCs w:val="28"/>
        </w:rPr>
        <w:t>5</w:t>
      </w:r>
      <w:r w:rsidRPr="009E6C7E">
        <w:rPr>
          <w:rFonts w:ascii="Times New Roman" w:hAnsi="Times New Roman" w:cs="Times New Roman"/>
          <w:sz w:val="28"/>
          <w:szCs w:val="28"/>
          <w:lang w:val="en-US"/>
        </w:rPr>
        <w:t>0</w:t>
      </w:r>
      <w:r w:rsidRPr="00372DBA">
        <w:rPr>
          <w:rFonts w:ascii="Times New Roman" w:hAnsi="Times New Roman" w:cs="Times New Roman"/>
          <w:sz w:val="28"/>
          <w:szCs w:val="28"/>
        </w:rPr>
        <w:t>-53</w:t>
      </w:r>
      <w:r>
        <w:rPr>
          <w:rFonts w:ascii="Times New Roman" w:hAnsi="Times New Roman" w:cs="Times New Roman"/>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 Дутка ІЮ, Борис ЮБ, Комнацька ІМ, Дац ІВ, Чернова НВ, Воробець ДЗ. Диференційна діагностика малих ниркових новоутворів ефективність застосування вимірюваного коефіцієнта дифузії дифузійно-зважених зображень МРТ у якості променевого біомаркеру нирково-клітинного раку.</w:t>
      </w:r>
      <w:r w:rsidRPr="00372DBA">
        <w:rPr>
          <w:rFonts w:ascii="Times New Roman" w:hAnsi="Times New Roman" w:cs="Times New Roman"/>
          <w:color w:val="000000"/>
          <w:sz w:val="28"/>
          <w:szCs w:val="28"/>
        </w:rPr>
        <w:t xml:space="preserve"> Здоровье Мужчины. 2016 Груд 23; 4(59): 105-110</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Досенко ВЄ, Борис ЮБ, Древицька ТІ. Роль микроРНК-15а в диагностике почечно-клеточного рака. </w:t>
      </w:r>
      <w:r w:rsidRPr="00372DBA">
        <w:rPr>
          <w:rFonts w:ascii="Times New Roman" w:hAnsi="Times New Roman" w:cs="Times New Roman"/>
          <w:color w:val="000000"/>
          <w:sz w:val="28"/>
          <w:szCs w:val="28"/>
        </w:rPr>
        <w:t>Здоровье Мужчины. 2017 Вер 12; 3(62): 110-115</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Борис ЮБ, Дац ІВ, Манюк ЛВ, </w:t>
      </w:r>
      <w:r>
        <w:rPr>
          <w:rFonts w:ascii="Times New Roman" w:hAnsi="Times New Roman" w:cs="Times New Roman"/>
          <w:sz w:val="28"/>
          <w:szCs w:val="28"/>
        </w:rPr>
        <w:t>Ільчишин ОС, Солдатенко ОЯ</w:t>
      </w:r>
      <w:r w:rsidRPr="00372DBA">
        <w:rPr>
          <w:rFonts w:ascii="Times New Roman" w:hAnsi="Times New Roman" w:cs="Times New Roman"/>
          <w:sz w:val="28"/>
          <w:szCs w:val="28"/>
        </w:rPr>
        <w:t xml:space="preserve">. Сучасний погляд на дію іонізуючого випромінювання на хворих при діагностиці нирково-клітинного раку та шляхи його уникнення. </w:t>
      </w:r>
      <w:r w:rsidRPr="00372DBA">
        <w:rPr>
          <w:rFonts w:ascii="Times New Roman" w:hAnsi="Times New Roman" w:cs="Times New Roman"/>
          <w:color w:val="000000"/>
          <w:sz w:val="28"/>
          <w:szCs w:val="28"/>
        </w:rPr>
        <w:t>Проблеми радіаційної медицини та радіобіології. 2017 Січ 23; 22: 69-78</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w:t>
      </w:r>
      <w:r>
        <w:rPr>
          <w:rFonts w:ascii="Times New Roman" w:hAnsi="Times New Roman" w:cs="Times New Roman"/>
          <w:sz w:val="28"/>
          <w:szCs w:val="28"/>
        </w:rPr>
        <w:t xml:space="preserve"> </w:t>
      </w:r>
      <w:r w:rsidRPr="001F0C51">
        <w:rPr>
          <w:rFonts w:ascii="Times New Roman" w:hAnsi="Times New Roman" w:cs="Times New Roman"/>
          <w:sz w:val="28"/>
          <w:szCs w:val="28"/>
        </w:rPr>
        <w:t>та підготовлений текст статті)</w:t>
      </w:r>
      <w:r w:rsidRPr="001F0C51">
        <w:rPr>
          <w:rFonts w:ascii="Times New Roman" w:hAnsi="Times New Roman" w:cs="Times New Roman"/>
          <w:color w:val="000000"/>
          <w:sz w:val="28"/>
          <w:szCs w:val="28"/>
        </w:rPr>
        <w:t>.</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Mytsyk YO, Borys YB, Dutka IY,</w:t>
      </w:r>
      <w:r w:rsidRPr="00372DBA">
        <w:rPr>
          <w:rFonts w:ascii="Times New Roman" w:hAnsi="Times New Roman" w:cs="Times New Roman"/>
          <w:color w:val="000000"/>
          <w:sz w:val="28"/>
          <w:szCs w:val="28"/>
        </w:rPr>
        <w:t xml:space="preserve"> </w:t>
      </w:r>
      <w:r w:rsidRPr="00372DBA">
        <w:rPr>
          <w:rFonts w:ascii="Times New Roman" w:hAnsi="Times New Roman" w:cs="Times New Roman"/>
          <w:sz w:val="28"/>
          <w:szCs w:val="28"/>
        </w:rPr>
        <w:t>Datz IV, Motrynets NP, Kucher AR</w:t>
      </w:r>
      <w:r w:rsidRPr="00372DBA">
        <w:rPr>
          <w:rFonts w:ascii="Times New Roman" w:hAnsi="Times New Roman" w:cs="Times New Roman"/>
          <w:sz w:val="28"/>
          <w:szCs w:val="28"/>
          <w:lang w:val="en-US"/>
        </w:rPr>
        <w:t>.</w:t>
      </w:r>
      <w:r w:rsidRPr="00372DBA">
        <w:rPr>
          <w:rFonts w:ascii="Times New Roman" w:hAnsi="Times New Roman" w:cs="Times New Roman"/>
          <w:sz w:val="28"/>
          <w:szCs w:val="28"/>
        </w:rPr>
        <w:t xml:space="preserve"> </w:t>
      </w:r>
      <w:r w:rsidRPr="00372DBA">
        <w:rPr>
          <w:rFonts w:ascii="Times New Roman" w:hAnsi="Times New Roman" w:cs="Times New Roman"/>
          <w:sz w:val="28"/>
          <w:szCs w:val="28"/>
          <w:lang w:val="en-US"/>
        </w:rPr>
        <w:t xml:space="preserve">Application of the diffusion-weighted MRI for prediction of the intraoperative blood loss during the nephrectomy in patients with renal cell carcinoma after </w:t>
      </w:r>
      <w:r w:rsidRPr="00372DBA">
        <w:rPr>
          <w:rFonts w:ascii="Times New Roman" w:hAnsi="Times New Roman" w:cs="Times New Roman"/>
          <w:sz w:val="28"/>
          <w:szCs w:val="28"/>
          <w:lang w:val="en-US"/>
        </w:rPr>
        <w:lastRenderedPageBreak/>
        <w:t>embolization of renal artery</w:t>
      </w:r>
      <w:r w:rsidRPr="00372DBA">
        <w:rPr>
          <w:rFonts w:ascii="Times New Roman" w:hAnsi="Times New Roman" w:cs="Times New Roman"/>
          <w:sz w:val="28"/>
          <w:szCs w:val="28"/>
        </w:rPr>
        <w:t xml:space="preserve">. </w:t>
      </w:r>
      <w:r w:rsidRPr="00372DBA">
        <w:rPr>
          <w:rFonts w:ascii="Times New Roman" w:hAnsi="Times New Roman" w:cs="Times New Roman"/>
          <w:color w:val="000000"/>
          <w:sz w:val="28"/>
          <w:szCs w:val="28"/>
          <w:lang w:val="en-US"/>
        </w:rPr>
        <w:t>Inter</w:t>
      </w:r>
      <w:r w:rsidRPr="009E6C7E">
        <w:rPr>
          <w:rFonts w:ascii="Times New Roman" w:hAnsi="Times New Roman" w:cs="Times New Roman"/>
          <w:color w:val="000000"/>
          <w:sz w:val="28"/>
          <w:szCs w:val="28"/>
        </w:rPr>
        <w:t xml:space="preserve"> </w:t>
      </w:r>
      <w:r w:rsidRPr="00372DBA">
        <w:rPr>
          <w:rFonts w:ascii="Times New Roman" w:hAnsi="Times New Roman" w:cs="Times New Roman"/>
          <w:color w:val="000000"/>
          <w:sz w:val="28"/>
          <w:szCs w:val="28"/>
          <w:lang w:val="en-US"/>
        </w:rPr>
        <w:t>Collegas</w:t>
      </w:r>
      <w:r w:rsidRPr="00372DBA">
        <w:rPr>
          <w:rFonts w:ascii="Times New Roman" w:hAnsi="Times New Roman" w:cs="Times New Roman"/>
          <w:color w:val="000000"/>
          <w:sz w:val="28"/>
          <w:szCs w:val="28"/>
        </w:rPr>
        <w:t>. 2017 Гру 23; 4(4): 158-163</w:t>
      </w:r>
      <w:r>
        <w:rPr>
          <w:rFonts w:ascii="Times New Roman" w:hAnsi="Times New Roman" w:cs="Times New Roman"/>
          <w:color w:val="000000"/>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Mytsyk YO, Borys YB, </w:t>
      </w:r>
      <w:r w:rsidRPr="00372DBA">
        <w:rPr>
          <w:rFonts w:ascii="Times New Roman" w:hAnsi="Times New Roman" w:cs="Times New Roman"/>
          <w:sz w:val="28"/>
          <w:szCs w:val="28"/>
          <w:lang w:val="en-US"/>
        </w:rPr>
        <w:t>Dosenko</w:t>
      </w:r>
      <w:r w:rsidRPr="009E6C7E">
        <w:rPr>
          <w:rFonts w:ascii="Times New Roman" w:hAnsi="Times New Roman" w:cs="Times New Roman"/>
          <w:sz w:val="28"/>
          <w:szCs w:val="28"/>
        </w:rPr>
        <w:t xml:space="preserve"> </w:t>
      </w:r>
      <w:r w:rsidRPr="00372DBA">
        <w:rPr>
          <w:rFonts w:ascii="Times New Roman" w:hAnsi="Times New Roman" w:cs="Times New Roman"/>
          <w:sz w:val="28"/>
          <w:szCs w:val="28"/>
          <w:lang w:val="en-US"/>
        </w:rPr>
        <w:t>VE</w:t>
      </w:r>
      <w:r w:rsidRPr="009E6C7E">
        <w:rPr>
          <w:rFonts w:ascii="Times New Roman" w:hAnsi="Times New Roman" w:cs="Times New Roman"/>
          <w:sz w:val="28"/>
          <w:szCs w:val="28"/>
        </w:rPr>
        <w:t>,</w:t>
      </w:r>
      <w:r w:rsidRPr="009E6C7E">
        <w:rPr>
          <w:rFonts w:ascii="Times New Roman" w:hAnsi="Times New Roman" w:cs="Times New Roman"/>
          <w:color w:val="000000"/>
          <w:sz w:val="28"/>
          <w:szCs w:val="28"/>
        </w:rPr>
        <w:t xml:space="preserve"> </w:t>
      </w:r>
      <w:r w:rsidRPr="00372DBA">
        <w:rPr>
          <w:rFonts w:ascii="Times New Roman" w:hAnsi="Times New Roman" w:cs="Times New Roman"/>
          <w:sz w:val="28"/>
          <w:szCs w:val="28"/>
        </w:rPr>
        <w:t xml:space="preserve">Datz IV, </w:t>
      </w:r>
      <w:r w:rsidRPr="00372DBA">
        <w:rPr>
          <w:rFonts w:ascii="Times New Roman" w:hAnsi="Times New Roman" w:cs="Times New Roman"/>
          <w:sz w:val="28"/>
          <w:szCs w:val="28"/>
          <w:shd w:val="clear" w:color="auto" w:fill="FFFFFF"/>
        </w:rPr>
        <w:t xml:space="preserve">Diychuk </w:t>
      </w:r>
      <w:r w:rsidRPr="00372DBA">
        <w:rPr>
          <w:rFonts w:ascii="Times New Roman" w:hAnsi="Times New Roman" w:cs="Times New Roman"/>
          <w:sz w:val="28"/>
          <w:szCs w:val="28"/>
          <w:shd w:val="clear" w:color="auto" w:fill="FFFFFF"/>
          <w:lang w:val="en-US"/>
        </w:rPr>
        <w:t>YP</w:t>
      </w:r>
      <w:r w:rsidRPr="00372DBA">
        <w:rPr>
          <w:rFonts w:ascii="Times New Roman" w:hAnsi="Times New Roman" w:cs="Times New Roman"/>
          <w:sz w:val="28"/>
          <w:szCs w:val="28"/>
          <w:shd w:val="clear" w:color="auto" w:fill="FFFFFF"/>
        </w:rPr>
        <w:t>,</w:t>
      </w:r>
      <w:r w:rsidRPr="009E6C7E">
        <w:rPr>
          <w:rFonts w:ascii="Times New Roman" w:hAnsi="Times New Roman" w:cs="Times New Roman"/>
          <w:color w:val="000000"/>
          <w:sz w:val="28"/>
          <w:szCs w:val="28"/>
        </w:rPr>
        <w:t xml:space="preserve"> </w:t>
      </w:r>
      <w:r w:rsidRPr="00372DBA">
        <w:rPr>
          <w:rFonts w:ascii="Times New Roman" w:hAnsi="Times New Roman" w:cs="Times New Roman"/>
          <w:sz w:val="28"/>
          <w:szCs w:val="28"/>
          <w:shd w:val="clear" w:color="auto" w:fill="FFFFFF"/>
        </w:rPr>
        <w:t xml:space="preserve">Kowalskyy </w:t>
      </w:r>
      <w:r w:rsidRPr="00372DBA">
        <w:rPr>
          <w:rFonts w:ascii="Times New Roman" w:hAnsi="Times New Roman" w:cs="Times New Roman"/>
          <w:sz w:val="28"/>
          <w:szCs w:val="28"/>
          <w:shd w:val="clear" w:color="auto" w:fill="FFFFFF"/>
          <w:lang w:val="en-US"/>
        </w:rPr>
        <w:t>VV</w:t>
      </w:r>
      <w:r w:rsidRPr="009E6C7E">
        <w:rPr>
          <w:rFonts w:ascii="Times New Roman" w:hAnsi="Times New Roman" w:cs="Times New Roman"/>
          <w:sz w:val="28"/>
          <w:szCs w:val="28"/>
          <w:shd w:val="clear" w:color="auto" w:fill="FFFFFF"/>
        </w:rPr>
        <w:t>.</w:t>
      </w:r>
      <w:r w:rsidRPr="00372DBA">
        <w:rPr>
          <w:rFonts w:ascii="Times New Roman" w:hAnsi="Times New Roman" w:cs="Times New Roman"/>
          <w:color w:val="000000"/>
          <w:sz w:val="28"/>
          <w:szCs w:val="28"/>
        </w:rPr>
        <w:t xml:space="preserve"> </w:t>
      </w:r>
      <w:r w:rsidRPr="00372DBA">
        <w:rPr>
          <w:rFonts w:ascii="Times New Roman" w:hAnsi="Times New Roman" w:cs="Times New Roman"/>
          <w:sz w:val="28"/>
          <w:szCs w:val="28"/>
          <w:lang w:val="en-US"/>
        </w:rPr>
        <w:t>Radiogenomics of renal cell carcinoma: our clinical experience</w:t>
      </w:r>
      <w:r w:rsidRPr="00372DBA">
        <w:rPr>
          <w:rFonts w:ascii="Times New Roman" w:hAnsi="Times New Roman" w:cs="Times New Roman"/>
          <w:sz w:val="28"/>
          <w:szCs w:val="28"/>
        </w:rPr>
        <w:t>.</w:t>
      </w:r>
      <w:r w:rsidRPr="00372DBA">
        <w:rPr>
          <w:rFonts w:ascii="Times New Roman" w:hAnsi="Times New Roman" w:cs="Times New Roman"/>
          <w:color w:val="000000"/>
          <w:sz w:val="28"/>
          <w:szCs w:val="28"/>
        </w:rPr>
        <w:t xml:space="preserve"> Експериментальна та клінічна фізіологія і біохімія.</w:t>
      </w:r>
      <w:r w:rsidRPr="00372DBA">
        <w:rPr>
          <w:rFonts w:ascii="Times New Roman" w:hAnsi="Times New Roman" w:cs="Times New Roman"/>
          <w:color w:val="000000"/>
          <w:sz w:val="28"/>
          <w:szCs w:val="28"/>
          <w:lang w:val="en-US"/>
        </w:rPr>
        <w:t xml:space="preserve"> </w:t>
      </w:r>
      <w:r w:rsidRPr="009E6C7E">
        <w:rPr>
          <w:rFonts w:ascii="Times New Roman" w:hAnsi="Times New Roman" w:cs="Times New Roman"/>
          <w:color w:val="000000"/>
          <w:sz w:val="28"/>
          <w:szCs w:val="28"/>
          <w:lang w:val="ru-RU"/>
        </w:rPr>
        <w:t xml:space="preserve">2017 </w:t>
      </w:r>
      <w:r w:rsidRPr="00372DBA">
        <w:rPr>
          <w:rFonts w:ascii="Times New Roman" w:hAnsi="Times New Roman" w:cs="Times New Roman"/>
          <w:color w:val="000000"/>
          <w:sz w:val="28"/>
          <w:szCs w:val="28"/>
        </w:rPr>
        <w:t xml:space="preserve">Лют 23; 80(4): </w:t>
      </w:r>
      <w:r w:rsidRPr="00372DBA">
        <w:rPr>
          <w:rFonts w:ascii="Times New Roman" w:hAnsi="Times New Roman" w:cs="Times New Roman"/>
          <w:sz w:val="28"/>
          <w:szCs w:val="28"/>
        </w:rPr>
        <w:t>5</w:t>
      </w:r>
      <w:r w:rsidRPr="00372DBA">
        <w:rPr>
          <w:rFonts w:ascii="Times New Roman" w:hAnsi="Times New Roman" w:cs="Times New Roman"/>
          <w:sz w:val="28"/>
          <w:szCs w:val="28"/>
          <w:lang w:val="ru-RU"/>
        </w:rPr>
        <w:t>0</w:t>
      </w:r>
      <w:r w:rsidRPr="00372DBA">
        <w:rPr>
          <w:rFonts w:ascii="Times New Roman" w:hAnsi="Times New Roman" w:cs="Times New Roman"/>
          <w:sz w:val="28"/>
          <w:szCs w:val="28"/>
        </w:rPr>
        <w:t>-53</w:t>
      </w:r>
      <w:r>
        <w:rPr>
          <w:rFonts w:ascii="Times New Roman" w:hAnsi="Times New Roman" w:cs="Times New Roman"/>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Мицик ЮО,</w:t>
      </w:r>
      <w:r w:rsidRPr="00372DBA">
        <w:rPr>
          <w:rFonts w:ascii="Times New Roman" w:eastAsia="Newton-Regular" w:hAnsi="Times New Roman" w:cs="Times New Roman"/>
          <w:sz w:val="28"/>
          <w:szCs w:val="28"/>
        </w:rPr>
        <w:t xml:space="preserve"> Іллюк ПО, Чернова НВ, Мицик ОІ. </w:t>
      </w:r>
      <w:r w:rsidRPr="00372DBA">
        <w:rPr>
          <w:rFonts w:ascii="Times New Roman" w:hAnsi="Times New Roman" w:cs="Times New Roman"/>
          <w:bCs/>
          <w:sz w:val="28"/>
          <w:szCs w:val="28"/>
        </w:rPr>
        <w:t xml:space="preserve">Рак нирки в україні: аналіз основних показників захворюваності та смертності. </w:t>
      </w:r>
      <w:r w:rsidRPr="00372DBA">
        <w:rPr>
          <w:rFonts w:ascii="Times New Roman" w:hAnsi="Times New Roman" w:cs="Times New Roman"/>
          <w:sz w:val="28"/>
          <w:szCs w:val="28"/>
        </w:rPr>
        <w:t>Медичний форум. 2016 Вер 10; 9(9): 42-44</w:t>
      </w:r>
      <w:r>
        <w:rPr>
          <w:rFonts w:ascii="Times New Roman" w:hAnsi="Times New Roman" w:cs="Times New Roman"/>
          <w:sz w:val="28"/>
          <w:szCs w:val="28"/>
        </w:rPr>
        <w:t xml:space="preserve"> </w:t>
      </w:r>
      <w:r w:rsidRPr="001F0C51">
        <w:rPr>
          <w:rFonts w:ascii="Times New Roman" w:hAnsi="Times New Roman" w:cs="Times New Roman"/>
          <w:sz w:val="28"/>
          <w:szCs w:val="28"/>
        </w:rPr>
        <w:t>(Автором особисто проаналізовані літературні джерела</w:t>
      </w:r>
      <w:r>
        <w:rPr>
          <w:rFonts w:ascii="Times New Roman" w:hAnsi="Times New Roman" w:cs="Times New Roman"/>
          <w:sz w:val="28"/>
          <w:szCs w:val="28"/>
        </w:rPr>
        <w:t xml:space="preserve"> </w:t>
      </w:r>
      <w:r w:rsidRPr="001F0C51">
        <w:rPr>
          <w:rFonts w:ascii="Times New Roman" w:hAnsi="Times New Roman" w:cs="Times New Roman"/>
          <w:sz w:val="28"/>
          <w:szCs w:val="28"/>
        </w:rPr>
        <w:t>та підготовлений текст статті)</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color w:val="000000"/>
          <w:sz w:val="28"/>
          <w:szCs w:val="28"/>
        </w:rPr>
        <w:t xml:space="preserve">Мицик ЮО. </w:t>
      </w:r>
      <w:r w:rsidRPr="00372DBA">
        <w:rPr>
          <w:rFonts w:ascii="Times New Roman" w:hAnsi="Times New Roman" w:cs="Times New Roman"/>
          <w:sz w:val="28"/>
          <w:szCs w:val="28"/>
          <w:shd w:val="clear" w:color="auto" w:fill="FFFFFF"/>
        </w:rPr>
        <w:t>Роль диффузно-взвешенной визуализации магнитно-резонансной томографии в дифференци</w:t>
      </w:r>
      <w:r>
        <w:rPr>
          <w:rFonts w:ascii="Times New Roman" w:hAnsi="Times New Roman" w:cs="Times New Roman"/>
          <w:sz w:val="28"/>
          <w:szCs w:val="28"/>
          <w:shd w:val="clear" w:color="auto" w:fill="FFFFFF"/>
        </w:rPr>
        <w:t>альной диагностике злокачественных ново</w:t>
      </w:r>
      <w:r w:rsidRPr="00372DBA">
        <w:rPr>
          <w:rFonts w:ascii="Times New Roman" w:hAnsi="Times New Roman" w:cs="Times New Roman"/>
          <w:sz w:val="28"/>
          <w:szCs w:val="28"/>
          <w:shd w:val="clear" w:color="auto" w:fill="FFFFFF"/>
        </w:rPr>
        <w:t>образований почки. Наука молодых. 2014 Ноя 12; 4: 121-127.</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w:t>
      </w:r>
      <w:r w:rsidRPr="00372DBA">
        <w:rPr>
          <w:rFonts w:ascii="Times New Roman" w:hAnsi="Times New Roman" w:cs="Times New Roman"/>
          <w:sz w:val="28"/>
          <w:szCs w:val="28"/>
          <w:shd w:val="clear" w:color="auto" w:fill="FFFFFF"/>
          <w:lang w:val="en-US"/>
        </w:rPr>
        <w:t>Borys YB, Komnatska IM, Dutka IY, Shatynska-Mytsyk IS. Value of the diffusion-weighted MRI in the differential diagnostics of malignant and benign kidney neoplasms–our clinical experience. Pol J Radiol. 2014 Sep 1; 79:290-5</w:t>
      </w:r>
      <w:r>
        <w:rPr>
          <w:rFonts w:ascii="Times New Roman" w:hAnsi="Times New Roman" w:cs="Times New Roman"/>
          <w:sz w:val="28"/>
          <w:szCs w:val="28"/>
          <w:shd w:val="clear" w:color="auto" w:fill="FFFFFF"/>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w:t>
      </w:r>
      <w:r w:rsidRPr="00372DBA">
        <w:rPr>
          <w:rFonts w:ascii="Times New Roman" w:hAnsi="Times New Roman" w:cs="Times New Roman"/>
          <w:sz w:val="28"/>
          <w:szCs w:val="28"/>
          <w:shd w:val="clear" w:color="auto" w:fill="FFFFFF"/>
          <w:lang w:val="en-US"/>
        </w:rPr>
        <w:t>Dutka IY, Komnatska IM, Górecki A, Borys YB, Shatynska -Mytsyk IS. Diffusion-weighted MRI of kidney in the diagnosis of clear cell renal cell carcinoma of various grades of differentiation. Journal of Pre-Clinical and Clinical Research. 2015 Jun 18: 9(1):30-35</w:t>
      </w:r>
      <w:r>
        <w:rPr>
          <w:rFonts w:ascii="Times New Roman" w:hAnsi="Times New Roman" w:cs="Times New Roman"/>
          <w:sz w:val="28"/>
          <w:szCs w:val="28"/>
          <w:shd w:val="clear" w:color="auto" w:fill="FFFFFF"/>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shd w:val="clear" w:color="auto" w:fill="FFFFFF"/>
          <w:lang w:val="en-US"/>
        </w:rPr>
        <w:t xml:space="preserve">. </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shd w:val="clear" w:color="auto" w:fill="FFFFFF"/>
          <w:lang w:val="en-US"/>
        </w:rPr>
        <w:t xml:space="preserve"> Dutka IY, Borys YB, Komnatska IM, Shatynska-Mytsyk IM, Farrooqi AA. Using the diffusion-weighted MRI for differentiation of the malignant and benign renal neoplasms. Advances in Urological Practice. 2016 </w:t>
      </w:r>
      <w:r w:rsidRPr="00372DBA">
        <w:rPr>
          <w:rFonts w:ascii="Times New Roman" w:hAnsi="Times New Roman" w:cs="Times New Roman"/>
          <w:sz w:val="28"/>
          <w:szCs w:val="28"/>
          <w:shd w:val="clear" w:color="auto" w:fill="FFFFFF"/>
          <w:lang w:val="en-US"/>
        </w:rPr>
        <w:lastRenderedPageBreak/>
        <w:t>Mar 13; 1: 23-32</w:t>
      </w:r>
      <w:r>
        <w:rPr>
          <w:rFonts w:ascii="Times New Roman" w:hAnsi="Times New Roman" w:cs="Times New Roman"/>
          <w:sz w:val="28"/>
          <w:szCs w:val="28"/>
          <w:shd w:val="clear" w:color="auto" w:fill="FFFFFF"/>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shd w:val="clear" w:color="auto" w:fill="FFFFFF"/>
          <w:lang w:val="en-US"/>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shd w:val="clear" w:color="auto" w:fill="FFFFFF"/>
          <w:lang w:val="en-US"/>
        </w:rPr>
        <w:t xml:space="preserve"> Dutka IY, Borys YB, Komnatska IM, Shatyns</w:t>
      </w:r>
      <w:r>
        <w:rPr>
          <w:rFonts w:ascii="Times New Roman" w:hAnsi="Times New Roman" w:cs="Times New Roman"/>
          <w:sz w:val="28"/>
          <w:szCs w:val="28"/>
          <w:shd w:val="clear" w:color="auto" w:fill="FFFFFF"/>
          <w:lang w:val="en-US"/>
        </w:rPr>
        <w:t>ka-Mytsyk IM, Farrooqi AA</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bCs/>
          <w:sz w:val="28"/>
          <w:szCs w:val="28"/>
          <w:shd w:val="clear" w:color="auto" w:fill="FFFFFF"/>
          <w:lang w:val="en-US" w:eastAsia="x-none"/>
        </w:rPr>
        <w:t>Renal cell carcinoma: applicability of the apparent coefficient of the diffusion‑weighted estimated by MRI for improving their</w:t>
      </w:r>
      <w:r w:rsidRPr="00372DBA">
        <w:rPr>
          <w:rFonts w:ascii="Times New Roman" w:hAnsi="Times New Roman" w:cs="Times New Roman"/>
          <w:color w:val="000000"/>
          <w:sz w:val="28"/>
          <w:szCs w:val="28"/>
          <w:lang w:val="en-US"/>
        </w:rPr>
        <w:t xml:space="preserve"> </w:t>
      </w:r>
      <w:r w:rsidRPr="00372DBA">
        <w:rPr>
          <w:rFonts w:ascii="Times New Roman" w:hAnsi="Times New Roman" w:cs="Times New Roman"/>
          <w:bCs/>
          <w:sz w:val="28"/>
          <w:szCs w:val="28"/>
          <w:shd w:val="clear" w:color="auto" w:fill="FFFFFF"/>
          <w:lang w:val="en-US" w:eastAsia="x-none"/>
        </w:rPr>
        <w:t>differential diagnosis, histologic subtyping, and differentiation grade.</w:t>
      </w:r>
      <w:r w:rsidRPr="00372DBA">
        <w:rPr>
          <w:rFonts w:ascii="Times New Roman" w:hAnsi="Times New Roman" w:cs="Times New Roman"/>
          <w:color w:val="000000"/>
          <w:sz w:val="28"/>
          <w:szCs w:val="28"/>
          <w:lang w:val="en-US"/>
        </w:rPr>
        <w:t xml:space="preserve"> </w:t>
      </w:r>
      <w:r w:rsidRPr="00372DBA">
        <w:rPr>
          <w:rFonts w:ascii="Times New Roman" w:hAnsi="Times New Roman" w:cs="Times New Roman"/>
          <w:sz w:val="28"/>
          <w:szCs w:val="28"/>
          <w:shd w:val="clear" w:color="auto" w:fill="FFFFFF"/>
        </w:rPr>
        <w:t>Int Urol Nephrol</w:t>
      </w:r>
      <w:r w:rsidRPr="00372DBA">
        <w:rPr>
          <w:rFonts w:ascii="Times New Roman" w:hAnsi="Times New Roman" w:cs="Times New Roman"/>
          <w:sz w:val="28"/>
          <w:szCs w:val="28"/>
          <w:shd w:val="clear" w:color="auto" w:fill="FFFFFF"/>
          <w:lang w:val="en-US"/>
        </w:rPr>
        <w:t>. 2017 Feb 12; 49(2):215-224</w:t>
      </w:r>
      <w:r>
        <w:rPr>
          <w:rFonts w:ascii="Times New Roman" w:hAnsi="Times New Roman" w:cs="Times New Roman"/>
          <w:sz w:val="28"/>
          <w:szCs w:val="28"/>
          <w:shd w:val="clear" w:color="auto" w:fill="FFFFFF"/>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shd w:val="clear" w:color="auto" w:fill="FFFFFF"/>
          <w:lang w:val="en-US"/>
        </w:rPr>
        <w:t>.</w:t>
      </w:r>
    </w:p>
    <w:p w:rsidR="007B5A1D" w:rsidRPr="007876C9" w:rsidRDefault="007B5A1D" w:rsidP="001C129B">
      <w:pPr>
        <w:pStyle w:val="ListParagraph"/>
        <w:numPr>
          <w:ilvl w:val="0"/>
          <w:numId w:val="21"/>
        </w:numPr>
        <w:spacing w:after="0" w:line="360" w:lineRule="auto"/>
        <w:ind w:right="96"/>
        <w:jc w:val="both"/>
        <w:rPr>
          <w:rFonts w:ascii="Times New Roman" w:eastAsia="Times New Roman" w:hAnsi="Times New Roman" w:cs="Times New Roman"/>
          <w:sz w:val="28"/>
          <w:szCs w:val="28"/>
          <w:lang w:eastAsia="uk-UA"/>
        </w:rPr>
      </w:pPr>
      <w:r w:rsidRPr="007876C9">
        <w:rPr>
          <w:rFonts w:ascii="Times New Roman" w:eastAsia="Times New Roman" w:hAnsi="Times New Roman" w:cs="Times New Roman"/>
          <w:sz w:val="28"/>
          <w:szCs w:val="28"/>
          <w:lang w:eastAsia="uk-UA"/>
        </w:rPr>
        <w:t xml:space="preserve">Mytsyk Y, Dosenko V, Borys Y, Kucher A, </w:t>
      </w:r>
      <w:r>
        <w:rPr>
          <w:rFonts w:ascii="Times New Roman" w:eastAsia="Times New Roman" w:hAnsi="Times New Roman" w:cs="Times New Roman"/>
          <w:sz w:val="28"/>
          <w:szCs w:val="28"/>
          <w:lang w:eastAsia="uk-UA"/>
        </w:rPr>
        <w:t>Gazdikova K, Busselberg D</w:t>
      </w:r>
      <w:r w:rsidRPr="007876C9">
        <w:rPr>
          <w:rFonts w:ascii="Times New Roman" w:eastAsia="Times New Roman" w:hAnsi="Times New Roman" w:cs="Times New Roman"/>
          <w:sz w:val="28"/>
          <w:szCs w:val="28"/>
          <w:lang w:eastAsia="uk-UA"/>
        </w:rPr>
        <w:t>. MicroRNA-15a expression measured in urine samples as a potential biomarker of renal cell carcinoma. Int Urol Nephrol. 2018 Mar 16;1–9</w:t>
      </w:r>
      <w:r>
        <w:rPr>
          <w:rFonts w:ascii="Times New Roman" w:eastAsia="Times New Roman" w:hAnsi="Times New Roman" w:cs="Times New Roman"/>
          <w:sz w:val="28"/>
          <w:szCs w:val="28"/>
          <w:lang w:eastAsia="uk-UA"/>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lang w:eastAsia="uk-UA"/>
        </w:rPr>
        <w:t>.</w:t>
      </w:r>
    </w:p>
    <w:p w:rsidR="007B5A1D" w:rsidRPr="00372DBA" w:rsidRDefault="007B5A1D" w:rsidP="001C129B">
      <w:pPr>
        <w:pStyle w:val="NoSpacing"/>
        <w:numPr>
          <w:ilvl w:val="0"/>
          <w:numId w:val="21"/>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w:t>
      </w:r>
      <w:r w:rsidRPr="00DC3BAE">
        <w:rPr>
          <w:rFonts w:ascii="Times New Roman" w:hAnsi="Times New Roman" w:cs="Times New Roman"/>
          <w:sz w:val="28"/>
          <w:szCs w:val="28"/>
        </w:rPr>
        <w:t xml:space="preserve"> </w:t>
      </w:r>
      <w:r w:rsidRPr="00372DBA">
        <w:rPr>
          <w:rFonts w:ascii="Times New Roman" w:hAnsi="Times New Roman" w:cs="Times New Roman"/>
          <w:sz w:val="28"/>
          <w:szCs w:val="28"/>
          <w:lang w:val="en-US"/>
        </w:rPr>
        <w:t>YO</w:t>
      </w:r>
      <w:r w:rsidRPr="00DC3BAE">
        <w:rPr>
          <w:rFonts w:ascii="Times New Roman" w:hAnsi="Times New Roman" w:cs="Times New Roman"/>
          <w:sz w:val="28"/>
          <w:szCs w:val="28"/>
        </w:rPr>
        <w:t>,</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Dutka</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IY</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Borys</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YB</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 xml:space="preserve">Diychuk </w:t>
      </w:r>
      <w:r w:rsidRPr="00372DBA">
        <w:rPr>
          <w:rFonts w:ascii="Times New Roman" w:hAnsi="Times New Roman" w:cs="Times New Roman"/>
          <w:sz w:val="28"/>
          <w:szCs w:val="28"/>
          <w:shd w:val="clear" w:color="auto" w:fill="FFFFFF"/>
          <w:lang w:val="en-US"/>
        </w:rPr>
        <w:t>YP</w:t>
      </w:r>
      <w:r w:rsidRPr="00372DBA">
        <w:rPr>
          <w:rFonts w:ascii="Times New Roman" w:hAnsi="Times New Roman" w:cs="Times New Roman"/>
          <w:sz w:val="28"/>
          <w:szCs w:val="28"/>
          <w:shd w:val="clear" w:color="auto" w:fill="FFFFFF"/>
        </w:rPr>
        <w:t>,</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rPr>
        <w:t xml:space="preserve">Kowalskyy </w:t>
      </w:r>
      <w:r>
        <w:rPr>
          <w:rFonts w:ascii="Times New Roman" w:hAnsi="Times New Roman" w:cs="Times New Roman"/>
          <w:sz w:val="28"/>
          <w:szCs w:val="28"/>
          <w:shd w:val="clear" w:color="auto" w:fill="FFFFFF"/>
          <w:lang w:val="en-US"/>
        </w:rPr>
        <w:t>VV</w:t>
      </w:r>
      <w:r w:rsidRPr="00DC3BA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Pasichnyk</w:t>
      </w:r>
      <w:r w:rsidRPr="00DC3BA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SM</w:t>
      </w:r>
      <w:r w:rsidRPr="00DC3BAE">
        <w:rPr>
          <w:rFonts w:ascii="Times New Roman" w:hAnsi="Times New Roman" w:cs="Times New Roman"/>
          <w:sz w:val="28"/>
          <w:szCs w:val="28"/>
          <w:shd w:val="clear" w:color="auto" w:fill="FFFFFF"/>
        </w:rPr>
        <w:t xml:space="preserve">. </w:t>
      </w:r>
      <w:r w:rsidRPr="00372DBA">
        <w:rPr>
          <w:rFonts w:ascii="Times New Roman" w:hAnsi="Times New Roman" w:cs="Times New Roman"/>
          <w:color w:val="000000"/>
          <w:sz w:val="28"/>
          <w:szCs w:val="28"/>
          <w:shd w:val="clear" w:color="auto" w:fill="FFFFFF"/>
          <w:lang w:val="en-US"/>
        </w:rPr>
        <w:t xml:space="preserve">Potential of application of the apparent diffusion coefficient as the imaging biomarker of the clear cell renal cell carcinoma of various grades of differentiation. </w:t>
      </w:r>
      <w:r w:rsidRPr="00372DBA">
        <w:rPr>
          <w:rFonts w:ascii="Times New Roman" w:eastAsia="Times New Roman" w:hAnsi="Times New Roman" w:cs="Times New Roman"/>
          <w:color w:val="000000"/>
          <w:sz w:val="28"/>
          <w:szCs w:val="28"/>
          <w:lang w:eastAsia="uk-UA"/>
        </w:rPr>
        <w:t>European Journal of Medical Technologies</w:t>
      </w:r>
      <w:r w:rsidRPr="00372DBA">
        <w:rPr>
          <w:rFonts w:ascii="Times New Roman" w:eastAsia="Times New Roman" w:hAnsi="Times New Roman" w:cs="Times New Roman"/>
          <w:color w:val="000000"/>
          <w:sz w:val="28"/>
          <w:szCs w:val="28"/>
          <w:lang w:val="en-US" w:eastAsia="uk-UA"/>
        </w:rPr>
        <w:t xml:space="preserve">. 2017 Sept 21; </w:t>
      </w:r>
      <w:r w:rsidRPr="00372DBA">
        <w:rPr>
          <w:rFonts w:ascii="Times New Roman" w:eastAsia="Times New Roman" w:hAnsi="Times New Roman" w:cs="Times New Roman"/>
          <w:color w:val="000000"/>
          <w:sz w:val="28"/>
          <w:szCs w:val="28"/>
          <w:lang w:eastAsia="uk-UA"/>
        </w:rPr>
        <w:t>3(16): 52-57</w:t>
      </w:r>
      <w:r>
        <w:rPr>
          <w:rFonts w:ascii="Times New Roman" w:eastAsia="Times New Roman" w:hAnsi="Times New Roman" w:cs="Times New Roman"/>
          <w:color w:val="000000"/>
          <w:sz w:val="28"/>
          <w:szCs w:val="28"/>
          <w:lang w:eastAsia="uk-UA"/>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eastAsia="Times New Roman" w:hAnsi="Times New Roman" w:cs="Times New Roman"/>
          <w:color w:val="000000"/>
          <w:sz w:val="28"/>
          <w:szCs w:val="28"/>
          <w:lang w:eastAsia="uk-UA"/>
        </w:rPr>
        <w:t>.</w:t>
      </w:r>
    </w:p>
    <w:p w:rsidR="007B5A1D" w:rsidRPr="007B5A1D" w:rsidRDefault="007B5A1D" w:rsidP="001C129B">
      <w:pPr>
        <w:pStyle w:val="NoSpacing"/>
        <w:numPr>
          <w:ilvl w:val="0"/>
          <w:numId w:val="21"/>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lang w:val="en-US"/>
        </w:rPr>
        <w:t>Mytsyk YO,</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sz w:val="28"/>
          <w:szCs w:val="28"/>
          <w:shd w:val="clear" w:color="auto" w:fill="FFFFFF"/>
        </w:rPr>
        <w:t xml:space="preserve">Dutka IY, Borys YB, </w:t>
      </w:r>
      <w:r w:rsidRPr="00372DBA">
        <w:rPr>
          <w:rFonts w:ascii="Times New Roman" w:hAnsi="Times New Roman" w:cs="Times New Roman"/>
          <w:sz w:val="28"/>
          <w:szCs w:val="28"/>
          <w:shd w:val="clear" w:color="auto" w:fill="FFFFFF"/>
          <w:lang w:val="en-US"/>
        </w:rPr>
        <w:t>Maksymovych</w:t>
      </w:r>
      <w:r w:rsidRPr="00372DBA">
        <w:rPr>
          <w:rFonts w:ascii="Times New Roman" w:hAnsi="Times New Roman" w:cs="Times New Roman"/>
          <w:sz w:val="28"/>
          <w:szCs w:val="28"/>
          <w:shd w:val="clear" w:color="auto" w:fill="FFFFFF"/>
        </w:rPr>
        <w:t xml:space="preserve"> </w:t>
      </w:r>
      <w:r w:rsidRPr="00372DBA">
        <w:rPr>
          <w:rFonts w:ascii="Times New Roman" w:hAnsi="Times New Roman" w:cs="Times New Roman"/>
          <w:sz w:val="28"/>
          <w:szCs w:val="28"/>
          <w:shd w:val="clear" w:color="auto" w:fill="FFFFFF"/>
          <w:lang w:val="en-US"/>
        </w:rPr>
        <w:t>I</w:t>
      </w:r>
      <w:r w:rsidRPr="00372DBA">
        <w:rPr>
          <w:rFonts w:ascii="Times New Roman" w:hAnsi="Times New Roman" w:cs="Times New Roman"/>
          <w:sz w:val="28"/>
          <w:szCs w:val="28"/>
          <w:shd w:val="clear" w:color="auto" w:fill="FFFFFF"/>
        </w:rPr>
        <w:t>R,</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sz w:val="28"/>
          <w:szCs w:val="28"/>
          <w:shd w:val="clear" w:color="auto" w:fill="FFFFFF"/>
        </w:rPr>
        <w:t xml:space="preserve">Caprnda </w:t>
      </w:r>
      <w:r w:rsidRPr="00372DBA">
        <w:rPr>
          <w:rFonts w:ascii="Times New Roman" w:hAnsi="Times New Roman" w:cs="Times New Roman"/>
          <w:sz w:val="28"/>
          <w:szCs w:val="28"/>
          <w:shd w:val="clear" w:color="auto" w:fill="FFFFFF"/>
          <w:lang w:val="en-US"/>
        </w:rPr>
        <w:t>M</w:t>
      </w:r>
      <w:r w:rsidRPr="00372DBA">
        <w:rPr>
          <w:rFonts w:ascii="Times New Roman" w:hAnsi="Times New Roman" w:cs="Times New Roman"/>
          <w:sz w:val="28"/>
          <w:szCs w:val="28"/>
          <w:shd w:val="clear" w:color="auto" w:fill="FFFFFF"/>
        </w:rPr>
        <w:t>,</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sz w:val="28"/>
          <w:szCs w:val="28"/>
          <w:shd w:val="clear" w:color="auto" w:fill="FFFFFF"/>
        </w:rPr>
        <w:t>Gazdikova</w:t>
      </w:r>
      <w:r>
        <w:rPr>
          <w:rFonts w:ascii="Times New Roman" w:hAnsi="Times New Roman" w:cs="Times New Roman"/>
          <w:sz w:val="28"/>
          <w:szCs w:val="28"/>
          <w:shd w:val="clear" w:color="auto" w:fill="FFFFFF"/>
          <w:lang w:val="en-US"/>
        </w:rPr>
        <w:t xml:space="preserve"> K</w:t>
      </w:r>
      <w:r w:rsidRPr="00372DBA">
        <w:rPr>
          <w:rFonts w:ascii="Times New Roman" w:hAnsi="Times New Roman" w:cs="Times New Roman"/>
          <w:sz w:val="28"/>
          <w:szCs w:val="28"/>
          <w:shd w:val="clear" w:color="auto" w:fill="FFFFFF"/>
          <w:lang w:val="en-US"/>
        </w:rPr>
        <w:t xml:space="preserve">. </w:t>
      </w:r>
      <w:r w:rsidRPr="00372DBA">
        <w:rPr>
          <w:rFonts w:ascii="Times New Roman" w:hAnsi="Times New Roman" w:cs="Times New Roman"/>
          <w:color w:val="000000"/>
          <w:sz w:val="28"/>
          <w:szCs w:val="28"/>
          <w:shd w:val="clear" w:color="auto" w:fill="FFFFFF"/>
          <w:lang w:val="en-US"/>
        </w:rPr>
        <w:t>Differential diagnosis of the small renal masses: role of the apparent diffusion coefficient of the diffusion-weighted MRI.</w:t>
      </w:r>
      <w:r w:rsidRPr="00372DBA">
        <w:rPr>
          <w:rFonts w:ascii="Times New Roman" w:hAnsi="Times New Roman" w:cs="Times New Roman"/>
          <w:sz w:val="28"/>
          <w:szCs w:val="28"/>
          <w:lang w:eastAsia="uk-UA"/>
        </w:rPr>
        <w:t xml:space="preserve"> Int Urol Nephrol. 2018 Feb</w:t>
      </w:r>
      <w:r w:rsidRPr="009E6C7E">
        <w:rPr>
          <w:rFonts w:ascii="Times New Roman" w:hAnsi="Times New Roman" w:cs="Times New Roman"/>
          <w:sz w:val="28"/>
          <w:szCs w:val="28"/>
          <w:lang w:eastAsia="uk-UA"/>
        </w:rPr>
        <w:t xml:space="preserve"> 1</w:t>
      </w:r>
      <w:r w:rsidRPr="00372DBA">
        <w:rPr>
          <w:rFonts w:ascii="Times New Roman" w:hAnsi="Times New Roman" w:cs="Times New Roman"/>
          <w:sz w:val="28"/>
          <w:szCs w:val="28"/>
          <w:lang w:eastAsia="uk-UA"/>
        </w:rPr>
        <w:t>;50(2):197-204</w:t>
      </w:r>
      <w:r>
        <w:rPr>
          <w:rFonts w:ascii="Times New Roman" w:hAnsi="Times New Roman" w:cs="Times New Roman"/>
          <w:sz w:val="28"/>
          <w:szCs w:val="28"/>
          <w:lang w:eastAsia="uk-UA"/>
        </w:rPr>
        <w:t xml:space="preserve"> </w:t>
      </w:r>
      <w:r w:rsidRPr="001F0C51">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r w:rsidRPr="00372DBA">
        <w:rPr>
          <w:rFonts w:ascii="Times New Roman" w:hAnsi="Times New Roman" w:cs="Times New Roman"/>
          <w:sz w:val="28"/>
          <w:szCs w:val="28"/>
          <w:lang w:eastAsia="uk-UA"/>
        </w:rPr>
        <w:t>.</w:t>
      </w:r>
    </w:p>
    <w:p w:rsidR="007B5A1D" w:rsidRPr="007B5A1D" w:rsidRDefault="007B5A1D" w:rsidP="007B5A1D">
      <w:pPr>
        <w:tabs>
          <w:tab w:val="left" w:pos="1080"/>
        </w:tabs>
        <w:spacing w:line="360" w:lineRule="auto"/>
        <w:jc w:val="both"/>
        <w:rPr>
          <w:rFonts w:ascii="Times New Roman" w:hAnsi="Times New Roman" w:cs="Times New Roman"/>
          <w:sz w:val="28"/>
          <w:szCs w:val="28"/>
        </w:rPr>
      </w:pPr>
      <w:r w:rsidRPr="007B5A1D">
        <w:rPr>
          <w:rFonts w:ascii="Times New Roman" w:hAnsi="Times New Roman" w:cs="Times New Roman"/>
          <w:sz w:val="28"/>
          <w:szCs w:val="28"/>
        </w:rPr>
        <w:t>Наукові праці, які засвідчують апробацію матеріалів дисертації:</w:t>
      </w:r>
    </w:p>
    <w:p w:rsidR="007B5A1D" w:rsidRPr="009E6C7E" w:rsidRDefault="007B5A1D" w:rsidP="001C129B">
      <w:pPr>
        <w:pStyle w:val="NoSpacing"/>
        <w:numPr>
          <w:ilvl w:val="0"/>
          <w:numId w:val="22"/>
        </w:numPr>
        <w:spacing w:line="360" w:lineRule="auto"/>
        <w:jc w:val="both"/>
        <w:rPr>
          <w:rFonts w:ascii="Times New Roman" w:hAnsi="Times New Roman" w:cs="Times New Roman"/>
          <w:color w:val="000000"/>
          <w:sz w:val="28"/>
          <w:szCs w:val="28"/>
          <w:lang w:val="ru-RU"/>
        </w:rPr>
      </w:pPr>
      <w:r w:rsidRPr="007B5A1D">
        <w:rPr>
          <w:rFonts w:ascii="Times New Roman" w:hAnsi="Times New Roman" w:cs="Times New Roman"/>
          <w:sz w:val="28"/>
          <w:szCs w:val="28"/>
        </w:rPr>
        <w:t xml:space="preserve">Мицик ЮО, Ільчишин ОС, Дац ІВ, Мицик ОІ, Чернова НВ. </w:t>
      </w:r>
      <w:r w:rsidRPr="00372DBA">
        <w:rPr>
          <w:rFonts w:ascii="Times New Roman" w:hAnsi="Times New Roman" w:cs="Times New Roman"/>
          <w:bCs/>
          <w:sz w:val="28"/>
          <w:szCs w:val="28"/>
          <w:lang w:val="ru-RU"/>
        </w:rPr>
        <w:t xml:space="preserve">Использование диффузно-взвешенной визуализации магнитно-резонансной томографии для диагностики почечно-клеточного рака. </w:t>
      </w:r>
      <w:r w:rsidRPr="00372DBA">
        <w:rPr>
          <w:rFonts w:ascii="Times New Roman" w:eastAsia="TimesNewRomanPS-BoldMT" w:hAnsi="Times New Roman" w:cs="Times New Roman"/>
          <w:bCs/>
          <w:sz w:val="28"/>
          <w:szCs w:val="28"/>
          <w:lang w:val="ru-RU"/>
        </w:rPr>
        <w:t>Сборник научных статей Республиканской научно-практической конференции посвященной 25-</w:t>
      </w:r>
      <w:r w:rsidRPr="00372DBA">
        <w:rPr>
          <w:rFonts w:ascii="Times New Roman" w:eastAsia="TimesNewRomanPS-BoldMT" w:hAnsi="Times New Roman" w:cs="Times New Roman"/>
          <w:bCs/>
          <w:sz w:val="28"/>
          <w:szCs w:val="28"/>
          <w:lang w:val="ru-RU"/>
        </w:rPr>
        <w:lastRenderedPageBreak/>
        <w:t>летию основания учреждения образования «Гомельский государственный медицинский университет»; 2015</w:t>
      </w:r>
      <w:r w:rsidRPr="009E6C7E">
        <w:rPr>
          <w:rFonts w:ascii="Times New Roman" w:eastAsia="TimesNewRomanPS-BoldMT" w:hAnsi="Times New Roman" w:cs="Times New Roman"/>
          <w:bCs/>
          <w:sz w:val="28"/>
          <w:szCs w:val="28"/>
          <w:lang w:val="ru-RU"/>
        </w:rPr>
        <w:t xml:space="preserve"> </w:t>
      </w:r>
      <w:r w:rsidRPr="00372DBA">
        <w:rPr>
          <w:rFonts w:ascii="Times New Roman" w:eastAsia="TimesNewRomanPS-BoldMT" w:hAnsi="Times New Roman" w:cs="Times New Roman"/>
          <w:bCs/>
          <w:sz w:val="28"/>
          <w:szCs w:val="28"/>
        </w:rPr>
        <w:t xml:space="preserve">Ноя </w:t>
      </w:r>
      <w:r w:rsidRPr="009E6C7E">
        <w:rPr>
          <w:rFonts w:ascii="Times New Roman" w:eastAsia="TimesNewRomanPS-BoldMT" w:hAnsi="Times New Roman" w:cs="Times New Roman"/>
          <w:bCs/>
          <w:sz w:val="28"/>
          <w:szCs w:val="28"/>
          <w:lang w:val="ru-RU"/>
        </w:rPr>
        <w:t xml:space="preserve">5-6 </w:t>
      </w:r>
      <w:r w:rsidRPr="00372DBA">
        <w:rPr>
          <w:rFonts w:ascii="Times New Roman" w:eastAsia="TimesNewRomanPS-BoldMT" w:hAnsi="Times New Roman" w:cs="Times New Roman"/>
          <w:bCs/>
          <w:sz w:val="28"/>
          <w:szCs w:val="28"/>
          <w:lang w:val="ru-RU"/>
        </w:rPr>
        <w:t>; Гомель, Беларусь; с.699-700.</w:t>
      </w:r>
    </w:p>
    <w:p w:rsidR="007B5A1D" w:rsidRPr="00372DBA" w:rsidRDefault="007B5A1D" w:rsidP="001C129B">
      <w:pPr>
        <w:pStyle w:val="NoSpacing"/>
        <w:numPr>
          <w:ilvl w:val="0"/>
          <w:numId w:val="22"/>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w:t>
      </w:r>
      <w:r w:rsidRPr="009E6C7E">
        <w:rPr>
          <w:rFonts w:ascii="Times New Roman" w:hAnsi="Times New Roman" w:cs="Times New Roman"/>
          <w:sz w:val="28"/>
          <w:szCs w:val="28"/>
          <w:lang w:val="ru-RU"/>
        </w:rPr>
        <w:t xml:space="preserve"> </w:t>
      </w:r>
      <w:r w:rsidRPr="00372DBA">
        <w:rPr>
          <w:rFonts w:ascii="Times New Roman" w:hAnsi="Times New Roman" w:cs="Times New Roman"/>
          <w:sz w:val="28"/>
          <w:szCs w:val="28"/>
          <w:lang w:val="en-US"/>
        </w:rPr>
        <w:t>YO</w:t>
      </w:r>
      <w:r w:rsidRPr="009E6C7E">
        <w:rPr>
          <w:rFonts w:ascii="Times New Roman" w:hAnsi="Times New Roman" w:cs="Times New Roman"/>
          <w:sz w:val="28"/>
          <w:szCs w:val="28"/>
          <w:lang w:val="ru-RU"/>
        </w:rPr>
        <w:t xml:space="preserve">, </w:t>
      </w:r>
      <w:r w:rsidRPr="00372DBA">
        <w:rPr>
          <w:rFonts w:ascii="Times New Roman" w:hAnsi="Times New Roman" w:cs="Times New Roman"/>
          <w:sz w:val="28"/>
          <w:szCs w:val="28"/>
          <w:shd w:val="clear" w:color="auto" w:fill="FFFFFF"/>
          <w:lang w:val="en-US"/>
        </w:rPr>
        <w:t>Borys</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YB</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Dutka</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IY</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Komnatska</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IM</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Datz</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IV</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Shatynska</w:t>
      </w:r>
      <w:r w:rsidRPr="009E6C7E">
        <w:rPr>
          <w:rFonts w:ascii="Times New Roman" w:hAnsi="Times New Roman" w:cs="Times New Roman"/>
          <w:sz w:val="28"/>
          <w:szCs w:val="28"/>
          <w:shd w:val="clear" w:color="auto" w:fill="FFFFFF"/>
          <w:lang w:val="ru-RU"/>
        </w:rPr>
        <w:t>-</w:t>
      </w:r>
      <w:r w:rsidRPr="00372DBA">
        <w:rPr>
          <w:rFonts w:ascii="Times New Roman" w:hAnsi="Times New Roman" w:cs="Times New Roman"/>
          <w:sz w:val="28"/>
          <w:szCs w:val="28"/>
          <w:shd w:val="clear" w:color="auto" w:fill="FFFFFF"/>
          <w:lang w:val="en-US"/>
        </w:rPr>
        <w:t>Mytsyk</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IS</w:t>
      </w:r>
      <w:r w:rsidRPr="009E6C7E">
        <w:rPr>
          <w:rFonts w:ascii="Times New Roman" w:hAnsi="Times New Roman" w:cs="Times New Roman"/>
          <w:sz w:val="28"/>
          <w:szCs w:val="28"/>
          <w:shd w:val="clear" w:color="auto" w:fill="FFFFFF"/>
          <w:lang w:val="ru-RU"/>
        </w:rPr>
        <w:t xml:space="preserve">. </w:t>
      </w:r>
      <w:r w:rsidRPr="00372DBA">
        <w:rPr>
          <w:rFonts w:ascii="Times New Roman" w:hAnsi="Times New Roman" w:cs="Times New Roman"/>
          <w:sz w:val="28"/>
          <w:szCs w:val="28"/>
          <w:shd w:val="clear" w:color="auto" w:fill="FFFFFF"/>
          <w:lang w:val="en-US"/>
        </w:rPr>
        <w:t>Diffusion-weighted imaging of the renal cell carcinoma: applicability and limitations of the apparent diffusion coefficient in differential diagnostics of the malignant renal lesions. Insights into Imaging Supplement 6(1). Materials of European Congress of Radiology 2015 Mar 4-8; Vienna, Austria; 2015; p.304.</w:t>
      </w:r>
    </w:p>
    <w:p w:rsidR="007B5A1D" w:rsidRPr="00372DBA" w:rsidRDefault="007B5A1D" w:rsidP="001C129B">
      <w:pPr>
        <w:pStyle w:val="NoSpacing"/>
        <w:numPr>
          <w:ilvl w:val="0"/>
          <w:numId w:val="22"/>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w:t>
      </w:r>
      <w:r w:rsidRPr="00372DBA">
        <w:rPr>
          <w:rFonts w:ascii="Times New Roman" w:hAnsi="Times New Roman" w:cs="Times New Roman"/>
          <w:sz w:val="28"/>
          <w:szCs w:val="28"/>
          <w:shd w:val="clear" w:color="auto" w:fill="FFFFFF"/>
          <w:lang w:val="en-US"/>
        </w:rPr>
        <w:t>Borys YB, Dutka IY, Komnatska IM, Dat</w:t>
      </w:r>
      <w:r>
        <w:rPr>
          <w:rFonts w:ascii="Times New Roman" w:hAnsi="Times New Roman" w:cs="Times New Roman"/>
          <w:sz w:val="28"/>
          <w:szCs w:val="28"/>
          <w:shd w:val="clear" w:color="auto" w:fill="FFFFFF"/>
          <w:lang w:val="en-US"/>
        </w:rPr>
        <w:t>z IV, Shatynska-Mytsyk IS</w:t>
      </w:r>
      <w:r w:rsidRPr="00372DBA">
        <w:rPr>
          <w:rFonts w:ascii="Times New Roman" w:hAnsi="Times New Roman" w:cs="Times New Roman"/>
          <w:sz w:val="28"/>
          <w:szCs w:val="28"/>
          <w:shd w:val="clear" w:color="auto" w:fill="FFFFFF"/>
          <w:lang w:val="en-US"/>
        </w:rPr>
        <w:t>. The application of the diffusion-weighted MRI and the apparent diffusion coefficient in differential diagnostics of the renal masses: the possibilities and the limitations in prediction of the histologic subtype and grade. European Urology Supplements 14(2). Materials of Congress of European Association of Urology 2015 Mar 20-24; Madrid, Spain; p. 419.</w:t>
      </w:r>
    </w:p>
    <w:p w:rsidR="007B5A1D" w:rsidRPr="00372DBA" w:rsidRDefault="007B5A1D" w:rsidP="001C129B">
      <w:pPr>
        <w:pStyle w:val="NoSpacing"/>
        <w:numPr>
          <w:ilvl w:val="0"/>
          <w:numId w:val="22"/>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w:t>
      </w:r>
      <w:r w:rsidRPr="00372DBA">
        <w:rPr>
          <w:rFonts w:ascii="Times New Roman" w:hAnsi="Times New Roman" w:cs="Times New Roman"/>
          <w:sz w:val="28"/>
          <w:szCs w:val="28"/>
          <w:shd w:val="clear" w:color="auto" w:fill="FFFFFF"/>
          <w:lang w:val="en-US"/>
        </w:rPr>
        <w:t>Borys YB, Dutka IY, Komnatska IM,</w:t>
      </w:r>
      <w:r w:rsidRPr="00372DBA">
        <w:rPr>
          <w:rFonts w:ascii="Times New Roman" w:hAnsi="Times New Roman" w:cs="Times New Roman"/>
          <w:sz w:val="28"/>
          <w:szCs w:val="28"/>
          <w:lang w:val="en-US"/>
        </w:rPr>
        <w:t xml:space="preserve"> Mytsyk OI, </w:t>
      </w:r>
      <w:r w:rsidRPr="00372DBA">
        <w:rPr>
          <w:rFonts w:ascii="Times New Roman" w:hAnsi="Times New Roman" w:cs="Times New Roman"/>
          <w:sz w:val="28"/>
          <w:szCs w:val="28"/>
          <w:shd w:val="clear" w:color="auto" w:fill="FFFFFF"/>
          <w:lang w:val="en-US"/>
        </w:rPr>
        <w:t xml:space="preserve">Chernova NV. </w:t>
      </w:r>
      <w:r w:rsidRPr="00372DBA">
        <w:rPr>
          <w:rFonts w:ascii="Times New Roman" w:eastAsia="Times New Roman" w:hAnsi="Times New Roman" w:cs="Times New Roman"/>
          <w:bCs/>
          <w:sz w:val="28"/>
          <w:szCs w:val="28"/>
          <w:shd w:val="clear" w:color="auto" w:fill="FFFFFF"/>
          <w:lang w:val="en-US" w:eastAsia="x-none"/>
        </w:rPr>
        <w:t xml:space="preserve">Investigation of the renal lesions using the diffusion-weighted magnetic resonance imaging and the apparent diffusion coefficient. </w:t>
      </w:r>
      <w:r w:rsidRPr="00372DBA">
        <w:rPr>
          <w:rFonts w:ascii="Times New Roman" w:hAnsi="Times New Roman" w:cs="Times New Roman"/>
          <w:sz w:val="28"/>
          <w:szCs w:val="28"/>
          <w:shd w:val="clear" w:color="auto" w:fill="FFFFFF"/>
          <w:lang w:val="en-US"/>
        </w:rPr>
        <w:t xml:space="preserve">Central European Journal of Urology Supplement 1. </w:t>
      </w:r>
      <w:r w:rsidRPr="00372DBA">
        <w:rPr>
          <w:rFonts w:ascii="Times New Roman" w:eastAsia="Times New Roman" w:hAnsi="Times New Roman" w:cs="Times New Roman"/>
          <w:bCs/>
          <w:sz w:val="28"/>
          <w:szCs w:val="28"/>
          <w:shd w:val="clear" w:color="auto" w:fill="FFFFFF"/>
          <w:lang w:val="en-US" w:eastAsia="x-none"/>
        </w:rPr>
        <w:t xml:space="preserve">Materials of the 46-th Scientific Congress of the Polish Urological Association; 2016 Jun 22-24; </w:t>
      </w:r>
      <w:r w:rsidRPr="00372DBA">
        <w:rPr>
          <w:rFonts w:ascii="Times New Roman" w:hAnsi="Times New Roman" w:cs="Times New Roman"/>
          <w:sz w:val="28"/>
          <w:szCs w:val="28"/>
          <w:lang w:val="en-US" w:eastAsia="uk-UA"/>
        </w:rPr>
        <w:t>Katowice, Poland; p. 20.</w:t>
      </w:r>
    </w:p>
    <w:p w:rsidR="007B5A1D" w:rsidRPr="00372DBA" w:rsidRDefault="007B5A1D" w:rsidP="001C129B">
      <w:pPr>
        <w:pStyle w:val="NoSpacing"/>
        <w:numPr>
          <w:ilvl w:val="0"/>
          <w:numId w:val="22"/>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 xml:space="preserve">Mytsyk YO, Dosenko VE, Borys YB, </w:t>
      </w:r>
      <w:r w:rsidRPr="00372DBA">
        <w:rPr>
          <w:rFonts w:ascii="Times New Roman" w:hAnsi="Times New Roman" w:cs="Times New Roman"/>
          <w:color w:val="000000"/>
          <w:sz w:val="28"/>
          <w:szCs w:val="28"/>
          <w:lang w:val="en-US"/>
        </w:rPr>
        <w:t>Datz IV,</w:t>
      </w:r>
      <w:r w:rsidRPr="00372DBA">
        <w:rPr>
          <w:rFonts w:ascii="Times New Roman" w:hAnsi="Times New Roman" w:cs="Times New Roman"/>
          <w:sz w:val="28"/>
          <w:szCs w:val="28"/>
          <w:lang w:val="en-US"/>
        </w:rPr>
        <w:t xml:space="preserve"> Pasichnyk SM. </w:t>
      </w:r>
      <w:r w:rsidRPr="00372DBA">
        <w:rPr>
          <w:rFonts w:ascii="Times New Roman" w:hAnsi="Times New Roman" w:cs="Times New Roman"/>
          <w:bCs/>
          <w:sz w:val="28"/>
          <w:szCs w:val="28"/>
          <w:lang w:val="en-US" w:eastAsia="uk-UA"/>
        </w:rPr>
        <w:t>Diagnostic value of measured in urine MicroRNA-15a in patients with the renal cell carcinoma.</w:t>
      </w:r>
      <w:r w:rsidRPr="00372DBA">
        <w:rPr>
          <w:rFonts w:ascii="Times New Roman" w:hAnsi="Times New Roman" w:cs="Times New Roman"/>
          <w:sz w:val="28"/>
          <w:szCs w:val="28"/>
          <w:lang w:val="en-US" w:eastAsia="uk-UA"/>
        </w:rPr>
        <w:t xml:space="preserve"> Materials of the 47 Congress of Polish Society of Urology; 2017 Jun 21; Katowice; p. 77.</w:t>
      </w:r>
    </w:p>
    <w:p w:rsidR="007B5A1D" w:rsidRPr="009E6C7E" w:rsidRDefault="007B5A1D" w:rsidP="001C129B">
      <w:pPr>
        <w:pStyle w:val="NoSpacing"/>
        <w:numPr>
          <w:ilvl w:val="0"/>
          <w:numId w:val="22"/>
        </w:numPr>
        <w:spacing w:line="360" w:lineRule="auto"/>
        <w:jc w:val="both"/>
        <w:rPr>
          <w:rFonts w:ascii="Times New Roman" w:hAnsi="Times New Roman" w:cs="Times New Roman"/>
          <w:color w:val="000000"/>
          <w:sz w:val="28"/>
          <w:szCs w:val="28"/>
          <w:lang w:val="ru-RU"/>
        </w:rPr>
      </w:pPr>
      <w:r w:rsidRPr="00372DBA">
        <w:rPr>
          <w:rFonts w:ascii="Times New Roman" w:hAnsi="Times New Roman" w:cs="Times New Roman"/>
          <w:sz w:val="28"/>
          <w:szCs w:val="28"/>
        </w:rPr>
        <w:t>Мицик ЮО, Дутка ІЮ, Борис ЮБ, Комнаць</w:t>
      </w:r>
      <w:r>
        <w:rPr>
          <w:rFonts w:ascii="Times New Roman" w:hAnsi="Times New Roman" w:cs="Times New Roman"/>
          <w:sz w:val="28"/>
          <w:szCs w:val="28"/>
        </w:rPr>
        <w:t>ка ІМ, Іллюк ПО, Мицик ОІ</w:t>
      </w:r>
      <w:r w:rsidRPr="00372DBA">
        <w:rPr>
          <w:rFonts w:ascii="Times New Roman" w:hAnsi="Times New Roman" w:cs="Times New Roman"/>
          <w:sz w:val="28"/>
          <w:szCs w:val="28"/>
        </w:rPr>
        <w:t xml:space="preserve">. Застосування променевих біомаркерів МРТ для діагностики локального рецидиву при локалізованому чи локально-розповсюдженому нирково-клітинному раку після нефректомії. </w:t>
      </w:r>
      <w:r w:rsidRPr="00372DBA">
        <w:rPr>
          <w:rFonts w:ascii="Times New Roman" w:hAnsi="Times New Roman" w:cs="Times New Roman"/>
          <w:sz w:val="28"/>
          <w:szCs w:val="28"/>
          <w:shd w:val="clear" w:color="auto" w:fill="FFFFFF"/>
        </w:rPr>
        <w:t xml:space="preserve">Матеріали </w:t>
      </w:r>
      <w:r w:rsidRPr="00372DBA">
        <w:rPr>
          <w:rFonts w:ascii="Times New Roman" w:hAnsi="Times New Roman" w:cs="Times New Roman"/>
          <w:sz w:val="28"/>
          <w:szCs w:val="28"/>
          <w:shd w:val="clear" w:color="auto" w:fill="FFFFFF"/>
          <w:lang w:val="en-US"/>
        </w:rPr>
        <w:t>XVI</w:t>
      </w:r>
      <w:r w:rsidRPr="00372DBA">
        <w:rPr>
          <w:rFonts w:ascii="Times New Roman" w:hAnsi="Times New Roman" w:cs="Times New Roman"/>
          <w:sz w:val="28"/>
          <w:szCs w:val="28"/>
          <w:shd w:val="clear" w:color="auto" w:fill="FFFFFF"/>
        </w:rPr>
        <w:t xml:space="preserve"> З’їзду Всеукраїнського лікарського товариства; 2017 Вер 28; Кам’янець-Подільський; с.165-166.</w:t>
      </w:r>
    </w:p>
    <w:p w:rsidR="007B5A1D" w:rsidRPr="00372DBA" w:rsidRDefault="007B5A1D" w:rsidP="001C129B">
      <w:pPr>
        <w:pStyle w:val="NoSpacing"/>
        <w:numPr>
          <w:ilvl w:val="0"/>
          <w:numId w:val="22"/>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 xml:space="preserve">Мицик ЮО. Тканинна експресія мікроРНК-15: новітній прогностичний молекулярний біомаркер нирково-клітинного раку. </w:t>
      </w:r>
      <w:r w:rsidRPr="00372DBA">
        <w:rPr>
          <w:rFonts w:ascii="Times New Roman" w:hAnsi="Times New Roman" w:cs="Times New Roman"/>
          <w:sz w:val="28"/>
          <w:szCs w:val="28"/>
          <w:shd w:val="clear" w:color="auto" w:fill="FFFFFF"/>
        </w:rPr>
        <w:t xml:space="preserve">Матеріали </w:t>
      </w:r>
      <w:r w:rsidRPr="00372DBA">
        <w:rPr>
          <w:rFonts w:ascii="Times New Roman" w:hAnsi="Times New Roman" w:cs="Times New Roman"/>
          <w:sz w:val="28"/>
          <w:szCs w:val="28"/>
          <w:shd w:val="clear" w:color="auto" w:fill="FFFFFF"/>
          <w:lang w:val="en-US"/>
        </w:rPr>
        <w:t>VI</w:t>
      </w:r>
      <w:r w:rsidRPr="00372DBA">
        <w:rPr>
          <w:rFonts w:ascii="Times New Roman" w:hAnsi="Times New Roman" w:cs="Times New Roman"/>
          <w:sz w:val="28"/>
          <w:szCs w:val="28"/>
          <w:shd w:val="clear" w:color="auto" w:fill="FFFFFF"/>
        </w:rPr>
        <w:t xml:space="preserve"> Всеукраїнської науково-практичної конференції «Наукові дослідження: </w:t>
      </w:r>
      <w:r w:rsidRPr="00372DBA">
        <w:rPr>
          <w:rFonts w:ascii="Times New Roman" w:hAnsi="Times New Roman" w:cs="Times New Roman"/>
          <w:sz w:val="28"/>
          <w:szCs w:val="28"/>
          <w:shd w:val="clear" w:color="auto" w:fill="FFFFFF"/>
        </w:rPr>
        <w:lastRenderedPageBreak/>
        <w:t>перспективи інновацій у суспільстві і розвитку технологій». 2017 Лист 24-25; Харків; с.42-45.</w:t>
      </w:r>
    </w:p>
    <w:p w:rsidR="007B5A1D" w:rsidRPr="009E6C7E" w:rsidRDefault="007B5A1D" w:rsidP="001C129B">
      <w:pPr>
        <w:pStyle w:val="NoSpacing"/>
        <w:numPr>
          <w:ilvl w:val="0"/>
          <w:numId w:val="22"/>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Роль променевих біомаркерів у передбаченні ефективності проведеної селективної емболізації ниркових артерій у хворих із нирково-клітинним раком. </w:t>
      </w:r>
      <w:r w:rsidRPr="00372DBA">
        <w:rPr>
          <w:rFonts w:ascii="Times New Roman" w:hAnsi="Times New Roman" w:cs="Times New Roman"/>
          <w:sz w:val="28"/>
          <w:szCs w:val="28"/>
          <w:shd w:val="clear" w:color="auto" w:fill="FFFFFF"/>
        </w:rPr>
        <w:t>Матеріали ІІ міжнародної наукової конференції студентів та молодих вчених пам’яті професора І.І.Мітюка. 2017 Гру 08; Вінниця. с.5-6.</w:t>
      </w:r>
    </w:p>
    <w:p w:rsidR="007B5A1D" w:rsidRPr="009E6C7E" w:rsidRDefault="007B5A1D" w:rsidP="001C129B">
      <w:pPr>
        <w:pStyle w:val="NoSpacing"/>
        <w:numPr>
          <w:ilvl w:val="0"/>
          <w:numId w:val="22"/>
        </w:numPr>
        <w:spacing w:line="360" w:lineRule="auto"/>
        <w:jc w:val="both"/>
        <w:rPr>
          <w:rFonts w:ascii="Times New Roman" w:hAnsi="Times New Roman" w:cs="Times New Roman"/>
          <w:color w:val="000000"/>
          <w:sz w:val="28"/>
          <w:szCs w:val="28"/>
          <w:lang w:val="ru-RU"/>
        </w:rPr>
      </w:pPr>
      <w:r w:rsidRPr="00372DBA">
        <w:rPr>
          <w:rFonts w:ascii="Times New Roman" w:hAnsi="Times New Roman" w:cs="Times New Roman"/>
          <w:sz w:val="28"/>
          <w:szCs w:val="28"/>
        </w:rPr>
        <w:t xml:space="preserve">Мицик ЮО. Використання мікроРНК-15а у якості діагностичного біомаркеру нирково-клітинного раку. </w:t>
      </w:r>
      <w:r w:rsidRPr="00372DBA">
        <w:rPr>
          <w:rFonts w:ascii="Times New Roman" w:hAnsi="Times New Roman" w:cs="Times New Roman"/>
          <w:color w:val="000000"/>
          <w:sz w:val="28"/>
          <w:szCs w:val="28"/>
        </w:rPr>
        <w:t>Альманах науки 9(1). Матеріали міжнародної науково-практичної конференції «Наука та майбутнє»; 2017 Лист 29-30; Київ с. 29-34.</w:t>
      </w:r>
    </w:p>
    <w:p w:rsidR="007B5A1D" w:rsidRPr="007B5A1D" w:rsidRDefault="007B5A1D" w:rsidP="001C129B">
      <w:pPr>
        <w:pStyle w:val="NoSpacing"/>
        <w:numPr>
          <w:ilvl w:val="0"/>
          <w:numId w:val="22"/>
        </w:numPr>
        <w:spacing w:line="360" w:lineRule="auto"/>
        <w:jc w:val="both"/>
        <w:rPr>
          <w:rFonts w:ascii="Times New Roman" w:hAnsi="Times New Roman" w:cs="Times New Roman"/>
          <w:color w:val="000000"/>
          <w:sz w:val="28"/>
          <w:szCs w:val="28"/>
        </w:rPr>
      </w:pPr>
      <w:r w:rsidRPr="00372DBA">
        <w:rPr>
          <w:rFonts w:ascii="Times New Roman" w:hAnsi="Times New Roman" w:cs="Times New Roman"/>
          <w:sz w:val="28"/>
          <w:szCs w:val="28"/>
        </w:rPr>
        <w:t xml:space="preserve">Мицик ЮО, Дутка ІЮ, Комнацька ІМ, Мотринець НП, Борис ЮБ. Променеві біомаркери на </w:t>
      </w:r>
      <w:r>
        <w:rPr>
          <w:rFonts w:ascii="Times New Roman" w:hAnsi="Times New Roman" w:cs="Times New Roman"/>
          <w:sz w:val="28"/>
          <w:szCs w:val="28"/>
        </w:rPr>
        <w:t>підставі</w:t>
      </w:r>
      <w:r w:rsidRPr="00372DBA">
        <w:rPr>
          <w:rFonts w:ascii="Times New Roman" w:hAnsi="Times New Roman" w:cs="Times New Roman"/>
          <w:sz w:val="28"/>
          <w:szCs w:val="28"/>
        </w:rPr>
        <w:t xml:space="preserve"> даних мультифазної КТ у диференціації нирково-клітинного раку. </w:t>
      </w:r>
      <w:r w:rsidRPr="00372DBA">
        <w:rPr>
          <w:rFonts w:ascii="Times New Roman" w:hAnsi="Times New Roman" w:cs="Times New Roman"/>
          <w:color w:val="000000"/>
          <w:sz w:val="28"/>
          <w:szCs w:val="28"/>
        </w:rPr>
        <w:t xml:space="preserve">Матеріали </w:t>
      </w:r>
      <w:r w:rsidRPr="00372DBA">
        <w:rPr>
          <w:rFonts w:ascii="Times New Roman" w:hAnsi="Times New Roman" w:cs="Times New Roman"/>
          <w:sz w:val="28"/>
          <w:szCs w:val="28"/>
        </w:rPr>
        <w:t>6-го національного конгресу з міжнародною участю «Радіологія в Україні». 2018 Бер 28-30; Ірпінь</w:t>
      </w:r>
      <w:r>
        <w:rPr>
          <w:rFonts w:ascii="Times New Roman" w:hAnsi="Times New Roman" w:cs="Times New Roman"/>
          <w:sz w:val="28"/>
          <w:szCs w:val="28"/>
        </w:rPr>
        <w:t>. с.77</w:t>
      </w:r>
      <w:r w:rsidRPr="00372DBA">
        <w:rPr>
          <w:rFonts w:ascii="Times New Roman" w:hAnsi="Times New Roman" w:cs="Times New Roman"/>
          <w:sz w:val="28"/>
          <w:szCs w:val="28"/>
        </w:rPr>
        <w:t>.</w:t>
      </w:r>
    </w:p>
    <w:p w:rsidR="007B5A1D" w:rsidRPr="007B5A1D" w:rsidRDefault="007B5A1D" w:rsidP="007B5A1D">
      <w:pPr>
        <w:tabs>
          <w:tab w:val="left" w:pos="1080"/>
        </w:tabs>
        <w:spacing w:line="360" w:lineRule="auto"/>
        <w:jc w:val="both"/>
        <w:rPr>
          <w:rFonts w:ascii="Times New Roman" w:hAnsi="Times New Roman" w:cs="Times New Roman"/>
          <w:sz w:val="28"/>
          <w:szCs w:val="28"/>
        </w:rPr>
      </w:pPr>
      <w:r w:rsidRPr="007B5A1D">
        <w:rPr>
          <w:rFonts w:ascii="Times New Roman" w:hAnsi="Times New Roman" w:cs="Times New Roman"/>
          <w:sz w:val="28"/>
          <w:szCs w:val="28"/>
        </w:rPr>
        <w:t>Наукові праці, які додатково відображають наукові результати дисертації:</w:t>
      </w:r>
    </w:p>
    <w:p w:rsidR="007B5A1D" w:rsidRPr="007B5A1D" w:rsidRDefault="007B5A1D" w:rsidP="001C129B">
      <w:pPr>
        <w:pStyle w:val="NoSpacing"/>
        <w:numPr>
          <w:ilvl w:val="0"/>
          <w:numId w:val="23"/>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lang w:val="en-US"/>
        </w:rPr>
        <w:t>Mytsyk YO. The differential diagnostics of the malignant renal lesions: the Application of the diffusion-weighted imaging of the renal cell carcinoma [Internet]. Medtube;</w:t>
      </w:r>
      <w:r w:rsidRPr="00372DBA">
        <w:rPr>
          <w:rFonts w:ascii="Times New Roman" w:hAnsi="Times New Roman" w:cs="Times New Roman"/>
          <w:color w:val="000000"/>
          <w:sz w:val="28"/>
          <w:szCs w:val="28"/>
          <w:lang w:val="en-US"/>
        </w:rPr>
        <w:t xml:space="preserve"> 2015 [updated 2015 June 12; cited 2015 June 12]. Available from: </w:t>
      </w:r>
      <w:r w:rsidRPr="001F0C51">
        <w:rPr>
          <w:rFonts w:ascii="Times New Roman" w:hAnsi="Times New Roman" w:cs="Times New Roman"/>
          <w:sz w:val="28"/>
          <w:szCs w:val="28"/>
        </w:rPr>
        <w:t>https://medtube.net/urology/medical-documents/17039-the-differential-diagnostics-of-the-malignant-renal-lesions-the-application-of-the-diffusion-weighted-imaging-of-the-renal-cell-carcinoma</w:t>
      </w:r>
      <w:r w:rsidRPr="001F0C51">
        <w:rPr>
          <w:rFonts w:ascii="Times New Roman" w:hAnsi="Times New Roman" w:cs="Times New Roman"/>
          <w:color w:val="000000"/>
          <w:sz w:val="28"/>
          <w:szCs w:val="28"/>
        </w:rPr>
        <w:t>.</w:t>
      </w:r>
    </w:p>
    <w:p w:rsidR="007B5A1D" w:rsidRPr="00372DBA" w:rsidRDefault="007B5A1D" w:rsidP="001C129B">
      <w:pPr>
        <w:pStyle w:val="NoSpacing"/>
        <w:numPr>
          <w:ilvl w:val="0"/>
          <w:numId w:val="23"/>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Мицик ЮО,  Дутка ІЮ, Борис ЮБ, К</w:t>
      </w:r>
      <w:r>
        <w:rPr>
          <w:rFonts w:ascii="Times New Roman" w:hAnsi="Times New Roman" w:cs="Times New Roman"/>
          <w:sz w:val="28"/>
          <w:szCs w:val="28"/>
        </w:rPr>
        <w:t>омнацька ІМ, Шатинська-Мицик ІС</w:t>
      </w:r>
      <w:r w:rsidRPr="00372DBA">
        <w:rPr>
          <w:rFonts w:ascii="Times New Roman" w:hAnsi="Times New Roman" w:cs="Times New Roman"/>
          <w:sz w:val="28"/>
          <w:szCs w:val="28"/>
        </w:rPr>
        <w:t xml:space="preserve">; Львівський національний медичний університет ім. Данила Галицького, патентовласник. </w:t>
      </w:r>
      <w:r w:rsidRPr="00372DBA">
        <w:rPr>
          <w:rFonts w:ascii="Times New Roman" w:hAnsi="Times New Roman" w:cs="Times New Roman"/>
          <w:bCs/>
          <w:sz w:val="28"/>
          <w:szCs w:val="28"/>
        </w:rPr>
        <w:t xml:space="preserve">Спосіб диференційної діагностики нирково-клітинного раку за допомогою променевих біомаркерів. </w:t>
      </w:r>
      <w:r w:rsidRPr="00372DBA">
        <w:rPr>
          <w:rFonts w:ascii="Times New Roman" w:hAnsi="Times New Roman" w:cs="Times New Roman"/>
          <w:sz w:val="28"/>
          <w:szCs w:val="28"/>
        </w:rPr>
        <w:t xml:space="preserve">Патент України на корисну модель №106661. 2016 Квіт 25. </w:t>
      </w:r>
    </w:p>
    <w:p w:rsidR="007B5A1D" w:rsidRPr="00372DBA" w:rsidRDefault="007B5A1D" w:rsidP="001C129B">
      <w:pPr>
        <w:pStyle w:val="NoSpacing"/>
        <w:numPr>
          <w:ilvl w:val="0"/>
          <w:numId w:val="23"/>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Мицик ЮО,  Досенко ВЄ,</w:t>
      </w:r>
      <w:r>
        <w:rPr>
          <w:rFonts w:ascii="Times New Roman" w:hAnsi="Times New Roman" w:cs="Times New Roman"/>
          <w:sz w:val="28"/>
          <w:szCs w:val="28"/>
        </w:rPr>
        <w:t xml:space="preserve"> Борис ЮБ, Чернова НВ, Мицик ОІ</w:t>
      </w:r>
      <w:r w:rsidRPr="00372DBA">
        <w:rPr>
          <w:rFonts w:ascii="Times New Roman" w:hAnsi="Times New Roman" w:cs="Times New Roman"/>
          <w:sz w:val="28"/>
          <w:szCs w:val="28"/>
        </w:rPr>
        <w:t xml:space="preserve">; Львівський національний медичний університет ім. Данила Галицького, </w:t>
      </w:r>
      <w:r w:rsidRPr="00372DBA">
        <w:rPr>
          <w:rFonts w:ascii="Times New Roman" w:hAnsi="Times New Roman" w:cs="Times New Roman"/>
          <w:sz w:val="28"/>
          <w:szCs w:val="28"/>
        </w:rPr>
        <w:lastRenderedPageBreak/>
        <w:t>патентовласник. Спосіб діагностики нирково-клітинного раку за допомогою молекулярного біомаркеру мікроРНК-15а в сечі. Патент України на корисну модель №</w:t>
      </w:r>
      <w:r w:rsidRPr="00372DBA">
        <w:rPr>
          <w:rFonts w:ascii="Times New Roman" w:hAnsi="Times New Roman" w:cs="Times New Roman"/>
          <w:sz w:val="28"/>
          <w:szCs w:val="28"/>
          <w:lang w:eastAsia="uk-UA"/>
        </w:rPr>
        <w:t>120859</w:t>
      </w:r>
      <w:r w:rsidRPr="00372DBA">
        <w:rPr>
          <w:rFonts w:ascii="Times New Roman" w:hAnsi="Times New Roman" w:cs="Times New Roman"/>
          <w:sz w:val="28"/>
          <w:szCs w:val="28"/>
        </w:rPr>
        <w:t xml:space="preserve">. 2017 Лист 27. </w:t>
      </w:r>
    </w:p>
    <w:p w:rsidR="007B5A1D" w:rsidRPr="00372DBA" w:rsidRDefault="007B5A1D" w:rsidP="001C129B">
      <w:pPr>
        <w:pStyle w:val="NoSpacing"/>
        <w:numPr>
          <w:ilvl w:val="0"/>
          <w:numId w:val="23"/>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Мицик ЮО,  Борис ЮБ, Дутка ІЮ, Комнацька ІМ,</w:t>
      </w:r>
      <w:r>
        <w:rPr>
          <w:rFonts w:ascii="Times New Roman" w:hAnsi="Times New Roman" w:cs="Times New Roman"/>
          <w:sz w:val="28"/>
          <w:szCs w:val="28"/>
        </w:rPr>
        <w:t xml:space="preserve"> Сало ВМ, Дац ІВ, Мацькевич В.М</w:t>
      </w:r>
      <w:r w:rsidRPr="00372DBA">
        <w:rPr>
          <w:rFonts w:ascii="Times New Roman" w:hAnsi="Times New Roman" w:cs="Times New Roman"/>
          <w:sz w:val="28"/>
          <w:szCs w:val="28"/>
        </w:rPr>
        <w:t xml:space="preserve">; Львівський національний медичний університет ім. Данила Галицького, патентовласник. Спосіб </w:t>
      </w:r>
      <w:r w:rsidRPr="00372DBA">
        <w:rPr>
          <w:rFonts w:ascii="Times New Roman" w:hAnsi="Times New Roman" w:cs="Times New Roman"/>
          <w:color w:val="000000"/>
          <w:sz w:val="28"/>
          <w:szCs w:val="28"/>
        </w:rPr>
        <w:t xml:space="preserve">прогнозування інтраопераційної крововтрати при радикальній нефректомії у хворих з нирково-клітинним раком після емболізації ниркових артерій за допомогою променевих біомаркерів. </w:t>
      </w:r>
      <w:r w:rsidRPr="00372DBA">
        <w:rPr>
          <w:rFonts w:ascii="Times New Roman" w:hAnsi="Times New Roman" w:cs="Times New Roman"/>
          <w:sz w:val="28"/>
          <w:szCs w:val="28"/>
        </w:rPr>
        <w:t xml:space="preserve">Патент України на корисну модель №120856. 2017 Лист 27. </w:t>
      </w:r>
    </w:p>
    <w:p w:rsidR="007B5A1D" w:rsidRPr="004D33E1" w:rsidRDefault="007B5A1D" w:rsidP="001C129B">
      <w:pPr>
        <w:pStyle w:val="NoSpacing"/>
        <w:numPr>
          <w:ilvl w:val="0"/>
          <w:numId w:val="23"/>
        </w:numPr>
        <w:spacing w:line="360" w:lineRule="auto"/>
        <w:jc w:val="both"/>
        <w:rPr>
          <w:rFonts w:ascii="Times New Roman" w:hAnsi="Times New Roman" w:cs="Times New Roman"/>
          <w:color w:val="000000"/>
          <w:sz w:val="28"/>
          <w:szCs w:val="28"/>
          <w:lang w:val="en-US"/>
        </w:rPr>
      </w:pPr>
      <w:r w:rsidRPr="00372DBA">
        <w:rPr>
          <w:rFonts w:ascii="Times New Roman" w:hAnsi="Times New Roman" w:cs="Times New Roman"/>
          <w:sz w:val="28"/>
          <w:szCs w:val="28"/>
        </w:rPr>
        <w:t>Мицик ЮО,  Досенко ВЄ,</w:t>
      </w:r>
      <w:r>
        <w:rPr>
          <w:rFonts w:ascii="Times New Roman" w:hAnsi="Times New Roman" w:cs="Times New Roman"/>
          <w:sz w:val="28"/>
          <w:szCs w:val="28"/>
        </w:rPr>
        <w:t xml:space="preserve"> Борис ЮБ, Чернова НВ, Мицик ОІ</w:t>
      </w:r>
      <w:r w:rsidRPr="00372DBA">
        <w:rPr>
          <w:rFonts w:ascii="Times New Roman" w:hAnsi="Times New Roman" w:cs="Times New Roman"/>
          <w:sz w:val="28"/>
          <w:szCs w:val="28"/>
        </w:rPr>
        <w:t>; Львівський національний медичний університет ім. Данила Галицького, патентовласник. Спосіб прогнозування канцер-специфічного виживання після проведення нефректомії у хворих із нирково-клітинним раком за допомогою молекулярного біомаркеру</w:t>
      </w:r>
      <w:r w:rsidRPr="00372DBA">
        <w:rPr>
          <w:rFonts w:ascii="Times New Roman" w:hAnsi="Times New Roman" w:cs="Times New Roman"/>
          <w:color w:val="000000"/>
          <w:sz w:val="28"/>
          <w:szCs w:val="28"/>
        </w:rPr>
        <w:t xml:space="preserve"> мікроРНК-15а </w:t>
      </w:r>
      <w:r w:rsidRPr="00372DBA">
        <w:rPr>
          <w:rFonts w:ascii="Times New Roman" w:hAnsi="Times New Roman" w:cs="Times New Roman"/>
          <w:sz w:val="28"/>
          <w:szCs w:val="28"/>
        </w:rPr>
        <w:t xml:space="preserve"> в тканинах пухлини. Патент України на корисну модель №120883. 2017 Лист 27.</w:t>
      </w:r>
    </w:p>
    <w:p w:rsidR="00AF30BA" w:rsidRDefault="00AF30BA" w:rsidP="00AF30BA">
      <w:pPr>
        <w:pStyle w:val="NoSpacing"/>
        <w:spacing w:line="360" w:lineRule="auto"/>
        <w:jc w:val="both"/>
        <w:rPr>
          <w:rFonts w:ascii="Times New Roman" w:hAnsi="Times New Roman" w:cs="Times New Roman"/>
          <w:sz w:val="28"/>
          <w:szCs w:val="28"/>
        </w:rPr>
      </w:pPr>
    </w:p>
    <w:p w:rsidR="00AF30BA" w:rsidRDefault="00AF30BA" w:rsidP="00AF30BA">
      <w:pPr>
        <w:pStyle w:val="NoSpacing"/>
        <w:spacing w:line="360" w:lineRule="auto"/>
        <w:jc w:val="both"/>
        <w:rPr>
          <w:rFonts w:ascii="Times New Roman" w:hAnsi="Times New Roman" w:cs="Times New Roman"/>
          <w:sz w:val="28"/>
          <w:szCs w:val="28"/>
        </w:rPr>
      </w:pPr>
    </w:p>
    <w:p w:rsidR="00536740" w:rsidRDefault="00536740" w:rsidP="00AF30BA">
      <w:pPr>
        <w:pStyle w:val="NoSpacing"/>
        <w:spacing w:line="360" w:lineRule="auto"/>
        <w:jc w:val="both"/>
        <w:rPr>
          <w:rFonts w:ascii="Times New Roman" w:hAnsi="Times New Roman" w:cs="Times New Roman"/>
          <w:sz w:val="28"/>
          <w:szCs w:val="28"/>
        </w:rPr>
      </w:pPr>
    </w:p>
    <w:p w:rsidR="00536740" w:rsidRDefault="00536740" w:rsidP="00AF30BA">
      <w:pPr>
        <w:pStyle w:val="NoSpacing"/>
        <w:spacing w:line="360" w:lineRule="auto"/>
        <w:jc w:val="both"/>
        <w:rPr>
          <w:rFonts w:ascii="Times New Roman" w:hAnsi="Times New Roman" w:cs="Times New Roman"/>
          <w:sz w:val="28"/>
          <w:szCs w:val="28"/>
        </w:rPr>
      </w:pPr>
    </w:p>
    <w:p w:rsidR="00536740" w:rsidRDefault="00536740" w:rsidP="00AF30BA">
      <w:pPr>
        <w:pStyle w:val="NoSpacing"/>
        <w:spacing w:line="360" w:lineRule="auto"/>
        <w:jc w:val="both"/>
        <w:rPr>
          <w:rFonts w:ascii="Times New Roman" w:hAnsi="Times New Roman" w:cs="Times New Roman"/>
          <w:sz w:val="28"/>
          <w:szCs w:val="28"/>
        </w:rPr>
      </w:pPr>
    </w:p>
    <w:p w:rsidR="00536740" w:rsidRDefault="00536740" w:rsidP="00AF30BA">
      <w:pPr>
        <w:pStyle w:val="NoSpacing"/>
        <w:spacing w:line="360" w:lineRule="auto"/>
        <w:jc w:val="both"/>
        <w:rPr>
          <w:rFonts w:ascii="Times New Roman" w:hAnsi="Times New Roman" w:cs="Times New Roman"/>
          <w:sz w:val="28"/>
          <w:szCs w:val="28"/>
        </w:rPr>
      </w:pPr>
    </w:p>
    <w:p w:rsidR="00536740" w:rsidRDefault="00536740" w:rsidP="00AF30BA">
      <w:pPr>
        <w:pStyle w:val="NoSpacing"/>
        <w:spacing w:line="360" w:lineRule="auto"/>
        <w:jc w:val="both"/>
        <w:rPr>
          <w:rFonts w:ascii="Times New Roman" w:hAnsi="Times New Roman" w:cs="Times New Roman"/>
          <w:sz w:val="28"/>
          <w:szCs w:val="28"/>
          <w:lang w:val="en-US"/>
        </w:rPr>
      </w:pPr>
    </w:p>
    <w:p w:rsidR="00C9739D" w:rsidRDefault="00C9739D" w:rsidP="00AF30BA">
      <w:pPr>
        <w:pStyle w:val="NoSpacing"/>
        <w:spacing w:line="360" w:lineRule="auto"/>
        <w:jc w:val="both"/>
        <w:rPr>
          <w:rFonts w:ascii="Times New Roman" w:hAnsi="Times New Roman" w:cs="Times New Roman"/>
          <w:sz w:val="28"/>
          <w:szCs w:val="28"/>
          <w:lang w:val="en-US"/>
        </w:rPr>
      </w:pPr>
    </w:p>
    <w:p w:rsidR="00C9739D" w:rsidRDefault="00C9739D" w:rsidP="00AF30BA">
      <w:pPr>
        <w:pStyle w:val="NoSpacing"/>
        <w:spacing w:line="360" w:lineRule="auto"/>
        <w:jc w:val="both"/>
        <w:rPr>
          <w:rFonts w:ascii="Times New Roman" w:hAnsi="Times New Roman" w:cs="Times New Roman"/>
          <w:sz w:val="28"/>
          <w:szCs w:val="28"/>
          <w:lang w:val="en-US"/>
        </w:rPr>
      </w:pPr>
    </w:p>
    <w:p w:rsidR="00C9739D" w:rsidRDefault="00C9739D" w:rsidP="00AF30BA">
      <w:pPr>
        <w:pStyle w:val="NoSpacing"/>
        <w:spacing w:line="360" w:lineRule="auto"/>
        <w:jc w:val="both"/>
        <w:rPr>
          <w:rFonts w:ascii="Times New Roman" w:hAnsi="Times New Roman" w:cs="Times New Roman"/>
          <w:sz w:val="28"/>
          <w:szCs w:val="28"/>
          <w:lang w:val="en-US"/>
        </w:rPr>
      </w:pPr>
    </w:p>
    <w:p w:rsidR="00C9739D" w:rsidRDefault="00C9739D" w:rsidP="00AF30BA">
      <w:pPr>
        <w:pStyle w:val="NoSpacing"/>
        <w:spacing w:line="360" w:lineRule="auto"/>
        <w:jc w:val="both"/>
        <w:rPr>
          <w:rFonts w:ascii="Times New Roman" w:hAnsi="Times New Roman" w:cs="Times New Roman"/>
          <w:sz w:val="28"/>
          <w:szCs w:val="28"/>
          <w:lang w:val="en-US"/>
        </w:rPr>
      </w:pPr>
    </w:p>
    <w:p w:rsidR="00C9739D" w:rsidRDefault="00C9739D" w:rsidP="00AF30BA">
      <w:pPr>
        <w:pStyle w:val="NoSpacing"/>
        <w:spacing w:line="360" w:lineRule="auto"/>
        <w:jc w:val="both"/>
        <w:rPr>
          <w:rFonts w:ascii="Times New Roman" w:hAnsi="Times New Roman" w:cs="Times New Roman"/>
          <w:sz w:val="28"/>
          <w:szCs w:val="28"/>
          <w:lang w:val="en-US"/>
        </w:rPr>
      </w:pPr>
    </w:p>
    <w:p w:rsidR="00C9739D" w:rsidRDefault="00C9739D" w:rsidP="00AF30BA">
      <w:pPr>
        <w:pStyle w:val="NoSpacing"/>
        <w:spacing w:line="360" w:lineRule="auto"/>
        <w:jc w:val="both"/>
        <w:rPr>
          <w:rFonts w:ascii="Times New Roman" w:hAnsi="Times New Roman" w:cs="Times New Roman"/>
          <w:sz w:val="28"/>
          <w:szCs w:val="28"/>
          <w:lang w:val="en-US"/>
        </w:rPr>
      </w:pPr>
    </w:p>
    <w:p w:rsidR="00C9739D" w:rsidRPr="00090CE2" w:rsidRDefault="00C9739D" w:rsidP="00AF30BA">
      <w:pPr>
        <w:pStyle w:val="NoSpacing"/>
        <w:spacing w:line="360" w:lineRule="auto"/>
        <w:jc w:val="both"/>
        <w:rPr>
          <w:rFonts w:ascii="Times New Roman" w:hAnsi="Times New Roman" w:cs="Times New Roman"/>
          <w:sz w:val="28"/>
          <w:szCs w:val="28"/>
          <w:lang w:val="en-US"/>
        </w:rPr>
      </w:pPr>
    </w:p>
    <w:p w:rsidR="00AF30BA" w:rsidRDefault="001C129B" w:rsidP="00AF30BA">
      <w:pPr>
        <w:spacing w:after="0" w:line="360" w:lineRule="auto"/>
        <w:jc w:val="center"/>
        <w:rPr>
          <w:rFonts w:ascii="Times New Roman" w:eastAsia="Times New Roman" w:hAnsi="Times New Roman"/>
          <w:b/>
          <w:caps/>
          <w:sz w:val="28"/>
          <w:szCs w:val="28"/>
          <w:lang w:eastAsia="ru-RU"/>
        </w:rPr>
      </w:pPr>
      <w:r>
        <w:rPr>
          <w:rFonts w:ascii="Times New Roman" w:eastAsia="Times New Roman" w:hAnsi="Times New Roman"/>
          <w:b/>
          <w:caps/>
          <w:sz w:val="28"/>
          <w:szCs w:val="28"/>
          <w:lang w:eastAsia="ru-RU"/>
        </w:rPr>
        <w:lastRenderedPageBreak/>
        <w:t>Додаток Б</w:t>
      </w:r>
    </w:p>
    <w:p w:rsidR="00C36617" w:rsidRPr="003B100D" w:rsidRDefault="00C36617" w:rsidP="00AF30BA">
      <w:pPr>
        <w:spacing w:after="0" w:line="360" w:lineRule="auto"/>
        <w:jc w:val="center"/>
        <w:rPr>
          <w:rFonts w:ascii="Times New Roman" w:eastAsia="Times New Roman" w:hAnsi="Times New Roman"/>
          <w:b/>
          <w:caps/>
          <w:sz w:val="28"/>
          <w:szCs w:val="28"/>
          <w:lang w:eastAsia="ru-RU"/>
        </w:rPr>
      </w:pPr>
    </w:p>
    <w:p w:rsidR="00AF30BA" w:rsidRPr="003B100D" w:rsidRDefault="00AF30BA" w:rsidP="00AF30BA">
      <w:pPr>
        <w:spacing w:after="0" w:line="360" w:lineRule="auto"/>
        <w:jc w:val="center"/>
        <w:rPr>
          <w:rFonts w:ascii="Times New Roman" w:eastAsia="Times New Roman" w:hAnsi="Times New Roman"/>
          <w:b/>
          <w:sz w:val="28"/>
          <w:szCs w:val="28"/>
          <w:lang w:eastAsia="ru-RU"/>
        </w:rPr>
      </w:pPr>
      <w:r w:rsidRPr="003B100D">
        <w:rPr>
          <w:rFonts w:ascii="Times New Roman" w:eastAsia="Times New Roman" w:hAnsi="Times New Roman"/>
          <w:b/>
          <w:sz w:val="28"/>
          <w:szCs w:val="28"/>
          <w:lang w:eastAsia="ru-RU"/>
        </w:rPr>
        <w:t>Апробація результатів дисертації.</w:t>
      </w:r>
    </w:p>
    <w:p w:rsidR="00AF30BA" w:rsidRPr="004D38F8" w:rsidRDefault="00AF30BA" w:rsidP="00AF30BA">
      <w:pPr>
        <w:spacing w:line="300" w:lineRule="auto"/>
        <w:ind w:firstLine="709"/>
        <w:jc w:val="both"/>
        <w:rPr>
          <w:rFonts w:ascii="Times New Roman" w:hAnsi="Times New Roman" w:cs="Times New Roman"/>
          <w:sz w:val="28"/>
          <w:szCs w:val="28"/>
          <w:shd w:val="clear" w:color="auto" w:fill="FFFFFF"/>
        </w:rPr>
      </w:pPr>
      <w:r w:rsidRPr="00704D63">
        <w:rPr>
          <w:rFonts w:ascii="Times New Roman" w:hAnsi="Times New Roman" w:cs="Times New Roman"/>
          <w:sz w:val="28"/>
          <w:szCs w:val="28"/>
          <w:lang w:val="en-US"/>
        </w:rPr>
        <w:t>K</w:t>
      </w:r>
      <w:r w:rsidRPr="00704D63">
        <w:rPr>
          <w:rFonts w:ascii="Times New Roman" w:hAnsi="Times New Roman" w:cs="Times New Roman"/>
          <w:sz w:val="28"/>
          <w:szCs w:val="28"/>
        </w:rPr>
        <w:t xml:space="preserve">onferencja Naukowo-Szkoleniowa “Diagnostyka obrazowa jamy brzusznej”, 04-05.10.2013, Sandomierz, </w:t>
      </w:r>
      <w:r w:rsidRPr="00704D63">
        <w:rPr>
          <w:rFonts w:ascii="Times New Roman" w:hAnsi="Times New Roman" w:cs="Times New Roman"/>
          <w:sz w:val="28"/>
          <w:szCs w:val="28"/>
          <w:lang w:val="en-US"/>
        </w:rPr>
        <w:t>Poland</w:t>
      </w:r>
      <w:r w:rsidRPr="00704D63">
        <w:rPr>
          <w:rFonts w:ascii="Times New Roman" w:hAnsi="Times New Roman" w:cs="Times New Roman"/>
          <w:sz w:val="28"/>
          <w:szCs w:val="28"/>
        </w:rPr>
        <w:t xml:space="preserve">; </w:t>
      </w:r>
      <w:r w:rsidRPr="00704D63">
        <w:rPr>
          <w:rFonts w:ascii="Times New Roman" w:hAnsi="Times New Roman" w:cs="Times New Roman"/>
          <w:color w:val="000000"/>
          <w:sz w:val="28"/>
          <w:szCs w:val="28"/>
          <w:shd w:val="clear" w:color="auto" w:fill="FFFFFF"/>
        </w:rPr>
        <w:t xml:space="preserve">Konferencję Jubileuszową z okazji 50-lecia Oddziału Podkarpackiego Polskiego Lekarskiego Towarzystwa Radiologicznego oraz 25-lecia Zakładu Radiologii i Diagnostyki Obrazowej Szpitala Wojewódzkiego Nr 2 im. Św. Jadwigi Królowej w Rzeszowie, 23-25.05.2014, Rzeszow, </w:t>
      </w:r>
      <w:r w:rsidRPr="00704D63">
        <w:rPr>
          <w:rFonts w:ascii="Times New Roman" w:hAnsi="Times New Roman" w:cs="Times New Roman"/>
          <w:sz w:val="28"/>
          <w:szCs w:val="28"/>
          <w:lang w:val="en-US"/>
        </w:rPr>
        <w:t>Poland</w:t>
      </w:r>
      <w:r w:rsidRPr="000D2159">
        <w:rPr>
          <w:rFonts w:ascii="Times New Roman" w:hAnsi="Times New Roman" w:cs="Times New Roman"/>
          <w:sz w:val="28"/>
          <w:szCs w:val="28"/>
        </w:rPr>
        <w:t xml:space="preserve">; </w:t>
      </w:r>
      <w:r w:rsidRPr="00704D63">
        <w:rPr>
          <w:rFonts w:ascii="Times New Roman" w:hAnsi="Times New Roman" w:cs="Times New Roman"/>
          <w:color w:val="000000"/>
          <w:sz w:val="28"/>
          <w:szCs w:val="28"/>
          <w:shd w:val="clear" w:color="auto" w:fill="FFFFFF"/>
          <w:lang w:val="en-US"/>
        </w:rPr>
        <w:t>European</w:t>
      </w:r>
      <w:r w:rsidRPr="000D2159">
        <w:rPr>
          <w:rFonts w:ascii="Times New Roman" w:hAnsi="Times New Roman" w:cs="Times New Roman"/>
          <w:color w:val="000000"/>
          <w:sz w:val="28"/>
          <w:szCs w:val="28"/>
          <w:shd w:val="clear" w:color="auto" w:fill="FFFFFF"/>
        </w:rPr>
        <w:t xml:space="preserve"> </w:t>
      </w:r>
      <w:r w:rsidRPr="00704D63">
        <w:rPr>
          <w:rFonts w:ascii="Times New Roman" w:hAnsi="Times New Roman" w:cs="Times New Roman"/>
          <w:color w:val="000000"/>
          <w:sz w:val="28"/>
          <w:szCs w:val="28"/>
          <w:shd w:val="clear" w:color="auto" w:fill="FFFFFF"/>
          <w:lang w:val="en-US"/>
        </w:rPr>
        <w:t>Congress</w:t>
      </w:r>
      <w:r w:rsidRPr="000D2159">
        <w:rPr>
          <w:rFonts w:ascii="Times New Roman" w:hAnsi="Times New Roman" w:cs="Times New Roman"/>
          <w:color w:val="000000"/>
          <w:sz w:val="28"/>
          <w:szCs w:val="28"/>
          <w:shd w:val="clear" w:color="auto" w:fill="FFFFFF"/>
        </w:rPr>
        <w:t xml:space="preserve"> </w:t>
      </w:r>
      <w:r w:rsidRPr="00704D63">
        <w:rPr>
          <w:rFonts w:ascii="Times New Roman" w:hAnsi="Times New Roman" w:cs="Times New Roman"/>
          <w:color w:val="000000"/>
          <w:sz w:val="28"/>
          <w:szCs w:val="28"/>
          <w:shd w:val="clear" w:color="auto" w:fill="FFFFFF"/>
          <w:lang w:val="en-US"/>
        </w:rPr>
        <w:t>of</w:t>
      </w:r>
      <w:r w:rsidRPr="000D2159">
        <w:rPr>
          <w:rFonts w:ascii="Times New Roman" w:hAnsi="Times New Roman" w:cs="Times New Roman"/>
          <w:color w:val="000000"/>
          <w:sz w:val="28"/>
          <w:szCs w:val="28"/>
          <w:shd w:val="clear" w:color="auto" w:fill="FFFFFF"/>
        </w:rPr>
        <w:t xml:space="preserve"> </w:t>
      </w:r>
      <w:r w:rsidRPr="00704D63">
        <w:rPr>
          <w:rFonts w:ascii="Times New Roman" w:hAnsi="Times New Roman" w:cs="Times New Roman"/>
          <w:color w:val="000000"/>
          <w:sz w:val="28"/>
          <w:szCs w:val="28"/>
          <w:shd w:val="clear" w:color="auto" w:fill="FFFFFF"/>
          <w:lang w:val="en-US"/>
        </w:rPr>
        <w:t>Radiology</w:t>
      </w:r>
      <w:r w:rsidRPr="00704D63">
        <w:rPr>
          <w:rFonts w:ascii="Times New Roman" w:hAnsi="Times New Roman" w:cs="Times New Roman"/>
          <w:color w:val="000000"/>
          <w:sz w:val="28"/>
          <w:szCs w:val="28"/>
          <w:shd w:val="clear" w:color="auto" w:fill="FFFFFF"/>
        </w:rPr>
        <w:t>,</w:t>
      </w:r>
      <w:r w:rsidRPr="000D2159">
        <w:rPr>
          <w:rFonts w:ascii="Times New Roman" w:hAnsi="Times New Roman" w:cs="Times New Roman"/>
          <w:color w:val="000000"/>
          <w:sz w:val="28"/>
          <w:szCs w:val="28"/>
          <w:shd w:val="clear" w:color="auto" w:fill="FFFFFF"/>
        </w:rPr>
        <w:t xml:space="preserve"> 04-08.03.2015, </w:t>
      </w:r>
      <w:r>
        <w:rPr>
          <w:rFonts w:ascii="Times New Roman" w:hAnsi="Times New Roman" w:cs="Times New Roman"/>
          <w:color w:val="000000"/>
          <w:sz w:val="28"/>
          <w:szCs w:val="28"/>
          <w:shd w:val="clear" w:color="auto" w:fill="FFFFFF"/>
          <w:lang w:val="en-US"/>
        </w:rPr>
        <w:t>Vienna</w:t>
      </w:r>
      <w:r w:rsidRPr="000D215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Austria</w:t>
      </w:r>
      <w:r w:rsidRPr="000D2159">
        <w:rPr>
          <w:rFonts w:ascii="Times New Roman" w:hAnsi="Times New Roman" w:cs="Times New Roman"/>
          <w:color w:val="000000"/>
          <w:sz w:val="28"/>
          <w:szCs w:val="28"/>
          <w:shd w:val="clear" w:color="auto" w:fill="FFFFFF"/>
        </w:rPr>
        <w:t xml:space="preserve">; </w:t>
      </w:r>
      <w:r w:rsidRPr="00704D63">
        <w:rPr>
          <w:rFonts w:ascii="Times New Roman" w:hAnsi="Times New Roman" w:cs="Times New Roman"/>
          <w:sz w:val="28"/>
          <w:szCs w:val="28"/>
          <w:lang w:val="en-US"/>
        </w:rPr>
        <w:t>Congress</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of</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European</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Association</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of</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Urology</w:t>
      </w:r>
      <w:r w:rsidRPr="000D2159">
        <w:rPr>
          <w:rFonts w:ascii="Times New Roman" w:hAnsi="Times New Roman" w:cs="Times New Roman"/>
          <w:sz w:val="28"/>
          <w:szCs w:val="28"/>
        </w:rPr>
        <w:t xml:space="preserve">, 20-24.03.2015, </w:t>
      </w:r>
      <w:r w:rsidRPr="00704D63">
        <w:rPr>
          <w:rFonts w:ascii="Times New Roman" w:hAnsi="Times New Roman" w:cs="Times New Roman"/>
          <w:sz w:val="28"/>
          <w:szCs w:val="28"/>
          <w:lang w:val="en-US"/>
        </w:rPr>
        <w:t>Madrid</w:t>
      </w:r>
      <w:r w:rsidRPr="000D2159">
        <w:rPr>
          <w:rFonts w:ascii="Times New Roman" w:hAnsi="Times New Roman" w:cs="Times New Roman"/>
          <w:sz w:val="28"/>
          <w:szCs w:val="28"/>
        </w:rPr>
        <w:t xml:space="preserve">, </w:t>
      </w:r>
      <w:r w:rsidRPr="00704D63">
        <w:rPr>
          <w:rFonts w:ascii="Times New Roman" w:hAnsi="Times New Roman" w:cs="Times New Roman"/>
          <w:sz w:val="28"/>
          <w:szCs w:val="28"/>
          <w:lang w:val="en-US"/>
        </w:rPr>
        <w:t>Spain</w:t>
      </w:r>
      <w:r w:rsidRPr="000D2159">
        <w:rPr>
          <w:rFonts w:ascii="Times New Roman" w:hAnsi="Times New Roman" w:cs="Times New Roman"/>
          <w:sz w:val="28"/>
          <w:szCs w:val="28"/>
        </w:rPr>
        <w:t xml:space="preserve">; </w:t>
      </w:r>
      <w:r>
        <w:rPr>
          <w:rFonts w:ascii="Times New Roman" w:hAnsi="Times New Roman" w:cs="Times New Roman"/>
          <w:color w:val="000000"/>
          <w:sz w:val="28"/>
          <w:szCs w:val="28"/>
        </w:rPr>
        <w:t>1-</w:t>
      </w:r>
      <w:r w:rsidRPr="00704D63">
        <w:rPr>
          <w:rFonts w:ascii="Times New Roman" w:hAnsi="Times New Roman" w:cs="Times New Roman"/>
          <w:color w:val="000000"/>
          <w:sz w:val="28"/>
          <w:szCs w:val="28"/>
        </w:rPr>
        <w:t>ша</w:t>
      </w:r>
      <w:r>
        <w:rPr>
          <w:rFonts w:ascii="Times New Roman" w:hAnsi="Times New Roman" w:cs="Times New Roman"/>
          <w:color w:val="000000"/>
          <w:sz w:val="28"/>
          <w:szCs w:val="28"/>
        </w:rPr>
        <w:t xml:space="preserve"> Українсько-Польськ</w:t>
      </w:r>
      <w:r w:rsidRPr="00704D63">
        <w:rPr>
          <w:rFonts w:ascii="Times New Roman" w:hAnsi="Times New Roman" w:cs="Times New Roman"/>
          <w:color w:val="000000"/>
          <w:sz w:val="28"/>
          <w:szCs w:val="28"/>
        </w:rPr>
        <w:t>а</w:t>
      </w:r>
      <w:r>
        <w:rPr>
          <w:rFonts w:ascii="Times New Roman" w:hAnsi="Times New Roman" w:cs="Times New Roman"/>
          <w:color w:val="000000"/>
          <w:sz w:val="28"/>
          <w:szCs w:val="28"/>
        </w:rPr>
        <w:t xml:space="preserve"> </w:t>
      </w:r>
      <w:r w:rsidRPr="00704D63">
        <w:rPr>
          <w:rFonts w:ascii="Times New Roman" w:hAnsi="Times New Roman" w:cs="Times New Roman"/>
          <w:color w:val="000000"/>
          <w:sz w:val="28"/>
          <w:szCs w:val="28"/>
        </w:rPr>
        <w:t xml:space="preserve">наукова </w:t>
      </w:r>
      <w:r>
        <w:rPr>
          <w:rFonts w:ascii="Times New Roman" w:hAnsi="Times New Roman" w:cs="Times New Roman"/>
          <w:color w:val="000000"/>
          <w:sz w:val="28"/>
          <w:szCs w:val="28"/>
        </w:rPr>
        <w:t>конференція з Радіології, 19-21</w:t>
      </w:r>
      <w:r w:rsidRPr="00704D63">
        <w:rPr>
          <w:rFonts w:ascii="Times New Roman" w:hAnsi="Times New Roman" w:cs="Times New Roman"/>
          <w:color w:val="000000"/>
          <w:sz w:val="28"/>
          <w:szCs w:val="28"/>
        </w:rPr>
        <w:t>.03.2015 р., м. Львів</w:t>
      </w:r>
      <w:r>
        <w:rPr>
          <w:rFonts w:ascii="Times New Roman" w:hAnsi="Times New Roman" w:cs="Times New Roman"/>
          <w:color w:val="000000"/>
          <w:sz w:val="28"/>
          <w:szCs w:val="28"/>
        </w:rPr>
        <w:t>;</w:t>
      </w:r>
      <w:r w:rsidRPr="000D2159">
        <w:rPr>
          <w:rFonts w:ascii="Times New Roman" w:hAnsi="Times New Roman" w:cs="Times New Roman"/>
          <w:sz w:val="28"/>
          <w:szCs w:val="28"/>
        </w:rPr>
        <w:t xml:space="preserve"> </w:t>
      </w:r>
      <w:r w:rsidRPr="00704D63">
        <w:rPr>
          <w:rFonts w:ascii="Times New Roman" w:hAnsi="Times New Roman" w:cs="Times New Roman"/>
          <w:snapToGrid w:val="0"/>
          <w:sz w:val="28"/>
          <w:szCs w:val="28"/>
        </w:rPr>
        <w:t xml:space="preserve">Х Міжнародна школа-семінар “Практичні питання сучасної візуалізації в клініці”, </w:t>
      </w:r>
      <w:r>
        <w:rPr>
          <w:rFonts w:ascii="Times New Roman" w:hAnsi="Times New Roman" w:cs="Times New Roman"/>
          <w:snapToGrid w:val="0"/>
          <w:sz w:val="28"/>
          <w:szCs w:val="28"/>
        </w:rPr>
        <w:t>17-25</w:t>
      </w:r>
      <w:r w:rsidRPr="000D2159">
        <w:rPr>
          <w:rFonts w:ascii="Times New Roman" w:hAnsi="Times New Roman" w:cs="Times New Roman"/>
          <w:snapToGrid w:val="0"/>
          <w:sz w:val="28"/>
          <w:szCs w:val="28"/>
        </w:rPr>
        <w:t>.06.</w:t>
      </w:r>
      <w:r w:rsidRPr="00704D63">
        <w:rPr>
          <w:rFonts w:ascii="Times New Roman" w:hAnsi="Times New Roman" w:cs="Times New Roman"/>
          <w:snapToGrid w:val="0"/>
          <w:sz w:val="28"/>
          <w:szCs w:val="28"/>
        </w:rPr>
        <w:t>2015 р., м. Львів</w:t>
      </w:r>
      <w:r>
        <w:rPr>
          <w:rFonts w:ascii="Times New Roman" w:hAnsi="Times New Roman" w:cs="Times New Roman"/>
          <w:sz w:val="28"/>
          <w:szCs w:val="28"/>
          <w:lang w:eastAsia="uk-UA"/>
        </w:rPr>
        <w:t>;</w:t>
      </w:r>
      <w:r w:rsidRPr="000D2159">
        <w:rPr>
          <w:rFonts w:ascii="Times New Roman" w:hAnsi="Times New Roman" w:cs="Times New Roman"/>
          <w:sz w:val="28"/>
          <w:szCs w:val="28"/>
        </w:rPr>
        <w:t xml:space="preserve"> </w:t>
      </w:r>
      <w:r>
        <w:rPr>
          <w:rFonts w:ascii="Times New Roman" w:hAnsi="Times New Roman" w:cs="Times New Roman"/>
          <w:sz w:val="28"/>
          <w:szCs w:val="28"/>
          <w:lang w:val="en-US" w:eastAsia="uk-UA"/>
        </w:rPr>
        <w:t>European</w:t>
      </w:r>
      <w:r w:rsidRPr="000D2159">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School</w:t>
      </w:r>
      <w:r w:rsidRPr="000D2159">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of</w:t>
      </w:r>
      <w:r w:rsidRPr="000D2159">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Urology</w:t>
      </w:r>
      <w:r w:rsidRPr="000D2159">
        <w:rPr>
          <w:rFonts w:ascii="Times New Roman" w:hAnsi="Times New Roman" w:cs="Times New Roman"/>
          <w:sz w:val="28"/>
          <w:szCs w:val="28"/>
          <w:lang w:eastAsia="uk-UA"/>
        </w:rPr>
        <w:t xml:space="preserve"> - </w:t>
      </w:r>
      <w:r w:rsidRPr="00704D63">
        <w:rPr>
          <w:rFonts w:ascii="Times New Roman" w:hAnsi="Times New Roman" w:cs="Times New Roman"/>
          <w:sz w:val="28"/>
          <w:szCs w:val="28"/>
          <w:lang w:val="en-US" w:eastAsia="uk-UA"/>
        </w:rPr>
        <w:t>Weill</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Cornell</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Masterclass</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in</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General</w:t>
      </w:r>
      <w:r w:rsidRPr="000D2159">
        <w:rPr>
          <w:rFonts w:ascii="Times New Roman" w:hAnsi="Times New Roman" w:cs="Times New Roman"/>
          <w:sz w:val="28"/>
          <w:szCs w:val="28"/>
          <w:lang w:eastAsia="uk-UA"/>
        </w:rPr>
        <w:t xml:space="preserve"> </w:t>
      </w:r>
      <w:r w:rsidRPr="00704D63">
        <w:rPr>
          <w:rFonts w:ascii="Times New Roman" w:hAnsi="Times New Roman" w:cs="Times New Roman"/>
          <w:sz w:val="28"/>
          <w:szCs w:val="28"/>
          <w:lang w:val="en-US" w:eastAsia="uk-UA"/>
        </w:rPr>
        <w:t>urology</w:t>
      </w:r>
      <w:r w:rsidRPr="000D2159">
        <w:rPr>
          <w:rFonts w:ascii="Times New Roman" w:hAnsi="Times New Roman" w:cs="Times New Roman"/>
          <w:sz w:val="28"/>
          <w:szCs w:val="28"/>
          <w:lang w:eastAsia="uk-UA"/>
        </w:rPr>
        <w:t xml:space="preserve">, </w:t>
      </w:r>
      <w:r w:rsidRPr="00704D63">
        <w:rPr>
          <w:rFonts w:ascii="Times New Roman" w:hAnsi="Times New Roman" w:cs="Times New Roman"/>
          <w:color w:val="000000"/>
          <w:sz w:val="28"/>
          <w:szCs w:val="28"/>
        </w:rPr>
        <w:t>05</w:t>
      </w:r>
      <w:r>
        <w:rPr>
          <w:rFonts w:ascii="Times New Roman" w:hAnsi="Times New Roman" w:cs="Times New Roman"/>
          <w:color w:val="000000"/>
          <w:sz w:val="28"/>
          <w:szCs w:val="28"/>
        </w:rPr>
        <w:t>-10.</w:t>
      </w:r>
      <w:r w:rsidRPr="00704D63">
        <w:rPr>
          <w:rFonts w:ascii="Times New Roman" w:hAnsi="Times New Roman" w:cs="Times New Roman"/>
          <w:color w:val="000000"/>
          <w:sz w:val="28"/>
          <w:szCs w:val="28"/>
        </w:rPr>
        <w:t xml:space="preserve">07.2015, </w:t>
      </w:r>
      <w:r>
        <w:rPr>
          <w:rFonts w:ascii="Times New Roman" w:hAnsi="Times New Roman" w:cs="Times New Roman"/>
          <w:color w:val="000000"/>
          <w:sz w:val="28"/>
          <w:szCs w:val="28"/>
          <w:lang w:val="en-US"/>
        </w:rPr>
        <w:t>Salzburg</w:t>
      </w:r>
      <w:r w:rsidRPr="00704D63">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Austria</w:t>
      </w:r>
      <w:r>
        <w:rPr>
          <w:rFonts w:ascii="Times New Roman" w:hAnsi="Times New Roman" w:cs="Times New Roman"/>
          <w:color w:val="000000"/>
          <w:sz w:val="28"/>
          <w:szCs w:val="28"/>
        </w:rPr>
        <w:t>;</w:t>
      </w:r>
      <w:r w:rsidRPr="000D2159">
        <w:rPr>
          <w:rFonts w:ascii="Times New Roman" w:hAnsi="Times New Roman" w:cs="Times New Roman"/>
          <w:sz w:val="28"/>
          <w:szCs w:val="28"/>
        </w:rPr>
        <w:t xml:space="preserve"> </w:t>
      </w:r>
      <w:r w:rsidRPr="00704D63">
        <w:rPr>
          <w:rFonts w:ascii="Times New Roman" w:hAnsi="Times New Roman" w:cs="Times New Roman"/>
          <w:color w:val="000000"/>
          <w:sz w:val="28"/>
          <w:szCs w:val="28"/>
        </w:rPr>
        <w:t>2-</w:t>
      </w:r>
      <w:r w:rsidRPr="000D2159">
        <w:rPr>
          <w:rFonts w:ascii="Times New Roman" w:hAnsi="Times New Roman" w:cs="Times New Roman"/>
          <w:color w:val="000000"/>
          <w:sz w:val="28"/>
          <w:szCs w:val="28"/>
        </w:rPr>
        <w:t>га</w:t>
      </w:r>
      <w:r w:rsidRPr="00704D63">
        <w:rPr>
          <w:rFonts w:ascii="Times New Roman" w:hAnsi="Times New Roman" w:cs="Times New Roman"/>
          <w:color w:val="000000"/>
          <w:sz w:val="28"/>
          <w:szCs w:val="28"/>
        </w:rPr>
        <w:t xml:space="preserve"> </w:t>
      </w:r>
      <w:r>
        <w:rPr>
          <w:rFonts w:ascii="Times New Roman" w:hAnsi="Times New Roman" w:cs="Times New Roman"/>
          <w:color w:val="000000"/>
          <w:sz w:val="28"/>
          <w:szCs w:val="28"/>
        </w:rPr>
        <w:t>Українсько-Польськ</w:t>
      </w:r>
      <w:r w:rsidRPr="00704D63">
        <w:rPr>
          <w:rFonts w:ascii="Times New Roman" w:hAnsi="Times New Roman" w:cs="Times New Roman"/>
          <w:color w:val="000000"/>
          <w:sz w:val="28"/>
          <w:szCs w:val="28"/>
        </w:rPr>
        <w:t>а</w:t>
      </w:r>
      <w:r>
        <w:rPr>
          <w:rFonts w:ascii="Times New Roman" w:hAnsi="Times New Roman" w:cs="Times New Roman"/>
          <w:color w:val="000000"/>
          <w:sz w:val="28"/>
          <w:szCs w:val="28"/>
        </w:rPr>
        <w:t xml:space="preserve"> </w:t>
      </w:r>
      <w:r w:rsidRPr="00704D63">
        <w:rPr>
          <w:rFonts w:ascii="Times New Roman" w:hAnsi="Times New Roman" w:cs="Times New Roman"/>
          <w:color w:val="000000"/>
          <w:sz w:val="28"/>
          <w:szCs w:val="28"/>
        </w:rPr>
        <w:t xml:space="preserve">наукова </w:t>
      </w:r>
      <w:r>
        <w:rPr>
          <w:rFonts w:ascii="Times New Roman" w:hAnsi="Times New Roman" w:cs="Times New Roman"/>
          <w:color w:val="000000"/>
          <w:sz w:val="28"/>
          <w:szCs w:val="28"/>
        </w:rPr>
        <w:t>конференція з Радіології</w:t>
      </w:r>
      <w:r w:rsidRPr="000D2159">
        <w:rPr>
          <w:rFonts w:ascii="Times New Roman" w:hAnsi="Times New Roman" w:cs="Times New Roman"/>
          <w:color w:val="000000"/>
          <w:sz w:val="28"/>
          <w:szCs w:val="28"/>
        </w:rPr>
        <w:t>,</w:t>
      </w:r>
      <w:r w:rsidRPr="00704D63">
        <w:rPr>
          <w:rFonts w:ascii="Times New Roman" w:hAnsi="Times New Roman" w:cs="Times New Roman"/>
          <w:sz w:val="28"/>
          <w:szCs w:val="28"/>
        </w:rPr>
        <w:t xml:space="preserve"> </w:t>
      </w:r>
      <w:r>
        <w:rPr>
          <w:rFonts w:ascii="Times New Roman" w:hAnsi="Times New Roman" w:cs="Times New Roman"/>
          <w:color w:val="000000"/>
          <w:sz w:val="28"/>
          <w:szCs w:val="28"/>
        </w:rPr>
        <w:t>16-18</w:t>
      </w:r>
      <w:r w:rsidRPr="000D2159">
        <w:rPr>
          <w:rFonts w:ascii="Times New Roman" w:hAnsi="Times New Roman" w:cs="Times New Roman"/>
          <w:color w:val="000000"/>
          <w:sz w:val="28"/>
          <w:szCs w:val="28"/>
        </w:rPr>
        <w:t>.10.</w:t>
      </w:r>
      <w:r w:rsidRPr="00704D63">
        <w:rPr>
          <w:rFonts w:ascii="Times New Roman" w:hAnsi="Times New Roman" w:cs="Times New Roman"/>
          <w:color w:val="000000"/>
          <w:sz w:val="28"/>
          <w:szCs w:val="28"/>
        </w:rPr>
        <w:t>2015 р., м. Сандомир</w:t>
      </w:r>
      <w:r w:rsidRPr="000D2159">
        <w:rPr>
          <w:rFonts w:ascii="Times New Roman" w:hAnsi="Times New Roman" w:cs="Times New Roman"/>
          <w:color w:val="000000"/>
          <w:sz w:val="28"/>
          <w:szCs w:val="28"/>
        </w:rPr>
        <w:t xml:space="preserve">, </w:t>
      </w:r>
      <w:r>
        <w:rPr>
          <w:rFonts w:ascii="Times New Roman" w:hAnsi="Times New Roman" w:cs="Times New Roman"/>
          <w:color w:val="000000"/>
          <w:sz w:val="28"/>
          <w:szCs w:val="28"/>
        </w:rPr>
        <w:t>Польща;</w:t>
      </w:r>
      <w:r w:rsidRPr="000D2159">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xml:space="preserve">41 </w:t>
      </w:r>
      <w:r w:rsidRPr="00C05740">
        <w:rPr>
          <w:rFonts w:ascii="Times New Roman" w:hAnsi="Times New Roman" w:cs="Times New Roman"/>
          <w:sz w:val="28"/>
          <w:szCs w:val="28"/>
          <w:shd w:val="clear" w:color="auto" w:fill="FFFFFF"/>
        </w:rPr>
        <w:t>Zjazd Polskiego Lekarskiego Towar</w:t>
      </w:r>
      <w:r w:rsidRPr="003B3776">
        <w:rPr>
          <w:rFonts w:ascii="Times New Roman" w:hAnsi="Times New Roman" w:cs="Times New Roman"/>
          <w:sz w:val="28"/>
          <w:szCs w:val="28"/>
          <w:shd w:val="clear" w:color="auto" w:fill="FFFFFF"/>
        </w:rPr>
        <w:t xml:space="preserve">zystwa Radilogicznego, 02-04.06.2016 р., </w:t>
      </w:r>
      <w:r w:rsidRPr="003B3776">
        <w:rPr>
          <w:rFonts w:ascii="Times New Roman" w:hAnsi="Times New Roman" w:cs="Times New Roman"/>
          <w:sz w:val="28"/>
          <w:szCs w:val="28"/>
          <w:shd w:val="clear" w:color="auto" w:fill="FFFFFF"/>
          <w:lang w:val="en-US"/>
        </w:rPr>
        <w:t>Krakow</w:t>
      </w:r>
      <w:r w:rsidRPr="003B3776">
        <w:rPr>
          <w:rFonts w:ascii="Times New Roman" w:hAnsi="Times New Roman" w:cs="Times New Roman"/>
          <w:sz w:val="28"/>
          <w:szCs w:val="28"/>
          <w:shd w:val="clear" w:color="auto" w:fill="FFFFFF"/>
        </w:rPr>
        <w:t xml:space="preserve">, </w:t>
      </w:r>
      <w:r w:rsidRPr="003B3776">
        <w:rPr>
          <w:rFonts w:ascii="Times New Roman" w:hAnsi="Times New Roman" w:cs="Times New Roman"/>
          <w:sz w:val="28"/>
          <w:szCs w:val="28"/>
          <w:shd w:val="clear" w:color="auto" w:fill="FFFFFF"/>
          <w:lang w:val="en-US"/>
        </w:rPr>
        <w:t>Poland</w:t>
      </w:r>
      <w:r w:rsidRPr="003B3776">
        <w:rPr>
          <w:rFonts w:ascii="Times New Roman" w:hAnsi="Times New Roman" w:cs="Times New Roman"/>
          <w:sz w:val="28"/>
          <w:szCs w:val="28"/>
          <w:shd w:val="clear" w:color="auto" w:fill="FFFFFF"/>
        </w:rPr>
        <w:t>;</w:t>
      </w:r>
      <w:r w:rsidRPr="003B3776">
        <w:rPr>
          <w:rFonts w:ascii="Times New Roman" w:hAnsi="Times New Roman" w:cs="Times New Roman"/>
          <w:sz w:val="28"/>
          <w:szCs w:val="28"/>
        </w:rPr>
        <w:t xml:space="preserve"> </w:t>
      </w:r>
      <w:r w:rsidRPr="003B3776">
        <w:rPr>
          <w:rFonts w:ascii="Times New Roman" w:hAnsi="Times New Roman" w:cs="Times New Roman"/>
          <w:color w:val="000000"/>
          <w:sz w:val="28"/>
          <w:szCs w:val="28"/>
          <w:lang w:val="en-US"/>
        </w:rPr>
        <w:t>XLVI</w:t>
      </w:r>
      <w:r w:rsidRPr="003B3776">
        <w:rPr>
          <w:rFonts w:ascii="Times New Roman" w:hAnsi="Times New Roman" w:cs="Times New Roman"/>
          <w:color w:val="000000"/>
          <w:sz w:val="28"/>
          <w:szCs w:val="28"/>
        </w:rPr>
        <w:t xml:space="preserve"> Науковий конгрес Польського урологічного товариства, </w:t>
      </w:r>
      <w:r w:rsidRPr="003B3776">
        <w:rPr>
          <w:rFonts w:ascii="Times New Roman" w:hAnsi="Times New Roman" w:cs="Times New Roman"/>
          <w:color w:val="000000"/>
          <w:sz w:val="28"/>
          <w:szCs w:val="28"/>
          <w:lang w:val="en-US"/>
        </w:rPr>
        <w:t>Katowice</w:t>
      </w:r>
      <w:r w:rsidRPr="003B3776">
        <w:rPr>
          <w:rFonts w:ascii="Times New Roman" w:hAnsi="Times New Roman" w:cs="Times New Roman"/>
          <w:color w:val="000000"/>
          <w:sz w:val="28"/>
          <w:szCs w:val="28"/>
        </w:rPr>
        <w:t xml:space="preserve">, </w:t>
      </w:r>
      <w:r w:rsidRPr="003B3776">
        <w:rPr>
          <w:rFonts w:ascii="Times New Roman" w:hAnsi="Times New Roman" w:cs="Times New Roman"/>
          <w:color w:val="000000"/>
          <w:sz w:val="28"/>
          <w:szCs w:val="28"/>
          <w:lang w:val="en-US"/>
        </w:rPr>
        <w:t>Poland</w:t>
      </w:r>
      <w:r w:rsidRPr="003B3776">
        <w:rPr>
          <w:rFonts w:ascii="Times New Roman" w:hAnsi="Times New Roman" w:cs="Times New Roman"/>
          <w:color w:val="000000"/>
          <w:sz w:val="28"/>
          <w:szCs w:val="28"/>
        </w:rPr>
        <w:t xml:space="preserve">, 22-24.06.2016 р.; </w:t>
      </w:r>
      <w:r w:rsidRPr="003B3776">
        <w:rPr>
          <w:rFonts w:ascii="Times New Roman" w:hAnsi="Times New Roman" w:cs="Times New Roman"/>
          <w:color w:val="000000"/>
          <w:sz w:val="28"/>
          <w:szCs w:val="28"/>
          <w:shd w:val="clear" w:color="auto" w:fill="FFFFFF"/>
        </w:rPr>
        <w:t>ХІ Міжнародна школа-семінар</w:t>
      </w:r>
      <w:r w:rsidRPr="003B3776">
        <w:rPr>
          <w:rFonts w:ascii="Times New Roman" w:hAnsi="Times New Roman" w:cs="Times New Roman"/>
          <w:color w:val="000000"/>
          <w:sz w:val="28"/>
          <w:szCs w:val="28"/>
        </w:rPr>
        <w:t xml:space="preserve"> </w:t>
      </w:r>
      <w:r w:rsidRPr="003B3776">
        <w:rPr>
          <w:rFonts w:ascii="Times New Roman" w:hAnsi="Times New Roman" w:cs="Times New Roman"/>
          <w:color w:val="000000"/>
          <w:sz w:val="28"/>
          <w:szCs w:val="28"/>
          <w:shd w:val="clear" w:color="auto" w:fill="FFFFFF"/>
        </w:rPr>
        <w:t>“Практичні питання сучасної візуалізації в клініці”</w:t>
      </w:r>
      <w:r w:rsidRPr="003B3776">
        <w:rPr>
          <w:rFonts w:ascii="Times New Roman" w:hAnsi="Times New Roman" w:cs="Times New Roman"/>
          <w:color w:val="000000"/>
          <w:sz w:val="28"/>
          <w:szCs w:val="28"/>
        </w:rPr>
        <w:t xml:space="preserve"> </w:t>
      </w:r>
      <w:r w:rsidRPr="003B3776">
        <w:rPr>
          <w:rFonts w:ascii="Times New Roman" w:hAnsi="Times New Roman" w:cs="Times New Roman"/>
          <w:color w:val="000000"/>
          <w:sz w:val="28"/>
          <w:szCs w:val="28"/>
          <w:shd w:val="clear" w:color="auto" w:fill="FFFFFF"/>
        </w:rPr>
        <w:t>19-21.09.2016 р., м. Львів</w:t>
      </w:r>
      <w:r w:rsidRPr="003B3776">
        <w:rPr>
          <w:rStyle w:val="apple-converted-space"/>
          <w:rFonts w:ascii="Times New Roman" w:hAnsi="Times New Roman" w:cs="Times New Roman"/>
          <w:color w:val="000000"/>
          <w:sz w:val="28"/>
          <w:szCs w:val="28"/>
          <w:shd w:val="clear" w:color="auto" w:fill="FFFFFF"/>
        </w:rPr>
        <w:t>;</w:t>
      </w:r>
      <w:r w:rsidRPr="003B3776">
        <w:rPr>
          <w:rStyle w:val="apple-converted-space"/>
          <w:rFonts w:ascii="Times New Roman" w:hAnsi="Times New Roman" w:cs="Times New Roman"/>
          <w:sz w:val="28"/>
          <w:szCs w:val="28"/>
        </w:rPr>
        <w:t xml:space="preserve"> </w:t>
      </w:r>
      <w:r w:rsidRPr="003B3776">
        <w:rPr>
          <w:rFonts w:ascii="Times New Roman" w:hAnsi="Times New Roman" w:cs="Times New Roman"/>
          <w:color w:val="000000"/>
          <w:sz w:val="28"/>
          <w:szCs w:val="28"/>
        </w:rPr>
        <w:t xml:space="preserve">Польсько-українська урологічна конференція «Уросілезіана </w:t>
      </w:r>
      <w:r w:rsidRPr="003B3776">
        <w:rPr>
          <w:rFonts w:ascii="Times New Roman" w:hAnsi="Times New Roman" w:cs="Times New Roman"/>
          <w:color w:val="000000"/>
          <w:sz w:val="28"/>
          <w:szCs w:val="28"/>
          <w:lang w:val="en-US"/>
        </w:rPr>
        <w:t>XXI</w:t>
      </w:r>
      <w:r w:rsidRPr="003B3776">
        <w:rPr>
          <w:rFonts w:ascii="Times New Roman" w:hAnsi="Times New Roman" w:cs="Times New Roman"/>
          <w:color w:val="000000"/>
          <w:sz w:val="28"/>
          <w:szCs w:val="28"/>
        </w:rPr>
        <w:t xml:space="preserve">», 23-25.09.2016 р., м. Карпач, Польща; Х Ювілейний українсько-польский симпозіум «Урологія </w:t>
      </w:r>
      <w:r w:rsidRPr="003B3776">
        <w:rPr>
          <w:rFonts w:ascii="Times New Roman" w:hAnsi="Times New Roman" w:cs="Times New Roman"/>
          <w:color w:val="000000"/>
          <w:sz w:val="28"/>
          <w:szCs w:val="28"/>
          <w:lang w:val="en-US"/>
        </w:rPr>
        <w:t>XXI</w:t>
      </w:r>
      <w:r w:rsidRPr="003B3776">
        <w:rPr>
          <w:rFonts w:ascii="Times New Roman" w:hAnsi="Times New Roman" w:cs="Times New Roman"/>
          <w:color w:val="000000"/>
          <w:sz w:val="28"/>
          <w:szCs w:val="28"/>
        </w:rPr>
        <w:t xml:space="preserve"> століття», м. Львів, 01-03.06.2017 р.; </w:t>
      </w:r>
      <w:r w:rsidRPr="003B3776">
        <w:rPr>
          <w:rFonts w:ascii="Times New Roman" w:hAnsi="Times New Roman" w:cs="Times New Roman"/>
          <w:color w:val="000000"/>
          <w:sz w:val="28"/>
          <w:szCs w:val="28"/>
          <w:lang w:val="en-US"/>
        </w:rPr>
        <w:t>XLVI</w:t>
      </w:r>
      <w:r w:rsidRPr="003B3776">
        <w:rPr>
          <w:rFonts w:ascii="Times New Roman" w:hAnsi="Times New Roman" w:cs="Times New Roman"/>
          <w:color w:val="000000"/>
          <w:sz w:val="28"/>
          <w:szCs w:val="28"/>
        </w:rPr>
        <w:t xml:space="preserve"> Науковий </w:t>
      </w:r>
      <w:r w:rsidRPr="00F66B27">
        <w:rPr>
          <w:rFonts w:ascii="Times New Roman" w:hAnsi="Times New Roman" w:cs="Times New Roman"/>
          <w:color w:val="000000"/>
          <w:sz w:val="28"/>
          <w:szCs w:val="28"/>
        </w:rPr>
        <w:t xml:space="preserve">конгрес Польського урологічного товариства, </w:t>
      </w:r>
      <w:r w:rsidRPr="00F66B27">
        <w:rPr>
          <w:rFonts w:ascii="Times New Roman" w:hAnsi="Times New Roman" w:cs="Times New Roman"/>
          <w:color w:val="000000"/>
          <w:sz w:val="28"/>
          <w:szCs w:val="28"/>
          <w:lang w:val="en-US"/>
        </w:rPr>
        <w:t>Katowice</w:t>
      </w:r>
      <w:r w:rsidRPr="00F66B27">
        <w:rPr>
          <w:rFonts w:ascii="Times New Roman" w:hAnsi="Times New Roman" w:cs="Times New Roman"/>
          <w:color w:val="000000"/>
          <w:sz w:val="28"/>
          <w:szCs w:val="28"/>
        </w:rPr>
        <w:t xml:space="preserve">, </w:t>
      </w:r>
      <w:r w:rsidRPr="00F66B27">
        <w:rPr>
          <w:rFonts w:ascii="Times New Roman" w:hAnsi="Times New Roman" w:cs="Times New Roman"/>
          <w:color w:val="000000"/>
          <w:sz w:val="28"/>
          <w:szCs w:val="28"/>
          <w:lang w:val="en-US"/>
        </w:rPr>
        <w:t>Poland</w:t>
      </w:r>
      <w:r w:rsidRPr="00F66B27">
        <w:rPr>
          <w:rFonts w:ascii="Times New Roman" w:hAnsi="Times New Roman" w:cs="Times New Roman"/>
          <w:color w:val="000000"/>
          <w:sz w:val="28"/>
          <w:szCs w:val="28"/>
        </w:rPr>
        <w:t>, 19-21.06.2017 р</w:t>
      </w:r>
      <w:r>
        <w:rPr>
          <w:rFonts w:ascii="Times New Roman" w:hAnsi="Times New Roman" w:cs="Times New Roman"/>
          <w:color w:val="000000"/>
          <w:sz w:val="28"/>
          <w:szCs w:val="28"/>
        </w:rPr>
        <w:t xml:space="preserve">.; </w:t>
      </w:r>
      <w:r w:rsidRPr="00D73065">
        <w:rPr>
          <w:rFonts w:ascii="Times New Roman" w:hAnsi="Times New Roman"/>
          <w:sz w:val="28"/>
          <w:szCs w:val="28"/>
          <w:shd w:val="clear" w:color="auto" w:fill="FFFFFF"/>
          <w:lang w:val="en-US"/>
        </w:rPr>
        <w:t>XVI</w:t>
      </w:r>
      <w:r w:rsidRPr="00D73065">
        <w:rPr>
          <w:rFonts w:ascii="Times New Roman" w:hAnsi="Times New Roman"/>
          <w:sz w:val="28"/>
          <w:szCs w:val="28"/>
          <w:shd w:val="clear" w:color="auto" w:fill="FFFFFF"/>
        </w:rPr>
        <w:t xml:space="preserve"> З’їзд Всеукраїнського лікарського товариства, Кам’янець-Подільський, 28.09-01.10.2017 р.</w:t>
      </w:r>
      <w:r>
        <w:rPr>
          <w:rFonts w:ascii="Times New Roman" w:hAnsi="Times New Roman"/>
          <w:sz w:val="28"/>
          <w:szCs w:val="28"/>
          <w:shd w:val="clear" w:color="auto" w:fill="FFFFFF"/>
        </w:rPr>
        <w:t xml:space="preserve">; </w:t>
      </w:r>
      <w:r w:rsidRPr="00D73065">
        <w:rPr>
          <w:rFonts w:ascii="Times New Roman" w:hAnsi="Times New Roman"/>
          <w:sz w:val="28"/>
          <w:szCs w:val="28"/>
          <w:shd w:val="clear" w:color="auto" w:fill="FFFFFF"/>
        </w:rPr>
        <w:t>Ювілейна міжнародна конференція до 150-річчя Львівського лікарськог</w:t>
      </w:r>
      <w:r>
        <w:rPr>
          <w:rFonts w:ascii="Times New Roman" w:hAnsi="Times New Roman"/>
          <w:sz w:val="28"/>
          <w:szCs w:val="28"/>
          <w:shd w:val="clear" w:color="auto" w:fill="FFFFFF"/>
        </w:rPr>
        <w:t>о товариства, 19-21.10.2017 р.;</w:t>
      </w:r>
      <w:r w:rsidRPr="00E17B68">
        <w:rPr>
          <w:sz w:val="28"/>
          <w:szCs w:val="28"/>
          <w:shd w:val="clear" w:color="auto" w:fill="FFFFFF"/>
        </w:rPr>
        <w:t xml:space="preserve"> </w:t>
      </w:r>
      <w:r w:rsidRPr="00E17B68">
        <w:rPr>
          <w:rFonts w:ascii="Times New Roman" w:hAnsi="Times New Roman" w:cs="Times New Roman"/>
          <w:sz w:val="28"/>
          <w:szCs w:val="28"/>
          <w:shd w:val="clear" w:color="auto" w:fill="FFFFFF"/>
          <w:lang w:val="en-US"/>
        </w:rPr>
        <w:t>VI</w:t>
      </w:r>
      <w:r w:rsidRPr="00E17B68">
        <w:rPr>
          <w:rFonts w:ascii="Times New Roman" w:hAnsi="Times New Roman" w:cs="Times New Roman"/>
          <w:sz w:val="28"/>
          <w:szCs w:val="28"/>
          <w:shd w:val="clear" w:color="auto" w:fill="FFFFFF"/>
        </w:rPr>
        <w:t xml:space="preserve"> Всеукраїнська науково-практична конференція «Наукові дослідження: перспективи інновацій у суспільстві і розвитку технологі</w:t>
      </w:r>
      <w:r>
        <w:rPr>
          <w:rFonts w:ascii="Times New Roman" w:hAnsi="Times New Roman" w:cs="Times New Roman"/>
          <w:sz w:val="28"/>
          <w:szCs w:val="28"/>
          <w:shd w:val="clear" w:color="auto" w:fill="FFFFFF"/>
        </w:rPr>
        <w:t xml:space="preserve">й», 24-25.11.2-17 р.,  м.Харків; </w:t>
      </w:r>
      <w:r>
        <w:rPr>
          <w:rFonts w:ascii="Times New Roman" w:hAnsi="Times New Roman"/>
          <w:sz w:val="28"/>
          <w:szCs w:val="28"/>
          <w:shd w:val="clear" w:color="auto" w:fill="FFFFFF"/>
        </w:rPr>
        <w:t>ІІ міжнародній науковій конференції</w:t>
      </w:r>
      <w:r w:rsidRPr="004D38F8">
        <w:rPr>
          <w:rFonts w:ascii="Times New Roman" w:hAnsi="Times New Roman" w:cs="Times New Roman"/>
          <w:sz w:val="28"/>
          <w:szCs w:val="28"/>
          <w:shd w:val="clear" w:color="auto" w:fill="FFFFFF"/>
        </w:rPr>
        <w:t xml:space="preserve"> студентів та молодих вчених пам’яті професора І.І.Мітюка., 08.12.2017 р</w:t>
      </w:r>
      <w:r>
        <w:rPr>
          <w:rFonts w:ascii="Times New Roman" w:hAnsi="Times New Roman"/>
          <w:sz w:val="28"/>
          <w:szCs w:val="28"/>
          <w:shd w:val="clear" w:color="auto" w:fill="FFFFFF"/>
        </w:rPr>
        <w:t xml:space="preserve">., м. Вінниця; </w:t>
      </w:r>
      <w:r w:rsidRPr="00AF30BA">
        <w:rPr>
          <w:rFonts w:ascii="Times New Roman" w:hAnsi="Times New Roman" w:cs="Times New Roman"/>
          <w:sz w:val="28"/>
          <w:szCs w:val="28"/>
        </w:rPr>
        <w:t>6-й національний конгрес з міжнародною участю «Радіологія в Україні». 28-30.03.2017 р., м. Ірпінь.</w:t>
      </w:r>
    </w:p>
    <w:p w:rsidR="00AF30BA" w:rsidRPr="00AF30BA" w:rsidRDefault="00AF30BA" w:rsidP="00AF30BA">
      <w:pPr>
        <w:pStyle w:val="NoSpacing"/>
        <w:spacing w:line="360" w:lineRule="auto"/>
        <w:jc w:val="both"/>
        <w:rPr>
          <w:rFonts w:ascii="Times New Roman" w:hAnsi="Times New Roman" w:cs="Times New Roman"/>
          <w:color w:val="000000"/>
          <w:sz w:val="28"/>
          <w:szCs w:val="28"/>
        </w:rPr>
      </w:pPr>
    </w:p>
    <w:p w:rsidR="0061473E" w:rsidRPr="00D66667" w:rsidRDefault="0061473E" w:rsidP="00BE0FEC">
      <w:pPr>
        <w:spacing w:line="360" w:lineRule="auto"/>
        <w:jc w:val="both"/>
        <w:rPr>
          <w:rFonts w:ascii="Times New Roman" w:hAnsi="Times New Roman" w:cs="Times New Roman"/>
          <w:sz w:val="28"/>
          <w:szCs w:val="28"/>
        </w:rPr>
      </w:pPr>
    </w:p>
    <w:sectPr w:rsidR="0061473E" w:rsidRPr="00D66667" w:rsidSect="0099000A">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724F" w:rsidRDefault="0056724F" w:rsidP="00372DBA">
      <w:pPr>
        <w:spacing w:after="0" w:line="240" w:lineRule="auto"/>
      </w:pPr>
      <w:r>
        <w:separator/>
      </w:r>
    </w:p>
  </w:endnote>
  <w:endnote w:type="continuationSeparator" w:id="0">
    <w:p w:rsidR="0056724F" w:rsidRDefault="0056724F" w:rsidP="00372D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CC"/>
    <w:family w:val="swiss"/>
    <w:pitch w:val="variable"/>
    <w:sig w:usb0="E4002EFF" w:usb1="C000E47F" w:usb2="00000009" w:usb3="00000000" w:csb0="000001FF" w:csb1="00000000"/>
  </w:font>
  <w:font w:name="Bembo">
    <w:altName w:val="Times New Roman"/>
    <w:panose1 w:val="00000000000000000000"/>
    <w:charset w:val="00"/>
    <w:family w:val="roman"/>
    <w:notTrueType/>
    <w:pitch w:val="variable"/>
    <w:sig w:usb0="00000003" w:usb1="00000000" w:usb2="00000000" w:usb3="00000000" w:csb0="00000001" w:csb1="00000000"/>
  </w:font>
  <w:font w:name="NewsGothCnEU">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auto"/>
    <w:pitch w:val="variable"/>
  </w:font>
  <w:font w:name="Newton-Regular">
    <w:altName w:val="MS Mincho"/>
    <w:panose1 w:val="00000000000000000000"/>
    <w:charset w:val="80"/>
    <w:family w:val="auto"/>
    <w:notTrueType/>
    <w:pitch w:val="default"/>
    <w:sig w:usb0="00000201" w:usb1="08070000" w:usb2="00000010" w:usb3="00000000" w:csb0="00020004" w:csb1="00000000"/>
  </w:font>
  <w:font w:name="TimesNewRomanPS-BoldMT">
    <w:altName w:val="MS Mincho"/>
    <w:panose1 w:val="00000000000000000000"/>
    <w:charset w:val="80"/>
    <w:family w:val="auto"/>
    <w:notTrueType/>
    <w:pitch w:val="default"/>
    <w:sig w:usb0="00000001" w:usb1="08070000" w:usb2="00000010" w:usb3="00000000" w:csb0="00020001" w:csb1="00000000"/>
  </w:font>
  <w:font w:name="Arial">
    <w:panose1 w:val="020B0604020202020204"/>
    <w:charset w:val="CC"/>
    <w:family w:val="swiss"/>
    <w:pitch w:val="variable"/>
    <w:sig w:usb0="E0002EFF" w:usb1="C000785B" w:usb2="00000009" w:usb3="00000000" w:csb0="000001FF" w:csb1="00000000"/>
  </w:font>
  <w:font w:name="Open Sans">
    <w:altName w:val="Times New Roman"/>
    <w:panose1 w:val="00000000000000000000"/>
    <w:charset w:val="00"/>
    <w:family w:val="roman"/>
    <w:notTrueType/>
    <w:pitch w:val="default"/>
  </w:font>
  <w:font w:name="Times-Roman">
    <w:altName w:val="Times New Roman"/>
    <w:panose1 w:val="00000000000000000000"/>
    <w:charset w:val="CC"/>
    <w:family w:val="roman"/>
    <w:notTrueType/>
    <w:pitch w:val="default"/>
    <w:sig w:usb0="00000201" w:usb1="00000000" w:usb2="00000000" w:usb3="00000000" w:csb0="00000004" w:csb1="00000000"/>
  </w:font>
  <w:font w:name="Helvetica">
    <w:panose1 w:val="020B0604020202020204"/>
    <w:charset w:val="00"/>
    <w:family w:val="swiss"/>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PragmaticaBook-Reg">
    <w:altName w:val="Times New Roman"/>
    <w:panose1 w:val="00000000000000000000"/>
    <w:charset w:val="CC"/>
    <w:family w:val="auto"/>
    <w:notTrueType/>
    <w:pitch w:val="default"/>
    <w:sig w:usb0="00000201" w:usb1="00000000" w:usb2="00000000" w:usb3="00000000" w:csb0="00000004" w:csb1="00000000"/>
  </w:font>
  <w:font w:name="AdvTT3713a231">
    <w:altName w:val="Times New Roman"/>
    <w:panose1 w:val="00000000000000000000"/>
    <w:charset w:val="00"/>
    <w:family w:val="roman"/>
    <w:notTrueType/>
    <w:pitch w:val="default"/>
    <w:sig w:usb0="00000003" w:usb1="00000000" w:usb2="00000000" w:usb3="00000000" w:csb0="00000001" w:csb1="00000000"/>
  </w:font>
  <w:font w:name="Arial CYR">
    <w:panose1 w:val="020B0604020202020204"/>
    <w:charset w:val="CC"/>
    <w:family w:val="swiss"/>
    <w:pitch w:val="variable"/>
    <w:sig w:usb0="20002A87" w:usb1="80000000" w:usb2="00000008"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724F" w:rsidRDefault="0056724F" w:rsidP="00372DBA">
      <w:pPr>
        <w:spacing w:after="0" w:line="240" w:lineRule="auto"/>
      </w:pPr>
      <w:r>
        <w:separator/>
      </w:r>
    </w:p>
  </w:footnote>
  <w:footnote w:type="continuationSeparator" w:id="0">
    <w:p w:rsidR="0056724F" w:rsidRDefault="0056724F" w:rsidP="00372D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142712"/>
      <w:docPartObj>
        <w:docPartGallery w:val="Page Numbers (Top of Page)"/>
        <w:docPartUnique/>
      </w:docPartObj>
    </w:sdtPr>
    <w:sdtEndPr/>
    <w:sdtContent>
      <w:p w:rsidR="007B5A1D" w:rsidRDefault="007B5A1D">
        <w:pPr>
          <w:pStyle w:val="Header"/>
          <w:jc w:val="right"/>
        </w:pPr>
        <w:r>
          <w:fldChar w:fldCharType="begin"/>
        </w:r>
        <w:r>
          <w:instrText>PAGE   \* MERGEFORMAT</w:instrText>
        </w:r>
        <w:r>
          <w:fldChar w:fldCharType="separate"/>
        </w:r>
        <w:r w:rsidR="00825AB5" w:rsidRPr="00825AB5">
          <w:rPr>
            <w:noProof/>
            <w:lang w:val="ru-RU"/>
          </w:rPr>
          <w:t>200</w:t>
        </w:r>
        <w:r>
          <w:fldChar w:fldCharType="end"/>
        </w:r>
      </w:p>
    </w:sdtContent>
  </w:sdt>
  <w:p w:rsidR="007B5A1D" w:rsidRDefault="007B5A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63D19"/>
    <w:multiLevelType w:val="hybridMultilevel"/>
    <w:tmpl w:val="6388E94C"/>
    <w:lvl w:ilvl="0" w:tplc="1756B280">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7544313"/>
    <w:multiLevelType w:val="hybridMultilevel"/>
    <w:tmpl w:val="0624DA6C"/>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589" w:hanging="360"/>
      </w:pPr>
      <w:rPr>
        <w:rFonts w:cs="Times New Roman"/>
      </w:rPr>
    </w:lvl>
    <w:lvl w:ilvl="2" w:tplc="0422001B" w:tentative="1">
      <w:start w:val="1"/>
      <w:numFmt w:val="lowerRoman"/>
      <w:lvlText w:val="%3."/>
      <w:lvlJc w:val="right"/>
      <w:pPr>
        <w:ind w:left="1309" w:hanging="180"/>
      </w:pPr>
      <w:rPr>
        <w:rFonts w:cs="Times New Roman"/>
      </w:rPr>
    </w:lvl>
    <w:lvl w:ilvl="3" w:tplc="0422000F" w:tentative="1">
      <w:start w:val="1"/>
      <w:numFmt w:val="decimal"/>
      <w:lvlText w:val="%4."/>
      <w:lvlJc w:val="left"/>
      <w:pPr>
        <w:ind w:left="2029" w:hanging="360"/>
      </w:pPr>
      <w:rPr>
        <w:rFonts w:cs="Times New Roman"/>
      </w:rPr>
    </w:lvl>
    <w:lvl w:ilvl="4" w:tplc="04220019" w:tentative="1">
      <w:start w:val="1"/>
      <w:numFmt w:val="lowerLetter"/>
      <w:lvlText w:val="%5."/>
      <w:lvlJc w:val="left"/>
      <w:pPr>
        <w:ind w:left="2749" w:hanging="360"/>
      </w:pPr>
      <w:rPr>
        <w:rFonts w:cs="Times New Roman"/>
      </w:rPr>
    </w:lvl>
    <w:lvl w:ilvl="5" w:tplc="0422001B" w:tentative="1">
      <w:start w:val="1"/>
      <w:numFmt w:val="lowerRoman"/>
      <w:lvlText w:val="%6."/>
      <w:lvlJc w:val="right"/>
      <w:pPr>
        <w:ind w:left="3469" w:hanging="180"/>
      </w:pPr>
      <w:rPr>
        <w:rFonts w:cs="Times New Roman"/>
      </w:rPr>
    </w:lvl>
    <w:lvl w:ilvl="6" w:tplc="0422000F" w:tentative="1">
      <w:start w:val="1"/>
      <w:numFmt w:val="decimal"/>
      <w:lvlText w:val="%7."/>
      <w:lvlJc w:val="left"/>
      <w:pPr>
        <w:ind w:left="4189" w:hanging="360"/>
      </w:pPr>
      <w:rPr>
        <w:rFonts w:cs="Times New Roman"/>
      </w:rPr>
    </w:lvl>
    <w:lvl w:ilvl="7" w:tplc="04220019" w:tentative="1">
      <w:start w:val="1"/>
      <w:numFmt w:val="lowerLetter"/>
      <w:lvlText w:val="%8."/>
      <w:lvlJc w:val="left"/>
      <w:pPr>
        <w:ind w:left="4909" w:hanging="360"/>
      </w:pPr>
      <w:rPr>
        <w:rFonts w:cs="Times New Roman"/>
      </w:rPr>
    </w:lvl>
    <w:lvl w:ilvl="8" w:tplc="0422001B" w:tentative="1">
      <w:start w:val="1"/>
      <w:numFmt w:val="lowerRoman"/>
      <w:lvlText w:val="%9."/>
      <w:lvlJc w:val="right"/>
      <w:pPr>
        <w:ind w:left="5629" w:hanging="180"/>
      </w:pPr>
      <w:rPr>
        <w:rFonts w:cs="Times New Roman"/>
      </w:rPr>
    </w:lvl>
  </w:abstractNum>
  <w:abstractNum w:abstractNumId="2" w15:restartNumberingAfterBreak="0">
    <w:nsid w:val="0F6C4C99"/>
    <w:multiLevelType w:val="hybridMultilevel"/>
    <w:tmpl w:val="2C7ACF7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FE61E76"/>
    <w:multiLevelType w:val="hybridMultilevel"/>
    <w:tmpl w:val="59326734"/>
    <w:lvl w:ilvl="0" w:tplc="0422000F">
      <w:start w:val="1"/>
      <w:numFmt w:val="decimal"/>
      <w:lvlText w:val="%1."/>
      <w:lvlJc w:val="left"/>
      <w:pPr>
        <w:ind w:left="720" w:hanging="360"/>
      </w:pPr>
      <w:rPr>
        <w:rFonts w:hint="default"/>
      </w:rPr>
    </w:lvl>
    <w:lvl w:ilvl="1" w:tplc="78FE1118">
      <w:start w:val="3"/>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7D45143"/>
    <w:multiLevelType w:val="hybridMultilevel"/>
    <w:tmpl w:val="E9E6C570"/>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15:restartNumberingAfterBreak="0">
    <w:nsid w:val="198126A9"/>
    <w:multiLevelType w:val="hybridMultilevel"/>
    <w:tmpl w:val="20A8549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32A11816"/>
    <w:multiLevelType w:val="hybridMultilevel"/>
    <w:tmpl w:val="59326734"/>
    <w:lvl w:ilvl="0" w:tplc="0422000F">
      <w:start w:val="1"/>
      <w:numFmt w:val="decimal"/>
      <w:lvlText w:val="%1."/>
      <w:lvlJc w:val="left"/>
      <w:pPr>
        <w:ind w:left="720" w:hanging="360"/>
      </w:pPr>
      <w:rPr>
        <w:rFonts w:hint="default"/>
      </w:rPr>
    </w:lvl>
    <w:lvl w:ilvl="1" w:tplc="78FE1118">
      <w:start w:val="3"/>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F776E81"/>
    <w:multiLevelType w:val="hybridMultilevel"/>
    <w:tmpl w:val="E9E6C570"/>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 w15:restartNumberingAfterBreak="0">
    <w:nsid w:val="45B31651"/>
    <w:multiLevelType w:val="hybridMultilevel"/>
    <w:tmpl w:val="59326734"/>
    <w:lvl w:ilvl="0" w:tplc="0422000F">
      <w:start w:val="1"/>
      <w:numFmt w:val="decimal"/>
      <w:lvlText w:val="%1."/>
      <w:lvlJc w:val="left"/>
      <w:pPr>
        <w:ind w:left="720" w:hanging="360"/>
      </w:pPr>
      <w:rPr>
        <w:rFonts w:hint="default"/>
      </w:rPr>
    </w:lvl>
    <w:lvl w:ilvl="1" w:tplc="78FE1118">
      <w:start w:val="3"/>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4D667932"/>
    <w:multiLevelType w:val="hybridMultilevel"/>
    <w:tmpl w:val="E9E6C570"/>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0" w15:restartNumberingAfterBreak="0">
    <w:nsid w:val="5255588E"/>
    <w:multiLevelType w:val="multilevel"/>
    <w:tmpl w:val="EB2699F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55CC4813"/>
    <w:multiLevelType w:val="hybridMultilevel"/>
    <w:tmpl w:val="E9E6C570"/>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15:restartNumberingAfterBreak="0">
    <w:nsid w:val="562E5FC4"/>
    <w:multiLevelType w:val="hybridMultilevel"/>
    <w:tmpl w:val="6F4042AC"/>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3" w15:restartNumberingAfterBreak="0">
    <w:nsid w:val="585C1876"/>
    <w:multiLevelType w:val="hybridMultilevel"/>
    <w:tmpl w:val="5D307CB2"/>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4" w15:restartNumberingAfterBreak="0">
    <w:nsid w:val="58E459D7"/>
    <w:multiLevelType w:val="hybridMultilevel"/>
    <w:tmpl w:val="E9E6C570"/>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5" w15:restartNumberingAfterBreak="0">
    <w:nsid w:val="5D2B09C5"/>
    <w:multiLevelType w:val="hybridMultilevel"/>
    <w:tmpl w:val="E9E6C570"/>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6" w15:restartNumberingAfterBreak="0">
    <w:nsid w:val="6566479A"/>
    <w:multiLevelType w:val="hybridMultilevel"/>
    <w:tmpl w:val="59326734"/>
    <w:lvl w:ilvl="0" w:tplc="0422000F">
      <w:start w:val="1"/>
      <w:numFmt w:val="decimal"/>
      <w:lvlText w:val="%1."/>
      <w:lvlJc w:val="left"/>
      <w:pPr>
        <w:ind w:left="720" w:hanging="360"/>
      </w:pPr>
      <w:rPr>
        <w:rFonts w:hint="default"/>
      </w:rPr>
    </w:lvl>
    <w:lvl w:ilvl="1" w:tplc="78FE1118">
      <w:start w:val="3"/>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676B4902"/>
    <w:multiLevelType w:val="hybridMultilevel"/>
    <w:tmpl w:val="5F2461B2"/>
    <w:lvl w:ilvl="0" w:tplc="A64E8E5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7F73630"/>
    <w:multiLevelType w:val="hybridMultilevel"/>
    <w:tmpl w:val="C4D82B50"/>
    <w:lvl w:ilvl="0" w:tplc="78FE1118">
      <w:start w:val="3"/>
      <w:numFmt w:val="bullet"/>
      <w:lvlText w:val="-"/>
      <w:lvlJc w:val="left"/>
      <w:pPr>
        <w:ind w:left="360" w:hanging="360"/>
      </w:pPr>
      <w:rPr>
        <w:rFonts w:ascii="Times New Roman" w:eastAsiaTheme="minorHAnsi" w:hAnsi="Times New Roman" w:cs="Times New Roman"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9" w15:restartNumberingAfterBreak="0">
    <w:nsid w:val="795C0F8B"/>
    <w:multiLevelType w:val="hybridMultilevel"/>
    <w:tmpl w:val="C32ACA5E"/>
    <w:lvl w:ilvl="0" w:tplc="52143F96">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0" w15:restartNumberingAfterBreak="0">
    <w:nsid w:val="7C1C0EC6"/>
    <w:multiLevelType w:val="hybridMultilevel"/>
    <w:tmpl w:val="E9E6C570"/>
    <w:lvl w:ilvl="0" w:tplc="0422000F">
      <w:start w:val="1"/>
      <w:numFmt w:val="decimal"/>
      <w:lvlText w:val="%1."/>
      <w:lvlJc w:val="left"/>
      <w:pPr>
        <w:ind w:left="360" w:hanging="36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4"/>
  </w:num>
  <w:num w:numId="2">
    <w:abstractNumId w:val="18"/>
  </w:num>
  <w:num w:numId="3">
    <w:abstractNumId w:val="6"/>
  </w:num>
  <w:num w:numId="4">
    <w:abstractNumId w:val="10"/>
  </w:num>
  <w:num w:numId="5">
    <w:abstractNumId w:val="2"/>
  </w:num>
  <w:num w:numId="6">
    <w:abstractNumId w:val="5"/>
  </w:num>
  <w:num w:numId="7">
    <w:abstractNumId w:val="19"/>
  </w:num>
  <w:num w:numId="8">
    <w:abstractNumId w:val="17"/>
  </w:num>
  <w:num w:numId="9">
    <w:abstractNumId w:val="1"/>
  </w:num>
  <w:num w:numId="10">
    <w:abstractNumId w:val="16"/>
  </w:num>
  <w:num w:numId="11">
    <w:abstractNumId w:val="15"/>
  </w:num>
  <w:num w:numId="12">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lvlOverride w:ilvl="2"/>
    <w:lvlOverride w:ilvl="3"/>
    <w:lvlOverride w:ilvl="4"/>
    <w:lvlOverride w:ilvl="5"/>
    <w:lvlOverride w:ilvl="6"/>
    <w:lvlOverride w:ilvl="7"/>
    <w:lvlOverride w:ilvl="8"/>
  </w:num>
  <w:num w:numId="14">
    <w:abstractNumId w:val="0"/>
  </w:num>
  <w:num w:numId="15">
    <w:abstractNumId w:val="8"/>
  </w:num>
  <w:num w:numId="16">
    <w:abstractNumId w:val="7"/>
  </w:num>
  <w:num w:numId="17">
    <w:abstractNumId w:val="3"/>
  </w:num>
  <w:num w:numId="18">
    <w:abstractNumId w:val="13"/>
  </w:num>
  <w:num w:numId="19">
    <w:abstractNumId w:val="20"/>
  </w:num>
  <w:num w:numId="20">
    <w:abstractNumId w:val="14"/>
  </w:num>
  <w:num w:numId="21">
    <w:abstractNumId w:val="9"/>
  </w:num>
  <w:num w:numId="22">
    <w:abstractNumId w:val="11"/>
  </w:num>
  <w:num w:numId="23">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ru-RU" w:vendorID="64" w:dllVersion="131078" w:nlCheck="1" w:checkStyle="0"/>
  <w:activeWritingStyle w:appName="MSWord" w:lang="en-US"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323"/>
    <w:rsid w:val="00001C78"/>
    <w:rsid w:val="000116A0"/>
    <w:rsid w:val="00017BBB"/>
    <w:rsid w:val="00034E9D"/>
    <w:rsid w:val="00035BF9"/>
    <w:rsid w:val="0004105A"/>
    <w:rsid w:val="00043FDC"/>
    <w:rsid w:val="000612E6"/>
    <w:rsid w:val="00062600"/>
    <w:rsid w:val="000645F1"/>
    <w:rsid w:val="00074F93"/>
    <w:rsid w:val="00080D7D"/>
    <w:rsid w:val="00087DD7"/>
    <w:rsid w:val="00090CE2"/>
    <w:rsid w:val="00095916"/>
    <w:rsid w:val="00096E8F"/>
    <w:rsid w:val="000B1353"/>
    <w:rsid w:val="000B32A8"/>
    <w:rsid w:val="000C36F1"/>
    <w:rsid w:val="000C3BC1"/>
    <w:rsid w:val="000F1EFC"/>
    <w:rsid w:val="000F406C"/>
    <w:rsid w:val="000F4FDB"/>
    <w:rsid w:val="00110CF0"/>
    <w:rsid w:val="001137BF"/>
    <w:rsid w:val="00120122"/>
    <w:rsid w:val="00124E7D"/>
    <w:rsid w:val="00132595"/>
    <w:rsid w:val="00140536"/>
    <w:rsid w:val="001417CC"/>
    <w:rsid w:val="00157800"/>
    <w:rsid w:val="00157A8D"/>
    <w:rsid w:val="00162D8C"/>
    <w:rsid w:val="001731B0"/>
    <w:rsid w:val="00176109"/>
    <w:rsid w:val="00191FB9"/>
    <w:rsid w:val="00197E58"/>
    <w:rsid w:val="001A158B"/>
    <w:rsid w:val="001A5726"/>
    <w:rsid w:val="001C129B"/>
    <w:rsid w:val="001C252D"/>
    <w:rsid w:val="001D5525"/>
    <w:rsid w:val="001E0747"/>
    <w:rsid w:val="001E1D92"/>
    <w:rsid w:val="001E2BFB"/>
    <w:rsid w:val="001E6EFC"/>
    <w:rsid w:val="001F0C51"/>
    <w:rsid w:val="001F0CF4"/>
    <w:rsid w:val="001F1B83"/>
    <w:rsid w:val="001F5B84"/>
    <w:rsid w:val="001F70DF"/>
    <w:rsid w:val="00207AD7"/>
    <w:rsid w:val="002225CB"/>
    <w:rsid w:val="00232F5C"/>
    <w:rsid w:val="00253E8E"/>
    <w:rsid w:val="00263124"/>
    <w:rsid w:val="0026445A"/>
    <w:rsid w:val="002649AA"/>
    <w:rsid w:val="0028256A"/>
    <w:rsid w:val="002860E6"/>
    <w:rsid w:val="00293044"/>
    <w:rsid w:val="00296E90"/>
    <w:rsid w:val="002A1381"/>
    <w:rsid w:val="002A5FC3"/>
    <w:rsid w:val="002A7B5C"/>
    <w:rsid w:val="002B147A"/>
    <w:rsid w:val="002B561F"/>
    <w:rsid w:val="002C2224"/>
    <w:rsid w:val="002C4B85"/>
    <w:rsid w:val="002E54F3"/>
    <w:rsid w:val="002E7F16"/>
    <w:rsid w:val="002F1196"/>
    <w:rsid w:val="00304386"/>
    <w:rsid w:val="003050B9"/>
    <w:rsid w:val="003149EB"/>
    <w:rsid w:val="003150DF"/>
    <w:rsid w:val="00317280"/>
    <w:rsid w:val="00321B82"/>
    <w:rsid w:val="00332DBD"/>
    <w:rsid w:val="00333682"/>
    <w:rsid w:val="00334679"/>
    <w:rsid w:val="003412CC"/>
    <w:rsid w:val="00350FEE"/>
    <w:rsid w:val="003537F1"/>
    <w:rsid w:val="003541C5"/>
    <w:rsid w:val="00356023"/>
    <w:rsid w:val="00357E1C"/>
    <w:rsid w:val="00360283"/>
    <w:rsid w:val="00361BD4"/>
    <w:rsid w:val="0037055D"/>
    <w:rsid w:val="00372DBA"/>
    <w:rsid w:val="003732B6"/>
    <w:rsid w:val="003735EA"/>
    <w:rsid w:val="00374F4C"/>
    <w:rsid w:val="00395254"/>
    <w:rsid w:val="003954E7"/>
    <w:rsid w:val="003969BD"/>
    <w:rsid w:val="003B056B"/>
    <w:rsid w:val="003B5845"/>
    <w:rsid w:val="003C27D9"/>
    <w:rsid w:val="003C2FCB"/>
    <w:rsid w:val="003D319F"/>
    <w:rsid w:val="003D690A"/>
    <w:rsid w:val="003E156D"/>
    <w:rsid w:val="003E1DFE"/>
    <w:rsid w:val="003E3164"/>
    <w:rsid w:val="003E60C9"/>
    <w:rsid w:val="003E6143"/>
    <w:rsid w:val="003F748F"/>
    <w:rsid w:val="004121AE"/>
    <w:rsid w:val="00420502"/>
    <w:rsid w:val="004266DE"/>
    <w:rsid w:val="00486019"/>
    <w:rsid w:val="00490D62"/>
    <w:rsid w:val="00497BE3"/>
    <w:rsid w:val="004A5849"/>
    <w:rsid w:val="004A5F69"/>
    <w:rsid w:val="004B1468"/>
    <w:rsid w:val="004B2750"/>
    <w:rsid w:val="004B521F"/>
    <w:rsid w:val="004C6AE8"/>
    <w:rsid w:val="004D38BB"/>
    <w:rsid w:val="004D607E"/>
    <w:rsid w:val="004E3E47"/>
    <w:rsid w:val="004F0B12"/>
    <w:rsid w:val="004F2704"/>
    <w:rsid w:val="00504AF6"/>
    <w:rsid w:val="00513A8D"/>
    <w:rsid w:val="00536740"/>
    <w:rsid w:val="00542908"/>
    <w:rsid w:val="00543323"/>
    <w:rsid w:val="00544220"/>
    <w:rsid w:val="005443F0"/>
    <w:rsid w:val="00563CA0"/>
    <w:rsid w:val="0056724F"/>
    <w:rsid w:val="00582BAD"/>
    <w:rsid w:val="00587470"/>
    <w:rsid w:val="005948C0"/>
    <w:rsid w:val="00595748"/>
    <w:rsid w:val="00596859"/>
    <w:rsid w:val="005A1FC3"/>
    <w:rsid w:val="005A67B4"/>
    <w:rsid w:val="005A7B8C"/>
    <w:rsid w:val="005B3FC2"/>
    <w:rsid w:val="005B56AD"/>
    <w:rsid w:val="005B5767"/>
    <w:rsid w:val="005C2807"/>
    <w:rsid w:val="005C4F6B"/>
    <w:rsid w:val="005C586F"/>
    <w:rsid w:val="005C6E03"/>
    <w:rsid w:val="005D559A"/>
    <w:rsid w:val="005E1A24"/>
    <w:rsid w:val="005F29BD"/>
    <w:rsid w:val="005F34B5"/>
    <w:rsid w:val="00603356"/>
    <w:rsid w:val="00607DFC"/>
    <w:rsid w:val="00613065"/>
    <w:rsid w:val="0061473E"/>
    <w:rsid w:val="00621379"/>
    <w:rsid w:val="0062581F"/>
    <w:rsid w:val="00650848"/>
    <w:rsid w:val="00655F39"/>
    <w:rsid w:val="006604EF"/>
    <w:rsid w:val="006645C8"/>
    <w:rsid w:val="00673640"/>
    <w:rsid w:val="00677E1F"/>
    <w:rsid w:val="0068583E"/>
    <w:rsid w:val="006862AB"/>
    <w:rsid w:val="00694567"/>
    <w:rsid w:val="006A084E"/>
    <w:rsid w:val="006A74D3"/>
    <w:rsid w:val="006C2C54"/>
    <w:rsid w:val="006C5571"/>
    <w:rsid w:val="006E0E89"/>
    <w:rsid w:val="006E276B"/>
    <w:rsid w:val="006E4716"/>
    <w:rsid w:val="006E6B6E"/>
    <w:rsid w:val="006F3224"/>
    <w:rsid w:val="00707D60"/>
    <w:rsid w:val="00730325"/>
    <w:rsid w:val="007449A5"/>
    <w:rsid w:val="007504C3"/>
    <w:rsid w:val="00750A0D"/>
    <w:rsid w:val="00767C1A"/>
    <w:rsid w:val="00771851"/>
    <w:rsid w:val="00774AB1"/>
    <w:rsid w:val="00774E33"/>
    <w:rsid w:val="007876C9"/>
    <w:rsid w:val="00794AF3"/>
    <w:rsid w:val="007A0978"/>
    <w:rsid w:val="007A4D2A"/>
    <w:rsid w:val="007A5AE0"/>
    <w:rsid w:val="007B234B"/>
    <w:rsid w:val="007B321D"/>
    <w:rsid w:val="007B3B3F"/>
    <w:rsid w:val="007B5A1D"/>
    <w:rsid w:val="007D7DC9"/>
    <w:rsid w:val="007F1C9C"/>
    <w:rsid w:val="007F2534"/>
    <w:rsid w:val="00805D5E"/>
    <w:rsid w:val="008108BB"/>
    <w:rsid w:val="00817533"/>
    <w:rsid w:val="00820A26"/>
    <w:rsid w:val="00825AB5"/>
    <w:rsid w:val="008319B1"/>
    <w:rsid w:val="00844902"/>
    <w:rsid w:val="0084666C"/>
    <w:rsid w:val="008615D9"/>
    <w:rsid w:val="00864D53"/>
    <w:rsid w:val="00866DA1"/>
    <w:rsid w:val="00875EF8"/>
    <w:rsid w:val="00876FE7"/>
    <w:rsid w:val="008823E4"/>
    <w:rsid w:val="008862D6"/>
    <w:rsid w:val="00892C8D"/>
    <w:rsid w:val="0089592C"/>
    <w:rsid w:val="008A15E6"/>
    <w:rsid w:val="008A5B77"/>
    <w:rsid w:val="008B4B46"/>
    <w:rsid w:val="008C03A2"/>
    <w:rsid w:val="008C0D38"/>
    <w:rsid w:val="008C4970"/>
    <w:rsid w:val="008D0B2A"/>
    <w:rsid w:val="008D77BE"/>
    <w:rsid w:val="008E5336"/>
    <w:rsid w:val="008F215C"/>
    <w:rsid w:val="009004BE"/>
    <w:rsid w:val="0091004F"/>
    <w:rsid w:val="00911B27"/>
    <w:rsid w:val="0093053F"/>
    <w:rsid w:val="00932BC0"/>
    <w:rsid w:val="00951091"/>
    <w:rsid w:val="009605C8"/>
    <w:rsid w:val="009734C9"/>
    <w:rsid w:val="009820DA"/>
    <w:rsid w:val="00985FD4"/>
    <w:rsid w:val="0098774B"/>
    <w:rsid w:val="0099000A"/>
    <w:rsid w:val="00993601"/>
    <w:rsid w:val="00996609"/>
    <w:rsid w:val="00996EB8"/>
    <w:rsid w:val="009A173C"/>
    <w:rsid w:val="009A7860"/>
    <w:rsid w:val="009B1256"/>
    <w:rsid w:val="009B1405"/>
    <w:rsid w:val="009B794D"/>
    <w:rsid w:val="009C1018"/>
    <w:rsid w:val="009C1A14"/>
    <w:rsid w:val="009C5A91"/>
    <w:rsid w:val="009C7A89"/>
    <w:rsid w:val="009E6C7E"/>
    <w:rsid w:val="00A109C2"/>
    <w:rsid w:val="00A10E62"/>
    <w:rsid w:val="00A17188"/>
    <w:rsid w:val="00A2549B"/>
    <w:rsid w:val="00A43D85"/>
    <w:rsid w:val="00A47854"/>
    <w:rsid w:val="00A50C1F"/>
    <w:rsid w:val="00A550C3"/>
    <w:rsid w:val="00A65993"/>
    <w:rsid w:val="00A94CFD"/>
    <w:rsid w:val="00AA1709"/>
    <w:rsid w:val="00AC6827"/>
    <w:rsid w:val="00AD0420"/>
    <w:rsid w:val="00AD51AF"/>
    <w:rsid w:val="00AE2D06"/>
    <w:rsid w:val="00AF30BA"/>
    <w:rsid w:val="00AF4B0A"/>
    <w:rsid w:val="00B02037"/>
    <w:rsid w:val="00B130AF"/>
    <w:rsid w:val="00B132DF"/>
    <w:rsid w:val="00B17D3E"/>
    <w:rsid w:val="00B42B4B"/>
    <w:rsid w:val="00B471B1"/>
    <w:rsid w:val="00B60C09"/>
    <w:rsid w:val="00B717E5"/>
    <w:rsid w:val="00B83560"/>
    <w:rsid w:val="00B84AB9"/>
    <w:rsid w:val="00B850F8"/>
    <w:rsid w:val="00B86ECA"/>
    <w:rsid w:val="00B923B2"/>
    <w:rsid w:val="00BA173D"/>
    <w:rsid w:val="00BA3D6E"/>
    <w:rsid w:val="00BB74A0"/>
    <w:rsid w:val="00BC2EB1"/>
    <w:rsid w:val="00BD5405"/>
    <w:rsid w:val="00BE0FEC"/>
    <w:rsid w:val="00BE10A1"/>
    <w:rsid w:val="00BF4FF9"/>
    <w:rsid w:val="00C1115E"/>
    <w:rsid w:val="00C36617"/>
    <w:rsid w:val="00C503AB"/>
    <w:rsid w:val="00C52B2C"/>
    <w:rsid w:val="00C60EF9"/>
    <w:rsid w:val="00C929AB"/>
    <w:rsid w:val="00C94C51"/>
    <w:rsid w:val="00C9739D"/>
    <w:rsid w:val="00CA0083"/>
    <w:rsid w:val="00CB4995"/>
    <w:rsid w:val="00CC3B4D"/>
    <w:rsid w:val="00CC6BAB"/>
    <w:rsid w:val="00CD37AE"/>
    <w:rsid w:val="00CD3EE5"/>
    <w:rsid w:val="00CD4EE5"/>
    <w:rsid w:val="00CF0B82"/>
    <w:rsid w:val="00CF1C49"/>
    <w:rsid w:val="00CF74EB"/>
    <w:rsid w:val="00D13364"/>
    <w:rsid w:val="00D150F2"/>
    <w:rsid w:val="00D352A4"/>
    <w:rsid w:val="00D353D3"/>
    <w:rsid w:val="00D36342"/>
    <w:rsid w:val="00D37CB3"/>
    <w:rsid w:val="00D437E7"/>
    <w:rsid w:val="00D567F1"/>
    <w:rsid w:val="00D71920"/>
    <w:rsid w:val="00D73866"/>
    <w:rsid w:val="00D739E1"/>
    <w:rsid w:val="00D90AA6"/>
    <w:rsid w:val="00DA7BF8"/>
    <w:rsid w:val="00DB4CAA"/>
    <w:rsid w:val="00DB5091"/>
    <w:rsid w:val="00DC0259"/>
    <w:rsid w:val="00DC4A8C"/>
    <w:rsid w:val="00DC7B0B"/>
    <w:rsid w:val="00DE6E24"/>
    <w:rsid w:val="00DF0AAB"/>
    <w:rsid w:val="00DF61CD"/>
    <w:rsid w:val="00E02C0C"/>
    <w:rsid w:val="00E0498B"/>
    <w:rsid w:val="00E11480"/>
    <w:rsid w:val="00E22E00"/>
    <w:rsid w:val="00E242FC"/>
    <w:rsid w:val="00E25739"/>
    <w:rsid w:val="00E32DB2"/>
    <w:rsid w:val="00E342E1"/>
    <w:rsid w:val="00E356C4"/>
    <w:rsid w:val="00E3677C"/>
    <w:rsid w:val="00E42B06"/>
    <w:rsid w:val="00E71577"/>
    <w:rsid w:val="00E87E57"/>
    <w:rsid w:val="00E87FC1"/>
    <w:rsid w:val="00E908D6"/>
    <w:rsid w:val="00E95C7B"/>
    <w:rsid w:val="00E9692A"/>
    <w:rsid w:val="00EA4632"/>
    <w:rsid w:val="00EB1585"/>
    <w:rsid w:val="00EB55DB"/>
    <w:rsid w:val="00EB58C9"/>
    <w:rsid w:val="00EC7E16"/>
    <w:rsid w:val="00ED0862"/>
    <w:rsid w:val="00ED3C5B"/>
    <w:rsid w:val="00ED644E"/>
    <w:rsid w:val="00EE728E"/>
    <w:rsid w:val="00EF116B"/>
    <w:rsid w:val="00EF1AB6"/>
    <w:rsid w:val="00EF4743"/>
    <w:rsid w:val="00F0503E"/>
    <w:rsid w:val="00F105F4"/>
    <w:rsid w:val="00F15470"/>
    <w:rsid w:val="00F24177"/>
    <w:rsid w:val="00F2472B"/>
    <w:rsid w:val="00F32642"/>
    <w:rsid w:val="00F37271"/>
    <w:rsid w:val="00F5356B"/>
    <w:rsid w:val="00F60E8A"/>
    <w:rsid w:val="00F65520"/>
    <w:rsid w:val="00F66D6D"/>
    <w:rsid w:val="00F71B81"/>
    <w:rsid w:val="00F86ECD"/>
    <w:rsid w:val="00F9037F"/>
    <w:rsid w:val="00F96B73"/>
    <w:rsid w:val="00F97A0D"/>
    <w:rsid w:val="00FA5412"/>
    <w:rsid w:val="00FA5DA4"/>
    <w:rsid w:val="00FB296B"/>
    <w:rsid w:val="00FC0C90"/>
    <w:rsid w:val="00FC2C60"/>
    <w:rsid w:val="00FE4D0E"/>
    <w:rsid w:val="00FE620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13C33862"/>
  <w15:chartTrackingRefBased/>
  <w15:docId w15:val="{E6BDEA9D-CAAC-4414-ACE7-3B41C4B18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6F322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3224"/>
    <w:rPr>
      <w:rFonts w:ascii="Times New Roman" w:eastAsia="Times New Roman" w:hAnsi="Times New Roman" w:cs="Times New Roman"/>
      <w:b/>
      <w:bCs/>
      <w:kern w:val="36"/>
      <w:sz w:val="48"/>
      <w:szCs w:val="48"/>
      <w:lang w:eastAsia="uk-UA"/>
    </w:rPr>
  </w:style>
  <w:style w:type="paragraph" w:styleId="NoSpacing">
    <w:name w:val="No Spacing"/>
    <w:uiPriority w:val="1"/>
    <w:qFormat/>
    <w:rsid w:val="009820DA"/>
    <w:pPr>
      <w:spacing w:after="0" w:line="240" w:lineRule="auto"/>
    </w:pPr>
  </w:style>
  <w:style w:type="paragraph" w:customStyle="1" w:styleId="rvps7">
    <w:name w:val="rvps7"/>
    <w:basedOn w:val="Normal"/>
    <w:rsid w:val="00372DBA"/>
    <w:pPr>
      <w:spacing w:before="100" w:beforeAutospacing="1" w:after="100" w:afterAutospacing="1" w:line="240" w:lineRule="auto"/>
    </w:pPr>
    <w:rPr>
      <w:rFonts w:ascii="Times New Roman" w:eastAsia="MS Mincho" w:hAnsi="Times New Roman" w:cs="Times New Roman"/>
      <w:sz w:val="24"/>
      <w:szCs w:val="24"/>
      <w:lang w:val="ru-RU" w:eastAsia="ja-JP"/>
    </w:rPr>
  </w:style>
  <w:style w:type="character" w:customStyle="1" w:styleId="rvts15">
    <w:name w:val="rvts15"/>
    <w:rsid w:val="00372DBA"/>
    <w:rPr>
      <w:rFonts w:cs="Times New Roman"/>
    </w:rPr>
  </w:style>
  <w:style w:type="paragraph" w:customStyle="1" w:styleId="rvps2">
    <w:name w:val="rvps2"/>
    <w:basedOn w:val="Normal"/>
    <w:rsid w:val="00372DBA"/>
    <w:pPr>
      <w:spacing w:before="100" w:beforeAutospacing="1" w:after="100" w:afterAutospacing="1" w:line="240" w:lineRule="auto"/>
    </w:pPr>
    <w:rPr>
      <w:rFonts w:ascii="Times New Roman" w:eastAsia="MS Mincho" w:hAnsi="Times New Roman" w:cs="Times New Roman"/>
      <w:sz w:val="24"/>
      <w:szCs w:val="24"/>
      <w:lang w:val="ru-RU" w:eastAsia="ja-JP"/>
    </w:rPr>
  </w:style>
  <w:style w:type="paragraph" w:styleId="Header">
    <w:name w:val="header"/>
    <w:basedOn w:val="Normal"/>
    <w:link w:val="HeaderChar"/>
    <w:uiPriority w:val="99"/>
    <w:unhideWhenUsed/>
    <w:rsid w:val="00372DBA"/>
    <w:pPr>
      <w:tabs>
        <w:tab w:val="center" w:pos="4819"/>
        <w:tab w:val="right" w:pos="9639"/>
      </w:tabs>
      <w:spacing w:after="0" w:line="240" w:lineRule="auto"/>
    </w:pPr>
  </w:style>
  <w:style w:type="character" w:customStyle="1" w:styleId="HeaderChar">
    <w:name w:val="Header Char"/>
    <w:basedOn w:val="DefaultParagraphFont"/>
    <w:link w:val="Header"/>
    <w:uiPriority w:val="99"/>
    <w:rsid w:val="00372DBA"/>
  </w:style>
  <w:style w:type="paragraph" w:styleId="Footer">
    <w:name w:val="footer"/>
    <w:basedOn w:val="Normal"/>
    <w:link w:val="FooterChar"/>
    <w:uiPriority w:val="99"/>
    <w:unhideWhenUsed/>
    <w:rsid w:val="00372DBA"/>
    <w:pPr>
      <w:tabs>
        <w:tab w:val="center" w:pos="4819"/>
        <w:tab w:val="right" w:pos="9639"/>
      </w:tabs>
      <w:spacing w:after="0" w:line="240" w:lineRule="auto"/>
    </w:pPr>
  </w:style>
  <w:style w:type="character" w:customStyle="1" w:styleId="FooterChar">
    <w:name w:val="Footer Char"/>
    <w:basedOn w:val="DefaultParagraphFont"/>
    <w:link w:val="Footer"/>
    <w:uiPriority w:val="99"/>
    <w:rsid w:val="00372DBA"/>
  </w:style>
  <w:style w:type="paragraph" w:styleId="ListParagraph">
    <w:name w:val="List Paragraph"/>
    <w:basedOn w:val="Normal"/>
    <w:uiPriority w:val="34"/>
    <w:qFormat/>
    <w:rsid w:val="00D37CB3"/>
    <w:pPr>
      <w:ind w:left="720"/>
      <w:contextualSpacing/>
    </w:pPr>
  </w:style>
  <w:style w:type="character" w:customStyle="1" w:styleId="apple-converted-space">
    <w:name w:val="apple-converted-space"/>
    <w:basedOn w:val="DefaultParagraphFont"/>
    <w:uiPriority w:val="99"/>
    <w:rsid w:val="00D37CB3"/>
  </w:style>
  <w:style w:type="character" w:styleId="Hyperlink">
    <w:name w:val="Hyperlink"/>
    <w:basedOn w:val="DefaultParagraphFont"/>
    <w:uiPriority w:val="99"/>
    <w:unhideWhenUsed/>
    <w:rsid w:val="006F3224"/>
    <w:rPr>
      <w:color w:val="0000FF"/>
      <w:u w:val="single"/>
    </w:rPr>
  </w:style>
  <w:style w:type="paragraph" w:styleId="BalloonText">
    <w:name w:val="Balloon Text"/>
    <w:basedOn w:val="Normal"/>
    <w:link w:val="BalloonTextChar"/>
    <w:uiPriority w:val="99"/>
    <w:semiHidden/>
    <w:unhideWhenUsed/>
    <w:rsid w:val="006F3224"/>
    <w:pPr>
      <w:spacing w:after="0" w:line="240" w:lineRule="auto"/>
    </w:pPr>
    <w:rPr>
      <w:rFonts w:ascii="Segoe UI" w:hAnsi="Segoe UI" w:cs="Segoe UI"/>
      <w:sz w:val="18"/>
      <w:szCs w:val="18"/>
      <w:lang w:val="ru-RU"/>
    </w:rPr>
  </w:style>
  <w:style w:type="character" w:customStyle="1" w:styleId="BalloonTextChar">
    <w:name w:val="Balloon Text Char"/>
    <w:basedOn w:val="DefaultParagraphFont"/>
    <w:link w:val="BalloonText"/>
    <w:uiPriority w:val="99"/>
    <w:semiHidden/>
    <w:rsid w:val="006F3224"/>
    <w:rPr>
      <w:rFonts w:ascii="Segoe UI" w:hAnsi="Segoe UI" w:cs="Segoe UI"/>
      <w:sz w:val="18"/>
      <w:szCs w:val="18"/>
      <w:lang w:val="ru-RU"/>
    </w:rPr>
  </w:style>
  <w:style w:type="character" w:customStyle="1" w:styleId="element-invisible">
    <w:name w:val="element-invisible"/>
    <w:basedOn w:val="DefaultParagraphFont"/>
    <w:uiPriority w:val="99"/>
    <w:rsid w:val="006F3224"/>
  </w:style>
  <w:style w:type="character" w:styleId="Emphasis">
    <w:name w:val="Emphasis"/>
    <w:uiPriority w:val="99"/>
    <w:qFormat/>
    <w:rsid w:val="006F3224"/>
    <w:rPr>
      <w:i/>
      <w:iCs/>
    </w:rPr>
  </w:style>
  <w:style w:type="character" w:customStyle="1" w:styleId="mb">
    <w:name w:val="mb"/>
    <w:basedOn w:val="DefaultParagraphFont"/>
    <w:rsid w:val="006F3224"/>
  </w:style>
  <w:style w:type="paragraph" w:customStyle="1" w:styleId="tabelbodytekst9pt">
    <w:name w:val="tabel_bodytekst_9pt"/>
    <w:basedOn w:val="Normal"/>
    <w:uiPriority w:val="99"/>
    <w:rsid w:val="006F322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highlight">
    <w:name w:val="highlight"/>
    <w:basedOn w:val="DefaultParagraphFont"/>
    <w:uiPriority w:val="99"/>
    <w:rsid w:val="006F3224"/>
  </w:style>
  <w:style w:type="paragraph" w:customStyle="1" w:styleId="Pa36">
    <w:name w:val="Pa36"/>
    <w:basedOn w:val="Normal"/>
    <w:next w:val="Normal"/>
    <w:uiPriority w:val="99"/>
    <w:rsid w:val="006F3224"/>
    <w:pPr>
      <w:autoSpaceDE w:val="0"/>
      <w:autoSpaceDN w:val="0"/>
      <w:adjustRightInd w:val="0"/>
      <w:spacing w:after="0" w:line="181" w:lineRule="atLeast"/>
    </w:pPr>
    <w:rPr>
      <w:rFonts w:ascii="Bembo" w:hAnsi="Bembo"/>
      <w:sz w:val="24"/>
      <w:szCs w:val="24"/>
    </w:rPr>
  </w:style>
  <w:style w:type="character" w:customStyle="1" w:styleId="mixed-citation">
    <w:name w:val="mixed-citation"/>
    <w:basedOn w:val="DefaultParagraphFont"/>
    <w:uiPriority w:val="99"/>
    <w:rsid w:val="006F3224"/>
  </w:style>
  <w:style w:type="character" w:customStyle="1" w:styleId="ref-title">
    <w:name w:val="ref-title"/>
    <w:basedOn w:val="DefaultParagraphFont"/>
    <w:uiPriority w:val="99"/>
    <w:rsid w:val="006F3224"/>
  </w:style>
  <w:style w:type="character" w:customStyle="1" w:styleId="ref-journal">
    <w:name w:val="ref-journal"/>
    <w:basedOn w:val="DefaultParagraphFont"/>
    <w:uiPriority w:val="99"/>
    <w:rsid w:val="006F3224"/>
  </w:style>
  <w:style w:type="character" w:customStyle="1" w:styleId="ref-vol">
    <w:name w:val="ref-vol"/>
    <w:basedOn w:val="DefaultParagraphFont"/>
    <w:uiPriority w:val="99"/>
    <w:rsid w:val="006F3224"/>
  </w:style>
  <w:style w:type="character" w:customStyle="1" w:styleId="ref-iss">
    <w:name w:val="ref-iss"/>
    <w:basedOn w:val="DefaultParagraphFont"/>
    <w:uiPriority w:val="99"/>
    <w:rsid w:val="006F3224"/>
  </w:style>
  <w:style w:type="character" w:customStyle="1" w:styleId="element-citation">
    <w:name w:val="element-citation"/>
    <w:basedOn w:val="DefaultParagraphFont"/>
    <w:uiPriority w:val="99"/>
    <w:rsid w:val="006F3224"/>
  </w:style>
  <w:style w:type="character" w:customStyle="1" w:styleId="nowrap">
    <w:name w:val="nowrap"/>
    <w:basedOn w:val="DefaultParagraphFont"/>
    <w:uiPriority w:val="99"/>
    <w:rsid w:val="006F3224"/>
  </w:style>
  <w:style w:type="paragraph" w:customStyle="1" w:styleId="Pa38">
    <w:name w:val="Pa38"/>
    <w:basedOn w:val="Normal"/>
    <w:next w:val="Normal"/>
    <w:uiPriority w:val="99"/>
    <w:rsid w:val="006F3224"/>
    <w:pPr>
      <w:autoSpaceDE w:val="0"/>
      <w:autoSpaceDN w:val="0"/>
      <w:adjustRightInd w:val="0"/>
      <w:spacing w:after="0" w:line="181" w:lineRule="atLeast"/>
    </w:pPr>
    <w:rPr>
      <w:rFonts w:ascii="Bembo" w:hAnsi="Bembo"/>
      <w:sz w:val="24"/>
      <w:szCs w:val="24"/>
    </w:rPr>
  </w:style>
  <w:style w:type="paragraph" w:customStyle="1" w:styleId="Pa37">
    <w:name w:val="Pa37"/>
    <w:basedOn w:val="Normal"/>
    <w:next w:val="Normal"/>
    <w:uiPriority w:val="99"/>
    <w:rsid w:val="006F3224"/>
    <w:pPr>
      <w:autoSpaceDE w:val="0"/>
      <w:autoSpaceDN w:val="0"/>
      <w:adjustRightInd w:val="0"/>
      <w:spacing w:after="0" w:line="181" w:lineRule="atLeast"/>
    </w:pPr>
    <w:rPr>
      <w:rFonts w:ascii="Bembo" w:hAnsi="Bembo"/>
      <w:sz w:val="24"/>
      <w:szCs w:val="24"/>
    </w:rPr>
  </w:style>
  <w:style w:type="paragraph" w:customStyle="1" w:styleId="msonormal0">
    <w:name w:val="msonormal"/>
    <w:basedOn w:val="Normal"/>
    <w:uiPriority w:val="99"/>
    <w:rsid w:val="006F322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
    <w:name w:val="&lt;"/>
    <w:basedOn w:val="DefaultParagraphFont"/>
    <w:rsid w:val="006F3224"/>
  </w:style>
  <w:style w:type="table" w:styleId="TableGrid">
    <w:name w:val="Table Grid"/>
    <w:basedOn w:val="TableNormal"/>
    <w:uiPriority w:val="39"/>
    <w:rsid w:val="00B84A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84AB9"/>
    <w:rPr>
      <w:color w:val="808080"/>
    </w:rPr>
  </w:style>
  <w:style w:type="character" w:customStyle="1" w:styleId="8pt">
    <w:name w:val="Основной текст + 8 pt"/>
    <w:basedOn w:val="DefaultParagraphFont"/>
    <w:rsid w:val="00B84AB9"/>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style>
  <w:style w:type="table" w:styleId="PlainTable4">
    <w:name w:val="Plain Table 4"/>
    <w:basedOn w:val="TableNormal"/>
    <w:uiPriority w:val="44"/>
    <w:rsid w:val="00FA5DA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Default">
    <w:name w:val="Default"/>
    <w:rsid w:val="00FA5DA4"/>
    <w:pPr>
      <w:autoSpaceDE w:val="0"/>
      <w:autoSpaceDN w:val="0"/>
      <w:adjustRightInd w:val="0"/>
      <w:spacing w:after="0" w:line="240" w:lineRule="auto"/>
    </w:pPr>
    <w:rPr>
      <w:rFonts w:ascii="NewsGothCnEU" w:hAnsi="NewsGothCnEU" w:cs="NewsGothCnEU"/>
      <w:color w:val="000000"/>
      <w:sz w:val="24"/>
      <w:szCs w:val="24"/>
      <w:lang w:val="ru-RU"/>
    </w:rPr>
  </w:style>
  <w:style w:type="paragraph" w:customStyle="1" w:styleId="Standard">
    <w:name w:val="Standard"/>
    <w:rsid w:val="00FA5DA4"/>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ormalWeb">
    <w:name w:val="Normal (Web)"/>
    <w:basedOn w:val="Normal"/>
    <w:uiPriority w:val="99"/>
    <w:semiHidden/>
    <w:unhideWhenUsed/>
    <w:rsid w:val="0033467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st">
    <w:name w:val="st"/>
    <w:uiPriority w:val="99"/>
    <w:rsid w:val="0061473E"/>
  </w:style>
  <w:style w:type="character" w:customStyle="1" w:styleId="cit">
    <w:name w:val="cit"/>
    <w:uiPriority w:val="99"/>
    <w:rsid w:val="0061473E"/>
  </w:style>
  <w:style w:type="character" w:customStyle="1" w:styleId="jrnl">
    <w:name w:val="jrnl"/>
    <w:uiPriority w:val="99"/>
    <w:rsid w:val="006147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9279846">
      <w:bodyDiv w:val="1"/>
      <w:marLeft w:val="0"/>
      <w:marRight w:val="0"/>
      <w:marTop w:val="0"/>
      <w:marBottom w:val="0"/>
      <w:divBdr>
        <w:top w:val="none" w:sz="0" w:space="0" w:color="auto"/>
        <w:left w:val="none" w:sz="0" w:space="0" w:color="auto"/>
        <w:bottom w:val="none" w:sz="0" w:space="0" w:color="auto"/>
        <w:right w:val="none" w:sz="0" w:space="0" w:color="auto"/>
      </w:divBdr>
    </w:div>
    <w:div w:id="972252341">
      <w:bodyDiv w:val="1"/>
      <w:marLeft w:val="0"/>
      <w:marRight w:val="0"/>
      <w:marTop w:val="0"/>
      <w:marBottom w:val="0"/>
      <w:divBdr>
        <w:top w:val="none" w:sz="0" w:space="0" w:color="auto"/>
        <w:left w:val="none" w:sz="0" w:space="0" w:color="auto"/>
        <w:bottom w:val="none" w:sz="0" w:space="0" w:color="auto"/>
        <w:right w:val="none" w:sz="0" w:space="0" w:color="auto"/>
      </w:divBdr>
    </w:div>
    <w:div w:id="1042095890">
      <w:bodyDiv w:val="1"/>
      <w:marLeft w:val="0"/>
      <w:marRight w:val="0"/>
      <w:marTop w:val="0"/>
      <w:marBottom w:val="0"/>
      <w:divBdr>
        <w:top w:val="none" w:sz="0" w:space="0" w:color="auto"/>
        <w:left w:val="none" w:sz="0" w:space="0" w:color="auto"/>
        <w:bottom w:val="none" w:sz="0" w:space="0" w:color="auto"/>
        <w:right w:val="none" w:sz="0" w:space="0" w:color="auto"/>
      </w:divBdr>
    </w:div>
    <w:div w:id="1257010836">
      <w:bodyDiv w:val="1"/>
      <w:marLeft w:val="0"/>
      <w:marRight w:val="0"/>
      <w:marTop w:val="0"/>
      <w:marBottom w:val="0"/>
      <w:divBdr>
        <w:top w:val="none" w:sz="0" w:space="0" w:color="auto"/>
        <w:left w:val="none" w:sz="0" w:space="0" w:color="auto"/>
        <w:bottom w:val="none" w:sz="0" w:space="0" w:color="auto"/>
        <w:right w:val="none" w:sz="0" w:space="0" w:color="auto"/>
      </w:divBdr>
    </w:div>
    <w:div w:id="1305626302">
      <w:bodyDiv w:val="1"/>
      <w:marLeft w:val="0"/>
      <w:marRight w:val="0"/>
      <w:marTop w:val="0"/>
      <w:marBottom w:val="0"/>
      <w:divBdr>
        <w:top w:val="none" w:sz="0" w:space="0" w:color="auto"/>
        <w:left w:val="none" w:sz="0" w:space="0" w:color="auto"/>
        <w:bottom w:val="none" w:sz="0" w:space="0" w:color="auto"/>
        <w:right w:val="none" w:sz="0" w:space="0" w:color="auto"/>
      </w:divBdr>
    </w:div>
    <w:div w:id="1567377211">
      <w:bodyDiv w:val="1"/>
      <w:marLeft w:val="0"/>
      <w:marRight w:val="0"/>
      <w:marTop w:val="0"/>
      <w:marBottom w:val="0"/>
      <w:divBdr>
        <w:top w:val="none" w:sz="0" w:space="0" w:color="auto"/>
        <w:left w:val="none" w:sz="0" w:space="0" w:color="auto"/>
        <w:bottom w:val="none" w:sz="0" w:space="0" w:color="auto"/>
        <w:right w:val="none" w:sz="0" w:space="0" w:color="auto"/>
      </w:divBdr>
      <w:divsChild>
        <w:div w:id="919678768">
          <w:marLeft w:val="0"/>
          <w:marRight w:val="0"/>
          <w:marTop w:val="0"/>
          <w:marBottom w:val="0"/>
          <w:divBdr>
            <w:top w:val="none" w:sz="0" w:space="0" w:color="auto"/>
            <w:left w:val="none" w:sz="0" w:space="0" w:color="auto"/>
            <w:bottom w:val="none" w:sz="0" w:space="0" w:color="auto"/>
            <w:right w:val="none" w:sz="0" w:space="0" w:color="auto"/>
          </w:divBdr>
          <w:divsChild>
            <w:div w:id="1785928537">
              <w:marLeft w:val="0"/>
              <w:marRight w:val="0"/>
              <w:marTop w:val="0"/>
              <w:marBottom w:val="0"/>
              <w:divBdr>
                <w:top w:val="none" w:sz="0" w:space="0" w:color="auto"/>
                <w:left w:val="none" w:sz="0" w:space="0" w:color="auto"/>
                <w:bottom w:val="none" w:sz="0" w:space="0" w:color="auto"/>
                <w:right w:val="none" w:sz="0" w:space="0" w:color="auto"/>
              </w:divBdr>
              <w:divsChild>
                <w:div w:id="207049018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679846225">
      <w:bodyDiv w:val="1"/>
      <w:marLeft w:val="0"/>
      <w:marRight w:val="0"/>
      <w:marTop w:val="0"/>
      <w:marBottom w:val="0"/>
      <w:divBdr>
        <w:top w:val="none" w:sz="0" w:space="0" w:color="auto"/>
        <w:left w:val="none" w:sz="0" w:space="0" w:color="auto"/>
        <w:bottom w:val="none" w:sz="0" w:space="0" w:color="auto"/>
        <w:right w:val="none" w:sz="0" w:space="0" w:color="auto"/>
      </w:divBdr>
    </w:div>
    <w:div w:id="1874613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117" Type="http://schemas.openxmlformats.org/officeDocument/2006/relationships/image" Target="media/image96.jpeg"/><Relationship Id="rId21" Type="http://schemas.openxmlformats.org/officeDocument/2006/relationships/image" Target="media/image13.png"/><Relationship Id="rId42" Type="http://schemas.openxmlformats.org/officeDocument/2006/relationships/image" Target="media/image30.jpg"/><Relationship Id="rId47" Type="http://schemas.openxmlformats.org/officeDocument/2006/relationships/image" Target="media/image35.jpeg"/><Relationship Id="rId63" Type="http://schemas.openxmlformats.org/officeDocument/2006/relationships/chart" Target="charts/chart8.xml"/><Relationship Id="rId68" Type="http://schemas.openxmlformats.org/officeDocument/2006/relationships/image" Target="media/image52.jpg"/><Relationship Id="rId84" Type="http://schemas.openxmlformats.org/officeDocument/2006/relationships/image" Target="media/image68.jpeg"/><Relationship Id="rId89" Type="http://schemas.openxmlformats.org/officeDocument/2006/relationships/image" Target="media/image73.png"/><Relationship Id="rId112" Type="http://schemas.openxmlformats.org/officeDocument/2006/relationships/image" Target="media/image94.png"/><Relationship Id="rId16" Type="http://schemas.openxmlformats.org/officeDocument/2006/relationships/image" Target="media/image8.jpeg"/><Relationship Id="rId107" Type="http://schemas.openxmlformats.org/officeDocument/2006/relationships/image" Target="media/image90.jpg"/><Relationship Id="rId11" Type="http://schemas.openxmlformats.org/officeDocument/2006/relationships/image" Target="media/image3.tiff"/><Relationship Id="rId32" Type="http://schemas.openxmlformats.org/officeDocument/2006/relationships/image" Target="media/image20.png"/><Relationship Id="rId37" Type="http://schemas.openxmlformats.org/officeDocument/2006/relationships/image" Target="media/image25.tiff"/><Relationship Id="rId53" Type="http://schemas.openxmlformats.org/officeDocument/2006/relationships/image" Target="media/image41.jpeg"/><Relationship Id="rId58" Type="http://schemas.openxmlformats.org/officeDocument/2006/relationships/image" Target="media/image46.jpeg"/><Relationship Id="rId74" Type="http://schemas.openxmlformats.org/officeDocument/2006/relationships/image" Target="media/image58.jpeg"/><Relationship Id="rId79" Type="http://schemas.openxmlformats.org/officeDocument/2006/relationships/image" Target="media/image63.png"/><Relationship Id="rId102" Type="http://schemas.openxmlformats.org/officeDocument/2006/relationships/hyperlink" Target="https://goo.gl/mhuJNo" TargetMode="External"/><Relationship Id="rId123" Type="http://schemas.openxmlformats.org/officeDocument/2006/relationships/image" Target="media/image102.jpeg"/><Relationship Id="rId5" Type="http://schemas.openxmlformats.org/officeDocument/2006/relationships/webSettings" Target="webSettings.xml"/><Relationship Id="rId90" Type="http://schemas.openxmlformats.org/officeDocument/2006/relationships/image" Target="media/image74.png"/><Relationship Id="rId95" Type="http://schemas.openxmlformats.org/officeDocument/2006/relationships/image" Target="media/image79.jpeg"/><Relationship Id="rId22" Type="http://schemas.openxmlformats.org/officeDocument/2006/relationships/chart" Target="charts/chart2.xml"/><Relationship Id="rId27" Type="http://schemas.openxmlformats.org/officeDocument/2006/relationships/image" Target="media/image15.png"/><Relationship Id="rId43" Type="http://schemas.openxmlformats.org/officeDocument/2006/relationships/image" Target="media/image31.png"/><Relationship Id="rId48" Type="http://schemas.openxmlformats.org/officeDocument/2006/relationships/image" Target="media/image36.jpeg"/><Relationship Id="rId64" Type="http://schemas.openxmlformats.org/officeDocument/2006/relationships/chart" Target="charts/chart9.xml"/><Relationship Id="rId69" Type="http://schemas.openxmlformats.org/officeDocument/2006/relationships/image" Target="media/image53.png"/><Relationship Id="rId113" Type="http://schemas.openxmlformats.org/officeDocument/2006/relationships/hyperlink" Target="http://www.r-project.org" TargetMode="External"/><Relationship Id="rId118" Type="http://schemas.openxmlformats.org/officeDocument/2006/relationships/image" Target="media/image97.jpeg"/><Relationship Id="rId80" Type="http://schemas.openxmlformats.org/officeDocument/2006/relationships/image" Target="media/image64.jpeg"/><Relationship Id="rId85" Type="http://schemas.openxmlformats.org/officeDocument/2006/relationships/image" Target="media/image69.gif"/><Relationship Id="rId12" Type="http://schemas.openxmlformats.org/officeDocument/2006/relationships/image" Target="media/image4.jpg"/><Relationship Id="rId17" Type="http://schemas.openxmlformats.org/officeDocument/2006/relationships/image" Target="media/image9.jpeg"/><Relationship Id="rId33" Type="http://schemas.openxmlformats.org/officeDocument/2006/relationships/image" Target="media/image21.jpg"/><Relationship Id="rId38" Type="http://schemas.openxmlformats.org/officeDocument/2006/relationships/image" Target="media/image26.jpg"/><Relationship Id="rId59" Type="http://schemas.openxmlformats.org/officeDocument/2006/relationships/image" Target="media/image47.png"/><Relationship Id="rId103" Type="http://schemas.openxmlformats.org/officeDocument/2006/relationships/image" Target="media/image86.png"/><Relationship Id="rId108" Type="http://schemas.openxmlformats.org/officeDocument/2006/relationships/image" Target="media/image91.png"/><Relationship Id="rId124" Type="http://schemas.openxmlformats.org/officeDocument/2006/relationships/hyperlink" Target="https://www.ncbi.nlm.nih.gov/pubmed/?term=Arterial+Embolization+for+the+Treatment+of+Renal+Masses+and+Traumatic" TargetMode="External"/><Relationship Id="rId54" Type="http://schemas.openxmlformats.org/officeDocument/2006/relationships/image" Target="media/image42.jpeg"/><Relationship Id="rId70" Type="http://schemas.openxmlformats.org/officeDocument/2006/relationships/image" Target="media/image54.png"/><Relationship Id="rId75" Type="http://schemas.openxmlformats.org/officeDocument/2006/relationships/image" Target="media/image59.jpeg"/><Relationship Id="rId91" Type="http://schemas.openxmlformats.org/officeDocument/2006/relationships/image" Target="media/image75.png"/><Relationship Id="rId96" Type="http://schemas.openxmlformats.org/officeDocument/2006/relationships/image" Target="media/image80.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hart" Target="charts/chart3.xml"/><Relationship Id="rId28" Type="http://schemas.openxmlformats.org/officeDocument/2006/relationships/image" Target="media/image16.jpeg"/><Relationship Id="rId49" Type="http://schemas.openxmlformats.org/officeDocument/2006/relationships/image" Target="media/image37.png"/><Relationship Id="rId114" Type="http://schemas.openxmlformats.org/officeDocument/2006/relationships/chart" Target="charts/chart10.xml"/><Relationship Id="rId119" Type="http://schemas.openxmlformats.org/officeDocument/2006/relationships/image" Target="media/image98.jpeg"/><Relationship Id="rId44" Type="http://schemas.openxmlformats.org/officeDocument/2006/relationships/image" Target="media/image32.png"/><Relationship Id="rId60" Type="http://schemas.openxmlformats.org/officeDocument/2006/relationships/image" Target="media/image48.png"/><Relationship Id="rId65" Type="http://schemas.openxmlformats.org/officeDocument/2006/relationships/image" Target="media/image49.png"/><Relationship Id="rId81" Type="http://schemas.openxmlformats.org/officeDocument/2006/relationships/image" Target="media/image65.jpeg"/><Relationship Id="rId86" Type="http://schemas.openxmlformats.org/officeDocument/2006/relationships/image" Target="media/image70.png"/><Relationship Id="rId13" Type="http://schemas.openxmlformats.org/officeDocument/2006/relationships/image" Target="media/image5.jpeg"/><Relationship Id="rId18" Type="http://schemas.openxmlformats.org/officeDocument/2006/relationships/image" Target="media/image10.png"/><Relationship Id="rId39" Type="http://schemas.openxmlformats.org/officeDocument/2006/relationships/image" Target="media/image27.tiff"/><Relationship Id="rId109" Type="http://schemas.openxmlformats.org/officeDocument/2006/relationships/image" Target="media/image92.png"/><Relationship Id="rId34" Type="http://schemas.openxmlformats.org/officeDocument/2006/relationships/image" Target="media/image22.tiff"/><Relationship Id="rId50" Type="http://schemas.openxmlformats.org/officeDocument/2006/relationships/image" Target="media/image38.png"/><Relationship Id="rId55" Type="http://schemas.openxmlformats.org/officeDocument/2006/relationships/image" Target="media/image43.jpeg"/><Relationship Id="rId76" Type="http://schemas.openxmlformats.org/officeDocument/2006/relationships/image" Target="media/image60.png"/><Relationship Id="rId97" Type="http://schemas.openxmlformats.org/officeDocument/2006/relationships/image" Target="media/image81.jpeg"/><Relationship Id="rId104" Type="http://schemas.openxmlformats.org/officeDocument/2006/relationships/image" Target="media/image87.png"/><Relationship Id="rId120" Type="http://schemas.openxmlformats.org/officeDocument/2006/relationships/image" Target="media/image99.jpeg"/><Relationship Id="rId125" Type="http://schemas.openxmlformats.org/officeDocument/2006/relationships/hyperlink" Target="https://www.ncbi.nlm.nih.gov/pubmed/25556886" TargetMode="External"/><Relationship Id="rId7" Type="http://schemas.openxmlformats.org/officeDocument/2006/relationships/endnotes" Target="endnotes.xml"/><Relationship Id="rId71" Type="http://schemas.openxmlformats.org/officeDocument/2006/relationships/image" Target="media/image55.png"/><Relationship Id="rId92" Type="http://schemas.openxmlformats.org/officeDocument/2006/relationships/image" Target="media/image76.png"/><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chart" Target="charts/chart4.xml"/><Relationship Id="rId40" Type="http://schemas.openxmlformats.org/officeDocument/2006/relationships/image" Target="media/image28.tiff"/><Relationship Id="rId45" Type="http://schemas.openxmlformats.org/officeDocument/2006/relationships/image" Target="media/image33.png"/><Relationship Id="rId66" Type="http://schemas.openxmlformats.org/officeDocument/2006/relationships/image" Target="media/image50.png"/><Relationship Id="rId87" Type="http://schemas.openxmlformats.org/officeDocument/2006/relationships/image" Target="media/image71.png"/><Relationship Id="rId110" Type="http://schemas.openxmlformats.org/officeDocument/2006/relationships/image" Target="media/image93.png"/><Relationship Id="rId115" Type="http://schemas.openxmlformats.org/officeDocument/2006/relationships/image" Target="media/image95.png"/><Relationship Id="rId61" Type="http://schemas.openxmlformats.org/officeDocument/2006/relationships/chart" Target="charts/chart6.xml"/><Relationship Id="rId82" Type="http://schemas.openxmlformats.org/officeDocument/2006/relationships/image" Target="media/image66.png"/><Relationship Id="rId19" Type="http://schemas.openxmlformats.org/officeDocument/2006/relationships/image" Target="media/image11.png"/><Relationship Id="rId14" Type="http://schemas.openxmlformats.org/officeDocument/2006/relationships/image" Target="media/image6.jpeg"/><Relationship Id="rId30" Type="http://schemas.openxmlformats.org/officeDocument/2006/relationships/image" Target="media/image18.png"/><Relationship Id="rId35" Type="http://schemas.openxmlformats.org/officeDocument/2006/relationships/image" Target="media/image23.tiff"/><Relationship Id="rId56" Type="http://schemas.openxmlformats.org/officeDocument/2006/relationships/image" Target="media/image44.jpeg"/><Relationship Id="rId77" Type="http://schemas.openxmlformats.org/officeDocument/2006/relationships/image" Target="media/image61.png"/><Relationship Id="rId100" Type="http://schemas.openxmlformats.org/officeDocument/2006/relationships/image" Target="media/image84.png"/><Relationship Id="rId105" Type="http://schemas.openxmlformats.org/officeDocument/2006/relationships/image" Target="media/image88.png"/><Relationship Id="rId12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39.jpeg"/><Relationship Id="rId72" Type="http://schemas.openxmlformats.org/officeDocument/2006/relationships/image" Target="media/image56.png"/><Relationship Id="rId93" Type="http://schemas.openxmlformats.org/officeDocument/2006/relationships/image" Target="media/image77.png"/><Relationship Id="rId98" Type="http://schemas.openxmlformats.org/officeDocument/2006/relationships/image" Target="media/image82.jpeg"/><Relationship Id="rId121" Type="http://schemas.openxmlformats.org/officeDocument/2006/relationships/image" Target="media/image100.jpeg"/><Relationship Id="rId3" Type="http://schemas.openxmlformats.org/officeDocument/2006/relationships/styles" Target="styles.xml"/><Relationship Id="rId25" Type="http://schemas.openxmlformats.org/officeDocument/2006/relationships/chart" Target="charts/chart5.xml"/><Relationship Id="rId46" Type="http://schemas.openxmlformats.org/officeDocument/2006/relationships/image" Target="media/image34.png"/><Relationship Id="rId67" Type="http://schemas.openxmlformats.org/officeDocument/2006/relationships/image" Target="media/image51.jpeg"/><Relationship Id="rId116" Type="http://schemas.openxmlformats.org/officeDocument/2006/relationships/header" Target="header1.xml"/><Relationship Id="rId20" Type="http://schemas.openxmlformats.org/officeDocument/2006/relationships/image" Target="media/image12.png"/><Relationship Id="rId41" Type="http://schemas.openxmlformats.org/officeDocument/2006/relationships/image" Target="media/image29.tiff"/><Relationship Id="rId62" Type="http://schemas.openxmlformats.org/officeDocument/2006/relationships/chart" Target="charts/chart7.xml"/><Relationship Id="rId83" Type="http://schemas.openxmlformats.org/officeDocument/2006/relationships/image" Target="media/image67.png"/><Relationship Id="rId88" Type="http://schemas.openxmlformats.org/officeDocument/2006/relationships/image" Target="media/image72.png"/><Relationship Id="rId111" Type="http://schemas.openxmlformats.org/officeDocument/2006/relationships/hyperlink" Target="https://goo.gl/PjMJmN" TargetMode="External"/><Relationship Id="rId15" Type="http://schemas.openxmlformats.org/officeDocument/2006/relationships/image" Target="media/image7.jpeg"/><Relationship Id="rId36" Type="http://schemas.openxmlformats.org/officeDocument/2006/relationships/image" Target="media/image24.tiff"/><Relationship Id="rId57" Type="http://schemas.openxmlformats.org/officeDocument/2006/relationships/image" Target="media/image45.jpg"/><Relationship Id="rId106" Type="http://schemas.openxmlformats.org/officeDocument/2006/relationships/image" Target="media/image89.png"/><Relationship Id="rId127" Type="http://schemas.openxmlformats.org/officeDocument/2006/relationships/theme" Target="theme/theme1.xml"/><Relationship Id="rId10" Type="http://schemas.openxmlformats.org/officeDocument/2006/relationships/image" Target="media/image2.tiff"/><Relationship Id="rId31" Type="http://schemas.openxmlformats.org/officeDocument/2006/relationships/image" Target="media/image19.png"/><Relationship Id="rId52" Type="http://schemas.openxmlformats.org/officeDocument/2006/relationships/image" Target="media/image40.jpeg"/><Relationship Id="rId73" Type="http://schemas.openxmlformats.org/officeDocument/2006/relationships/image" Target="media/image57.png"/><Relationship Id="rId78" Type="http://schemas.openxmlformats.org/officeDocument/2006/relationships/image" Target="media/image62.png"/><Relationship Id="rId94" Type="http://schemas.openxmlformats.org/officeDocument/2006/relationships/image" Target="media/image78.jpeg"/><Relationship Id="rId99" Type="http://schemas.openxmlformats.org/officeDocument/2006/relationships/image" Target="media/image83.png"/><Relationship Id="rId101" Type="http://schemas.openxmlformats.org/officeDocument/2006/relationships/image" Target="media/image85.jpg"/><Relationship Id="rId122" Type="http://schemas.openxmlformats.org/officeDocument/2006/relationships/image" Target="media/image101.jpeg"/><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43;&#1088;&#1072;&#1092;&#1110;&#1082;&#1080;\&#1056;&#1086;&#1079;&#1076;&#1110;&#1083;%202\&#1058;&#1030;&#1050;.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7\&#1050;&#1085;&#1080;&#1075;&#1072;1.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3\SRM\Solid\CT\TIC.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3\SRM\Solid\CT\TIC.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3\SRM\Solid\CT\TIC.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3\SRM\Solid\CT\TIC.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3\&#1042;&#1077;&#1083;&#1080;&#1082;&#1110;\&#1057;&#1086;&#1083;&#1110;&#1076;&#1085;&#1110;\&#1050;&#1058;\TIC.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3\&#1042;&#1077;&#1083;&#1080;&#1082;&#1110;\&#1057;&#1086;&#1083;&#1110;&#1076;&#1085;&#1110;\&#1050;&#1058;\TIC.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3\&#1042;&#1077;&#1083;&#1080;&#1082;&#1110;\&#1057;&#1086;&#1083;&#1110;&#1076;&#1085;&#1110;\&#1050;&#1058;\TIC.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F:\DRIVE\&#1044;&#1086;&#1082;&#1090;&#1086;&#1088;&#1089;&#1100;&#1082;&#1072;%20&#1076;&#1080;&#1089;&#1077;&#1088;&#1090;&#1072;&#1094;&#1110;&#1103;\&#1056;&#1054;&#1047;&#1044;&#1030;&#1051;&#1048;\&#1057;&#1090;&#1072;&#1090;&#1080;&#1089;&#1090;&#1080;&#1082;&#1072;\&#1056;&#1086;&#1079;&#1076;&#1110;&#1083;%203\&#1042;&#1077;&#1083;&#1080;&#1082;&#1110;\&#1057;&#1086;&#1083;&#1110;&#1076;&#1085;&#1110;\&#1050;&#1058;\TIC.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ТІК!$A$2</c:f>
              <c:strCache>
                <c:ptCount val="1"/>
                <c:pt idx="0">
                  <c:v>Атенуація, HU</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ТІК!$B$1:$E$1</c:f>
              <c:strCache>
                <c:ptCount val="4"/>
                <c:pt idx="0">
                  <c:v>ПКЗ</c:v>
                </c:pt>
                <c:pt idx="1">
                  <c:v>КМФ</c:v>
                </c:pt>
                <c:pt idx="2">
                  <c:v>НФ</c:v>
                </c:pt>
                <c:pt idx="3">
                  <c:v>ЕФ</c:v>
                </c:pt>
              </c:strCache>
            </c:strRef>
          </c:cat>
          <c:val>
            <c:numRef>
              <c:f>ТІК!$B$2:$E$2</c:f>
              <c:numCache>
                <c:formatCode>General</c:formatCode>
                <c:ptCount val="4"/>
                <c:pt idx="0">
                  <c:v>47.35</c:v>
                </c:pt>
                <c:pt idx="1">
                  <c:v>120.72</c:v>
                </c:pt>
                <c:pt idx="2">
                  <c:v>98.56</c:v>
                </c:pt>
                <c:pt idx="3">
                  <c:v>72.12</c:v>
                </c:pt>
              </c:numCache>
            </c:numRef>
          </c:val>
          <c:smooth val="0"/>
          <c:extLst>
            <c:ext xmlns:c16="http://schemas.microsoft.com/office/drawing/2014/chart" uri="{C3380CC4-5D6E-409C-BE32-E72D297353CC}">
              <c16:uniqueId val="{00000000-33DD-485E-B43B-8E450FA813BD}"/>
            </c:ext>
          </c:extLst>
        </c:ser>
        <c:dLbls>
          <c:showLegendKey val="0"/>
          <c:showVal val="0"/>
          <c:showCatName val="0"/>
          <c:showSerName val="0"/>
          <c:showPercent val="0"/>
          <c:showBubbleSize val="0"/>
        </c:dLbls>
        <c:marker val="1"/>
        <c:smooth val="0"/>
        <c:axId val="310136608"/>
        <c:axId val="310133000"/>
      </c:lineChart>
      <c:catAx>
        <c:axId val="3101366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r>
                  <a:rPr lang="uk-UA"/>
                  <a:t>Фаза КТ </a:t>
                </a:r>
              </a:p>
            </c:rich>
          </c:tx>
          <c:layout>
            <c:manualLayout>
              <c:xMode val="edge"/>
              <c:yMode val="edge"/>
              <c:x val="0.46086811023622049"/>
              <c:y val="0.8766203703703703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crossAx val="310133000"/>
        <c:crosses val="autoZero"/>
        <c:auto val="1"/>
        <c:lblAlgn val="ctr"/>
        <c:lblOffset val="100"/>
        <c:noMultiLvlLbl val="0"/>
      </c:catAx>
      <c:valAx>
        <c:axId val="310133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mn-lt"/>
                    <a:ea typeface="+mn-ea"/>
                    <a:cs typeface="+mn-cs"/>
                  </a:defRPr>
                </a:pPr>
                <a:r>
                  <a:rPr lang="uk-UA"/>
                  <a:t>Інтенсивність сигналу, </a:t>
                </a:r>
                <a:r>
                  <a:rPr lang="en-US"/>
                  <a:t>HU</a:t>
                </a:r>
                <a:endParaRPr lang="uk-UA"/>
              </a:p>
            </c:rich>
          </c:tx>
          <c:layout>
            <c:manualLayout>
              <c:xMode val="edge"/>
              <c:yMode val="edge"/>
              <c:x val="0.14166666666666666"/>
              <c:y val="6.9483085447652373E-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crossAx val="31013660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200" b="0" i="0" u="none" strike="noStrike" kern="1200" baseline="0">
                <a:solidFill>
                  <a:schemeClr val="tx1"/>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2"/>
              <c:layout>
                <c:manualLayout>
                  <c:x val="4.1498080713766984E-3"/>
                  <c:y val="-1.93236714975845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96A-4BFF-B355-9B6847249137}"/>
                </c:ext>
              </c:extLst>
            </c:dLbl>
            <c:dLbl>
              <c:idx val="4"/>
              <c:layout>
                <c:manualLayout>
                  <c:x val="0"/>
                  <c:y val="-2.89855072463768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96A-4BFF-B355-9B6847249137}"/>
                </c:ext>
              </c:extLst>
            </c:dLbl>
            <c:dLbl>
              <c:idx val="6"/>
              <c:layout>
                <c:manualLayout>
                  <c:x val="0"/>
                  <c:y val="-7.11973928605374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96A-4BFF-B355-9B6847249137}"/>
                </c:ext>
              </c:extLst>
            </c:dLbl>
            <c:dLbl>
              <c:idx val="8"/>
              <c:layout>
                <c:manualLayout>
                  <c:x val="1.7226528854435831E-3"/>
                  <c:y val="6.14886574704641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96A-4BFF-B355-9B684724913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Лист3!$A$1:$J$1</c:f>
              <c:strCache>
                <c:ptCount val="10"/>
                <c:pt idx="0">
                  <c:v>Кістозний компонент +</c:v>
                </c:pt>
                <c:pt idx="1">
                  <c:v>Кістозний компонент -</c:v>
                </c:pt>
                <c:pt idx="2">
                  <c:v>Екзофітний ріст +</c:v>
                </c:pt>
                <c:pt idx="3">
                  <c:v>Екзофітний ріст -</c:v>
                </c:pt>
                <c:pt idx="4">
                  <c:v>Некроз +</c:v>
                </c:pt>
                <c:pt idx="5">
                  <c:v>Некроз -</c:v>
                </c:pt>
                <c:pt idx="6">
                  <c:v>Макроскопічний жир +</c:v>
                </c:pt>
                <c:pt idx="7">
                  <c:v>Макроскопічний жир -</c:v>
                </c:pt>
                <c:pt idx="8">
                  <c:v>Нодулярне посилення +</c:v>
                </c:pt>
                <c:pt idx="9">
                  <c:v>Нодулярне посилення -</c:v>
                </c:pt>
              </c:strCache>
            </c:strRef>
          </c:cat>
          <c:val>
            <c:numRef>
              <c:f>Лист3!$A$2:$J$2</c:f>
              <c:numCache>
                <c:formatCode>General</c:formatCode>
                <c:ptCount val="10"/>
                <c:pt idx="0">
                  <c:v>29.69</c:v>
                </c:pt>
                <c:pt idx="1">
                  <c:v>70.31</c:v>
                </c:pt>
                <c:pt idx="2">
                  <c:v>23.44</c:v>
                </c:pt>
                <c:pt idx="3">
                  <c:v>76.56</c:v>
                </c:pt>
                <c:pt idx="4">
                  <c:v>32.81</c:v>
                </c:pt>
                <c:pt idx="5">
                  <c:v>67.19</c:v>
                </c:pt>
                <c:pt idx="6">
                  <c:v>20.309999999999999</c:v>
                </c:pt>
                <c:pt idx="7">
                  <c:v>79.69</c:v>
                </c:pt>
                <c:pt idx="8">
                  <c:v>37.5</c:v>
                </c:pt>
                <c:pt idx="9">
                  <c:v>62.5</c:v>
                </c:pt>
              </c:numCache>
            </c:numRef>
          </c:val>
          <c:extLst>
            <c:ext xmlns:c16="http://schemas.microsoft.com/office/drawing/2014/chart" uri="{C3380CC4-5D6E-409C-BE32-E72D297353CC}">
              <c16:uniqueId val="{00000004-196A-4BFF-B355-9B6847249137}"/>
            </c:ext>
          </c:extLst>
        </c:ser>
        <c:dLbls>
          <c:showLegendKey val="0"/>
          <c:showVal val="1"/>
          <c:showCatName val="0"/>
          <c:showSerName val="0"/>
          <c:showPercent val="0"/>
          <c:showBubbleSize val="0"/>
        </c:dLbls>
        <c:gapWidth val="150"/>
        <c:axId val="316868240"/>
        <c:axId val="316869552"/>
      </c:barChart>
      <c:lineChart>
        <c:grouping val="standard"/>
        <c:varyColors val="0"/>
        <c:ser>
          <c:idx val="1"/>
          <c:order val="1"/>
          <c:spPr>
            <a:ln w="28575" cap="rnd">
              <a:solidFill>
                <a:schemeClr val="accent2"/>
              </a:solidFill>
              <a:round/>
            </a:ln>
            <a:effectLst/>
          </c:spPr>
          <c:marker>
            <c:symbol val="none"/>
          </c:marker>
          <c:dLbls>
            <c:dLbl>
              <c:idx val="7"/>
              <c:layout>
                <c:manualLayout>
                  <c:x val="-1.2449424214130249E-2"/>
                  <c:y val="-5.904386971835359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96A-4BFF-B355-9B6847249137}"/>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cust"/>
            <c:noEndCap val="0"/>
            <c:plus>
              <c:numLit>
                <c:formatCode>General</c:formatCode>
                <c:ptCount val="1"/>
                <c:pt idx="0">
                  <c:v>1</c:v>
                </c:pt>
              </c:numLit>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Лист3!$A$1:$J$1</c:f>
              <c:strCache>
                <c:ptCount val="10"/>
                <c:pt idx="0">
                  <c:v>Кістозний компонент +</c:v>
                </c:pt>
                <c:pt idx="1">
                  <c:v>Кістозний компонент -</c:v>
                </c:pt>
                <c:pt idx="2">
                  <c:v>Екзофітний ріст +</c:v>
                </c:pt>
                <c:pt idx="3">
                  <c:v>Екзофітний ріст -</c:v>
                </c:pt>
                <c:pt idx="4">
                  <c:v>Некроз +</c:v>
                </c:pt>
                <c:pt idx="5">
                  <c:v>Некроз -</c:v>
                </c:pt>
                <c:pt idx="6">
                  <c:v>Макроскопічний жир +</c:v>
                </c:pt>
                <c:pt idx="7">
                  <c:v>Макроскопічний жир -</c:v>
                </c:pt>
                <c:pt idx="8">
                  <c:v>Нодулярне посилення +</c:v>
                </c:pt>
                <c:pt idx="9">
                  <c:v>Нодулярне посилення -</c:v>
                </c:pt>
              </c:strCache>
            </c:strRef>
          </c:cat>
          <c:val>
            <c:numRef>
              <c:f>Лист3!$A$3:$J$3</c:f>
              <c:numCache>
                <c:formatCode>General</c:formatCode>
                <c:ptCount val="10"/>
                <c:pt idx="0">
                  <c:v>0.35</c:v>
                </c:pt>
                <c:pt idx="1">
                  <c:v>2.0099999999999998</c:v>
                </c:pt>
                <c:pt idx="2">
                  <c:v>0.34</c:v>
                </c:pt>
                <c:pt idx="3">
                  <c:v>1.88</c:v>
                </c:pt>
                <c:pt idx="4">
                  <c:v>4.01</c:v>
                </c:pt>
                <c:pt idx="5">
                  <c:v>0.82</c:v>
                </c:pt>
                <c:pt idx="6">
                  <c:v>0.28999999999999998</c:v>
                </c:pt>
                <c:pt idx="7">
                  <c:v>1.83</c:v>
                </c:pt>
                <c:pt idx="8">
                  <c:v>2.91</c:v>
                </c:pt>
                <c:pt idx="9">
                  <c:v>0.68</c:v>
                </c:pt>
              </c:numCache>
            </c:numRef>
          </c:val>
          <c:smooth val="0"/>
          <c:extLst>
            <c:ext xmlns:c16="http://schemas.microsoft.com/office/drawing/2014/chart" uri="{C3380CC4-5D6E-409C-BE32-E72D297353CC}">
              <c16:uniqueId val="{00000006-196A-4BFF-B355-9B6847249137}"/>
            </c:ext>
          </c:extLst>
        </c:ser>
        <c:dLbls>
          <c:showLegendKey val="0"/>
          <c:showVal val="1"/>
          <c:showCatName val="0"/>
          <c:showSerName val="0"/>
          <c:showPercent val="0"/>
          <c:showBubbleSize val="0"/>
        </c:dLbls>
        <c:marker val="1"/>
        <c:smooth val="0"/>
        <c:axId val="316863976"/>
        <c:axId val="316864960"/>
      </c:lineChart>
      <c:catAx>
        <c:axId val="316868240"/>
        <c:scaling>
          <c:orientation val="minMax"/>
        </c:scaling>
        <c:delete val="0"/>
        <c:axPos val="b"/>
        <c:title>
          <c:tx>
            <c:rich>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r>
                  <a:rPr lang="uk-UA" sz="1400" b="1"/>
                  <a:t>Променева характеристика пухлини</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316869552"/>
        <c:crosses val="autoZero"/>
        <c:auto val="1"/>
        <c:lblAlgn val="ctr"/>
        <c:lblOffset val="100"/>
        <c:noMultiLvlLbl val="0"/>
      </c:catAx>
      <c:valAx>
        <c:axId val="316869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uk-UA" sz="1400"/>
                  <a:t>%</a:t>
                </a:r>
                <a:r>
                  <a:rPr lang="uk-UA" sz="1400" baseline="0"/>
                  <a:t> зустріваності ознаки</a:t>
                </a:r>
                <a:endParaRPr lang="uk-UA" sz="1400"/>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868240"/>
        <c:crosses val="autoZero"/>
        <c:crossBetween val="between"/>
      </c:valAx>
      <c:valAx>
        <c:axId val="316864960"/>
        <c:scaling>
          <c:orientation val="minMax"/>
        </c:scaling>
        <c:delete val="0"/>
        <c:axPos val="r"/>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uk-UA" sz="1400"/>
                  <a:t>експресія міРНК-15а</a:t>
                </a:r>
              </a:p>
            </c:rich>
          </c:tx>
          <c:overlay val="0"/>
          <c:spPr>
            <a:noFill/>
            <a:ln>
              <a:noFill/>
            </a:ln>
            <a:effectLst/>
          </c:spPr>
          <c:txPr>
            <a:bodyPr rot="-54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6863976"/>
        <c:crosses val="max"/>
        <c:crossBetween val="between"/>
      </c:valAx>
      <c:catAx>
        <c:axId val="316863976"/>
        <c:scaling>
          <c:orientation val="minMax"/>
        </c:scaling>
        <c:delete val="1"/>
        <c:axPos val="b"/>
        <c:numFmt formatCode="General" sourceLinked="1"/>
        <c:majorTickMark val="none"/>
        <c:minorTickMark val="none"/>
        <c:tickLblPos val="nextTo"/>
        <c:crossAx val="31686496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c:f>
              <c:strCache>
                <c:ptCount val="1"/>
                <c:pt idx="0">
                  <c:v>НКР</c:v>
                </c:pt>
              </c:strCache>
            </c:strRef>
          </c:tx>
          <c:spPr>
            <a:ln w="28575" cap="rnd">
              <a:solidFill>
                <a:schemeClr val="accent1"/>
              </a:solidFill>
              <a:prstDash val="sysDot"/>
              <a:round/>
            </a:ln>
            <a:effectLst/>
          </c:spPr>
          <c:marker>
            <c:symbol val="circle"/>
            <c:size val="5"/>
            <c:spPr>
              <a:solidFill>
                <a:schemeClr val="accent1"/>
              </a:solidFill>
              <a:ln w="9525">
                <a:solidFill>
                  <a:schemeClr val="accent1"/>
                </a:solidFill>
              </a:ln>
              <a:effectLst/>
            </c:spPr>
          </c:marker>
          <c:cat>
            <c:strRef>
              <c:f>Лист1!$B$1:$E$1</c:f>
              <c:strCache>
                <c:ptCount val="4"/>
                <c:pt idx="0">
                  <c:v>ПКФ</c:v>
                </c:pt>
                <c:pt idx="1">
                  <c:v>КМФ</c:v>
                </c:pt>
                <c:pt idx="2">
                  <c:v>НФ</c:v>
                </c:pt>
                <c:pt idx="3">
                  <c:v>ЕФ</c:v>
                </c:pt>
              </c:strCache>
            </c:strRef>
          </c:cat>
          <c:val>
            <c:numRef>
              <c:f>Лист1!$B$2:$E$2</c:f>
              <c:numCache>
                <c:formatCode>General</c:formatCode>
                <c:ptCount val="4"/>
                <c:pt idx="0">
                  <c:v>39</c:v>
                </c:pt>
                <c:pt idx="1">
                  <c:v>105.56</c:v>
                </c:pt>
                <c:pt idx="2">
                  <c:v>84.96</c:v>
                </c:pt>
                <c:pt idx="3">
                  <c:v>72.73</c:v>
                </c:pt>
              </c:numCache>
            </c:numRef>
          </c:val>
          <c:smooth val="0"/>
          <c:extLst>
            <c:ext xmlns:c16="http://schemas.microsoft.com/office/drawing/2014/chart" uri="{C3380CC4-5D6E-409C-BE32-E72D297353CC}">
              <c16:uniqueId val="{00000000-AA62-4AB9-8856-CCB5D4143935}"/>
            </c:ext>
          </c:extLst>
        </c:ser>
        <c:ser>
          <c:idx val="1"/>
          <c:order val="1"/>
          <c:tx>
            <c:strRef>
              <c:f>Лист1!$A$3</c:f>
              <c:strCache>
                <c:ptCount val="1"/>
                <c:pt idx="0">
                  <c:v>ПКК ниркової миски</c:v>
                </c:pt>
              </c:strCache>
            </c:strRef>
          </c:tx>
          <c:spPr>
            <a:ln w="28575" cap="rnd" cmpd="sng">
              <a:solidFill>
                <a:schemeClr val="accent2"/>
              </a:solidFill>
              <a:prstDash val="sysDash"/>
              <a:round/>
            </a:ln>
            <a:effectLst/>
          </c:spPr>
          <c:marker>
            <c:symbol val="circle"/>
            <c:size val="5"/>
            <c:spPr>
              <a:solidFill>
                <a:schemeClr val="accent2"/>
              </a:solidFill>
              <a:ln w="9525">
                <a:solidFill>
                  <a:schemeClr val="accent2"/>
                </a:solidFill>
              </a:ln>
              <a:effectLst/>
            </c:spPr>
          </c:marker>
          <c:cat>
            <c:strRef>
              <c:f>Лист1!$B$1:$E$1</c:f>
              <c:strCache>
                <c:ptCount val="4"/>
                <c:pt idx="0">
                  <c:v>ПКФ</c:v>
                </c:pt>
                <c:pt idx="1">
                  <c:v>КМФ</c:v>
                </c:pt>
                <c:pt idx="2">
                  <c:v>НФ</c:v>
                </c:pt>
                <c:pt idx="3">
                  <c:v>ЕФ</c:v>
                </c:pt>
              </c:strCache>
            </c:strRef>
          </c:cat>
          <c:val>
            <c:numRef>
              <c:f>Лист1!$B$3:$E$3</c:f>
              <c:numCache>
                <c:formatCode>General</c:formatCode>
                <c:ptCount val="4"/>
                <c:pt idx="0">
                  <c:v>25.42</c:v>
                </c:pt>
                <c:pt idx="1">
                  <c:v>68.89</c:v>
                </c:pt>
                <c:pt idx="2">
                  <c:v>54.07</c:v>
                </c:pt>
                <c:pt idx="3">
                  <c:v>37.86</c:v>
                </c:pt>
              </c:numCache>
            </c:numRef>
          </c:val>
          <c:smooth val="0"/>
          <c:extLst>
            <c:ext xmlns:c16="http://schemas.microsoft.com/office/drawing/2014/chart" uri="{C3380CC4-5D6E-409C-BE32-E72D297353CC}">
              <c16:uniqueId val="{00000001-AA62-4AB9-8856-CCB5D4143935}"/>
            </c:ext>
          </c:extLst>
        </c:ser>
        <c:ser>
          <c:idx val="2"/>
          <c:order val="2"/>
          <c:tx>
            <c:strRef>
              <c:f>Лист1!$A$4</c:f>
              <c:strCache>
                <c:ptCount val="1"/>
                <c:pt idx="0">
                  <c:v>Доброякісні пухлини</c:v>
                </c:pt>
              </c:strCache>
            </c:strRef>
          </c:tx>
          <c:spPr>
            <a:ln w="28575" cap="rnd">
              <a:solidFill>
                <a:schemeClr val="accent3"/>
              </a:solidFill>
              <a:prstDash val="lgDash"/>
              <a:round/>
            </a:ln>
            <a:effectLst/>
          </c:spPr>
          <c:marker>
            <c:symbol val="circle"/>
            <c:size val="5"/>
            <c:spPr>
              <a:solidFill>
                <a:schemeClr val="accent3"/>
              </a:solidFill>
              <a:ln w="9525">
                <a:solidFill>
                  <a:schemeClr val="accent3"/>
                </a:solidFill>
              </a:ln>
              <a:effectLst/>
            </c:spPr>
          </c:marker>
          <c:cat>
            <c:strRef>
              <c:f>Лист1!$B$1:$E$1</c:f>
              <c:strCache>
                <c:ptCount val="4"/>
                <c:pt idx="0">
                  <c:v>ПКФ</c:v>
                </c:pt>
                <c:pt idx="1">
                  <c:v>КМФ</c:v>
                </c:pt>
                <c:pt idx="2">
                  <c:v>НФ</c:v>
                </c:pt>
                <c:pt idx="3">
                  <c:v>ЕФ</c:v>
                </c:pt>
              </c:strCache>
            </c:strRef>
          </c:cat>
          <c:val>
            <c:numRef>
              <c:f>Лист1!$B$4:$E$4</c:f>
              <c:numCache>
                <c:formatCode>General</c:formatCode>
                <c:ptCount val="4"/>
                <c:pt idx="0">
                  <c:v>34.93</c:v>
                </c:pt>
                <c:pt idx="1">
                  <c:v>85.82</c:v>
                </c:pt>
                <c:pt idx="2">
                  <c:v>87.79</c:v>
                </c:pt>
                <c:pt idx="3">
                  <c:v>59.56</c:v>
                </c:pt>
              </c:numCache>
            </c:numRef>
          </c:val>
          <c:smooth val="0"/>
          <c:extLst>
            <c:ext xmlns:c16="http://schemas.microsoft.com/office/drawing/2014/chart" uri="{C3380CC4-5D6E-409C-BE32-E72D297353CC}">
              <c16:uniqueId val="{00000002-AA62-4AB9-8856-CCB5D4143935}"/>
            </c:ext>
          </c:extLst>
        </c:ser>
        <c:ser>
          <c:idx val="3"/>
          <c:order val="3"/>
          <c:tx>
            <c:strRef>
              <c:f>Лист1!$A$5</c:f>
              <c:strCache>
                <c:ptCount val="1"/>
                <c:pt idx="0">
                  <c:v>Контроль</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errBars>
            <c:errDir val="y"/>
            <c:errBarType val="both"/>
            <c:errValType val="cust"/>
            <c:noEndCap val="0"/>
            <c:plus>
              <c:numLit>
                <c:formatCode>General</c:formatCode>
                <c:ptCount val="1"/>
                <c:pt idx="0">
                  <c:v>1</c:v>
                </c:pt>
              </c:numLit>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Лист1!$B$1:$E$1</c:f>
              <c:strCache>
                <c:ptCount val="4"/>
                <c:pt idx="0">
                  <c:v>ПКФ</c:v>
                </c:pt>
                <c:pt idx="1">
                  <c:v>КМФ</c:v>
                </c:pt>
                <c:pt idx="2">
                  <c:v>НФ</c:v>
                </c:pt>
                <c:pt idx="3">
                  <c:v>ЕФ</c:v>
                </c:pt>
              </c:strCache>
            </c:strRef>
          </c:cat>
          <c:val>
            <c:numRef>
              <c:f>Лист1!$B$5:$E$5</c:f>
              <c:numCache>
                <c:formatCode>General</c:formatCode>
                <c:ptCount val="4"/>
                <c:pt idx="0">
                  <c:v>30.84</c:v>
                </c:pt>
                <c:pt idx="1">
                  <c:v>119.38</c:v>
                </c:pt>
                <c:pt idx="2">
                  <c:v>115.11</c:v>
                </c:pt>
                <c:pt idx="3">
                  <c:v>85.52</c:v>
                </c:pt>
              </c:numCache>
            </c:numRef>
          </c:val>
          <c:smooth val="0"/>
          <c:extLst>
            <c:ext xmlns:c16="http://schemas.microsoft.com/office/drawing/2014/chart" uri="{C3380CC4-5D6E-409C-BE32-E72D297353CC}">
              <c16:uniqueId val="{00000003-AA62-4AB9-8856-CCB5D4143935}"/>
            </c:ext>
          </c:extLst>
        </c:ser>
        <c:dLbls>
          <c:showLegendKey val="0"/>
          <c:showVal val="0"/>
          <c:showCatName val="0"/>
          <c:showSerName val="0"/>
          <c:showPercent val="0"/>
          <c:showBubbleSize val="0"/>
        </c:dLbls>
        <c:marker val="1"/>
        <c:smooth val="0"/>
        <c:axId val="371608976"/>
        <c:axId val="371602744"/>
      </c:lineChart>
      <c:catAx>
        <c:axId val="3716089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a:t>Фаза КТ</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371602744"/>
        <c:crosses val="autoZero"/>
        <c:auto val="1"/>
        <c:lblAlgn val="ctr"/>
        <c:lblOffset val="100"/>
        <c:noMultiLvlLbl val="0"/>
      </c:catAx>
      <c:valAx>
        <c:axId val="371602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a:t>Променева щільність, </a:t>
                </a:r>
                <a:r>
                  <a:rPr lang="en-US"/>
                  <a:t>HU</a:t>
                </a:r>
                <a:endParaRPr lang="uk-UA"/>
              </a:p>
            </c:rich>
          </c:tx>
          <c:layout>
            <c:manualLayout>
              <c:xMode val="edge"/>
              <c:yMode val="edge"/>
              <c:x val="2.2016538255298722E-2"/>
              <c:y val="8.1707529033787168E-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3716089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Лист1!$G$2</c:f>
              <c:strCache>
                <c:ptCount val="1"/>
                <c:pt idx="0">
                  <c:v>НКР</c:v>
                </c:pt>
              </c:strCache>
            </c:strRef>
          </c:tx>
          <c:spPr>
            <a:ln w="28575" cap="rnd">
              <a:solidFill>
                <a:schemeClr val="accent1"/>
              </a:solidFill>
              <a:prstDash val="sysDot"/>
              <a:round/>
            </a:ln>
            <a:effectLst/>
          </c:spPr>
          <c:marker>
            <c:symbol val="circle"/>
            <c:size val="5"/>
            <c:spPr>
              <a:solidFill>
                <a:schemeClr val="accent1"/>
              </a:solidFill>
              <a:ln w="9525">
                <a:solidFill>
                  <a:schemeClr val="accent1"/>
                </a:solidFill>
              </a:ln>
              <a:effectLst/>
            </c:spPr>
          </c:marker>
          <c:cat>
            <c:strRef>
              <c:f>Лист1!$H$1:$K$1</c:f>
              <c:strCache>
                <c:ptCount val="4"/>
                <c:pt idx="0">
                  <c:v>ПКФ</c:v>
                </c:pt>
                <c:pt idx="1">
                  <c:v>КМФ</c:v>
                </c:pt>
                <c:pt idx="2">
                  <c:v>НФ</c:v>
                </c:pt>
                <c:pt idx="3">
                  <c:v>ЕФ</c:v>
                </c:pt>
              </c:strCache>
            </c:strRef>
          </c:cat>
          <c:val>
            <c:numRef>
              <c:f>Лист1!$H$2:$K$2</c:f>
              <c:numCache>
                <c:formatCode>General</c:formatCode>
                <c:ptCount val="4"/>
                <c:pt idx="0">
                  <c:v>1.35</c:v>
                </c:pt>
                <c:pt idx="1">
                  <c:v>0.91</c:v>
                </c:pt>
                <c:pt idx="2">
                  <c:v>0.8</c:v>
                </c:pt>
                <c:pt idx="3">
                  <c:v>0.88</c:v>
                </c:pt>
              </c:numCache>
            </c:numRef>
          </c:val>
          <c:smooth val="0"/>
          <c:extLst>
            <c:ext xmlns:c16="http://schemas.microsoft.com/office/drawing/2014/chart" uri="{C3380CC4-5D6E-409C-BE32-E72D297353CC}">
              <c16:uniqueId val="{00000000-E907-4F04-8460-71FAB8733023}"/>
            </c:ext>
          </c:extLst>
        </c:ser>
        <c:ser>
          <c:idx val="1"/>
          <c:order val="1"/>
          <c:tx>
            <c:strRef>
              <c:f>Лист1!$G$3</c:f>
              <c:strCache>
                <c:ptCount val="1"/>
                <c:pt idx="0">
                  <c:v>ПКК ниркової миски</c:v>
                </c:pt>
              </c:strCache>
            </c:strRef>
          </c:tx>
          <c:spPr>
            <a:ln w="28575" cap="rnd">
              <a:solidFill>
                <a:schemeClr val="accent2"/>
              </a:solidFill>
              <a:prstDash val="sysDash"/>
              <a:round/>
            </a:ln>
            <a:effectLst/>
          </c:spPr>
          <c:marker>
            <c:symbol val="circle"/>
            <c:size val="5"/>
            <c:spPr>
              <a:solidFill>
                <a:schemeClr val="accent2"/>
              </a:solidFill>
              <a:ln w="9525">
                <a:solidFill>
                  <a:schemeClr val="accent2"/>
                </a:solidFill>
              </a:ln>
              <a:effectLst/>
            </c:spPr>
          </c:marker>
          <c:cat>
            <c:strRef>
              <c:f>Лист1!$H$1:$K$1</c:f>
              <c:strCache>
                <c:ptCount val="4"/>
                <c:pt idx="0">
                  <c:v>ПКФ</c:v>
                </c:pt>
                <c:pt idx="1">
                  <c:v>КМФ</c:v>
                </c:pt>
                <c:pt idx="2">
                  <c:v>НФ</c:v>
                </c:pt>
                <c:pt idx="3">
                  <c:v>ЕФ</c:v>
                </c:pt>
              </c:strCache>
            </c:strRef>
          </c:cat>
          <c:val>
            <c:numRef>
              <c:f>Лист1!$H$3:$K$3</c:f>
              <c:numCache>
                <c:formatCode>General</c:formatCode>
                <c:ptCount val="4"/>
                <c:pt idx="0">
                  <c:v>0.8</c:v>
                </c:pt>
                <c:pt idx="1">
                  <c:v>0.61</c:v>
                </c:pt>
                <c:pt idx="2">
                  <c:v>0.5</c:v>
                </c:pt>
                <c:pt idx="3">
                  <c:v>0.45</c:v>
                </c:pt>
              </c:numCache>
            </c:numRef>
          </c:val>
          <c:smooth val="0"/>
          <c:extLst>
            <c:ext xmlns:c16="http://schemas.microsoft.com/office/drawing/2014/chart" uri="{C3380CC4-5D6E-409C-BE32-E72D297353CC}">
              <c16:uniqueId val="{00000001-E907-4F04-8460-71FAB8733023}"/>
            </c:ext>
          </c:extLst>
        </c:ser>
        <c:ser>
          <c:idx val="2"/>
          <c:order val="2"/>
          <c:tx>
            <c:strRef>
              <c:f>Лист1!$G$4</c:f>
              <c:strCache>
                <c:ptCount val="1"/>
                <c:pt idx="0">
                  <c:v>Доброякісні пухлини</c:v>
                </c:pt>
              </c:strCache>
            </c:strRef>
          </c:tx>
          <c:spPr>
            <a:ln w="28575" cap="rnd">
              <a:solidFill>
                <a:schemeClr val="accent3"/>
              </a:solidFill>
              <a:prstDash val="lgDash"/>
              <a:round/>
            </a:ln>
            <a:effectLst/>
          </c:spPr>
          <c:marker>
            <c:symbol val="circle"/>
            <c:size val="5"/>
            <c:spPr>
              <a:solidFill>
                <a:schemeClr val="accent3"/>
              </a:solidFill>
              <a:ln w="9525">
                <a:solidFill>
                  <a:schemeClr val="accent3"/>
                </a:solidFill>
              </a:ln>
              <a:effectLst/>
            </c:spPr>
          </c:marker>
          <c:cat>
            <c:strRef>
              <c:f>Лист1!$H$1:$K$1</c:f>
              <c:strCache>
                <c:ptCount val="4"/>
                <c:pt idx="0">
                  <c:v>ПКФ</c:v>
                </c:pt>
                <c:pt idx="1">
                  <c:v>КМФ</c:v>
                </c:pt>
                <c:pt idx="2">
                  <c:v>НФ</c:v>
                </c:pt>
                <c:pt idx="3">
                  <c:v>ЕФ</c:v>
                </c:pt>
              </c:strCache>
            </c:strRef>
          </c:cat>
          <c:val>
            <c:numRef>
              <c:f>Лист1!$H$4:$K$4</c:f>
              <c:numCache>
                <c:formatCode>General</c:formatCode>
                <c:ptCount val="4"/>
                <c:pt idx="0">
                  <c:v>1.07</c:v>
                </c:pt>
                <c:pt idx="1">
                  <c:v>0.74</c:v>
                </c:pt>
                <c:pt idx="2">
                  <c:v>0.82</c:v>
                </c:pt>
                <c:pt idx="3">
                  <c:v>0.69</c:v>
                </c:pt>
              </c:numCache>
            </c:numRef>
          </c:val>
          <c:smooth val="0"/>
          <c:extLst>
            <c:ext xmlns:c16="http://schemas.microsoft.com/office/drawing/2014/chart" uri="{C3380CC4-5D6E-409C-BE32-E72D297353CC}">
              <c16:uniqueId val="{00000002-E907-4F04-8460-71FAB8733023}"/>
            </c:ext>
          </c:extLst>
        </c:ser>
        <c:dLbls>
          <c:showLegendKey val="0"/>
          <c:showVal val="0"/>
          <c:showCatName val="0"/>
          <c:showSerName val="0"/>
          <c:showPercent val="0"/>
          <c:showBubbleSize val="0"/>
        </c:dLbls>
        <c:marker val="1"/>
        <c:smooth val="0"/>
        <c:axId val="370573520"/>
        <c:axId val="370573848"/>
      </c:lineChart>
      <c:catAx>
        <c:axId val="3705735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a:t>Фаза КТ</a:t>
                </a:r>
              </a:p>
            </c:rich>
          </c:tx>
          <c:layout>
            <c:manualLayout>
              <c:xMode val="edge"/>
              <c:yMode val="edge"/>
              <c:x val="0.60577523963350732"/>
              <c:y val="0.9052801551979915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370573848"/>
        <c:crosses val="autoZero"/>
        <c:auto val="1"/>
        <c:lblAlgn val="ctr"/>
        <c:lblOffset val="100"/>
        <c:noMultiLvlLbl val="0"/>
      </c:catAx>
      <c:valAx>
        <c:axId val="370573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a:t>Відношення променевої щільності</a:t>
                </a:r>
              </a:p>
            </c:rich>
          </c:tx>
          <c:layout>
            <c:manualLayout>
              <c:xMode val="edge"/>
              <c:yMode val="edge"/>
              <c:x val="3.2990851871671383E-2"/>
              <c:y val="4.7331718150615786E-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3705735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Лист2!$A$2</c:f>
              <c:strCache>
                <c:ptCount val="1"/>
                <c:pt idx="0">
                  <c:v>скНКР</c:v>
                </c:pt>
              </c:strCache>
            </c:strRef>
          </c:tx>
          <c:spPr>
            <a:ln w="28575" cap="rnd">
              <a:solidFill>
                <a:schemeClr val="accent1"/>
              </a:solidFill>
              <a:prstDash val="dash"/>
              <a:round/>
            </a:ln>
            <a:effectLst/>
          </c:spPr>
          <c:marker>
            <c:symbol val="circle"/>
            <c:size val="5"/>
            <c:spPr>
              <a:solidFill>
                <a:schemeClr val="accent1"/>
              </a:solidFill>
              <a:ln w="9525">
                <a:solidFill>
                  <a:schemeClr val="accent1"/>
                </a:solidFill>
              </a:ln>
              <a:effectLst/>
            </c:spPr>
          </c:marker>
          <c:cat>
            <c:strRef>
              <c:f>Лист2!$B$1:$E$1</c:f>
              <c:strCache>
                <c:ptCount val="4"/>
                <c:pt idx="0">
                  <c:v>ПКФ</c:v>
                </c:pt>
                <c:pt idx="1">
                  <c:v>КМФ</c:v>
                </c:pt>
                <c:pt idx="2">
                  <c:v>НФ</c:v>
                </c:pt>
                <c:pt idx="3">
                  <c:v>ЕФ</c:v>
                </c:pt>
              </c:strCache>
            </c:strRef>
          </c:cat>
          <c:val>
            <c:numRef>
              <c:f>Лист2!$B$2:$E$2</c:f>
              <c:numCache>
                <c:formatCode>General</c:formatCode>
                <c:ptCount val="4"/>
                <c:pt idx="0">
                  <c:v>41.64</c:v>
                </c:pt>
                <c:pt idx="1">
                  <c:v>108.46</c:v>
                </c:pt>
                <c:pt idx="2">
                  <c:v>88.98</c:v>
                </c:pt>
                <c:pt idx="3">
                  <c:v>75.349999999999994</c:v>
                </c:pt>
              </c:numCache>
            </c:numRef>
          </c:val>
          <c:smooth val="0"/>
          <c:extLst>
            <c:ext xmlns:c16="http://schemas.microsoft.com/office/drawing/2014/chart" uri="{C3380CC4-5D6E-409C-BE32-E72D297353CC}">
              <c16:uniqueId val="{00000000-3C66-4A83-8596-8902067C271C}"/>
            </c:ext>
          </c:extLst>
        </c:ser>
        <c:ser>
          <c:idx val="1"/>
          <c:order val="1"/>
          <c:tx>
            <c:strRef>
              <c:f>Лист2!$A$3</c:f>
              <c:strCache>
                <c:ptCount val="1"/>
                <c:pt idx="0">
                  <c:v>пНКР</c:v>
                </c:pt>
              </c:strCache>
            </c:strRef>
          </c:tx>
          <c:spPr>
            <a:ln w="28575" cap="rnd">
              <a:solidFill>
                <a:schemeClr val="accent2"/>
              </a:solidFill>
              <a:prstDash val="sysDot"/>
              <a:round/>
            </a:ln>
            <a:effectLst/>
          </c:spPr>
          <c:marker>
            <c:symbol val="circle"/>
            <c:size val="5"/>
            <c:spPr>
              <a:solidFill>
                <a:schemeClr val="accent2"/>
              </a:solidFill>
              <a:ln w="9525">
                <a:solidFill>
                  <a:schemeClr val="accent2"/>
                </a:solidFill>
              </a:ln>
              <a:effectLst/>
            </c:spPr>
          </c:marker>
          <c:cat>
            <c:strRef>
              <c:f>Лист2!$B$1:$E$1</c:f>
              <c:strCache>
                <c:ptCount val="4"/>
                <c:pt idx="0">
                  <c:v>ПКФ</c:v>
                </c:pt>
                <c:pt idx="1">
                  <c:v>КМФ</c:v>
                </c:pt>
                <c:pt idx="2">
                  <c:v>НФ</c:v>
                </c:pt>
                <c:pt idx="3">
                  <c:v>ЕФ</c:v>
                </c:pt>
              </c:strCache>
            </c:strRef>
          </c:cat>
          <c:val>
            <c:numRef>
              <c:f>Лист2!$B$3:$E$3</c:f>
              <c:numCache>
                <c:formatCode>General</c:formatCode>
                <c:ptCount val="4"/>
                <c:pt idx="0">
                  <c:v>35.18</c:v>
                </c:pt>
                <c:pt idx="1">
                  <c:v>114.44</c:v>
                </c:pt>
                <c:pt idx="2">
                  <c:v>74.650000000000006</c:v>
                </c:pt>
                <c:pt idx="3">
                  <c:v>68.39</c:v>
                </c:pt>
              </c:numCache>
            </c:numRef>
          </c:val>
          <c:smooth val="0"/>
          <c:extLst>
            <c:ext xmlns:c16="http://schemas.microsoft.com/office/drawing/2014/chart" uri="{C3380CC4-5D6E-409C-BE32-E72D297353CC}">
              <c16:uniqueId val="{00000001-3C66-4A83-8596-8902067C271C}"/>
            </c:ext>
          </c:extLst>
        </c:ser>
        <c:ser>
          <c:idx val="2"/>
          <c:order val="2"/>
          <c:tx>
            <c:strRef>
              <c:f>Лист2!$A$4</c:f>
              <c:strCache>
                <c:ptCount val="1"/>
                <c:pt idx="0">
                  <c:v>хрНКР</c:v>
                </c:pt>
              </c:strCache>
            </c:strRef>
          </c:tx>
          <c:spPr>
            <a:ln w="28575" cap="rnd">
              <a:solidFill>
                <a:schemeClr val="accent3"/>
              </a:solidFill>
              <a:prstDash val="sysDash"/>
              <a:round/>
            </a:ln>
            <a:effectLst/>
          </c:spPr>
          <c:marker>
            <c:symbol val="circle"/>
            <c:size val="5"/>
            <c:spPr>
              <a:solidFill>
                <a:schemeClr val="accent3"/>
              </a:solidFill>
              <a:ln w="9525">
                <a:solidFill>
                  <a:schemeClr val="accent3"/>
                </a:solidFill>
              </a:ln>
              <a:effectLst/>
            </c:spPr>
          </c:marker>
          <c:cat>
            <c:strRef>
              <c:f>Лист2!$B$1:$E$1</c:f>
              <c:strCache>
                <c:ptCount val="4"/>
                <c:pt idx="0">
                  <c:v>ПКФ</c:v>
                </c:pt>
                <c:pt idx="1">
                  <c:v>КМФ</c:v>
                </c:pt>
                <c:pt idx="2">
                  <c:v>НФ</c:v>
                </c:pt>
                <c:pt idx="3">
                  <c:v>ЕФ</c:v>
                </c:pt>
              </c:strCache>
            </c:strRef>
          </c:cat>
          <c:val>
            <c:numRef>
              <c:f>Лист2!$B$4:$E$4</c:f>
              <c:numCache>
                <c:formatCode>General</c:formatCode>
                <c:ptCount val="4"/>
                <c:pt idx="0">
                  <c:v>34.67</c:v>
                </c:pt>
                <c:pt idx="1">
                  <c:v>86.79</c:v>
                </c:pt>
                <c:pt idx="2">
                  <c:v>83.07</c:v>
                </c:pt>
                <c:pt idx="3">
                  <c:v>68.95</c:v>
                </c:pt>
              </c:numCache>
            </c:numRef>
          </c:val>
          <c:smooth val="0"/>
          <c:extLst>
            <c:ext xmlns:c16="http://schemas.microsoft.com/office/drawing/2014/chart" uri="{C3380CC4-5D6E-409C-BE32-E72D297353CC}">
              <c16:uniqueId val="{00000002-3C66-4A83-8596-8902067C271C}"/>
            </c:ext>
          </c:extLst>
        </c:ser>
        <c:ser>
          <c:idx val="3"/>
          <c:order val="3"/>
          <c:tx>
            <c:strRef>
              <c:f>Лист2!$A$5</c:f>
              <c:strCache>
                <c:ptCount val="1"/>
                <c:pt idx="0">
                  <c:v>Контроль</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Лист2!$B$1:$E$1</c:f>
              <c:strCache>
                <c:ptCount val="4"/>
                <c:pt idx="0">
                  <c:v>ПКФ</c:v>
                </c:pt>
                <c:pt idx="1">
                  <c:v>КМФ</c:v>
                </c:pt>
                <c:pt idx="2">
                  <c:v>НФ</c:v>
                </c:pt>
                <c:pt idx="3">
                  <c:v>ЕФ</c:v>
                </c:pt>
              </c:strCache>
            </c:strRef>
          </c:cat>
          <c:val>
            <c:numRef>
              <c:f>Лист2!$B$5:$E$5</c:f>
              <c:numCache>
                <c:formatCode>General</c:formatCode>
                <c:ptCount val="4"/>
                <c:pt idx="0">
                  <c:v>30.84</c:v>
                </c:pt>
                <c:pt idx="1">
                  <c:v>119.38</c:v>
                </c:pt>
                <c:pt idx="2">
                  <c:v>115.11</c:v>
                </c:pt>
                <c:pt idx="3">
                  <c:v>85.52</c:v>
                </c:pt>
              </c:numCache>
            </c:numRef>
          </c:val>
          <c:smooth val="0"/>
          <c:extLst>
            <c:ext xmlns:c16="http://schemas.microsoft.com/office/drawing/2014/chart" uri="{C3380CC4-5D6E-409C-BE32-E72D297353CC}">
              <c16:uniqueId val="{00000003-3C66-4A83-8596-8902067C271C}"/>
            </c:ext>
          </c:extLst>
        </c:ser>
        <c:dLbls>
          <c:showLegendKey val="0"/>
          <c:showVal val="0"/>
          <c:showCatName val="0"/>
          <c:showSerName val="0"/>
          <c:showPercent val="0"/>
          <c:showBubbleSize val="0"/>
        </c:dLbls>
        <c:marker val="1"/>
        <c:smooth val="0"/>
        <c:axId val="379190168"/>
        <c:axId val="379190496"/>
      </c:lineChart>
      <c:catAx>
        <c:axId val="3791901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a:t>Фаза КТ</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379190496"/>
        <c:crosses val="autoZero"/>
        <c:auto val="1"/>
        <c:lblAlgn val="ctr"/>
        <c:lblOffset val="100"/>
        <c:noMultiLvlLbl val="0"/>
      </c:catAx>
      <c:valAx>
        <c:axId val="379190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a:t>Променева щільність, </a:t>
                </a:r>
                <a:r>
                  <a:rPr lang="en-US"/>
                  <a:t>HU</a:t>
                </a:r>
                <a:endParaRPr lang="uk-UA"/>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37919016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Лист2!$G$2</c:f>
              <c:strCache>
                <c:ptCount val="1"/>
                <c:pt idx="0">
                  <c:v>скНКР</c:v>
                </c:pt>
              </c:strCache>
            </c:strRef>
          </c:tx>
          <c:spPr>
            <a:ln w="28575" cap="rnd">
              <a:solidFill>
                <a:schemeClr val="accent1"/>
              </a:solidFill>
              <a:prstDash val="dash"/>
              <a:round/>
            </a:ln>
            <a:effectLst/>
          </c:spPr>
          <c:marker>
            <c:symbol val="circle"/>
            <c:size val="5"/>
            <c:spPr>
              <a:solidFill>
                <a:schemeClr val="accent1"/>
              </a:solidFill>
              <a:ln w="9525">
                <a:solidFill>
                  <a:schemeClr val="accent1"/>
                </a:solidFill>
              </a:ln>
              <a:effectLst/>
            </c:spPr>
          </c:marker>
          <c:cat>
            <c:strRef>
              <c:f>Лист2!$H$1:$K$1</c:f>
              <c:strCache>
                <c:ptCount val="4"/>
                <c:pt idx="0">
                  <c:v>ПКФ</c:v>
                </c:pt>
                <c:pt idx="1">
                  <c:v>КМФ</c:v>
                </c:pt>
                <c:pt idx="2">
                  <c:v>НФ</c:v>
                </c:pt>
                <c:pt idx="3">
                  <c:v>ЕФ</c:v>
                </c:pt>
              </c:strCache>
            </c:strRef>
          </c:cat>
          <c:val>
            <c:numRef>
              <c:f>Лист2!$H$2:$K$2</c:f>
              <c:numCache>
                <c:formatCode>General</c:formatCode>
                <c:ptCount val="4"/>
                <c:pt idx="0">
                  <c:v>1.43</c:v>
                </c:pt>
                <c:pt idx="1">
                  <c:v>0.92</c:v>
                </c:pt>
                <c:pt idx="2">
                  <c:v>0.84</c:v>
                </c:pt>
                <c:pt idx="3">
                  <c:v>0.92</c:v>
                </c:pt>
              </c:numCache>
            </c:numRef>
          </c:val>
          <c:smooth val="0"/>
          <c:extLst>
            <c:ext xmlns:c16="http://schemas.microsoft.com/office/drawing/2014/chart" uri="{C3380CC4-5D6E-409C-BE32-E72D297353CC}">
              <c16:uniqueId val="{00000000-A598-4164-A84C-119B26EAF7E2}"/>
            </c:ext>
          </c:extLst>
        </c:ser>
        <c:ser>
          <c:idx val="1"/>
          <c:order val="1"/>
          <c:tx>
            <c:strRef>
              <c:f>Лист2!$G$3</c:f>
              <c:strCache>
                <c:ptCount val="1"/>
                <c:pt idx="0">
                  <c:v>пНКР</c:v>
                </c:pt>
              </c:strCache>
            </c:strRef>
          </c:tx>
          <c:spPr>
            <a:ln w="28575" cap="rnd">
              <a:solidFill>
                <a:schemeClr val="accent2"/>
              </a:solidFill>
              <a:prstDash val="sysDot"/>
              <a:round/>
            </a:ln>
            <a:effectLst/>
          </c:spPr>
          <c:marker>
            <c:symbol val="circle"/>
            <c:size val="5"/>
            <c:spPr>
              <a:solidFill>
                <a:schemeClr val="accent2"/>
              </a:solidFill>
              <a:ln w="9525">
                <a:solidFill>
                  <a:schemeClr val="accent2"/>
                </a:solidFill>
              </a:ln>
              <a:effectLst/>
            </c:spPr>
          </c:marker>
          <c:cat>
            <c:strRef>
              <c:f>Лист2!$H$1:$K$1</c:f>
              <c:strCache>
                <c:ptCount val="4"/>
                <c:pt idx="0">
                  <c:v>ПКФ</c:v>
                </c:pt>
                <c:pt idx="1">
                  <c:v>КМФ</c:v>
                </c:pt>
                <c:pt idx="2">
                  <c:v>НФ</c:v>
                </c:pt>
                <c:pt idx="3">
                  <c:v>ЕФ</c:v>
                </c:pt>
              </c:strCache>
            </c:strRef>
          </c:cat>
          <c:val>
            <c:numRef>
              <c:f>Лист2!$H$3:$K$3</c:f>
              <c:numCache>
                <c:formatCode>0.00</c:formatCode>
                <c:ptCount val="4"/>
                <c:pt idx="0" formatCode="General">
                  <c:v>1.32</c:v>
                </c:pt>
                <c:pt idx="1">
                  <c:v>1</c:v>
                </c:pt>
                <c:pt idx="2" formatCode="General">
                  <c:v>0.7</c:v>
                </c:pt>
                <c:pt idx="3" formatCode="General">
                  <c:v>0.8</c:v>
                </c:pt>
              </c:numCache>
            </c:numRef>
          </c:val>
          <c:smooth val="0"/>
          <c:extLst>
            <c:ext xmlns:c16="http://schemas.microsoft.com/office/drawing/2014/chart" uri="{C3380CC4-5D6E-409C-BE32-E72D297353CC}">
              <c16:uniqueId val="{00000001-A598-4164-A84C-119B26EAF7E2}"/>
            </c:ext>
          </c:extLst>
        </c:ser>
        <c:ser>
          <c:idx val="2"/>
          <c:order val="2"/>
          <c:tx>
            <c:strRef>
              <c:f>Лист2!$G$4</c:f>
              <c:strCache>
                <c:ptCount val="1"/>
                <c:pt idx="0">
                  <c:v>хрНКР</c:v>
                </c:pt>
              </c:strCache>
            </c:strRef>
          </c:tx>
          <c:spPr>
            <a:ln w="28575" cap="rnd">
              <a:solidFill>
                <a:schemeClr val="accent3"/>
              </a:solidFill>
              <a:prstDash val="sysDash"/>
              <a:round/>
            </a:ln>
            <a:effectLst/>
          </c:spPr>
          <c:marker>
            <c:symbol val="circle"/>
            <c:size val="5"/>
            <c:spPr>
              <a:solidFill>
                <a:schemeClr val="accent3"/>
              </a:solidFill>
              <a:ln w="9525">
                <a:solidFill>
                  <a:schemeClr val="accent3"/>
                </a:solidFill>
              </a:ln>
              <a:effectLst/>
            </c:spPr>
          </c:marker>
          <c:cat>
            <c:strRef>
              <c:f>Лист2!$H$1:$K$1</c:f>
              <c:strCache>
                <c:ptCount val="4"/>
                <c:pt idx="0">
                  <c:v>ПКФ</c:v>
                </c:pt>
                <c:pt idx="1">
                  <c:v>КМФ</c:v>
                </c:pt>
                <c:pt idx="2">
                  <c:v>НФ</c:v>
                </c:pt>
                <c:pt idx="3">
                  <c:v>ЕФ</c:v>
                </c:pt>
              </c:strCache>
            </c:strRef>
          </c:cat>
          <c:val>
            <c:numRef>
              <c:f>Лист2!$H$4:$K$4</c:f>
              <c:numCache>
                <c:formatCode>General</c:formatCode>
                <c:ptCount val="4"/>
                <c:pt idx="0">
                  <c:v>1.0900000000000001</c:v>
                </c:pt>
                <c:pt idx="1">
                  <c:v>0.78</c:v>
                </c:pt>
                <c:pt idx="2">
                  <c:v>0.79</c:v>
                </c:pt>
                <c:pt idx="3">
                  <c:v>0.82</c:v>
                </c:pt>
              </c:numCache>
            </c:numRef>
          </c:val>
          <c:smooth val="0"/>
          <c:extLst>
            <c:ext xmlns:c16="http://schemas.microsoft.com/office/drawing/2014/chart" uri="{C3380CC4-5D6E-409C-BE32-E72D297353CC}">
              <c16:uniqueId val="{00000002-A598-4164-A84C-119B26EAF7E2}"/>
            </c:ext>
          </c:extLst>
        </c:ser>
        <c:dLbls>
          <c:showLegendKey val="0"/>
          <c:showVal val="0"/>
          <c:showCatName val="0"/>
          <c:showSerName val="0"/>
          <c:showPercent val="0"/>
          <c:showBubbleSize val="0"/>
        </c:dLbls>
        <c:marker val="1"/>
        <c:smooth val="0"/>
        <c:axId val="433838448"/>
        <c:axId val="433839432"/>
      </c:lineChart>
      <c:catAx>
        <c:axId val="43383844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a:t>Фаза КТ</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433839432"/>
        <c:crosses val="autoZero"/>
        <c:auto val="1"/>
        <c:lblAlgn val="ctr"/>
        <c:lblOffset val="100"/>
        <c:noMultiLvlLbl val="0"/>
      </c:catAx>
      <c:valAx>
        <c:axId val="433839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uk-UA"/>
                  <a:t>Відношення променевої</a:t>
                </a:r>
                <a:r>
                  <a:rPr lang="uk-UA" baseline="0"/>
                  <a:t> щільності</a:t>
                </a:r>
                <a:endParaRPr lang="uk-UA"/>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43383844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c:f>
              <c:strCache>
                <c:ptCount val="1"/>
                <c:pt idx="0">
                  <c:v>НКР</c:v>
                </c:pt>
              </c:strCache>
            </c:strRef>
          </c:tx>
          <c:spPr>
            <a:ln w="28575" cap="rnd">
              <a:solidFill>
                <a:schemeClr val="accent1"/>
              </a:solidFill>
              <a:prstDash val="sysDot"/>
              <a:round/>
            </a:ln>
            <a:effectLst/>
          </c:spPr>
          <c:marker>
            <c:symbol val="circle"/>
            <c:size val="5"/>
            <c:spPr>
              <a:solidFill>
                <a:schemeClr val="accent1"/>
              </a:solidFill>
              <a:ln w="9525">
                <a:solidFill>
                  <a:schemeClr val="accent1"/>
                </a:solidFill>
              </a:ln>
              <a:effectLst/>
            </c:spPr>
          </c:marker>
          <c:cat>
            <c:strRef>
              <c:f>Лист1!$B$1:$E$1</c:f>
              <c:strCache>
                <c:ptCount val="4"/>
                <c:pt idx="0">
                  <c:v>ПКФ</c:v>
                </c:pt>
                <c:pt idx="1">
                  <c:v>КМФ</c:v>
                </c:pt>
                <c:pt idx="2">
                  <c:v>НФ</c:v>
                </c:pt>
                <c:pt idx="3">
                  <c:v>ЕФ</c:v>
                </c:pt>
              </c:strCache>
            </c:strRef>
          </c:cat>
          <c:val>
            <c:numRef>
              <c:f>Лист1!$B$2:$E$2</c:f>
              <c:numCache>
                <c:formatCode>General</c:formatCode>
                <c:ptCount val="4"/>
                <c:pt idx="0">
                  <c:v>39.01</c:v>
                </c:pt>
                <c:pt idx="1">
                  <c:v>106.2</c:v>
                </c:pt>
                <c:pt idx="2">
                  <c:v>84.94</c:v>
                </c:pt>
                <c:pt idx="3">
                  <c:v>71.69</c:v>
                </c:pt>
              </c:numCache>
            </c:numRef>
          </c:val>
          <c:smooth val="0"/>
          <c:extLst>
            <c:ext xmlns:c16="http://schemas.microsoft.com/office/drawing/2014/chart" uri="{C3380CC4-5D6E-409C-BE32-E72D297353CC}">
              <c16:uniqueId val="{00000000-1B5B-4E03-86B6-F724C498FB41}"/>
            </c:ext>
          </c:extLst>
        </c:ser>
        <c:ser>
          <c:idx val="1"/>
          <c:order val="1"/>
          <c:tx>
            <c:strRef>
              <c:f>Лист1!$A$3</c:f>
              <c:strCache>
                <c:ptCount val="1"/>
                <c:pt idx="0">
                  <c:v>ПКК ниркової миски</c:v>
                </c:pt>
              </c:strCache>
            </c:strRef>
          </c:tx>
          <c:spPr>
            <a:ln w="28575" cap="rnd" cmpd="sng">
              <a:solidFill>
                <a:schemeClr val="accent2"/>
              </a:solidFill>
              <a:prstDash val="sysDash"/>
              <a:round/>
            </a:ln>
            <a:effectLst/>
          </c:spPr>
          <c:marker>
            <c:symbol val="circle"/>
            <c:size val="5"/>
            <c:spPr>
              <a:solidFill>
                <a:schemeClr val="accent2"/>
              </a:solidFill>
              <a:ln w="9525">
                <a:solidFill>
                  <a:schemeClr val="accent2"/>
                </a:solidFill>
              </a:ln>
              <a:effectLst/>
            </c:spPr>
          </c:marker>
          <c:cat>
            <c:strRef>
              <c:f>Лист1!$B$1:$E$1</c:f>
              <c:strCache>
                <c:ptCount val="4"/>
                <c:pt idx="0">
                  <c:v>ПКФ</c:v>
                </c:pt>
                <c:pt idx="1">
                  <c:v>КМФ</c:v>
                </c:pt>
                <c:pt idx="2">
                  <c:v>НФ</c:v>
                </c:pt>
                <c:pt idx="3">
                  <c:v>ЕФ</c:v>
                </c:pt>
              </c:strCache>
            </c:strRef>
          </c:cat>
          <c:val>
            <c:numRef>
              <c:f>Лист1!$B$3:$E$3</c:f>
              <c:numCache>
                <c:formatCode>General</c:formatCode>
                <c:ptCount val="4"/>
                <c:pt idx="0">
                  <c:v>25.91</c:v>
                </c:pt>
                <c:pt idx="1">
                  <c:v>68.959999999999994</c:v>
                </c:pt>
                <c:pt idx="2">
                  <c:v>54.06</c:v>
                </c:pt>
                <c:pt idx="3">
                  <c:v>37.33</c:v>
                </c:pt>
              </c:numCache>
            </c:numRef>
          </c:val>
          <c:smooth val="0"/>
          <c:extLst>
            <c:ext xmlns:c16="http://schemas.microsoft.com/office/drawing/2014/chart" uri="{C3380CC4-5D6E-409C-BE32-E72D297353CC}">
              <c16:uniqueId val="{00000001-1B5B-4E03-86B6-F724C498FB41}"/>
            </c:ext>
          </c:extLst>
        </c:ser>
        <c:ser>
          <c:idx val="2"/>
          <c:order val="2"/>
          <c:tx>
            <c:strRef>
              <c:f>Лист1!$A$4</c:f>
              <c:strCache>
                <c:ptCount val="1"/>
                <c:pt idx="0">
                  <c:v>Доброякісні пухлини</c:v>
                </c:pt>
              </c:strCache>
            </c:strRef>
          </c:tx>
          <c:spPr>
            <a:ln w="28575" cap="rnd">
              <a:solidFill>
                <a:schemeClr val="accent3"/>
              </a:solidFill>
              <a:prstDash val="lgDash"/>
              <a:round/>
            </a:ln>
            <a:effectLst/>
          </c:spPr>
          <c:marker>
            <c:symbol val="circle"/>
            <c:size val="5"/>
            <c:spPr>
              <a:solidFill>
                <a:schemeClr val="accent3"/>
              </a:solidFill>
              <a:ln w="9525">
                <a:solidFill>
                  <a:schemeClr val="accent3"/>
                </a:solidFill>
              </a:ln>
              <a:effectLst/>
            </c:spPr>
          </c:marker>
          <c:cat>
            <c:strRef>
              <c:f>Лист1!$B$1:$E$1</c:f>
              <c:strCache>
                <c:ptCount val="4"/>
                <c:pt idx="0">
                  <c:v>ПКФ</c:v>
                </c:pt>
                <c:pt idx="1">
                  <c:v>КМФ</c:v>
                </c:pt>
                <c:pt idx="2">
                  <c:v>НФ</c:v>
                </c:pt>
                <c:pt idx="3">
                  <c:v>ЕФ</c:v>
                </c:pt>
              </c:strCache>
            </c:strRef>
          </c:cat>
          <c:val>
            <c:numRef>
              <c:f>Лист1!$B$4:$E$4</c:f>
              <c:numCache>
                <c:formatCode>General</c:formatCode>
                <c:ptCount val="4"/>
                <c:pt idx="0">
                  <c:v>34.450000000000003</c:v>
                </c:pt>
                <c:pt idx="1">
                  <c:v>85.35</c:v>
                </c:pt>
                <c:pt idx="2">
                  <c:v>85.59</c:v>
                </c:pt>
                <c:pt idx="3">
                  <c:v>60</c:v>
                </c:pt>
              </c:numCache>
            </c:numRef>
          </c:val>
          <c:smooth val="0"/>
          <c:extLst>
            <c:ext xmlns:c16="http://schemas.microsoft.com/office/drawing/2014/chart" uri="{C3380CC4-5D6E-409C-BE32-E72D297353CC}">
              <c16:uniqueId val="{00000002-1B5B-4E03-86B6-F724C498FB41}"/>
            </c:ext>
          </c:extLst>
        </c:ser>
        <c:ser>
          <c:idx val="3"/>
          <c:order val="3"/>
          <c:tx>
            <c:strRef>
              <c:f>Лист1!$A$5</c:f>
              <c:strCache>
                <c:ptCount val="1"/>
                <c:pt idx="0">
                  <c:v>Контроль</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errBars>
            <c:errDir val="y"/>
            <c:errBarType val="both"/>
            <c:errValType val="cust"/>
            <c:noEndCap val="0"/>
            <c:plus>
              <c:numLit>
                <c:formatCode>General</c:formatCode>
                <c:ptCount val="1"/>
                <c:pt idx="0">
                  <c:v>1</c:v>
                </c:pt>
              </c:numLit>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Лист1!$B$1:$E$1</c:f>
              <c:strCache>
                <c:ptCount val="4"/>
                <c:pt idx="0">
                  <c:v>ПКФ</c:v>
                </c:pt>
                <c:pt idx="1">
                  <c:v>КМФ</c:v>
                </c:pt>
                <c:pt idx="2">
                  <c:v>НФ</c:v>
                </c:pt>
                <c:pt idx="3">
                  <c:v>ЕФ</c:v>
                </c:pt>
              </c:strCache>
            </c:strRef>
          </c:cat>
          <c:val>
            <c:numRef>
              <c:f>Лист1!$B$5:$E$5</c:f>
              <c:numCache>
                <c:formatCode>General</c:formatCode>
                <c:ptCount val="4"/>
                <c:pt idx="0">
                  <c:v>30.84</c:v>
                </c:pt>
                <c:pt idx="1">
                  <c:v>119.38</c:v>
                </c:pt>
                <c:pt idx="2">
                  <c:v>115.11</c:v>
                </c:pt>
                <c:pt idx="3">
                  <c:v>85.52</c:v>
                </c:pt>
              </c:numCache>
            </c:numRef>
          </c:val>
          <c:smooth val="0"/>
          <c:extLst>
            <c:ext xmlns:c16="http://schemas.microsoft.com/office/drawing/2014/chart" uri="{C3380CC4-5D6E-409C-BE32-E72D297353CC}">
              <c16:uniqueId val="{00000003-1B5B-4E03-86B6-F724C498FB41}"/>
            </c:ext>
          </c:extLst>
        </c:ser>
        <c:dLbls>
          <c:showLegendKey val="0"/>
          <c:showVal val="0"/>
          <c:showCatName val="0"/>
          <c:showSerName val="0"/>
          <c:showPercent val="0"/>
          <c:showBubbleSize val="0"/>
        </c:dLbls>
        <c:marker val="1"/>
        <c:smooth val="0"/>
        <c:axId val="371608976"/>
        <c:axId val="371602744"/>
      </c:lineChart>
      <c:catAx>
        <c:axId val="3716089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uk-UA"/>
                  <a:t>Фаза КТ</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crossAx val="371602744"/>
        <c:crosses val="autoZero"/>
        <c:auto val="1"/>
        <c:lblAlgn val="ctr"/>
        <c:lblOffset val="100"/>
        <c:noMultiLvlLbl val="0"/>
      </c:catAx>
      <c:valAx>
        <c:axId val="371602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uk-UA"/>
                  <a:t>Променева щільність, </a:t>
                </a:r>
                <a:r>
                  <a:rPr lang="en-US"/>
                  <a:t>HU</a:t>
                </a:r>
                <a:endParaRPr lang="uk-UA"/>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crossAx val="371608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Лист1!$G$2</c:f>
              <c:strCache>
                <c:ptCount val="1"/>
                <c:pt idx="0">
                  <c:v>НКР</c:v>
                </c:pt>
              </c:strCache>
            </c:strRef>
          </c:tx>
          <c:spPr>
            <a:ln w="28575" cap="rnd">
              <a:solidFill>
                <a:schemeClr val="accent1"/>
              </a:solidFill>
              <a:prstDash val="sysDot"/>
              <a:round/>
            </a:ln>
            <a:effectLst/>
          </c:spPr>
          <c:marker>
            <c:symbol val="circle"/>
            <c:size val="5"/>
            <c:spPr>
              <a:solidFill>
                <a:schemeClr val="accent1"/>
              </a:solidFill>
              <a:ln w="9525">
                <a:solidFill>
                  <a:schemeClr val="accent1"/>
                </a:solidFill>
              </a:ln>
              <a:effectLst/>
            </c:spPr>
          </c:marker>
          <c:cat>
            <c:strRef>
              <c:f>Лист1!$H$1:$K$1</c:f>
              <c:strCache>
                <c:ptCount val="4"/>
                <c:pt idx="0">
                  <c:v>ПКФ</c:v>
                </c:pt>
                <c:pt idx="1">
                  <c:v>КМФ</c:v>
                </c:pt>
                <c:pt idx="2">
                  <c:v>НФ</c:v>
                </c:pt>
                <c:pt idx="3">
                  <c:v>ЕФ</c:v>
                </c:pt>
              </c:strCache>
            </c:strRef>
          </c:cat>
          <c:val>
            <c:numRef>
              <c:f>Лист1!$H$2:$K$2</c:f>
              <c:numCache>
                <c:formatCode>General</c:formatCode>
                <c:ptCount val="4"/>
                <c:pt idx="0">
                  <c:v>1.38</c:v>
                </c:pt>
                <c:pt idx="1">
                  <c:v>0.93</c:v>
                </c:pt>
                <c:pt idx="2">
                  <c:v>0.77</c:v>
                </c:pt>
                <c:pt idx="3">
                  <c:v>0.85</c:v>
                </c:pt>
              </c:numCache>
            </c:numRef>
          </c:val>
          <c:smooth val="0"/>
          <c:extLst>
            <c:ext xmlns:c16="http://schemas.microsoft.com/office/drawing/2014/chart" uri="{C3380CC4-5D6E-409C-BE32-E72D297353CC}">
              <c16:uniqueId val="{00000000-793E-44C9-B7DC-AB8187BE266B}"/>
            </c:ext>
          </c:extLst>
        </c:ser>
        <c:ser>
          <c:idx val="1"/>
          <c:order val="1"/>
          <c:tx>
            <c:strRef>
              <c:f>Лист1!$G$3</c:f>
              <c:strCache>
                <c:ptCount val="1"/>
                <c:pt idx="0">
                  <c:v>ПКК ниркової миски</c:v>
                </c:pt>
              </c:strCache>
            </c:strRef>
          </c:tx>
          <c:spPr>
            <a:ln w="28575" cap="rnd">
              <a:solidFill>
                <a:schemeClr val="accent2"/>
              </a:solidFill>
              <a:prstDash val="sysDash"/>
              <a:round/>
            </a:ln>
            <a:effectLst/>
          </c:spPr>
          <c:marker>
            <c:symbol val="circle"/>
            <c:size val="5"/>
            <c:spPr>
              <a:solidFill>
                <a:schemeClr val="accent2"/>
              </a:solidFill>
              <a:ln w="9525">
                <a:solidFill>
                  <a:schemeClr val="accent2"/>
                </a:solidFill>
              </a:ln>
              <a:effectLst/>
            </c:spPr>
          </c:marker>
          <c:cat>
            <c:strRef>
              <c:f>Лист1!$H$1:$K$1</c:f>
              <c:strCache>
                <c:ptCount val="4"/>
                <c:pt idx="0">
                  <c:v>ПКФ</c:v>
                </c:pt>
                <c:pt idx="1">
                  <c:v>КМФ</c:v>
                </c:pt>
                <c:pt idx="2">
                  <c:v>НФ</c:v>
                </c:pt>
                <c:pt idx="3">
                  <c:v>ЕФ</c:v>
                </c:pt>
              </c:strCache>
            </c:strRef>
          </c:cat>
          <c:val>
            <c:numRef>
              <c:f>Лист1!$H$3:$K$3</c:f>
              <c:numCache>
                <c:formatCode>General</c:formatCode>
                <c:ptCount val="4"/>
                <c:pt idx="0">
                  <c:v>0.82</c:v>
                </c:pt>
                <c:pt idx="1">
                  <c:v>0.6</c:v>
                </c:pt>
                <c:pt idx="2">
                  <c:v>0.52</c:v>
                </c:pt>
                <c:pt idx="3">
                  <c:v>0.45</c:v>
                </c:pt>
              </c:numCache>
            </c:numRef>
          </c:val>
          <c:smooth val="0"/>
          <c:extLst>
            <c:ext xmlns:c16="http://schemas.microsoft.com/office/drawing/2014/chart" uri="{C3380CC4-5D6E-409C-BE32-E72D297353CC}">
              <c16:uniqueId val="{00000001-793E-44C9-B7DC-AB8187BE266B}"/>
            </c:ext>
          </c:extLst>
        </c:ser>
        <c:ser>
          <c:idx val="2"/>
          <c:order val="2"/>
          <c:tx>
            <c:strRef>
              <c:f>Лист1!$G$4</c:f>
              <c:strCache>
                <c:ptCount val="1"/>
                <c:pt idx="0">
                  <c:v>Доброякісні пухлини</c:v>
                </c:pt>
              </c:strCache>
            </c:strRef>
          </c:tx>
          <c:spPr>
            <a:ln w="28575" cap="rnd">
              <a:solidFill>
                <a:schemeClr val="accent3"/>
              </a:solidFill>
              <a:prstDash val="lgDash"/>
              <a:round/>
            </a:ln>
            <a:effectLst/>
          </c:spPr>
          <c:marker>
            <c:symbol val="circle"/>
            <c:size val="5"/>
            <c:spPr>
              <a:solidFill>
                <a:schemeClr val="accent3"/>
              </a:solidFill>
              <a:ln w="9525">
                <a:solidFill>
                  <a:schemeClr val="accent3"/>
                </a:solidFill>
              </a:ln>
              <a:effectLst/>
            </c:spPr>
          </c:marker>
          <c:cat>
            <c:strRef>
              <c:f>Лист1!$H$1:$K$1</c:f>
              <c:strCache>
                <c:ptCount val="4"/>
                <c:pt idx="0">
                  <c:v>ПКФ</c:v>
                </c:pt>
                <c:pt idx="1">
                  <c:v>КМФ</c:v>
                </c:pt>
                <c:pt idx="2">
                  <c:v>НФ</c:v>
                </c:pt>
                <c:pt idx="3">
                  <c:v>ЕФ</c:v>
                </c:pt>
              </c:strCache>
            </c:strRef>
          </c:cat>
          <c:val>
            <c:numRef>
              <c:f>Лист1!$H$4:$K$4</c:f>
              <c:numCache>
                <c:formatCode>General</c:formatCode>
                <c:ptCount val="4"/>
                <c:pt idx="0">
                  <c:v>1.07</c:v>
                </c:pt>
                <c:pt idx="1">
                  <c:v>0.73</c:v>
                </c:pt>
                <c:pt idx="2">
                  <c:v>0.76</c:v>
                </c:pt>
                <c:pt idx="3">
                  <c:v>0.72</c:v>
                </c:pt>
              </c:numCache>
            </c:numRef>
          </c:val>
          <c:smooth val="0"/>
          <c:extLst>
            <c:ext xmlns:c16="http://schemas.microsoft.com/office/drawing/2014/chart" uri="{C3380CC4-5D6E-409C-BE32-E72D297353CC}">
              <c16:uniqueId val="{00000002-793E-44C9-B7DC-AB8187BE266B}"/>
            </c:ext>
          </c:extLst>
        </c:ser>
        <c:dLbls>
          <c:showLegendKey val="0"/>
          <c:showVal val="0"/>
          <c:showCatName val="0"/>
          <c:showSerName val="0"/>
          <c:showPercent val="0"/>
          <c:showBubbleSize val="0"/>
        </c:dLbls>
        <c:marker val="1"/>
        <c:smooth val="0"/>
        <c:axId val="370573520"/>
        <c:axId val="370573848"/>
      </c:lineChart>
      <c:catAx>
        <c:axId val="3705735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uk-UA"/>
                  <a:t>Фаза КТ</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crossAx val="370573848"/>
        <c:crosses val="autoZero"/>
        <c:auto val="1"/>
        <c:lblAlgn val="ctr"/>
        <c:lblOffset val="100"/>
        <c:noMultiLvlLbl val="0"/>
      </c:catAx>
      <c:valAx>
        <c:axId val="3705738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uk-UA"/>
                  <a:t>Відношення променевої щільності</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crossAx val="370573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049852859301679"/>
          <c:y val="4.6685755189692195E-2"/>
          <c:w val="0.70129929213393793"/>
          <c:h val="0.70368378668575515"/>
        </c:manualLayout>
      </c:layout>
      <c:lineChart>
        <c:grouping val="standard"/>
        <c:varyColors val="0"/>
        <c:ser>
          <c:idx val="0"/>
          <c:order val="0"/>
          <c:tx>
            <c:strRef>
              <c:f>Лист2!$A$2</c:f>
              <c:strCache>
                <c:ptCount val="1"/>
                <c:pt idx="0">
                  <c:v>скНКР</c:v>
                </c:pt>
              </c:strCache>
            </c:strRef>
          </c:tx>
          <c:spPr>
            <a:ln w="28575" cap="rnd">
              <a:solidFill>
                <a:schemeClr val="accent1"/>
              </a:solidFill>
              <a:prstDash val="dash"/>
              <a:round/>
            </a:ln>
            <a:effectLst/>
          </c:spPr>
          <c:marker>
            <c:symbol val="circle"/>
            <c:size val="5"/>
            <c:spPr>
              <a:solidFill>
                <a:schemeClr val="accent1"/>
              </a:solidFill>
              <a:ln w="9525">
                <a:solidFill>
                  <a:schemeClr val="accent1"/>
                </a:solidFill>
              </a:ln>
              <a:effectLst/>
            </c:spPr>
          </c:marker>
          <c:cat>
            <c:strRef>
              <c:f>Лист2!$B$1:$E$1</c:f>
              <c:strCache>
                <c:ptCount val="4"/>
                <c:pt idx="0">
                  <c:v>ПКФ</c:v>
                </c:pt>
                <c:pt idx="1">
                  <c:v>КМФ</c:v>
                </c:pt>
                <c:pt idx="2">
                  <c:v>НФ</c:v>
                </c:pt>
                <c:pt idx="3">
                  <c:v>ЕФ</c:v>
                </c:pt>
              </c:strCache>
            </c:strRef>
          </c:cat>
          <c:val>
            <c:numRef>
              <c:f>Лист2!$B$2:$E$2</c:f>
              <c:numCache>
                <c:formatCode>General</c:formatCode>
                <c:ptCount val="4"/>
                <c:pt idx="0">
                  <c:v>41.41</c:v>
                </c:pt>
                <c:pt idx="1">
                  <c:v>107.99</c:v>
                </c:pt>
                <c:pt idx="2">
                  <c:v>88.75</c:v>
                </c:pt>
                <c:pt idx="3">
                  <c:v>73.83</c:v>
                </c:pt>
              </c:numCache>
            </c:numRef>
          </c:val>
          <c:smooth val="0"/>
          <c:extLst>
            <c:ext xmlns:c16="http://schemas.microsoft.com/office/drawing/2014/chart" uri="{C3380CC4-5D6E-409C-BE32-E72D297353CC}">
              <c16:uniqueId val="{00000000-420C-47D2-AE96-8D1B186235D3}"/>
            </c:ext>
          </c:extLst>
        </c:ser>
        <c:ser>
          <c:idx val="1"/>
          <c:order val="1"/>
          <c:tx>
            <c:strRef>
              <c:f>Лист2!$A$3</c:f>
              <c:strCache>
                <c:ptCount val="1"/>
                <c:pt idx="0">
                  <c:v>пНКР</c:v>
                </c:pt>
              </c:strCache>
            </c:strRef>
          </c:tx>
          <c:spPr>
            <a:ln w="28575" cap="rnd">
              <a:solidFill>
                <a:schemeClr val="accent2"/>
              </a:solidFill>
              <a:prstDash val="sysDot"/>
              <a:round/>
            </a:ln>
            <a:effectLst/>
          </c:spPr>
          <c:marker>
            <c:symbol val="circle"/>
            <c:size val="5"/>
            <c:spPr>
              <a:solidFill>
                <a:schemeClr val="accent2"/>
              </a:solidFill>
              <a:ln w="9525">
                <a:solidFill>
                  <a:schemeClr val="accent2"/>
                </a:solidFill>
              </a:ln>
              <a:effectLst/>
            </c:spPr>
          </c:marker>
          <c:cat>
            <c:strRef>
              <c:f>Лист2!$B$1:$E$1</c:f>
              <c:strCache>
                <c:ptCount val="4"/>
                <c:pt idx="0">
                  <c:v>ПКФ</c:v>
                </c:pt>
                <c:pt idx="1">
                  <c:v>КМФ</c:v>
                </c:pt>
                <c:pt idx="2">
                  <c:v>НФ</c:v>
                </c:pt>
                <c:pt idx="3">
                  <c:v>ЕФ</c:v>
                </c:pt>
              </c:strCache>
            </c:strRef>
          </c:cat>
          <c:val>
            <c:numRef>
              <c:f>Лист2!$B$3:$E$3</c:f>
              <c:numCache>
                <c:formatCode>General</c:formatCode>
                <c:ptCount val="4"/>
                <c:pt idx="0">
                  <c:v>35.270000000000003</c:v>
                </c:pt>
                <c:pt idx="1">
                  <c:v>118.66</c:v>
                </c:pt>
                <c:pt idx="2">
                  <c:v>74.91</c:v>
                </c:pt>
                <c:pt idx="3">
                  <c:v>67.849999999999994</c:v>
                </c:pt>
              </c:numCache>
            </c:numRef>
          </c:val>
          <c:smooth val="0"/>
          <c:extLst>
            <c:ext xmlns:c16="http://schemas.microsoft.com/office/drawing/2014/chart" uri="{C3380CC4-5D6E-409C-BE32-E72D297353CC}">
              <c16:uniqueId val="{00000001-420C-47D2-AE96-8D1B186235D3}"/>
            </c:ext>
          </c:extLst>
        </c:ser>
        <c:ser>
          <c:idx val="2"/>
          <c:order val="2"/>
          <c:tx>
            <c:strRef>
              <c:f>Лист2!$A$4</c:f>
              <c:strCache>
                <c:ptCount val="1"/>
                <c:pt idx="0">
                  <c:v>хрНКР</c:v>
                </c:pt>
              </c:strCache>
            </c:strRef>
          </c:tx>
          <c:spPr>
            <a:ln w="28575" cap="rnd">
              <a:solidFill>
                <a:schemeClr val="accent3"/>
              </a:solidFill>
              <a:prstDash val="sysDash"/>
              <a:round/>
            </a:ln>
            <a:effectLst/>
          </c:spPr>
          <c:marker>
            <c:symbol val="circle"/>
            <c:size val="5"/>
            <c:spPr>
              <a:solidFill>
                <a:schemeClr val="accent3"/>
              </a:solidFill>
              <a:ln w="9525">
                <a:solidFill>
                  <a:schemeClr val="accent3"/>
                </a:solidFill>
              </a:ln>
              <a:effectLst/>
            </c:spPr>
          </c:marker>
          <c:cat>
            <c:strRef>
              <c:f>Лист2!$B$1:$E$1</c:f>
              <c:strCache>
                <c:ptCount val="4"/>
                <c:pt idx="0">
                  <c:v>ПКФ</c:v>
                </c:pt>
                <c:pt idx="1">
                  <c:v>КМФ</c:v>
                </c:pt>
                <c:pt idx="2">
                  <c:v>НФ</c:v>
                </c:pt>
                <c:pt idx="3">
                  <c:v>ЕФ</c:v>
                </c:pt>
              </c:strCache>
            </c:strRef>
          </c:cat>
          <c:val>
            <c:numRef>
              <c:f>Лист2!$B$4:$E$4</c:f>
              <c:numCache>
                <c:formatCode>General</c:formatCode>
                <c:ptCount val="4"/>
                <c:pt idx="0">
                  <c:v>34.53</c:v>
                </c:pt>
                <c:pt idx="1">
                  <c:v>86.6</c:v>
                </c:pt>
                <c:pt idx="2">
                  <c:v>82.17</c:v>
                </c:pt>
                <c:pt idx="3">
                  <c:v>68.23</c:v>
                </c:pt>
              </c:numCache>
            </c:numRef>
          </c:val>
          <c:smooth val="0"/>
          <c:extLst>
            <c:ext xmlns:c16="http://schemas.microsoft.com/office/drawing/2014/chart" uri="{C3380CC4-5D6E-409C-BE32-E72D297353CC}">
              <c16:uniqueId val="{00000002-420C-47D2-AE96-8D1B186235D3}"/>
            </c:ext>
          </c:extLst>
        </c:ser>
        <c:ser>
          <c:idx val="3"/>
          <c:order val="3"/>
          <c:tx>
            <c:strRef>
              <c:f>Лист2!$A$5</c:f>
              <c:strCache>
                <c:ptCount val="1"/>
                <c:pt idx="0">
                  <c:v>Контроль</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Лист2!$B$1:$E$1</c:f>
              <c:strCache>
                <c:ptCount val="4"/>
                <c:pt idx="0">
                  <c:v>ПКФ</c:v>
                </c:pt>
                <c:pt idx="1">
                  <c:v>КМФ</c:v>
                </c:pt>
                <c:pt idx="2">
                  <c:v>НФ</c:v>
                </c:pt>
                <c:pt idx="3">
                  <c:v>ЕФ</c:v>
                </c:pt>
              </c:strCache>
            </c:strRef>
          </c:cat>
          <c:val>
            <c:numRef>
              <c:f>Лист2!$B$5:$E$5</c:f>
              <c:numCache>
                <c:formatCode>General</c:formatCode>
                <c:ptCount val="4"/>
                <c:pt idx="0">
                  <c:v>30.84</c:v>
                </c:pt>
                <c:pt idx="1">
                  <c:v>119.38</c:v>
                </c:pt>
                <c:pt idx="2">
                  <c:v>115.11</c:v>
                </c:pt>
                <c:pt idx="3">
                  <c:v>85.52</c:v>
                </c:pt>
              </c:numCache>
            </c:numRef>
          </c:val>
          <c:smooth val="0"/>
          <c:extLst>
            <c:ext xmlns:c16="http://schemas.microsoft.com/office/drawing/2014/chart" uri="{C3380CC4-5D6E-409C-BE32-E72D297353CC}">
              <c16:uniqueId val="{00000003-420C-47D2-AE96-8D1B186235D3}"/>
            </c:ext>
          </c:extLst>
        </c:ser>
        <c:dLbls>
          <c:showLegendKey val="0"/>
          <c:showVal val="0"/>
          <c:showCatName val="0"/>
          <c:showSerName val="0"/>
          <c:showPercent val="0"/>
          <c:showBubbleSize val="0"/>
        </c:dLbls>
        <c:marker val="1"/>
        <c:smooth val="0"/>
        <c:axId val="379190168"/>
        <c:axId val="379190496"/>
      </c:lineChart>
      <c:catAx>
        <c:axId val="3791901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uk-UA"/>
                  <a:t>Фаза КТ</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crossAx val="379190496"/>
        <c:crosses val="autoZero"/>
        <c:auto val="1"/>
        <c:lblAlgn val="ctr"/>
        <c:lblOffset val="100"/>
        <c:noMultiLvlLbl val="0"/>
      </c:catAx>
      <c:valAx>
        <c:axId val="379190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uk-UA"/>
                  <a:t>Променева щільність, </a:t>
                </a:r>
                <a:r>
                  <a:rPr lang="en-US"/>
                  <a:t>HU</a:t>
                </a:r>
                <a:endParaRPr lang="uk-UA"/>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crossAx val="379190168"/>
        <c:crosses val="autoZero"/>
        <c:crossBetween val="between"/>
      </c:valAx>
      <c:spPr>
        <a:noFill/>
        <a:ln>
          <a:noFill/>
        </a:ln>
        <a:effectLst/>
      </c:spPr>
    </c:plotArea>
    <c:legend>
      <c:legendPos val="r"/>
      <c:layout>
        <c:manualLayout>
          <c:xMode val="edge"/>
          <c:yMode val="edge"/>
          <c:x val="0.6185654974946313"/>
          <c:y val="0.45451861130994992"/>
          <c:w val="0.35315167422254035"/>
          <c:h val="0.3106597470770698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51920632562439"/>
          <c:y val="4.3466666666666667E-2"/>
          <c:w val="0.72933623863054853"/>
          <c:h val="0.77441289838770155"/>
        </c:manualLayout>
      </c:layout>
      <c:lineChart>
        <c:grouping val="standard"/>
        <c:varyColors val="0"/>
        <c:ser>
          <c:idx val="0"/>
          <c:order val="0"/>
          <c:tx>
            <c:strRef>
              <c:f>Лист2!$G$2</c:f>
              <c:strCache>
                <c:ptCount val="1"/>
                <c:pt idx="0">
                  <c:v>скНКР</c:v>
                </c:pt>
              </c:strCache>
            </c:strRef>
          </c:tx>
          <c:spPr>
            <a:ln w="28575" cap="rnd">
              <a:solidFill>
                <a:schemeClr val="accent1"/>
              </a:solidFill>
              <a:prstDash val="dash"/>
              <a:round/>
            </a:ln>
            <a:effectLst/>
          </c:spPr>
          <c:marker>
            <c:symbol val="circle"/>
            <c:size val="5"/>
            <c:spPr>
              <a:solidFill>
                <a:schemeClr val="accent1"/>
              </a:solidFill>
              <a:ln w="9525">
                <a:solidFill>
                  <a:schemeClr val="accent1"/>
                </a:solidFill>
              </a:ln>
              <a:effectLst/>
            </c:spPr>
          </c:marker>
          <c:cat>
            <c:strRef>
              <c:f>Лист2!$H$1:$K$1</c:f>
              <c:strCache>
                <c:ptCount val="4"/>
                <c:pt idx="0">
                  <c:v>ПКФ</c:v>
                </c:pt>
                <c:pt idx="1">
                  <c:v>КМФ</c:v>
                </c:pt>
                <c:pt idx="2">
                  <c:v>НФ</c:v>
                </c:pt>
                <c:pt idx="3">
                  <c:v>ЕФ</c:v>
                </c:pt>
              </c:strCache>
            </c:strRef>
          </c:cat>
          <c:val>
            <c:numRef>
              <c:f>Лист2!$H$2:$K$2</c:f>
              <c:numCache>
                <c:formatCode>General</c:formatCode>
                <c:ptCount val="4"/>
                <c:pt idx="0">
                  <c:v>1.45</c:v>
                </c:pt>
                <c:pt idx="1">
                  <c:v>0.94</c:v>
                </c:pt>
                <c:pt idx="2">
                  <c:v>0.77</c:v>
                </c:pt>
                <c:pt idx="3">
                  <c:v>0.89</c:v>
                </c:pt>
              </c:numCache>
            </c:numRef>
          </c:val>
          <c:smooth val="0"/>
          <c:extLst>
            <c:ext xmlns:c16="http://schemas.microsoft.com/office/drawing/2014/chart" uri="{C3380CC4-5D6E-409C-BE32-E72D297353CC}">
              <c16:uniqueId val="{00000000-0B19-40D5-B086-8797C0920E8B}"/>
            </c:ext>
          </c:extLst>
        </c:ser>
        <c:ser>
          <c:idx val="1"/>
          <c:order val="1"/>
          <c:tx>
            <c:strRef>
              <c:f>Лист2!$G$3</c:f>
              <c:strCache>
                <c:ptCount val="1"/>
                <c:pt idx="0">
                  <c:v>пНКР</c:v>
                </c:pt>
              </c:strCache>
            </c:strRef>
          </c:tx>
          <c:spPr>
            <a:ln w="28575" cap="rnd">
              <a:solidFill>
                <a:schemeClr val="accent2"/>
              </a:solidFill>
              <a:prstDash val="sysDot"/>
              <a:round/>
            </a:ln>
            <a:effectLst/>
          </c:spPr>
          <c:marker>
            <c:symbol val="circle"/>
            <c:size val="5"/>
            <c:spPr>
              <a:solidFill>
                <a:schemeClr val="accent2"/>
              </a:solidFill>
              <a:ln w="9525">
                <a:solidFill>
                  <a:schemeClr val="accent2"/>
                </a:solidFill>
              </a:ln>
              <a:effectLst/>
            </c:spPr>
          </c:marker>
          <c:cat>
            <c:strRef>
              <c:f>Лист2!$H$1:$K$1</c:f>
              <c:strCache>
                <c:ptCount val="4"/>
                <c:pt idx="0">
                  <c:v>ПКФ</c:v>
                </c:pt>
                <c:pt idx="1">
                  <c:v>КМФ</c:v>
                </c:pt>
                <c:pt idx="2">
                  <c:v>НФ</c:v>
                </c:pt>
                <c:pt idx="3">
                  <c:v>ЕФ</c:v>
                </c:pt>
              </c:strCache>
            </c:strRef>
          </c:cat>
          <c:val>
            <c:numRef>
              <c:f>Лист2!$H$3:$K$3</c:f>
              <c:numCache>
                <c:formatCode>0.00</c:formatCode>
                <c:ptCount val="4"/>
                <c:pt idx="0" formatCode="General">
                  <c:v>1.36</c:v>
                </c:pt>
                <c:pt idx="1">
                  <c:v>1.04</c:v>
                </c:pt>
                <c:pt idx="2" formatCode="General">
                  <c:v>0.74</c:v>
                </c:pt>
                <c:pt idx="3" formatCode="General">
                  <c:v>0.78</c:v>
                </c:pt>
              </c:numCache>
            </c:numRef>
          </c:val>
          <c:smooth val="0"/>
          <c:extLst>
            <c:ext xmlns:c16="http://schemas.microsoft.com/office/drawing/2014/chart" uri="{C3380CC4-5D6E-409C-BE32-E72D297353CC}">
              <c16:uniqueId val="{00000001-0B19-40D5-B086-8797C0920E8B}"/>
            </c:ext>
          </c:extLst>
        </c:ser>
        <c:ser>
          <c:idx val="2"/>
          <c:order val="2"/>
          <c:tx>
            <c:strRef>
              <c:f>Лист2!$G$4</c:f>
              <c:strCache>
                <c:ptCount val="1"/>
                <c:pt idx="0">
                  <c:v>хрНКР</c:v>
                </c:pt>
              </c:strCache>
            </c:strRef>
          </c:tx>
          <c:spPr>
            <a:ln w="28575" cap="rnd">
              <a:solidFill>
                <a:schemeClr val="accent3"/>
              </a:solidFill>
              <a:prstDash val="sysDash"/>
              <a:round/>
            </a:ln>
            <a:effectLst/>
          </c:spPr>
          <c:marker>
            <c:symbol val="circle"/>
            <c:size val="5"/>
            <c:spPr>
              <a:solidFill>
                <a:schemeClr val="accent3"/>
              </a:solidFill>
              <a:ln w="9525">
                <a:solidFill>
                  <a:schemeClr val="accent3"/>
                </a:solidFill>
              </a:ln>
              <a:effectLst/>
            </c:spPr>
          </c:marker>
          <c:cat>
            <c:strRef>
              <c:f>Лист2!$H$1:$K$1</c:f>
              <c:strCache>
                <c:ptCount val="4"/>
                <c:pt idx="0">
                  <c:v>ПКФ</c:v>
                </c:pt>
                <c:pt idx="1">
                  <c:v>КМФ</c:v>
                </c:pt>
                <c:pt idx="2">
                  <c:v>НФ</c:v>
                </c:pt>
                <c:pt idx="3">
                  <c:v>ЕФ</c:v>
                </c:pt>
              </c:strCache>
            </c:strRef>
          </c:cat>
          <c:val>
            <c:numRef>
              <c:f>Лист2!$H$4:$K$4</c:f>
              <c:numCache>
                <c:formatCode>General</c:formatCode>
                <c:ptCount val="4"/>
                <c:pt idx="0">
                  <c:v>1.1399999999999999</c:v>
                </c:pt>
                <c:pt idx="1">
                  <c:v>0.79</c:v>
                </c:pt>
                <c:pt idx="2">
                  <c:v>0.78</c:v>
                </c:pt>
                <c:pt idx="3">
                  <c:v>0.8</c:v>
                </c:pt>
              </c:numCache>
            </c:numRef>
          </c:val>
          <c:smooth val="0"/>
          <c:extLst>
            <c:ext xmlns:c16="http://schemas.microsoft.com/office/drawing/2014/chart" uri="{C3380CC4-5D6E-409C-BE32-E72D297353CC}">
              <c16:uniqueId val="{00000002-0B19-40D5-B086-8797C0920E8B}"/>
            </c:ext>
          </c:extLst>
        </c:ser>
        <c:dLbls>
          <c:showLegendKey val="0"/>
          <c:showVal val="0"/>
          <c:showCatName val="0"/>
          <c:showSerName val="0"/>
          <c:showPercent val="0"/>
          <c:showBubbleSize val="0"/>
        </c:dLbls>
        <c:marker val="1"/>
        <c:smooth val="0"/>
        <c:axId val="433838448"/>
        <c:axId val="433839432"/>
      </c:lineChart>
      <c:catAx>
        <c:axId val="43383844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r>
                  <a:rPr lang="uk-UA"/>
                  <a:t>Фаза КТ</a:t>
                </a:r>
              </a:p>
            </c:rich>
          </c:tx>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crossAx val="433839432"/>
        <c:crosses val="autoZero"/>
        <c:auto val="1"/>
        <c:lblAlgn val="ctr"/>
        <c:lblOffset val="100"/>
        <c:noMultiLvlLbl val="0"/>
      </c:catAx>
      <c:valAx>
        <c:axId val="4338394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r>
                  <a:rPr lang="uk-UA"/>
                  <a:t>Відношення променевої щільності</a:t>
                </a:r>
              </a:p>
            </c:rich>
          </c:tx>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crossAx val="433838448"/>
        <c:crosses val="autoZero"/>
        <c:crossBetween val="between"/>
      </c:valAx>
      <c:spPr>
        <a:noFill/>
        <a:ln>
          <a:noFill/>
        </a:ln>
        <a:effectLst/>
      </c:spPr>
    </c:plotArea>
    <c:legend>
      <c:legendPos val="r"/>
      <c:layout>
        <c:manualLayout>
          <c:xMode val="edge"/>
          <c:yMode val="edge"/>
          <c:x val="0.62167714884696013"/>
          <c:y val="0.56842804649418821"/>
          <c:w val="0.27350104821802929"/>
          <c:h val="0.21361979752530932"/>
        </c:manualLayout>
      </c:layou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ysClr val="windowText" lastClr="000000"/>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3153FE-5035-4E51-BDCA-CEFA2D99E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343</Pages>
  <Words>80803</Words>
  <Characters>460583</Characters>
  <Application>Microsoft Office Word</Application>
  <DocSecurity>0</DocSecurity>
  <Lines>3838</Lines>
  <Paragraphs>1080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540306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Windows User</cp:lastModifiedBy>
  <cp:revision>19</cp:revision>
  <cp:lastPrinted>2018-04-12T13:45:00Z</cp:lastPrinted>
  <dcterms:created xsi:type="dcterms:W3CDTF">2018-06-25T07:52:00Z</dcterms:created>
  <dcterms:modified xsi:type="dcterms:W3CDTF">2018-10-07T18:52:00Z</dcterms:modified>
</cp:coreProperties>
</file>